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38B059" w14:textId="77777777" w:rsidR="00D8347D" w:rsidRPr="00254BEE" w:rsidRDefault="00DA372F" w:rsidP="00286336">
      <w:pPr>
        <w:rPr>
          <w:b/>
          <w:color w:val="000000" w:themeColor="text1"/>
          <w:sz w:val="34"/>
        </w:rPr>
      </w:pPr>
      <w:r w:rsidRPr="00254BEE">
        <w:rPr>
          <w:b/>
          <w:color w:val="000000" w:themeColor="text1"/>
          <w:sz w:val="34"/>
        </w:rPr>
        <w:t>XOLAIR</w:t>
      </w:r>
      <w:r w:rsidRPr="00254BEE">
        <w:rPr>
          <w:b/>
          <w:color w:val="000000" w:themeColor="text1"/>
          <w:sz w:val="34"/>
          <w:vertAlign w:val="superscript"/>
        </w:rPr>
        <w:sym w:font="Symbol" w:char="F0D2"/>
      </w:r>
    </w:p>
    <w:p w14:paraId="73D1F9CE" w14:textId="77777777" w:rsidR="00D8347D" w:rsidRPr="00254BEE" w:rsidRDefault="00DA372F" w:rsidP="00286336">
      <w:pPr>
        <w:rPr>
          <w:color w:val="000000" w:themeColor="text1"/>
          <w:sz w:val="28"/>
        </w:rPr>
      </w:pPr>
      <w:r w:rsidRPr="00254BEE">
        <w:rPr>
          <w:b/>
          <w:color w:val="000000" w:themeColor="text1"/>
          <w:sz w:val="28"/>
        </w:rPr>
        <w:t>Omalizumab (rch)</w:t>
      </w:r>
    </w:p>
    <w:p w14:paraId="59694BDF" w14:textId="77777777" w:rsidR="00D8347D" w:rsidRPr="00254BEE" w:rsidRDefault="00DA372F" w:rsidP="00604B4E">
      <w:pPr>
        <w:pStyle w:val="Heading5"/>
        <w:spacing w:before="240" w:after="240" w:line="240" w:lineRule="auto"/>
        <w:rPr>
          <w:color w:val="000000" w:themeColor="text1"/>
        </w:rPr>
      </w:pPr>
      <w:r w:rsidRPr="00254BEE">
        <w:rPr>
          <w:color w:val="000000" w:themeColor="text1"/>
        </w:rPr>
        <w:t xml:space="preserve">NAME OF THE </w:t>
      </w:r>
      <w:r w:rsidR="00FC1D98" w:rsidRPr="00254BEE">
        <w:rPr>
          <w:color w:val="000000" w:themeColor="text1"/>
        </w:rPr>
        <w:t>MEDICINE</w:t>
      </w:r>
    </w:p>
    <w:p w14:paraId="3790838D" w14:textId="77777777" w:rsidR="00D8347D" w:rsidRPr="00254BEE" w:rsidRDefault="00DA372F" w:rsidP="00286336">
      <w:pPr>
        <w:rPr>
          <w:color w:val="000000" w:themeColor="text1"/>
        </w:rPr>
      </w:pPr>
      <w:r w:rsidRPr="00254BEE">
        <w:rPr>
          <w:color w:val="000000" w:themeColor="text1"/>
        </w:rPr>
        <w:t xml:space="preserve">The active ingredient of Xolair is omalizumab. </w:t>
      </w:r>
    </w:p>
    <w:p w14:paraId="3E139463" w14:textId="77777777" w:rsidR="003F4539" w:rsidRPr="00254BEE" w:rsidRDefault="003F4539" w:rsidP="00286336">
      <w:pPr>
        <w:rPr>
          <w:color w:val="000000" w:themeColor="text1"/>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812"/>
      </w:tblGrid>
      <w:tr w:rsidR="003F4539" w:rsidRPr="00254BEE" w14:paraId="60194C32" w14:textId="77777777" w:rsidTr="000428FB">
        <w:tc>
          <w:tcPr>
            <w:tcW w:w="3510" w:type="dxa"/>
          </w:tcPr>
          <w:p w14:paraId="10305D7A" w14:textId="77777777" w:rsidR="003F4539" w:rsidRPr="00254BEE" w:rsidRDefault="003F4539" w:rsidP="000428FB">
            <w:pPr>
              <w:rPr>
                <w:b/>
              </w:rPr>
            </w:pPr>
            <w:smartTag w:uri="urn:schemas-microsoft-com:office:smarttags" w:element="stockticker">
              <w:r w:rsidRPr="00254BEE">
                <w:rPr>
                  <w:b/>
                  <w:lang w:val="pt-BR"/>
                </w:rPr>
                <w:t>CAS</w:t>
              </w:r>
            </w:smartTag>
            <w:r w:rsidRPr="00254BEE">
              <w:rPr>
                <w:b/>
                <w:lang w:val="pt-BR"/>
              </w:rPr>
              <w:t xml:space="preserve"> no.:</w:t>
            </w:r>
            <w:r w:rsidRPr="00254BEE">
              <w:rPr>
                <w:lang w:val="pt-BR"/>
              </w:rPr>
              <w:t xml:space="preserve"> </w:t>
            </w:r>
            <w:r w:rsidRPr="00254BEE">
              <w:rPr>
                <w:lang w:val="pt-BR"/>
              </w:rPr>
              <w:tab/>
            </w:r>
          </w:p>
        </w:tc>
        <w:tc>
          <w:tcPr>
            <w:tcW w:w="5812" w:type="dxa"/>
          </w:tcPr>
          <w:p w14:paraId="2A7EDE0C" w14:textId="77777777" w:rsidR="003F4539" w:rsidRPr="00254BEE" w:rsidRDefault="003F4539" w:rsidP="003F4539">
            <w:pPr>
              <w:rPr>
                <w:b/>
              </w:rPr>
            </w:pPr>
            <w:r w:rsidRPr="00254BEE">
              <w:rPr>
                <w:color w:val="000000" w:themeColor="text1"/>
              </w:rPr>
              <w:t>0242138-07-4</w:t>
            </w:r>
          </w:p>
        </w:tc>
      </w:tr>
    </w:tbl>
    <w:p w14:paraId="458D1233" w14:textId="77777777" w:rsidR="003F4539" w:rsidRPr="00254BEE" w:rsidRDefault="003F4539" w:rsidP="00286336">
      <w:pPr>
        <w:rPr>
          <w:color w:val="000000" w:themeColor="text1"/>
        </w:rPr>
      </w:pPr>
    </w:p>
    <w:p w14:paraId="500007EB" w14:textId="77777777" w:rsidR="00D8347D" w:rsidRPr="00254BEE" w:rsidRDefault="00DA372F" w:rsidP="00604B4E">
      <w:pPr>
        <w:spacing w:before="240" w:after="240"/>
        <w:rPr>
          <w:b/>
          <w:color w:val="000000" w:themeColor="text1"/>
          <w:sz w:val="30"/>
          <w:u w:val="single"/>
        </w:rPr>
      </w:pPr>
      <w:r w:rsidRPr="00254BEE">
        <w:rPr>
          <w:b/>
          <w:color w:val="000000" w:themeColor="text1"/>
          <w:sz w:val="30"/>
          <w:u w:val="single"/>
        </w:rPr>
        <w:t>DESCRIPTION</w:t>
      </w:r>
    </w:p>
    <w:p w14:paraId="2C3C9099" w14:textId="77777777" w:rsidR="00D8347D" w:rsidRPr="00254BEE" w:rsidRDefault="00DA372F" w:rsidP="00286336">
      <w:pPr>
        <w:rPr>
          <w:color w:val="000000" w:themeColor="text1"/>
        </w:rPr>
      </w:pPr>
      <w:r w:rsidRPr="00254BEE">
        <w:rPr>
          <w:color w:val="000000" w:themeColor="text1"/>
        </w:rPr>
        <w:t xml:space="preserve">Omalizumab is a recombinant </w:t>
      </w:r>
      <w:smartTag w:uri="urn:schemas-microsoft-com:office:smarttags" w:element="stockticker">
        <w:r w:rsidRPr="00254BEE">
          <w:rPr>
            <w:color w:val="000000" w:themeColor="text1"/>
          </w:rPr>
          <w:t>DNA</w:t>
        </w:r>
      </w:smartTag>
      <w:r w:rsidRPr="00254BEE">
        <w:rPr>
          <w:color w:val="000000" w:themeColor="text1"/>
        </w:rPr>
        <w:t xml:space="preserve">-derived humanised monoclonal antibody produced in Chinese hamster ovary cells that selectively binds to human immunoglobulin E (IgE).  </w:t>
      </w:r>
    </w:p>
    <w:p w14:paraId="2A840956" w14:textId="77777777" w:rsidR="00D8347D" w:rsidRPr="00254BEE" w:rsidRDefault="00D8347D" w:rsidP="00286336">
      <w:pPr>
        <w:rPr>
          <w:color w:val="000000" w:themeColor="text1"/>
        </w:rPr>
      </w:pPr>
    </w:p>
    <w:p w14:paraId="2666F439" w14:textId="77777777" w:rsidR="00D85A03" w:rsidRPr="00254BEE" w:rsidRDefault="00DA372F" w:rsidP="00286336">
      <w:pPr>
        <w:pStyle w:val="PIParagraph0"/>
        <w:spacing w:after="0" w:line="240" w:lineRule="auto"/>
        <w:jc w:val="left"/>
        <w:rPr>
          <w:rFonts w:ascii="Times New Roman" w:hAnsi="Times New Roman"/>
          <w:color w:val="000000" w:themeColor="text1"/>
        </w:rPr>
      </w:pPr>
      <w:r w:rsidRPr="00254BEE">
        <w:rPr>
          <w:rFonts w:ascii="Times New Roman" w:hAnsi="Times New Roman"/>
          <w:color w:val="000000" w:themeColor="text1"/>
        </w:rPr>
        <w:t>Xolair</w:t>
      </w:r>
      <w:r w:rsidRPr="00254BEE">
        <w:rPr>
          <w:rFonts w:ascii="Times New Roman" w:hAnsi="Times New Roman"/>
          <w:i/>
          <w:color w:val="000000" w:themeColor="text1"/>
        </w:rPr>
        <w:t xml:space="preserve"> </w:t>
      </w:r>
      <w:r w:rsidRPr="00254BEE">
        <w:rPr>
          <w:rFonts w:ascii="Times New Roman" w:hAnsi="Times New Roman"/>
          <w:color w:val="000000" w:themeColor="text1"/>
        </w:rPr>
        <w:t>is a sterile, white, preservative</w:t>
      </w:r>
      <w:r w:rsidRPr="00254BEE">
        <w:rPr>
          <w:rFonts w:ascii="Times New Roman" w:hAnsi="Times New Roman"/>
          <w:color w:val="000000" w:themeColor="text1"/>
        </w:rPr>
        <w:noBreakHyphen/>
        <w:t xml:space="preserve">free lyophilised powder that is reconstituted with water for injections and administered as a subcutaneous (SC) injection. </w:t>
      </w:r>
    </w:p>
    <w:p w14:paraId="56B3E93A" w14:textId="77777777" w:rsidR="00D85A03" w:rsidRPr="00254BEE" w:rsidRDefault="00D85A03" w:rsidP="00286336">
      <w:pPr>
        <w:pStyle w:val="PIParagraph0"/>
        <w:spacing w:after="0" w:line="240" w:lineRule="auto"/>
        <w:jc w:val="left"/>
        <w:rPr>
          <w:rFonts w:ascii="Times New Roman" w:hAnsi="Times New Roman"/>
          <w:color w:val="000000" w:themeColor="text1"/>
        </w:rPr>
      </w:pPr>
    </w:p>
    <w:p w14:paraId="4F072A97" w14:textId="77777777" w:rsidR="00D85A03" w:rsidRPr="00254BEE" w:rsidRDefault="00DA372F" w:rsidP="00286336">
      <w:pPr>
        <w:pStyle w:val="PIParagraph0"/>
        <w:spacing w:after="0" w:line="240" w:lineRule="auto"/>
        <w:jc w:val="left"/>
        <w:rPr>
          <w:rFonts w:ascii="Times New Roman" w:hAnsi="Times New Roman"/>
          <w:color w:val="000000" w:themeColor="text1"/>
        </w:rPr>
      </w:pPr>
      <w:r w:rsidRPr="00254BEE">
        <w:rPr>
          <w:rFonts w:ascii="Times New Roman" w:hAnsi="Times New Roman"/>
          <w:color w:val="000000" w:themeColor="text1"/>
        </w:rPr>
        <w:t>One vial of Xolair 75 mg powder for solution contains 75 mg of omalizumab. A reconstituted single</w:t>
      </w:r>
      <w:r w:rsidRPr="00254BEE">
        <w:rPr>
          <w:rFonts w:ascii="Times New Roman" w:hAnsi="Times New Roman"/>
          <w:color w:val="000000" w:themeColor="text1"/>
        </w:rPr>
        <w:noBreakHyphen/>
        <w:t xml:space="preserve">use vial delivers 75 mg omalizumab per 0.6 mL (125 mg/mL). </w:t>
      </w:r>
    </w:p>
    <w:p w14:paraId="60F9B87F" w14:textId="77777777" w:rsidR="00D85A03" w:rsidRPr="00254BEE" w:rsidRDefault="00D85A03" w:rsidP="00286336">
      <w:pPr>
        <w:pStyle w:val="PIParagraph0"/>
        <w:spacing w:after="0" w:line="240" w:lineRule="auto"/>
        <w:jc w:val="left"/>
        <w:rPr>
          <w:rFonts w:ascii="Times New Roman" w:hAnsi="Times New Roman"/>
          <w:color w:val="000000" w:themeColor="text1"/>
        </w:rPr>
      </w:pPr>
    </w:p>
    <w:p w14:paraId="6727D193" w14:textId="77777777" w:rsidR="00D8347D" w:rsidRPr="00690BA9" w:rsidRDefault="00DA372F" w:rsidP="00286336">
      <w:pPr>
        <w:pStyle w:val="PIParagraph0"/>
        <w:spacing w:after="0" w:line="240" w:lineRule="auto"/>
        <w:jc w:val="left"/>
        <w:rPr>
          <w:rFonts w:ascii="Times New Roman" w:hAnsi="Times New Roman"/>
          <w:color w:val="000000" w:themeColor="text1"/>
        </w:rPr>
      </w:pPr>
      <w:r w:rsidRPr="00254BEE">
        <w:rPr>
          <w:rFonts w:ascii="Times New Roman" w:hAnsi="Times New Roman"/>
          <w:color w:val="000000" w:themeColor="text1"/>
        </w:rPr>
        <w:t>One vial of Xolair 150 mg contains 150 mg of omalizumab. A reconstituted single</w:t>
      </w:r>
      <w:r w:rsidRPr="00254BEE">
        <w:rPr>
          <w:rFonts w:ascii="Times New Roman" w:hAnsi="Times New Roman"/>
          <w:color w:val="000000" w:themeColor="text1"/>
        </w:rPr>
        <w:noBreakHyphen/>
        <w:t>use vial delivers 150 mg omali</w:t>
      </w:r>
      <w:r w:rsidRPr="00690BA9">
        <w:rPr>
          <w:rFonts w:ascii="Times New Roman" w:hAnsi="Times New Roman"/>
          <w:color w:val="000000" w:themeColor="text1"/>
        </w:rPr>
        <w:t xml:space="preserve">zumab per 1.2 mL (125 mg/mL). </w:t>
      </w:r>
    </w:p>
    <w:p w14:paraId="7D9FF4C0" w14:textId="77777777" w:rsidR="005F5D4D" w:rsidRPr="00690BA9" w:rsidRDefault="005F5D4D" w:rsidP="00286336">
      <w:pPr>
        <w:pStyle w:val="PIParagraph0"/>
        <w:spacing w:after="0" w:line="240" w:lineRule="auto"/>
        <w:jc w:val="left"/>
        <w:rPr>
          <w:rFonts w:ascii="Times New Roman" w:hAnsi="Times New Roman"/>
          <w:color w:val="000000" w:themeColor="text1"/>
        </w:rPr>
      </w:pPr>
    </w:p>
    <w:p w14:paraId="7C7D6FB8" w14:textId="77777777" w:rsidR="005F5D4D" w:rsidRPr="00254BEE" w:rsidRDefault="005F5D4D" w:rsidP="005F5D4D">
      <w:pPr>
        <w:pStyle w:val="Text"/>
      </w:pPr>
      <w:r w:rsidRPr="00254BEE">
        <w:t>Each pre-filled syringe of 0.5 mL contains 75 mg of omalizumab.</w:t>
      </w:r>
    </w:p>
    <w:p w14:paraId="7333DD5A" w14:textId="77777777" w:rsidR="005F5D4D" w:rsidRPr="00254BEE" w:rsidRDefault="005F5D4D" w:rsidP="005F5D4D">
      <w:pPr>
        <w:pStyle w:val="Text"/>
      </w:pPr>
    </w:p>
    <w:p w14:paraId="27BFBB1C" w14:textId="77777777" w:rsidR="005F5D4D" w:rsidRPr="00254BEE" w:rsidRDefault="005F5D4D" w:rsidP="00443184">
      <w:pPr>
        <w:pStyle w:val="Text"/>
      </w:pPr>
      <w:r w:rsidRPr="00254BEE">
        <w:t>Each pre-filled syringe of 1 mL contains 150 mg of omalizumab.</w:t>
      </w:r>
    </w:p>
    <w:p w14:paraId="0179ECEE" w14:textId="77777777" w:rsidR="00406717" w:rsidRPr="00254BEE" w:rsidRDefault="00406717" w:rsidP="00286336">
      <w:pPr>
        <w:pStyle w:val="PIParagraph0"/>
        <w:spacing w:after="0" w:line="240" w:lineRule="auto"/>
        <w:jc w:val="left"/>
        <w:rPr>
          <w:rFonts w:ascii="Times New Roman" w:hAnsi="Times New Roman"/>
          <w:color w:val="000000" w:themeColor="text1"/>
        </w:rPr>
      </w:pPr>
    </w:p>
    <w:p w14:paraId="3D830C13" w14:textId="77777777" w:rsidR="00D8347D" w:rsidRPr="00254BEE" w:rsidRDefault="00DA372F" w:rsidP="00286336">
      <w:pPr>
        <w:pStyle w:val="PIParagraph0"/>
        <w:spacing w:after="0" w:line="240" w:lineRule="auto"/>
        <w:jc w:val="left"/>
        <w:rPr>
          <w:rFonts w:ascii="Times New Roman" w:hAnsi="Times New Roman"/>
          <w:color w:val="000000" w:themeColor="text1"/>
        </w:rPr>
      </w:pPr>
      <w:r w:rsidRPr="00254BEE">
        <w:rPr>
          <w:rFonts w:ascii="Times New Roman" w:hAnsi="Times New Roman"/>
          <w:color w:val="000000" w:themeColor="text1"/>
          <w:u w:val="single"/>
        </w:rPr>
        <w:t>Excipients:</w:t>
      </w:r>
      <w:r w:rsidRPr="00254BEE">
        <w:rPr>
          <w:rFonts w:ascii="Times New Roman" w:hAnsi="Times New Roman"/>
          <w:color w:val="000000" w:themeColor="text1"/>
        </w:rPr>
        <w:t xml:space="preserve"> </w:t>
      </w:r>
    </w:p>
    <w:p w14:paraId="677315C9" w14:textId="77777777" w:rsidR="000A2329" w:rsidRPr="00254BEE" w:rsidRDefault="000A2329" w:rsidP="00286336">
      <w:pPr>
        <w:pStyle w:val="PIParagraph0"/>
        <w:spacing w:after="0" w:line="240" w:lineRule="auto"/>
        <w:jc w:val="left"/>
        <w:rPr>
          <w:rFonts w:ascii="Times New Roman" w:hAnsi="Times New Roman"/>
          <w:color w:val="000000" w:themeColor="text1"/>
        </w:rPr>
      </w:pPr>
    </w:p>
    <w:p w14:paraId="4517A001" w14:textId="77777777" w:rsidR="00443184" w:rsidRPr="00254BEE" w:rsidRDefault="00443184" w:rsidP="00AD5636">
      <w:pPr>
        <w:pStyle w:val="Text"/>
        <w:tabs>
          <w:tab w:val="left" w:pos="1800"/>
        </w:tabs>
        <w:spacing w:after="120"/>
      </w:pPr>
      <w:r w:rsidRPr="00254BEE">
        <w:rPr>
          <w:b/>
          <w:u w:val="single"/>
        </w:rPr>
        <w:t>Powder vial and solvent for solution for injection</w:t>
      </w:r>
    </w:p>
    <w:p w14:paraId="366213FD" w14:textId="77777777" w:rsidR="00D8347D" w:rsidRPr="00254BEE" w:rsidRDefault="00DA372F" w:rsidP="00AD5636">
      <w:pPr>
        <w:pStyle w:val="PIParagraph0"/>
        <w:spacing w:after="120" w:line="240" w:lineRule="auto"/>
        <w:jc w:val="left"/>
        <w:rPr>
          <w:rFonts w:ascii="Times New Roman" w:hAnsi="Times New Roman"/>
          <w:color w:val="000000" w:themeColor="text1"/>
        </w:rPr>
      </w:pPr>
      <w:r w:rsidRPr="00254BEE">
        <w:rPr>
          <w:rFonts w:ascii="Times New Roman" w:hAnsi="Times New Roman"/>
          <w:color w:val="000000" w:themeColor="text1"/>
        </w:rPr>
        <w:t>Xolair vial: sucrose, L-histidine, L-histidine hydrochloride monohydrate, polysorbate 20.</w:t>
      </w:r>
    </w:p>
    <w:p w14:paraId="6BA5B1A4" w14:textId="77777777" w:rsidR="00D8347D" w:rsidRPr="00254BEE" w:rsidRDefault="00DA372F" w:rsidP="00AD5636">
      <w:pPr>
        <w:pStyle w:val="PIParagraph0"/>
        <w:spacing w:after="120" w:line="240" w:lineRule="auto"/>
        <w:jc w:val="left"/>
        <w:rPr>
          <w:rFonts w:ascii="Times New Roman" w:hAnsi="Times New Roman"/>
          <w:color w:val="000000" w:themeColor="text1"/>
        </w:rPr>
      </w:pPr>
      <w:r w:rsidRPr="00254BEE">
        <w:rPr>
          <w:rFonts w:ascii="Times New Roman" w:hAnsi="Times New Roman"/>
          <w:color w:val="000000" w:themeColor="text1"/>
        </w:rPr>
        <w:t>Solvent ampoule: water for injections</w:t>
      </w:r>
    </w:p>
    <w:p w14:paraId="4E9CCD86" w14:textId="77777777" w:rsidR="00443184" w:rsidRPr="00254BEE" w:rsidRDefault="00443184" w:rsidP="00443184">
      <w:pPr>
        <w:pStyle w:val="Text"/>
        <w:tabs>
          <w:tab w:val="left" w:pos="1800"/>
        </w:tabs>
        <w:rPr>
          <w:b/>
        </w:rPr>
      </w:pPr>
      <w:r w:rsidRPr="00254BEE">
        <w:rPr>
          <w:b/>
          <w:u w:val="single"/>
        </w:rPr>
        <w:t>Solution for injection in pre-filled syringe</w:t>
      </w:r>
    </w:p>
    <w:p w14:paraId="70856BB6" w14:textId="77777777" w:rsidR="00443184" w:rsidRPr="00254BEE" w:rsidRDefault="00443184" w:rsidP="00EE52E0">
      <w:pPr>
        <w:pStyle w:val="Text"/>
      </w:pPr>
      <w:r w:rsidRPr="00254BEE">
        <w:t xml:space="preserve">L-arginine hydrochloride, </w:t>
      </w:r>
      <w:r w:rsidRPr="00254BEE">
        <w:rPr>
          <w:color w:val="000000"/>
          <w:sz w:val="22"/>
          <w:szCs w:val="22"/>
        </w:rPr>
        <w:t>L-histidine hydrochloride</w:t>
      </w:r>
      <w:r w:rsidRPr="00254BEE">
        <w:t xml:space="preserve">, </w:t>
      </w:r>
      <w:r w:rsidRPr="00254BEE">
        <w:rPr>
          <w:color w:val="000000"/>
          <w:sz w:val="22"/>
          <w:szCs w:val="22"/>
        </w:rPr>
        <w:t>L-histidine</w:t>
      </w:r>
      <w:r w:rsidRPr="00254BEE">
        <w:t xml:space="preserve">, </w:t>
      </w:r>
      <w:r w:rsidRPr="00254BEE">
        <w:rPr>
          <w:color w:val="000000"/>
          <w:sz w:val="22"/>
          <w:szCs w:val="22"/>
        </w:rPr>
        <w:t>polysorbate 20</w:t>
      </w:r>
      <w:r w:rsidRPr="00254BEE">
        <w:t xml:space="preserve">, </w:t>
      </w:r>
      <w:r w:rsidRPr="00254BEE">
        <w:rPr>
          <w:color w:val="000000"/>
          <w:sz w:val="22"/>
          <w:szCs w:val="22"/>
        </w:rPr>
        <w:t>water for injection.</w:t>
      </w:r>
    </w:p>
    <w:p w14:paraId="498223BF" w14:textId="77777777" w:rsidR="000A2329" w:rsidRPr="00254BEE" w:rsidRDefault="000A2329" w:rsidP="00286336">
      <w:pPr>
        <w:pStyle w:val="EndnoteText"/>
        <w:rPr>
          <w:color w:val="000000" w:themeColor="text1"/>
          <w:sz w:val="24"/>
        </w:rPr>
      </w:pPr>
    </w:p>
    <w:p w14:paraId="20A22F54" w14:textId="77777777" w:rsidR="00D8347D" w:rsidRPr="00254BEE" w:rsidRDefault="00DA372F" w:rsidP="00604B4E">
      <w:pPr>
        <w:spacing w:before="240" w:after="240"/>
        <w:rPr>
          <w:b/>
          <w:color w:val="000000" w:themeColor="text1"/>
          <w:sz w:val="30"/>
          <w:u w:val="single"/>
        </w:rPr>
      </w:pPr>
      <w:r w:rsidRPr="00254BEE">
        <w:rPr>
          <w:b/>
          <w:color w:val="000000" w:themeColor="text1"/>
          <w:sz w:val="30"/>
          <w:u w:val="single"/>
        </w:rPr>
        <w:t>PHARMACOLOGY</w:t>
      </w:r>
    </w:p>
    <w:p w14:paraId="08FE744C" w14:textId="77777777" w:rsidR="00EC6409" w:rsidRPr="00254BEE" w:rsidRDefault="00EC6409" w:rsidP="00604B4E">
      <w:pPr>
        <w:spacing w:before="120" w:after="120"/>
        <w:rPr>
          <w:b/>
          <w:color w:val="000000" w:themeColor="text1"/>
          <w:u w:val="single"/>
        </w:rPr>
      </w:pPr>
      <w:r w:rsidRPr="00254BEE">
        <w:rPr>
          <w:b/>
          <w:color w:val="000000" w:themeColor="text1"/>
          <w:u w:val="single"/>
        </w:rPr>
        <w:t>General Characteristics</w:t>
      </w:r>
    </w:p>
    <w:p w14:paraId="24C045BA" w14:textId="77777777" w:rsidR="00D8347D" w:rsidRPr="00254BEE" w:rsidRDefault="00DA372F" w:rsidP="00604B4E">
      <w:pPr>
        <w:spacing w:before="120" w:after="120"/>
        <w:rPr>
          <w:b/>
          <w:color w:val="000000" w:themeColor="text1"/>
          <w:u w:val="single"/>
        </w:rPr>
      </w:pPr>
      <w:r w:rsidRPr="00254BEE">
        <w:rPr>
          <w:b/>
          <w:color w:val="000000" w:themeColor="text1"/>
          <w:u w:val="single"/>
        </w:rPr>
        <w:t>Pharmacodynamics</w:t>
      </w:r>
    </w:p>
    <w:p w14:paraId="7F3FBA4C" w14:textId="77777777" w:rsidR="00D8347D" w:rsidRPr="00254BEE" w:rsidRDefault="00DA372F" w:rsidP="00286336">
      <w:pPr>
        <w:rPr>
          <w:color w:val="000000" w:themeColor="text1"/>
        </w:rPr>
      </w:pPr>
      <w:r w:rsidRPr="00254BEE">
        <w:rPr>
          <w:color w:val="000000" w:themeColor="text1"/>
        </w:rPr>
        <w:t>Omalizumab is a recombinant DNA-derived humanised monoclonal antibody that selectively binds to human immunoglobulin E (IgE).  The antibody is an IgG</w:t>
      </w:r>
      <w:r w:rsidRPr="00254BEE">
        <w:rPr>
          <w:color w:val="000000" w:themeColor="text1"/>
          <w:vertAlign w:val="subscript"/>
        </w:rPr>
        <w:t>1</w:t>
      </w:r>
      <w:r w:rsidRPr="00254BEE">
        <w:rPr>
          <w:color w:val="000000" w:themeColor="text1"/>
        </w:rPr>
        <w:t xml:space="preserve"> kappa that contains human </w:t>
      </w:r>
      <w:r w:rsidRPr="00254BEE">
        <w:rPr>
          <w:color w:val="000000" w:themeColor="text1"/>
        </w:rPr>
        <w:lastRenderedPageBreak/>
        <w:t>framework regions with the complementary-determining regions of a humanised murine antibody that binds to IgE.</w:t>
      </w:r>
    </w:p>
    <w:p w14:paraId="4ADAEB9F" w14:textId="77777777" w:rsidR="00D8347D" w:rsidRPr="00254BEE" w:rsidRDefault="00D8347D" w:rsidP="00286336">
      <w:pPr>
        <w:pStyle w:val="Text"/>
        <w:spacing w:before="0"/>
        <w:jc w:val="left"/>
        <w:rPr>
          <w:color w:val="000000" w:themeColor="text1"/>
        </w:rPr>
      </w:pPr>
    </w:p>
    <w:p w14:paraId="4B8E0FE6" w14:textId="77777777" w:rsidR="00EC6409" w:rsidRPr="00254BEE" w:rsidRDefault="00EC6409" w:rsidP="00EC6409">
      <w:pPr>
        <w:spacing w:before="120" w:after="120"/>
        <w:rPr>
          <w:b/>
          <w:color w:val="000000" w:themeColor="text1"/>
          <w:u w:val="single"/>
        </w:rPr>
      </w:pPr>
      <w:r w:rsidRPr="00254BEE">
        <w:rPr>
          <w:b/>
          <w:color w:val="000000" w:themeColor="text1"/>
          <w:u w:val="single"/>
        </w:rPr>
        <w:t>Patients with Allergic Asthma</w:t>
      </w:r>
    </w:p>
    <w:p w14:paraId="2404BBEE" w14:textId="77777777" w:rsidR="00D8347D" w:rsidRPr="00254BEE" w:rsidRDefault="00DA372F" w:rsidP="00AD5636">
      <w:pPr>
        <w:spacing w:before="120" w:after="120"/>
        <w:rPr>
          <w:color w:val="000000" w:themeColor="text1"/>
        </w:rPr>
      </w:pPr>
      <w:r w:rsidRPr="00254BEE">
        <w:rPr>
          <w:color w:val="000000" w:themeColor="text1"/>
        </w:rPr>
        <w:t xml:space="preserve">The allergic cascade is initiated when IgE bound to </w:t>
      </w:r>
      <w:r w:rsidR="00EC6409" w:rsidRPr="00254BEE">
        <w:rPr>
          <w:color w:val="000000" w:themeColor="text1"/>
        </w:rPr>
        <w:t xml:space="preserve">the </w:t>
      </w:r>
      <w:r w:rsidRPr="00254BEE">
        <w:rPr>
          <w:color w:val="000000" w:themeColor="text1"/>
        </w:rPr>
        <w:t xml:space="preserve">high affinity </w:t>
      </w:r>
      <w:r w:rsidR="00EC6409" w:rsidRPr="00254BEE">
        <w:rPr>
          <w:color w:val="000000" w:themeColor="text1"/>
        </w:rPr>
        <w:t xml:space="preserve">IgE receptor </w:t>
      </w:r>
      <w:r w:rsidRPr="00254BEE">
        <w:rPr>
          <w:color w:val="000000" w:themeColor="text1"/>
        </w:rPr>
        <w:t>Fc</w:t>
      </w:r>
      <w:r w:rsidRPr="00254BEE">
        <w:rPr>
          <w:color w:val="000000" w:themeColor="text1"/>
        </w:rPr>
        <w:sym w:font="Symbol" w:char="F065"/>
      </w:r>
      <w:r w:rsidRPr="00254BEE">
        <w:rPr>
          <w:color w:val="000000" w:themeColor="text1"/>
        </w:rPr>
        <w:t>RI</w:t>
      </w:r>
      <w:r w:rsidR="00EC6409" w:rsidRPr="00254BEE">
        <w:rPr>
          <w:color w:val="000000" w:themeColor="text1"/>
        </w:rPr>
        <w:t>,</w:t>
      </w:r>
      <w:r w:rsidRPr="00254BEE">
        <w:rPr>
          <w:color w:val="000000" w:themeColor="text1"/>
        </w:rPr>
        <w:t xml:space="preserve"> on the surface of mast cells and basophils is crosslinked by allergen. This results in the degranulation of these effector cells and the release of histamines, leukotrienes, cytokines and other mediators.  These mediators are causally linked to the pathophysiology of asthma, including airway oedema, smooth muscle contraction and altered cellular activity associated with the inflammatory process.  They also contribute to the signs and symptoms of allergic  asthma such as bronchoconstriction, mucous production, wheezing, dyspnoea and chest tightness.</w:t>
      </w:r>
    </w:p>
    <w:p w14:paraId="64AA56FA" w14:textId="77777777" w:rsidR="00D8347D" w:rsidRPr="00254BEE" w:rsidRDefault="00D8347D" w:rsidP="00286336">
      <w:pPr>
        <w:rPr>
          <w:color w:val="000000" w:themeColor="text1"/>
        </w:rPr>
      </w:pPr>
    </w:p>
    <w:p w14:paraId="75D79387" w14:textId="77777777" w:rsidR="00D8347D" w:rsidRPr="00254BEE" w:rsidRDefault="00DA372F" w:rsidP="00286336">
      <w:pPr>
        <w:rPr>
          <w:color w:val="000000" w:themeColor="text1"/>
        </w:rPr>
      </w:pPr>
      <w:r w:rsidRPr="00254BEE">
        <w:rPr>
          <w:color w:val="000000" w:themeColor="text1"/>
        </w:rPr>
        <w:t>Omalizumab binds to IgE at the same site as the high-affinity FC</w:t>
      </w:r>
      <w:r w:rsidRPr="00254BEE">
        <w:rPr>
          <w:color w:val="000000" w:themeColor="text1"/>
        </w:rPr>
        <w:sym w:font="Symbol" w:char="F065"/>
      </w:r>
      <w:r w:rsidRPr="00254BEE">
        <w:rPr>
          <w:color w:val="000000" w:themeColor="text1"/>
        </w:rPr>
        <w:t>RI receptor, thereby reducing the amount of free IgE that is available to bind to the receptor. Treatment with omalizumab also reduces the number of FC</w:t>
      </w:r>
      <w:r w:rsidRPr="00254BEE">
        <w:rPr>
          <w:color w:val="000000" w:themeColor="text1"/>
        </w:rPr>
        <w:sym w:font="Symbol" w:char="F065"/>
      </w:r>
      <w:r w:rsidRPr="00254BEE">
        <w:rPr>
          <w:color w:val="000000" w:themeColor="text1"/>
        </w:rPr>
        <w:t>RI receptors on basophils in atopic subjects and histamine release was reduced in response to allergen challenge in those subjects.</w:t>
      </w:r>
    </w:p>
    <w:p w14:paraId="6A4392A8" w14:textId="77777777" w:rsidR="00D8347D" w:rsidRPr="00254BEE" w:rsidRDefault="00D8347D" w:rsidP="00286336">
      <w:pPr>
        <w:rPr>
          <w:color w:val="000000" w:themeColor="text1"/>
        </w:rPr>
      </w:pPr>
    </w:p>
    <w:p w14:paraId="3D5E3789" w14:textId="77777777" w:rsidR="00D8347D" w:rsidRPr="00254BEE" w:rsidRDefault="00CA7D2C" w:rsidP="00286336">
      <w:pPr>
        <w:rPr>
          <w:color w:val="000000" w:themeColor="text1"/>
        </w:rPr>
      </w:pPr>
      <w:r w:rsidRPr="00254BEE">
        <w:rPr>
          <w:color w:val="000000" w:themeColor="text1"/>
        </w:rPr>
        <w:t>Clinical studies in asthma patients’ showed that, s</w:t>
      </w:r>
      <w:r w:rsidR="00DA372F" w:rsidRPr="00254BEE">
        <w:rPr>
          <w:color w:val="000000" w:themeColor="text1"/>
        </w:rPr>
        <w:t>erum free IgE levels (e.g. unbound IgE) are reduced in a dose dependent manner within 2 hours of subcutaneous dosing.  Average decreases were 84-99% of baseline.</w:t>
      </w:r>
    </w:p>
    <w:p w14:paraId="628549F3" w14:textId="77777777" w:rsidR="00D8347D" w:rsidRPr="00254BEE" w:rsidRDefault="00DA372F" w:rsidP="00286336">
      <w:pPr>
        <w:rPr>
          <w:color w:val="000000" w:themeColor="text1"/>
        </w:rPr>
      </w:pPr>
      <w:r w:rsidRPr="00254BEE">
        <w:rPr>
          <w:color w:val="000000" w:themeColor="text1"/>
        </w:rPr>
        <w:t>Serum total IgE levels (e.g. bound or unbound) increased an average of 4-fold post-dosing due to formation of omalizumab-IgE binding. Following discontinuation of omalizumab dosing, increases in total IgE and decreases in free IgE were reversible with no rebound in IgE levels after drug washout.</w:t>
      </w:r>
    </w:p>
    <w:p w14:paraId="2E72DE8C" w14:textId="77777777" w:rsidR="00D8347D" w:rsidRPr="00254BEE" w:rsidRDefault="00D8347D" w:rsidP="00286336">
      <w:pPr>
        <w:rPr>
          <w:b/>
          <w:color w:val="000000" w:themeColor="text1"/>
          <w:u w:val="single"/>
        </w:rPr>
      </w:pPr>
    </w:p>
    <w:p w14:paraId="07D07096" w14:textId="5AC78D48" w:rsidR="00CA7D2C" w:rsidRPr="00254BEE" w:rsidRDefault="00CA7D2C" w:rsidP="00CA7D2C">
      <w:pPr>
        <w:pStyle w:val="Text"/>
        <w:rPr>
          <w:b/>
          <w:bCs/>
        </w:rPr>
      </w:pPr>
      <w:r w:rsidRPr="00254BEE">
        <w:rPr>
          <w:b/>
          <w:bCs/>
        </w:rPr>
        <w:t xml:space="preserve">Patients with </w:t>
      </w:r>
      <w:r w:rsidR="00EE52E0" w:rsidRPr="00254BEE">
        <w:rPr>
          <w:b/>
          <w:bCs/>
        </w:rPr>
        <w:t xml:space="preserve">Chronic </w:t>
      </w:r>
      <w:r w:rsidR="00C63E55">
        <w:rPr>
          <w:b/>
          <w:bCs/>
        </w:rPr>
        <w:t>Spontaneous</w:t>
      </w:r>
      <w:r w:rsidR="00C63E55" w:rsidRPr="00254BEE">
        <w:rPr>
          <w:b/>
          <w:bCs/>
        </w:rPr>
        <w:t xml:space="preserve"> </w:t>
      </w:r>
      <w:r w:rsidR="00EE52E0" w:rsidRPr="00254BEE">
        <w:rPr>
          <w:b/>
          <w:bCs/>
        </w:rPr>
        <w:t>Urticaria</w:t>
      </w:r>
      <w:r w:rsidRPr="00254BEE">
        <w:rPr>
          <w:b/>
          <w:bCs/>
        </w:rPr>
        <w:t xml:space="preserve"> (</w:t>
      </w:r>
      <w:r w:rsidR="00EE52E0" w:rsidRPr="00254BEE">
        <w:rPr>
          <w:b/>
          <w:bCs/>
        </w:rPr>
        <w:t>C</w:t>
      </w:r>
      <w:r w:rsidR="00C63E55">
        <w:rPr>
          <w:b/>
          <w:bCs/>
        </w:rPr>
        <w:t>S</w:t>
      </w:r>
      <w:r w:rsidR="00EE52E0" w:rsidRPr="00254BEE">
        <w:rPr>
          <w:b/>
          <w:bCs/>
        </w:rPr>
        <w:t>U</w:t>
      </w:r>
      <w:r w:rsidRPr="00254BEE">
        <w:rPr>
          <w:b/>
          <w:bCs/>
        </w:rPr>
        <w:t>)</w:t>
      </w:r>
    </w:p>
    <w:p w14:paraId="627BE828" w14:textId="558E412C" w:rsidR="00CA7D2C" w:rsidRPr="00254BEE" w:rsidRDefault="00CA7D2C" w:rsidP="00CA7D2C">
      <w:pPr>
        <w:pStyle w:val="Text"/>
      </w:pPr>
      <w:r w:rsidRPr="00254BEE">
        <w:t xml:space="preserve">There are several theories for the etiology of </w:t>
      </w:r>
      <w:r w:rsidR="00C63E55">
        <w:t>CSU</w:t>
      </w:r>
      <w:r w:rsidRPr="00254BEE">
        <w:t xml:space="preserve">, including one that suggests an autoimmune origin. Autoimmune antibodies to IgE and its receptor, FcεRI, have been isolated from the serum of some patients with </w:t>
      </w:r>
      <w:r w:rsidR="00C63E55">
        <w:t>CSU</w:t>
      </w:r>
      <w:r w:rsidRPr="00254BEE">
        <w:t>. These autoantibodies can activate basophils or mast cells leading to release of histamine.</w:t>
      </w:r>
    </w:p>
    <w:p w14:paraId="4686332D" w14:textId="491CA336" w:rsidR="00CA7D2C" w:rsidRPr="00254BEE" w:rsidRDefault="00CA7D2C" w:rsidP="00CA7D2C">
      <w:pPr>
        <w:pStyle w:val="Text"/>
      </w:pPr>
      <w:r w:rsidRPr="00254BEE">
        <w:t xml:space="preserve">One hypothesis for the mechanism of action of omalizumab in </w:t>
      </w:r>
      <w:r w:rsidR="00C63E55">
        <w:t>CSU</w:t>
      </w:r>
      <w:r w:rsidR="00C63E55" w:rsidRPr="00254BEE">
        <w:t xml:space="preserve"> </w:t>
      </w:r>
      <w:r w:rsidRPr="00254BEE">
        <w:t xml:space="preserve">is that it lowers free IgE levels in the blood and subsequently in the skin. This leads to down-regulation of surface IgE receptors, thereby decreasing downstream signaling via the FcεRI pathway, resulting in suppressed cell activation and inflammatory responses. As a consequence, the frequency and severity of symptoms of </w:t>
      </w:r>
      <w:r w:rsidR="00C63E55">
        <w:t>CSU</w:t>
      </w:r>
      <w:r w:rsidR="00C63E55" w:rsidRPr="00254BEE">
        <w:t xml:space="preserve"> </w:t>
      </w:r>
      <w:r w:rsidRPr="00254BEE">
        <w:t xml:space="preserve">are lessened. Another hypothesis is that lowering circulating free IgE levels leads to a rapid and non-specific </w:t>
      </w:r>
      <w:r w:rsidR="003E2029" w:rsidRPr="00254BEE">
        <w:t>desensiti</w:t>
      </w:r>
      <w:r w:rsidR="003E2029">
        <w:t>s</w:t>
      </w:r>
      <w:r w:rsidR="003E2029" w:rsidRPr="00254BEE">
        <w:t xml:space="preserve">ation </w:t>
      </w:r>
      <w:r w:rsidRPr="00254BEE">
        <w:t>of cutaneous mast cells. Down-regulation of FcεRI may help to sustain the response.</w:t>
      </w:r>
    </w:p>
    <w:p w14:paraId="25662DBA" w14:textId="0D2E5255" w:rsidR="00CA7D2C" w:rsidRPr="00254BEE" w:rsidRDefault="00CA7D2C" w:rsidP="00CA7D2C">
      <w:pPr>
        <w:pStyle w:val="Text"/>
        <w:rPr>
          <w:szCs w:val="24"/>
        </w:rPr>
      </w:pPr>
      <w:r w:rsidRPr="00254BEE">
        <w:t xml:space="preserve">In clinical studies in </w:t>
      </w:r>
      <w:r w:rsidR="00C63E55">
        <w:t>CSU</w:t>
      </w:r>
      <w:r w:rsidR="00C63E55" w:rsidRPr="00254BEE">
        <w:t xml:space="preserve"> </w:t>
      </w:r>
      <w:r w:rsidRPr="00254BEE">
        <w:t xml:space="preserve">patients, omalizumab treatment led to a dose-dependent reduction of free IgE and an increase of total IgE levels in serum, similar to the observations in allergic asthma patients. Maximum suppression of free IgE was observed 3 days after the first subcutaneous dose. After repeated dosing once every 4 weeks, pre-dose serum free IgE levels remained stable between 12 and 24 weeks of treatment. Total IgE levels in serum increased after the first dose due to the formation of omalizumab:IgE complexes which have a slower elimination rate compared with free IgE. After repeated dosing once every 4 weeks at 75 mg to 300 mg, average predose serum total IgE levels at week 12 were two-to three-fold higher compared with pre-treatment levels, and remained stable between 12 and 24 weeks of </w:t>
      </w:r>
      <w:r w:rsidRPr="00254BEE">
        <w:lastRenderedPageBreak/>
        <w:t>treatment.</w:t>
      </w:r>
      <w:r w:rsidRPr="00254BEE">
        <w:rPr>
          <w:sz w:val="20"/>
        </w:rPr>
        <w:t xml:space="preserve"> </w:t>
      </w:r>
      <w:r w:rsidRPr="00254BEE">
        <w:t>After discontinuation of Xolair, free IgE levels increased and total IgE levels decreased towards pre-treatment levels over a 16-week treatment-free follow-up period.</w:t>
      </w:r>
    </w:p>
    <w:p w14:paraId="5BF4ED05" w14:textId="77777777" w:rsidR="00CA7D2C" w:rsidRPr="00254BEE" w:rsidRDefault="00CA7D2C" w:rsidP="00286336">
      <w:pPr>
        <w:rPr>
          <w:b/>
          <w:color w:val="000000" w:themeColor="text1"/>
          <w:u w:val="single"/>
        </w:rPr>
      </w:pPr>
    </w:p>
    <w:p w14:paraId="5E35B859" w14:textId="77777777" w:rsidR="00CA7D2C" w:rsidRPr="00254BEE" w:rsidRDefault="00CA7D2C" w:rsidP="00286336">
      <w:pPr>
        <w:rPr>
          <w:b/>
          <w:color w:val="000000" w:themeColor="text1"/>
          <w:u w:val="single"/>
        </w:rPr>
      </w:pPr>
    </w:p>
    <w:p w14:paraId="4DEE1EE0" w14:textId="77777777" w:rsidR="00D8347D" w:rsidRPr="00254BEE" w:rsidRDefault="00DA372F" w:rsidP="00286336">
      <w:pPr>
        <w:rPr>
          <w:b/>
          <w:color w:val="000000" w:themeColor="text1"/>
          <w:u w:val="single"/>
        </w:rPr>
      </w:pPr>
      <w:r w:rsidRPr="00254BEE">
        <w:rPr>
          <w:b/>
          <w:color w:val="000000" w:themeColor="text1"/>
          <w:u w:val="single"/>
        </w:rPr>
        <w:t>Pharmacokinetics</w:t>
      </w:r>
    </w:p>
    <w:p w14:paraId="43234A78" w14:textId="77777777" w:rsidR="0099192C" w:rsidRPr="00254BEE" w:rsidRDefault="0099192C" w:rsidP="0099192C">
      <w:pPr>
        <w:pStyle w:val="Text"/>
        <w:rPr>
          <w:b/>
          <w:bCs/>
          <w:szCs w:val="24"/>
        </w:rPr>
      </w:pPr>
      <w:r w:rsidRPr="00254BEE">
        <w:rPr>
          <w:b/>
          <w:bCs/>
          <w:szCs w:val="24"/>
        </w:rPr>
        <w:t>General characteristics</w:t>
      </w:r>
    </w:p>
    <w:p w14:paraId="3BECC84B" w14:textId="77777777" w:rsidR="0099192C" w:rsidRPr="00254BEE" w:rsidRDefault="0099192C" w:rsidP="00AD5636">
      <w:pPr>
        <w:pStyle w:val="Text"/>
        <w:rPr>
          <w:b/>
        </w:rPr>
      </w:pPr>
      <w:r w:rsidRPr="00254BEE">
        <w:rPr>
          <w:b/>
        </w:rPr>
        <w:t>Absorption</w:t>
      </w:r>
    </w:p>
    <w:p w14:paraId="05CCB1E7" w14:textId="4519455E" w:rsidR="00792861" w:rsidRPr="00254BEE" w:rsidRDefault="00A914CD" w:rsidP="00AD5636">
      <w:pPr>
        <w:pStyle w:val="Text"/>
        <w:rPr>
          <w:b/>
        </w:rPr>
      </w:pPr>
      <w:r w:rsidRPr="00254BEE">
        <w:rPr>
          <w:color w:val="000000" w:themeColor="text1"/>
        </w:rPr>
        <w:t xml:space="preserve">Administration of Xolair manufactured as a </w:t>
      </w:r>
      <w:r w:rsidR="00690BA9" w:rsidRPr="00254BEE">
        <w:rPr>
          <w:color w:val="000000" w:themeColor="text1"/>
        </w:rPr>
        <w:t>lyophili</w:t>
      </w:r>
      <w:r w:rsidR="00690BA9">
        <w:rPr>
          <w:color w:val="000000" w:themeColor="text1"/>
        </w:rPr>
        <w:t>s</w:t>
      </w:r>
      <w:r w:rsidR="00690BA9" w:rsidRPr="00254BEE">
        <w:rPr>
          <w:color w:val="000000" w:themeColor="text1"/>
        </w:rPr>
        <w:t xml:space="preserve">ed </w:t>
      </w:r>
      <w:r w:rsidRPr="00254BEE">
        <w:rPr>
          <w:color w:val="000000" w:themeColor="text1"/>
        </w:rPr>
        <w:t>or liquid formulation resulted in similar serum concentration-time profiles of omalizumab</w:t>
      </w:r>
      <w:r w:rsidR="00396D2D" w:rsidRPr="00254BEE">
        <w:rPr>
          <w:color w:val="000000" w:themeColor="text1"/>
        </w:rPr>
        <w:t>.</w:t>
      </w:r>
    </w:p>
    <w:p w14:paraId="18D1976E" w14:textId="77777777" w:rsidR="009F3B38" w:rsidRPr="00254BEE" w:rsidRDefault="0099192C" w:rsidP="00AD5636">
      <w:pPr>
        <w:pStyle w:val="Text"/>
        <w:rPr>
          <w:i/>
        </w:rPr>
      </w:pPr>
      <w:r w:rsidRPr="00254BEE">
        <w:rPr>
          <w:b/>
        </w:rPr>
        <w:t>Distribution</w:t>
      </w:r>
    </w:p>
    <w:p w14:paraId="3BAB0664" w14:textId="77777777" w:rsidR="0003318E" w:rsidRPr="00254BEE" w:rsidRDefault="009F3B38" w:rsidP="0003318E">
      <w:pPr>
        <w:pStyle w:val="Text"/>
        <w:spacing w:after="120"/>
      </w:pPr>
      <w:r w:rsidRPr="00254BEE">
        <w:rPr>
          <w:i/>
          <w:color w:val="000000" w:themeColor="text1"/>
        </w:rPr>
        <w:t>In vitro</w:t>
      </w:r>
      <w:r w:rsidRPr="00254BEE">
        <w:rPr>
          <w:color w:val="000000" w:themeColor="text1"/>
        </w:rPr>
        <w:t xml:space="preserve">, omalizumab forms complexes of limited size with IgE.  The composition and molecular weight of the complexes are dependent on the molar ratio of omalizumab to IgE.  Precipitating complexes and complexes larger than 1 million molecular weight were not observed </w:t>
      </w:r>
      <w:r w:rsidRPr="00254BEE">
        <w:rPr>
          <w:i/>
          <w:color w:val="000000" w:themeColor="text1"/>
        </w:rPr>
        <w:t>in vitro</w:t>
      </w:r>
      <w:r w:rsidRPr="00254BEE">
        <w:rPr>
          <w:color w:val="000000" w:themeColor="text1"/>
        </w:rPr>
        <w:t xml:space="preserve">. Complexes formed </w:t>
      </w:r>
      <w:r w:rsidRPr="00254BEE">
        <w:rPr>
          <w:i/>
          <w:color w:val="000000" w:themeColor="text1"/>
        </w:rPr>
        <w:t>in vitro</w:t>
      </w:r>
      <w:r w:rsidRPr="00254BEE">
        <w:rPr>
          <w:color w:val="000000" w:themeColor="text1"/>
        </w:rPr>
        <w:t xml:space="preserve"> were similar to those studied </w:t>
      </w:r>
      <w:r w:rsidRPr="00254BEE">
        <w:rPr>
          <w:i/>
          <w:color w:val="000000" w:themeColor="text1"/>
        </w:rPr>
        <w:t>in vivo</w:t>
      </w:r>
      <w:r w:rsidRPr="00254BEE">
        <w:rPr>
          <w:color w:val="000000" w:themeColor="text1"/>
        </w:rPr>
        <w:t xml:space="preserve">.  Tissue distribution studies in cynomolgus monkeys showed no specific uptake of </w:t>
      </w:r>
      <w:r w:rsidRPr="00254BEE">
        <w:rPr>
          <w:color w:val="000000" w:themeColor="text1"/>
          <w:vertAlign w:val="superscript"/>
        </w:rPr>
        <w:t>125</w:t>
      </w:r>
      <w:r w:rsidRPr="00254BEE">
        <w:rPr>
          <w:color w:val="000000" w:themeColor="text1"/>
        </w:rPr>
        <w:t>I-omalizumab by any organ or tissue.</w:t>
      </w:r>
    </w:p>
    <w:p w14:paraId="2B210358" w14:textId="77777777" w:rsidR="009F3B38" w:rsidRPr="00254BEE" w:rsidRDefault="009F3B38" w:rsidP="0003318E">
      <w:pPr>
        <w:pStyle w:val="Heading4"/>
        <w:spacing w:before="120" w:after="120"/>
        <w:rPr>
          <w:rFonts w:ascii="Times New Roman" w:hAnsi="Times New Roman"/>
          <w:color w:val="000000" w:themeColor="text1"/>
          <w:sz w:val="24"/>
        </w:rPr>
      </w:pPr>
      <w:r w:rsidRPr="00254BEE">
        <w:rPr>
          <w:rFonts w:ascii="Times New Roman" w:hAnsi="Times New Roman"/>
          <w:color w:val="000000" w:themeColor="text1"/>
          <w:sz w:val="24"/>
        </w:rPr>
        <w:t>Biotransformation/Metabolism:</w:t>
      </w:r>
    </w:p>
    <w:p w14:paraId="2C8A18B8" w14:textId="77777777" w:rsidR="009F3B38" w:rsidRPr="00254BEE" w:rsidRDefault="009F3B38" w:rsidP="0003318E">
      <w:pPr>
        <w:spacing w:before="120" w:after="120"/>
        <w:rPr>
          <w:color w:val="000000" w:themeColor="text1"/>
        </w:rPr>
      </w:pPr>
      <w:r w:rsidRPr="00254BEE">
        <w:rPr>
          <w:color w:val="000000" w:themeColor="text1"/>
        </w:rPr>
        <w:t xml:space="preserve">No circulating metabolites were detected after intravenous administration of </w:t>
      </w:r>
      <w:r w:rsidRPr="00254BEE">
        <w:rPr>
          <w:color w:val="000000" w:themeColor="text1"/>
          <w:vertAlign w:val="superscript"/>
        </w:rPr>
        <w:t>125</w:t>
      </w:r>
      <w:r w:rsidRPr="00254BEE">
        <w:rPr>
          <w:color w:val="000000" w:themeColor="text1"/>
        </w:rPr>
        <w:t>I-omalizumab to cynomolgus monkeys.</w:t>
      </w:r>
    </w:p>
    <w:p w14:paraId="48E304D7" w14:textId="77777777" w:rsidR="0099192C" w:rsidRPr="00254BEE" w:rsidRDefault="0099192C" w:rsidP="0003318E">
      <w:pPr>
        <w:pStyle w:val="Text"/>
        <w:spacing w:after="120"/>
        <w:rPr>
          <w:b/>
        </w:rPr>
      </w:pPr>
      <w:r w:rsidRPr="00254BEE">
        <w:rPr>
          <w:b/>
        </w:rPr>
        <w:t>Elimination</w:t>
      </w:r>
    </w:p>
    <w:p w14:paraId="483D7636" w14:textId="77777777" w:rsidR="00523014" w:rsidRPr="00254BEE" w:rsidRDefault="00523014" w:rsidP="0003318E">
      <w:pPr>
        <w:spacing w:before="120"/>
        <w:rPr>
          <w:color w:val="000000" w:themeColor="text1"/>
        </w:rPr>
      </w:pPr>
      <w:r w:rsidRPr="00254BEE">
        <w:rPr>
          <w:color w:val="000000" w:themeColor="text1"/>
        </w:rPr>
        <w:t>Since omalizumab is a recombinant humanised IgG</w:t>
      </w:r>
      <w:r w:rsidRPr="00254BEE">
        <w:rPr>
          <w:color w:val="000000" w:themeColor="text1"/>
          <w:vertAlign w:val="subscript"/>
        </w:rPr>
        <w:t>1</w:t>
      </w:r>
      <w:r w:rsidRPr="00254BEE">
        <w:rPr>
          <w:color w:val="000000" w:themeColor="text1"/>
        </w:rPr>
        <w:t>, its mechanism of clearance from the serum involves IgG clearance processes as well as clearance via specific binding and complex formation with its target ligand, free serum IgE.  In studies in mice and monkeys, the omalizumab:IgE complexes were eliminated by interactions with Fc</w:t>
      </w:r>
      <w:r w:rsidRPr="00254BEE">
        <w:rPr>
          <w:color w:val="000000" w:themeColor="text1"/>
          <w:vertAlign w:val="subscript"/>
        </w:rPr>
        <w:sym w:font="Symbol" w:char="F0A1"/>
      </w:r>
      <w:r w:rsidRPr="00254BEE">
        <w:rPr>
          <w:color w:val="000000" w:themeColor="text1"/>
        </w:rPr>
        <w:t xml:space="preserve"> receptors within the liver and the reticuloendothelial system, at rates which were generally </w:t>
      </w:r>
      <w:r w:rsidRPr="00254BEE">
        <w:t>faster than IgG clearance.</w:t>
      </w:r>
    </w:p>
    <w:p w14:paraId="78ECC1BE" w14:textId="77777777" w:rsidR="00975113" w:rsidRPr="00254BEE" w:rsidRDefault="00975113" w:rsidP="00975113">
      <w:pPr>
        <w:rPr>
          <w:color w:val="000000" w:themeColor="text1"/>
        </w:rPr>
      </w:pPr>
    </w:p>
    <w:p w14:paraId="2DD184D8" w14:textId="77777777" w:rsidR="0099192C" w:rsidRPr="00254BEE" w:rsidRDefault="0099192C" w:rsidP="0099192C">
      <w:pPr>
        <w:pStyle w:val="Text"/>
      </w:pPr>
    </w:p>
    <w:p w14:paraId="59E21ED2" w14:textId="77777777" w:rsidR="00D8347D" w:rsidRPr="00254BEE" w:rsidRDefault="003E4BDD" w:rsidP="00CD5B16">
      <w:pPr>
        <w:spacing w:after="120"/>
        <w:rPr>
          <w:b/>
          <w:color w:val="000000" w:themeColor="text1"/>
          <w:u w:val="single"/>
        </w:rPr>
      </w:pPr>
      <w:r w:rsidRPr="00254BEE">
        <w:rPr>
          <w:b/>
          <w:color w:val="000000" w:themeColor="text1"/>
          <w:u w:val="single"/>
        </w:rPr>
        <w:t xml:space="preserve">Patients with Allergic Asthma </w:t>
      </w:r>
      <w:r w:rsidR="00975113" w:rsidRPr="00254BEE">
        <w:rPr>
          <w:b/>
          <w:color w:val="000000" w:themeColor="text1"/>
          <w:u w:val="single"/>
        </w:rPr>
        <w:t>and seasonal allergic rhinitis patients</w:t>
      </w:r>
    </w:p>
    <w:p w14:paraId="52C53BA6" w14:textId="77777777" w:rsidR="00D8347D" w:rsidRPr="00254BEE" w:rsidRDefault="00DA372F" w:rsidP="00CD5B16">
      <w:pPr>
        <w:spacing w:after="120"/>
        <w:rPr>
          <w:color w:val="000000" w:themeColor="text1"/>
        </w:rPr>
      </w:pPr>
      <w:r w:rsidRPr="00254BEE">
        <w:rPr>
          <w:b/>
          <w:color w:val="000000" w:themeColor="text1"/>
        </w:rPr>
        <w:t>Absorption:</w:t>
      </w:r>
    </w:p>
    <w:p w14:paraId="738E3594" w14:textId="77777777" w:rsidR="00D8347D" w:rsidRPr="00254BEE" w:rsidRDefault="00DA372F" w:rsidP="0003318E">
      <w:pPr>
        <w:spacing w:before="120" w:after="120"/>
      </w:pPr>
      <w:r w:rsidRPr="00254BEE">
        <w:rPr>
          <w:color w:val="000000" w:themeColor="text1"/>
        </w:rPr>
        <w:t xml:space="preserve">Following single, subcutaneous bolus administration, omalizumab is absorbed slowly, reaching mean peak </w:t>
      </w:r>
      <w:r w:rsidR="00523014" w:rsidRPr="00254BEE">
        <w:rPr>
          <w:color w:val="000000" w:themeColor="text1"/>
        </w:rPr>
        <w:t xml:space="preserve">serum </w:t>
      </w:r>
      <w:r w:rsidRPr="00254BEE">
        <w:rPr>
          <w:color w:val="000000" w:themeColor="text1"/>
        </w:rPr>
        <w:t>concentrations after 6 to 10 days.  Although not precisely defined, the mean absolute bioavailability after subcutaneous administration in humans is estimated to be approximately 53 - 71%.</w:t>
      </w:r>
    </w:p>
    <w:p w14:paraId="31AA6CA5" w14:textId="77777777" w:rsidR="00D8347D" w:rsidRPr="00254BEE" w:rsidRDefault="00DA372F" w:rsidP="0003318E">
      <w:pPr>
        <w:spacing w:before="120" w:after="120"/>
        <w:rPr>
          <w:color w:val="000000" w:themeColor="text1"/>
        </w:rPr>
      </w:pPr>
      <w:r w:rsidRPr="00254BEE">
        <w:rPr>
          <w:b/>
          <w:color w:val="000000" w:themeColor="text1"/>
        </w:rPr>
        <w:t>Distribution:</w:t>
      </w:r>
    </w:p>
    <w:p w14:paraId="7216D5C6" w14:textId="77777777" w:rsidR="00D8347D" w:rsidRPr="00254BEE" w:rsidRDefault="00DA372F" w:rsidP="0003318E">
      <w:pPr>
        <w:spacing w:before="120" w:after="120"/>
      </w:pPr>
      <w:r w:rsidRPr="00254BEE">
        <w:rPr>
          <w:color w:val="000000" w:themeColor="text1"/>
        </w:rPr>
        <w:t>Distribution volumes were 110 ± 14 mL/kg and typical of distribution volumes seen with large macromolecules.</w:t>
      </w:r>
    </w:p>
    <w:p w14:paraId="7113F2FB" w14:textId="77777777" w:rsidR="00D8347D" w:rsidRPr="00254BEE" w:rsidRDefault="00DA372F" w:rsidP="0003318E">
      <w:pPr>
        <w:spacing w:before="120" w:after="120"/>
        <w:rPr>
          <w:color w:val="000000" w:themeColor="text1"/>
        </w:rPr>
      </w:pPr>
      <w:r w:rsidRPr="00254BEE">
        <w:rPr>
          <w:b/>
          <w:color w:val="000000" w:themeColor="text1"/>
        </w:rPr>
        <w:t>Elimination:</w:t>
      </w:r>
    </w:p>
    <w:p w14:paraId="255D704F" w14:textId="77777777" w:rsidR="00523014" w:rsidRPr="00254BEE" w:rsidRDefault="00DA372F" w:rsidP="00AD5636">
      <w:pPr>
        <w:spacing w:after="120"/>
        <w:rPr>
          <w:b/>
          <w:color w:val="000000" w:themeColor="text1"/>
        </w:rPr>
      </w:pPr>
      <w:r w:rsidRPr="00254BEE">
        <w:rPr>
          <w:color w:val="000000" w:themeColor="text1"/>
        </w:rPr>
        <w:t xml:space="preserve">Omalizumab has a long serum half-life (mean 22 </w:t>
      </w:r>
      <w:r w:rsidRPr="00254BEE">
        <w:rPr>
          <w:color w:val="000000" w:themeColor="text1"/>
          <w:u w:val="single"/>
        </w:rPr>
        <w:t>+</w:t>
      </w:r>
      <w:r w:rsidRPr="00254BEE">
        <w:rPr>
          <w:color w:val="000000" w:themeColor="text1"/>
        </w:rPr>
        <w:t xml:space="preserve"> 8.2 days).  The long half-life is characteristic of IgG class immunoglobulins and a result of IgG recycling via its salvage receptor (FcRn).  At the doses recommended for therapeutic use, average clearance is expected to represent dominantly IgG clearance and to be relatively slow (2.27-4.12 mL/kg/day).</w:t>
      </w:r>
    </w:p>
    <w:p w14:paraId="0CAA5A8C" w14:textId="77777777" w:rsidR="00523014" w:rsidRPr="00254BEE" w:rsidRDefault="00523014" w:rsidP="0003318E">
      <w:pPr>
        <w:spacing w:before="120" w:after="120"/>
        <w:rPr>
          <w:b/>
          <w:color w:val="000000" w:themeColor="text1"/>
        </w:rPr>
      </w:pPr>
      <w:r w:rsidRPr="00254BEE">
        <w:rPr>
          <w:b/>
          <w:color w:val="000000" w:themeColor="text1"/>
          <w:szCs w:val="24"/>
        </w:rPr>
        <w:lastRenderedPageBreak/>
        <w:t>Age, Gender, Race</w:t>
      </w:r>
    </w:p>
    <w:p w14:paraId="7E606A26" w14:textId="77777777" w:rsidR="00523014" w:rsidRPr="00254BEE" w:rsidRDefault="00523014" w:rsidP="0003318E">
      <w:pPr>
        <w:spacing w:before="120" w:after="120"/>
        <w:rPr>
          <w:color w:val="000000" w:themeColor="text1"/>
        </w:rPr>
      </w:pPr>
      <w:r w:rsidRPr="00254BEE">
        <w:rPr>
          <w:color w:val="000000" w:themeColor="text1"/>
        </w:rPr>
        <w:t xml:space="preserve">There are no clinically important differences in pharmacokinetic and pharmacodynamic data within the </w:t>
      </w:r>
      <w:r w:rsidR="0003318E" w:rsidRPr="00254BEE">
        <w:rPr>
          <w:color w:val="000000" w:themeColor="text1"/>
        </w:rPr>
        <w:t>6</w:t>
      </w:r>
      <w:r w:rsidRPr="00254BEE">
        <w:rPr>
          <w:color w:val="000000" w:themeColor="text1"/>
        </w:rPr>
        <w:t>-75 age range or by gender or race.</w:t>
      </w:r>
    </w:p>
    <w:p w14:paraId="53D523F9" w14:textId="77777777" w:rsidR="00523014" w:rsidRPr="00254BEE" w:rsidRDefault="00523014" w:rsidP="00286336">
      <w:pPr>
        <w:rPr>
          <w:b/>
          <w:color w:val="000000" w:themeColor="text1"/>
        </w:rPr>
      </w:pPr>
    </w:p>
    <w:p w14:paraId="32D1DE26" w14:textId="5A0C5B40" w:rsidR="009047A1" w:rsidRPr="00254BEE" w:rsidRDefault="009047A1" w:rsidP="006C2DF7">
      <w:pPr>
        <w:spacing w:after="120"/>
        <w:rPr>
          <w:b/>
          <w:color w:val="000000" w:themeColor="text1"/>
          <w:u w:val="single"/>
        </w:rPr>
      </w:pPr>
      <w:r w:rsidRPr="00254BEE">
        <w:rPr>
          <w:b/>
          <w:color w:val="000000" w:themeColor="text1"/>
          <w:u w:val="single"/>
        </w:rPr>
        <w:t xml:space="preserve">Patients with Chronic </w:t>
      </w:r>
      <w:r w:rsidR="00690BA9">
        <w:rPr>
          <w:b/>
          <w:color w:val="000000" w:themeColor="text1"/>
          <w:u w:val="single"/>
        </w:rPr>
        <w:t>Spontaneous</w:t>
      </w:r>
      <w:r w:rsidR="00690BA9" w:rsidRPr="00254BEE">
        <w:rPr>
          <w:b/>
          <w:color w:val="000000" w:themeColor="text1"/>
          <w:u w:val="single"/>
        </w:rPr>
        <w:t xml:space="preserve"> </w:t>
      </w:r>
      <w:r w:rsidRPr="00254BEE">
        <w:rPr>
          <w:b/>
          <w:color w:val="000000" w:themeColor="text1"/>
          <w:u w:val="single"/>
        </w:rPr>
        <w:t>Urticaria (C</w:t>
      </w:r>
      <w:r w:rsidR="00690BA9">
        <w:rPr>
          <w:b/>
          <w:color w:val="000000" w:themeColor="text1"/>
          <w:u w:val="single"/>
        </w:rPr>
        <w:t>S</w:t>
      </w:r>
      <w:r w:rsidRPr="00254BEE">
        <w:rPr>
          <w:b/>
          <w:color w:val="000000" w:themeColor="text1"/>
          <w:u w:val="single"/>
        </w:rPr>
        <w:t>U)</w:t>
      </w:r>
    </w:p>
    <w:p w14:paraId="384437B7" w14:textId="77777777" w:rsidR="009047A1" w:rsidRPr="00254BEE" w:rsidRDefault="009047A1" w:rsidP="009047A1">
      <w:pPr>
        <w:pStyle w:val="Text"/>
        <w:rPr>
          <w:b/>
        </w:rPr>
      </w:pPr>
      <w:r w:rsidRPr="00254BEE">
        <w:rPr>
          <w:b/>
        </w:rPr>
        <w:t>Absorption</w:t>
      </w:r>
    </w:p>
    <w:p w14:paraId="2C1A2E24" w14:textId="27158530" w:rsidR="009047A1" w:rsidRPr="00254BEE" w:rsidRDefault="009047A1" w:rsidP="009047A1">
      <w:pPr>
        <w:pStyle w:val="Text"/>
      </w:pPr>
      <w:r w:rsidRPr="00254BEE">
        <w:t>Following a single subcutaneous dose in adult and adolescent patients with C</w:t>
      </w:r>
      <w:r w:rsidR="00690BA9">
        <w:t>S</w:t>
      </w:r>
      <w:r w:rsidRPr="00254BEE">
        <w:t>U, omalizumab was absorbed slowly, reaching peak serum concentrations after an average of 6 to 8 days.</w:t>
      </w:r>
    </w:p>
    <w:p w14:paraId="0368D993" w14:textId="7FA33B3B" w:rsidR="009047A1" w:rsidRPr="00254BEE" w:rsidRDefault="009047A1" w:rsidP="009047A1">
      <w:pPr>
        <w:pStyle w:val="Text"/>
        <w:rPr>
          <w:color w:val="0000FF"/>
        </w:rPr>
      </w:pPr>
      <w:r w:rsidRPr="00254BEE">
        <w:t xml:space="preserve">In patients with </w:t>
      </w:r>
      <w:r w:rsidR="00690BA9" w:rsidRPr="00254BEE">
        <w:t>C</w:t>
      </w:r>
      <w:r w:rsidR="00690BA9">
        <w:t>S</w:t>
      </w:r>
      <w:r w:rsidR="00690BA9" w:rsidRPr="00254BEE">
        <w:t>U</w:t>
      </w:r>
      <w:r w:rsidRPr="00254BEE">
        <w:t>, o</w:t>
      </w:r>
      <w:r w:rsidRPr="00254BEE">
        <w:rPr>
          <w:lang w:bidi="hi-IN"/>
        </w:rPr>
        <w:t xml:space="preserve">malizumab exhibited linear pharmacokinetics across the dose range of 75 mg to 600 mg given as a single subcutaneous dose. Following doses of </w:t>
      </w:r>
      <w:r w:rsidRPr="00254BEE">
        <w:t>75 mg, 150 mg or 300 mg every 4 weeks, trough serum concentrations of omalizumab increased proportionally with the dose level</w:t>
      </w:r>
      <w:r w:rsidRPr="00254BEE">
        <w:rPr>
          <w:color w:val="0000FF"/>
        </w:rPr>
        <w:t>.</w:t>
      </w:r>
    </w:p>
    <w:p w14:paraId="686F7C3F" w14:textId="77777777" w:rsidR="009047A1" w:rsidRPr="00254BEE" w:rsidRDefault="009047A1" w:rsidP="009047A1">
      <w:pPr>
        <w:pStyle w:val="Text"/>
        <w:rPr>
          <w:b/>
        </w:rPr>
      </w:pPr>
      <w:r w:rsidRPr="00254BEE">
        <w:rPr>
          <w:b/>
        </w:rPr>
        <w:t>Distribution</w:t>
      </w:r>
    </w:p>
    <w:p w14:paraId="17FE5E4C" w14:textId="34243A80" w:rsidR="009047A1" w:rsidRPr="00254BEE" w:rsidRDefault="009047A1" w:rsidP="009047A1">
      <w:pPr>
        <w:pStyle w:val="Text"/>
      </w:pPr>
      <w:r w:rsidRPr="00254BEE">
        <w:t xml:space="preserve">Based on population pharmacokinetic, distribution of omalizumab in </w:t>
      </w:r>
      <w:r w:rsidR="00690BA9" w:rsidRPr="00254BEE">
        <w:t>C</w:t>
      </w:r>
      <w:r w:rsidR="00690BA9">
        <w:t>S</w:t>
      </w:r>
      <w:r w:rsidR="00690BA9" w:rsidRPr="00254BEE">
        <w:t xml:space="preserve">U </w:t>
      </w:r>
      <w:r w:rsidRPr="00254BEE">
        <w:t>patients was similar to that in patients with allergic asthma</w:t>
      </w:r>
      <w:r w:rsidRPr="00254BEE">
        <w:rPr>
          <w:color w:val="0000FF"/>
        </w:rPr>
        <w:t>.</w:t>
      </w:r>
    </w:p>
    <w:p w14:paraId="1474422F" w14:textId="77777777" w:rsidR="009047A1" w:rsidRPr="00254BEE" w:rsidRDefault="009047A1" w:rsidP="009047A1">
      <w:pPr>
        <w:pStyle w:val="Text"/>
        <w:rPr>
          <w:b/>
        </w:rPr>
      </w:pPr>
      <w:r w:rsidRPr="00254BEE">
        <w:rPr>
          <w:b/>
        </w:rPr>
        <w:t>Elimination</w:t>
      </w:r>
    </w:p>
    <w:p w14:paraId="4B1BBDDF" w14:textId="6CE501E9" w:rsidR="009047A1" w:rsidRPr="00254BEE" w:rsidRDefault="009047A1" w:rsidP="009047A1">
      <w:pPr>
        <w:pStyle w:val="Text"/>
      </w:pPr>
      <w:r w:rsidRPr="00254BEE">
        <w:t xml:space="preserve">In patients with </w:t>
      </w:r>
      <w:r w:rsidR="00690BA9" w:rsidRPr="00254BEE">
        <w:t>C</w:t>
      </w:r>
      <w:r w:rsidR="00690BA9">
        <w:t>S</w:t>
      </w:r>
      <w:r w:rsidR="00690BA9" w:rsidRPr="00254BEE">
        <w:t>U</w:t>
      </w:r>
      <w:r w:rsidRPr="00254BEE">
        <w:t>, based on population pharmacokinetic simulations, omalizumab serum elimination half-life at steady state averaged 24 days and apparent clearance at steady state averaged 240 mL/day (corresponding to 3.0 mL/kg/day for an 80 kg patient)</w:t>
      </w:r>
      <w:r w:rsidRPr="00254BEE">
        <w:rPr>
          <w:color w:val="0000FF"/>
        </w:rPr>
        <w:t>.</w:t>
      </w:r>
    </w:p>
    <w:p w14:paraId="024FE1B7" w14:textId="77777777" w:rsidR="009047A1" w:rsidRPr="00254BEE" w:rsidRDefault="009047A1" w:rsidP="006C2DF7">
      <w:pPr>
        <w:pStyle w:val="Text"/>
        <w:keepNext/>
        <w:rPr>
          <w:b/>
        </w:rPr>
      </w:pPr>
      <w:r w:rsidRPr="00254BEE">
        <w:rPr>
          <w:b/>
        </w:rPr>
        <w:t>Age, Race/Ethnicity, Gender, Body Weight, Body Mass Index, Baseline IgE, anti-Fc</w:t>
      </w:r>
      <w:r w:rsidRPr="00254BEE">
        <w:rPr>
          <w:b/>
        </w:rPr>
        <w:sym w:font="Symbol" w:char="F065"/>
      </w:r>
      <w:r w:rsidRPr="00254BEE">
        <w:rPr>
          <w:b/>
        </w:rPr>
        <w:t xml:space="preserve">RI autoantibodies, co-medications </w:t>
      </w:r>
    </w:p>
    <w:p w14:paraId="4D92EAD1" w14:textId="66669DD3" w:rsidR="009047A1" w:rsidRPr="00254BEE" w:rsidRDefault="009047A1" w:rsidP="006C2DF7">
      <w:pPr>
        <w:spacing w:before="240"/>
      </w:pPr>
      <w:r w:rsidRPr="00254BEE">
        <w:t xml:space="preserve">The effects of demographic covariates and other factors on omalizumab exposure were evaluated using population pharmacokinetics. In addition, covariate effects were evaluated by </w:t>
      </w:r>
      <w:r w:rsidR="003E2029" w:rsidRPr="00254BEE">
        <w:t>analy</w:t>
      </w:r>
      <w:r w:rsidR="003E2029">
        <w:t>s</w:t>
      </w:r>
      <w:r w:rsidR="003E2029" w:rsidRPr="00254BEE">
        <w:t xml:space="preserve">ing </w:t>
      </w:r>
      <w:r w:rsidRPr="00254BEE">
        <w:t xml:space="preserve">the relationship between omalizumab concentrations and clinical responses. These analyses suggest that no dose adjustments are necessary in patients with </w:t>
      </w:r>
      <w:r w:rsidR="00690BA9" w:rsidRPr="00254BEE">
        <w:t>C</w:t>
      </w:r>
      <w:r w:rsidR="00690BA9">
        <w:t>S</w:t>
      </w:r>
      <w:r w:rsidR="00690BA9" w:rsidRPr="00254BEE">
        <w:t xml:space="preserve">U </w:t>
      </w:r>
      <w:r w:rsidRPr="00254BEE">
        <w:t>for age (12 to 75 years), race/ethnicity, gender, body weight, body mass index, baseline IgE, anti-Fc</w:t>
      </w:r>
      <w:r w:rsidRPr="00254BEE">
        <w:sym w:font="Symbol" w:char="F065"/>
      </w:r>
      <w:r w:rsidRPr="00254BEE">
        <w:t>RI autoantibodies or concomitant use of H2 antihistamines or leukotriene receptor antagonists (LTRAs).</w:t>
      </w:r>
    </w:p>
    <w:p w14:paraId="18473CC1" w14:textId="77777777" w:rsidR="006C2DF7" w:rsidRPr="00254BEE" w:rsidRDefault="00523014" w:rsidP="006C2DF7">
      <w:pPr>
        <w:spacing w:before="240" w:after="120"/>
        <w:rPr>
          <w:b/>
          <w:color w:val="000000" w:themeColor="text1"/>
          <w:u w:val="single"/>
        </w:rPr>
      </w:pPr>
      <w:r w:rsidRPr="00254BEE">
        <w:rPr>
          <w:b/>
          <w:color w:val="000000" w:themeColor="text1"/>
          <w:u w:val="single"/>
        </w:rPr>
        <w:t>Patients with renal and hepatic impairment</w:t>
      </w:r>
    </w:p>
    <w:p w14:paraId="7FF28702" w14:textId="77777777" w:rsidR="00523014" w:rsidRPr="00254BEE" w:rsidRDefault="00523014" w:rsidP="00523014">
      <w:pPr>
        <w:rPr>
          <w:color w:val="000000" w:themeColor="text1"/>
        </w:rPr>
      </w:pPr>
      <w:r w:rsidRPr="00254BEE">
        <w:rPr>
          <w:color w:val="000000" w:themeColor="text1"/>
        </w:rPr>
        <w:t xml:space="preserve">There are no pharmacokinetic or pharmacodynamic data in patients with renal or hepatic impairment (see </w:t>
      </w:r>
      <w:r w:rsidRPr="00254BEE">
        <w:rPr>
          <w:color w:val="000000" w:themeColor="text1"/>
          <w:szCs w:val="24"/>
        </w:rPr>
        <w:t>‘PRECAUTIONS’</w:t>
      </w:r>
      <w:r w:rsidRPr="00254BEE">
        <w:rPr>
          <w:color w:val="000000" w:themeColor="text1"/>
        </w:rPr>
        <w:t>)</w:t>
      </w:r>
      <w:r w:rsidR="00FA7544" w:rsidRPr="00254BEE">
        <w:rPr>
          <w:color w:val="000000" w:themeColor="text1"/>
        </w:rPr>
        <w:t>.</w:t>
      </w:r>
    </w:p>
    <w:p w14:paraId="16326232" w14:textId="77777777" w:rsidR="000367E4" w:rsidRPr="00254BEE" w:rsidRDefault="000367E4" w:rsidP="00286336">
      <w:pPr>
        <w:rPr>
          <w:color w:val="000000" w:themeColor="text1"/>
        </w:rPr>
      </w:pPr>
    </w:p>
    <w:p w14:paraId="25EDE56B" w14:textId="77777777" w:rsidR="00D8347D" w:rsidRPr="00254BEE" w:rsidRDefault="00DA372F" w:rsidP="00604B4E">
      <w:pPr>
        <w:spacing w:before="240" w:after="240"/>
        <w:rPr>
          <w:b/>
          <w:color w:val="000000" w:themeColor="text1"/>
          <w:sz w:val="30"/>
          <w:u w:val="single"/>
        </w:rPr>
      </w:pPr>
      <w:r w:rsidRPr="00254BEE">
        <w:rPr>
          <w:b/>
          <w:color w:val="000000" w:themeColor="text1"/>
          <w:sz w:val="30"/>
          <w:u w:val="single"/>
        </w:rPr>
        <w:t>CLINICAL TRIALS</w:t>
      </w:r>
    </w:p>
    <w:p w14:paraId="3286F7C3" w14:textId="77777777" w:rsidR="001911C6" w:rsidRPr="00254BEE" w:rsidRDefault="0003318E" w:rsidP="0003318E">
      <w:pPr>
        <w:widowControl w:val="0"/>
        <w:rPr>
          <w:b/>
          <w:szCs w:val="24"/>
        </w:rPr>
      </w:pPr>
      <w:r w:rsidRPr="00254BEE">
        <w:rPr>
          <w:b/>
          <w:szCs w:val="24"/>
        </w:rPr>
        <w:t xml:space="preserve">Allergic Asthma </w:t>
      </w:r>
    </w:p>
    <w:p w14:paraId="7EDBCF06" w14:textId="77777777" w:rsidR="001911C6" w:rsidRPr="00254BEE" w:rsidRDefault="001911C6" w:rsidP="0003318E">
      <w:pPr>
        <w:widowControl w:val="0"/>
        <w:rPr>
          <w:b/>
          <w:szCs w:val="24"/>
        </w:rPr>
      </w:pPr>
    </w:p>
    <w:p w14:paraId="51A21B8E" w14:textId="09C19533" w:rsidR="0003318E" w:rsidRPr="00254BEE" w:rsidRDefault="0003318E" w:rsidP="001911C6">
      <w:pPr>
        <w:widowControl w:val="0"/>
        <w:spacing w:after="120"/>
        <w:rPr>
          <w:b/>
          <w:szCs w:val="24"/>
        </w:rPr>
      </w:pPr>
      <w:r w:rsidRPr="00254BEE">
        <w:rPr>
          <w:b/>
          <w:szCs w:val="24"/>
        </w:rPr>
        <w:t xml:space="preserve">Adults and adolescents </w:t>
      </w:r>
      <w:r w:rsidR="007F2D76" w:rsidRPr="00254BEE">
        <w:rPr>
          <w:b/>
          <w:szCs w:val="24"/>
        </w:rPr>
        <w:t xml:space="preserve"> ≥ </w:t>
      </w:r>
      <w:r w:rsidRPr="00254BEE">
        <w:rPr>
          <w:b/>
          <w:szCs w:val="24"/>
        </w:rPr>
        <w:t xml:space="preserve"> 12 years of age</w:t>
      </w:r>
    </w:p>
    <w:p w14:paraId="5307F286" w14:textId="77777777" w:rsidR="005C09D9" w:rsidRPr="00254BEE" w:rsidRDefault="00DA372F" w:rsidP="001911C6">
      <w:pPr>
        <w:spacing w:after="120"/>
        <w:rPr>
          <w:color w:val="000000" w:themeColor="text1"/>
        </w:rPr>
      </w:pPr>
      <w:r w:rsidRPr="00254BEE">
        <w:rPr>
          <w:color w:val="000000" w:themeColor="text1"/>
        </w:rPr>
        <w:t xml:space="preserve">The efficacy and safety of Xolair were demonstrated in a 28-week pivotal, placebo-controlled study (study 2306) involving 419 severe allergic asthmatics, ages 12-79 years, who had reduced lung function (FEV1 40–80% predicted) and poor asthma symptom control despite receiving &gt;1000 micrograms of beclomethasone dipropionate (or equivalent) plus long-acting </w:t>
      </w:r>
      <w:r w:rsidRPr="00254BEE">
        <w:rPr>
          <w:color w:val="000000" w:themeColor="text1"/>
        </w:rPr>
        <w:lastRenderedPageBreak/>
        <w:t>beta-2-agonist. Eligible patients had experienced multiple asthma exacerbations requiring systemic corticosteroid treatment or had been hospitalised or attended an emergency room due to a severe asthma exacerbation in the past year despite continuous treatment with high-dose inhaled corticosteroids and long-acting beta-2-agonist. Subcutaneous Xolair or placebo were administered as add-on therapy to &gt;1000 micrograms inhaled beclomethasone dipropionate (or equivalent) plus long-acting beta2-agonist. Oral corticosteroid (22%), theophylline (27%) and anti-leukotriene (35%) maintenance therapies were allowed. In the treatment phase concomitant asthma therapy was not changed.</w:t>
      </w:r>
    </w:p>
    <w:p w14:paraId="72EFD3A5" w14:textId="77777777" w:rsidR="005C09D9" w:rsidRPr="00254BEE" w:rsidRDefault="005C09D9" w:rsidP="005C09D9">
      <w:pPr>
        <w:rPr>
          <w:color w:val="000000" w:themeColor="text1"/>
        </w:rPr>
      </w:pPr>
    </w:p>
    <w:p w14:paraId="75976064" w14:textId="77777777" w:rsidR="005C09D9" w:rsidRPr="00254BEE" w:rsidRDefault="00DA372F" w:rsidP="004D3AE9">
      <w:pPr>
        <w:rPr>
          <w:color w:val="000000" w:themeColor="text1"/>
        </w:rPr>
      </w:pPr>
      <w:r w:rsidRPr="00254BEE">
        <w:rPr>
          <w:color w:val="000000" w:themeColor="text1"/>
        </w:rPr>
        <w:t>The rate of asthma exacerbations requiring treatment with systemic corticosteroids was the primary endpoint. The exacerbation rate was 0.74 on omalizumab and 0.92 on placebo and these did not differ significantly (p=0.153), however there was a difference between groups in this baseline exacerbation rate. When the analysis was adjusted for this baseline imbalance, the exacerbation rate was 0.68 on omalizumab and 0.91 on placebo (p=0.042). This approximates to a 74% (95% CIs 55%-99%) treatment effect ratio favouring omalizumab over the 28-week treatment period. Severe exacerbations (lung function less than 60% of personal best) were halved (49 omalizumab vs 100 placebo, p=0.008) resulting in 43.9% fewer asthma-related emergency visits comprised of hospitalisations, emergency room, and unscheduled doctor visits (p=0.038). The reduction in exacerbations in omalizumab-treated patients was seen in the context of statistically significant improvements in asthma symptoms, quality of life and lung function.</w:t>
      </w:r>
    </w:p>
    <w:p w14:paraId="4B59DB7B" w14:textId="77777777" w:rsidR="005C09D9" w:rsidRPr="00254BEE" w:rsidRDefault="005C09D9" w:rsidP="005C09D9">
      <w:pPr>
        <w:rPr>
          <w:color w:val="000000" w:themeColor="text1"/>
        </w:rPr>
      </w:pPr>
    </w:p>
    <w:p w14:paraId="5145E0F6" w14:textId="77777777" w:rsidR="005C09D9" w:rsidRPr="00254BEE" w:rsidRDefault="00DA372F" w:rsidP="005C09D9">
      <w:pPr>
        <w:rPr>
          <w:color w:val="000000" w:themeColor="text1"/>
        </w:rPr>
      </w:pPr>
      <w:r w:rsidRPr="00254BEE">
        <w:rPr>
          <w:color w:val="000000" w:themeColor="text1"/>
        </w:rPr>
        <w:t>There were four large placebo-controlled supportive studies in adults and adolescents (&gt;90% meeting global criteria of severe persistent asthma) (Studies 2304, 008, 009 and 011) and one further randomised standard therapy controlled study (study IA04) which most closely matched the population in study 2306. Studies 2304, 008, 009 and IA04 used exacerbation as primary endpoint, whereas study 011 primarily evaluated inhaled corticosteroid sparing.</w:t>
      </w:r>
    </w:p>
    <w:p w14:paraId="00D43110" w14:textId="77777777" w:rsidR="005C09D9" w:rsidRPr="00254BEE" w:rsidRDefault="005C09D9" w:rsidP="005C09D9">
      <w:pPr>
        <w:pStyle w:val="Text"/>
        <w:widowControl w:val="0"/>
        <w:spacing w:before="0"/>
        <w:jc w:val="left"/>
        <w:rPr>
          <w:color w:val="000000" w:themeColor="text1"/>
        </w:rPr>
      </w:pPr>
    </w:p>
    <w:p w14:paraId="676AD14E" w14:textId="77777777" w:rsidR="005C09D9" w:rsidRPr="00254BEE" w:rsidRDefault="00DA372F" w:rsidP="005C09D9">
      <w:pPr>
        <w:pStyle w:val="Text"/>
        <w:widowControl w:val="0"/>
        <w:spacing w:before="0"/>
        <w:jc w:val="left"/>
        <w:rPr>
          <w:color w:val="000000" w:themeColor="text1"/>
        </w:rPr>
      </w:pPr>
      <w:r w:rsidRPr="00254BEE">
        <w:rPr>
          <w:color w:val="000000" w:themeColor="text1"/>
        </w:rPr>
        <w:t>In study 2304 the safety and efficacy of omalizumab were demonstrated in 405 patients with co-morbid allergic asthma and perennial allergic rhinitis. Eligible patients had both symptomatic allergic asthma and perennial allergic rhinitis. Patients were treated with omalizumab or placebo for 28 weeks as add-on therapy to ≥400 micrograms of inhaled budesonide. Inhaled long-acting beta2 agonists (39%) and nasal corticosteroids (17%) were allowed.</w:t>
      </w:r>
    </w:p>
    <w:p w14:paraId="07EC9AC5" w14:textId="77777777" w:rsidR="005C09D9" w:rsidRPr="00254BEE" w:rsidRDefault="005C09D9" w:rsidP="005C09D9">
      <w:pPr>
        <w:pStyle w:val="Text"/>
        <w:widowControl w:val="0"/>
        <w:spacing w:before="0"/>
        <w:jc w:val="left"/>
        <w:rPr>
          <w:color w:val="000000" w:themeColor="text1"/>
        </w:rPr>
      </w:pPr>
    </w:p>
    <w:p w14:paraId="1AFA390E" w14:textId="77777777" w:rsidR="005C09D9" w:rsidRPr="00254BEE" w:rsidRDefault="00DA372F" w:rsidP="005C09D9">
      <w:pPr>
        <w:pStyle w:val="Text"/>
        <w:widowControl w:val="0"/>
        <w:spacing w:before="0"/>
        <w:jc w:val="left"/>
        <w:rPr>
          <w:color w:val="000000" w:themeColor="text1"/>
        </w:rPr>
      </w:pPr>
      <w:r w:rsidRPr="00254BEE">
        <w:rPr>
          <w:color w:val="000000" w:themeColor="text1"/>
        </w:rPr>
        <w:t>The co-primary endpoints for study 2304 were the incidence of asthma exacerbations (worsening of asthma requiring systemic corticosteroids or a doubling of the patient’s baseline budesonide dose) and the proportion of patients in each treatment group with a ≥1.0 improvement from baseline at the end of the treatment phase in both asthma and rhinitis specific quality of life assessments (Juniper Quality of Life Assessment).</w:t>
      </w:r>
    </w:p>
    <w:p w14:paraId="0C6B9E7D" w14:textId="77777777" w:rsidR="005C09D9" w:rsidRPr="00254BEE" w:rsidRDefault="005C09D9" w:rsidP="005C09D9">
      <w:pPr>
        <w:pStyle w:val="Text"/>
        <w:widowControl w:val="0"/>
        <w:spacing w:before="0"/>
        <w:jc w:val="left"/>
        <w:rPr>
          <w:color w:val="000000" w:themeColor="text1"/>
        </w:rPr>
      </w:pPr>
    </w:p>
    <w:p w14:paraId="17ABD111" w14:textId="77777777" w:rsidR="005C09D9" w:rsidRPr="00254BEE" w:rsidRDefault="00DA372F" w:rsidP="005C09D9">
      <w:pPr>
        <w:pStyle w:val="Text"/>
        <w:widowControl w:val="0"/>
        <w:spacing w:before="0"/>
        <w:jc w:val="left"/>
        <w:rPr>
          <w:color w:val="000000" w:themeColor="text1"/>
        </w:rPr>
      </w:pPr>
      <w:r w:rsidRPr="00254BEE">
        <w:rPr>
          <w:color w:val="000000" w:themeColor="text1"/>
        </w:rPr>
        <w:t>Patients treated with omalizumab had a significantly lower incidence of asthma exacerbations than patients receiving placebo (20.6% omalizumab vs 30.1% placebo, p=0.02) and there was a significantly higher proportion of omalizumab-treated than placebo patients that improved by ≥1.0 points in both asthma and rhinitis specific quality of life assessments (57.7% omalizumab vs 40.6% placebo, p &lt;0.0001).</w:t>
      </w:r>
    </w:p>
    <w:p w14:paraId="358040BC" w14:textId="77777777" w:rsidR="005C09D9" w:rsidRPr="00254BEE" w:rsidRDefault="005C09D9" w:rsidP="005C09D9">
      <w:pPr>
        <w:pStyle w:val="Text"/>
        <w:widowControl w:val="0"/>
        <w:spacing w:before="0"/>
        <w:jc w:val="left"/>
        <w:rPr>
          <w:color w:val="000000" w:themeColor="text1"/>
        </w:rPr>
      </w:pPr>
    </w:p>
    <w:p w14:paraId="144031AF" w14:textId="77777777" w:rsidR="005C09D9" w:rsidRPr="00254BEE" w:rsidRDefault="00DA372F" w:rsidP="005C09D9">
      <w:pPr>
        <w:pStyle w:val="Text"/>
        <w:widowControl w:val="0"/>
        <w:spacing w:before="0"/>
        <w:jc w:val="left"/>
        <w:rPr>
          <w:color w:val="000000" w:themeColor="text1"/>
        </w:rPr>
      </w:pPr>
      <w:r w:rsidRPr="00254BEE">
        <w:rPr>
          <w:color w:val="000000" w:themeColor="text1"/>
        </w:rPr>
        <w:t xml:space="preserve">The reduction in exacerbations and improvements of quality of life in omalizumab-treated patients were seen in the context of statistically significant improvements in both rhinitis and </w:t>
      </w:r>
      <w:r w:rsidRPr="00254BEE">
        <w:rPr>
          <w:color w:val="000000" w:themeColor="text1"/>
        </w:rPr>
        <w:lastRenderedPageBreak/>
        <w:t>asthma symptoms, and lung function, compared to placebo.</w:t>
      </w:r>
    </w:p>
    <w:p w14:paraId="7DBEC1B0" w14:textId="77777777" w:rsidR="005C09D9" w:rsidRPr="00254BEE" w:rsidRDefault="005C09D9" w:rsidP="005C09D9">
      <w:pPr>
        <w:pStyle w:val="Text"/>
        <w:widowControl w:val="0"/>
        <w:spacing w:before="0"/>
        <w:jc w:val="left"/>
        <w:rPr>
          <w:color w:val="000000" w:themeColor="text1"/>
        </w:rPr>
      </w:pPr>
    </w:p>
    <w:p w14:paraId="1A198935" w14:textId="77777777" w:rsidR="005C09D9" w:rsidRPr="00254BEE" w:rsidRDefault="00DA372F" w:rsidP="00550F1B">
      <w:pPr>
        <w:pStyle w:val="Text"/>
        <w:widowControl w:val="0"/>
        <w:spacing w:before="0"/>
        <w:jc w:val="left"/>
        <w:rPr>
          <w:color w:val="000000" w:themeColor="text1"/>
        </w:rPr>
      </w:pPr>
      <w:r w:rsidRPr="00254BEE">
        <w:rPr>
          <w:color w:val="000000" w:themeColor="text1"/>
        </w:rPr>
        <w:t>In two identical 16-week studies (</w:t>
      </w:r>
      <w:r w:rsidRPr="00254BEE">
        <w:rPr>
          <w:color w:val="000000" w:themeColor="text1"/>
          <w:u w:val="single"/>
        </w:rPr>
        <w:t>008 and 009</w:t>
      </w:r>
      <w:r w:rsidRPr="00254BEE">
        <w:rPr>
          <w:color w:val="000000" w:themeColor="text1"/>
        </w:rPr>
        <w:t>), the safety and efficacy of omalizumab as add-on therapy were demonstrated in 1,071 allergic asthmatics, who were symptomatic despite treatment with inhaled corticosteroids (beclomethasone dipropionate 500 to 1,200 micrograms/day).</w:t>
      </w:r>
    </w:p>
    <w:p w14:paraId="60B16AED" w14:textId="77777777" w:rsidR="005C09D9" w:rsidRPr="00254BEE" w:rsidRDefault="005C09D9" w:rsidP="00550F1B">
      <w:pPr>
        <w:pStyle w:val="Text"/>
        <w:widowControl w:val="0"/>
        <w:spacing w:before="0"/>
        <w:jc w:val="left"/>
        <w:rPr>
          <w:color w:val="000000" w:themeColor="text1"/>
        </w:rPr>
      </w:pPr>
    </w:p>
    <w:p w14:paraId="115FFA8A" w14:textId="77777777" w:rsidR="005C09D9" w:rsidRPr="00254BEE" w:rsidRDefault="00DA372F" w:rsidP="00550F1B">
      <w:pPr>
        <w:pStyle w:val="Text"/>
        <w:widowControl w:val="0"/>
        <w:spacing w:before="0"/>
        <w:jc w:val="left"/>
        <w:rPr>
          <w:color w:val="000000" w:themeColor="text1"/>
        </w:rPr>
      </w:pPr>
      <w:r w:rsidRPr="00254BEE">
        <w:rPr>
          <w:color w:val="000000" w:themeColor="text1"/>
        </w:rPr>
        <w:t>In both trials omalizumab was superior to placebo with respect to the primary variable of asthma exacerbation (worsening of asthma requiring systemic corticosteroids or a doubling of the patient’s baseline beclomethasone dose). The number of asthma exacerbations was significantly lower in the omalizumab group (p=0.006 and p&lt;0.001 in studies </w:t>
      </w:r>
      <w:r w:rsidRPr="00254BEE">
        <w:rPr>
          <w:color w:val="000000" w:themeColor="text1"/>
          <w:u w:val="single"/>
        </w:rPr>
        <w:t>008</w:t>
      </w:r>
      <w:r w:rsidRPr="00254BEE">
        <w:rPr>
          <w:color w:val="000000" w:themeColor="text1"/>
        </w:rPr>
        <w:t xml:space="preserve"> and </w:t>
      </w:r>
      <w:r w:rsidRPr="00254BEE">
        <w:rPr>
          <w:color w:val="000000" w:themeColor="text1"/>
          <w:u w:val="single"/>
        </w:rPr>
        <w:t>009</w:t>
      </w:r>
      <w:r w:rsidRPr="00254BEE">
        <w:rPr>
          <w:color w:val="000000" w:themeColor="text1"/>
        </w:rPr>
        <w:t>, respectively). Fewer omalizumab-treated patients experienced asthma exacerbations (14.6% vs 23.3%, p=0.009 in study </w:t>
      </w:r>
      <w:r w:rsidRPr="00254BEE">
        <w:rPr>
          <w:color w:val="000000" w:themeColor="text1"/>
          <w:u w:val="single"/>
        </w:rPr>
        <w:t>008</w:t>
      </w:r>
      <w:r w:rsidRPr="00254BEE">
        <w:rPr>
          <w:color w:val="000000" w:themeColor="text1"/>
        </w:rPr>
        <w:t xml:space="preserve"> and 12.8% vs 30.5%, p&lt;0.001 in study </w:t>
      </w:r>
      <w:r w:rsidRPr="00254BEE">
        <w:rPr>
          <w:color w:val="000000" w:themeColor="text1"/>
          <w:u w:val="single"/>
        </w:rPr>
        <w:t>009</w:t>
      </w:r>
      <w:r w:rsidRPr="00254BEE">
        <w:rPr>
          <w:color w:val="000000" w:themeColor="text1"/>
        </w:rPr>
        <w:t>).</w:t>
      </w:r>
    </w:p>
    <w:p w14:paraId="2A1B3DF3" w14:textId="77777777" w:rsidR="005C09D9" w:rsidRPr="00254BEE" w:rsidRDefault="005C09D9" w:rsidP="005C09D9">
      <w:pPr>
        <w:pStyle w:val="Text"/>
        <w:widowControl w:val="0"/>
        <w:spacing w:before="0"/>
        <w:jc w:val="left"/>
        <w:rPr>
          <w:color w:val="000000" w:themeColor="text1"/>
        </w:rPr>
      </w:pPr>
    </w:p>
    <w:p w14:paraId="7224677E" w14:textId="77777777" w:rsidR="005C09D9" w:rsidRPr="00254BEE" w:rsidRDefault="00DA372F" w:rsidP="005C09D9">
      <w:pPr>
        <w:pStyle w:val="Text"/>
        <w:widowControl w:val="0"/>
        <w:spacing w:before="0"/>
        <w:jc w:val="left"/>
        <w:rPr>
          <w:color w:val="000000" w:themeColor="text1"/>
        </w:rPr>
      </w:pPr>
      <w:r w:rsidRPr="00254BEE">
        <w:rPr>
          <w:color w:val="000000" w:themeColor="text1"/>
        </w:rPr>
        <w:t>In double-blind extension phases of both studies out to one year the reduction in the frequency of asthma exacerbations for omalizumab-treated patients compared to placebo-treated patients was maintained.</w:t>
      </w:r>
    </w:p>
    <w:p w14:paraId="79A35344" w14:textId="77777777" w:rsidR="005C09D9" w:rsidRPr="00254BEE" w:rsidRDefault="005C09D9" w:rsidP="005C09D9">
      <w:pPr>
        <w:pStyle w:val="Text"/>
        <w:widowControl w:val="0"/>
        <w:spacing w:before="0"/>
        <w:jc w:val="left"/>
        <w:rPr>
          <w:color w:val="000000" w:themeColor="text1"/>
        </w:rPr>
      </w:pPr>
    </w:p>
    <w:p w14:paraId="09BE59B5" w14:textId="77777777" w:rsidR="005C09D9" w:rsidRPr="00254BEE" w:rsidRDefault="00DA372F" w:rsidP="005C09D9">
      <w:pPr>
        <w:pStyle w:val="Text"/>
        <w:widowControl w:val="0"/>
        <w:spacing w:before="0"/>
        <w:jc w:val="left"/>
        <w:rPr>
          <w:color w:val="000000" w:themeColor="text1"/>
        </w:rPr>
      </w:pPr>
      <w:r w:rsidRPr="00254BEE">
        <w:rPr>
          <w:color w:val="000000" w:themeColor="text1"/>
        </w:rPr>
        <w:t>Study IA04 was a randomised, controlled, open-label study for 52 weeks in 312 adult and adolescent patients with poorly controlled allergic asthma. Patients received omalizumab as add-on to current asthma treatment (median dose of inhaled corticosteroids was 2000 micrograms/day, 78% were receiving a long-acting beta2-agonist) or current asthma treatment alone. Patients had to have at least one asthma-related hospitalisation or emergency room visit and at least one additional course of oral corticosteroids due to asthma in the previous year.</w:t>
      </w:r>
    </w:p>
    <w:p w14:paraId="66842DEC" w14:textId="77777777" w:rsidR="005C09D9" w:rsidRPr="00254BEE" w:rsidRDefault="005C09D9" w:rsidP="005C09D9">
      <w:pPr>
        <w:pStyle w:val="Text"/>
        <w:widowControl w:val="0"/>
        <w:spacing w:before="0"/>
        <w:jc w:val="left"/>
        <w:rPr>
          <w:color w:val="000000" w:themeColor="text1"/>
        </w:rPr>
      </w:pPr>
    </w:p>
    <w:p w14:paraId="77E2A746" w14:textId="77777777" w:rsidR="005C09D9" w:rsidRPr="00254BEE" w:rsidRDefault="00DA372F" w:rsidP="005C09D9">
      <w:pPr>
        <w:pStyle w:val="Text"/>
        <w:widowControl w:val="0"/>
        <w:spacing w:before="0"/>
        <w:jc w:val="left"/>
        <w:rPr>
          <w:color w:val="000000" w:themeColor="text1"/>
        </w:rPr>
      </w:pPr>
      <w:r w:rsidRPr="00254BEE">
        <w:rPr>
          <w:color w:val="000000" w:themeColor="text1"/>
        </w:rPr>
        <w:t>Treatment with omalizumab led to a 61% reduction in clinically significant asthma exacerbation rate (p&lt;0.001) compared to current asthma therapy alone. This reduction in exacerbations was seen in the context of statistically significant improvements in asthma symptoms, lung function and rescue medication use.</w:t>
      </w:r>
    </w:p>
    <w:p w14:paraId="4D3821E3" w14:textId="77777777" w:rsidR="005C09D9" w:rsidRPr="00254BEE" w:rsidRDefault="005C09D9" w:rsidP="005C09D9">
      <w:pPr>
        <w:pStyle w:val="Text"/>
        <w:widowControl w:val="0"/>
        <w:spacing w:before="0"/>
        <w:jc w:val="left"/>
        <w:rPr>
          <w:color w:val="000000" w:themeColor="text1"/>
        </w:rPr>
      </w:pPr>
    </w:p>
    <w:p w14:paraId="7D78EC3C" w14:textId="77777777" w:rsidR="005C09D9" w:rsidRPr="00254BEE" w:rsidRDefault="00DA372F" w:rsidP="005C09D9">
      <w:pPr>
        <w:pStyle w:val="Text"/>
        <w:widowControl w:val="0"/>
        <w:spacing w:before="0"/>
        <w:jc w:val="left"/>
        <w:rPr>
          <w:color w:val="000000" w:themeColor="text1"/>
        </w:rPr>
      </w:pPr>
      <w:r w:rsidRPr="00254BEE">
        <w:rPr>
          <w:color w:val="000000" w:themeColor="text1"/>
        </w:rPr>
        <w:t xml:space="preserve">In study 011 the safety and corticosteroid-sparing effect of omalizumab was demonstrated in 246 patients with severe allergic asthma requiring daily treatment with high-dose inhaled corticosteroids (fluticasone </w:t>
      </w:r>
      <w:r w:rsidRPr="00254BEE">
        <w:rPr>
          <w:color w:val="000000" w:themeColor="text1"/>
        </w:rPr>
        <w:sym w:font="Symbol" w:char="F0B3"/>
      </w:r>
      <w:r w:rsidRPr="00254BEE">
        <w:rPr>
          <w:color w:val="000000" w:themeColor="text1"/>
        </w:rPr>
        <w:t>1000 micrograms/day) and in whom long-acting beta2-agonists were allowed. The study included a 16-week steroid stable phase with study medication added, followed by a 16-week steroid reduction phase.</w:t>
      </w:r>
    </w:p>
    <w:p w14:paraId="230BB3C8" w14:textId="77777777" w:rsidR="00604B4E" w:rsidRPr="00254BEE" w:rsidRDefault="00604B4E" w:rsidP="005C09D9">
      <w:pPr>
        <w:pStyle w:val="Text"/>
        <w:widowControl w:val="0"/>
        <w:spacing w:before="0"/>
        <w:jc w:val="left"/>
        <w:rPr>
          <w:color w:val="000000" w:themeColor="text1"/>
        </w:rPr>
      </w:pPr>
    </w:p>
    <w:p w14:paraId="12FCCE69" w14:textId="77777777" w:rsidR="005C09D9" w:rsidRPr="00254BEE" w:rsidRDefault="00DA372F" w:rsidP="005C09D9">
      <w:pPr>
        <w:pStyle w:val="Text"/>
        <w:widowControl w:val="0"/>
        <w:spacing w:before="0"/>
        <w:jc w:val="left"/>
        <w:rPr>
          <w:color w:val="000000" w:themeColor="text1"/>
        </w:rPr>
      </w:pPr>
      <w:r w:rsidRPr="00254BEE">
        <w:rPr>
          <w:color w:val="000000" w:themeColor="text1"/>
        </w:rPr>
        <w:t>The percent reduction in inhaled corticosteroid dose at the end of the treatment phase was significantly greater in omalizumab-treated patients versus placebo patients (median 60% vs. 50%, p=0.003). The proportion of omalizumab patients who were able to reduce their fluticasone dose to ≤500 micrograms/day was 60.3% versus 45.8% in the placebo group (p</w:t>
      </w:r>
      <w:r w:rsidR="008C64EE" w:rsidRPr="00254BEE">
        <w:rPr>
          <w:color w:val="000000" w:themeColor="text1"/>
          <w:szCs w:val="24"/>
        </w:rPr>
        <w:t>&lt;</w:t>
      </w:r>
      <w:r w:rsidRPr="00254BEE">
        <w:rPr>
          <w:color w:val="000000" w:themeColor="text1"/>
        </w:rPr>
        <w:t>0.05).</w:t>
      </w:r>
    </w:p>
    <w:p w14:paraId="078741F4" w14:textId="77777777" w:rsidR="005C09D9" w:rsidRPr="00254BEE" w:rsidRDefault="005C09D9" w:rsidP="005C09D9">
      <w:pPr>
        <w:pStyle w:val="Text"/>
        <w:widowControl w:val="0"/>
        <w:spacing w:before="0"/>
        <w:jc w:val="left"/>
        <w:rPr>
          <w:color w:val="000000" w:themeColor="text1"/>
        </w:rPr>
      </w:pPr>
    </w:p>
    <w:p w14:paraId="6AF9DCC5" w14:textId="77777777" w:rsidR="005C09D9" w:rsidRPr="00254BEE" w:rsidRDefault="00DA372F" w:rsidP="005C09D9">
      <w:pPr>
        <w:pStyle w:val="Text"/>
        <w:widowControl w:val="0"/>
        <w:spacing w:before="0"/>
        <w:jc w:val="left"/>
        <w:rPr>
          <w:color w:val="000000" w:themeColor="text1"/>
        </w:rPr>
      </w:pPr>
      <w:r w:rsidRPr="00254BEE">
        <w:rPr>
          <w:color w:val="000000" w:themeColor="text1"/>
        </w:rPr>
        <w:t>The clinically meaningful treatment differences in exacerbation rates were comparable for all studies. Table 1 provides annualised exacerbation rates for each study.</w:t>
      </w:r>
    </w:p>
    <w:p w14:paraId="0E975513" w14:textId="77777777" w:rsidR="005C09D9" w:rsidRPr="00254BEE" w:rsidRDefault="005C09D9" w:rsidP="005C09D9">
      <w:pPr>
        <w:widowControl w:val="0"/>
        <w:rPr>
          <w:color w:val="000000" w:themeColor="text1"/>
        </w:rPr>
      </w:pPr>
    </w:p>
    <w:p w14:paraId="5EA775C5" w14:textId="77777777" w:rsidR="005C09D9" w:rsidRPr="00254BEE" w:rsidRDefault="00DA372F" w:rsidP="00EA0BD8">
      <w:pPr>
        <w:pageBreakBefore/>
        <w:widowControl w:val="0"/>
        <w:rPr>
          <w:b/>
          <w:color w:val="000000" w:themeColor="text1"/>
        </w:rPr>
      </w:pPr>
      <w:r w:rsidRPr="00254BEE">
        <w:rPr>
          <w:b/>
          <w:color w:val="000000" w:themeColor="text1"/>
        </w:rPr>
        <w:lastRenderedPageBreak/>
        <w:t>Table 1:</w:t>
      </w:r>
      <w:r w:rsidRPr="00254BEE">
        <w:rPr>
          <w:b/>
          <w:color w:val="000000" w:themeColor="text1"/>
        </w:rPr>
        <w:tab/>
        <w:t xml:space="preserve">Comparison of annualised asthma exacerbations rates per patient across </w:t>
      </w:r>
      <w:r w:rsidRPr="00254BEE">
        <w:rPr>
          <w:b/>
          <w:color w:val="000000" w:themeColor="text1"/>
        </w:rPr>
        <w:tab/>
      </w:r>
      <w:r w:rsidRPr="00254BEE">
        <w:rPr>
          <w:b/>
          <w:color w:val="000000" w:themeColor="text1"/>
        </w:rPr>
        <w:tab/>
        <w:t>studies</w:t>
      </w:r>
    </w:p>
    <w:p w14:paraId="595DE56D" w14:textId="77777777" w:rsidR="005C09D9" w:rsidRPr="00254BEE" w:rsidRDefault="005C09D9" w:rsidP="005C09D9">
      <w:pPr>
        <w:widowControl w:val="0"/>
        <w:rPr>
          <w:color w:val="000000" w:themeColor="text1"/>
          <w:sz w:val="20"/>
        </w:rPr>
      </w:pP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1430"/>
        <w:gridCol w:w="2440"/>
        <w:gridCol w:w="2338"/>
        <w:gridCol w:w="1237"/>
        <w:gridCol w:w="1800"/>
      </w:tblGrid>
      <w:tr w:rsidR="005C09D9" w:rsidRPr="00254BEE" w14:paraId="1739B930" w14:textId="77777777" w:rsidTr="00731E5F">
        <w:trPr>
          <w:trHeight w:val="673"/>
        </w:trPr>
        <w:tc>
          <w:tcPr>
            <w:tcW w:w="0" w:type="auto"/>
          </w:tcPr>
          <w:p w14:paraId="02375ECB" w14:textId="77777777" w:rsidR="005C09D9" w:rsidRPr="00254BEE" w:rsidRDefault="005C09D9" w:rsidP="00731E5F">
            <w:pPr>
              <w:widowControl w:val="0"/>
              <w:tabs>
                <w:tab w:val="left" w:pos="567"/>
              </w:tabs>
              <w:spacing w:line="260" w:lineRule="exact"/>
              <w:rPr>
                <w:color w:val="000000" w:themeColor="text1"/>
              </w:rPr>
            </w:pPr>
          </w:p>
        </w:tc>
        <w:tc>
          <w:tcPr>
            <w:tcW w:w="0" w:type="auto"/>
          </w:tcPr>
          <w:p w14:paraId="213C3D35" w14:textId="77777777" w:rsidR="005C09D9" w:rsidRPr="00254BEE" w:rsidRDefault="00DA372F" w:rsidP="00731E5F">
            <w:pPr>
              <w:pStyle w:val="Table"/>
              <w:keepLines w:val="0"/>
              <w:widowControl w:val="0"/>
              <w:tabs>
                <w:tab w:val="left" w:pos="567"/>
              </w:tabs>
              <w:spacing w:before="0" w:after="0" w:line="260" w:lineRule="exact"/>
              <w:rPr>
                <w:rFonts w:ascii="Times New Roman" w:hAnsi="Times New Roman"/>
                <w:color w:val="000000" w:themeColor="text1"/>
                <w:sz w:val="24"/>
              </w:rPr>
            </w:pPr>
            <w:r w:rsidRPr="00254BEE">
              <w:rPr>
                <w:rFonts w:ascii="Times New Roman" w:hAnsi="Times New Roman"/>
                <w:color w:val="000000" w:themeColor="text1"/>
                <w:sz w:val="24"/>
              </w:rPr>
              <w:t>Omalizumab exacerbations/year</w:t>
            </w:r>
          </w:p>
        </w:tc>
        <w:tc>
          <w:tcPr>
            <w:tcW w:w="0" w:type="auto"/>
          </w:tcPr>
          <w:p w14:paraId="1F04DB39" w14:textId="77777777" w:rsidR="005C09D9" w:rsidRPr="00254BEE" w:rsidRDefault="00DA372F" w:rsidP="00731E5F">
            <w:pPr>
              <w:pStyle w:val="Table"/>
              <w:keepLines w:val="0"/>
              <w:widowControl w:val="0"/>
              <w:tabs>
                <w:tab w:val="left" w:pos="567"/>
              </w:tabs>
              <w:spacing w:before="0" w:after="0" w:line="260" w:lineRule="exact"/>
              <w:rPr>
                <w:rFonts w:ascii="Times New Roman" w:hAnsi="Times New Roman"/>
                <w:color w:val="000000" w:themeColor="text1"/>
                <w:sz w:val="24"/>
              </w:rPr>
            </w:pPr>
            <w:r w:rsidRPr="00254BEE">
              <w:rPr>
                <w:rFonts w:ascii="Times New Roman" w:hAnsi="Times New Roman"/>
                <w:color w:val="000000" w:themeColor="text1"/>
                <w:sz w:val="24"/>
              </w:rPr>
              <w:t>Placebo exacerbations/year</w:t>
            </w:r>
          </w:p>
        </w:tc>
        <w:tc>
          <w:tcPr>
            <w:tcW w:w="0" w:type="auto"/>
          </w:tcPr>
          <w:p w14:paraId="185AD055" w14:textId="77777777" w:rsidR="005C09D9" w:rsidRPr="00254BEE" w:rsidRDefault="00DA372F" w:rsidP="00731E5F">
            <w:pPr>
              <w:pStyle w:val="Table"/>
              <w:keepLines w:val="0"/>
              <w:widowControl w:val="0"/>
              <w:tabs>
                <w:tab w:val="left" w:pos="567"/>
              </w:tabs>
              <w:spacing w:before="0" w:after="0" w:line="260" w:lineRule="exact"/>
              <w:rPr>
                <w:rFonts w:ascii="Times New Roman" w:hAnsi="Times New Roman"/>
                <w:color w:val="000000" w:themeColor="text1"/>
                <w:sz w:val="24"/>
              </w:rPr>
            </w:pPr>
            <w:r w:rsidRPr="00254BEE">
              <w:rPr>
                <w:rFonts w:ascii="Times New Roman" w:hAnsi="Times New Roman"/>
                <w:color w:val="000000" w:themeColor="text1"/>
                <w:sz w:val="24"/>
              </w:rPr>
              <w:t>P-value for rate ratio</w:t>
            </w:r>
          </w:p>
        </w:tc>
        <w:tc>
          <w:tcPr>
            <w:tcW w:w="0" w:type="auto"/>
          </w:tcPr>
          <w:p w14:paraId="6EF71050" w14:textId="77777777" w:rsidR="005C09D9" w:rsidRPr="00254BEE" w:rsidRDefault="00DA372F" w:rsidP="00731E5F">
            <w:pPr>
              <w:pStyle w:val="Table"/>
              <w:keepLines w:val="0"/>
              <w:widowControl w:val="0"/>
              <w:tabs>
                <w:tab w:val="left" w:pos="567"/>
              </w:tabs>
              <w:spacing w:before="0" w:after="0" w:line="260" w:lineRule="exact"/>
              <w:rPr>
                <w:rFonts w:ascii="Times New Roman" w:hAnsi="Times New Roman"/>
                <w:color w:val="000000" w:themeColor="text1"/>
                <w:sz w:val="24"/>
              </w:rPr>
            </w:pPr>
            <w:r w:rsidRPr="00254BEE">
              <w:rPr>
                <w:rFonts w:ascii="Times New Roman" w:hAnsi="Times New Roman"/>
                <w:color w:val="000000" w:themeColor="text1"/>
                <w:sz w:val="24"/>
              </w:rPr>
              <w:t>Treatment difference in annual rate</w:t>
            </w:r>
          </w:p>
        </w:tc>
      </w:tr>
      <w:tr w:rsidR="005C09D9" w:rsidRPr="00254BEE" w14:paraId="2A406D66" w14:textId="77777777" w:rsidTr="00731E5F">
        <w:tc>
          <w:tcPr>
            <w:tcW w:w="0" w:type="auto"/>
          </w:tcPr>
          <w:p w14:paraId="1C821E1D" w14:textId="77777777" w:rsidR="005C09D9" w:rsidRPr="00254BEE" w:rsidRDefault="00EC673F" w:rsidP="00731E5F">
            <w:pPr>
              <w:pStyle w:val="Text"/>
              <w:widowControl w:val="0"/>
              <w:tabs>
                <w:tab w:val="left" w:pos="567"/>
              </w:tabs>
              <w:spacing w:before="0" w:line="260" w:lineRule="exact"/>
              <w:jc w:val="left"/>
              <w:rPr>
                <w:color w:val="000000" w:themeColor="text1"/>
              </w:rPr>
            </w:pPr>
            <w:r w:rsidRPr="00254BEE">
              <w:rPr>
                <w:color w:val="000000" w:themeColor="text1"/>
              </w:rPr>
              <w:t>Study 2306</w:t>
            </w:r>
          </w:p>
        </w:tc>
        <w:tc>
          <w:tcPr>
            <w:tcW w:w="0" w:type="auto"/>
          </w:tcPr>
          <w:p w14:paraId="46C9F070" w14:textId="77777777" w:rsidR="005C09D9" w:rsidRPr="00254BEE" w:rsidRDefault="00EC673F" w:rsidP="00731E5F">
            <w:pPr>
              <w:pStyle w:val="Text"/>
              <w:widowControl w:val="0"/>
              <w:tabs>
                <w:tab w:val="left" w:pos="567"/>
              </w:tabs>
              <w:spacing w:before="0" w:line="260" w:lineRule="exact"/>
              <w:jc w:val="left"/>
              <w:rPr>
                <w:color w:val="000000" w:themeColor="text1"/>
              </w:rPr>
            </w:pPr>
            <w:r w:rsidRPr="00254BEE">
              <w:rPr>
                <w:color w:val="000000" w:themeColor="text1"/>
              </w:rPr>
              <w:t>1.357</w:t>
            </w:r>
          </w:p>
        </w:tc>
        <w:tc>
          <w:tcPr>
            <w:tcW w:w="0" w:type="auto"/>
          </w:tcPr>
          <w:p w14:paraId="4C19D17A" w14:textId="77777777" w:rsidR="005C09D9" w:rsidRPr="00254BEE" w:rsidRDefault="00EC673F" w:rsidP="00731E5F">
            <w:pPr>
              <w:pStyle w:val="Text"/>
              <w:widowControl w:val="0"/>
              <w:tabs>
                <w:tab w:val="left" w:pos="567"/>
              </w:tabs>
              <w:spacing w:before="0" w:line="260" w:lineRule="exact"/>
              <w:jc w:val="left"/>
              <w:rPr>
                <w:color w:val="000000" w:themeColor="text1"/>
              </w:rPr>
            </w:pPr>
            <w:r w:rsidRPr="00254BEE">
              <w:rPr>
                <w:color w:val="000000" w:themeColor="text1"/>
              </w:rPr>
              <w:t>1.847</w:t>
            </w:r>
          </w:p>
        </w:tc>
        <w:tc>
          <w:tcPr>
            <w:tcW w:w="0" w:type="auto"/>
          </w:tcPr>
          <w:p w14:paraId="15861887" w14:textId="77777777" w:rsidR="005C09D9" w:rsidRPr="00254BEE" w:rsidRDefault="00EC673F" w:rsidP="00731E5F">
            <w:pPr>
              <w:pStyle w:val="Text"/>
              <w:widowControl w:val="0"/>
              <w:tabs>
                <w:tab w:val="left" w:pos="567"/>
              </w:tabs>
              <w:spacing w:before="0" w:line="260" w:lineRule="exact"/>
              <w:jc w:val="left"/>
              <w:rPr>
                <w:color w:val="000000" w:themeColor="text1"/>
              </w:rPr>
            </w:pPr>
            <w:r w:rsidRPr="00254BEE">
              <w:rPr>
                <w:color w:val="000000" w:themeColor="text1"/>
              </w:rPr>
              <w:t>0.039</w:t>
            </w:r>
          </w:p>
        </w:tc>
        <w:tc>
          <w:tcPr>
            <w:tcW w:w="0" w:type="auto"/>
          </w:tcPr>
          <w:p w14:paraId="5467B966" w14:textId="77777777" w:rsidR="005C09D9" w:rsidRPr="00254BEE" w:rsidRDefault="00EC673F" w:rsidP="00731E5F">
            <w:pPr>
              <w:pStyle w:val="Text"/>
              <w:widowControl w:val="0"/>
              <w:tabs>
                <w:tab w:val="left" w:pos="567"/>
              </w:tabs>
              <w:spacing w:before="0" w:line="260" w:lineRule="exact"/>
              <w:jc w:val="left"/>
              <w:rPr>
                <w:color w:val="000000" w:themeColor="text1"/>
              </w:rPr>
            </w:pPr>
            <w:r w:rsidRPr="00254BEE">
              <w:rPr>
                <w:color w:val="000000" w:themeColor="text1"/>
              </w:rPr>
              <w:t>0.49</w:t>
            </w:r>
          </w:p>
        </w:tc>
      </w:tr>
      <w:tr w:rsidR="005C09D9" w:rsidRPr="00254BEE" w14:paraId="35C219F0" w14:textId="77777777" w:rsidTr="00731E5F">
        <w:tc>
          <w:tcPr>
            <w:tcW w:w="0" w:type="auto"/>
          </w:tcPr>
          <w:p w14:paraId="04B1B8C0" w14:textId="77777777" w:rsidR="005C09D9" w:rsidRPr="00254BEE" w:rsidRDefault="00EC673F" w:rsidP="00731E5F">
            <w:pPr>
              <w:pStyle w:val="Text"/>
              <w:widowControl w:val="0"/>
              <w:tabs>
                <w:tab w:val="left" w:pos="567"/>
              </w:tabs>
              <w:spacing w:before="0" w:line="260" w:lineRule="exact"/>
              <w:jc w:val="left"/>
              <w:rPr>
                <w:color w:val="000000" w:themeColor="text1"/>
              </w:rPr>
            </w:pPr>
            <w:r w:rsidRPr="00254BEE">
              <w:rPr>
                <w:color w:val="000000" w:themeColor="text1"/>
              </w:rPr>
              <w:t>Study 2304</w:t>
            </w:r>
          </w:p>
        </w:tc>
        <w:tc>
          <w:tcPr>
            <w:tcW w:w="0" w:type="auto"/>
          </w:tcPr>
          <w:p w14:paraId="3109574C" w14:textId="77777777" w:rsidR="005C09D9" w:rsidRPr="00254BEE" w:rsidRDefault="00EC673F" w:rsidP="00731E5F">
            <w:pPr>
              <w:pStyle w:val="Text"/>
              <w:widowControl w:val="0"/>
              <w:tabs>
                <w:tab w:val="left" w:pos="567"/>
              </w:tabs>
              <w:spacing w:before="0" w:line="260" w:lineRule="exact"/>
              <w:jc w:val="left"/>
              <w:rPr>
                <w:color w:val="000000" w:themeColor="text1"/>
              </w:rPr>
            </w:pPr>
            <w:r w:rsidRPr="00254BEE">
              <w:rPr>
                <w:color w:val="000000" w:themeColor="text1"/>
              </w:rPr>
              <w:t>0.491</w:t>
            </w:r>
          </w:p>
        </w:tc>
        <w:tc>
          <w:tcPr>
            <w:tcW w:w="0" w:type="auto"/>
          </w:tcPr>
          <w:p w14:paraId="4E66C544" w14:textId="77777777" w:rsidR="005C09D9" w:rsidRPr="00254BEE" w:rsidRDefault="00EC673F" w:rsidP="00731E5F">
            <w:pPr>
              <w:pStyle w:val="Text"/>
              <w:widowControl w:val="0"/>
              <w:tabs>
                <w:tab w:val="left" w:pos="567"/>
              </w:tabs>
              <w:spacing w:before="0" w:line="260" w:lineRule="exact"/>
              <w:jc w:val="left"/>
              <w:rPr>
                <w:color w:val="000000" w:themeColor="text1"/>
              </w:rPr>
            </w:pPr>
            <w:r w:rsidRPr="00254BEE">
              <w:rPr>
                <w:color w:val="000000" w:themeColor="text1"/>
              </w:rPr>
              <w:t>0.785</w:t>
            </w:r>
          </w:p>
        </w:tc>
        <w:tc>
          <w:tcPr>
            <w:tcW w:w="0" w:type="auto"/>
          </w:tcPr>
          <w:p w14:paraId="57AAA68E" w14:textId="77777777" w:rsidR="005C09D9" w:rsidRPr="00254BEE" w:rsidDel="00BA70E8" w:rsidRDefault="00EC673F" w:rsidP="00731E5F">
            <w:pPr>
              <w:pStyle w:val="Text"/>
              <w:widowControl w:val="0"/>
              <w:tabs>
                <w:tab w:val="left" w:pos="567"/>
              </w:tabs>
              <w:spacing w:before="0" w:line="260" w:lineRule="exact"/>
              <w:jc w:val="left"/>
              <w:rPr>
                <w:color w:val="000000" w:themeColor="text1"/>
              </w:rPr>
            </w:pPr>
            <w:r w:rsidRPr="00254BEE">
              <w:rPr>
                <w:color w:val="000000" w:themeColor="text1"/>
              </w:rPr>
              <w:t>0.027</w:t>
            </w:r>
          </w:p>
        </w:tc>
        <w:tc>
          <w:tcPr>
            <w:tcW w:w="0" w:type="auto"/>
          </w:tcPr>
          <w:p w14:paraId="48C48228" w14:textId="77777777" w:rsidR="005C09D9" w:rsidRPr="00254BEE" w:rsidRDefault="00EC673F" w:rsidP="00731E5F">
            <w:pPr>
              <w:pStyle w:val="Text"/>
              <w:widowControl w:val="0"/>
              <w:tabs>
                <w:tab w:val="left" w:pos="567"/>
              </w:tabs>
              <w:spacing w:before="0" w:line="260" w:lineRule="exact"/>
              <w:jc w:val="left"/>
              <w:rPr>
                <w:color w:val="000000" w:themeColor="text1"/>
              </w:rPr>
            </w:pPr>
            <w:r w:rsidRPr="00254BEE">
              <w:rPr>
                <w:color w:val="000000" w:themeColor="text1"/>
              </w:rPr>
              <w:t>0.29</w:t>
            </w:r>
          </w:p>
        </w:tc>
      </w:tr>
      <w:tr w:rsidR="005C09D9" w:rsidRPr="00254BEE" w14:paraId="6FD77387" w14:textId="77777777" w:rsidTr="00731E5F">
        <w:tc>
          <w:tcPr>
            <w:tcW w:w="0" w:type="auto"/>
          </w:tcPr>
          <w:p w14:paraId="7269EB1E" w14:textId="77777777" w:rsidR="005C09D9" w:rsidRPr="00254BEE" w:rsidRDefault="00EC673F" w:rsidP="00731E5F">
            <w:pPr>
              <w:pStyle w:val="Text"/>
              <w:widowControl w:val="0"/>
              <w:tabs>
                <w:tab w:val="left" w:pos="567"/>
              </w:tabs>
              <w:spacing w:before="0" w:line="260" w:lineRule="exact"/>
              <w:jc w:val="left"/>
              <w:rPr>
                <w:color w:val="000000" w:themeColor="text1"/>
              </w:rPr>
            </w:pPr>
            <w:r w:rsidRPr="00254BEE">
              <w:rPr>
                <w:color w:val="000000" w:themeColor="text1"/>
              </w:rPr>
              <w:t>Study 008</w:t>
            </w:r>
          </w:p>
        </w:tc>
        <w:tc>
          <w:tcPr>
            <w:tcW w:w="0" w:type="auto"/>
          </w:tcPr>
          <w:p w14:paraId="646DE36B" w14:textId="77777777" w:rsidR="005C09D9" w:rsidRPr="00254BEE" w:rsidRDefault="00EC673F" w:rsidP="00731E5F">
            <w:pPr>
              <w:pStyle w:val="Text"/>
              <w:widowControl w:val="0"/>
              <w:tabs>
                <w:tab w:val="left" w:pos="567"/>
              </w:tabs>
              <w:spacing w:before="0" w:line="260" w:lineRule="exact"/>
              <w:jc w:val="left"/>
              <w:rPr>
                <w:color w:val="000000" w:themeColor="text1"/>
              </w:rPr>
            </w:pPr>
            <w:r w:rsidRPr="00254BEE">
              <w:rPr>
                <w:color w:val="000000" w:themeColor="text1"/>
              </w:rPr>
              <w:t>0.592</w:t>
            </w:r>
          </w:p>
        </w:tc>
        <w:tc>
          <w:tcPr>
            <w:tcW w:w="0" w:type="auto"/>
          </w:tcPr>
          <w:p w14:paraId="66BA7415" w14:textId="77777777" w:rsidR="005C09D9" w:rsidRPr="00254BEE" w:rsidRDefault="00EC673F" w:rsidP="00731E5F">
            <w:pPr>
              <w:pStyle w:val="Text"/>
              <w:widowControl w:val="0"/>
              <w:tabs>
                <w:tab w:val="left" w:pos="567"/>
              </w:tabs>
              <w:spacing w:before="0" w:line="260" w:lineRule="exact"/>
              <w:jc w:val="left"/>
              <w:rPr>
                <w:color w:val="000000" w:themeColor="text1"/>
              </w:rPr>
            </w:pPr>
            <w:r w:rsidRPr="00254BEE">
              <w:rPr>
                <w:color w:val="000000" w:themeColor="text1"/>
              </w:rPr>
              <w:t>0.992</w:t>
            </w:r>
          </w:p>
        </w:tc>
        <w:tc>
          <w:tcPr>
            <w:tcW w:w="0" w:type="auto"/>
          </w:tcPr>
          <w:p w14:paraId="1A043F45" w14:textId="77777777" w:rsidR="005C09D9" w:rsidRPr="00254BEE" w:rsidRDefault="00EC673F" w:rsidP="00731E5F">
            <w:pPr>
              <w:pStyle w:val="Text"/>
              <w:widowControl w:val="0"/>
              <w:tabs>
                <w:tab w:val="left" w:pos="567"/>
              </w:tabs>
              <w:spacing w:before="0" w:line="260" w:lineRule="exact"/>
              <w:jc w:val="left"/>
              <w:rPr>
                <w:color w:val="000000" w:themeColor="text1"/>
              </w:rPr>
            </w:pPr>
            <w:r w:rsidRPr="00254BEE">
              <w:rPr>
                <w:color w:val="000000" w:themeColor="text1"/>
              </w:rPr>
              <w:t>&lt;0.001</w:t>
            </w:r>
          </w:p>
        </w:tc>
        <w:tc>
          <w:tcPr>
            <w:tcW w:w="0" w:type="auto"/>
          </w:tcPr>
          <w:p w14:paraId="2FFBF449" w14:textId="77777777" w:rsidR="005C09D9" w:rsidRPr="00254BEE" w:rsidRDefault="00EC673F" w:rsidP="00731E5F">
            <w:pPr>
              <w:pStyle w:val="Text"/>
              <w:widowControl w:val="0"/>
              <w:tabs>
                <w:tab w:val="left" w:pos="567"/>
              </w:tabs>
              <w:spacing w:before="0" w:line="260" w:lineRule="exact"/>
              <w:jc w:val="left"/>
              <w:rPr>
                <w:color w:val="000000" w:themeColor="text1"/>
              </w:rPr>
            </w:pPr>
            <w:r w:rsidRPr="00254BEE">
              <w:rPr>
                <w:color w:val="000000" w:themeColor="text1"/>
              </w:rPr>
              <w:t>0.40</w:t>
            </w:r>
          </w:p>
        </w:tc>
      </w:tr>
      <w:tr w:rsidR="005C09D9" w:rsidRPr="00254BEE" w14:paraId="7A8F1133" w14:textId="77777777" w:rsidTr="00731E5F">
        <w:tc>
          <w:tcPr>
            <w:tcW w:w="0" w:type="auto"/>
          </w:tcPr>
          <w:p w14:paraId="3777E82C" w14:textId="77777777" w:rsidR="005C09D9" w:rsidRPr="00254BEE" w:rsidRDefault="00EC673F" w:rsidP="00731E5F">
            <w:pPr>
              <w:pStyle w:val="Text"/>
              <w:widowControl w:val="0"/>
              <w:tabs>
                <w:tab w:val="left" w:pos="567"/>
              </w:tabs>
              <w:spacing w:before="0" w:line="260" w:lineRule="exact"/>
              <w:jc w:val="left"/>
              <w:rPr>
                <w:color w:val="000000" w:themeColor="text1"/>
              </w:rPr>
            </w:pPr>
            <w:r w:rsidRPr="00254BEE">
              <w:rPr>
                <w:color w:val="000000" w:themeColor="text1"/>
              </w:rPr>
              <w:t>Study 009</w:t>
            </w:r>
          </w:p>
        </w:tc>
        <w:tc>
          <w:tcPr>
            <w:tcW w:w="0" w:type="auto"/>
          </w:tcPr>
          <w:p w14:paraId="0E12A9A4" w14:textId="77777777" w:rsidR="005C09D9" w:rsidRPr="00254BEE" w:rsidRDefault="00EC673F" w:rsidP="00731E5F">
            <w:pPr>
              <w:pStyle w:val="Text"/>
              <w:widowControl w:val="0"/>
              <w:tabs>
                <w:tab w:val="left" w:pos="567"/>
              </w:tabs>
              <w:spacing w:before="0" w:line="260" w:lineRule="exact"/>
              <w:jc w:val="left"/>
              <w:rPr>
                <w:color w:val="000000" w:themeColor="text1"/>
              </w:rPr>
            </w:pPr>
            <w:r w:rsidRPr="00254BEE">
              <w:rPr>
                <w:color w:val="000000" w:themeColor="text1"/>
              </w:rPr>
              <w:t>0.514</w:t>
            </w:r>
          </w:p>
        </w:tc>
        <w:tc>
          <w:tcPr>
            <w:tcW w:w="0" w:type="auto"/>
          </w:tcPr>
          <w:p w14:paraId="7D02C141" w14:textId="77777777" w:rsidR="005C09D9" w:rsidRPr="00254BEE" w:rsidRDefault="00EC673F" w:rsidP="00731E5F">
            <w:pPr>
              <w:pStyle w:val="Text"/>
              <w:widowControl w:val="0"/>
              <w:tabs>
                <w:tab w:val="left" w:pos="567"/>
              </w:tabs>
              <w:spacing w:before="0" w:line="260" w:lineRule="exact"/>
              <w:jc w:val="left"/>
              <w:rPr>
                <w:color w:val="000000" w:themeColor="text1"/>
              </w:rPr>
            </w:pPr>
            <w:r w:rsidRPr="00254BEE">
              <w:rPr>
                <w:color w:val="000000" w:themeColor="text1"/>
              </w:rPr>
              <w:t>1.212</w:t>
            </w:r>
          </w:p>
        </w:tc>
        <w:tc>
          <w:tcPr>
            <w:tcW w:w="0" w:type="auto"/>
          </w:tcPr>
          <w:p w14:paraId="6DBCE228" w14:textId="77777777" w:rsidR="005C09D9" w:rsidRPr="00254BEE" w:rsidRDefault="00EC673F" w:rsidP="00731E5F">
            <w:pPr>
              <w:pStyle w:val="Text"/>
              <w:widowControl w:val="0"/>
              <w:tabs>
                <w:tab w:val="left" w:pos="567"/>
              </w:tabs>
              <w:spacing w:before="0" w:line="260" w:lineRule="exact"/>
              <w:jc w:val="left"/>
              <w:rPr>
                <w:color w:val="000000" w:themeColor="text1"/>
              </w:rPr>
            </w:pPr>
            <w:r w:rsidRPr="00254BEE">
              <w:rPr>
                <w:color w:val="000000" w:themeColor="text1"/>
              </w:rPr>
              <w:t>&lt;0.001</w:t>
            </w:r>
          </w:p>
        </w:tc>
        <w:tc>
          <w:tcPr>
            <w:tcW w:w="0" w:type="auto"/>
          </w:tcPr>
          <w:p w14:paraId="023D0901" w14:textId="77777777" w:rsidR="005C09D9" w:rsidRPr="00254BEE" w:rsidRDefault="00EC673F" w:rsidP="00731E5F">
            <w:pPr>
              <w:pStyle w:val="Text"/>
              <w:widowControl w:val="0"/>
              <w:tabs>
                <w:tab w:val="left" w:pos="567"/>
              </w:tabs>
              <w:spacing w:before="0" w:line="260" w:lineRule="exact"/>
              <w:jc w:val="left"/>
              <w:rPr>
                <w:color w:val="000000" w:themeColor="text1"/>
              </w:rPr>
            </w:pPr>
            <w:r w:rsidRPr="00254BEE">
              <w:rPr>
                <w:color w:val="000000" w:themeColor="text1"/>
              </w:rPr>
              <w:t>0.70</w:t>
            </w:r>
          </w:p>
        </w:tc>
      </w:tr>
      <w:tr w:rsidR="005C09D9" w:rsidRPr="00254BEE" w14:paraId="3F513CC8" w14:textId="77777777" w:rsidTr="00731E5F">
        <w:tc>
          <w:tcPr>
            <w:tcW w:w="0" w:type="auto"/>
          </w:tcPr>
          <w:p w14:paraId="5D93C751" w14:textId="77777777" w:rsidR="005C09D9" w:rsidRPr="00254BEE" w:rsidRDefault="00EC673F" w:rsidP="00731E5F">
            <w:pPr>
              <w:pStyle w:val="Text"/>
              <w:widowControl w:val="0"/>
              <w:tabs>
                <w:tab w:val="left" w:pos="567"/>
              </w:tabs>
              <w:spacing w:before="0" w:line="260" w:lineRule="exact"/>
              <w:jc w:val="left"/>
              <w:rPr>
                <w:color w:val="000000" w:themeColor="text1"/>
              </w:rPr>
            </w:pPr>
            <w:r w:rsidRPr="00254BEE">
              <w:rPr>
                <w:color w:val="000000" w:themeColor="text1"/>
              </w:rPr>
              <w:t>Study IA04</w:t>
            </w:r>
          </w:p>
        </w:tc>
        <w:tc>
          <w:tcPr>
            <w:tcW w:w="0" w:type="auto"/>
          </w:tcPr>
          <w:p w14:paraId="09524DAA" w14:textId="77777777" w:rsidR="005C09D9" w:rsidRPr="00254BEE" w:rsidRDefault="00EC673F" w:rsidP="00731E5F">
            <w:pPr>
              <w:pStyle w:val="Text"/>
              <w:widowControl w:val="0"/>
              <w:tabs>
                <w:tab w:val="left" w:pos="567"/>
              </w:tabs>
              <w:spacing w:before="0" w:line="260" w:lineRule="exact"/>
              <w:jc w:val="left"/>
              <w:rPr>
                <w:color w:val="000000" w:themeColor="text1"/>
              </w:rPr>
            </w:pPr>
            <w:r w:rsidRPr="00254BEE">
              <w:rPr>
                <w:color w:val="000000" w:themeColor="text1"/>
              </w:rPr>
              <w:t>0.989</w:t>
            </w:r>
          </w:p>
        </w:tc>
        <w:tc>
          <w:tcPr>
            <w:tcW w:w="0" w:type="auto"/>
          </w:tcPr>
          <w:p w14:paraId="357A2111" w14:textId="77777777" w:rsidR="005C09D9" w:rsidRPr="00254BEE" w:rsidRDefault="00EC673F" w:rsidP="00731E5F">
            <w:pPr>
              <w:pStyle w:val="Text"/>
              <w:widowControl w:val="0"/>
              <w:tabs>
                <w:tab w:val="left" w:pos="567"/>
              </w:tabs>
              <w:spacing w:before="0" w:line="260" w:lineRule="exact"/>
              <w:jc w:val="left"/>
              <w:rPr>
                <w:color w:val="000000" w:themeColor="text1"/>
              </w:rPr>
            </w:pPr>
            <w:r w:rsidRPr="00254BEE">
              <w:rPr>
                <w:color w:val="000000" w:themeColor="text1"/>
              </w:rPr>
              <w:t>2.470</w:t>
            </w:r>
          </w:p>
        </w:tc>
        <w:tc>
          <w:tcPr>
            <w:tcW w:w="0" w:type="auto"/>
          </w:tcPr>
          <w:p w14:paraId="29534665" w14:textId="77777777" w:rsidR="005C09D9" w:rsidRPr="00254BEE" w:rsidRDefault="00EC673F" w:rsidP="00731E5F">
            <w:pPr>
              <w:pStyle w:val="Text"/>
              <w:widowControl w:val="0"/>
              <w:tabs>
                <w:tab w:val="left" w:pos="567"/>
              </w:tabs>
              <w:spacing w:before="0" w:line="260" w:lineRule="exact"/>
              <w:jc w:val="left"/>
              <w:rPr>
                <w:color w:val="000000" w:themeColor="text1"/>
              </w:rPr>
            </w:pPr>
            <w:r w:rsidRPr="00254BEE">
              <w:rPr>
                <w:color w:val="000000" w:themeColor="text1"/>
              </w:rPr>
              <w:t>&lt;0.001</w:t>
            </w:r>
          </w:p>
        </w:tc>
        <w:tc>
          <w:tcPr>
            <w:tcW w:w="0" w:type="auto"/>
          </w:tcPr>
          <w:p w14:paraId="7AC05386" w14:textId="77777777" w:rsidR="005C09D9" w:rsidRPr="00254BEE" w:rsidRDefault="00EC673F" w:rsidP="00731E5F">
            <w:pPr>
              <w:pStyle w:val="Text"/>
              <w:widowControl w:val="0"/>
              <w:tabs>
                <w:tab w:val="left" w:pos="567"/>
              </w:tabs>
              <w:spacing w:before="0" w:line="260" w:lineRule="exact"/>
              <w:jc w:val="left"/>
              <w:rPr>
                <w:color w:val="000000" w:themeColor="text1"/>
              </w:rPr>
            </w:pPr>
            <w:r w:rsidRPr="00254BEE">
              <w:rPr>
                <w:color w:val="000000" w:themeColor="text1"/>
              </w:rPr>
              <w:t>1.48</w:t>
            </w:r>
          </w:p>
        </w:tc>
      </w:tr>
      <w:tr w:rsidR="005C09D9" w:rsidRPr="00254BEE" w14:paraId="1D32C627" w14:textId="77777777" w:rsidTr="00731E5F">
        <w:tc>
          <w:tcPr>
            <w:tcW w:w="0" w:type="auto"/>
          </w:tcPr>
          <w:p w14:paraId="2A959D4C" w14:textId="77777777" w:rsidR="005C09D9" w:rsidRPr="00254BEE" w:rsidRDefault="00EC673F" w:rsidP="00731E5F">
            <w:pPr>
              <w:pStyle w:val="Text"/>
              <w:widowControl w:val="0"/>
              <w:tabs>
                <w:tab w:val="left" w:pos="567"/>
              </w:tabs>
              <w:spacing w:before="0" w:line="260" w:lineRule="exact"/>
              <w:jc w:val="left"/>
              <w:rPr>
                <w:color w:val="000000" w:themeColor="text1"/>
              </w:rPr>
            </w:pPr>
            <w:r w:rsidRPr="00254BEE">
              <w:rPr>
                <w:color w:val="000000" w:themeColor="text1"/>
              </w:rPr>
              <w:t>Study 011</w:t>
            </w:r>
          </w:p>
        </w:tc>
        <w:tc>
          <w:tcPr>
            <w:tcW w:w="0" w:type="auto"/>
          </w:tcPr>
          <w:p w14:paraId="48C041E1" w14:textId="77777777" w:rsidR="005C09D9" w:rsidRPr="00254BEE" w:rsidRDefault="00EC673F" w:rsidP="00731E5F">
            <w:pPr>
              <w:pStyle w:val="Text"/>
              <w:widowControl w:val="0"/>
              <w:tabs>
                <w:tab w:val="left" w:pos="567"/>
              </w:tabs>
              <w:spacing w:before="0" w:line="260" w:lineRule="exact"/>
              <w:jc w:val="left"/>
              <w:rPr>
                <w:color w:val="000000" w:themeColor="text1"/>
              </w:rPr>
            </w:pPr>
            <w:r w:rsidRPr="00254BEE">
              <w:rPr>
                <w:color w:val="000000" w:themeColor="text1"/>
              </w:rPr>
              <w:t>1.176</w:t>
            </w:r>
          </w:p>
        </w:tc>
        <w:tc>
          <w:tcPr>
            <w:tcW w:w="0" w:type="auto"/>
          </w:tcPr>
          <w:p w14:paraId="12AC2357" w14:textId="77777777" w:rsidR="005C09D9" w:rsidRPr="00254BEE" w:rsidRDefault="00EC673F" w:rsidP="00731E5F">
            <w:pPr>
              <w:pStyle w:val="Text"/>
              <w:widowControl w:val="0"/>
              <w:tabs>
                <w:tab w:val="left" w:pos="567"/>
              </w:tabs>
              <w:spacing w:before="0" w:line="260" w:lineRule="exact"/>
              <w:jc w:val="left"/>
              <w:rPr>
                <w:color w:val="000000" w:themeColor="text1"/>
              </w:rPr>
            </w:pPr>
            <w:r w:rsidRPr="00254BEE">
              <w:rPr>
                <w:color w:val="000000" w:themeColor="text1"/>
              </w:rPr>
              <w:t>1.600</w:t>
            </w:r>
          </w:p>
        </w:tc>
        <w:tc>
          <w:tcPr>
            <w:tcW w:w="0" w:type="auto"/>
          </w:tcPr>
          <w:p w14:paraId="70D488D5" w14:textId="77777777" w:rsidR="005C09D9" w:rsidRPr="00254BEE" w:rsidRDefault="00EC673F" w:rsidP="00731E5F">
            <w:pPr>
              <w:pStyle w:val="Text"/>
              <w:widowControl w:val="0"/>
              <w:tabs>
                <w:tab w:val="left" w:pos="567"/>
              </w:tabs>
              <w:spacing w:before="0" w:line="260" w:lineRule="exact"/>
              <w:jc w:val="left"/>
              <w:rPr>
                <w:color w:val="000000" w:themeColor="text1"/>
              </w:rPr>
            </w:pPr>
            <w:r w:rsidRPr="00254BEE">
              <w:rPr>
                <w:color w:val="000000" w:themeColor="text1"/>
              </w:rPr>
              <w:t>0.165</w:t>
            </w:r>
          </w:p>
        </w:tc>
        <w:tc>
          <w:tcPr>
            <w:tcW w:w="0" w:type="auto"/>
          </w:tcPr>
          <w:p w14:paraId="2492577B" w14:textId="77777777" w:rsidR="005C09D9" w:rsidRPr="00254BEE" w:rsidRDefault="00EC673F" w:rsidP="00731E5F">
            <w:pPr>
              <w:pStyle w:val="Text"/>
              <w:widowControl w:val="0"/>
              <w:tabs>
                <w:tab w:val="left" w:pos="567"/>
              </w:tabs>
              <w:spacing w:before="0" w:line="260" w:lineRule="exact"/>
              <w:jc w:val="left"/>
              <w:rPr>
                <w:color w:val="000000" w:themeColor="text1"/>
              </w:rPr>
            </w:pPr>
            <w:r w:rsidRPr="00254BEE">
              <w:rPr>
                <w:color w:val="000000" w:themeColor="text1"/>
              </w:rPr>
              <w:t>0.42</w:t>
            </w:r>
          </w:p>
        </w:tc>
      </w:tr>
      <w:tr w:rsidR="005C09D9" w:rsidRPr="00254BEE" w14:paraId="57EAF9F2" w14:textId="77777777" w:rsidTr="00731E5F">
        <w:tc>
          <w:tcPr>
            <w:tcW w:w="0" w:type="auto"/>
            <w:gridSpan w:val="5"/>
          </w:tcPr>
          <w:p w14:paraId="3FE8900C" w14:textId="77777777" w:rsidR="005C09D9" w:rsidRPr="00254BEE" w:rsidRDefault="00EC673F" w:rsidP="00731E5F">
            <w:pPr>
              <w:pStyle w:val="Text"/>
              <w:widowControl w:val="0"/>
              <w:tabs>
                <w:tab w:val="left" w:pos="567"/>
              </w:tabs>
              <w:spacing w:before="0" w:line="260" w:lineRule="exact"/>
              <w:jc w:val="left"/>
              <w:rPr>
                <w:color w:val="000000" w:themeColor="text1"/>
              </w:rPr>
            </w:pPr>
            <w:r w:rsidRPr="00254BEE">
              <w:rPr>
                <w:color w:val="000000" w:themeColor="text1"/>
              </w:rPr>
              <w:t>Study 008 and 009 rates based on one year treatment period. Study 011 includes an oral-steroid-dependent population (n=95) not included in the primary population that assessed inhaled corticosteroid reduction.</w:t>
            </w:r>
          </w:p>
        </w:tc>
      </w:tr>
    </w:tbl>
    <w:p w14:paraId="6C838DBB" w14:textId="77777777" w:rsidR="005C09D9" w:rsidRPr="00254BEE" w:rsidRDefault="005C09D9" w:rsidP="005C09D9">
      <w:pPr>
        <w:widowControl w:val="0"/>
        <w:rPr>
          <w:color w:val="000000" w:themeColor="text1"/>
        </w:rPr>
      </w:pPr>
    </w:p>
    <w:p w14:paraId="0DE13074" w14:textId="77777777" w:rsidR="00F84F4A" w:rsidRPr="00254BEE" w:rsidRDefault="00EC673F" w:rsidP="004D3AE9">
      <w:pPr>
        <w:rPr>
          <w:color w:val="000000" w:themeColor="text1"/>
        </w:rPr>
      </w:pPr>
      <w:r w:rsidRPr="00254BEE">
        <w:rPr>
          <w:color w:val="000000" w:themeColor="text1"/>
        </w:rPr>
        <w:t>In a subgroup analysis of study 2306 (conducted in subjects with severe asthma), patients with pre-treatment total IgE &lt; 76 IU/mL were less likely to experience a clinically meaningful benefit. In these patients Xolair did not significantly reduce asthma exacerbation compared to placebo, whereas in patients with pre-treatment total IgE &gt; 76IU/L, the rate of asthma exacerbations was reduced by 40% (p = 0.002).</w:t>
      </w:r>
    </w:p>
    <w:p w14:paraId="130C8CD0" w14:textId="77777777" w:rsidR="00F84F4A" w:rsidRPr="00254BEE" w:rsidRDefault="00F84F4A" w:rsidP="00550F1B">
      <w:pPr>
        <w:rPr>
          <w:color w:val="000000" w:themeColor="text1"/>
        </w:rPr>
      </w:pPr>
    </w:p>
    <w:p w14:paraId="6382C3A7" w14:textId="77777777" w:rsidR="005F5C0B" w:rsidRPr="00254BEE" w:rsidRDefault="00EC673F" w:rsidP="00550F1B">
      <w:pPr>
        <w:widowControl w:val="0"/>
        <w:rPr>
          <w:color w:val="000000" w:themeColor="text1"/>
        </w:rPr>
      </w:pPr>
      <w:r w:rsidRPr="00254BEE">
        <w:rPr>
          <w:color w:val="000000" w:themeColor="text1"/>
        </w:rPr>
        <w:t xml:space="preserve">There are no efficacy data in patients with mild asthma (eg. those not already on inhaled steroids). </w:t>
      </w:r>
    </w:p>
    <w:p w14:paraId="2A98D16F" w14:textId="77777777" w:rsidR="005F5C0B" w:rsidRPr="00254BEE" w:rsidRDefault="005F5C0B" w:rsidP="00550F1B">
      <w:pPr>
        <w:rPr>
          <w:color w:val="000000" w:themeColor="text1"/>
        </w:rPr>
      </w:pPr>
    </w:p>
    <w:p w14:paraId="43A75B27" w14:textId="77777777" w:rsidR="003C70F1" w:rsidRPr="00254BEE" w:rsidRDefault="00EC673F" w:rsidP="00550F1B">
      <w:pPr>
        <w:rPr>
          <w:color w:val="000000" w:themeColor="text1"/>
        </w:rPr>
      </w:pPr>
      <w:r w:rsidRPr="00254BEE">
        <w:rPr>
          <w:color w:val="000000" w:themeColor="text1"/>
        </w:rPr>
        <w:t xml:space="preserve">In the clinical trials of Xolair, all subjects had a positive skin test or serum IgE RAST to a relevant aeroantigen. The efficacy of Xolair in subjects who are negative for these tests is unknown. </w:t>
      </w:r>
    </w:p>
    <w:p w14:paraId="0660BA1E" w14:textId="77777777" w:rsidR="005C09D9" w:rsidRPr="00254BEE" w:rsidRDefault="005C09D9" w:rsidP="005C09D9">
      <w:pPr>
        <w:widowControl w:val="0"/>
        <w:rPr>
          <w:color w:val="000000" w:themeColor="text1"/>
        </w:rPr>
      </w:pPr>
    </w:p>
    <w:p w14:paraId="47D0C74C" w14:textId="77777777" w:rsidR="005C09D9" w:rsidRPr="00254BEE" w:rsidRDefault="00EC673F" w:rsidP="005C09D9">
      <w:pPr>
        <w:widowControl w:val="0"/>
        <w:rPr>
          <w:b/>
          <w:color w:val="000000" w:themeColor="text1"/>
        </w:rPr>
      </w:pPr>
      <w:r w:rsidRPr="00254BEE">
        <w:rPr>
          <w:b/>
          <w:color w:val="000000" w:themeColor="text1"/>
        </w:rPr>
        <w:t>Quality of life</w:t>
      </w:r>
    </w:p>
    <w:p w14:paraId="2F7A8381" w14:textId="77777777" w:rsidR="005C09D9" w:rsidRPr="00254BEE" w:rsidRDefault="00EC673F" w:rsidP="00550F1B">
      <w:pPr>
        <w:pStyle w:val="Text"/>
        <w:tabs>
          <w:tab w:val="left" w:pos="567"/>
        </w:tabs>
        <w:spacing w:before="0"/>
        <w:jc w:val="left"/>
        <w:rPr>
          <w:color w:val="000000" w:themeColor="text1"/>
        </w:rPr>
      </w:pPr>
      <w:r w:rsidRPr="00254BEE">
        <w:rPr>
          <w:color w:val="000000" w:themeColor="text1"/>
        </w:rPr>
        <w:t>Asthma-related quality of life scores were measured using the Juniper Quality of Life assessments. For all six studies there was a statistically significant improvement from baseline in Quality of Life scores for omalizumab patients versus the placebo or control group (Table 2). Improvements were demonstrated in all four asthma-specific domains of the asthma quality of life questionnaire - symptoms, activities, emotional function and environmental exposure - as well as in the overall score. In five of the six studies, a statistically significantly higher number of omalizumab patients than control patients showed a clinically meaningful improvement (≥0.5 points) in total Quality of Life score.</w:t>
      </w:r>
    </w:p>
    <w:p w14:paraId="0A13BDFD" w14:textId="77777777" w:rsidR="000367E4" w:rsidRPr="00254BEE" w:rsidRDefault="000367E4" w:rsidP="005C09D9">
      <w:pPr>
        <w:pStyle w:val="Text"/>
        <w:widowControl w:val="0"/>
        <w:spacing w:before="0"/>
        <w:jc w:val="left"/>
        <w:rPr>
          <w:color w:val="000000" w:themeColor="text1"/>
        </w:rPr>
      </w:pPr>
    </w:p>
    <w:p w14:paraId="326C4962" w14:textId="77777777" w:rsidR="005C09D9" w:rsidRPr="00254BEE" w:rsidRDefault="005C09D9" w:rsidP="005C09D9">
      <w:pPr>
        <w:pStyle w:val="Text"/>
        <w:widowControl w:val="0"/>
        <w:spacing w:before="0"/>
        <w:jc w:val="left"/>
        <w:rPr>
          <w:color w:val="000000" w:themeColor="text1"/>
        </w:rPr>
      </w:pPr>
    </w:p>
    <w:p w14:paraId="7F481076" w14:textId="77777777" w:rsidR="005C09D9" w:rsidRPr="00254BEE" w:rsidRDefault="00EC673F" w:rsidP="005C09D9">
      <w:pPr>
        <w:widowControl w:val="0"/>
        <w:rPr>
          <w:b/>
          <w:color w:val="000000" w:themeColor="text1"/>
        </w:rPr>
      </w:pPr>
      <w:bookmarkStart w:id="0" w:name="_Toc66243334"/>
      <w:bookmarkStart w:id="1" w:name="_Toc70156037"/>
      <w:r w:rsidRPr="00254BEE">
        <w:rPr>
          <w:b/>
          <w:color w:val="000000" w:themeColor="text1"/>
        </w:rPr>
        <w:t>Table 2:</w:t>
      </w:r>
      <w:r w:rsidRPr="00254BEE">
        <w:rPr>
          <w:b/>
          <w:color w:val="000000" w:themeColor="text1"/>
        </w:rPr>
        <w:tab/>
        <w:t xml:space="preserve">Proportion of patients with a clinically meaningful improvement in QOL </w:t>
      </w:r>
      <w:r w:rsidRPr="00254BEE">
        <w:rPr>
          <w:b/>
          <w:color w:val="000000" w:themeColor="text1"/>
        </w:rPr>
        <w:tab/>
      </w:r>
      <w:r w:rsidRPr="00254BEE">
        <w:rPr>
          <w:b/>
          <w:color w:val="000000" w:themeColor="text1"/>
        </w:rPr>
        <w:tab/>
        <w:t>and mean change from baseline</w:t>
      </w:r>
      <w:bookmarkEnd w:id="0"/>
      <w:bookmarkEnd w:id="1"/>
      <w:r w:rsidRPr="00254BEE">
        <w:rPr>
          <w:b/>
          <w:color w:val="000000" w:themeColor="text1"/>
        </w:rPr>
        <w:t xml:space="preserve"> compared to placebo/control</w:t>
      </w:r>
    </w:p>
    <w:p w14:paraId="0AAC733C" w14:textId="77777777" w:rsidR="005C09D9" w:rsidRPr="00254BEE" w:rsidRDefault="005C09D9" w:rsidP="005C09D9">
      <w:pPr>
        <w:widowControl w:val="0"/>
        <w:rPr>
          <w:color w:val="000000" w:themeColor="text1"/>
        </w:rPr>
      </w:pPr>
    </w:p>
    <w:tbl>
      <w:tblPr>
        <w:tblW w:w="0" w:type="auto"/>
        <w:tblBorders>
          <w:top w:val="single" w:sz="4" w:space="0" w:color="auto"/>
          <w:bottom w:val="single" w:sz="4" w:space="0" w:color="auto"/>
        </w:tblBorders>
        <w:tblLook w:val="0000" w:firstRow="0" w:lastRow="0" w:firstColumn="0" w:lastColumn="0" w:noHBand="0" w:noVBand="0"/>
      </w:tblPr>
      <w:tblGrid>
        <w:gridCol w:w="1331"/>
        <w:gridCol w:w="2057"/>
        <w:gridCol w:w="2456"/>
        <w:gridCol w:w="3401"/>
      </w:tblGrid>
      <w:tr w:rsidR="00406717" w:rsidRPr="00254BEE" w14:paraId="458FAE4B" w14:textId="77777777">
        <w:trPr>
          <w:tblHeader/>
        </w:trPr>
        <w:tc>
          <w:tcPr>
            <w:tcW w:w="0" w:type="auto"/>
            <w:tcBorders>
              <w:top w:val="nil"/>
              <w:bottom w:val="nil"/>
            </w:tcBorders>
            <w:shd w:val="clear" w:color="auto" w:fill="auto"/>
          </w:tcPr>
          <w:p w14:paraId="14CD7BB9" w14:textId="77777777" w:rsidR="005C09D9" w:rsidRPr="00254BEE" w:rsidRDefault="005C09D9" w:rsidP="00337C9C">
            <w:pPr>
              <w:pStyle w:val="Text"/>
              <w:widowControl w:val="0"/>
              <w:spacing w:before="0"/>
              <w:jc w:val="left"/>
              <w:rPr>
                <w:color w:val="000000" w:themeColor="text1"/>
              </w:rPr>
            </w:pPr>
          </w:p>
        </w:tc>
        <w:tc>
          <w:tcPr>
            <w:tcW w:w="0" w:type="auto"/>
            <w:gridSpan w:val="2"/>
            <w:tcBorders>
              <w:top w:val="single" w:sz="4" w:space="0" w:color="auto"/>
              <w:bottom w:val="single" w:sz="4" w:space="0" w:color="auto"/>
            </w:tcBorders>
            <w:shd w:val="clear" w:color="auto" w:fill="auto"/>
          </w:tcPr>
          <w:p w14:paraId="2A102127" w14:textId="77777777" w:rsidR="005C09D9" w:rsidRPr="00254BEE" w:rsidRDefault="00EC673F" w:rsidP="00337C9C">
            <w:pPr>
              <w:pStyle w:val="Text"/>
              <w:widowControl w:val="0"/>
              <w:spacing w:before="0"/>
              <w:jc w:val="center"/>
              <w:rPr>
                <w:color w:val="000000" w:themeColor="text1"/>
              </w:rPr>
            </w:pPr>
            <w:r w:rsidRPr="00254BEE">
              <w:rPr>
                <w:color w:val="000000" w:themeColor="text1"/>
              </w:rPr>
              <w:t>Proportion of patients with a clinically meaningful improvement in QOL</w:t>
            </w:r>
          </w:p>
        </w:tc>
        <w:tc>
          <w:tcPr>
            <w:tcW w:w="0" w:type="auto"/>
            <w:vMerge w:val="restart"/>
            <w:tcBorders>
              <w:top w:val="single" w:sz="4" w:space="0" w:color="auto"/>
            </w:tcBorders>
            <w:shd w:val="clear" w:color="auto" w:fill="auto"/>
          </w:tcPr>
          <w:p w14:paraId="47D4B0CE" w14:textId="77777777" w:rsidR="005C09D9" w:rsidRPr="00254BEE" w:rsidRDefault="00EC673F" w:rsidP="00337C9C">
            <w:pPr>
              <w:pStyle w:val="Text"/>
              <w:widowControl w:val="0"/>
              <w:spacing w:before="0"/>
              <w:jc w:val="center"/>
              <w:rPr>
                <w:color w:val="000000" w:themeColor="text1"/>
              </w:rPr>
            </w:pPr>
            <w:r w:rsidRPr="00254BEE">
              <w:rPr>
                <w:color w:val="000000" w:themeColor="text1"/>
              </w:rPr>
              <w:t>Mean difference in change from baseline compared to placebo/control</w:t>
            </w:r>
          </w:p>
        </w:tc>
      </w:tr>
      <w:tr w:rsidR="00406717" w:rsidRPr="00254BEE" w14:paraId="0BC5C327" w14:textId="77777777">
        <w:trPr>
          <w:tblHeader/>
        </w:trPr>
        <w:tc>
          <w:tcPr>
            <w:tcW w:w="0" w:type="auto"/>
            <w:tcBorders>
              <w:top w:val="nil"/>
              <w:bottom w:val="single" w:sz="4" w:space="0" w:color="auto"/>
            </w:tcBorders>
            <w:shd w:val="clear" w:color="auto" w:fill="auto"/>
          </w:tcPr>
          <w:p w14:paraId="341E5CD2" w14:textId="77777777" w:rsidR="005C09D9" w:rsidRPr="00254BEE" w:rsidRDefault="005C09D9" w:rsidP="00337C9C">
            <w:pPr>
              <w:pStyle w:val="Text"/>
              <w:widowControl w:val="0"/>
              <w:spacing w:before="0"/>
              <w:jc w:val="left"/>
              <w:rPr>
                <w:color w:val="000000" w:themeColor="text1"/>
              </w:rPr>
            </w:pPr>
          </w:p>
        </w:tc>
        <w:tc>
          <w:tcPr>
            <w:tcW w:w="0" w:type="auto"/>
            <w:tcBorders>
              <w:top w:val="single" w:sz="4" w:space="0" w:color="auto"/>
              <w:bottom w:val="single" w:sz="4" w:space="0" w:color="auto"/>
            </w:tcBorders>
            <w:shd w:val="clear" w:color="auto" w:fill="auto"/>
          </w:tcPr>
          <w:p w14:paraId="0BDBBB82" w14:textId="77777777" w:rsidR="005C09D9" w:rsidRPr="00254BEE" w:rsidRDefault="00EC673F" w:rsidP="00337C9C">
            <w:pPr>
              <w:pStyle w:val="Text"/>
              <w:widowControl w:val="0"/>
              <w:spacing w:before="0"/>
              <w:jc w:val="center"/>
              <w:rPr>
                <w:color w:val="000000" w:themeColor="text1"/>
              </w:rPr>
            </w:pPr>
            <w:r w:rsidRPr="00254BEE">
              <w:rPr>
                <w:color w:val="000000" w:themeColor="text1"/>
              </w:rPr>
              <w:t>Omalizumab (%)</w:t>
            </w:r>
          </w:p>
        </w:tc>
        <w:tc>
          <w:tcPr>
            <w:tcW w:w="0" w:type="auto"/>
            <w:tcBorders>
              <w:top w:val="single" w:sz="4" w:space="0" w:color="auto"/>
              <w:bottom w:val="single" w:sz="4" w:space="0" w:color="auto"/>
            </w:tcBorders>
            <w:shd w:val="clear" w:color="auto" w:fill="auto"/>
          </w:tcPr>
          <w:p w14:paraId="07B52E31" w14:textId="77777777" w:rsidR="005C09D9" w:rsidRPr="00254BEE" w:rsidRDefault="00EC673F" w:rsidP="00337C9C">
            <w:pPr>
              <w:pStyle w:val="Text"/>
              <w:widowControl w:val="0"/>
              <w:spacing w:before="0"/>
              <w:jc w:val="center"/>
              <w:rPr>
                <w:color w:val="000000" w:themeColor="text1"/>
              </w:rPr>
            </w:pPr>
            <w:r w:rsidRPr="00254BEE">
              <w:rPr>
                <w:color w:val="000000" w:themeColor="text1"/>
              </w:rPr>
              <w:t>Placebo/Control (%)</w:t>
            </w:r>
          </w:p>
        </w:tc>
        <w:tc>
          <w:tcPr>
            <w:tcW w:w="0" w:type="auto"/>
            <w:vMerge/>
            <w:tcBorders>
              <w:bottom w:val="single" w:sz="4" w:space="0" w:color="auto"/>
            </w:tcBorders>
            <w:shd w:val="clear" w:color="auto" w:fill="auto"/>
          </w:tcPr>
          <w:p w14:paraId="4CB9B79C" w14:textId="77777777" w:rsidR="005C09D9" w:rsidRPr="00254BEE" w:rsidRDefault="005C09D9" w:rsidP="00337C9C">
            <w:pPr>
              <w:pStyle w:val="Text"/>
              <w:widowControl w:val="0"/>
              <w:spacing w:before="0"/>
              <w:jc w:val="center"/>
              <w:rPr>
                <w:color w:val="000000" w:themeColor="text1"/>
              </w:rPr>
            </w:pPr>
          </w:p>
        </w:tc>
      </w:tr>
      <w:tr w:rsidR="005C09D9" w:rsidRPr="00254BEE" w14:paraId="0F748400" w14:textId="77777777" w:rsidTr="00731E5F">
        <w:trPr>
          <w:tblHeader/>
        </w:trPr>
        <w:tc>
          <w:tcPr>
            <w:tcW w:w="0" w:type="auto"/>
            <w:tcBorders>
              <w:top w:val="single" w:sz="4" w:space="0" w:color="auto"/>
              <w:bottom w:val="single" w:sz="4" w:space="0" w:color="auto"/>
            </w:tcBorders>
            <w:shd w:val="clear" w:color="auto" w:fill="auto"/>
          </w:tcPr>
          <w:p w14:paraId="3CDC5CBA" w14:textId="77777777" w:rsidR="005C09D9" w:rsidRPr="00254BEE" w:rsidRDefault="00EC673F" w:rsidP="00337C9C">
            <w:pPr>
              <w:pStyle w:val="Text"/>
              <w:widowControl w:val="0"/>
              <w:spacing w:before="0"/>
              <w:jc w:val="left"/>
              <w:rPr>
                <w:color w:val="000000" w:themeColor="text1"/>
              </w:rPr>
            </w:pPr>
            <w:r w:rsidRPr="00254BEE">
              <w:rPr>
                <w:color w:val="000000" w:themeColor="text1"/>
              </w:rPr>
              <w:t>Study 2306</w:t>
            </w:r>
          </w:p>
        </w:tc>
        <w:tc>
          <w:tcPr>
            <w:tcW w:w="0" w:type="auto"/>
            <w:tcBorders>
              <w:top w:val="single" w:sz="4" w:space="0" w:color="auto"/>
              <w:bottom w:val="single" w:sz="4" w:space="0" w:color="auto"/>
            </w:tcBorders>
            <w:shd w:val="clear" w:color="auto" w:fill="auto"/>
          </w:tcPr>
          <w:p w14:paraId="6CDE0FD4" w14:textId="77777777" w:rsidR="005C09D9" w:rsidRPr="00254BEE" w:rsidRDefault="00EC673F" w:rsidP="00337C9C">
            <w:pPr>
              <w:pStyle w:val="Text"/>
              <w:widowControl w:val="0"/>
              <w:spacing w:before="0"/>
              <w:jc w:val="center"/>
              <w:rPr>
                <w:color w:val="000000" w:themeColor="text1"/>
              </w:rPr>
            </w:pPr>
            <w:r w:rsidRPr="00254BEE">
              <w:rPr>
                <w:color w:val="000000" w:themeColor="text1"/>
              </w:rPr>
              <w:t>60.8*</w:t>
            </w:r>
          </w:p>
        </w:tc>
        <w:tc>
          <w:tcPr>
            <w:tcW w:w="0" w:type="auto"/>
            <w:tcBorders>
              <w:top w:val="single" w:sz="4" w:space="0" w:color="auto"/>
              <w:bottom w:val="single" w:sz="4" w:space="0" w:color="auto"/>
            </w:tcBorders>
            <w:shd w:val="clear" w:color="auto" w:fill="auto"/>
          </w:tcPr>
          <w:p w14:paraId="1E122411" w14:textId="77777777" w:rsidR="005C09D9" w:rsidRPr="00254BEE" w:rsidRDefault="00EC673F" w:rsidP="00337C9C">
            <w:pPr>
              <w:pStyle w:val="Text"/>
              <w:widowControl w:val="0"/>
              <w:spacing w:before="0"/>
              <w:jc w:val="center"/>
              <w:rPr>
                <w:color w:val="000000" w:themeColor="text1"/>
              </w:rPr>
            </w:pPr>
            <w:r w:rsidRPr="00254BEE">
              <w:rPr>
                <w:color w:val="000000" w:themeColor="text1"/>
              </w:rPr>
              <w:t>47.8</w:t>
            </w:r>
          </w:p>
        </w:tc>
        <w:tc>
          <w:tcPr>
            <w:tcW w:w="0" w:type="auto"/>
            <w:tcBorders>
              <w:top w:val="single" w:sz="4" w:space="0" w:color="auto"/>
              <w:bottom w:val="single" w:sz="4" w:space="0" w:color="auto"/>
            </w:tcBorders>
            <w:shd w:val="clear" w:color="auto" w:fill="auto"/>
          </w:tcPr>
          <w:p w14:paraId="38FE50F4" w14:textId="77777777" w:rsidR="005C09D9" w:rsidRPr="00254BEE" w:rsidRDefault="00EC673F" w:rsidP="00337C9C">
            <w:pPr>
              <w:pStyle w:val="Text"/>
              <w:widowControl w:val="0"/>
              <w:spacing w:before="0"/>
              <w:jc w:val="center"/>
              <w:rPr>
                <w:color w:val="000000" w:themeColor="text1"/>
              </w:rPr>
            </w:pPr>
            <w:r w:rsidRPr="00254BEE">
              <w:rPr>
                <w:color w:val="000000" w:themeColor="text1"/>
              </w:rPr>
              <w:t>0.45*</w:t>
            </w:r>
          </w:p>
        </w:tc>
      </w:tr>
      <w:tr w:rsidR="00406717" w:rsidRPr="00254BEE" w14:paraId="1B7BBDF1" w14:textId="77777777">
        <w:tc>
          <w:tcPr>
            <w:tcW w:w="0" w:type="auto"/>
            <w:tcBorders>
              <w:top w:val="single" w:sz="4" w:space="0" w:color="auto"/>
              <w:bottom w:val="nil"/>
            </w:tcBorders>
            <w:shd w:val="clear" w:color="auto" w:fill="auto"/>
          </w:tcPr>
          <w:p w14:paraId="03F8A1EF" w14:textId="77777777" w:rsidR="005C09D9" w:rsidRPr="00254BEE" w:rsidRDefault="00EC673F" w:rsidP="00337C9C">
            <w:pPr>
              <w:pStyle w:val="Text"/>
              <w:widowControl w:val="0"/>
              <w:spacing w:before="0"/>
              <w:jc w:val="left"/>
              <w:rPr>
                <w:color w:val="000000" w:themeColor="text1"/>
              </w:rPr>
            </w:pPr>
            <w:r w:rsidRPr="00254BEE">
              <w:rPr>
                <w:color w:val="000000" w:themeColor="text1"/>
              </w:rPr>
              <w:t>Study 2304</w:t>
            </w:r>
          </w:p>
        </w:tc>
        <w:tc>
          <w:tcPr>
            <w:tcW w:w="0" w:type="auto"/>
            <w:tcBorders>
              <w:top w:val="single" w:sz="4" w:space="0" w:color="auto"/>
              <w:bottom w:val="nil"/>
            </w:tcBorders>
            <w:shd w:val="clear" w:color="auto" w:fill="auto"/>
          </w:tcPr>
          <w:p w14:paraId="74690E8F" w14:textId="77777777" w:rsidR="005C09D9" w:rsidRPr="00254BEE" w:rsidRDefault="00EC673F" w:rsidP="00337C9C">
            <w:pPr>
              <w:pStyle w:val="Text"/>
              <w:widowControl w:val="0"/>
              <w:spacing w:before="0"/>
              <w:jc w:val="center"/>
              <w:rPr>
                <w:color w:val="000000" w:themeColor="text1"/>
              </w:rPr>
            </w:pPr>
            <w:r w:rsidRPr="00254BEE">
              <w:rPr>
                <w:color w:val="000000" w:themeColor="text1"/>
              </w:rPr>
              <w:t>78.8*</w:t>
            </w:r>
          </w:p>
        </w:tc>
        <w:tc>
          <w:tcPr>
            <w:tcW w:w="0" w:type="auto"/>
            <w:tcBorders>
              <w:top w:val="single" w:sz="4" w:space="0" w:color="auto"/>
              <w:bottom w:val="nil"/>
            </w:tcBorders>
            <w:shd w:val="clear" w:color="auto" w:fill="auto"/>
          </w:tcPr>
          <w:p w14:paraId="7D6081C0" w14:textId="77777777" w:rsidR="005C09D9" w:rsidRPr="00254BEE" w:rsidRDefault="00EC673F" w:rsidP="00337C9C">
            <w:pPr>
              <w:pStyle w:val="Text"/>
              <w:widowControl w:val="0"/>
              <w:spacing w:before="0"/>
              <w:jc w:val="center"/>
              <w:rPr>
                <w:color w:val="000000" w:themeColor="text1"/>
              </w:rPr>
            </w:pPr>
            <w:r w:rsidRPr="00254BEE">
              <w:rPr>
                <w:color w:val="000000" w:themeColor="text1"/>
              </w:rPr>
              <w:t>69.8</w:t>
            </w:r>
          </w:p>
        </w:tc>
        <w:tc>
          <w:tcPr>
            <w:tcW w:w="0" w:type="auto"/>
            <w:tcBorders>
              <w:top w:val="single" w:sz="4" w:space="0" w:color="auto"/>
              <w:bottom w:val="nil"/>
            </w:tcBorders>
            <w:shd w:val="clear" w:color="auto" w:fill="auto"/>
          </w:tcPr>
          <w:p w14:paraId="7A5EA20D" w14:textId="77777777" w:rsidR="005C09D9" w:rsidRPr="00254BEE" w:rsidRDefault="00EC673F" w:rsidP="00337C9C">
            <w:pPr>
              <w:pStyle w:val="Text"/>
              <w:widowControl w:val="0"/>
              <w:spacing w:before="0"/>
              <w:jc w:val="center"/>
              <w:rPr>
                <w:color w:val="000000" w:themeColor="text1"/>
              </w:rPr>
            </w:pPr>
            <w:r w:rsidRPr="00254BEE">
              <w:rPr>
                <w:color w:val="000000" w:themeColor="text1"/>
              </w:rPr>
              <w:t>0.25*</w:t>
            </w:r>
          </w:p>
        </w:tc>
      </w:tr>
      <w:tr w:rsidR="005C09D9" w:rsidRPr="00254BEE" w14:paraId="02D61E6E" w14:textId="77777777" w:rsidTr="00731E5F">
        <w:tc>
          <w:tcPr>
            <w:tcW w:w="0" w:type="auto"/>
            <w:tcBorders>
              <w:top w:val="single" w:sz="4" w:space="0" w:color="auto"/>
              <w:bottom w:val="single" w:sz="4" w:space="0" w:color="auto"/>
            </w:tcBorders>
            <w:shd w:val="clear" w:color="auto" w:fill="auto"/>
          </w:tcPr>
          <w:p w14:paraId="75328BB5" w14:textId="77777777" w:rsidR="005C09D9" w:rsidRPr="00254BEE" w:rsidRDefault="00EC673F" w:rsidP="00337C9C">
            <w:pPr>
              <w:pStyle w:val="Text"/>
              <w:widowControl w:val="0"/>
              <w:spacing w:before="0"/>
              <w:jc w:val="left"/>
              <w:rPr>
                <w:color w:val="000000" w:themeColor="text1"/>
              </w:rPr>
            </w:pPr>
            <w:r w:rsidRPr="00254BEE">
              <w:rPr>
                <w:color w:val="000000" w:themeColor="text1"/>
              </w:rPr>
              <w:t>Study 008</w:t>
            </w:r>
          </w:p>
        </w:tc>
        <w:tc>
          <w:tcPr>
            <w:tcW w:w="0" w:type="auto"/>
            <w:tcBorders>
              <w:top w:val="single" w:sz="4" w:space="0" w:color="auto"/>
              <w:bottom w:val="single" w:sz="4" w:space="0" w:color="auto"/>
            </w:tcBorders>
            <w:shd w:val="clear" w:color="auto" w:fill="auto"/>
          </w:tcPr>
          <w:p w14:paraId="2F2691B2" w14:textId="77777777" w:rsidR="005C09D9" w:rsidRPr="00254BEE" w:rsidRDefault="00EC673F" w:rsidP="00337C9C">
            <w:pPr>
              <w:pStyle w:val="Text"/>
              <w:widowControl w:val="0"/>
              <w:spacing w:before="0"/>
              <w:jc w:val="center"/>
              <w:rPr>
                <w:color w:val="000000" w:themeColor="text1"/>
              </w:rPr>
            </w:pPr>
            <w:r w:rsidRPr="00254BEE">
              <w:rPr>
                <w:color w:val="000000" w:themeColor="text1"/>
              </w:rPr>
              <w:t>74.6*</w:t>
            </w:r>
          </w:p>
        </w:tc>
        <w:tc>
          <w:tcPr>
            <w:tcW w:w="0" w:type="auto"/>
            <w:tcBorders>
              <w:top w:val="single" w:sz="4" w:space="0" w:color="auto"/>
              <w:bottom w:val="single" w:sz="4" w:space="0" w:color="auto"/>
            </w:tcBorders>
            <w:shd w:val="clear" w:color="auto" w:fill="auto"/>
          </w:tcPr>
          <w:p w14:paraId="75B025B7" w14:textId="77777777" w:rsidR="005C09D9" w:rsidRPr="00254BEE" w:rsidRDefault="00EC673F" w:rsidP="00337C9C">
            <w:pPr>
              <w:pStyle w:val="Text"/>
              <w:widowControl w:val="0"/>
              <w:spacing w:before="0"/>
              <w:jc w:val="center"/>
              <w:rPr>
                <w:color w:val="000000" w:themeColor="text1"/>
              </w:rPr>
            </w:pPr>
            <w:r w:rsidRPr="00254BEE">
              <w:rPr>
                <w:color w:val="000000" w:themeColor="text1"/>
              </w:rPr>
              <w:t>65.5</w:t>
            </w:r>
          </w:p>
        </w:tc>
        <w:tc>
          <w:tcPr>
            <w:tcW w:w="0" w:type="auto"/>
            <w:tcBorders>
              <w:top w:val="single" w:sz="4" w:space="0" w:color="auto"/>
              <w:bottom w:val="single" w:sz="4" w:space="0" w:color="auto"/>
            </w:tcBorders>
            <w:shd w:val="clear" w:color="auto" w:fill="auto"/>
          </w:tcPr>
          <w:p w14:paraId="01A3C556" w14:textId="77777777" w:rsidR="005C09D9" w:rsidRPr="00254BEE" w:rsidRDefault="00EC673F" w:rsidP="00337C9C">
            <w:pPr>
              <w:pStyle w:val="Text"/>
              <w:widowControl w:val="0"/>
              <w:spacing w:before="0"/>
              <w:jc w:val="center"/>
              <w:rPr>
                <w:color w:val="000000" w:themeColor="text1"/>
              </w:rPr>
            </w:pPr>
            <w:r w:rsidRPr="00254BEE">
              <w:rPr>
                <w:color w:val="000000" w:themeColor="text1"/>
              </w:rPr>
              <w:t>0.28*</w:t>
            </w:r>
          </w:p>
        </w:tc>
      </w:tr>
      <w:tr w:rsidR="005C09D9" w:rsidRPr="00254BEE" w14:paraId="1B48A189" w14:textId="77777777" w:rsidTr="00731E5F">
        <w:tc>
          <w:tcPr>
            <w:tcW w:w="0" w:type="auto"/>
            <w:tcBorders>
              <w:top w:val="single" w:sz="4" w:space="0" w:color="auto"/>
              <w:bottom w:val="single" w:sz="4" w:space="0" w:color="auto"/>
            </w:tcBorders>
            <w:shd w:val="clear" w:color="auto" w:fill="auto"/>
          </w:tcPr>
          <w:p w14:paraId="6B5A1F8D" w14:textId="77777777" w:rsidR="005C09D9" w:rsidRPr="00254BEE" w:rsidRDefault="00EC673F" w:rsidP="00337C9C">
            <w:pPr>
              <w:pStyle w:val="Text"/>
              <w:widowControl w:val="0"/>
              <w:spacing w:before="0"/>
              <w:jc w:val="left"/>
              <w:rPr>
                <w:color w:val="000000" w:themeColor="text1"/>
              </w:rPr>
            </w:pPr>
            <w:r w:rsidRPr="00254BEE">
              <w:rPr>
                <w:color w:val="000000" w:themeColor="text1"/>
              </w:rPr>
              <w:t>Study 009</w:t>
            </w:r>
          </w:p>
        </w:tc>
        <w:tc>
          <w:tcPr>
            <w:tcW w:w="0" w:type="auto"/>
            <w:tcBorders>
              <w:top w:val="single" w:sz="4" w:space="0" w:color="auto"/>
              <w:bottom w:val="single" w:sz="4" w:space="0" w:color="auto"/>
            </w:tcBorders>
            <w:shd w:val="clear" w:color="auto" w:fill="auto"/>
          </w:tcPr>
          <w:p w14:paraId="7B795565" w14:textId="77777777" w:rsidR="005C09D9" w:rsidRPr="00254BEE" w:rsidRDefault="00EC673F" w:rsidP="00337C9C">
            <w:pPr>
              <w:pStyle w:val="Text"/>
              <w:widowControl w:val="0"/>
              <w:spacing w:before="0"/>
              <w:jc w:val="center"/>
              <w:rPr>
                <w:color w:val="000000" w:themeColor="text1"/>
              </w:rPr>
            </w:pPr>
            <w:r w:rsidRPr="00254BEE">
              <w:rPr>
                <w:color w:val="000000" w:themeColor="text1"/>
              </w:rPr>
              <w:t>68.4</w:t>
            </w:r>
          </w:p>
        </w:tc>
        <w:tc>
          <w:tcPr>
            <w:tcW w:w="0" w:type="auto"/>
            <w:tcBorders>
              <w:top w:val="single" w:sz="4" w:space="0" w:color="auto"/>
              <w:bottom w:val="single" w:sz="4" w:space="0" w:color="auto"/>
            </w:tcBorders>
            <w:shd w:val="clear" w:color="auto" w:fill="auto"/>
          </w:tcPr>
          <w:p w14:paraId="78CE0E3B" w14:textId="77777777" w:rsidR="005C09D9" w:rsidRPr="00254BEE" w:rsidRDefault="00EC673F" w:rsidP="00337C9C">
            <w:pPr>
              <w:pStyle w:val="Text"/>
              <w:widowControl w:val="0"/>
              <w:spacing w:before="0"/>
              <w:jc w:val="center"/>
              <w:rPr>
                <w:color w:val="000000" w:themeColor="text1"/>
              </w:rPr>
            </w:pPr>
            <w:r w:rsidRPr="00254BEE">
              <w:rPr>
                <w:color w:val="000000" w:themeColor="text1"/>
              </w:rPr>
              <w:t>69.3</w:t>
            </w:r>
          </w:p>
        </w:tc>
        <w:tc>
          <w:tcPr>
            <w:tcW w:w="0" w:type="auto"/>
            <w:tcBorders>
              <w:top w:val="single" w:sz="4" w:space="0" w:color="auto"/>
              <w:bottom w:val="single" w:sz="4" w:space="0" w:color="auto"/>
            </w:tcBorders>
            <w:shd w:val="clear" w:color="auto" w:fill="auto"/>
          </w:tcPr>
          <w:p w14:paraId="1404E818" w14:textId="77777777" w:rsidR="005C09D9" w:rsidRPr="00254BEE" w:rsidRDefault="00EC673F" w:rsidP="00337C9C">
            <w:pPr>
              <w:pStyle w:val="Text"/>
              <w:widowControl w:val="0"/>
              <w:spacing w:before="0"/>
              <w:jc w:val="center"/>
              <w:rPr>
                <w:color w:val="000000" w:themeColor="text1"/>
              </w:rPr>
            </w:pPr>
            <w:r w:rsidRPr="00254BEE">
              <w:rPr>
                <w:color w:val="000000" w:themeColor="text1"/>
              </w:rPr>
              <w:t>0.32*</w:t>
            </w:r>
          </w:p>
        </w:tc>
      </w:tr>
      <w:tr w:rsidR="00406717" w:rsidRPr="00254BEE" w14:paraId="2F7864A4" w14:textId="77777777">
        <w:tc>
          <w:tcPr>
            <w:tcW w:w="0" w:type="auto"/>
            <w:tcBorders>
              <w:top w:val="nil"/>
              <w:bottom w:val="single" w:sz="4" w:space="0" w:color="auto"/>
            </w:tcBorders>
            <w:shd w:val="clear" w:color="auto" w:fill="auto"/>
          </w:tcPr>
          <w:p w14:paraId="4C69BCD1" w14:textId="77777777" w:rsidR="005C09D9" w:rsidRPr="00254BEE" w:rsidRDefault="00EC673F" w:rsidP="00337C9C">
            <w:pPr>
              <w:pStyle w:val="Text"/>
              <w:widowControl w:val="0"/>
              <w:spacing w:before="0"/>
              <w:jc w:val="left"/>
              <w:rPr>
                <w:color w:val="000000" w:themeColor="text1"/>
              </w:rPr>
            </w:pPr>
            <w:r w:rsidRPr="00254BEE">
              <w:rPr>
                <w:color w:val="000000" w:themeColor="text1"/>
              </w:rPr>
              <w:lastRenderedPageBreak/>
              <w:t>Study IA04</w:t>
            </w:r>
          </w:p>
        </w:tc>
        <w:tc>
          <w:tcPr>
            <w:tcW w:w="0" w:type="auto"/>
            <w:tcBorders>
              <w:top w:val="nil"/>
              <w:bottom w:val="single" w:sz="4" w:space="0" w:color="auto"/>
            </w:tcBorders>
            <w:shd w:val="clear" w:color="auto" w:fill="auto"/>
          </w:tcPr>
          <w:p w14:paraId="0F7D72AC" w14:textId="77777777" w:rsidR="005C09D9" w:rsidRPr="00254BEE" w:rsidRDefault="00EC673F" w:rsidP="00337C9C">
            <w:pPr>
              <w:pStyle w:val="Text"/>
              <w:widowControl w:val="0"/>
              <w:spacing w:before="0"/>
              <w:jc w:val="center"/>
              <w:rPr>
                <w:color w:val="000000" w:themeColor="text1"/>
              </w:rPr>
            </w:pPr>
            <w:r w:rsidRPr="00254BEE">
              <w:rPr>
                <w:color w:val="000000" w:themeColor="text1"/>
              </w:rPr>
              <w:t>71.8*</w:t>
            </w:r>
          </w:p>
        </w:tc>
        <w:tc>
          <w:tcPr>
            <w:tcW w:w="0" w:type="auto"/>
            <w:tcBorders>
              <w:top w:val="nil"/>
              <w:bottom w:val="single" w:sz="4" w:space="0" w:color="auto"/>
            </w:tcBorders>
            <w:shd w:val="clear" w:color="auto" w:fill="auto"/>
          </w:tcPr>
          <w:p w14:paraId="5AA4F4AB" w14:textId="77777777" w:rsidR="005C09D9" w:rsidRPr="00254BEE" w:rsidRDefault="00EC673F" w:rsidP="00337C9C">
            <w:pPr>
              <w:pStyle w:val="Text"/>
              <w:widowControl w:val="0"/>
              <w:spacing w:before="0"/>
              <w:jc w:val="center"/>
              <w:rPr>
                <w:color w:val="000000" w:themeColor="text1"/>
              </w:rPr>
            </w:pPr>
            <w:r w:rsidRPr="00254BEE">
              <w:rPr>
                <w:color w:val="000000" w:themeColor="text1"/>
              </w:rPr>
              <w:t>43.2</w:t>
            </w:r>
          </w:p>
        </w:tc>
        <w:tc>
          <w:tcPr>
            <w:tcW w:w="0" w:type="auto"/>
            <w:tcBorders>
              <w:top w:val="nil"/>
              <w:bottom w:val="single" w:sz="4" w:space="0" w:color="auto"/>
            </w:tcBorders>
            <w:shd w:val="clear" w:color="auto" w:fill="auto"/>
          </w:tcPr>
          <w:p w14:paraId="054B2934" w14:textId="77777777" w:rsidR="005C09D9" w:rsidRPr="00254BEE" w:rsidRDefault="00EC673F" w:rsidP="00337C9C">
            <w:pPr>
              <w:pStyle w:val="Text"/>
              <w:widowControl w:val="0"/>
              <w:spacing w:before="0"/>
              <w:jc w:val="center"/>
              <w:rPr>
                <w:color w:val="000000" w:themeColor="text1"/>
              </w:rPr>
            </w:pPr>
            <w:r w:rsidRPr="00254BEE">
              <w:rPr>
                <w:color w:val="000000" w:themeColor="text1"/>
              </w:rPr>
              <w:t>0.48*</w:t>
            </w:r>
          </w:p>
        </w:tc>
      </w:tr>
      <w:tr w:rsidR="00406717" w:rsidRPr="00254BEE" w14:paraId="6F776C6F" w14:textId="77777777">
        <w:tc>
          <w:tcPr>
            <w:tcW w:w="0" w:type="auto"/>
            <w:tcBorders>
              <w:top w:val="nil"/>
              <w:bottom w:val="single" w:sz="4" w:space="0" w:color="auto"/>
            </w:tcBorders>
            <w:shd w:val="clear" w:color="auto" w:fill="auto"/>
          </w:tcPr>
          <w:p w14:paraId="38B9BC9F" w14:textId="77777777" w:rsidR="005C09D9" w:rsidRPr="00254BEE" w:rsidRDefault="00EC673F" w:rsidP="00337C9C">
            <w:pPr>
              <w:pStyle w:val="Text"/>
              <w:widowControl w:val="0"/>
              <w:spacing w:before="0"/>
              <w:jc w:val="left"/>
              <w:rPr>
                <w:color w:val="000000" w:themeColor="text1"/>
              </w:rPr>
            </w:pPr>
            <w:r w:rsidRPr="00254BEE">
              <w:rPr>
                <w:color w:val="000000" w:themeColor="text1"/>
              </w:rPr>
              <w:t>Study 011</w:t>
            </w:r>
          </w:p>
        </w:tc>
        <w:tc>
          <w:tcPr>
            <w:tcW w:w="0" w:type="auto"/>
            <w:tcBorders>
              <w:top w:val="nil"/>
              <w:bottom w:val="single" w:sz="4" w:space="0" w:color="auto"/>
            </w:tcBorders>
            <w:shd w:val="clear" w:color="auto" w:fill="auto"/>
          </w:tcPr>
          <w:p w14:paraId="4885FFD2" w14:textId="77777777" w:rsidR="005C09D9" w:rsidRPr="00254BEE" w:rsidRDefault="00EC673F" w:rsidP="00337C9C">
            <w:pPr>
              <w:pStyle w:val="Text"/>
              <w:widowControl w:val="0"/>
              <w:spacing w:before="0"/>
              <w:jc w:val="center"/>
              <w:rPr>
                <w:color w:val="000000" w:themeColor="text1"/>
              </w:rPr>
            </w:pPr>
            <w:r w:rsidRPr="00254BEE">
              <w:rPr>
                <w:color w:val="000000" w:themeColor="text1"/>
              </w:rPr>
              <w:t>52.3*</w:t>
            </w:r>
          </w:p>
        </w:tc>
        <w:tc>
          <w:tcPr>
            <w:tcW w:w="0" w:type="auto"/>
            <w:tcBorders>
              <w:top w:val="nil"/>
              <w:bottom w:val="single" w:sz="4" w:space="0" w:color="auto"/>
            </w:tcBorders>
            <w:shd w:val="clear" w:color="auto" w:fill="auto"/>
          </w:tcPr>
          <w:p w14:paraId="57B3EFE2" w14:textId="77777777" w:rsidR="005C09D9" w:rsidRPr="00254BEE" w:rsidRDefault="00EC673F" w:rsidP="00337C9C">
            <w:pPr>
              <w:pStyle w:val="Text"/>
              <w:widowControl w:val="0"/>
              <w:spacing w:before="0"/>
              <w:jc w:val="center"/>
              <w:rPr>
                <w:color w:val="000000" w:themeColor="text1"/>
              </w:rPr>
            </w:pPr>
            <w:r w:rsidRPr="00254BEE">
              <w:rPr>
                <w:color w:val="000000" w:themeColor="text1"/>
              </w:rPr>
              <w:t>35.7</w:t>
            </w:r>
          </w:p>
        </w:tc>
        <w:tc>
          <w:tcPr>
            <w:tcW w:w="0" w:type="auto"/>
            <w:tcBorders>
              <w:top w:val="nil"/>
              <w:bottom w:val="single" w:sz="4" w:space="0" w:color="auto"/>
            </w:tcBorders>
            <w:shd w:val="clear" w:color="auto" w:fill="auto"/>
          </w:tcPr>
          <w:p w14:paraId="2D068DB7" w14:textId="77777777" w:rsidR="005C09D9" w:rsidRPr="00254BEE" w:rsidRDefault="00EC673F" w:rsidP="00337C9C">
            <w:pPr>
              <w:pStyle w:val="Text"/>
              <w:widowControl w:val="0"/>
              <w:spacing w:before="0"/>
              <w:jc w:val="center"/>
              <w:rPr>
                <w:color w:val="000000" w:themeColor="text1"/>
              </w:rPr>
            </w:pPr>
            <w:r w:rsidRPr="00254BEE">
              <w:rPr>
                <w:color w:val="000000" w:themeColor="text1"/>
              </w:rPr>
              <w:t>0.28*</w:t>
            </w:r>
          </w:p>
        </w:tc>
      </w:tr>
      <w:tr w:rsidR="005C09D9" w:rsidRPr="00254BEE" w14:paraId="1E84D1F6" w14:textId="77777777" w:rsidTr="00731E5F">
        <w:tc>
          <w:tcPr>
            <w:tcW w:w="0" w:type="auto"/>
            <w:gridSpan w:val="4"/>
            <w:tcBorders>
              <w:top w:val="single" w:sz="4" w:space="0" w:color="auto"/>
              <w:bottom w:val="single" w:sz="4" w:space="0" w:color="auto"/>
            </w:tcBorders>
            <w:shd w:val="clear" w:color="auto" w:fill="auto"/>
          </w:tcPr>
          <w:p w14:paraId="5387DF0D" w14:textId="77777777" w:rsidR="005C09D9" w:rsidRPr="00254BEE" w:rsidRDefault="00EC673F" w:rsidP="00337C9C">
            <w:pPr>
              <w:pStyle w:val="Text"/>
              <w:widowControl w:val="0"/>
              <w:spacing w:before="0"/>
              <w:jc w:val="left"/>
              <w:rPr>
                <w:color w:val="000000" w:themeColor="text1"/>
              </w:rPr>
            </w:pPr>
            <w:r w:rsidRPr="00254BEE">
              <w:rPr>
                <w:color w:val="000000" w:themeColor="text1"/>
              </w:rPr>
              <w:t xml:space="preserve">* p&lt;0.05 (comparison of omalizumab to placebo/control) </w:t>
            </w:r>
          </w:p>
        </w:tc>
      </w:tr>
    </w:tbl>
    <w:p w14:paraId="687794D8" w14:textId="77777777" w:rsidR="003E4BDD" w:rsidRPr="00254BEE" w:rsidRDefault="003E4BDD" w:rsidP="00604B4E">
      <w:pPr>
        <w:pStyle w:val="Heading5"/>
        <w:spacing w:before="240" w:after="240" w:line="240" w:lineRule="auto"/>
        <w:rPr>
          <w:color w:val="000000" w:themeColor="text1"/>
        </w:rPr>
      </w:pPr>
    </w:p>
    <w:p w14:paraId="4E961170" w14:textId="77777777" w:rsidR="0003318E" w:rsidRPr="00254BEE" w:rsidRDefault="0003318E" w:rsidP="0003318E">
      <w:pPr>
        <w:widowControl w:val="0"/>
        <w:rPr>
          <w:b/>
          <w:szCs w:val="24"/>
        </w:rPr>
      </w:pPr>
      <w:r w:rsidRPr="00254BEE">
        <w:rPr>
          <w:b/>
          <w:szCs w:val="24"/>
        </w:rPr>
        <w:t xml:space="preserve">Children 6 to &lt; 12 years of age </w:t>
      </w:r>
    </w:p>
    <w:p w14:paraId="6E27CFE6" w14:textId="77777777" w:rsidR="0003318E" w:rsidRPr="00254BEE" w:rsidRDefault="0003318E" w:rsidP="0003318E">
      <w:pPr>
        <w:pStyle w:val="Text"/>
        <w:tabs>
          <w:tab w:val="left" w:pos="567"/>
        </w:tabs>
        <w:spacing w:before="0"/>
        <w:jc w:val="left"/>
        <w:rPr>
          <w:szCs w:val="24"/>
        </w:rPr>
      </w:pPr>
    </w:p>
    <w:p w14:paraId="085F9F12" w14:textId="77777777" w:rsidR="0003318E" w:rsidRPr="00254BEE" w:rsidRDefault="0003318E" w:rsidP="00304C91">
      <w:pPr>
        <w:pStyle w:val="Text"/>
        <w:tabs>
          <w:tab w:val="left" w:pos="2265"/>
        </w:tabs>
        <w:spacing w:before="0"/>
        <w:jc w:val="left"/>
        <w:rPr>
          <w:szCs w:val="24"/>
        </w:rPr>
      </w:pPr>
      <w:r w:rsidRPr="00254BEE">
        <w:rPr>
          <w:szCs w:val="24"/>
        </w:rPr>
        <w:t>The primary support for safety and efficacy of Xolair in the 6 to &lt;12 years of age group</w:t>
      </w:r>
      <w:r w:rsidR="00B36C84" w:rsidRPr="00254BEE">
        <w:rPr>
          <w:szCs w:val="24"/>
        </w:rPr>
        <w:t xml:space="preserve"> </w:t>
      </w:r>
      <w:r w:rsidRPr="00254BEE">
        <w:rPr>
          <w:szCs w:val="24"/>
        </w:rPr>
        <w:t>comes from one randomised, double-blind, placebo controlled, multi-centre trial (study IA05)</w:t>
      </w:r>
      <w:r w:rsidR="00B36C84" w:rsidRPr="00254BEE">
        <w:rPr>
          <w:szCs w:val="24"/>
        </w:rPr>
        <w:t xml:space="preserve"> </w:t>
      </w:r>
      <w:r w:rsidR="00304C91" w:rsidRPr="00254BEE">
        <w:rPr>
          <w:szCs w:val="24"/>
        </w:rPr>
        <w:tab/>
      </w:r>
    </w:p>
    <w:p w14:paraId="57663A66" w14:textId="77777777" w:rsidR="0003318E" w:rsidRPr="00254BEE" w:rsidRDefault="0003318E" w:rsidP="0003318E">
      <w:pPr>
        <w:pStyle w:val="Text"/>
        <w:tabs>
          <w:tab w:val="left" w:pos="567"/>
        </w:tabs>
        <w:spacing w:before="0"/>
        <w:jc w:val="left"/>
        <w:rPr>
          <w:szCs w:val="24"/>
        </w:rPr>
      </w:pPr>
      <w:r w:rsidRPr="00254BEE">
        <w:rPr>
          <w:szCs w:val="24"/>
        </w:rPr>
        <w:t>Study IA05 was a 52 week study that evaluated the safety and efficacy of Xolair as add-on</w:t>
      </w:r>
      <w:r w:rsidR="00B36C84" w:rsidRPr="00254BEE">
        <w:rPr>
          <w:szCs w:val="24"/>
        </w:rPr>
        <w:t xml:space="preserve"> </w:t>
      </w:r>
      <w:r w:rsidRPr="00254BEE">
        <w:rPr>
          <w:szCs w:val="24"/>
        </w:rPr>
        <w:t xml:space="preserve">therapy in 628 </w:t>
      </w:r>
      <w:r w:rsidR="0050511D" w:rsidRPr="00254BEE">
        <w:rPr>
          <w:szCs w:val="24"/>
        </w:rPr>
        <w:t xml:space="preserve">moderate to severe </w:t>
      </w:r>
      <w:r w:rsidRPr="00254BEE">
        <w:rPr>
          <w:szCs w:val="24"/>
        </w:rPr>
        <w:t>allergic asthmatics who were uncontrolled despite treatment with regular</w:t>
      </w:r>
      <w:r w:rsidR="00B36C84" w:rsidRPr="00254BEE">
        <w:rPr>
          <w:szCs w:val="24"/>
        </w:rPr>
        <w:t xml:space="preserve"> </w:t>
      </w:r>
      <w:r w:rsidRPr="00254BEE">
        <w:rPr>
          <w:szCs w:val="24"/>
        </w:rPr>
        <w:t>inhaled corticosteroids (</w:t>
      </w:r>
      <w:r w:rsidR="00B8463E" w:rsidRPr="00254BEE">
        <w:rPr>
          <w:szCs w:val="24"/>
        </w:rPr>
        <w:t>fluticasone propionate</w:t>
      </w:r>
      <w:r w:rsidR="00175953" w:rsidRPr="00254BEE">
        <w:rPr>
          <w:szCs w:val="24"/>
        </w:rPr>
        <w:t xml:space="preserve"> </w:t>
      </w:r>
      <w:r w:rsidR="00A5657E" w:rsidRPr="00254BEE">
        <w:rPr>
          <w:szCs w:val="24"/>
        </w:rPr>
        <w:t xml:space="preserve"> </w:t>
      </w:r>
      <w:r w:rsidRPr="00254BEE">
        <w:rPr>
          <w:szCs w:val="24"/>
        </w:rPr>
        <w:t>DPI ≥200 mcg/day or equivalent) with or without other</w:t>
      </w:r>
      <w:r w:rsidR="00B36C84" w:rsidRPr="00254BEE">
        <w:rPr>
          <w:szCs w:val="24"/>
        </w:rPr>
        <w:t xml:space="preserve"> </w:t>
      </w:r>
      <w:r w:rsidRPr="00254BEE">
        <w:rPr>
          <w:szCs w:val="24"/>
        </w:rPr>
        <w:t>controller asthma medications. Eligible patients were those with a diagnosis of asthma &gt; 1</w:t>
      </w:r>
      <w:r w:rsidR="00B36C84" w:rsidRPr="00254BEE">
        <w:rPr>
          <w:szCs w:val="24"/>
        </w:rPr>
        <w:t xml:space="preserve"> </w:t>
      </w:r>
      <w:r w:rsidRPr="00254BEE">
        <w:rPr>
          <w:szCs w:val="24"/>
        </w:rPr>
        <w:t>year</w:t>
      </w:r>
      <w:r w:rsidR="004B7A4F" w:rsidRPr="00254BEE">
        <w:rPr>
          <w:szCs w:val="24"/>
        </w:rPr>
        <w:t xml:space="preserve">, </w:t>
      </w:r>
      <w:r w:rsidRPr="00254BEE">
        <w:rPr>
          <w:szCs w:val="24"/>
        </w:rPr>
        <w:t>a positive skin prick test to at least one perennial aeroallergen</w:t>
      </w:r>
      <w:r w:rsidR="004B7A4F" w:rsidRPr="00254BEE">
        <w:rPr>
          <w:szCs w:val="24"/>
        </w:rPr>
        <w:t>,</w:t>
      </w:r>
      <w:r w:rsidRPr="00254BEE">
        <w:rPr>
          <w:szCs w:val="24"/>
        </w:rPr>
        <w:t xml:space="preserve"> and a history of</w:t>
      </w:r>
      <w:r w:rsidR="00B36C84" w:rsidRPr="00254BEE">
        <w:rPr>
          <w:szCs w:val="24"/>
        </w:rPr>
        <w:t xml:space="preserve"> </w:t>
      </w:r>
      <w:r w:rsidRPr="00254BEE">
        <w:rPr>
          <w:szCs w:val="24"/>
        </w:rPr>
        <w:t>clinical features of moderate to severe persistent asthma</w:t>
      </w:r>
      <w:r w:rsidR="004B7A4F" w:rsidRPr="00254BEE">
        <w:rPr>
          <w:szCs w:val="24"/>
        </w:rPr>
        <w:t>,</w:t>
      </w:r>
      <w:r w:rsidRPr="00254BEE">
        <w:rPr>
          <w:szCs w:val="24"/>
        </w:rPr>
        <w:t xml:space="preserve"> including daytime and/or night-time</w:t>
      </w:r>
      <w:r w:rsidR="00B36C84" w:rsidRPr="00254BEE">
        <w:rPr>
          <w:szCs w:val="24"/>
        </w:rPr>
        <w:t xml:space="preserve"> </w:t>
      </w:r>
      <w:r w:rsidRPr="00254BEE">
        <w:rPr>
          <w:szCs w:val="24"/>
        </w:rPr>
        <w:t>symptoms along with a history of experiencing exacerbations within the year prior to study</w:t>
      </w:r>
      <w:r w:rsidR="00B36C84" w:rsidRPr="00254BEE">
        <w:rPr>
          <w:szCs w:val="24"/>
        </w:rPr>
        <w:t xml:space="preserve"> </w:t>
      </w:r>
      <w:r w:rsidRPr="00254BEE">
        <w:rPr>
          <w:szCs w:val="24"/>
        </w:rPr>
        <w:t>entry. Long-acting beta2-agonists (67.4%), anti-leukotriene (36.6%) and oral corticosteroid</w:t>
      </w:r>
      <w:r w:rsidR="00B8463E" w:rsidRPr="00254BEE">
        <w:rPr>
          <w:szCs w:val="24"/>
        </w:rPr>
        <w:t xml:space="preserve"> (1.3%) maintenance therapies were allowed.</w:t>
      </w:r>
      <w:r w:rsidRPr="00254BEE">
        <w:rPr>
          <w:szCs w:val="24"/>
        </w:rPr>
        <w:t xml:space="preserve"> During the first 24 weeks of treatment, a</w:t>
      </w:r>
      <w:r w:rsidR="00B36C84" w:rsidRPr="00254BEE">
        <w:rPr>
          <w:szCs w:val="24"/>
        </w:rPr>
        <w:t xml:space="preserve"> </w:t>
      </w:r>
      <w:r w:rsidRPr="00254BEE">
        <w:rPr>
          <w:szCs w:val="24"/>
        </w:rPr>
        <w:t>patient’s steroid doses remained constant from baseline and this was followed by a 28 week</w:t>
      </w:r>
      <w:r w:rsidR="00B36C84" w:rsidRPr="00254BEE">
        <w:rPr>
          <w:szCs w:val="24"/>
        </w:rPr>
        <w:t xml:space="preserve"> </w:t>
      </w:r>
      <w:r w:rsidRPr="00254BEE">
        <w:rPr>
          <w:szCs w:val="24"/>
        </w:rPr>
        <w:t>period during which inhaled corticosteroid adjustment was allowed.</w:t>
      </w:r>
    </w:p>
    <w:p w14:paraId="07DB3220" w14:textId="77777777" w:rsidR="001911C6" w:rsidRPr="00254BEE" w:rsidRDefault="001911C6" w:rsidP="0003318E">
      <w:pPr>
        <w:pStyle w:val="Text"/>
        <w:tabs>
          <w:tab w:val="left" w:pos="567"/>
        </w:tabs>
        <w:spacing w:before="0"/>
        <w:jc w:val="left"/>
        <w:rPr>
          <w:szCs w:val="24"/>
        </w:rPr>
      </w:pPr>
    </w:p>
    <w:p w14:paraId="7F1EABA5" w14:textId="77777777" w:rsidR="0003318E" w:rsidRPr="00254BEE" w:rsidRDefault="00175953" w:rsidP="0003318E">
      <w:pPr>
        <w:pStyle w:val="Text"/>
        <w:tabs>
          <w:tab w:val="left" w:pos="567"/>
        </w:tabs>
        <w:spacing w:before="0"/>
        <w:jc w:val="left"/>
        <w:rPr>
          <w:szCs w:val="24"/>
        </w:rPr>
      </w:pPr>
      <w:r w:rsidRPr="00254BEE">
        <w:rPr>
          <w:szCs w:val="24"/>
        </w:rPr>
        <w:t>T</w:t>
      </w:r>
      <w:r w:rsidR="0050511D" w:rsidRPr="00254BEE">
        <w:rPr>
          <w:szCs w:val="24"/>
        </w:rPr>
        <w:t xml:space="preserve">he primary efficacy </w:t>
      </w:r>
      <w:r w:rsidRPr="00254BEE">
        <w:rPr>
          <w:szCs w:val="24"/>
        </w:rPr>
        <w:t>objective</w:t>
      </w:r>
      <w:r w:rsidR="0050511D" w:rsidRPr="00254BEE">
        <w:rPr>
          <w:szCs w:val="24"/>
        </w:rPr>
        <w:t xml:space="preserve"> was to demonstrate the effect of omalizumab on the clinically significant asthma exacerbation rate during the 24 week double-blind fixed steroid treatment. </w:t>
      </w:r>
      <w:r w:rsidR="0003318E" w:rsidRPr="00254BEE">
        <w:rPr>
          <w:szCs w:val="24"/>
        </w:rPr>
        <w:t>A clinically significant exacerbation was defined as a worsening of asthma symptoms as</w:t>
      </w:r>
      <w:r w:rsidR="00B36C84" w:rsidRPr="00254BEE">
        <w:rPr>
          <w:szCs w:val="24"/>
        </w:rPr>
        <w:t xml:space="preserve"> </w:t>
      </w:r>
      <w:r w:rsidR="0003318E" w:rsidRPr="00254BEE">
        <w:rPr>
          <w:szCs w:val="24"/>
        </w:rPr>
        <w:t>judged clinically by the investigator, requiring doubling of the baseline inhaled corticosteroid</w:t>
      </w:r>
      <w:r w:rsidR="00B36C84" w:rsidRPr="00254BEE">
        <w:rPr>
          <w:szCs w:val="24"/>
        </w:rPr>
        <w:t xml:space="preserve"> </w:t>
      </w:r>
      <w:r w:rsidR="0003318E" w:rsidRPr="00254BEE">
        <w:rPr>
          <w:szCs w:val="24"/>
        </w:rPr>
        <w:t>dose for at least 3 days and/or treatment with rescue systemic (oral or iv) corticosteroids for</w:t>
      </w:r>
      <w:r w:rsidR="00B36C84" w:rsidRPr="00254BEE">
        <w:rPr>
          <w:szCs w:val="24"/>
        </w:rPr>
        <w:t xml:space="preserve"> </w:t>
      </w:r>
      <w:r w:rsidR="0003318E" w:rsidRPr="00254BEE">
        <w:rPr>
          <w:szCs w:val="24"/>
        </w:rPr>
        <w:t>at least 3 days.</w:t>
      </w:r>
    </w:p>
    <w:p w14:paraId="56ABD7B8" w14:textId="77777777" w:rsidR="00C47E0D" w:rsidRPr="00254BEE" w:rsidRDefault="00C47E0D" w:rsidP="0003318E">
      <w:pPr>
        <w:pStyle w:val="Text"/>
        <w:tabs>
          <w:tab w:val="left" w:pos="567"/>
        </w:tabs>
        <w:spacing w:before="0"/>
        <w:jc w:val="left"/>
        <w:rPr>
          <w:szCs w:val="24"/>
        </w:rPr>
      </w:pPr>
    </w:p>
    <w:p w14:paraId="197F9493" w14:textId="77777777" w:rsidR="00C47E0D" w:rsidRDefault="00B8463E" w:rsidP="006C4BC2">
      <w:pPr>
        <w:pStyle w:val="Text"/>
        <w:tabs>
          <w:tab w:val="left" w:pos="567"/>
        </w:tabs>
        <w:spacing w:before="0"/>
        <w:jc w:val="left"/>
        <w:rPr>
          <w:lang w:val="en-US"/>
        </w:rPr>
      </w:pPr>
      <w:r w:rsidRPr="00254BEE">
        <w:rPr>
          <w:szCs w:val="24"/>
        </w:rPr>
        <w:t>Patients receiving</w:t>
      </w:r>
      <w:r w:rsidR="0050511D" w:rsidRPr="00254BEE">
        <w:rPr>
          <w:szCs w:val="24"/>
        </w:rPr>
        <w:t xml:space="preserve"> omalizumab had a statistically significantly lowe</w:t>
      </w:r>
      <w:r w:rsidRPr="00254BEE">
        <w:rPr>
          <w:szCs w:val="24"/>
        </w:rPr>
        <w:t>r rate of</w:t>
      </w:r>
      <w:r w:rsidR="0050511D" w:rsidRPr="00254BEE">
        <w:rPr>
          <w:szCs w:val="24"/>
        </w:rPr>
        <w:t xml:space="preserve"> asthma exacerbations th</w:t>
      </w:r>
      <w:r w:rsidRPr="00254BEE">
        <w:rPr>
          <w:szCs w:val="24"/>
        </w:rPr>
        <w:t>an</w:t>
      </w:r>
      <w:r w:rsidR="0050511D" w:rsidRPr="00254BEE">
        <w:rPr>
          <w:szCs w:val="24"/>
        </w:rPr>
        <w:t xml:space="preserve"> patients </w:t>
      </w:r>
      <w:r w:rsidRPr="00254BEE">
        <w:rPr>
          <w:szCs w:val="24"/>
        </w:rPr>
        <w:t xml:space="preserve">receiving placebo </w:t>
      </w:r>
      <w:r w:rsidR="0050511D" w:rsidRPr="00254BEE">
        <w:rPr>
          <w:szCs w:val="24"/>
        </w:rPr>
        <w:t xml:space="preserve">(rate ratio 0.693, p=0.007).  </w:t>
      </w:r>
      <w:r w:rsidR="00C47E0D" w:rsidRPr="00254BEE">
        <w:rPr>
          <w:szCs w:val="24"/>
        </w:rPr>
        <w:t xml:space="preserve">The difference </w:t>
      </w:r>
      <w:r w:rsidR="00843397" w:rsidRPr="00254BEE">
        <w:rPr>
          <w:szCs w:val="24"/>
        </w:rPr>
        <w:t>in</w:t>
      </w:r>
      <w:r w:rsidR="00C47E0D" w:rsidRPr="00254BEE">
        <w:rPr>
          <w:szCs w:val="24"/>
        </w:rPr>
        <w:t xml:space="preserve"> exacerbation rates between omalizumab and placebo represents a 31% </w:t>
      </w:r>
      <w:r w:rsidR="00B244F1" w:rsidRPr="00254BEE">
        <w:rPr>
          <w:szCs w:val="24"/>
        </w:rPr>
        <w:t xml:space="preserve">relative </w:t>
      </w:r>
      <w:r w:rsidR="00C47E0D" w:rsidRPr="00254BEE">
        <w:rPr>
          <w:szCs w:val="24"/>
        </w:rPr>
        <w:t>decrease in exacerbations.</w:t>
      </w:r>
      <w:r w:rsidR="006C4BC2" w:rsidRPr="00254BEE">
        <w:rPr>
          <w:szCs w:val="24"/>
        </w:rPr>
        <w:t xml:space="preserve">  </w:t>
      </w:r>
      <w:r w:rsidR="00C47E0D" w:rsidRPr="00254BEE">
        <w:rPr>
          <w:lang w:val="en-US"/>
        </w:rPr>
        <w:t>During the</w:t>
      </w:r>
      <w:r w:rsidR="004B7A4F" w:rsidRPr="00254BEE">
        <w:rPr>
          <w:lang w:val="en-US"/>
        </w:rPr>
        <w:t xml:space="preserve"> entire</w:t>
      </w:r>
      <w:r w:rsidR="00C47E0D" w:rsidRPr="00254BEE">
        <w:rPr>
          <w:lang w:val="en-US"/>
        </w:rPr>
        <w:t xml:space="preserve"> 52-w</w:t>
      </w:r>
      <w:r w:rsidRPr="00254BEE">
        <w:rPr>
          <w:lang w:val="en-US"/>
        </w:rPr>
        <w:t xml:space="preserve">eek treatment period, </w:t>
      </w:r>
      <w:r w:rsidR="00C47E0D" w:rsidRPr="00254BEE">
        <w:rPr>
          <w:lang w:val="en-US"/>
        </w:rPr>
        <w:t xml:space="preserve">patients </w:t>
      </w:r>
      <w:r w:rsidRPr="00254BEE">
        <w:rPr>
          <w:lang w:val="en-US"/>
        </w:rPr>
        <w:t xml:space="preserve">receiving omalizumab </w:t>
      </w:r>
      <w:r w:rsidR="00C47E0D" w:rsidRPr="00254BEE">
        <w:rPr>
          <w:lang w:val="en-US"/>
        </w:rPr>
        <w:t>had a statistic</w:t>
      </w:r>
      <w:r w:rsidR="00843397" w:rsidRPr="00254BEE">
        <w:rPr>
          <w:lang w:val="en-US"/>
        </w:rPr>
        <w:t>ally significantly lower rate of</w:t>
      </w:r>
      <w:r w:rsidR="00C47E0D" w:rsidRPr="00254BEE">
        <w:rPr>
          <w:lang w:val="en-US"/>
        </w:rPr>
        <w:t xml:space="preserve"> </w:t>
      </w:r>
      <w:r w:rsidRPr="00254BEE">
        <w:rPr>
          <w:lang w:val="en-US"/>
        </w:rPr>
        <w:t>asthma exacerbations than</w:t>
      </w:r>
      <w:r w:rsidR="00C47E0D" w:rsidRPr="00254BEE">
        <w:rPr>
          <w:lang w:val="en-US"/>
        </w:rPr>
        <w:t xml:space="preserve"> patients</w:t>
      </w:r>
      <w:r w:rsidRPr="00254BEE">
        <w:rPr>
          <w:lang w:val="en-US"/>
        </w:rPr>
        <w:t xml:space="preserve"> receiving placebo</w:t>
      </w:r>
      <w:r w:rsidR="00C47E0D" w:rsidRPr="00254BEE">
        <w:rPr>
          <w:lang w:val="en-US"/>
        </w:rPr>
        <w:t xml:space="preserve"> (rate ratio 0.573, p&lt;0.001), </w:t>
      </w:r>
      <w:r w:rsidR="006C4BC2" w:rsidRPr="00254BEE">
        <w:rPr>
          <w:lang w:val="en-US"/>
        </w:rPr>
        <w:t xml:space="preserve">which </w:t>
      </w:r>
      <w:r w:rsidR="00C47E0D" w:rsidRPr="00254BEE">
        <w:rPr>
          <w:lang w:val="en-US"/>
        </w:rPr>
        <w:t>represent</w:t>
      </w:r>
      <w:r w:rsidR="006C4BC2" w:rsidRPr="00254BEE">
        <w:rPr>
          <w:lang w:val="en-US"/>
        </w:rPr>
        <w:t>s</w:t>
      </w:r>
      <w:r w:rsidR="00C47E0D" w:rsidRPr="00254BEE">
        <w:rPr>
          <w:lang w:val="en-US"/>
        </w:rPr>
        <w:t xml:space="preserve"> a 43% </w:t>
      </w:r>
      <w:r w:rsidR="00B244F1" w:rsidRPr="00254BEE">
        <w:rPr>
          <w:lang w:val="en-US"/>
        </w:rPr>
        <w:t xml:space="preserve">relative </w:t>
      </w:r>
      <w:r w:rsidR="00C47E0D" w:rsidRPr="00254BEE">
        <w:rPr>
          <w:lang w:val="en-US"/>
        </w:rPr>
        <w:t>decrease in</w:t>
      </w:r>
      <w:r w:rsidR="006C4BC2" w:rsidRPr="00254BEE">
        <w:rPr>
          <w:lang w:val="en-US"/>
        </w:rPr>
        <w:t xml:space="preserve"> </w:t>
      </w:r>
      <w:r w:rsidR="00C47E0D" w:rsidRPr="00254BEE">
        <w:rPr>
          <w:lang w:val="en-US"/>
        </w:rPr>
        <w:t>exacerbations</w:t>
      </w:r>
      <w:r w:rsidR="006C4BC2" w:rsidRPr="00254BEE">
        <w:rPr>
          <w:lang w:val="en-US"/>
        </w:rPr>
        <w:t>.</w:t>
      </w:r>
    </w:p>
    <w:p w14:paraId="4E738000" w14:textId="77777777" w:rsidR="00A872F6" w:rsidRPr="003356BB" w:rsidRDefault="003A5C58" w:rsidP="00A872F6">
      <w:pPr>
        <w:pStyle w:val="Text"/>
        <w:rPr>
          <w:lang w:val="en-US"/>
        </w:rPr>
      </w:pPr>
      <w:r>
        <w:t xml:space="preserve">After 24 weeks of treatment, </w:t>
      </w:r>
      <w:r w:rsidRPr="007965F7">
        <w:rPr>
          <w:lang w:val="en-US"/>
        </w:rPr>
        <w:t>reductions</w:t>
      </w:r>
      <w:r w:rsidR="007965F7" w:rsidRPr="007965F7">
        <w:rPr>
          <w:lang w:val="en-US"/>
        </w:rPr>
        <w:t xml:space="preserve"> in mean nocturnal symptom score and rescue medication use were</w:t>
      </w:r>
      <w:r w:rsidR="007965F7">
        <w:rPr>
          <w:lang w:val="en-US"/>
        </w:rPr>
        <w:t xml:space="preserve"> </w:t>
      </w:r>
      <w:r w:rsidR="00F35D10">
        <w:rPr>
          <w:lang w:val="en-US"/>
        </w:rPr>
        <w:t xml:space="preserve">numerically </w:t>
      </w:r>
      <w:r w:rsidR="007965F7" w:rsidRPr="007965F7">
        <w:rPr>
          <w:lang w:val="en-US"/>
        </w:rPr>
        <w:t>greater in omalizumab-treated patients compared with placebo</w:t>
      </w:r>
      <w:r>
        <w:rPr>
          <w:lang w:val="en-US"/>
        </w:rPr>
        <w:t>.</w:t>
      </w:r>
      <w:r w:rsidR="002F6C9E">
        <w:rPr>
          <w:lang w:val="en-US"/>
        </w:rPr>
        <w:t xml:space="preserve"> </w:t>
      </w:r>
    </w:p>
    <w:p w14:paraId="40026D78" w14:textId="77777777" w:rsidR="000505CE" w:rsidRDefault="000F4FD9" w:rsidP="002F6C9E">
      <w:pPr>
        <w:pStyle w:val="Text"/>
        <w:tabs>
          <w:tab w:val="left" w:pos="567"/>
        </w:tabs>
        <w:rPr>
          <w:szCs w:val="24"/>
        </w:rPr>
      </w:pPr>
      <w:r w:rsidRPr="00254BEE">
        <w:rPr>
          <w:szCs w:val="24"/>
        </w:rPr>
        <w:t>A</w:t>
      </w:r>
      <w:r w:rsidR="0050511D" w:rsidRPr="00254BEE">
        <w:rPr>
          <w:szCs w:val="24"/>
        </w:rPr>
        <w:t xml:space="preserve"> </w:t>
      </w:r>
      <w:r w:rsidR="004B7A4F" w:rsidRPr="00254BEE">
        <w:rPr>
          <w:szCs w:val="24"/>
        </w:rPr>
        <w:t xml:space="preserve">pre-specified </w:t>
      </w:r>
      <w:r w:rsidR="0050511D" w:rsidRPr="00254BEE">
        <w:rPr>
          <w:szCs w:val="24"/>
        </w:rPr>
        <w:t xml:space="preserve">subgroup of </w:t>
      </w:r>
      <w:r w:rsidRPr="00254BEE">
        <w:rPr>
          <w:szCs w:val="24"/>
        </w:rPr>
        <w:t>patients with inadequately controlled severe asthma d</w:t>
      </w:r>
      <w:r w:rsidR="00B06FA1" w:rsidRPr="00254BEE">
        <w:rPr>
          <w:szCs w:val="24"/>
        </w:rPr>
        <w:t>espite receiving high-dose ICS (</w:t>
      </w:r>
      <w:r w:rsidRPr="00254BEE">
        <w:rPr>
          <w:szCs w:val="24"/>
        </w:rPr>
        <w:t xml:space="preserve">fluticasone </w:t>
      </w:r>
      <w:r w:rsidR="00B8463E" w:rsidRPr="00254BEE">
        <w:rPr>
          <w:szCs w:val="24"/>
        </w:rPr>
        <w:t>propionate</w:t>
      </w:r>
      <w:r w:rsidRPr="00254BEE">
        <w:rPr>
          <w:szCs w:val="24"/>
        </w:rPr>
        <w:t xml:space="preserve"> </w:t>
      </w:r>
      <w:r w:rsidR="00175953" w:rsidRPr="00254BEE">
        <w:rPr>
          <w:szCs w:val="24"/>
        </w:rPr>
        <w:t xml:space="preserve">DPI </w:t>
      </w:r>
      <w:r w:rsidR="00B06FA1" w:rsidRPr="00254BEE">
        <w:rPr>
          <w:szCs w:val="24"/>
        </w:rPr>
        <w:t xml:space="preserve">≥ 500 µg/day </w:t>
      </w:r>
      <w:r w:rsidRPr="00254BEE">
        <w:rPr>
          <w:szCs w:val="24"/>
        </w:rPr>
        <w:t>or equivalent</w:t>
      </w:r>
      <w:r w:rsidR="00C47E0D" w:rsidRPr="00254BEE">
        <w:rPr>
          <w:szCs w:val="24"/>
        </w:rPr>
        <w:t>)</w:t>
      </w:r>
      <w:r w:rsidRPr="00254BEE">
        <w:rPr>
          <w:szCs w:val="24"/>
        </w:rPr>
        <w:t xml:space="preserve"> and a LABA, with or without other controller medications</w:t>
      </w:r>
      <w:r w:rsidR="0050511D" w:rsidRPr="00254BEE">
        <w:rPr>
          <w:szCs w:val="24"/>
        </w:rPr>
        <w:t xml:space="preserve"> (n=235)</w:t>
      </w:r>
      <w:r w:rsidR="006C4BC2" w:rsidRPr="00254BEE">
        <w:rPr>
          <w:szCs w:val="24"/>
        </w:rPr>
        <w:t>,</w:t>
      </w:r>
      <w:r w:rsidR="0050511D" w:rsidRPr="00254BEE">
        <w:rPr>
          <w:szCs w:val="24"/>
        </w:rPr>
        <w:t xml:space="preserve"> </w:t>
      </w:r>
      <w:r w:rsidR="00843397" w:rsidRPr="00254BEE">
        <w:rPr>
          <w:szCs w:val="24"/>
        </w:rPr>
        <w:t>was</w:t>
      </w:r>
      <w:r w:rsidRPr="00254BEE">
        <w:rPr>
          <w:szCs w:val="24"/>
        </w:rPr>
        <w:t xml:space="preserve"> </w:t>
      </w:r>
      <w:r w:rsidR="004B7A4F" w:rsidRPr="00254BEE">
        <w:rPr>
          <w:szCs w:val="24"/>
        </w:rPr>
        <w:t>analysed.  After 24 weeks, p</w:t>
      </w:r>
      <w:r w:rsidR="00843397" w:rsidRPr="00254BEE">
        <w:rPr>
          <w:szCs w:val="24"/>
        </w:rPr>
        <w:t>atients</w:t>
      </w:r>
      <w:r w:rsidR="004B7A4F" w:rsidRPr="00254BEE">
        <w:rPr>
          <w:szCs w:val="24"/>
        </w:rPr>
        <w:t xml:space="preserve"> in this subgroup who received</w:t>
      </w:r>
      <w:r w:rsidR="00843397" w:rsidRPr="00254BEE">
        <w:rPr>
          <w:szCs w:val="24"/>
        </w:rPr>
        <w:t xml:space="preserve"> </w:t>
      </w:r>
      <w:r w:rsidR="00843397" w:rsidRPr="00254BEE">
        <w:rPr>
          <w:szCs w:val="24"/>
          <w:lang w:val="en-US"/>
        </w:rPr>
        <w:t>omalizumab demonstrated</w:t>
      </w:r>
      <w:r w:rsidR="00175953" w:rsidRPr="00254BEE">
        <w:rPr>
          <w:szCs w:val="24"/>
          <w:lang w:val="en-US"/>
        </w:rPr>
        <w:t xml:space="preserve"> a statistically significantly </w:t>
      </w:r>
      <w:r w:rsidR="00175953" w:rsidRPr="00254BEE">
        <w:rPr>
          <w:szCs w:val="24"/>
          <w:lang w:val="en-US"/>
        </w:rPr>
        <w:lastRenderedPageBreak/>
        <w:t xml:space="preserve">lower rate of </w:t>
      </w:r>
      <w:r w:rsidR="00B8463E" w:rsidRPr="00254BEE">
        <w:rPr>
          <w:szCs w:val="24"/>
          <w:lang w:val="en-US"/>
        </w:rPr>
        <w:t xml:space="preserve">asthma exacerbations </w:t>
      </w:r>
      <w:r w:rsidR="00B06FA1" w:rsidRPr="00254BEE">
        <w:rPr>
          <w:szCs w:val="24"/>
          <w:lang w:val="en-US"/>
        </w:rPr>
        <w:t>than patients</w:t>
      </w:r>
      <w:r w:rsidR="00175953" w:rsidRPr="00254BEE">
        <w:rPr>
          <w:szCs w:val="24"/>
          <w:lang w:val="en-US"/>
        </w:rPr>
        <w:t xml:space="preserve"> </w:t>
      </w:r>
      <w:r w:rsidR="00B8463E" w:rsidRPr="00254BEE">
        <w:rPr>
          <w:szCs w:val="24"/>
          <w:lang w:val="en-US"/>
        </w:rPr>
        <w:t xml:space="preserve">receiving placebo </w:t>
      </w:r>
      <w:r w:rsidR="00175953" w:rsidRPr="00254BEE">
        <w:rPr>
          <w:szCs w:val="24"/>
        </w:rPr>
        <w:t>(rate ratio 0.662, p=0.047)</w:t>
      </w:r>
      <w:r w:rsidR="00A5657E" w:rsidRPr="00254BEE">
        <w:rPr>
          <w:szCs w:val="24"/>
        </w:rPr>
        <w:t xml:space="preserve">, </w:t>
      </w:r>
      <w:r w:rsidR="004B7A4F" w:rsidRPr="00254BEE">
        <w:rPr>
          <w:szCs w:val="24"/>
        </w:rPr>
        <w:t xml:space="preserve">which </w:t>
      </w:r>
      <w:r w:rsidR="00A5657E" w:rsidRPr="00254BEE">
        <w:rPr>
          <w:szCs w:val="24"/>
        </w:rPr>
        <w:t>represent</w:t>
      </w:r>
      <w:r w:rsidR="004B7A4F" w:rsidRPr="00254BEE">
        <w:rPr>
          <w:szCs w:val="24"/>
        </w:rPr>
        <w:t>s</w:t>
      </w:r>
      <w:r w:rsidR="00175953" w:rsidRPr="00254BEE">
        <w:rPr>
          <w:szCs w:val="24"/>
        </w:rPr>
        <w:t xml:space="preserve"> a 34</w:t>
      </w:r>
      <w:r w:rsidR="00B06FA1" w:rsidRPr="00254BEE">
        <w:rPr>
          <w:szCs w:val="24"/>
        </w:rPr>
        <w:t xml:space="preserve">% </w:t>
      </w:r>
      <w:r w:rsidR="00B244F1" w:rsidRPr="00254BEE">
        <w:rPr>
          <w:szCs w:val="24"/>
        </w:rPr>
        <w:t xml:space="preserve">relative </w:t>
      </w:r>
      <w:r w:rsidR="00B06FA1" w:rsidRPr="00254BEE">
        <w:rPr>
          <w:szCs w:val="24"/>
        </w:rPr>
        <w:t>decrease</w:t>
      </w:r>
      <w:r w:rsidRPr="00254BEE">
        <w:rPr>
          <w:szCs w:val="24"/>
        </w:rPr>
        <w:t xml:space="preserve"> </w:t>
      </w:r>
      <w:r w:rsidR="00B8463E" w:rsidRPr="00254BEE">
        <w:rPr>
          <w:szCs w:val="24"/>
        </w:rPr>
        <w:t xml:space="preserve">in exacerbations. </w:t>
      </w:r>
      <w:r w:rsidRPr="00254BEE">
        <w:rPr>
          <w:szCs w:val="24"/>
        </w:rPr>
        <w:t xml:space="preserve"> In the second 28-week treatment period</w:t>
      </w:r>
      <w:r w:rsidR="004B7A4F" w:rsidRPr="00254BEE">
        <w:rPr>
          <w:szCs w:val="24"/>
        </w:rPr>
        <w:t>,</w:t>
      </w:r>
      <w:r w:rsidRPr="00254BEE">
        <w:rPr>
          <w:szCs w:val="24"/>
        </w:rPr>
        <w:t xml:space="preserve"> </w:t>
      </w:r>
      <w:r w:rsidR="00175953" w:rsidRPr="00254BEE">
        <w:rPr>
          <w:szCs w:val="24"/>
          <w:lang w:val="en-US"/>
        </w:rPr>
        <w:t xml:space="preserve">patients </w:t>
      </w:r>
      <w:r w:rsidR="004B7A4F" w:rsidRPr="00254BEE">
        <w:rPr>
          <w:szCs w:val="24"/>
          <w:lang w:val="en-US"/>
        </w:rPr>
        <w:t>in</w:t>
      </w:r>
      <w:r w:rsidR="00CF5250" w:rsidRPr="00254BEE">
        <w:rPr>
          <w:szCs w:val="24"/>
          <w:lang w:val="en-US"/>
        </w:rPr>
        <w:t xml:space="preserve"> th</w:t>
      </w:r>
      <w:r w:rsidR="004B7A4F" w:rsidRPr="00254BEE">
        <w:rPr>
          <w:szCs w:val="24"/>
          <w:lang w:val="en-US"/>
        </w:rPr>
        <w:t>is</w:t>
      </w:r>
      <w:r w:rsidR="00CF5250" w:rsidRPr="00254BEE">
        <w:rPr>
          <w:szCs w:val="24"/>
          <w:lang w:val="en-US"/>
        </w:rPr>
        <w:t xml:space="preserve"> subgroup</w:t>
      </w:r>
      <w:r w:rsidR="004B7A4F" w:rsidRPr="00254BEE">
        <w:rPr>
          <w:szCs w:val="24"/>
          <w:lang w:val="en-US"/>
        </w:rPr>
        <w:t xml:space="preserve"> who received omalizumab</w:t>
      </w:r>
      <w:r w:rsidR="00CF5250" w:rsidRPr="00254BEE">
        <w:rPr>
          <w:szCs w:val="24"/>
          <w:lang w:val="en-US"/>
        </w:rPr>
        <w:t xml:space="preserve"> </w:t>
      </w:r>
      <w:r w:rsidR="00175953" w:rsidRPr="00254BEE">
        <w:rPr>
          <w:szCs w:val="24"/>
          <w:lang w:val="en-US"/>
        </w:rPr>
        <w:t xml:space="preserve">had a statistically significantly lower rate of asthma exacerbations </w:t>
      </w:r>
      <w:r w:rsidR="00B06FA1" w:rsidRPr="00254BEE">
        <w:rPr>
          <w:szCs w:val="24"/>
          <w:lang w:val="en-US"/>
        </w:rPr>
        <w:t>than</w:t>
      </w:r>
      <w:r w:rsidR="00175953" w:rsidRPr="00254BEE">
        <w:rPr>
          <w:szCs w:val="24"/>
          <w:lang w:val="en-US"/>
        </w:rPr>
        <w:t xml:space="preserve"> patients</w:t>
      </w:r>
      <w:r w:rsidR="00B06FA1" w:rsidRPr="00254BEE">
        <w:rPr>
          <w:szCs w:val="24"/>
          <w:lang w:val="en-US"/>
        </w:rPr>
        <w:t xml:space="preserve"> receiving placebo</w:t>
      </w:r>
      <w:r w:rsidR="00CF5250" w:rsidRPr="00254BEE">
        <w:rPr>
          <w:szCs w:val="24"/>
          <w:lang w:val="en-US"/>
        </w:rPr>
        <w:t xml:space="preserve"> </w:t>
      </w:r>
      <w:r w:rsidR="00CF5250" w:rsidRPr="00254BEE">
        <w:rPr>
          <w:szCs w:val="24"/>
        </w:rPr>
        <w:t>(rate ratio 0.37, p &lt; 0.001)</w:t>
      </w:r>
      <w:r w:rsidR="00175953" w:rsidRPr="00254BEE">
        <w:rPr>
          <w:szCs w:val="24"/>
          <w:lang w:val="en-US"/>
        </w:rPr>
        <w:t xml:space="preserve">, </w:t>
      </w:r>
      <w:r w:rsidR="004B7A4F" w:rsidRPr="00254BEE">
        <w:rPr>
          <w:szCs w:val="24"/>
          <w:lang w:val="en-US"/>
        </w:rPr>
        <w:t xml:space="preserve">which </w:t>
      </w:r>
      <w:r w:rsidR="00175953" w:rsidRPr="00254BEE">
        <w:rPr>
          <w:szCs w:val="24"/>
        </w:rPr>
        <w:t>represent</w:t>
      </w:r>
      <w:r w:rsidR="004B7A4F" w:rsidRPr="00254BEE">
        <w:rPr>
          <w:szCs w:val="24"/>
        </w:rPr>
        <w:t>s</w:t>
      </w:r>
      <w:r w:rsidR="00175953" w:rsidRPr="00254BEE">
        <w:rPr>
          <w:szCs w:val="24"/>
        </w:rPr>
        <w:t xml:space="preserve"> a 63% </w:t>
      </w:r>
      <w:r w:rsidR="00B244F1" w:rsidRPr="00254BEE">
        <w:rPr>
          <w:szCs w:val="24"/>
        </w:rPr>
        <w:t xml:space="preserve">relative </w:t>
      </w:r>
      <w:r w:rsidRPr="00254BEE">
        <w:rPr>
          <w:szCs w:val="24"/>
        </w:rPr>
        <w:t xml:space="preserve">decrease </w:t>
      </w:r>
      <w:r w:rsidR="00843397" w:rsidRPr="00254BEE">
        <w:rPr>
          <w:szCs w:val="24"/>
        </w:rPr>
        <w:t>in exacerbations</w:t>
      </w:r>
      <w:r w:rsidR="00F651A8" w:rsidRPr="00254BEE">
        <w:rPr>
          <w:szCs w:val="24"/>
        </w:rPr>
        <w:t>.</w:t>
      </w:r>
      <w:r w:rsidR="004B7A4F" w:rsidRPr="00254BEE">
        <w:rPr>
          <w:szCs w:val="24"/>
        </w:rPr>
        <w:t xml:space="preserve">  </w:t>
      </w:r>
      <w:r w:rsidR="00F651A8" w:rsidRPr="00254BEE">
        <w:rPr>
          <w:szCs w:val="24"/>
        </w:rPr>
        <w:t>During the</w:t>
      </w:r>
      <w:r w:rsidR="004B7A4F" w:rsidRPr="00254BEE">
        <w:rPr>
          <w:szCs w:val="24"/>
        </w:rPr>
        <w:t xml:space="preserve"> entire</w:t>
      </w:r>
      <w:r w:rsidR="00F651A8" w:rsidRPr="00254BEE">
        <w:rPr>
          <w:szCs w:val="24"/>
        </w:rPr>
        <w:t xml:space="preserve"> 52-week doubl</w:t>
      </w:r>
      <w:r w:rsidR="00843397" w:rsidRPr="00254BEE">
        <w:rPr>
          <w:szCs w:val="24"/>
        </w:rPr>
        <w:t>e-blind treatment period</w:t>
      </w:r>
      <w:r w:rsidR="004B7A4F" w:rsidRPr="00254BEE">
        <w:rPr>
          <w:szCs w:val="24"/>
          <w:lang w:val="en-US"/>
        </w:rPr>
        <w:t xml:space="preserve">, </w:t>
      </w:r>
      <w:r w:rsidR="00175953" w:rsidRPr="00254BEE">
        <w:rPr>
          <w:szCs w:val="24"/>
          <w:lang w:val="en-US"/>
        </w:rPr>
        <w:t xml:space="preserve">patients </w:t>
      </w:r>
      <w:r w:rsidR="004B7A4F" w:rsidRPr="00254BEE">
        <w:rPr>
          <w:szCs w:val="24"/>
          <w:lang w:val="en-US"/>
        </w:rPr>
        <w:t>in</w:t>
      </w:r>
      <w:r w:rsidR="00CF5250" w:rsidRPr="00254BEE">
        <w:rPr>
          <w:szCs w:val="24"/>
          <w:lang w:val="en-US"/>
        </w:rPr>
        <w:t xml:space="preserve"> th</w:t>
      </w:r>
      <w:r w:rsidR="004B7A4F" w:rsidRPr="00254BEE">
        <w:rPr>
          <w:szCs w:val="24"/>
          <w:lang w:val="en-US"/>
        </w:rPr>
        <w:t>is</w:t>
      </w:r>
      <w:r w:rsidR="00CF5250" w:rsidRPr="00254BEE">
        <w:rPr>
          <w:szCs w:val="24"/>
          <w:lang w:val="en-US"/>
        </w:rPr>
        <w:t xml:space="preserve"> subgroup </w:t>
      </w:r>
      <w:r w:rsidR="004B7A4F" w:rsidRPr="00254BEE">
        <w:rPr>
          <w:szCs w:val="24"/>
          <w:lang w:val="en-US"/>
        </w:rPr>
        <w:t xml:space="preserve">who </w:t>
      </w:r>
      <w:r w:rsidR="00843397" w:rsidRPr="00254BEE">
        <w:rPr>
          <w:szCs w:val="24"/>
          <w:lang w:val="en-US"/>
        </w:rPr>
        <w:t>receiv</w:t>
      </w:r>
      <w:r w:rsidR="004B7A4F" w:rsidRPr="00254BEE">
        <w:rPr>
          <w:szCs w:val="24"/>
          <w:lang w:val="en-US"/>
        </w:rPr>
        <w:t>ed</w:t>
      </w:r>
      <w:r w:rsidR="00843397" w:rsidRPr="00254BEE">
        <w:rPr>
          <w:szCs w:val="24"/>
          <w:lang w:val="en-US"/>
        </w:rPr>
        <w:t xml:space="preserve"> </w:t>
      </w:r>
      <w:r w:rsidR="00B8463E" w:rsidRPr="00254BEE">
        <w:rPr>
          <w:szCs w:val="24"/>
          <w:lang w:val="en-US"/>
        </w:rPr>
        <w:t xml:space="preserve">omalizumab </w:t>
      </w:r>
      <w:r w:rsidR="00175953" w:rsidRPr="00254BEE">
        <w:rPr>
          <w:szCs w:val="24"/>
          <w:lang w:val="en-US"/>
        </w:rPr>
        <w:t xml:space="preserve">had a statistically significantly lower rate </w:t>
      </w:r>
      <w:r w:rsidR="00B06FA1" w:rsidRPr="00254BEE">
        <w:rPr>
          <w:szCs w:val="24"/>
          <w:lang w:val="en-US"/>
        </w:rPr>
        <w:t>of asthma</w:t>
      </w:r>
      <w:r w:rsidR="00843397" w:rsidRPr="00254BEE">
        <w:rPr>
          <w:szCs w:val="24"/>
          <w:lang w:val="en-US"/>
        </w:rPr>
        <w:t xml:space="preserve"> exacerbations</w:t>
      </w:r>
      <w:r w:rsidR="00CF5250" w:rsidRPr="00254BEE">
        <w:rPr>
          <w:szCs w:val="24"/>
          <w:lang w:val="en-US"/>
        </w:rPr>
        <w:t xml:space="preserve"> than patients receiving place</w:t>
      </w:r>
      <w:r w:rsidR="004B7A4F" w:rsidRPr="00254BEE">
        <w:rPr>
          <w:szCs w:val="24"/>
          <w:lang w:val="en-US"/>
        </w:rPr>
        <w:t>bo</w:t>
      </w:r>
      <w:r w:rsidR="00B06FA1" w:rsidRPr="00254BEE">
        <w:rPr>
          <w:szCs w:val="24"/>
          <w:lang w:val="en-US"/>
        </w:rPr>
        <w:t xml:space="preserve"> </w:t>
      </w:r>
      <w:r w:rsidR="00B06FA1" w:rsidRPr="00254BEE">
        <w:rPr>
          <w:szCs w:val="24"/>
        </w:rPr>
        <w:t>(rate ratio 0.504, p&lt;0.001)</w:t>
      </w:r>
      <w:r w:rsidR="00175953" w:rsidRPr="00254BEE">
        <w:rPr>
          <w:szCs w:val="24"/>
        </w:rPr>
        <w:t>,</w:t>
      </w:r>
      <w:r w:rsidR="004B7A4F" w:rsidRPr="00254BEE">
        <w:rPr>
          <w:szCs w:val="24"/>
        </w:rPr>
        <w:t xml:space="preserve"> which</w:t>
      </w:r>
      <w:r w:rsidR="00175953" w:rsidRPr="00254BEE">
        <w:rPr>
          <w:szCs w:val="24"/>
        </w:rPr>
        <w:t xml:space="preserve"> represent</w:t>
      </w:r>
      <w:r w:rsidR="004B7A4F" w:rsidRPr="00254BEE">
        <w:rPr>
          <w:szCs w:val="24"/>
        </w:rPr>
        <w:t>s</w:t>
      </w:r>
      <w:r w:rsidR="00B06FA1" w:rsidRPr="00254BEE">
        <w:rPr>
          <w:szCs w:val="24"/>
        </w:rPr>
        <w:t xml:space="preserve"> a 50% </w:t>
      </w:r>
      <w:r w:rsidR="00B244F1" w:rsidRPr="00254BEE">
        <w:rPr>
          <w:szCs w:val="24"/>
        </w:rPr>
        <w:t xml:space="preserve">relative </w:t>
      </w:r>
      <w:r w:rsidR="00F651A8" w:rsidRPr="00254BEE">
        <w:rPr>
          <w:szCs w:val="24"/>
        </w:rPr>
        <w:t>decrease in exacerbations</w:t>
      </w:r>
      <w:r w:rsidR="00B8463E" w:rsidRPr="00254BEE">
        <w:rPr>
          <w:szCs w:val="24"/>
        </w:rPr>
        <w:t>.</w:t>
      </w:r>
    </w:p>
    <w:p w14:paraId="382E7CE5" w14:textId="77777777" w:rsidR="006B7B3B" w:rsidRDefault="00607C40" w:rsidP="002F6C9E">
      <w:pPr>
        <w:pStyle w:val="Text"/>
        <w:tabs>
          <w:tab w:val="left" w:pos="567"/>
        </w:tabs>
        <w:rPr>
          <w:szCs w:val="24"/>
        </w:rPr>
      </w:pPr>
      <w:r>
        <w:rPr>
          <w:szCs w:val="24"/>
        </w:rPr>
        <w:t xml:space="preserve"> </w:t>
      </w:r>
    </w:p>
    <w:p w14:paraId="6A7A3109" w14:textId="77777777" w:rsidR="00C10F28" w:rsidRPr="00E86642" w:rsidRDefault="00E86642" w:rsidP="00E86642">
      <w:pPr>
        <w:pStyle w:val="Text"/>
        <w:tabs>
          <w:tab w:val="left" w:pos="567"/>
        </w:tabs>
        <w:spacing w:before="0"/>
        <w:jc w:val="left"/>
        <w:rPr>
          <w:szCs w:val="24"/>
        </w:rPr>
      </w:pPr>
      <w:r>
        <w:rPr>
          <w:szCs w:val="24"/>
        </w:rPr>
        <w:t>E</w:t>
      </w:r>
      <w:r w:rsidR="00B84CA7">
        <w:t>fficacy in</w:t>
      </w:r>
      <w:r w:rsidR="00B543E2">
        <w:t xml:space="preserve"> patients 6 to</w:t>
      </w:r>
      <w:r w:rsidR="00B543E2" w:rsidRPr="00022C7E">
        <w:t xml:space="preserve"> &lt;12 </w:t>
      </w:r>
      <w:r w:rsidR="00B543E2">
        <w:t>years of ag</w:t>
      </w:r>
      <w:r w:rsidR="00A77382">
        <w:t>e</w:t>
      </w:r>
      <w:r w:rsidR="00E25175">
        <w:t xml:space="preserve"> with more </w:t>
      </w:r>
      <w:r w:rsidR="00A77382">
        <w:t>moderate asthma</w:t>
      </w:r>
      <w:r w:rsidR="00B543E2">
        <w:t xml:space="preserve"> (Study 010</w:t>
      </w:r>
      <w:r w:rsidR="00B543E2" w:rsidRPr="00022C7E">
        <w:t xml:space="preserve">) </w:t>
      </w:r>
      <w:r w:rsidR="002159A4">
        <w:t>was apparent with reductions in exacerbation rates that were</w:t>
      </w:r>
      <w:r w:rsidR="00B543E2" w:rsidRPr="00022C7E">
        <w:t xml:space="preserve"> comparable to those ob</w:t>
      </w:r>
      <w:r w:rsidR="002159A4">
        <w:t>served</w:t>
      </w:r>
      <w:r w:rsidR="00B543E2" w:rsidRPr="00022C7E">
        <w:t xml:space="preserve"> in </w:t>
      </w:r>
      <w:r w:rsidR="00E25175">
        <w:t xml:space="preserve">the more </w:t>
      </w:r>
      <w:r w:rsidR="00B84CA7">
        <w:t>severe patient</w:t>
      </w:r>
      <w:r w:rsidR="00E25175">
        <w:t xml:space="preserve"> population</w:t>
      </w:r>
      <w:r w:rsidR="00B543E2" w:rsidRPr="00022C7E">
        <w:t xml:space="preserve"> </w:t>
      </w:r>
      <w:r w:rsidR="00B84CA7">
        <w:t>(</w:t>
      </w:r>
      <w:r w:rsidR="00B543E2" w:rsidRPr="00022C7E">
        <w:t>Study IA05</w:t>
      </w:r>
      <w:r w:rsidR="00B84CA7">
        <w:t>)</w:t>
      </w:r>
      <w:r w:rsidR="00B543E2" w:rsidRPr="00022C7E">
        <w:t>.</w:t>
      </w:r>
      <w:r w:rsidR="00B543E2">
        <w:t xml:space="preserve"> </w:t>
      </w:r>
    </w:p>
    <w:p w14:paraId="6CB809EC" w14:textId="77777777" w:rsidR="00506DD7" w:rsidRDefault="00506DD7" w:rsidP="00B543E2"/>
    <w:p w14:paraId="6B6192E6" w14:textId="77777777" w:rsidR="00B543E2" w:rsidRPr="005106B3" w:rsidRDefault="00B84CA7" w:rsidP="00C10F28">
      <w:r w:rsidRPr="00506DD7">
        <w:t>Study 010</w:t>
      </w:r>
      <w:r w:rsidR="00B543E2" w:rsidRPr="00506DD7">
        <w:t xml:space="preserve"> was a 28 week double blind controlled study in 334 patients who were well </w:t>
      </w:r>
      <w:r w:rsidR="00B543E2" w:rsidRPr="005106B3">
        <w:t>controlled with inhaled corticosteroids. During the first 16 weeks patients’ steroid doses remained constant from baseline followed by a 12 week steroid reduction period.</w:t>
      </w:r>
      <w:r w:rsidR="00C10F28" w:rsidRPr="005106B3">
        <w:t xml:space="preserve"> </w:t>
      </w:r>
      <w:r w:rsidR="00B543E2" w:rsidRPr="005106B3">
        <w:t xml:space="preserve">The rate of clinically significant asthma exacerbations during the 16-week fixed steroid treatment period was statistically significantly lower in omalizumab patients compared with </w:t>
      </w:r>
      <w:r w:rsidRPr="005106B3">
        <w:t>placebo (rate ratio 0.577, p=0.033)</w:t>
      </w:r>
      <w:r w:rsidR="00B543E2" w:rsidRPr="005106B3">
        <w:t>, representing a 42% relative decrease for o</w:t>
      </w:r>
      <w:r w:rsidR="00C10F28" w:rsidRPr="005106B3">
        <w:t>malizumab patients. T</w:t>
      </w:r>
      <w:r w:rsidR="00B543E2" w:rsidRPr="005106B3">
        <w:t>he rate of clinically significant asthma exacerbations during the 28-week double-blind treatment period was statistically significantly lower in omalizumab patients compared with placebo</w:t>
      </w:r>
      <w:r w:rsidRPr="005106B3">
        <w:t xml:space="preserve"> (p&lt;0.001)</w:t>
      </w:r>
      <w:r w:rsidR="00B543E2" w:rsidRPr="005106B3">
        <w:t>, representing a relative decrease of 50%.</w:t>
      </w:r>
    </w:p>
    <w:p w14:paraId="50B795C3" w14:textId="3A5F9864" w:rsidR="001A12B7" w:rsidRDefault="00C10F28" w:rsidP="001A12B7">
      <w:pPr>
        <w:spacing w:before="120"/>
      </w:pPr>
      <w:r w:rsidRPr="005106B3">
        <w:t xml:space="preserve">The percentage reduction of ICS dose at the end of the 28-week treatment period was statistically significantly greater for omalizumab patients </w:t>
      </w:r>
      <w:r w:rsidR="00B84CA7" w:rsidRPr="005106B3">
        <w:t xml:space="preserve">(p=0.013). At the end of the 28-week treatment period, greater benefits were observed in change from baseline </w:t>
      </w:r>
      <w:r w:rsidR="00A26E77">
        <w:t>P</w:t>
      </w:r>
      <w:r w:rsidR="00A67D62" w:rsidRPr="005106B3">
        <w:t>ediatric Asthma Quality of Life Questionnaire (</w:t>
      </w:r>
      <w:r w:rsidR="00506DD7" w:rsidRPr="005106B3">
        <w:t>PAQLQ</w:t>
      </w:r>
      <w:r w:rsidR="00A67D62" w:rsidRPr="005106B3">
        <w:t>)</w:t>
      </w:r>
      <w:r w:rsidR="00506DD7" w:rsidRPr="005106B3">
        <w:t xml:space="preserve"> </w:t>
      </w:r>
      <w:r w:rsidR="00B84CA7" w:rsidRPr="005106B3">
        <w:t>for omalizumab-treated patients compared to placebo-treated patients (p=0.030).</w:t>
      </w:r>
    </w:p>
    <w:p w14:paraId="2DF946DD" w14:textId="77777777" w:rsidR="001A12B7" w:rsidRPr="00254BEE" w:rsidRDefault="001A12B7" w:rsidP="0003318E">
      <w:pPr>
        <w:pStyle w:val="Text"/>
        <w:tabs>
          <w:tab w:val="left" w:pos="567"/>
        </w:tabs>
        <w:spacing w:before="0"/>
        <w:jc w:val="left"/>
        <w:rPr>
          <w:szCs w:val="24"/>
        </w:rPr>
      </w:pPr>
    </w:p>
    <w:p w14:paraId="4F204AC6" w14:textId="634C1B0C" w:rsidR="003E4BDD" w:rsidRPr="00254BEE" w:rsidRDefault="00EE52E0" w:rsidP="003E4BDD">
      <w:pPr>
        <w:pStyle w:val="Nottoc-headings"/>
        <w:rPr>
          <w:rFonts w:ascii="Times New Roman" w:hAnsi="Times New Roman"/>
          <w:color w:val="008080"/>
          <w:sz w:val="24"/>
          <w:szCs w:val="24"/>
        </w:rPr>
      </w:pPr>
      <w:r w:rsidRPr="00254BEE">
        <w:rPr>
          <w:rFonts w:ascii="Times New Roman" w:hAnsi="Times New Roman"/>
          <w:sz w:val="24"/>
          <w:szCs w:val="24"/>
        </w:rPr>
        <w:t>Chronic</w:t>
      </w:r>
      <w:r w:rsidR="00690BA9">
        <w:rPr>
          <w:rFonts w:ascii="Times New Roman" w:hAnsi="Times New Roman"/>
          <w:sz w:val="24"/>
          <w:szCs w:val="24"/>
        </w:rPr>
        <w:t xml:space="preserve"> Spontaneous</w:t>
      </w:r>
      <w:r w:rsidRPr="00254BEE">
        <w:rPr>
          <w:rFonts w:ascii="Times New Roman" w:hAnsi="Times New Roman"/>
          <w:sz w:val="24"/>
          <w:szCs w:val="24"/>
        </w:rPr>
        <w:t xml:space="preserve"> Urticaria</w:t>
      </w:r>
      <w:r w:rsidR="003E4BDD" w:rsidRPr="00254BEE">
        <w:rPr>
          <w:rFonts w:ascii="Times New Roman" w:hAnsi="Times New Roman"/>
          <w:sz w:val="24"/>
          <w:szCs w:val="24"/>
        </w:rPr>
        <w:t xml:space="preserve"> (</w:t>
      </w:r>
      <w:r w:rsidR="00690BA9" w:rsidRPr="00254BEE">
        <w:rPr>
          <w:rFonts w:ascii="Times New Roman" w:hAnsi="Times New Roman"/>
          <w:sz w:val="24"/>
          <w:szCs w:val="24"/>
        </w:rPr>
        <w:t>C</w:t>
      </w:r>
      <w:r w:rsidR="00690BA9">
        <w:rPr>
          <w:rFonts w:ascii="Times New Roman" w:hAnsi="Times New Roman"/>
          <w:sz w:val="24"/>
          <w:szCs w:val="24"/>
        </w:rPr>
        <w:t>S</w:t>
      </w:r>
      <w:r w:rsidR="00690BA9" w:rsidRPr="00254BEE">
        <w:rPr>
          <w:rFonts w:ascii="Times New Roman" w:hAnsi="Times New Roman"/>
          <w:sz w:val="24"/>
          <w:szCs w:val="24"/>
        </w:rPr>
        <w:t>U</w:t>
      </w:r>
      <w:r w:rsidR="003E4BDD" w:rsidRPr="00254BEE">
        <w:rPr>
          <w:rFonts w:ascii="Times New Roman" w:hAnsi="Times New Roman"/>
          <w:sz w:val="24"/>
          <w:szCs w:val="24"/>
        </w:rPr>
        <w:t xml:space="preserve">) </w:t>
      </w:r>
      <w:bookmarkStart w:id="2" w:name="_3948148Chronic_Spontaneous_Urtica"/>
      <w:bookmarkEnd w:id="2"/>
    </w:p>
    <w:p w14:paraId="24E17A81" w14:textId="77777777" w:rsidR="00F820A5" w:rsidRPr="00254BEE" w:rsidRDefault="00F820A5" w:rsidP="003E4BDD">
      <w:pPr>
        <w:pStyle w:val="Text"/>
      </w:pPr>
    </w:p>
    <w:p w14:paraId="792561E7" w14:textId="4E21260D" w:rsidR="00B637DF" w:rsidRPr="00254BEE" w:rsidRDefault="00650A98" w:rsidP="00F73FAA">
      <w:pPr>
        <w:autoSpaceDE w:val="0"/>
        <w:autoSpaceDN w:val="0"/>
        <w:adjustRightInd w:val="0"/>
        <w:rPr>
          <w:color w:val="000000" w:themeColor="text1"/>
        </w:rPr>
      </w:pPr>
      <w:r w:rsidRPr="00254BEE">
        <w:t xml:space="preserve">The efficacy and safety of Xolair were demonstrated in two randomised, placebo-controlled phase III studies (study Q4881g, Q4882g) in patients with </w:t>
      </w:r>
      <w:r w:rsidR="00690BA9">
        <w:t>CSU</w:t>
      </w:r>
      <w:r w:rsidRPr="00254BEE">
        <w:t xml:space="preserve"> who remained symptomatic despite H1 antihistamine therapy at the approved dose.</w:t>
      </w:r>
      <w:r w:rsidR="00B637DF" w:rsidRPr="00254BEE">
        <w:rPr>
          <w:color w:val="000000" w:themeColor="text1"/>
        </w:rPr>
        <w:t xml:space="preserve"> All patients received Xolair or placebo in addition to H1 antihistamines. </w:t>
      </w:r>
      <w:r w:rsidRPr="00254BEE">
        <w:t xml:space="preserve"> A third study (Q4883g) primarily evaluated the safety of Xolair in patients with </w:t>
      </w:r>
      <w:r w:rsidR="00690BA9">
        <w:t>CSU</w:t>
      </w:r>
      <w:r w:rsidRPr="00254BEE">
        <w:t xml:space="preserve"> who remained symptomatic despite treatment with H1 antihistamines at </w:t>
      </w:r>
      <w:r w:rsidR="00B637DF" w:rsidRPr="00254BEE">
        <w:t>increased</w:t>
      </w:r>
      <w:r w:rsidRPr="00254BEE">
        <w:t xml:space="preserve"> dose</w:t>
      </w:r>
      <w:r w:rsidR="00B637DF" w:rsidRPr="00254BEE">
        <w:t>s</w:t>
      </w:r>
      <w:r w:rsidRPr="00254BEE">
        <w:t xml:space="preserve"> and H2 antihistamine and/or</w:t>
      </w:r>
      <w:r w:rsidR="005B73AA" w:rsidRPr="00254BEE">
        <w:t xml:space="preserve"> leukotriene receptor antagonist (</w:t>
      </w:r>
      <w:r w:rsidRPr="00254BEE">
        <w:t>LTRA</w:t>
      </w:r>
      <w:r w:rsidR="005B73AA" w:rsidRPr="00254BEE">
        <w:t>)</w:t>
      </w:r>
      <w:r w:rsidRPr="00254BEE">
        <w:t xml:space="preserve"> treatment.</w:t>
      </w:r>
      <w:r w:rsidR="00B637DF" w:rsidRPr="00254BEE">
        <w:t xml:space="preserve"> </w:t>
      </w:r>
      <w:r w:rsidR="00B637DF" w:rsidRPr="00254BEE">
        <w:rPr>
          <w:color w:val="000000" w:themeColor="text1"/>
        </w:rPr>
        <w:t xml:space="preserve">All patients received Xolair or placebo in addition to H1 antihistamines up to 4 times the approved dose, and/or H2 antihistamines and/or LTRAs. </w:t>
      </w:r>
    </w:p>
    <w:p w14:paraId="2A29E038" w14:textId="77777777" w:rsidR="00B637DF" w:rsidRPr="00254BEE" w:rsidRDefault="00B637DF" w:rsidP="00F73FAA">
      <w:pPr>
        <w:autoSpaceDE w:val="0"/>
        <w:autoSpaceDN w:val="0"/>
        <w:adjustRightInd w:val="0"/>
        <w:rPr>
          <w:color w:val="000000" w:themeColor="text1"/>
        </w:rPr>
      </w:pPr>
    </w:p>
    <w:p w14:paraId="238B7D37" w14:textId="68BDB1A3" w:rsidR="00650A98" w:rsidRPr="00254BEE" w:rsidRDefault="00690BA9" w:rsidP="00F73FAA">
      <w:pPr>
        <w:autoSpaceDE w:val="0"/>
        <w:autoSpaceDN w:val="0"/>
        <w:adjustRightInd w:val="0"/>
        <w:rPr>
          <w:sz w:val="22"/>
          <w:szCs w:val="22"/>
          <w:lang w:val="en-US"/>
        </w:rPr>
      </w:pPr>
      <w:r>
        <w:t>CSU</w:t>
      </w:r>
      <w:r w:rsidR="002D02B0" w:rsidRPr="00254BEE">
        <w:t xml:space="preserve"> p</w:t>
      </w:r>
      <w:r w:rsidR="00796656" w:rsidRPr="00254BEE">
        <w:t>atients</w:t>
      </w:r>
      <w:r w:rsidR="002D02B0" w:rsidRPr="00254BEE">
        <w:t xml:space="preserve"> </w:t>
      </w:r>
      <w:r w:rsidR="00FA0B8B" w:rsidRPr="00254BEE">
        <w:t>with</w:t>
      </w:r>
      <w:r w:rsidR="00796656" w:rsidRPr="00254BEE">
        <w:t xml:space="preserve"> </w:t>
      </w:r>
      <w:r w:rsidR="003E4B39" w:rsidRPr="00254BEE">
        <w:t xml:space="preserve">external </w:t>
      </w:r>
      <w:r w:rsidR="006C2DF7" w:rsidRPr="00254BEE">
        <w:t>triggers were</w:t>
      </w:r>
      <w:r w:rsidR="003E4B39" w:rsidRPr="00254BEE">
        <w:t xml:space="preserve"> </w:t>
      </w:r>
      <w:r w:rsidR="00FA0B8B" w:rsidRPr="00254BEE">
        <w:t>exc</w:t>
      </w:r>
      <w:r w:rsidR="003E4B39" w:rsidRPr="00254BEE">
        <w:t xml:space="preserve">luded </w:t>
      </w:r>
      <w:r w:rsidR="00FA0B8B" w:rsidRPr="00254BEE">
        <w:t>from</w:t>
      </w:r>
      <w:r w:rsidR="003E4B39" w:rsidRPr="00254BEE">
        <w:t xml:space="preserve"> these trials.</w:t>
      </w:r>
      <w:r w:rsidR="006C2DF7" w:rsidRPr="00254BEE">
        <w:t xml:space="preserve"> </w:t>
      </w:r>
      <w:r w:rsidR="00650A98" w:rsidRPr="00254BEE">
        <w:t>The three studies enrolled 975 patients aged between 12 and 75 years (mean</w:t>
      </w:r>
      <w:r w:rsidR="00F820A5" w:rsidRPr="00254BEE">
        <w:t xml:space="preserve"> age 42.3 years; 39 patients 12-</w:t>
      </w:r>
      <w:r w:rsidR="00650A98" w:rsidRPr="00254BEE">
        <w:t>17 years, 54 patients ≥65 years; 259 males and 716 females). All patients were required to have inadequate symptom control, as assessed by a weekly urticaria activity score (UAS7, range 0 42) of ≥16, and a weekly itch severity score (which is a component of the UAS7; range 0 21) of ≥8 for the 7 days prior to randomisation, despite having used an antihistamine for at least 2 weeks beforehand.</w:t>
      </w:r>
      <w:r w:rsidR="00F73FAA" w:rsidRPr="00254BEE">
        <w:t xml:space="preserve"> </w:t>
      </w:r>
    </w:p>
    <w:p w14:paraId="394F7BA6" w14:textId="1F223EDE" w:rsidR="00650A98" w:rsidRPr="00254BEE" w:rsidRDefault="00650A98" w:rsidP="003E4BDD">
      <w:pPr>
        <w:pStyle w:val="Text"/>
      </w:pPr>
      <w:r w:rsidRPr="00254BEE">
        <w:lastRenderedPageBreak/>
        <w:t xml:space="preserve">In studies Q4481g and Q4882g, patients had a mean weekly itch severity score of between 13.7 and 14.5 at baseline and a mean UAS7 score of 29.5 and 31.7 respectively. Patients in safety study </w:t>
      </w:r>
      <w:r w:rsidR="00520376" w:rsidRPr="00254BEE">
        <w:t>Q488</w:t>
      </w:r>
      <w:r w:rsidRPr="00254BEE">
        <w:t>3</w:t>
      </w:r>
      <w:r w:rsidR="00520376" w:rsidRPr="00254BEE">
        <w:t>g</w:t>
      </w:r>
      <w:r w:rsidRPr="00254BEE">
        <w:t xml:space="preserve"> had a mean weekly itch severity score of 13.8 and a mean UAS7 score of 31.2 at baseline. Across all three studies, patients reported receiving on average 4 to 6 medications (including H1 antihistamines) for </w:t>
      </w:r>
      <w:r w:rsidR="00690BA9">
        <w:t>CSU</w:t>
      </w:r>
      <w:r w:rsidRPr="00254BEE">
        <w:t xml:space="preserve"> symptoms prior to study </w:t>
      </w:r>
      <w:r w:rsidR="005B73AA" w:rsidRPr="00254BEE">
        <w:t>enrolment</w:t>
      </w:r>
      <w:r w:rsidRPr="00254BEE">
        <w:t>. Patients received Xolair at 75 mg, 150 mg or 300 mg or placebo by subcutaneous injection every 4 weeks for 24 and 12 weeks in studies 1 and 2, respectively, and 300 mg or placebo by subcutaneous injection every 4 weeks for 24 weeks in study 3. All studies had a 16 week treatment-free follow-up period.</w:t>
      </w:r>
    </w:p>
    <w:p w14:paraId="394772E3" w14:textId="77777777" w:rsidR="00D357B5" w:rsidRPr="00254BEE" w:rsidRDefault="00D357B5" w:rsidP="00AD5636">
      <w:pPr>
        <w:pStyle w:val="Text"/>
      </w:pPr>
    </w:p>
    <w:p w14:paraId="050F314E" w14:textId="77777777" w:rsidR="003E4BDD" w:rsidRPr="00254BEE" w:rsidRDefault="003E4BDD" w:rsidP="00D357B5">
      <w:pPr>
        <w:widowControl w:val="0"/>
        <w:rPr>
          <w:b/>
          <w:color w:val="000000" w:themeColor="text1"/>
        </w:rPr>
      </w:pPr>
      <w:bookmarkStart w:id="3" w:name="_Toc361210682"/>
      <w:r w:rsidRPr="00254BEE">
        <w:rPr>
          <w:b/>
          <w:color w:val="000000" w:themeColor="text1"/>
        </w:rPr>
        <w:t xml:space="preserve">Table </w:t>
      </w:r>
      <w:r w:rsidR="00D357B5" w:rsidRPr="00254BEE">
        <w:rPr>
          <w:b/>
          <w:color w:val="000000" w:themeColor="text1"/>
        </w:rPr>
        <w:t>3</w:t>
      </w:r>
      <w:r w:rsidRPr="00254BEE">
        <w:rPr>
          <w:b/>
          <w:color w:val="000000" w:themeColor="text1"/>
        </w:rPr>
        <w:tab/>
        <w:t>Efficacy endpoints</w:t>
      </w:r>
      <w:bookmarkEnd w:id="3"/>
    </w:p>
    <w:p w14:paraId="32E331B6" w14:textId="77777777" w:rsidR="00D357B5" w:rsidRPr="00254BEE" w:rsidRDefault="00D357B5" w:rsidP="00D357B5">
      <w:pPr>
        <w:widowControl w:val="0"/>
        <w:rPr>
          <w:b/>
          <w:color w:val="000000" w:themeColor="text1"/>
        </w:rPr>
      </w:pPr>
    </w:p>
    <w:tbl>
      <w:tblPr>
        <w:tblStyle w:val="TableGrid"/>
        <w:tblW w:w="5000" w:type="pct"/>
        <w:tblLook w:val="04A0" w:firstRow="1" w:lastRow="0" w:firstColumn="1" w:lastColumn="0" w:noHBand="0" w:noVBand="1"/>
      </w:tblPr>
      <w:tblGrid>
        <w:gridCol w:w="5105"/>
        <w:gridCol w:w="4140"/>
      </w:tblGrid>
      <w:tr w:rsidR="003E4BDD" w:rsidRPr="00254BEE" w14:paraId="65FCF0F0" w14:textId="77777777" w:rsidTr="003E4BDD">
        <w:tc>
          <w:tcPr>
            <w:tcW w:w="2761" w:type="pct"/>
          </w:tcPr>
          <w:p w14:paraId="50F6EBAF" w14:textId="77777777" w:rsidR="003E4BDD" w:rsidRPr="00254BEE" w:rsidRDefault="003E4BDD" w:rsidP="003E4BDD">
            <w:pPr>
              <w:pStyle w:val="Table"/>
              <w:rPr>
                <w:rFonts w:ascii="Times New Roman" w:eastAsia="PMingLiU" w:hAnsi="Times New Roman"/>
                <w:sz w:val="22"/>
                <w:szCs w:val="22"/>
                <w:lang w:eastAsia="zh-TW"/>
              </w:rPr>
            </w:pPr>
            <w:r w:rsidRPr="00254BEE">
              <w:rPr>
                <w:rFonts w:ascii="Times New Roman" w:eastAsia="PMingLiU" w:hAnsi="Times New Roman"/>
                <w:sz w:val="22"/>
                <w:szCs w:val="22"/>
                <w:lang w:eastAsia="zh-TW"/>
              </w:rPr>
              <w:t>Change from baseline to week 12 in weekly Itch Severity Score (ISS, range 0-21)</w:t>
            </w:r>
          </w:p>
        </w:tc>
        <w:tc>
          <w:tcPr>
            <w:tcW w:w="2239" w:type="pct"/>
          </w:tcPr>
          <w:p w14:paraId="2BBC66E0" w14:textId="77777777" w:rsidR="003E4BDD" w:rsidRPr="00254BEE" w:rsidRDefault="003E4BDD" w:rsidP="003E4BDD">
            <w:pPr>
              <w:pStyle w:val="Table"/>
              <w:rPr>
                <w:rFonts w:ascii="Times New Roman" w:eastAsia="PMingLiU" w:hAnsi="Times New Roman"/>
                <w:sz w:val="22"/>
                <w:szCs w:val="22"/>
                <w:lang w:eastAsia="zh-TW"/>
              </w:rPr>
            </w:pPr>
            <w:r w:rsidRPr="00254BEE">
              <w:rPr>
                <w:rFonts w:ascii="Times New Roman" w:eastAsia="PMingLiU" w:hAnsi="Times New Roman"/>
                <w:sz w:val="22"/>
                <w:szCs w:val="22"/>
                <w:lang w:eastAsia="zh-TW"/>
              </w:rPr>
              <w:t>Primary endpoint in studies Q4881g and Q4882g</w:t>
            </w:r>
          </w:p>
          <w:p w14:paraId="75C37218" w14:textId="77777777" w:rsidR="003E4BDD" w:rsidRPr="00254BEE" w:rsidRDefault="003E4BDD" w:rsidP="003E4BDD">
            <w:pPr>
              <w:pStyle w:val="Table"/>
              <w:rPr>
                <w:rFonts w:ascii="Times New Roman" w:eastAsia="PMingLiU" w:hAnsi="Times New Roman"/>
                <w:sz w:val="22"/>
                <w:szCs w:val="22"/>
                <w:lang w:eastAsia="zh-TW"/>
              </w:rPr>
            </w:pPr>
            <w:r w:rsidRPr="00254BEE">
              <w:rPr>
                <w:rFonts w:ascii="Times New Roman" w:eastAsia="PMingLiU" w:hAnsi="Times New Roman"/>
                <w:sz w:val="22"/>
                <w:szCs w:val="22"/>
                <w:lang w:eastAsia="zh-TW"/>
              </w:rPr>
              <w:t>Secondary endpoint in safety study Q4883g</w:t>
            </w:r>
          </w:p>
        </w:tc>
      </w:tr>
      <w:tr w:rsidR="003E4BDD" w:rsidRPr="00254BEE" w14:paraId="06EB622F" w14:textId="77777777" w:rsidTr="003E4BDD">
        <w:trPr>
          <w:trHeight w:val="227"/>
        </w:trPr>
        <w:tc>
          <w:tcPr>
            <w:tcW w:w="2761" w:type="pct"/>
          </w:tcPr>
          <w:p w14:paraId="33B40885" w14:textId="77777777" w:rsidR="003E4BDD" w:rsidRPr="00254BEE" w:rsidRDefault="003E4BDD" w:rsidP="003E4BDD">
            <w:pPr>
              <w:pStyle w:val="Table"/>
              <w:rPr>
                <w:rFonts w:ascii="Times New Roman" w:eastAsia="PMingLiU" w:hAnsi="Times New Roman"/>
                <w:sz w:val="22"/>
                <w:szCs w:val="22"/>
                <w:lang w:eastAsia="zh-TW"/>
              </w:rPr>
            </w:pPr>
            <w:r w:rsidRPr="00254BEE">
              <w:rPr>
                <w:rFonts w:ascii="Times New Roman" w:eastAsia="PMingLiU" w:hAnsi="Times New Roman"/>
                <w:sz w:val="22"/>
                <w:szCs w:val="22"/>
                <w:lang w:eastAsia="zh-TW"/>
              </w:rPr>
              <w:t>Time to MID</w:t>
            </w:r>
            <w:r w:rsidRPr="00254BEE">
              <w:rPr>
                <w:rFonts w:ascii="Times New Roman" w:eastAsia="PMingLiU" w:hAnsi="Times New Roman"/>
                <w:sz w:val="22"/>
                <w:szCs w:val="22"/>
                <w:vertAlign w:val="superscript"/>
                <w:lang w:eastAsia="zh-TW"/>
              </w:rPr>
              <w:t xml:space="preserve"> a</w:t>
            </w:r>
            <w:r w:rsidRPr="00254BEE">
              <w:rPr>
                <w:rFonts w:ascii="Times New Roman" w:eastAsia="PMingLiU" w:hAnsi="Times New Roman"/>
                <w:sz w:val="22"/>
                <w:szCs w:val="22"/>
                <w:lang w:eastAsia="zh-TW"/>
              </w:rPr>
              <w:t xml:space="preserve"> response (decrease from baseline of ≥5 points) in weekly ISS up to week 12</w:t>
            </w:r>
          </w:p>
        </w:tc>
        <w:tc>
          <w:tcPr>
            <w:tcW w:w="2239" w:type="pct"/>
            <w:vMerge w:val="restart"/>
          </w:tcPr>
          <w:p w14:paraId="1CB7AE49" w14:textId="77777777" w:rsidR="003E4BDD" w:rsidRPr="00254BEE" w:rsidRDefault="003E4BDD" w:rsidP="003E4BDD">
            <w:pPr>
              <w:pStyle w:val="Table"/>
              <w:rPr>
                <w:rFonts w:ascii="Times New Roman" w:eastAsia="PMingLiU" w:hAnsi="Times New Roman"/>
                <w:sz w:val="22"/>
                <w:szCs w:val="22"/>
                <w:lang w:eastAsia="zh-TW"/>
              </w:rPr>
            </w:pPr>
          </w:p>
          <w:p w14:paraId="4DA5E370" w14:textId="77777777" w:rsidR="003E4BDD" w:rsidRPr="00254BEE" w:rsidRDefault="003E4BDD" w:rsidP="003E4BDD">
            <w:pPr>
              <w:pStyle w:val="Table"/>
              <w:rPr>
                <w:rFonts w:ascii="Times New Roman" w:eastAsia="PMingLiU" w:hAnsi="Times New Roman"/>
                <w:sz w:val="22"/>
                <w:szCs w:val="22"/>
                <w:lang w:eastAsia="zh-TW"/>
              </w:rPr>
            </w:pPr>
          </w:p>
          <w:p w14:paraId="70130D03" w14:textId="77777777" w:rsidR="003E4BDD" w:rsidRPr="00254BEE" w:rsidRDefault="003E4BDD" w:rsidP="003E4BDD">
            <w:pPr>
              <w:pStyle w:val="Table"/>
              <w:rPr>
                <w:rFonts w:ascii="Times New Roman" w:eastAsia="PMingLiU" w:hAnsi="Times New Roman"/>
                <w:sz w:val="22"/>
                <w:szCs w:val="22"/>
                <w:lang w:eastAsia="zh-TW"/>
              </w:rPr>
            </w:pPr>
          </w:p>
          <w:p w14:paraId="25E71750" w14:textId="77777777" w:rsidR="003E4BDD" w:rsidRPr="00254BEE" w:rsidRDefault="003E4BDD" w:rsidP="003E4BDD">
            <w:pPr>
              <w:pStyle w:val="Table"/>
              <w:rPr>
                <w:rFonts w:ascii="Times New Roman" w:eastAsia="PMingLiU" w:hAnsi="Times New Roman"/>
                <w:sz w:val="22"/>
                <w:szCs w:val="22"/>
                <w:lang w:eastAsia="zh-TW"/>
              </w:rPr>
            </w:pPr>
          </w:p>
          <w:p w14:paraId="2D762F35" w14:textId="77777777" w:rsidR="003E4BDD" w:rsidRPr="00254BEE" w:rsidRDefault="003E4BDD" w:rsidP="003E4BDD">
            <w:pPr>
              <w:pStyle w:val="Table"/>
              <w:rPr>
                <w:rFonts w:ascii="Times New Roman" w:eastAsia="PMingLiU" w:hAnsi="Times New Roman"/>
                <w:sz w:val="22"/>
                <w:szCs w:val="22"/>
                <w:lang w:eastAsia="zh-TW"/>
              </w:rPr>
            </w:pPr>
          </w:p>
          <w:p w14:paraId="29FDC13F" w14:textId="77777777" w:rsidR="003E4BDD" w:rsidRPr="00254BEE" w:rsidRDefault="003E4BDD" w:rsidP="003E4BDD">
            <w:pPr>
              <w:pStyle w:val="Table"/>
              <w:rPr>
                <w:rFonts w:ascii="Times New Roman" w:eastAsia="PMingLiU" w:hAnsi="Times New Roman"/>
                <w:sz w:val="22"/>
                <w:szCs w:val="22"/>
                <w:lang w:eastAsia="zh-TW"/>
              </w:rPr>
            </w:pPr>
            <w:r w:rsidRPr="00254BEE">
              <w:rPr>
                <w:rFonts w:ascii="Times New Roman" w:eastAsia="PMingLiU" w:hAnsi="Times New Roman"/>
                <w:sz w:val="22"/>
                <w:szCs w:val="22"/>
                <w:lang w:eastAsia="zh-TW"/>
              </w:rPr>
              <w:t>Secondary endpoints in all three studies Q4881g, Q4882g and Q4883g</w:t>
            </w:r>
          </w:p>
        </w:tc>
      </w:tr>
      <w:tr w:rsidR="003E4BDD" w:rsidRPr="00254BEE" w14:paraId="240E633B" w14:textId="77777777" w:rsidTr="003E4BDD">
        <w:trPr>
          <w:trHeight w:val="267"/>
        </w:trPr>
        <w:tc>
          <w:tcPr>
            <w:tcW w:w="2761" w:type="pct"/>
          </w:tcPr>
          <w:p w14:paraId="0F2265D1" w14:textId="77777777" w:rsidR="003E4BDD" w:rsidRPr="00254BEE" w:rsidRDefault="003E4BDD" w:rsidP="003E4BDD">
            <w:pPr>
              <w:pStyle w:val="Table"/>
              <w:rPr>
                <w:rFonts w:ascii="Times New Roman" w:eastAsia="PMingLiU" w:hAnsi="Times New Roman"/>
                <w:sz w:val="22"/>
                <w:szCs w:val="22"/>
                <w:lang w:eastAsia="zh-TW"/>
              </w:rPr>
            </w:pPr>
            <w:r w:rsidRPr="00254BEE">
              <w:rPr>
                <w:rFonts w:ascii="Times New Roman" w:eastAsia="PMingLiU" w:hAnsi="Times New Roman"/>
                <w:sz w:val="22"/>
                <w:szCs w:val="22"/>
                <w:lang w:eastAsia="zh-TW"/>
              </w:rPr>
              <w:t>Change from Baseline to week 12 in Urticaria Activity score during  a 7 day period  (UAS7</w:t>
            </w:r>
            <w:r w:rsidRPr="00254BEE">
              <w:rPr>
                <w:rFonts w:ascii="Times New Roman" w:eastAsia="PMingLiU" w:hAnsi="Times New Roman"/>
                <w:sz w:val="22"/>
                <w:szCs w:val="22"/>
                <w:vertAlign w:val="superscript"/>
                <w:lang w:eastAsia="zh-TW"/>
              </w:rPr>
              <w:t xml:space="preserve"> b</w:t>
            </w:r>
            <w:r w:rsidRPr="00254BEE">
              <w:rPr>
                <w:rFonts w:ascii="Times New Roman" w:eastAsia="PMingLiU" w:hAnsi="Times New Roman"/>
                <w:sz w:val="22"/>
                <w:szCs w:val="22"/>
                <w:lang w:eastAsia="zh-TW"/>
              </w:rPr>
              <w:t>, range 0-42)</w:t>
            </w:r>
          </w:p>
        </w:tc>
        <w:tc>
          <w:tcPr>
            <w:tcW w:w="2239" w:type="pct"/>
            <w:vMerge/>
          </w:tcPr>
          <w:p w14:paraId="35A8B401" w14:textId="77777777" w:rsidR="003E4BDD" w:rsidRPr="00254BEE" w:rsidRDefault="003E4BDD" w:rsidP="003E4BDD">
            <w:pPr>
              <w:pStyle w:val="Table"/>
              <w:rPr>
                <w:rFonts w:ascii="Times New Roman" w:eastAsia="PMingLiU" w:hAnsi="Times New Roman"/>
                <w:szCs w:val="18"/>
                <w:lang w:eastAsia="zh-TW"/>
              </w:rPr>
            </w:pPr>
          </w:p>
        </w:tc>
      </w:tr>
      <w:tr w:rsidR="003E4BDD" w:rsidRPr="00254BEE" w14:paraId="24B9BDFB" w14:textId="77777777" w:rsidTr="003E4BDD">
        <w:trPr>
          <w:trHeight w:val="267"/>
        </w:trPr>
        <w:tc>
          <w:tcPr>
            <w:tcW w:w="2761" w:type="pct"/>
          </w:tcPr>
          <w:p w14:paraId="5701923E" w14:textId="77777777" w:rsidR="003E4BDD" w:rsidRPr="00254BEE" w:rsidRDefault="003E4BDD" w:rsidP="003E4BDD">
            <w:pPr>
              <w:pStyle w:val="Table"/>
              <w:rPr>
                <w:rFonts w:ascii="Times New Roman" w:eastAsia="PMingLiU" w:hAnsi="Times New Roman"/>
                <w:sz w:val="22"/>
                <w:szCs w:val="22"/>
                <w:lang w:eastAsia="zh-TW"/>
              </w:rPr>
            </w:pPr>
            <w:r w:rsidRPr="00254BEE">
              <w:rPr>
                <w:rFonts w:ascii="Times New Roman" w:eastAsia="PMingLiU" w:hAnsi="Times New Roman"/>
                <w:sz w:val="22"/>
                <w:szCs w:val="22"/>
                <w:lang w:eastAsia="zh-TW"/>
              </w:rPr>
              <w:t>Proportion of patients with Urticaria Activity Score during a 7-Day Period ≤ 6 (UAS7</w:t>
            </w:r>
            <w:r w:rsidRPr="00254BEE">
              <w:rPr>
                <w:rFonts w:ascii="Times New Roman" w:eastAsia="PMingLiU" w:hAnsi="Times New Roman"/>
                <w:sz w:val="22"/>
                <w:szCs w:val="22"/>
                <w:vertAlign w:val="superscript"/>
                <w:lang w:eastAsia="zh-TW"/>
              </w:rPr>
              <w:t xml:space="preserve"> b</w:t>
            </w:r>
            <w:r w:rsidRPr="00254BEE">
              <w:rPr>
                <w:rFonts w:ascii="Times New Roman" w:eastAsia="PMingLiU" w:hAnsi="Times New Roman"/>
                <w:sz w:val="22"/>
                <w:szCs w:val="22"/>
                <w:lang w:eastAsia="zh-TW"/>
              </w:rPr>
              <w:t xml:space="preserve"> ≤ 6) at week 12</w:t>
            </w:r>
          </w:p>
        </w:tc>
        <w:tc>
          <w:tcPr>
            <w:tcW w:w="2239" w:type="pct"/>
            <w:vMerge/>
          </w:tcPr>
          <w:p w14:paraId="72543D1F" w14:textId="77777777" w:rsidR="003E4BDD" w:rsidRPr="00254BEE" w:rsidRDefault="003E4BDD" w:rsidP="003E4BDD">
            <w:pPr>
              <w:pStyle w:val="Table"/>
              <w:rPr>
                <w:rFonts w:ascii="Times New Roman" w:eastAsia="PMingLiU" w:hAnsi="Times New Roman"/>
                <w:szCs w:val="18"/>
                <w:lang w:eastAsia="zh-TW"/>
              </w:rPr>
            </w:pPr>
          </w:p>
        </w:tc>
      </w:tr>
      <w:tr w:rsidR="003E4BDD" w:rsidRPr="00254BEE" w14:paraId="0FE1B936" w14:textId="77777777" w:rsidTr="003E4BDD">
        <w:trPr>
          <w:trHeight w:val="267"/>
        </w:trPr>
        <w:tc>
          <w:tcPr>
            <w:tcW w:w="2761" w:type="pct"/>
          </w:tcPr>
          <w:p w14:paraId="04BA196F" w14:textId="77777777" w:rsidR="003E4BDD" w:rsidRPr="00254BEE" w:rsidRDefault="003E4BDD" w:rsidP="00010F61">
            <w:pPr>
              <w:pStyle w:val="Table"/>
              <w:rPr>
                <w:rFonts w:ascii="Times New Roman" w:eastAsia="PMingLiU" w:hAnsi="Times New Roman"/>
                <w:sz w:val="22"/>
                <w:szCs w:val="22"/>
                <w:lang w:eastAsia="zh-TW"/>
              </w:rPr>
            </w:pPr>
            <w:r w:rsidRPr="00254BEE">
              <w:rPr>
                <w:rFonts w:ascii="Times New Roman" w:eastAsia="PMingLiU" w:hAnsi="Times New Roman"/>
                <w:sz w:val="22"/>
                <w:szCs w:val="22"/>
                <w:lang w:eastAsia="zh-TW"/>
              </w:rPr>
              <w:t>Proportion of patients with Urticaria Activity Score during a 7-Day Period = 0 (UAS7</w:t>
            </w:r>
            <w:r w:rsidRPr="00254BEE">
              <w:rPr>
                <w:rFonts w:ascii="Times New Roman" w:eastAsia="PMingLiU" w:hAnsi="Times New Roman"/>
                <w:sz w:val="22"/>
                <w:szCs w:val="22"/>
                <w:vertAlign w:val="superscript"/>
                <w:lang w:eastAsia="zh-TW"/>
              </w:rPr>
              <w:t xml:space="preserve"> b</w:t>
            </w:r>
            <w:r w:rsidRPr="00254BEE">
              <w:rPr>
                <w:rFonts w:ascii="Times New Roman" w:eastAsia="PMingLiU" w:hAnsi="Times New Roman"/>
                <w:sz w:val="22"/>
                <w:szCs w:val="22"/>
                <w:lang w:eastAsia="zh-TW"/>
              </w:rPr>
              <w:t xml:space="preserve"> = 0) at week 12 </w:t>
            </w:r>
            <w:r w:rsidRPr="00254BEE">
              <w:rPr>
                <w:rFonts w:ascii="Times New Roman" w:eastAsia="PMingLiU" w:hAnsi="Times New Roman"/>
                <w:sz w:val="22"/>
                <w:szCs w:val="22"/>
                <w:vertAlign w:val="superscript"/>
                <w:lang w:eastAsia="zh-TW"/>
              </w:rPr>
              <w:t>c</w:t>
            </w:r>
            <w:r w:rsidRPr="00254BEE">
              <w:rPr>
                <w:rFonts w:ascii="Times New Roman" w:eastAsia="PMingLiU" w:hAnsi="Times New Roman"/>
                <w:b/>
                <w:sz w:val="22"/>
                <w:szCs w:val="22"/>
                <w:lang w:eastAsia="zh-TW"/>
              </w:rPr>
              <w:t xml:space="preserve"> </w:t>
            </w:r>
          </w:p>
        </w:tc>
        <w:tc>
          <w:tcPr>
            <w:tcW w:w="2239" w:type="pct"/>
            <w:vMerge/>
          </w:tcPr>
          <w:p w14:paraId="726E633B" w14:textId="77777777" w:rsidR="003E4BDD" w:rsidRPr="00254BEE" w:rsidRDefault="003E4BDD" w:rsidP="003E4BDD">
            <w:pPr>
              <w:pStyle w:val="Table"/>
              <w:rPr>
                <w:rFonts w:ascii="Times New Roman" w:eastAsia="PMingLiU" w:hAnsi="Times New Roman"/>
                <w:szCs w:val="18"/>
                <w:lang w:eastAsia="zh-TW"/>
              </w:rPr>
            </w:pPr>
          </w:p>
        </w:tc>
      </w:tr>
      <w:tr w:rsidR="003E4BDD" w:rsidRPr="00254BEE" w14:paraId="42636CAF" w14:textId="77777777" w:rsidTr="003E4BDD">
        <w:trPr>
          <w:trHeight w:val="267"/>
        </w:trPr>
        <w:tc>
          <w:tcPr>
            <w:tcW w:w="2761" w:type="pct"/>
          </w:tcPr>
          <w:p w14:paraId="618AF9F2" w14:textId="77777777" w:rsidR="003E4BDD" w:rsidRPr="00254BEE" w:rsidRDefault="003E4BDD" w:rsidP="003E4BDD">
            <w:pPr>
              <w:pStyle w:val="Table"/>
              <w:rPr>
                <w:rFonts w:ascii="Times New Roman" w:eastAsia="PMingLiU" w:hAnsi="Times New Roman"/>
                <w:sz w:val="22"/>
                <w:szCs w:val="22"/>
                <w:lang w:eastAsia="zh-TW"/>
              </w:rPr>
            </w:pPr>
            <w:r w:rsidRPr="00254BEE">
              <w:rPr>
                <w:rFonts w:ascii="Times New Roman" w:hAnsi="Times New Roman"/>
                <w:sz w:val="22"/>
                <w:szCs w:val="22"/>
              </w:rPr>
              <w:t>Changes from baseline in the weekly number of hives score at week 12</w:t>
            </w:r>
          </w:p>
        </w:tc>
        <w:tc>
          <w:tcPr>
            <w:tcW w:w="2239" w:type="pct"/>
            <w:vMerge/>
          </w:tcPr>
          <w:p w14:paraId="2BA3B4FF" w14:textId="77777777" w:rsidR="003E4BDD" w:rsidRPr="00254BEE" w:rsidRDefault="003E4BDD" w:rsidP="003E4BDD">
            <w:pPr>
              <w:pStyle w:val="Table"/>
              <w:rPr>
                <w:rFonts w:ascii="Times New Roman" w:eastAsia="PMingLiU" w:hAnsi="Times New Roman"/>
                <w:szCs w:val="18"/>
                <w:lang w:eastAsia="zh-TW"/>
              </w:rPr>
            </w:pPr>
          </w:p>
        </w:tc>
      </w:tr>
      <w:tr w:rsidR="003E4BDD" w:rsidRPr="00254BEE" w14:paraId="36AB3CF9" w14:textId="77777777" w:rsidTr="003E4BDD">
        <w:trPr>
          <w:trHeight w:val="267"/>
        </w:trPr>
        <w:tc>
          <w:tcPr>
            <w:tcW w:w="2761" w:type="pct"/>
          </w:tcPr>
          <w:p w14:paraId="7B4D4B70" w14:textId="77777777" w:rsidR="003E4BDD" w:rsidRPr="00254BEE" w:rsidRDefault="003E4BDD" w:rsidP="003E4BDD">
            <w:pPr>
              <w:pStyle w:val="Table"/>
              <w:rPr>
                <w:rFonts w:ascii="Times New Roman" w:hAnsi="Times New Roman"/>
                <w:sz w:val="22"/>
                <w:szCs w:val="22"/>
              </w:rPr>
            </w:pPr>
            <w:r w:rsidRPr="00254BEE">
              <w:rPr>
                <w:rFonts w:ascii="Times New Roman" w:eastAsia="PMingLiU" w:hAnsi="Times New Roman"/>
                <w:sz w:val="22"/>
                <w:szCs w:val="22"/>
                <w:lang w:eastAsia="zh-TW"/>
              </w:rPr>
              <w:t>Change from baseline to week 12 in overall Dermatology Life Quality Index (DLQI)</w:t>
            </w:r>
          </w:p>
        </w:tc>
        <w:tc>
          <w:tcPr>
            <w:tcW w:w="2239" w:type="pct"/>
            <w:vMerge/>
          </w:tcPr>
          <w:p w14:paraId="5F540E08" w14:textId="77777777" w:rsidR="003E4BDD" w:rsidRPr="00254BEE" w:rsidRDefault="003E4BDD" w:rsidP="003E4BDD">
            <w:pPr>
              <w:pStyle w:val="Table"/>
              <w:rPr>
                <w:rFonts w:ascii="Times New Roman" w:eastAsia="PMingLiU" w:hAnsi="Times New Roman"/>
                <w:szCs w:val="18"/>
                <w:lang w:eastAsia="zh-TW"/>
              </w:rPr>
            </w:pPr>
          </w:p>
        </w:tc>
      </w:tr>
      <w:tr w:rsidR="003E4BDD" w:rsidRPr="00254BEE" w14:paraId="346CC84D" w14:textId="77777777" w:rsidTr="003E4BDD">
        <w:trPr>
          <w:trHeight w:val="267"/>
        </w:trPr>
        <w:tc>
          <w:tcPr>
            <w:tcW w:w="2761" w:type="pct"/>
          </w:tcPr>
          <w:p w14:paraId="624EDDCB" w14:textId="77777777" w:rsidR="003E4BDD" w:rsidRPr="00254BEE" w:rsidRDefault="003E4BDD" w:rsidP="003E4BDD">
            <w:pPr>
              <w:pStyle w:val="Table"/>
              <w:rPr>
                <w:rFonts w:ascii="Times New Roman" w:eastAsia="PMingLiU" w:hAnsi="Times New Roman"/>
                <w:sz w:val="22"/>
                <w:szCs w:val="22"/>
                <w:lang w:eastAsia="zh-TW"/>
              </w:rPr>
            </w:pPr>
            <w:r w:rsidRPr="00254BEE">
              <w:rPr>
                <w:rFonts w:ascii="Times New Roman" w:eastAsia="PMingLiU" w:hAnsi="Times New Roman"/>
                <w:sz w:val="22"/>
                <w:szCs w:val="22"/>
                <w:lang w:eastAsia="zh-TW"/>
              </w:rPr>
              <w:t>Proportion of patients with angioedema-free days from week 4 to week 12</w:t>
            </w:r>
            <w:r w:rsidRPr="00254BEE">
              <w:rPr>
                <w:rFonts w:ascii="Times New Roman" w:hAnsi="Times New Roman"/>
                <w:sz w:val="22"/>
                <w:szCs w:val="22"/>
                <w:vertAlign w:val="superscript"/>
              </w:rPr>
              <w:t xml:space="preserve"> d</w:t>
            </w:r>
          </w:p>
        </w:tc>
        <w:tc>
          <w:tcPr>
            <w:tcW w:w="2239" w:type="pct"/>
            <w:vMerge/>
          </w:tcPr>
          <w:p w14:paraId="069F9D93" w14:textId="77777777" w:rsidR="003E4BDD" w:rsidRPr="00254BEE" w:rsidRDefault="003E4BDD" w:rsidP="003E4BDD">
            <w:pPr>
              <w:pStyle w:val="Table"/>
              <w:rPr>
                <w:rFonts w:ascii="Times New Roman" w:eastAsia="PMingLiU" w:hAnsi="Times New Roman"/>
                <w:szCs w:val="18"/>
                <w:lang w:eastAsia="zh-TW"/>
              </w:rPr>
            </w:pPr>
          </w:p>
        </w:tc>
      </w:tr>
    </w:tbl>
    <w:p w14:paraId="4C4CF8C8" w14:textId="77777777" w:rsidR="003E4BDD" w:rsidRPr="00254BEE" w:rsidRDefault="003E4BDD" w:rsidP="003E4BDD">
      <w:pPr>
        <w:pStyle w:val="Legend"/>
        <w:rPr>
          <w:rFonts w:ascii="Times New Roman" w:hAnsi="Times New Roman"/>
          <w:i/>
          <w:sz w:val="18"/>
          <w:szCs w:val="18"/>
          <w:lang w:val="en-GB"/>
        </w:rPr>
      </w:pPr>
      <w:r w:rsidRPr="00254BEE">
        <w:rPr>
          <w:rFonts w:ascii="Times New Roman" w:eastAsia="PMingLiU" w:hAnsi="Times New Roman"/>
          <w:i/>
          <w:sz w:val="18"/>
          <w:szCs w:val="18"/>
          <w:vertAlign w:val="superscript"/>
          <w:lang w:eastAsia="zh-TW"/>
        </w:rPr>
        <w:t xml:space="preserve">a </w:t>
      </w:r>
      <w:r w:rsidRPr="00254BEE">
        <w:rPr>
          <w:rFonts w:ascii="Times New Roman" w:hAnsi="Times New Roman"/>
          <w:i/>
          <w:sz w:val="18"/>
          <w:szCs w:val="18"/>
          <w:lang w:val="en-GB"/>
        </w:rPr>
        <w:t>MID: Minimally Important Difference</w:t>
      </w:r>
    </w:p>
    <w:p w14:paraId="3FF0DD15" w14:textId="77777777" w:rsidR="003E4BDD" w:rsidRPr="00254BEE" w:rsidRDefault="003E4BDD" w:rsidP="003E4BDD">
      <w:pPr>
        <w:pStyle w:val="Legend"/>
        <w:rPr>
          <w:rFonts w:ascii="Times New Roman" w:hAnsi="Times New Roman"/>
          <w:i/>
          <w:sz w:val="18"/>
          <w:szCs w:val="18"/>
          <w:lang w:val="en-GB"/>
        </w:rPr>
      </w:pPr>
      <w:r w:rsidRPr="00254BEE">
        <w:rPr>
          <w:rFonts w:ascii="Times New Roman" w:eastAsia="PMingLiU" w:hAnsi="Times New Roman"/>
          <w:i/>
          <w:sz w:val="18"/>
          <w:szCs w:val="18"/>
          <w:vertAlign w:val="superscript"/>
          <w:lang w:eastAsia="zh-TW"/>
        </w:rPr>
        <w:t>b</w:t>
      </w:r>
      <w:r w:rsidRPr="00254BEE">
        <w:rPr>
          <w:rFonts w:ascii="Times New Roman" w:hAnsi="Times New Roman"/>
          <w:i/>
          <w:sz w:val="18"/>
          <w:szCs w:val="18"/>
          <w:lang w:val="en-GB"/>
        </w:rPr>
        <w:t xml:space="preserve"> UAS7: Composite of itch severity and number of hives measured daily and totalled over one week</w:t>
      </w:r>
    </w:p>
    <w:p w14:paraId="165E52F6" w14:textId="77777777" w:rsidR="003E4BDD" w:rsidRPr="00254BEE" w:rsidRDefault="003E4BDD" w:rsidP="003E4BDD">
      <w:pPr>
        <w:pStyle w:val="Legend"/>
        <w:rPr>
          <w:rFonts w:ascii="Times New Roman" w:hAnsi="Times New Roman"/>
          <w:i/>
          <w:sz w:val="18"/>
          <w:szCs w:val="18"/>
          <w:lang w:val="en-GB"/>
        </w:rPr>
      </w:pPr>
      <w:r w:rsidRPr="00254BEE">
        <w:rPr>
          <w:rFonts w:ascii="Times New Roman" w:eastAsia="PMingLiU" w:hAnsi="Times New Roman"/>
          <w:i/>
          <w:sz w:val="18"/>
          <w:szCs w:val="18"/>
          <w:vertAlign w:val="superscript"/>
          <w:lang w:eastAsia="zh-TW"/>
        </w:rPr>
        <w:t xml:space="preserve">c </w:t>
      </w:r>
      <w:r w:rsidRPr="00254BEE">
        <w:rPr>
          <w:rFonts w:ascii="Times New Roman" w:hAnsi="Times New Roman"/>
          <w:i/>
          <w:sz w:val="18"/>
          <w:szCs w:val="18"/>
          <w:lang w:val="en-GB"/>
        </w:rPr>
        <w:t>Post hoc analysis for study Q4882g</w:t>
      </w:r>
    </w:p>
    <w:p w14:paraId="3BA16329" w14:textId="77777777" w:rsidR="003E4BDD" w:rsidRPr="00254BEE" w:rsidRDefault="003E4BDD" w:rsidP="003E4BDD">
      <w:pPr>
        <w:pStyle w:val="Legend"/>
        <w:rPr>
          <w:rFonts w:ascii="Times New Roman" w:hAnsi="Times New Roman"/>
          <w:i/>
          <w:sz w:val="18"/>
          <w:szCs w:val="18"/>
        </w:rPr>
      </w:pPr>
      <w:r w:rsidRPr="00254BEE">
        <w:rPr>
          <w:rFonts w:ascii="Times New Roman" w:hAnsi="Times New Roman"/>
          <w:i/>
          <w:sz w:val="18"/>
          <w:szCs w:val="18"/>
          <w:vertAlign w:val="superscript"/>
        </w:rPr>
        <w:t>d</w:t>
      </w:r>
      <w:r w:rsidRPr="00254BEE">
        <w:rPr>
          <w:rFonts w:ascii="Times New Roman" w:hAnsi="Times New Roman"/>
          <w:i/>
          <w:sz w:val="18"/>
          <w:szCs w:val="18"/>
        </w:rPr>
        <w:t xml:space="preserve"> Mean proportion of angioedema-free days from week 4 to week 12 was calculated for the entire study population, including patients asymptomatic for angioedema.</w:t>
      </w:r>
    </w:p>
    <w:p w14:paraId="3965F3C9" w14:textId="77777777" w:rsidR="003E4BDD" w:rsidRPr="00254BEE" w:rsidRDefault="003E4BDD" w:rsidP="003E4BDD">
      <w:pPr>
        <w:pStyle w:val="Text"/>
      </w:pPr>
      <w:r w:rsidRPr="00254BEE">
        <w:t>In studies Q4881g and Q4882g the 75 mg dose did not consistently meet either the primary efficacy endpoint or a number of secondary endpoints. It was deemed not efficacious and therefore not further presented.</w:t>
      </w:r>
    </w:p>
    <w:p w14:paraId="17464256" w14:textId="77777777" w:rsidR="00436969" w:rsidRPr="00254BEE" w:rsidRDefault="003E4BDD" w:rsidP="00436969">
      <w:pPr>
        <w:pStyle w:val="Nottoc-headings"/>
        <w:rPr>
          <w:rFonts w:ascii="Times New Roman" w:hAnsi="Times New Roman"/>
          <w:sz w:val="24"/>
        </w:rPr>
      </w:pPr>
      <w:r w:rsidRPr="00254BEE">
        <w:rPr>
          <w:rFonts w:ascii="Times New Roman" w:hAnsi="Times New Roman"/>
          <w:sz w:val="24"/>
        </w:rPr>
        <w:t>Change from baseline to week 12 in weekly itch severity score</w:t>
      </w:r>
      <w:bookmarkStart w:id="4" w:name="_4050541Change_from_baseline_to_we"/>
      <w:bookmarkEnd w:id="4"/>
    </w:p>
    <w:p w14:paraId="7D6B8853" w14:textId="77777777" w:rsidR="003E4BDD" w:rsidRPr="00254BEE" w:rsidRDefault="003E4BDD" w:rsidP="003E4BDD">
      <w:pPr>
        <w:pStyle w:val="Text"/>
        <w:rPr>
          <w:sz w:val="28"/>
        </w:rPr>
      </w:pPr>
      <w:r w:rsidRPr="00254BEE">
        <w:rPr>
          <w:szCs w:val="22"/>
        </w:rPr>
        <w:t xml:space="preserve">The primary efficacy endpoint, change from baseline to week 12 in weekly itch severity score was met by both the 150 mg and 300 mg doses in studies Q4881g and Q4882g and by the 300 mg dose in Q4883g (see Table </w:t>
      </w:r>
      <w:r w:rsidR="00E05237" w:rsidRPr="00254BEE">
        <w:rPr>
          <w:szCs w:val="22"/>
        </w:rPr>
        <w:t>4</w:t>
      </w:r>
      <w:r w:rsidRPr="00254BEE">
        <w:rPr>
          <w:szCs w:val="22"/>
        </w:rPr>
        <w:t>).</w:t>
      </w:r>
    </w:p>
    <w:p w14:paraId="2159C301" w14:textId="77777777" w:rsidR="004D1201" w:rsidRPr="00254BEE" w:rsidRDefault="004D1201">
      <w:pPr>
        <w:rPr>
          <w:sz w:val="28"/>
        </w:rPr>
      </w:pPr>
      <w:r w:rsidRPr="00254BEE">
        <w:rPr>
          <w:sz w:val="28"/>
        </w:rPr>
        <w:br w:type="page"/>
      </w:r>
    </w:p>
    <w:p w14:paraId="0B9AB1BE" w14:textId="77777777" w:rsidR="00D357B5" w:rsidRPr="00254BEE" w:rsidRDefault="00D357B5" w:rsidP="003E4BDD">
      <w:pPr>
        <w:pStyle w:val="Text"/>
      </w:pPr>
    </w:p>
    <w:p w14:paraId="48A1783A" w14:textId="77777777" w:rsidR="003E4BDD" w:rsidRPr="00254BEE" w:rsidRDefault="003E4BDD" w:rsidP="00D357B5">
      <w:pPr>
        <w:widowControl w:val="0"/>
        <w:rPr>
          <w:b/>
          <w:color w:val="000000" w:themeColor="text1"/>
        </w:rPr>
      </w:pPr>
      <w:bookmarkStart w:id="5" w:name="_Toc361210683"/>
      <w:r w:rsidRPr="00254BEE">
        <w:rPr>
          <w:b/>
          <w:color w:val="000000" w:themeColor="text1"/>
        </w:rPr>
        <w:t xml:space="preserve">Table </w:t>
      </w:r>
      <w:r w:rsidR="00D357B5" w:rsidRPr="00254BEE">
        <w:rPr>
          <w:b/>
          <w:color w:val="000000" w:themeColor="text1"/>
        </w:rPr>
        <w:t>4</w:t>
      </w:r>
      <w:r w:rsidRPr="00254BEE">
        <w:rPr>
          <w:b/>
          <w:color w:val="000000" w:themeColor="text1"/>
        </w:rPr>
        <w:tab/>
        <w:t>Change from baseline to week 12 in weekly itch severity score, Studies Q4881g, Q4882g and Q4883g (mITT population*)</w:t>
      </w:r>
      <w:bookmarkEnd w:id="5"/>
      <w:r w:rsidRPr="00254BEE">
        <w:rPr>
          <w:b/>
          <w:color w:val="000000" w:themeColor="text1"/>
        </w:rPr>
        <w:t xml:space="preserve"> </w:t>
      </w:r>
    </w:p>
    <w:p w14:paraId="758E175E" w14:textId="77777777" w:rsidR="00D357B5" w:rsidRPr="00254BEE" w:rsidRDefault="00D357B5" w:rsidP="00D357B5">
      <w:pPr>
        <w:widowControl w:val="0"/>
        <w:rPr>
          <w:b/>
          <w:color w:val="000000" w:themeColor="text1"/>
        </w:rPr>
      </w:pPr>
    </w:p>
    <w:tbl>
      <w:tblPr>
        <w:tblW w:w="5000" w:type="pct"/>
        <w:tblLook w:val="04A0" w:firstRow="1" w:lastRow="0" w:firstColumn="1" w:lastColumn="0" w:noHBand="0" w:noVBand="1"/>
      </w:tblPr>
      <w:tblGrid>
        <w:gridCol w:w="4292"/>
        <w:gridCol w:w="1553"/>
        <w:gridCol w:w="1762"/>
        <w:gridCol w:w="1638"/>
      </w:tblGrid>
      <w:tr w:rsidR="003E4BDD" w:rsidRPr="00254BEE" w14:paraId="696F231E" w14:textId="77777777" w:rsidTr="003E4BDD">
        <w:trPr>
          <w:tblHeader/>
        </w:trPr>
        <w:tc>
          <w:tcPr>
            <w:tcW w:w="2321" w:type="pct"/>
            <w:tcBorders>
              <w:top w:val="single" w:sz="4" w:space="0" w:color="auto"/>
              <w:bottom w:val="single" w:sz="4" w:space="0" w:color="auto"/>
            </w:tcBorders>
            <w:shd w:val="clear" w:color="auto" w:fill="auto"/>
          </w:tcPr>
          <w:p w14:paraId="67236A3B" w14:textId="77777777" w:rsidR="003E4BDD" w:rsidRPr="00254BEE" w:rsidRDefault="003E4BDD" w:rsidP="003E4BDD">
            <w:pPr>
              <w:pStyle w:val="Table"/>
              <w:rPr>
                <w:rFonts w:ascii="Times New Roman" w:hAnsi="Times New Roman"/>
                <w:sz w:val="22"/>
                <w:szCs w:val="22"/>
              </w:rPr>
            </w:pPr>
          </w:p>
        </w:tc>
        <w:tc>
          <w:tcPr>
            <w:tcW w:w="840" w:type="pct"/>
            <w:tcBorders>
              <w:top w:val="single" w:sz="4" w:space="0" w:color="auto"/>
              <w:bottom w:val="single" w:sz="4" w:space="0" w:color="auto"/>
            </w:tcBorders>
            <w:shd w:val="clear" w:color="auto" w:fill="auto"/>
            <w:vAlign w:val="bottom"/>
          </w:tcPr>
          <w:p w14:paraId="54AF47A7" w14:textId="77777777" w:rsidR="003E4BDD" w:rsidRPr="00254BEE" w:rsidRDefault="003E4BDD" w:rsidP="003E4BDD">
            <w:pPr>
              <w:pStyle w:val="Table"/>
              <w:jc w:val="center"/>
              <w:rPr>
                <w:rFonts w:ascii="Times New Roman" w:eastAsia="PMingLiU" w:hAnsi="Times New Roman"/>
                <w:b/>
                <w:sz w:val="22"/>
                <w:szCs w:val="22"/>
                <w:lang w:eastAsia="zh-TW"/>
              </w:rPr>
            </w:pPr>
            <w:r w:rsidRPr="00254BEE">
              <w:rPr>
                <w:rFonts w:ascii="Times New Roman" w:eastAsia="PMingLiU" w:hAnsi="Times New Roman"/>
                <w:b/>
                <w:sz w:val="22"/>
                <w:szCs w:val="22"/>
                <w:lang w:eastAsia="zh-TW"/>
              </w:rPr>
              <w:t>Placebo</w:t>
            </w:r>
          </w:p>
        </w:tc>
        <w:tc>
          <w:tcPr>
            <w:tcW w:w="953" w:type="pct"/>
            <w:tcBorders>
              <w:top w:val="single" w:sz="4" w:space="0" w:color="auto"/>
              <w:bottom w:val="single" w:sz="4" w:space="0" w:color="auto"/>
            </w:tcBorders>
            <w:shd w:val="clear" w:color="auto" w:fill="auto"/>
            <w:vAlign w:val="bottom"/>
          </w:tcPr>
          <w:p w14:paraId="635CB2EC" w14:textId="77777777" w:rsidR="003E4BDD" w:rsidRPr="00254BEE" w:rsidRDefault="003E4BDD" w:rsidP="003E4BDD">
            <w:pPr>
              <w:pStyle w:val="Table"/>
              <w:jc w:val="center"/>
              <w:rPr>
                <w:rFonts w:ascii="Times New Roman" w:eastAsia="PMingLiU" w:hAnsi="Times New Roman"/>
                <w:b/>
                <w:sz w:val="22"/>
                <w:szCs w:val="22"/>
                <w:lang w:eastAsia="zh-TW"/>
              </w:rPr>
            </w:pPr>
            <w:r w:rsidRPr="00254BEE">
              <w:rPr>
                <w:rFonts w:ascii="Times New Roman" w:eastAsia="PMingLiU" w:hAnsi="Times New Roman"/>
                <w:b/>
                <w:sz w:val="22"/>
                <w:szCs w:val="22"/>
                <w:lang w:eastAsia="zh-TW"/>
              </w:rPr>
              <w:t>Omalizumab</w:t>
            </w:r>
            <w:r w:rsidRPr="00254BEE">
              <w:rPr>
                <w:rFonts w:ascii="Times New Roman" w:eastAsia="PMingLiU" w:hAnsi="Times New Roman"/>
                <w:b/>
                <w:sz w:val="22"/>
                <w:szCs w:val="22"/>
                <w:lang w:eastAsia="zh-TW"/>
              </w:rPr>
              <w:br/>
              <w:t>150mg</w:t>
            </w:r>
          </w:p>
        </w:tc>
        <w:tc>
          <w:tcPr>
            <w:tcW w:w="886" w:type="pct"/>
            <w:tcBorders>
              <w:top w:val="single" w:sz="4" w:space="0" w:color="auto"/>
              <w:bottom w:val="single" w:sz="4" w:space="0" w:color="auto"/>
            </w:tcBorders>
            <w:shd w:val="clear" w:color="auto" w:fill="auto"/>
            <w:vAlign w:val="bottom"/>
          </w:tcPr>
          <w:p w14:paraId="7648FF18" w14:textId="77777777" w:rsidR="003E4BDD" w:rsidRPr="00254BEE" w:rsidRDefault="003E4BDD" w:rsidP="003E4BDD">
            <w:pPr>
              <w:pStyle w:val="Table"/>
              <w:jc w:val="center"/>
              <w:rPr>
                <w:rFonts w:ascii="Times New Roman" w:eastAsia="PMingLiU" w:hAnsi="Times New Roman"/>
                <w:b/>
                <w:sz w:val="22"/>
                <w:szCs w:val="22"/>
                <w:lang w:eastAsia="zh-TW"/>
              </w:rPr>
            </w:pPr>
            <w:r w:rsidRPr="00254BEE">
              <w:rPr>
                <w:rFonts w:ascii="Times New Roman" w:eastAsia="PMingLiU" w:hAnsi="Times New Roman"/>
                <w:b/>
                <w:sz w:val="22"/>
                <w:szCs w:val="22"/>
                <w:lang w:eastAsia="zh-TW"/>
              </w:rPr>
              <w:t>Omalizumab</w:t>
            </w:r>
            <w:r w:rsidRPr="00254BEE">
              <w:rPr>
                <w:rFonts w:ascii="Times New Roman" w:eastAsia="PMingLiU" w:hAnsi="Times New Roman"/>
                <w:b/>
                <w:sz w:val="22"/>
                <w:szCs w:val="22"/>
                <w:lang w:eastAsia="zh-TW"/>
              </w:rPr>
              <w:br/>
              <w:t>300mg</w:t>
            </w:r>
          </w:p>
        </w:tc>
      </w:tr>
      <w:tr w:rsidR="003E4BDD" w:rsidRPr="00254BEE" w14:paraId="338A1C67" w14:textId="77777777" w:rsidTr="003E4BDD">
        <w:tc>
          <w:tcPr>
            <w:tcW w:w="2321" w:type="pct"/>
            <w:tcBorders>
              <w:top w:val="single" w:sz="4" w:space="0" w:color="auto"/>
            </w:tcBorders>
            <w:shd w:val="clear" w:color="auto" w:fill="auto"/>
          </w:tcPr>
          <w:p w14:paraId="67A32936" w14:textId="77777777" w:rsidR="003E4BDD" w:rsidRPr="00254BEE" w:rsidRDefault="003E4BDD" w:rsidP="003E4BDD">
            <w:pPr>
              <w:pStyle w:val="Table"/>
              <w:rPr>
                <w:rFonts w:ascii="Times New Roman" w:hAnsi="Times New Roman"/>
                <w:b/>
                <w:sz w:val="22"/>
                <w:szCs w:val="22"/>
              </w:rPr>
            </w:pPr>
            <w:r w:rsidRPr="00254BEE">
              <w:rPr>
                <w:rFonts w:ascii="Times New Roman" w:hAnsi="Times New Roman"/>
                <w:b/>
                <w:sz w:val="22"/>
                <w:szCs w:val="22"/>
              </w:rPr>
              <w:t>Study Q4881g</w:t>
            </w:r>
          </w:p>
        </w:tc>
        <w:tc>
          <w:tcPr>
            <w:tcW w:w="840" w:type="pct"/>
            <w:tcBorders>
              <w:top w:val="single" w:sz="4" w:space="0" w:color="auto"/>
            </w:tcBorders>
            <w:shd w:val="clear" w:color="auto" w:fill="auto"/>
          </w:tcPr>
          <w:p w14:paraId="7970EB5C" w14:textId="77777777" w:rsidR="003E4BDD" w:rsidRPr="00254BEE" w:rsidRDefault="003E4BDD" w:rsidP="003E4BDD">
            <w:pPr>
              <w:pStyle w:val="Table"/>
              <w:jc w:val="center"/>
              <w:rPr>
                <w:rFonts w:ascii="Times New Roman" w:hAnsi="Times New Roman"/>
                <w:sz w:val="22"/>
                <w:szCs w:val="22"/>
              </w:rPr>
            </w:pPr>
          </w:p>
        </w:tc>
        <w:tc>
          <w:tcPr>
            <w:tcW w:w="953" w:type="pct"/>
            <w:tcBorders>
              <w:top w:val="single" w:sz="4" w:space="0" w:color="auto"/>
            </w:tcBorders>
            <w:shd w:val="clear" w:color="auto" w:fill="auto"/>
          </w:tcPr>
          <w:p w14:paraId="7C021417" w14:textId="77777777" w:rsidR="003E4BDD" w:rsidRPr="00254BEE" w:rsidRDefault="003E4BDD" w:rsidP="003E4BDD">
            <w:pPr>
              <w:pStyle w:val="Table"/>
              <w:jc w:val="center"/>
              <w:rPr>
                <w:rFonts w:ascii="Times New Roman" w:hAnsi="Times New Roman"/>
                <w:sz w:val="22"/>
                <w:szCs w:val="22"/>
              </w:rPr>
            </w:pPr>
          </w:p>
        </w:tc>
        <w:tc>
          <w:tcPr>
            <w:tcW w:w="886" w:type="pct"/>
            <w:tcBorders>
              <w:top w:val="single" w:sz="4" w:space="0" w:color="auto"/>
            </w:tcBorders>
            <w:shd w:val="clear" w:color="auto" w:fill="auto"/>
          </w:tcPr>
          <w:p w14:paraId="76C9B74E" w14:textId="77777777" w:rsidR="003E4BDD" w:rsidRPr="00254BEE" w:rsidRDefault="003E4BDD" w:rsidP="003E4BDD">
            <w:pPr>
              <w:pStyle w:val="Table"/>
              <w:jc w:val="center"/>
              <w:rPr>
                <w:rFonts w:ascii="Times New Roman" w:hAnsi="Times New Roman"/>
                <w:sz w:val="22"/>
                <w:szCs w:val="22"/>
              </w:rPr>
            </w:pPr>
          </w:p>
        </w:tc>
      </w:tr>
      <w:tr w:rsidR="003E4BDD" w:rsidRPr="00254BEE" w14:paraId="13FE87FB" w14:textId="77777777" w:rsidTr="003E4BDD">
        <w:tc>
          <w:tcPr>
            <w:tcW w:w="2321" w:type="pct"/>
            <w:shd w:val="clear" w:color="auto" w:fill="auto"/>
          </w:tcPr>
          <w:p w14:paraId="54707901" w14:textId="77777777" w:rsidR="003E4BDD" w:rsidRPr="00254BEE" w:rsidRDefault="003E4BDD" w:rsidP="003E4BDD">
            <w:pPr>
              <w:pStyle w:val="Table"/>
              <w:rPr>
                <w:rFonts w:ascii="Times New Roman" w:hAnsi="Times New Roman"/>
                <w:sz w:val="22"/>
                <w:szCs w:val="22"/>
              </w:rPr>
            </w:pPr>
            <w:r w:rsidRPr="00254BEE">
              <w:rPr>
                <w:rFonts w:ascii="Times New Roman" w:hAnsi="Times New Roman"/>
                <w:sz w:val="22"/>
                <w:szCs w:val="22"/>
              </w:rPr>
              <w:tab/>
              <w:t>N</w:t>
            </w:r>
          </w:p>
        </w:tc>
        <w:tc>
          <w:tcPr>
            <w:tcW w:w="840" w:type="pct"/>
            <w:shd w:val="clear" w:color="auto" w:fill="auto"/>
          </w:tcPr>
          <w:p w14:paraId="79DEF02E" w14:textId="77777777" w:rsidR="003E4BDD" w:rsidRPr="00254BEE" w:rsidRDefault="003E4BDD" w:rsidP="003E4BDD">
            <w:pPr>
              <w:pStyle w:val="Table"/>
              <w:jc w:val="center"/>
              <w:rPr>
                <w:rFonts w:ascii="Times New Roman" w:hAnsi="Times New Roman"/>
                <w:sz w:val="22"/>
                <w:szCs w:val="22"/>
              </w:rPr>
            </w:pPr>
            <w:r w:rsidRPr="00254BEE">
              <w:rPr>
                <w:rFonts w:ascii="Times New Roman" w:hAnsi="Times New Roman"/>
                <w:sz w:val="22"/>
                <w:szCs w:val="22"/>
              </w:rPr>
              <w:t>80</w:t>
            </w:r>
          </w:p>
        </w:tc>
        <w:tc>
          <w:tcPr>
            <w:tcW w:w="953" w:type="pct"/>
            <w:shd w:val="clear" w:color="auto" w:fill="auto"/>
          </w:tcPr>
          <w:p w14:paraId="78B10639" w14:textId="77777777" w:rsidR="003E4BDD" w:rsidRPr="00254BEE" w:rsidRDefault="003E4BDD" w:rsidP="003E4BDD">
            <w:pPr>
              <w:pStyle w:val="Table"/>
              <w:jc w:val="center"/>
              <w:rPr>
                <w:rFonts w:ascii="Times New Roman" w:hAnsi="Times New Roman"/>
                <w:sz w:val="22"/>
                <w:szCs w:val="22"/>
              </w:rPr>
            </w:pPr>
            <w:r w:rsidRPr="00254BEE">
              <w:rPr>
                <w:rFonts w:ascii="Times New Roman" w:hAnsi="Times New Roman"/>
                <w:sz w:val="22"/>
                <w:szCs w:val="22"/>
              </w:rPr>
              <w:t>80</w:t>
            </w:r>
          </w:p>
        </w:tc>
        <w:tc>
          <w:tcPr>
            <w:tcW w:w="886" w:type="pct"/>
            <w:shd w:val="clear" w:color="auto" w:fill="auto"/>
          </w:tcPr>
          <w:p w14:paraId="3A48C01A" w14:textId="77777777" w:rsidR="003E4BDD" w:rsidRPr="00254BEE" w:rsidRDefault="003E4BDD" w:rsidP="003E4BDD">
            <w:pPr>
              <w:pStyle w:val="Table"/>
              <w:jc w:val="center"/>
              <w:rPr>
                <w:rFonts w:ascii="Times New Roman" w:hAnsi="Times New Roman"/>
                <w:sz w:val="22"/>
                <w:szCs w:val="22"/>
              </w:rPr>
            </w:pPr>
            <w:r w:rsidRPr="00254BEE">
              <w:rPr>
                <w:rFonts w:ascii="Times New Roman" w:hAnsi="Times New Roman"/>
                <w:sz w:val="22"/>
                <w:szCs w:val="22"/>
              </w:rPr>
              <w:t>81</w:t>
            </w:r>
          </w:p>
        </w:tc>
      </w:tr>
      <w:tr w:rsidR="003E4BDD" w:rsidRPr="00254BEE" w14:paraId="2065B8BC" w14:textId="77777777" w:rsidTr="003E4BDD">
        <w:tc>
          <w:tcPr>
            <w:tcW w:w="2321" w:type="pct"/>
            <w:shd w:val="clear" w:color="auto" w:fill="auto"/>
          </w:tcPr>
          <w:p w14:paraId="26B35631" w14:textId="77777777" w:rsidR="003E4BDD" w:rsidRPr="00254BEE" w:rsidRDefault="003E4BDD" w:rsidP="003E4BDD">
            <w:pPr>
              <w:pStyle w:val="Table"/>
              <w:rPr>
                <w:rFonts w:ascii="Times New Roman" w:hAnsi="Times New Roman"/>
                <w:sz w:val="22"/>
                <w:szCs w:val="22"/>
              </w:rPr>
            </w:pPr>
            <w:r w:rsidRPr="00254BEE">
              <w:rPr>
                <w:rFonts w:ascii="Times New Roman" w:hAnsi="Times New Roman"/>
                <w:sz w:val="22"/>
                <w:szCs w:val="22"/>
              </w:rPr>
              <w:tab/>
              <w:t>Mean (SD)</w:t>
            </w:r>
          </w:p>
        </w:tc>
        <w:tc>
          <w:tcPr>
            <w:tcW w:w="840" w:type="pct"/>
            <w:shd w:val="clear" w:color="auto" w:fill="auto"/>
          </w:tcPr>
          <w:p w14:paraId="48FE5D82" w14:textId="77777777" w:rsidR="003E4BDD" w:rsidRPr="00254BEE" w:rsidRDefault="003E4BDD" w:rsidP="003E4BDD">
            <w:pPr>
              <w:pStyle w:val="Table"/>
              <w:jc w:val="center"/>
              <w:rPr>
                <w:rFonts w:ascii="Times New Roman" w:eastAsia="PMingLiU" w:hAnsi="Times New Roman"/>
                <w:sz w:val="22"/>
                <w:szCs w:val="22"/>
                <w:lang w:eastAsia="zh-TW"/>
              </w:rPr>
            </w:pPr>
            <w:r w:rsidRPr="00254BEE">
              <w:rPr>
                <w:rFonts w:ascii="Times New Roman" w:eastAsia="PMingLiU" w:hAnsi="Times New Roman"/>
                <w:sz w:val="22"/>
                <w:szCs w:val="22"/>
                <w:lang w:eastAsia="zh-TW"/>
              </w:rPr>
              <w:t>-3.63 (5.22)</w:t>
            </w:r>
          </w:p>
        </w:tc>
        <w:tc>
          <w:tcPr>
            <w:tcW w:w="953" w:type="pct"/>
            <w:shd w:val="clear" w:color="auto" w:fill="auto"/>
          </w:tcPr>
          <w:p w14:paraId="6156178C" w14:textId="77777777" w:rsidR="003E4BDD" w:rsidRPr="00254BEE" w:rsidRDefault="003E4BDD" w:rsidP="003E4BDD">
            <w:pPr>
              <w:pStyle w:val="Table"/>
              <w:jc w:val="center"/>
              <w:rPr>
                <w:rFonts w:ascii="Times New Roman" w:eastAsia="PMingLiU" w:hAnsi="Times New Roman"/>
                <w:sz w:val="22"/>
                <w:szCs w:val="22"/>
                <w:lang w:eastAsia="zh-TW"/>
              </w:rPr>
            </w:pPr>
            <w:r w:rsidRPr="00254BEE">
              <w:rPr>
                <w:rFonts w:ascii="Times New Roman" w:eastAsia="PMingLiU" w:hAnsi="Times New Roman"/>
                <w:sz w:val="22"/>
                <w:szCs w:val="22"/>
                <w:lang w:eastAsia="zh-TW"/>
              </w:rPr>
              <w:t>-6.66 (6.28)</w:t>
            </w:r>
          </w:p>
        </w:tc>
        <w:tc>
          <w:tcPr>
            <w:tcW w:w="886" w:type="pct"/>
            <w:shd w:val="clear" w:color="auto" w:fill="auto"/>
          </w:tcPr>
          <w:p w14:paraId="3ED22F19" w14:textId="77777777" w:rsidR="003E4BDD" w:rsidRPr="00254BEE" w:rsidRDefault="003E4BDD" w:rsidP="003E4BDD">
            <w:pPr>
              <w:pStyle w:val="Table"/>
              <w:jc w:val="center"/>
              <w:rPr>
                <w:rFonts w:ascii="Times New Roman" w:eastAsia="PMingLiU" w:hAnsi="Times New Roman"/>
                <w:sz w:val="22"/>
                <w:szCs w:val="22"/>
                <w:lang w:eastAsia="zh-TW"/>
              </w:rPr>
            </w:pPr>
            <w:r w:rsidRPr="00254BEE">
              <w:rPr>
                <w:rFonts w:ascii="Times New Roman" w:eastAsia="PMingLiU" w:hAnsi="Times New Roman"/>
                <w:sz w:val="22"/>
                <w:szCs w:val="22"/>
                <w:lang w:eastAsia="zh-TW"/>
              </w:rPr>
              <w:t>-9.40 (5.73)</w:t>
            </w:r>
          </w:p>
        </w:tc>
      </w:tr>
      <w:tr w:rsidR="003E4BDD" w:rsidRPr="00254BEE" w14:paraId="28741F7E" w14:textId="77777777" w:rsidTr="003E4BDD">
        <w:tc>
          <w:tcPr>
            <w:tcW w:w="2321" w:type="pct"/>
            <w:shd w:val="clear" w:color="auto" w:fill="auto"/>
          </w:tcPr>
          <w:p w14:paraId="796CD84A" w14:textId="77777777" w:rsidR="003E4BDD" w:rsidRPr="00254BEE" w:rsidRDefault="003E4BDD" w:rsidP="003E4BDD">
            <w:pPr>
              <w:pStyle w:val="Table"/>
              <w:rPr>
                <w:rFonts w:ascii="Times New Roman" w:hAnsi="Times New Roman"/>
                <w:sz w:val="22"/>
                <w:szCs w:val="22"/>
              </w:rPr>
            </w:pPr>
            <w:r w:rsidRPr="00254BEE">
              <w:rPr>
                <w:rFonts w:ascii="Times New Roman" w:eastAsia="PMingLiU" w:hAnsi="Times New Roman"/>
                <w:sz w:val="22"/>
                <w:szCs w:val="22"/>
                <w:lang w:eastAsia="zh-TW"/>
              </w:rPr>
              <w:tab/>
              <w:t>Difference in LS means vs. placebo</w:t>
            </w:r>
            <w:r w:rsidRPr="00254BEE">
              <w:rPr>
                <w:rFonts w:ascii="Times New Roman" w:eastAsia="PMingLiU" w:hAnsi="Times New Roman"/>
                <w:sz w:val="22"/>
                <w:szCs w:val="22"/>
                <w:vertAlign w:val="superscript"/>
                <w:lang w:eastAsia="zh-TW"/>
              </w:rPr>
              <w:t>1</w:t>
            </w:r>
          </w:p>
        </w:tc>
        <w:tc>
          <w:tcPr>
            <w:tcW w:w="840" w:type="pct"/>
            <w:shd w:val="clear" w:color="auto" w:fill="auto"/>
          </w:tcPr>
          <w:p w14:paraId="5FB28079" w14:textId="77777777" w:rsidR="003E4BDD" w:rsidRPr="00254BEE" w:rsidRDefault="003E4BDD" w:rsidP="003E4BDD">
            <w:pPr>
              <w:pStyle w:val="Table"/>
              <w:jc w:val="center"/>
              <w:rPr>
                <w:rFonts w:ascii="Times New Roman" w:eastAsia="PMingLiU" w:hAnsi="Times New Roman"/>
                <w:sz w:val="22"/>
                <w:szCs w:val="22"/>
                <w:lang w:eastAsia="zh-TW"/>
              </w:rPr>
            </w:pPr>
            <w:r w:rsidRPr="00254BEE">
              <w:rPr>
                <w:rFonts w:ascii="Times New Roman" w:eastAsia="PMingLiU" w:hAnsi="Times New Roman"/>
                <w:sz w:val="22"/>
                <w:szCs w:val="22"/>
                <w:lang w:eastAsia="zh-TW"/>
              </w:rPr>
              <w:t>-</w:t>
            </w:r>
          </w:p>
        </w:tc>
        <w:tc>
          <w:tcPr>
            <w:tcW w:w="953" w:type="pct"/>
            <w:shd w:val="clear" w:color="auto" w:fill="auto"/>
          </w:tcPr>
          <w:p w14:paraId="5DF789E2" w14:textId="77777777" w:rsidR="003E4BDD" w:rsidRPr="00254BEE" w:rsidRDefault="003E4BDD" w:rsidP="003E4BDD">
            <w:pPr>
              <w:pStyle w:val="Table"/>
              <w:jc w:val="center"/>
              <w:rPr>
                <w:rFonts w:ascii="Times New Roman" w:hAnsi="Times New Roman"/>
                <w:sz w:val="22"/>
                <w:szCs w:val="22"/>
              </w:rPr>
            </w:pPr>
            <w:r w:rsidRPr="00254BEE">
              <w:rPr>
                <w:rFonts w:ascii="Times New Roman" w:hAnsi="Times New Roman"/>
                <w:sz w:val="22"/>
                <w:szCs w:val="22"/>
              </w:rPr>
              <w:t>-2.95</w:t>
            </w:r>
          </w:p>
        </w:tc>
        <w:tc>
          <w:tcPr>
            <w:tcW w:w="886" w:type="pct"/>
            <w:shd w:val="clear" w:color="auto" w:fill="auto"/>
          </w:tcPr>
          <w:p w14:paraId="7C717A77" w14:textId="77777777" w:rsidR="003E4BDD" w:rsidRPr="00254BEE" w:rsidRDefault="003E4BDD" w:rsidP="003E4BDD">
            <w:pPr>
              <w:pStyle w:val="Table"/>
              <w:jc w:val="center"/>
              <w:rPr>
                <w:rFonts w:ascii="Times New Roman" w:hAnsi="Times New Roman"/>
                <w:sz w:val="22"/>
                <w:szCs w:val="22"/>
              </w:rPr>
            </w:pPr>
            <w:r w:rsidRPr="00254BEE">
              <w:rPr>
                <w:rFonts w:ascii="Times New Roman" w:hAnsi="Times New Roman"/>
                <w:sz w:val="22"/>
                <w:szCs w:val="22"/>
              </w:rPr>
              <w:t>-5.80</w:t>
            </w:r>
          </w:p>
        </w:tc>
      </w:tr>
      <w:tr w:rsidR="003E4BDD" w:rsidRPr="00254BEE" w14:paraId="26951E0E" w14:textId="77777777" w:rsidTr="003E4BDD">
        <w:tc>
          <w:tcPr>
            <w:tcW w:w="2321" w:type="pct"/>
            <w:shd w:val="clear" w:color="auto" w:fill="auto"/>
          </w:tcPr>
          <w:p w14:paraId="09E8ECC8" w14:textId="77777777" w:rsidR="003E4BDD" w:rsidRPr="00254BEE" w:rsidRDefault="003E4BDD" w:rsidP="003E4BDD">
            <w:pPr>
              <w:pStyle w:val="Table"/>
              <w:rPr>
                <w:rFonts w:ascii="Times New Roman" w:eastAsia="PMingLiU" w:hAnsi="Times New Roman"/>
                <w:sz w:val="22"/>
                <w:szCs w:val="22"/>
                <w:lang w:eastAsia="zh-TW"/>
              </w:rPr>
            </w:pPr>
            <w:r w:rsidRPr="00254BEE">
              <w:rPr>
                <w:rFonts w:ascii="Times New Roman" w:eastAsia="PMingLiU" w:hAnsi="Times New Roman"/>
                <w:sz w:val="22"/>
                <w:szCs w:val="22"/>
                <w:lang w:eastAsia="zh-TW"/>
              </w:rPr>
              <w:tab/>
              <w:t>95% CI for difference</w:t>
            </w:r>
          </w:p>
        </w:tc>
        <w:tc>
          <w:tcPr>
            <w:tcW w:w="840" w:type="pct"/>
            <w:shd w:val="clear" w:color="auto" w:fill="auto"/>
          </w:tcPr>
          <w:p w14:paraId="47D07D7D" w14:textId="77777777" w:rsidR="003E4BDD" w:rsidRPr="00254BEE" w:rsidRDefault="003E4BDD" w:rsidP="003E4BDD">
            <w:pPr>
              <w:pStyle w:val="Table"/>
              <w:jc w:val="center"/>
              <w:rPr>
                <w:rFonts w:ascii="Times New Roman" w:eastAsia="PMingLiU" w:hAnsi="Times New Roman"/>
                <w:sz w:val="22"/>
                <w:szCs w:val="22"/>
                <w:lang w:eastAsia="zh-TW"/>
              </w:rPr>
            </w:pPr>
            <w:r w:rsidRPr="00254BEE">
              <w:rPr>
                <w:rFonts w:ascii="Times New Roman" w:eastAsia="PMingLiU" w:hAnsi="Times New Roman"/>
                <w:sz w:val="22"/>
                <w:szCs w:val="22"/>
                <w:lang w:eastAsia="zh-TW"/>
              </w:rPr>
              <w:t>-</w:t>
            </w:r>
          </w:p>
        </w:tc>
        <w:tc>
          <w:tcPr>
            <w:tcW w:w="953" w:type="pct"/>
            <w:shd w:val="clear" w:color="auto" w:fill="auto"/>
          </w:tcPr>
          <w:p w14:paraId="246AED2B" w14:textId="77777777" w:rsidR="003E4BDD" w:rsidRPr="00254BEE" w:rsidRDefault="003E4BDD" w:rsidP="003E4BDD">
            <w:pPr>
              <w:pStyle w:val="Table"/>
              <w:jc w:val="center"/>
              <w:rPr>
                <w:rFonts w:ascii="Times New Roman" w:hAnsi="Times New Roman"/>
                <w:sz w:val="22"/>
                <w:szCs w:val="22"/>
              </w:rPr>
            </w:pPr>
            <w:r w:rsidRPr="00254BEE">
              <w:rPr>
                <w:rFonts w:ascii="Times New Roman" w:hAnsi="Times New Roman"/>
                <w:sz w:val="22"/>
                <w:szCs w:val="22"/>
                <w:lang w:val="en-GB"/>
              </w:rPr>
              <w:t>−4.72,−1.18</w:t>
            </w:r>
          </w:p>
        </w:tc>
        <w:tc>
          <w:tcPr>
            <w:tcW w:w="886" w:type="pct"/>
            <w:shd w:val="clear" w:color="auto" w:fill="auto"/>
          </w:tcPr>
          <w:p w14:paraId="35194C69" w14:textId="77777777" w:rsidR="003E4BDD" w:rsidRPr="00254BEE" w:rsidRDefault="003E4BDD" w:rsidP="003E4BDD">
            <w:pPr>
              <w:pStyle w:val="Table"/>
              <w:jc w:val="center"/>
              <w:rPr>
                <w:rFonts w:ascii="Times New Roman" w:hAnsi="Times New Roman"/>
                <w:sz w:val="22"/>
                <w:szCs w:val="22"/>
              </w:rPr>
            </w:pPr>
            <w:r w:rsidRPr="00254BEE">
              <w:rPr>
                <w:rFonts w:ascii="Times New Roman" w:hAnsi="Times New Roman"/>
                <w:sz w:val="22"/>
                <w:szCs w:val="22"/>
                <w:lang w:val="en-GB"/>
              </w:rPr>
              <w:t>−7.49,−4.10</w:t>
            </w:r>
          </w:p>
        </w:tc>
      </w:tr>
      <w:tr w:rsidR="003E4BDD" w:rsidRPr="00254BEE" w14:paraId="6136C630" w14:textId="77777777" w:rsidTr="003E4BDD">
        <w:tc>
          <w:tcPr>
            <w:tcW w:w="2321" w:type="pct"/>
            <w:tcBorders>
              <w:bottom w:val="single" w:sz="4" w:space="0" w:color="auto"/>
            </w:tcBorders>
            <w:shd w:val="clear" w:color="auto" w:fill="auto"/>
          </w:tcPr>
          <w:p w14:paraId="41AEC49F" w14:textId="77777777" w:rsidR="003E4BDD" w:rsidRPr="00254BEE" w:rsidRDefault="003E4BDD" w:rsidP="003E4BDD">
            <w:pPr>
              <w:pStyle w:val="Table"/>
              <w:rPr>
                <w:rFonts w:ascii="Times New Roman" w:hAnsi="Times New Roman"/>
                <w:sz w:val="22"/>
                <w:szCs w:val="22"/>
              </w:rPr>
            </w:pPr>
            <w:r w:rsidRPr="00254BEE">
              <w:rPr>
                <w:rFonts w:ascii="Times New Roman" w:hAnsi="Times New Roman"/>
                <w:sz w:val="22"/>
                <w:szCs w:val="22"/>
              </w:rPr>
              <w:tab/>
              <w:t>P-value vs. placebo</w:t>
            </w:r>
            <w:r w:rsidRPr="00254BEE">
              <w:rPr>
                <w:rFonts w:ascii="Times New Roman" w:hAnsi="Times New Roman"/>
                <w:sz w:val="22"/>
                <w:szCs w:val="22"/>
                <w:vertAlign w:val="superscript"/>
              </w:rPr>
              <w:t>2</w:t>
            </w:r>
          </w:p>
        </w:tc>
        <w:tc>
          <w:tcPr>
            <w:tcW w:w="840" w:type="pct"/>
            <w:tcBorders>
              <w:bottom w:val="single" w:sz="4" w:space="0" w:color="auto"/>
            </w:tcBorders>
            <w:shd w:val="clear" w:color="auto" w:fill="auto"/>
          </w:tcPr>
          <w:p w14:paraId="68B9D0D1" w14:textId="77777777" w:rsidR="003E4BDD" w:rsidRPr="00254BEE" w:rsidRDefault="003E4BDD" w:rsidP="003E4BDD">
            <w:pPr>
              <w:pStyle w:val="Table"/>
              <w:jc w:val="center"/>
              <w:rPr>
                <w:rFonts w:ascii="Times New Roman" w:hAnsi="Times New Roman"/>
                <w:sz w:val="22"/>
                <w:szCs w:val="22"/>
              </w:rPr>
            </w:pPr>
            <w:r w:rsidRPr="00254BEE">
              <w:rPr>
                <w:rFonts w:ascii="Times New Roman" w:hAnsi="Times New Roman"/>
                <w:sz w:val="22"/>
                <w:szCs w:val="22"/>
              </w:rPr>
              <w:t>-</w:t>
            </w:r>
          </w:p>
        </w:tc>
        <w:tc>
          <w:tcPr>
            <w:tcW w:w="953" w:type="pct"/>
            <w:tcBorders>
              <w:bottom w:val="single" w:sz="4" w:space="0" w:color="auto"/>
            </w:tcBorders>
            <w:shd w:val="clear" w:color="auto" w:fill="auto"/>
          </w:tcPr>
          <w:p w14:paraId="3B8CBF96" w14:textId="77777777" w:rsidR="003E4BDD" w:rsidRPr="00254BEE" w:rsidRDefault="003E4BDD" w:rsidP="003E4BDD">
            <w:pPr>
              <w:pStyle w:val="Table"/>
              <w:jc w:val="center"/>
              <w:rPr>
                <w:rFonts w:ascii="Times New Roman" w:hAnsi="Times New Roman"/>
                <w:sz w:val="22"/>
                <w:szCs w:val="22"/>
              </w:rPr>
            </w:pPr>
            <w:r w:rsidRPr="00254BEE">
              <w:rPr>
                <w:rFonts w:ascii="Times New Roman" w:hAnsi="Times New Roman"/>
                <w:sz w:val="22"/>
                <w:szCs w:val="22"/>
              </w:rPr>
              <w:t>0.0012</w:t>
            </w:r>
          </w:p>
        </w:tc>
        <w:tc>
          <w:tcPr>
            <w:tcW w:w="886" w:type="pct"/>
            <w:tcBorders>
              <w:bottom w:val="single" w:sz="4" w:space="0" w:color="auto"/>
            </w:tcBorders>
            <w:shd w:val="clear" w:color="auto" w:fill="auto"/>
          </w:tcPr>
          <w:p w14:paraId="219EB948" w14:textId="77777777" w:rsidR="003E4BDD" w:rsidRPr="00254BEE" w:rsidRDefault="003E4BDD" w:rsidP="003E4BDD">
            <w:pPr>
              <w:pStyle w:val="Table"/>
              <w:jc w:val="center"/>
              <w:rPr>
                <w:rFonts w:ascii="Times New Roman" w:hAnsi="Times New Roman"/>
                <w:sz w:val="22"/>
                <w:szCs w:val="22"/>
              </w:rPr>
            </w:pPr>
            <w:r w:rsidRPr="00254BEE">
              <w:rPr>
                <w:rFonts w:ascii="Times New Roman" w:hAnsi="Times New Roman"/>
                <w:sz w:val="22"/>
                <w:szCs w:val="22"/>
              </w:rPr>
              <w:t>&lt;0.0001</w:t>
            </w:r>
          </w:p>
        </w:tc>
      </w:tr>
      <w:tr w:rsidR="003E4BDD" w:rsidRPr="00254BEE" w14:paraId="648C838F" w14:textId="77777777" w:rsidTr="003E4BDD">
        <w:tc>
          <w:tcPr>
            <w:tcW w:w="2321" w:type="pct"/>
            <w:tcBorders>
              <w:top w:val="single" w:sz="4" w:space="0" w:color="auto"/>
            </w:tcBorders>
            <w:shd w:val="clear" w:color="auto" w:fill="auto"/>
          </w:tcPr>
          <w:p w14:paraId="0D5E00C6" w14:textId="77777777" w:rsidR="003E4BDD" w:rsidRPr="00254BEE" w:rsidRDefault="003E4BDD" w:rsidP="003E4BDD">
            <w:pPr>
              <w:pStyle w:val="Table"/>
              <w:rPr>
                <w:rFonts w:ascii="Times New Roman" w:hAnsi="Times New Roman"/>
                <w:b/>
                <w:sz w:val="22"/>
                <w:szCs w:val="22"/>
              </w:rPr>
            </w:pPr>
            <w:r w:rsidRPr="00254BEE">
              <w:rPr>
                <w:rFonts w:ascii="Times New Roman" w:hAnsi="Times New Roman"/>
                <w:b/>
                <w:sz w:val="22"/>
                <w:szCs w:val="22"/>
              </w:rPr>
              <w:t>Study Q4882g</w:t>
            </w:r>
          </w:p>
        </w:tc>
        <w:tc>
          <w:tcPr>
            <w:tcW w:w="840" w:type="pct"/>
            <w:tcBorders>
              <w:top w:val="single" w:sz="4" w:space="0" w:color="auto"/>
            </w:tcBorders>
            <w:shd w:val="clear" w:color="auto" w:fill="auto"/>
          </w:tcPr>
          <w:p w14:paraId="6A505D88" w14:textId="77777777" w:rsidR="003E4BDD" w:rsidRPr="00254BEE" w:rsidRDefault="003E4BDD" w:rsidP="003E4BDD">
            <w:pPr>
              <w:pStyle w:val="Table"/>
              <w:jc w:val="center"/>
              <w:rPr>
                <w:rFonts w:ascii="Times New Roman" w:hAnsi="Times New Roman"/>
                <w:sz w:val="22"/>
                <w:szCs w:val="22"/>
              </w:rPr>
            </w:pPr>
          </w:p>
        </w:tc>
        <w:tc>
          <w:tcPr>
            <w:tcW w:w="953" w:type="pct"/>
            <w:tcBorders>
              <w:top w:val="single" w:sz="4" w:space="0" w:color="auto"/>
            </w:tcBorders>
            <w:shd w:val="clear" w:color="auto" w:fill="auto"/>
          </w:tcPr>
          <w:p w14:paraId="28210DB0" w14:textId="77777777" w:rsidR="003E4BDD" w:rsidRPr="00254BEE" w:rsidRDefault="003E4BDD" w:rsidP="003E4BDD">
            <w:pPr>
              <w:pStyle w:val="Table"/>
              <w:jc w:val="center"/>
              <w:rPr>
                <w:rFonts w:ascii="Times New Roman" w:hAnsi="Times New Roman"/>
                <w:sz w:val="22"/>
                <w:szCs w:val="22"/>
              </w:rPr>
            </w:pPr>
          </w:p>
        </w:tc>
        <w:tc>
          <w:tcPr>
            <w:tcW w:w="886" w:type="pct"/>
            <w:tcBorders>
              <w:top w:val="single" w:sz="4" w:space="0" w:color="auto"/>
            </w:tcBorders>
            <w:shd w:val="clear" w:color="auto" w:fill="auto"/>
          </w:tcPr>
          <w:p w14:paraId="1716E644" w14:textId="77777777" w:rsidR="003E4BDD" w:rsidRPr="00254BEE" w:rsidRDefault="003E4BDD" w:rsidP="003E4BDD">
            <w:pPr>
              <w:pStyle w:val="Table"/>
              <w:jc w:val="center"/>
              <w:rPr>
                <w:rFonts w:ascii="Times New Roman" w:hAnsi="Times New Roman"/>
                <w:sz w:val="22"/>
                <w:szCs w:val="22"/>
              </w:rPr>
            </w:pPr>
          </w:p>
        </w:tc>
      </w:tr>
      <w:tr w:rsidR="003E4BDD" w:rsidRPr="00254BEE" w14:paraId="6B755DA5" w14:textId="77777777" w:rsidTr="003E4BDD">
        <w:tc>
          <w:tcPr>
            <w:tcW w:w="2321" w:type="pct"/>
            <w:shd w:val="clear" w:color="auto" w:fill="auto"/>
          </w:tcPr>
          <w:p w14:paraId="7DA00260" w14:textId="77777777" w:rsidR="003E4BDD" w:rsidRPr="00254BEE" w:rsidRDefault="003E4BDD" w:rsidP="003E4BDD">
            <w:pPr>
              <w:pStyle w:val="Table"/>
              <w:rPr>
                <w:rFonts w:ascii="Times New Roman" w:hAnsi="Times New Roman"/>
                <w:sz w:val="22"/>
                <w:szCs w:val="22"/>
              </w:rPr>
            </w:pPr>
            <w:r w:rsidRPr="00254BEE">
              <w:rPr>
                <w:rFonts w:ascii="Times New Roman" w:hAnsi="Times New Roman"/>
                <w:sz w:val="22"/>
                <w:szCs w:val="22"/>
              </w:rPr>
              <w:tab/>
              <w:t>N</w:t>
            </w:r>
          </w:p>
        </w:tc>
        <w:tc>
          <w:tcPr>
            <w:tcW w:w="840" w:type="pct"/>
            <w:shd w:val="clear" w:color="auto" w:fill="auto"/>
          </w:tcPr>
          <w:p w14:paraId="7E881F9F" w14:textId="77777777" w:rsidR="003E4BDD" w:rsidRPr="00254BEE" w:rsidRDefault="003E4BDD" w:rsidP="003E4BDD">
            <w:pPr>
              <w:pStyle w:val="Table"/>
              <w:jc w:val="center"/>
              <w:rPr>
                <w:rFonts w:ascii="Times New Roman" w:hAnsi="Times New Roman"/>
                <w:sz w:val="22"/>
                <w:szCs w:val="22"/>
              </w:rPr>
            </w:pPr>
            <w:r w:rsidRPr="00254BEE">
              <w:rPr>
                <w:rFonts w:ascii="Times New Roman" w:eastAsia="PMingLiU" w:hAnsi="Times New Roman"/>
                <w:sz w:val="22"/>
                <w:szCs w:val="22"/>
                <w:lang w:eastAsia="zh-TW"/>
              </w:rPr>
              <w:t>79</w:t>
            </w:r>
          </w:p>
        </w:tc>
        <w:tc>
          <w:tcPr>
            <w:tcW w:w="953" w:type="pct"/>
            <w:shd w:val="clear" w:color="auto" w:fill="auto"/>
          </w:tcPr>
          <w:p w14:paraId="4732159D" w14:textId="77777777" w:rsidR="003E4BDD" w:rsidRPr="00254BEE" w:rsidRDefault="003E4BDD" w:rsidP="003E4BDD">
            <w:pPr>
              <w:pStyle w:val="Table"/>
              <w:jc w:val="center"/>
              <w:rPr>
                <w:rFonts w:ascii="Times New Roman" w:hAnsi="Times New Roman"/>
                <w:sz w:val="22"/>
                <w:szCs w:val="22"/>
              </w:rPr>
            </w:pPr>
            <w:r w:rsidRPr="00254BEE">
              <w:rPr>
                <w:rFonts w:ascii="Times New Roman" w:eastAsia="PMingLiU" w:hAnsi="Times New Roman"/>
                <w:sz w:val="22"/>
                <w:szCs w:val="22"/>
                <w:lang w:eastAsia="zh-TW"/>
              </w:rPr>
              <w:t>82</w:t>
            </w:r>
          </w:p>
        </w:tc>
        <w:tc>
          <w:tcPr>
            <w:tcW w:w="886" w:type="pct"/>
            <w:shd w:val="clear" w:color="auto" w:fill="auto"/>
          </w:tcPr>
          <w:p w14:paraId="677415CE" w14:textId="77777777" w:rsidR="003E4BDD" w:rsidRPr="00254BEE" w:rsidRDefault="003E4BDD" w:rsidP="003E4BDD">
            <w:pPr>
              <w:pStyle w:val="Table"/>
              <w:jc w:val="center"/>
              <w:rPr>
                <w:rFonts w:ascii="Times New Roman" w:hAnsi="Times New Roman"/>
                <w:sz w:val="22"/>
                <w:szCs w:val="22"/>
              </w:rPr>
            </w:pPr>
            <w:r w:rsidRPr="00254BEE">
              <w:rPr>
                <w:rFonts w:ascii="Times New Roman" w:eastAsia="PMingLiU" w:hAnsi="Times New Roman"/>
                <w:sz w:val="22"/>
                <w:szCs w:val="22"/>
                <w:lang w:eastAsia="zh-TW"/>
              </w:rPr>
              <w:t>79</w:t>
            </w:r>
          </w:p>
        </w:tc>
      </w:tr>
      <w:tr w:rsidR="003E4BDD" w:rsidRPr="00254BEE" w14:paraId="67EEF026" w14:textId="77777777" w:rsidTr="003E4BDD">
        <w:tc>
          <w:tcPr>
            <w:tcW w:w="2321" w:type="pct"/>
            <w:shd w:val="clear" w:color="auto" w:fill="auto"/>
          </w:tcPr>
          <w:p w14:paraId="10966CAB" w14:textId="77777777" w:rsidR="003E4BDD" w:rsidRPr="00254BEE" w:rsidRDefault="003E4BDD" w:rsidP="003E4BDD">
            <w:pPr>
              <w:pStyle w:val="Table"/>
              <w:rPr>
                <w:rFonts w:ascii="Times New Roman" w:hAnsi="Times New Roman"/>
                <w:sz w:val="22"/>
                <w:szCs w:val="22"/>
              </w:rPr>
            </w:pPr>
            <w:r w:rsidRPr="00254BEE">
              <w:rPr>
                <w:rFonts w:ascii="Times New Roman" w:hAnsi="Times New Roman"/>
                <w:sz w:val="22"/>
                <w:szCs w:val="22"/>
              </w:rPr>
              <w:tab/>
              <w:t>Mean (SD)</w:t>
            </w:r>
          </w:p>
        </w:tc>
        <w:tc>
          <w:tcPr>
            <w:tcW w:w="840" w:type="pct"/>
            <w:shd w:val="clear" w:color="auto" w:fill="auto"/>
          </w:tcPr>
          <w:p w14:paraId="75D39AFC" w14:textId="77777777" w:rsidR="003E4BDD" w:rsidRPr="00254BEE" w:rsidRDefault="003E4BDD" w:rsidP="003E4BDD">
            <w:pPr>
              <w:pStyle w:val="Table"/>
              <w:jc w:val="center"/>
              <w:rPr>
                <w:rFonts w:ascii="Times New Roman" w:eastAsia="PMingLiU" w:hAnsi="Times New Roman"/>
                <w:sz w:val="22"/>
                <w:szCs w:val="22"/>
                <w:lang w:eastAsia="zh-TW"/>
              </w:rPr>
            </w:pPr>
            <w:r w:rsidRPr="00254BEE">
              <w:rPr>
                <w:rFonts w:ascii="Times New Roman" w:eastAsia="PMingLiU" w:hAnsi="Times New Roman"/>
                <w:sz w:val="22"/>
                <w:szCs w:val="22"/>
                <w:lang w:eastAsia="zh-TW"/>
              </w:rPr>
              <w:t>-5.14 (5.58)</w:t>
            </w:r>
          </w:p>
        </w:tc>
        <w:tc>
          <w:tcPr>
            <w:tcW w:w="953" w:type="pct"/>
            <w:shd w:val="clear" w:color="auto" w:fill="auto"/>
          </w:tcPr>
          <w:p w14:paraId="51ED9E98" w14:textId="77777777" w:rsidR="003E4BDD" w:rsidRPr="00254BEE" w:rsidRDefault="003E4BDD" w:rsidP="003E4BDD">
            <w:pPr>
              <w:pStyle w:val="Table"/>
              <w:jc w:val="center"/>
              <w:rPr>
                <w:rFonts w:ascii="Times New Roman" w:eastAsia="PMingLiU" w:hAnsi="Times New Roman"/>
                <w:sz w:val="22"/>
                <w:szCs w:val="22"/>
                <w:lang w:eastAsia="zh-TW"/>
              </w:rPr>
            </w:pPr>
            <w:r w:rsidRPr="00254BEE">
              <w:rPr>
                <w:rFonts w:ascii="Times New Roman" w:eastAsia="PMingLiU" w:hAnsi="Times New Roman"/>
                <w:sz w:val="22"/>
                <w:szCs w:val="22"/>
                <w:lang w:eastAsia="zh-TW"/>
              </w:rPr>
              <w:t>-8.14 (6.44)</w:t>
            </w:r>
          </w:p>
        </w:tc>
        <w:tc>
          <w:tcPr>
            <w:tcW w:w="886" w:type="pct"/>
            <w:shd w:val="clear" w:color="auto" w:fill="auto"/>
          </w:tcPr>
          <w:p w14:paraId="23EA2089" w14:textId="77777777" w:rsidR="003E4BDD" w:rsidRPr="00254BEE" w:rsidRDefault="003E4BDD" w:rsidP="003E4BDD">
            <w:pPr>
              <w:pStyle w:val="Table"/>
              <w:jc w:val="center"/>
              <w:rPr>
                <w:rFonts w:ascii="Times New Roman" w:eastAsia="PMingLiU" w:hAnsi="Times New Roman"/>
                <w:sz w:val="22"/>
                <w:szCs w:val="22"/>
                <w:lang w:eastAsia="zh-TW"/>
              </w:rPr>
            </w:pPr>
            <w:r w:rsidRPr="00254BEE">
              <w:rPr>
                <w:rFonts w:ascii="Times New Roman" w:eastAsia="PMingLiU" w:hAnsi="Times New Roman"/>
                <w:sz w:val="22"/>
                <w:szCs w:val="22"/>
                <w:lang w:eastAsia="zh-TW"/>
              </w:rPr>
              <w:t>-9.77 (5.95)</w:t>
            </w:r>
          </w:p>
        </w:tc>
      </w:tr>
      <w:tr w:rsidR="003E4BDD" w:rsidRPr="00254BEE" w14:paraId="69C41D39" w14:textId="77777777" w:rsidTr="003E4BDD">
        <w:tc>
          <w:tcPr>
            <w:tcW w:w="2321" w:type="pct"/>
            <w:shd w:val="clear" w:color="auto" w:fill="auto"/>
          </w:tcPr>
          <w:p w14:paraId="547FCD7A" w14:textId="77777777" w:rsidR="003E4BDD" w:rsidRPr="00254BEE" w:rsidRDefault="003E4BDD" w:rsidP="003E4BDD">
            <w:pPr>
              <w:pStyle w:val="Table"/>
              <w:rPr>
                <w:rFonts w:ascii="Times New Roman" w:hAnsi="Times New Roman"/>
                <w:sz w:val="22"/>
                <w:szCs w:val="22"/>
              </w:rPr>
            </w:pPr>
            <w:r w:rsidRPr="00254BEE">
              <w:rPr>
                <w:rFonts w:ascii="Times New Roman" w:eastAsia="PMingLiU" w:hAnsi="Times New Roman"/>
                <w:sz w:val="22"/>
                <w:szCs w:val="22"/>
                <w:lang w:eastAsia="zh-TW"/>
              </w:rPr>
              <w:tab/>
              <w:t>Difference in LS means vs. placebo</w:t>
            </w:r>
            <w:r w:rsidRPr="00254BEE">
              <w:rPr>
                <w:rFonts w:ascii="Times New Roman" w:eastAsia="PMingLiU" w:hAnsi="Times New Roman"/>
                <w:sz w:val="22"/>
                <w:szCs w:val="22"/>
                <w:vertAlign w:val="superscript"/>
                <w:lang w:eastAsia="zh-TW"/>
              </w:rPr>
              <w:t>1</w:t>
            </w:r>
          </w:p>
        </w:tc>
        <w:tc>
          <w:tcPr>
            <w:tcW w:w="840" w:type="pct"/>
            <w:shd w:val="clear" w:color="auto" w:fill="auto"/>
          </w:tcPr>
          <w:p w14:paraId="45FA9BD5" w14:textId="77777777" w:rsidR="003E4BDD" w:rsidRPr="00254BEE" w:rsidRDefault="003E4BDD" w:rsidP="003E4BDD">
            <w:pPr>
              <w:pStyle w:val="Table"/>
              <w:jc w:val="center"/>
              <w:rPr>
                <w:rFonts w:ascii="Times New Roman" w:eastAsia="PMingLiU" w:hAnsi="Times New Roman"/>
                <w:sz w:val="22"/>
                <w:szCs w:val="22"/>
                <w:lang w:eastAsia="zh-TW"/>
              </w:rPr>
            </w:pPr>
            <w:r w:rsidRPr="00254BEE">
              <w:rPr>
                <w:rFonts w:ascii="Times New Roman" w:eastAsia="PMingLiU" w:hAnsi="Times New Roman"/>
                <w:sz w:val="22"/>
                <w:szCs w:val="22"/>
                <w:lang w:eastAsia="zh-TW"/>
              </w:rPr>
              <w:t>-</w:t>
            </w:r>
          </w:p>
        </w:tc>
        <w:tc>
          <w:tcPr>
            <w:tcW w:w="953" w:type="pct"/>
            <w:shd w:val="clear" w:color="auto" w:fill="auto"/>
          </w:tcPr>
          <w:p w14:paraId="3A392467" w14:textId="77777777" w:rsidR="003E4BDD" w:rsidRPr="00254BEE" w:rsidRDefault="003E4BDD" w:rsidP="003E4BDD">
            <w:pPr>
              <w:pStyle w:val="Table"/>
              <w:jc w:val="center"/>
              <w:rPr>
                <w:rFonts w:ascii="Times New Roman" w:hAnsi="Times New Roman"/>
                <w:sz w:val="22"/>
                <w:szCs w:val="22"/>
              </w:rPr>
            </w:pPr>
            <w:r w:rsidRPr="00254BEE">
              <w:rPr>
                <w:rFonts w:ascii="Times New Roman" w:hAnsi="Times New Roman"/>
                <w:sz w:val="22"/>
                <w:szCs w:val="22"/>
              </w:rPr>
              <w:t>-3.04</w:t>
            </w:r>
          </w:p>
        </w:tc>
        <w:tc>
          <w:tcPr>
            <w:tcW w:w="886" w:type="pct"/>
            <w:shd w:val="clear" w:color="auto" w:fill="auto"/>
          </w:tcPr>
          <w:p w14:paraId="3D365E15" w14:textId="77777777" w:rsidR="003E4BDD" w:rsidRPr="00254BEE" w:rsidRDefault="003E4BDD" w:rsidP="003E4BDD">
            <w:pPr>
              <w:pStyle w:val="Table"/>
              <w:jc w:val="center"/>
              <w:rPr>
                <w:rFonts w:ascii="Times New Roman" w:hAnsi="Times New Roman"/>
                <w:sz w:val="22"/>
                <w:szCs w:val="22"/>
              </w:rPr>
            </w:pPr>
            <w:r w:rsidRPr="00254BEE">
              <w:rPr>
                <w:rFonts w:ascii="Times New Roman" w:hAnsi="Times New Roman"/>
                <w:sz w:val="22"/>
                <w:szCs w:val="22"/>
              </w:rPr>
              <w:t>-4.81</w:t>
            </w:r>
          </w:p>
        </w:tc>
      </w:tr>
      <w:tr w:rsidR="003E4BDD" w:rsidRPr="00254BEE" w14:paraId="27160564" w14:textId="77777777" w:rsidTr="003E4BDD">
        <w:tc>
          <w:tcPr>
            <w:tcW w:w="2321" w:type="pct"/>
            <w:shd w:val="clear" w:color="auto" w:fill="auto"/>
          </w:tcPr>
          <w:p w14:paraId="23A20C7E" w14:textId="77777777" w:rsidR="003E4BDD" w:rsidRPr="00254BEE" w:rsidRDefault="003E4BDD" w:rsidP="003E4BDD">
            <w:pPr>
              <w:pStyle w:val="Table"/>
              <w:rPr>
                <w:rFonts w:ascii="Times New Roman" w:eastAsia="PMingLiU" w:hAnsi="Times New Roman"/>
                <w:sz w:val="22"/>
                <w:szCs w:val="22"/>
                <w:lang w:eastAsia="zh-TW"/>
              </w:rPr>
            </w:pPr>
            <w:r w:rsidRPr="00254BEE">
              <w:rPr>
                <w:rFonts w:ascii="Times New Roman" w:eastAsia="PMingLiU" w:hAnsi="Times New Roman"/>
                <w:sz w:val="22"/>
                <w:szCs w:val="22"/>
                <w:lang w:eastAsia="zh-TW"/>
              </w:rPr>
              <w:tab/>
              <w:t>95% CI for difference</w:t>
            </w:r>
          </w:p>
        </w:tc>
        <w:tc>
          <w:tcPr>
            <w:tcW w:w="840" w:type="pct"/>
            <w:shd w:val="clear" w:color="auto" w:fill="auto"/>
          </w:tcPr>
          <w:p w14:paraId="1AC6101F" w14:textId="77777777" w:rsidR="003E4BDD" w:rsidRPr="00254BEE" w:rsidRDefault="003E4BDD" w:rsidP="003E4BDD">
            <w:pPr>
              <w:pStyle w:val="Table"/>
              <w:jc w:val="center"/>
              <w:rPr>
                <w:rFonts w:ascii="Times New Roman" w:eastAsia="PMingLiU" w:hAnsi="Times New Roman"/>
                <w:sz w:val="22"/>
                <w:szCs w:val="22"/>
                <w:lang w:eastAsia="zh-TW"/>
              </w:rPr>
            </w:pPr>
            <w:r w:rsidRPr="00254BEE">
              <w:rPr>
                <w:rFonts w:ascii="Times New Roman" w:eastAsia="PMingLiU" w:hAnsi="Times New Roman"/>
                <w:sz w:val="22"/>
                <w:szCs w:val="22"/>
                <w:lang w:eastAsia="zh-TW"/>
              </w:rPr>
              <w:t>-</w:t>
            </w:r>
          </w:p>
        </w:tc>
        <w:tc>
          <w:tcPr>
            <w:tcW w:w="953" w:type="pct"/>
            <w:shd w:val="clear" w:color="auto" w:fill="auto"/>
          </w:tcPr>
          <w:p w14:paraId="3B6540A4" w14:textId="77777777" w:rsidR="003E4BDD" w:rsidRPr="00254BEE" w:rsidRDefault="003E4BDD" w:rsidP="003E4BDD">
            <w:pPr>
              <w:pStyle w:val="Table"/>
              <w:jc w:val="center"/>
              <w:rPr>
                <w:rFonts w:ascii="Times New Roman" w:hAnsi="Times New Roman"/>
                <w:sz w:val="22"/>
                <w:szCs w:val="22"/>
              </w:rPr>
            </w:pPr>
            <w:r w:rsidRPr="00254BEE">
              <w:rPr>
                <w:rFonts w:ascii="Times New Roman" w:hAnsi="Times New Roman"/>
                <w:sz w:val="22"/>
                <w:szCs w:val="22"/>
                <w:lang w:val="en-GB"/>
              </w:rPr>
              <w:t>−4.85,−1.24</w:t>
            </w:r>
          </w:p>
        </w:tc>
        <w:tc>
          <w:tcPr>
            <w:tcW w:w="886" w:type="pct"/>
            <w:shd w:val="clear" w:color="auto" w:fill="auto"/>
          </w:tcPr>
          <w:p w14:paraId="366DA314" w14:textId="77777777" w:rsidR="003E4BDD" w:rsidRPr="00254BEE" w:rsidRDefault="003E4BDD" w:rsidP="003E4BDD">
            <w:pPr>
              <w:pStyle w:val="Table"/>
              <w:jc w:val="center"/>
              <w:rPr>
                <w:rFonts w:ascii="Times New Roman" w:hAnsi="Times New Roman"/>
                <w:sz w:val="22"/>
                <w:szCs w:val="22"/>
              </w:rPr>
            </w:pPr>
            <w:r w:rsidRPr="00254BEE">
              <w:rPr>
                <w:rFonts w:ascii="Times New Roman" w:hAnsi="Times New Roman"/>
                <w:sz w:val="22"/>
                <w:szCs w:val="22"/>
                <w:lang w:val="en-GB"/>
              </w:rPr>
              <w:t>−6.49,−3.13</w:t>
            </w:r>
          </w:p>
        </w:tc>
      </w:tr>
      <w:tr w:rsidR="003E4BDD" w:rsidRPr="00254BEE" w14:paraId="1CD75262" w14:textId="77777777" w:rsidTr="003E4BDD">
        <w:tc>
          <w:tcPr>
            <w:tcW w:w="2321" w:type="pct"/>
            <w:tcBorders>
              <w:bottom w:val="single" w:sz="4" w:space="0" w:color="auto"/>
            </w:tcBorders>
            <w:shd w:val="clear" w:color="auto" w:fill="auto"/>
          </w:tcPr>
          <w:p w14:paraId="12D99FFA" w14:textId="77777777" w:rsidR="003E4BDD" w:rsidRPr="00254BEE" w:rsidRDefault="003E4BDD" w:rsidP="003E4BDD">
            <w:pPr>
              <w:pStyle w:val="Table"/>
              <w:rPr>
                <w:rFonts w:ascii="Times New Roman" w:hAnsi="Times New Roman"/>
                <w:sz w:val="22"/>
                <w:szCs w:val="22"/>
              </w:rPr>
            </w:pPr>
            <w:r w:rsidRPr="00254BEE">
              <w:rPr>
                <w:rFonts w:ascii="Times New Roman" w:hAnsi="Times New Roman"/>
                <w:sz w:val="22"/>
                <w:szCs w:val="22"/>
              </w:rPr>
              <w:tab/>
              <w:t>P-value vs. placebo</w:t>
            </w:r>
            <w:r w:rsidRPr="00254BEE">
              <w:rPr>
                <w:rFonts w:ascii="Times New Roman" w:hAnsi="Times New Roman"/>
                <w:sz w:val="22"/>
                <w:szCs w:val="22"/>
                <w:vertAlign w:val="superscript"/>
              </w:rPr>
              <w:t>2</w:t>
            </w:r>
          </w:p>
        </w:tc>
        <w:tc>
          <w:tcPr>
            <w:tcW w:w="840" w:type="pct"/>
            <w:tcBorders>
              <w:bottom w:val="single" w:sz="4" w:space="0" w:color="auto"/>
            </w:tcBorders>
            <w:shd w:val="clear" w:color="auto" w:fill="auto"/>
          </w:tcPr>
          <w:p w14:paraId="41DAFAB5" w14:textId="77777777" w:rsidR="003E4BDD" w:rsidRPr="00254BEE" w:rsidRDefault="003E4BDD" w:rsidP="003E4BDD">
            <w:pPr>
              <w:pStyle w:val="Table"/>
              <w:jc w:val="center"/>
              <w:rPr>
                <w:rFonts w:ascii="Times New Roman" w:hAnsi="Times New Roman"/>
                <w:sz w:val="22"/>
                <w:szCs w:val="22"/>
              </w:rPr>
            </w:pPr>
            <w:r w:rsidRPr="00254BEE">
              <w:rPr>
                <w:rFonts w:ascii="Times New Roman" w:hAnsi="Times New Roman"/>
                <w:sz w:val="22"/>
                <w:szCs w:val="22"/>
              </w:rPr>
              <w:t>-</w:t>
            </w:r>
          </w:p>
        </w:tc>
        <w:tc>
          <w:tcPr>
            <w:tcW w:w="953" w:type="pct"/>
            <w:tcBorders>
              <w:bottom w:val="single" w:sz="4" w:space="0" w:color="auto"/>
            </w:tcBorders>
            <w:shd w:val="clear" w:color="auto" w:fill="auto"/>
          </w:tcPr>
          <w:p w14:paraId="08D0D723" w14:textId="77777777" w:rsidR="003E4BDD" w:rsidRPr="00254BEE" w:rsidRDefault="003E4BDD" w:rsidP="003E4BDD">
            <w:pPr>
              <w:pStyle w:val="Table"/>
              <w:jc w:val="center"/>
              <w:rPr>
                <w:rFonts w:ascii="Times New Roman" w:hAnsi="Times New Roman"/>
                <w:sz w:val="22"/>
                <w:szCs w:val="22"/>
              </w:rPr>
            </w:pPr>
            <w:r w:rsidRPr="00254BEE">
              <w:rPr>
                <w:rFonts w:ascii="Times New Roman" w:hAnsi="Times New Roman"/>
                <w:sz w:val="22"/>
                <w:szCs w:val="22"/>
              </w:rPr>
              <w:t>0.0011</w:t>
            </w:r>
          </w:p>
        </w:tc>
        <w:tc>
          <w:tcPr>
            <w:tcW w:w="886" w:type="pct"/>
            <w:tcBorders>
              <w:bottom w:val="single" w:sz="4" w:space="0" w:color="auto"/>
            </w:tcBorders>
            <w:shd w:val="clear" w:color="auto" w:fill="auto"/>
          </w:tcPr>
          <w:p w14:paraId="4EDA03F9" w14:textId="77777777" w:rsidR="003E4BDD" w:rsidRPr="00254BEE" w:rsidRDefault="003E4BDD" w:rsidP="003E4BDD">
            <w:pPr>
              <w:pStyle w:val="Table"/>
              <w:jc w:val="center"/>
              <w:rPr>
                <w:rFonts w:ascii="Times New Roman" w:hAnsi="Times New Roman"/>
                <w:sz w:val="22"/>
                <w:szCs w:val="22"/>
              </w:rPr>
            </w:pPr>
            <w:r w:rsidRPr="00254BEE">
              <w:rPr>
                <w:rFonts w:ascii="Times New Roman" w:hAnsi="Times New Roman"/>
                <w:sz w:val="22"/>
                <w:szCs w:val="22"/>
              </w:rPr>
              <w:t>&lt;0.0001</w:t>
            </w:r>
          </w:p>
        </w:tc>
      </w:tr>
      <w:tr w:rsidR="003E4BDD" w:rsidRPr="00254BEE" w14:paraId="4D52CF08" w14:textId="77777777" w:rsidTr="003E4BDD">
        <w:tc>
          <w:tcPr>
            <w:tcW w:w="2321" w:type="pct"/>
            <w:tcBorders>
              <w:top w:val="single" w:sz="4" w:space="0" w:color="auto"/>
            </w:tcBorders>
            <w:shd w:val="clear" w:color="auto" w:fill="auto"/>
          </w:tcPr>
          <w:p w14:paraId="0B8034CC" w14:textId="77777777" w:rsidR="003E4BDD" w:rsidRPr="00254BEE" w:rsidRDefault="003E4BDD" w:rsidP="003E4BDD">
            <w:pPr>
              <w:pStyle w:val="Table"/>
              <w:rPr>
                <w:rFonts w:ascii="Times New Roman" w:hAnsi="Times New Roman"/>
                <w:b/>
                <w:sz w:val="22"/>
                <w:szCs w:val="22"/>
              </w:rPr>
            </w:pPr>
            <w:r w:rsidRPr="00254BEE">
              <w:rPr>
                <w:rFonts w:ascii="Times New Roman" w:hAnsi="Times New Roman"/>
                <w:b/>
                <w:sz w:val="22"/>
                <w:szCs w:val="22"/>
              </w:rPr>
              <w:t>Study Q4883g</w:t>
            </w:r>
          </w:p>
        </w:tc>
        <w:tc>
          <w:tcPr>
            <w:tcW w:w="840" w:type="pct"/>
            <w:tcBorders>
              <w:top w:val="single" w:sz="4" w:space="0" w:color="auto"/>
            </w:tcBorders>
            <w:shd w:val="clear" w:color="auto" w:fill="auto"/>
          </w:tcPr>
          <w:p w14:paraId="50763C9E" w14:textId="77777777" w:rsidR="003E4BDD" w:rsidRPr="00254BEE" w:rsidRDefault="003E4BDD" w:rsidP="003E4BDD">
            <w:pPr>
              <w:pStyle w:val="Table"/>
              <w:jc w:val="center"/>
              <w:rPr>
                <w:rFonts w:ascii="Times New Roman" w:hAnsi="Times New Roman"/>
                <w:sz w:val="22"/>
                <w:szCs w:val="22"/>
              </w:rPr>
            </w:pPr>
          </w:p>
        </w:tc>
        <w:tc>
          <w:tcPr>
            <w:tcW w:w="953" w:type="pct"/>
            <w:tcBorders>
              <w:top w:val="single" w:sz="4" w:space="0" w:color="auto"/>
            </w:tcBorders>
            <w:shd w:val="clear" w:color="auto" w:fill="auto"/>
          </w:tcPr>
          <w:p w14:paraId="63005050" w14:textId="77777777" w:rsidR="003E4BDD" w:rsidRPr="00254BEE" w:rsidRDefault="003E4BDD" w:rsidP="003E4BDD">
            <w:pPr>
              <w:pStyle w:val="Table"/>
              <w:jc w:val="center"/>
              <w:rPr>
                <w:rFonts w:ascii="Times New Roman" w:hAnsi="Times New Roman"/>
                <w:sz w:val="22"/>
                <w:szCs w:val="22"/>
              </w:rPr>
            </w:pPr>
          </w:p>
        </w:tc>
        <w:tc>
          <w:tcPr>
            <w:tcW w:w="886" w:type="pct"/>
            <w:tcBorders>
              <w:top w:val="single" w:sz="4" w:space="0" w:color="auto"/>
            </w:tcBorders>
            <w:shd w:val="clear" w:color="auto" w:fill="auto"/>
          </w:tcPr>
          <w:p w14:paraId="1E1601E1" w14:textId="77777777" w:rsidR="003E4BDD" w:rsidRPr="00254BEE" w:rsidRDefault="003E4BDD" w:rsidP="003E4BDD">
            <w:pPr>
              <w:pStyle w:val="Table"/>
              <w:jc w:val="center"/>
              <w:rPr>
                <w:rFonts w:ascii="Times New Roman" w:hAnsi="Times New Roman"/>
                <w:sz w:val="22"/>
                <w:szCs w:val="22"/>
              </w:rPr>
            </w:pPr>
          </w:p>
        </w:tc>
      </w:tr>
      <w:tr w:rsidR="003E4BDD" w:rsidRPr="00254BEE" w14:paraId="06C37C6A" w14:textId="77777777" w:rsidTr="003E4BDD">
        <w:tc>
          <w:tcPr>
            <w:tcW w:w="2321" w:type="pct"/>
            <w:shd w:val="clear" w:color="auto" w:fill="auto"/>
          </w:tcPr>
          <w:p w14:paraId="7CDD4BE1" w14:textId="77777777" w:rsidR="003E4BDD" w:rsidRPr="00254BEE" w:rsidRDefault="003E4BDD" w:rsidP="003E4BDD">
            <w:pPr>
              <w:pStyle w:val="Table"/>
              <w:rPr>
                <w:rFonts w:ascii="Times New Roman" w:hAnsi="Times New Roman"/>
                <w:sz w:val="22"/>
                <w:szCs w:val="22"/>
              </w:rPr>
            </w:pPr>
            <w:r w:rsidRPr="00254BEE">
              <w:rPr>
                <w:rFonts w:ascii="Times New Roman" w:hAnsi="Times New Roman"/>
                <w:sz w:val="22"/>
                <w:szCs w:val="22"/>
              </w:rPr>
              <w:tab/>
              <w:t>n</w:t>
            </w:r>
          </w:p>
        </w:tc>
        <w:tc>
          <w:tcPr>
            <w:tcW w:w="840" w:type="pct"/>
            <w:shd w:val="clear" w:color="auto" w:fill="auto"/>
          </w:tcPr>
          <w:p w14:paraId="50B4FF1B" w14:textId="77777777" w:rsidR="003E4BDD" w:rsidRPr="00254BEE" w:rsidRDefault="003E4BDD" w:rsidP="003E4BDD">
            <w:pPr>
              <w:pStyle w:val="Table"/>
              <w:jc w:val="center"/>
              <w:rPr>
                <w:rFonts w:ascii="Times New Roman" w:hAnsi="Times New Roman"/>
                <w:sz w:val="22"/>
                <w:szCs w:val="22"/>
              </w:rPr>
            </w:pPr>
            <w:r w:rsidRPr="00254BEE">
              <w:rPr>
                <w:rFonts w:ascii="Times New Roman" w:hAnsi="Times New Roman"/>
                <w:sz w:val="22"/>
                <w:szCs w:val="22"/>
              </w:rPr>
              <w:t>83</w:t>
            </w:r>
          </w:p>
        </w:tc>
        <w:tc>
          <w:tcPr>
            <w:tcW w:w="953" w:type="pct"/>
            <w:shd w:val="clear" w:color="auto" w:fill="auto"/>
          </w:tcPr>
          <w:p w14:paraId="4AAB9F20" w14:textId="77777777" w:rsidR="003E4BDD" w:rsidRPr="00254BEE" w:rsidRDefault="003E4BDD" w:rsidP="003E4BDD">
            <w:pPr>
              <w:pStyle w:val="Table"/>
              <w:jc w:val="center"/>
              <w:rPr>
                <w:rFonts w:ascii="Times New Roman" w:hAnsi="Times New Roman"/>
                <w:sz w:val="22"/>
                <w:szCs w:val="22"/>
              </w:rPr>
            </w:pPr>
            <w:r w:rsidRPr="00254BEE">
              <w:rPr>
                <w:rFonts w:ascii="Times New Roman" w:hAnsi="Times New Roman"/>
                <w:sz w:val="22"/>
                <w:szCs w:val="22"/>
              </w:rPr>
              <w:t>-</w:t>
            </w:r>
          </w:p>
        </w:tc>
        <w:tc>
          <w:tcPr>
            <w:tcW w:w="886" w:type="pct"/>
            <w:shd w:val="clear" w:color="auto" w:fill="auto"/>
          </w:tcPr>
          <w:p w14:paraId="3504732E" w14:textId="77777777" w:rsidR="003E4BDD" w:rsidRPr="00254BEE" w:rsidRDefault="003E4BDD" w:rsidP="003E4BDD">
            <w:pPr>
              <w:pStyle w:val="Table"/>
              <w:jc w:val="center"/>
              <w:rPr>
                <w:rFonts w:ascii="Times New Roman" w:hAnsi="Times New Roman"/>
                <w:sz w:val="22"/>
                <w:szCs w:val="22"/>
              </w:rPr>
            </w:pPr>
            <w:r w:rsidRPr="00254BEE">
              <w:rPr>
                <w:rFonts w:ascii="Times New Roman" w:hAnsi="Times New Roman"/>
                <w:sz w:val="22"/>
                <w:szCs w:val="22"/>
              </w:rPr>
              <w:t>252</w:t>
            </w:r>
          </w:p>
        </w:tc>
      </w:tr>
      <w:tr w:rsidR="003E4BDD" w:rsidRPr="00254BEE" w14:paraId="488C41F4" w14:textId="77777777" w:rsidTr="003E4BDD">
        <w:tc>
          <w:tcPr>
            <w:tcW w:w="2321" w:type="pct"/>
            <w:shd w:val="clear" w:color="auto" w:fill="auto"/>
          </w:tcPr>
          <w:p w14:paraId="148893AD" w14:textId="77777777" w:rsidR="003E4BDD" w:rsidRPr="00254BEE" w:rsidRDefault="003E4BDD" w:rsidP="003E4BDD">
            <w:pPr>
              <w:pStyle w:val="Table"/>
              <w:rPr>
                <w:rFonts w:ascii="Times New Roman" w:hAnsi="Times New Roman"/>
                <w:sz w:val="22"/>
                <w:szCs w:val="22"/>
              </w:rPr>
            </w:pPr>
            <w:r w:rsidRPr="00254BEE">
              <w:rPr>
                <w:rFonts w:ascii="Times New Roman" w:hAnsi="Times New Roman"/>
                <w:sz w:val="22"/>
                <w:szCs w:val="22"/>
              </w:rPr>
              <w:tab/>
              <w:t>Mean (SD)</w:t>
            </w:r>
          </w:p>
        </w:tc>
        <w:tc>
          <w:tcPr>
            <w:tcW w:w="840" w:type="pct"/>
            <w:shd w:val="clear" w:color="auto" w:fill="auto"/>
          </w:tcPr>
          <w:p w14:paraId="56960AEB" w14:textId="77777777" w:rsidR="003E4BDD" w:rsidRPr="00254BEE" w:rsidRDefault="003E4BDD" w:rsidP="003E4BDD">
            <w:pPr>
              <w:pStyle w:val="Table"/>
              <w:jc w:val="center"/>
              <w:rPr>
                <w:rFonts w:ascii="Times New Roman" w:hAnsi="Times New Roman"/>
                <w:sz w:val="22"/>
                <w:szCs w:val="22"/>
              </w:rPr>
            </w:pPr>
            <w:r w:rsidRPr="00254BEE">
              <w:rPr>
                <w:rFonts w:ascii="Times New Roman" w:hAnsi="Times New Roman"/>
                <w:sz w:val="22"/>
                <w:szCs w:val="22"/>
              </w:rPr>
              <w:t>-4.01 (5.87)</w:t>
            </w:r>
          </w:p>
        </w:tc>
        <w:tc>
          <w:tcPr>
            <w:tcW w:w="953" w:type="pct"/>
            <w:shd w:val="clear" w:color="auto" w:fill="auto"/>
          </w:tcPr>
          <w:p w14:paraId="552DC69E" w14:textId="77777777" w:rsidR="003E4BDD" w:rsidRPr="00254BEE" w:rsidRDefault="003E4BDD" w:rsidP="003E4BDD">
            <w:pPr>
              <w:pStyle w:val="Table"/>
              <w:jc w:val="center"/>
              <w:rPr>
                <w:rFonts w:ascii="Times New Roman" w:hAnsi="Times New Roman"/>
                <w:sz w:val="22"/>
                <w:szCs w:val="22"/>
              </w:rPr>
            </w:pPr>
            <w:r w:rsidRPr="00254BEE">
              <w:rPr>
                <w:rFonts w:ascii="Times New Roman" w:hAnsi="Times New Roman"/>
                <w:sz w:val="22"/>
                <w:szCs w:val="22"/>
              </w:rPr>
              <w:t>-</w:t>
            </w:r>
          </w:p>
        </w:tc>
        <w:tc>
          <w:tcPr>
            <w:tcW w:w="886" w:type="pct"/>
            <w:shd w:val="clear" w:color="auto" w:fill="auto"/>
          </w:tcPr>
          <w:p w14:paraId="58296ECB" w14:textId="77777777" w:rsidR="003E4BDD" w:rsidRPr="00254BEE" w:rsidRDefault="003E4BDD" w:rsidP="003E4BDD">
            <w:pPr>
              <w:pStyle w:val="Table"/>
              <w:jc w:val="center"/>
              <w:rPr>
                <w:rFonts w:ascii="Times New Roman" w:hAnsi="Times New Roman"/>
                <w:sz w:val="22"/>
                <w:szCs w:val="22"/>
              </w:rPr>
            </w:pPr>
            <w:r w:rsidRPr="00254BEE">
              <w:rPr>
                <w:rFonts w:ascii="Times New Roman" w:hAnsi="Times New Roman"/>
                <w:sz w:val="22"/>
                <w:szCs w:val="22"/>
              </w:rPr>
              <w:t>-8.55 (6.01)</w:t>
            </w:r>
          </w:p>
        </w:tc>
      </w:tr>
      <w:tr w:rsidR="003E4BDD" w:rsidRPr="00254BEE" w14:paraId="22D97DEC" w14:textId="77777777" w:rsidTr="003E4BDD">
        <w:tc>
          <w:tcPr>
            <w:tcW w:w="2321" w:type="pct"/>
            <w:shd w:val="clear" w:color="auto" w:fill="auto"/>
          </w:tcPr>
          <w:p w14:paraId="47CB102C" w14:textId="77777777" w:rsidR="003E4BDD" w:rsidRPr="00254BEE" w:rsidRDefault="003E4BDD" w:rsidP="003E4BDD">
            <w:pPr>
              <w:pStyle w:val="Table"/>
              <w:rPr>
                <w:rFonts w:ascii="Times New Roman" w:hAnsi="Times New Roman"/>
                <w:sz w:val="22"/>
                <w:szCs w:val="22"/>
              </w:rPr>
            </w:pPr>
            <w:r w:rsidRPr="00254BEE">
              <w:rPr>
                <w:rFonts w:ascii="Times New Roman" w:eastAsia="PMingLiU" w:hAnsi="Times New Roman"/>
                <w:sz w:val="22"/>
                <w:szCs w:val="22"/>
                <w:lang w:eastAsia="zh-TW"/>
              </w:rPr>
              <w:tab/>
              <w:t>Difference in LS means vs. placebo</w:t>
            </w:r>
            <w:r w:rsidRPr="00254BEE">
              <w:rPr>
                <w:rFonts w:ascii="Times New Roman" w:eastAsia="PMingLiU" w:hAnsi="Times New Roman"/>
                <w:sz w:val="22"/>
                <w:szCs w:val="22"/>
                <w:vertAlign w:val="superscript"/>
                <w:lang w:eastAsia="zh-TW"/>
              </w:rPr>
              <w:t>1</w:t>
            </w:r>
          </w:p>
        </w:tc>
        <w:tc>
          <w:tcPr>
            <w:tcW w:w="840" w:type="pct"/>
            <w:shd w:val="clear" w:color="auto" w:fill="auto"/>
          </w:tcPr>
          <w:p w14:paraId="54383C5A" w14:textId="77777777" w:rsidR="003E4BDD" w:rsidRPr="00254BEE" w:rsidRDefault="003E4BDD" w:rsidP="003E4BDD">
            <w:pPr>
              <w:pStyle w:val="Table"/>
              <w:jc w:val="center"/>
              <w:rPr>
                <w:rFonts w:ascii="Times New Roman" w:eastAsia="PMingLiU" w:hAnsi="Times New Roman"/>
                <w:sz w:val="22"/>
                <w:szCs w:val="22"/>
                <w:lang w:eastAsia="zh-TW"/>
              </w:rPr>
            </w:pPr>
            <w:r w:rsidRPr="00254BEE">
              <w:rPr>
                <w:rFonts w:ascii="Times New Roman" w:eastAsia="PMingLiU" w:hAnsi="Times New Roman"/>
                <w:sz w:val="22"/>
                <w:szCs w:val="22"/>
                <w:lang w:eastAsia="zh-TW"/>
              </w:rPr>
              <w:t>-</w:t>
            </w:r>
          </w:p>
        </w:tc>
        <w:tc>
          <w:tcPr>
            <w:tcW w:w="953" w:type="pct"/>
            <w:shd w:val="clear" w:color="auto" w:fill="auto"/>
          </w:tcPr>
          <w:p w14:paraId="0C7036C5" w14:textId="77777777" w:rsidR="003E4BDD" w:rsidRPr="00254BEE" w:rsidRDefault="003E4BDD" w:rsidP="003E4BDD">
            <w:pPr>
              <w:pStyle w:val="Table"/>
              <w:jc w:val="center"/>
              <w:rPr>
                <w:rFonts w:ascii="Times New Roman" w:eastAsia="PMingLiU" w:hAnsi="Times New Roman"/>
                <w:sz w:val="22"/>
                <w:szCs w:val="22"/>
                <w:lang w:eastAsia="zh-TW"/>
              </w:rPr>
            </w:pPr>
            <w:r w:rsidRPr="00254BEE">
              <w:rPr>
                <w:rFonts w:ascii="Times New Roman" w:eastAsia="PMingLiU" w:hAnsi="Times New Roman"/>
                <w:sz w:val="22"/>
                <w:szCs w:val="22"/>
                <w:lang w:eastAsia="zh-TW"/>
              </w:rPr>
              <w:t>-</w:t>
            </w:r>
          </w:p>
        </w:tc>
        <w:tc>
          <w:tcPr>
            <w:tcW w:w="886" w:type="pct"/>
            <w:shd w:val="clear" w:color="auto" w:fill="auto"/>
          </w:tcPr>
          <w:p w14:paraId="47F1D086" w14:textId="77777777" w:rsidR="003E4BDD" w:rsidRPr="00254BEE" w:rsidRDefault="003E4BDD" w:rsidP="003E4BDD">
            <w:pPr>
              <w:pStyle w:val="Table"/>
              <w:jc w:val="center"/>
              <w:rPr>
                <w:rFonts w:ascii="Times New Roman" w:eastAsia="PMingLiU" w:hAnsi="Times New Roman"/>
                <w:sz w:val="22"/>
                <w:szCs w:val="22"/>
                <w:lang w:eastAsia="zh-TW"/>
              </w:rPr>
            </w:pPr>
            <w:r w:rsidRPr="00254BEE">
              <w:rPr>
                <w:rFonts w:ascii="Times New Roman" w:eastAsia="PMingLiU" w:hAnsi="Times New Roman"/>
                <w:sz w:val="22"/>
                <w:szCs w:val="22"/>
                <w:lang w:eastAsia="zh-TW"/>
              </w:rPr>
              <w:t>-4.52</w:t>
            </w:r>
          </w:p>
        </w:tc>
      </w:tr>
      <w:tr w:rsidR="003E4BDD" w:rsidRPr="00254BEE" w14:paraId="59D3AAE1" w14:textId="77777777" w:rsidTr="003E4BDD">
        <w:tc>
          <w:tcPr>
            <w:tcW w:w="2321" w:type="pct"/>
            <w:shd w:val="clear" w:color="auto" w:fill="auto"/>
          </w:tcPr>
          <w:p w14:paraId="0CC08707" w14:textId="77777777" w:rsidR="003E4BDD" w:rsidRPr="00254BEE" w:rsidRDefault="003E4BDD" w:rsidP="003E4BDD">
            <w:pPr>
              <w:pStyle w:val="Table"/>
              <w:rPr>
                <w:rFonts w:ascii="Times New Roman" w:eastAsia="PMingLiU" w:hAnsi="Times New Roman"/>
                <w:sz w:val="22"/>
                <w:szCs w:val="22"/>
                <w:lang w:eastAsia="zh-TW"/>
              </w:rPr>
            </w:pPr>
            <w:r w:rsidRPr="00254BEE">
              <w:rPr>
                <w:rFonts w:ascii="Times New Roman" w:eastAsia="PMingLiU" w:hAnsi="Times New Roman"/>
                <w:sz w:val="22"/>
                <w:szCs w:val="22"/>
                <w:lang w:eastAsia="zh-TW"/>
              </w:rPr>
              <w:tab/>
              <w:t>95% CI for difference</w:t>
            </w:r>
          </w:p>
        </w:tc>
        <w:tc>
          <w:tcPr>
            <w:tcW w:w="840" w:type="pct"/>
            <w:shd w:val="clear" w:color="auto" w:fill="auto"/>
          </w:tcPr>
          <w:p w14:paraId="5108C52C" w14:textId="77777777" w:rsidR="003E4BDD" w:rsidRPr="00254BEE" w:rsidRDefault="003E4BDD" w:rsidP="003E4BDD">
            <w:pPr>
              <w:pStyle w:val="Table"/>
              <w:jc w:val="center"/>
              <w:rPr>
                <w:rFonts w:ascii="Times New Roman" w:eastAsia="PMingLiU" w:hAnsi="Times New Roman"/>
                <w:sz w:val="22"/>
                <w:szCs w:val="22"/>
                <w:lang w:eastAsia="zh-TW"/>
              </w:rPr>
            </w:pPr>
            <w:r w:rsidRPr="00254BEE">
              <w:rPr>
                <w:rFonts w:ascii="Times New Roman" w:eastAsia="PMingLiU" w:hAnsi="Times New Roman"/>
                <w:sz w:val="22"/>
                <w:szCs w:val="22"/>
                <w:lang w:eastAsia="zh-TW"/>
              </w:rPr>
              <w:t>-</w:t>
            </w:r>
          </w:p>
        </w:tc>
        <w:tc>
          <w:tcPr>
            <w:tcW w:w="953" w:type="pct"/>
            <w:shd w:val="clear" w:color="auto" w:fill="auto"/>
          </w:tcPr>
          <w:p w14:paraId="58811A93" w14:textId="77777777" w:rsidR="003E4BDD" w:rsidRPr="00254BEE" w:rsidRDefault="003E4BDD" w:rsidP="003E4BDD">
            <w:pPr>
              <w:pStyle w:val="Table"/>
              <w:jc w:val="center"/>
              <w:rPr>
                <w:rFonts w:ascii="Times New Roman" w:eastAsia="PMingLiU" w:hAnsi="Times New Roman"/>
                <w:sz w:val="22"/>
                <w:szCs w:val="22"/>
                <w:lang w:eastAsia="zh-TW"/>
              </w:rPr>
            </w:pPr>
            <w:r w:rsidRPr="00254BEE">
              <w:rPr>
                <w:rFonts w:ascii="Times New Roman" w:eastAsia="PMingLiU" w:hAnsi="Times New Roman"/>
                <w:sz w:val="22"/>
                <w:szCs w:val="22"/>
                <w:lang w:eastAsia="zh-TW"/>
              </w:rPr>
              <w:t>-</w:t>
            </w:r>
          </w:p>
        </w:tc>
        <w:tc>
          <w:tcPr>
            <w:tcW w:w="886" w:type="pct"/>
            <w:shd w:val="clear" w:color="auto" w:fill="auto"/>
          </w:tcPr>
          <w:p w14:paraId="6BE56153" w14:textId="77777777" w:rsidR="003E4BDD" w:rsidRPr="00254BEE" w:rsidRDefault="003E4BDD" w:rsidP="003E4BDD">
            <w:pPr>
              <w:pStyle w:val="Table"/>
              <w:jc w:val="center"/>
              <w:rPr>
                <w:rFonts w:ascii="Times New Roman" w:eastAsia="PMingLiU" w:hAnsi="Times New Roman"/>
                <w:sz w:val="22"/>
                <w:szCs w:val="22"/>
                <w:lang w:eastAsia="zh-TW"/>
              </w:rPr>
            </w:pPr>
            <w:r w:rsidRPr="00254BEE">
              <w:rPr>
                <w:rFonts w:ascii="Times New Roman" w:eastAsia="PMingLiU" w:hAnsi="Times New Roman"/>
                <w:sz w:val="22"/>
                <w:szCs w:val="22"/>
                <w:lang w:eastAsia="zh-TW"/>
              </w:rPr>
              <w:t>−5.97, −3.08</w:t>
            </w:r>
          </w:p>
        </w:tc>
      </w:tr>
      <w:tr w:rsidR="003E4BDD" w:rsidRPr="00254BEE" w14:paraId="208F5514" w14:textId="77777777" w:rsidTr="003E4BDD">
        <w:tc>
          <w:tcPr>
            <w:tcW w:w="2321" w:type="pct"/>
            <w:tcBorders>
              <w:bottom w:val="single" w:sz="4" w:space="0" w:color="auto"/>
            </w:tcBorders>
            <w:shd w:val="clear" w:color="auto" w:fill="auto"/>
          </w:tcPr>
          <w:p w14:paraId="284F7226" w14:textId="77777777" w:rsidR="003E4BDD" w:rsidRPr="00254BEE" w:rsidRDefault="003E4BDD" w:rsidP="003E4BDD">
            <w:pPr>
              <w:pStyle w:val="Table"/>
              <w:rPr>
                <w:rFonts w:ascii="Times New Roman" w:hAnsi="Times New Roman"/>
                <w:sz w:val="22"/>
                <w:szCs w:val="22"/>
              </w:rPr>
            </w:pPr>
            <w:r w:rsidRPr="00254BEE">
              <w:rPr>
                <w:rFonts w:ascii="Times New Roman" w:hAnsi="Times New Roman"/>
                <w:sz w:val="22"/>
                <w:szCs w:val="22"/>
              </w:rPr>
              <w:tab/>
              <w:t>P-value vs. placebo</w:t>
            </w:r>
            <w:r w:rsidRPr="00254BEE">
              <w:rPr>
                <w:rFonts w:ascii="Times New Roman" w:hAnsi="Times New Roman"/>
                <w:sz w:val="22"/>
                <w:szCs w:val="22"/>
                <w:vertAlign w:val="superscript"/>
              </w:rPr>
              <w:t>2</w:t>
            </w:r>
          </w:p>
        </w:tc>
        <w:tc>
          <w:tcPr>
            <w:tcW w:w="840" w:type="pct"/>
            <w:tcBorders>
              <w:bottom w:val="single" w:sz="4" w:space="0" w:color="auto"/>
            </w:tcBorders>
            <w:shd w:val="clear" w:color="auto" w:fill="auto"/>
          </w:tcPr>
          <w:p w14:paraId="0ADAF1AD" w14:textId="77777777" w:rsidR="003E4BDD" w:rsidRPr="00254BEE" w:rsidRDefault="003E4BDD" w:rsidP="003E4BDD">
            <w:pPr>
              <w:pStyle w:val="Table"/>
              <w:jc w:val="center"/>
              <w:rPr>
                <w:rFonts w:ascii="Times New Roman" w:hAnsi="Times New Roman"/>
                <w:sz w:val="22"/>
                <w:szCs w:val="22"/>
              </w:rPr>
            </w:pPr>
            <w:r w:rsidRPr="00254BEE">
              <w:rPr>
                <w:rFonts w:ascii="Times New Roman" w:hAnsi="Times New Roman"/>
                <w:sz w:val="22"/>
                <w:szCs w:val="22"/>
              </w:rPr>
              <w:t>-</w:t>
            </w:r>
          </w:p>
        </w:tc>
        <w:tc>
          <w:tcPr>
            <w:tcW w:w="953" w:type="pct"/>
            <w:tcBorders>
              <w:bottom w:val="single" w:sz="4" w:space="0" w:color="auto"/>
            </w:tcBorders>
            <w:shd w:val="clear" w:color="auto" w:fill="auto"/>
          </w:tcPr>
          <w:p w14:paraId="0C763379" w14:textId="77777777" w:rsidR="003E4BDD" w:rsidRPr="00254BEE" w:rsidRDefault="003E4BDD" w:rsidP="003E4BDD">
            <w:pPr>
              <w:pStyle w:val="Table"/>
              <w:jc w:val="center"/>
              <w:rPr>
                <w:rFonts w:ascii="Times New Roman" w:hAnsi="Times New Roman"/>
                <w:sz w:val="22"/>
                <w:szCs w:val="22"/>
              </w:rPr>
            </w:pPr>
            <w:r w:rsidRPr="00254BEE">
              <w:rPr>
                <w:rFonts w:ascii="Times New Roman" w:hAnsi="Times New Roman"/>
                <w:sz w:val="22"/>
                <w:szCs w:val="22"/>
              </w:rPr>
              <w:t>-</w:t>
            </w:r>
          </w:p>
        </w:tc>
        <w:tc>
          <w:tcPr>
            <w:tcW w:w="886" w:type="pct"/>
            <w:tcBorders>
              <w:bottom w:val="single" w:sz="4" w:space="0" w:color="auto"/>
            </w:tcBorders>
            <w:shd w:val="clear" w:color="auto" w:fill="auto"/>
          </w:tcPr>
          <w:p w14:paraId="2DA15039" w14:textId="77777777" w:rsidR="003E4BDD" w:rsidRPr="00254BEE" w:rsidRDefault="003E4BDD" w:rsidP="003E4BDD">
            <w:pPr>
              <w:pStyle w:val="Table"/>
              <w:jc w:val="center"/>
              <w:rPr>
                <w:rFonts w:ascii="Times New Roman" w:hAnsi="Times New Roman"/>
                <w:sz w:val="22"/>
                <w:szCs w:val="22"/>
              </w:rPr>
            </w:pPr>
            <w:r w:rsidRPr="00254BEE">
              <w:rPr>
                <w:rFonts w:ascii="Times New Roman" w:hAnsi="Times New Roman"/>
                <w:sz w:val="22"/>
                <w:szCs w:val="22"/>
              </w:rPr>
              <w:t>&lt;0.0001</w:t>
            </w:r>
          </w:p>
        </w:tc>
      </w:tr>
    </w:tbl>
    <w:p w14:paraId="35BFA6D9" w14:textId="77777777" w:rsidR="003E4BDD" w:rsidRPr="00254BEE" w:rsidRDefault="003E4BDD" w:rsidP="003E4BDD">
      <w:pPr>
        <w:pStyle w:val="Legend"/>
        <w:rPr>
          <w:rFonts w:ascii="Times New Roman" w:hAnsi="Times New Roman"/>
          <w:i/>
          <w:sz w:val="18"/>
          <w:szCs w:val="18"/>
        </w:rPr>
      </w:pPr>
      <w:r w:rsidRPr="00254BEE">
        <w:rPr>
          <w:rFonts w:ascii="Times New Roman" w:hAnsi="Times New Roman"/>
          <w:i/>
          <w:sz w:val="18"/>
          <w:szCs w:val="18"/>
        </w:rPr>
        <w:t>*Modified intent-to-treat (mITT) population: Included all patients who were randomized and received at least one dose of study medication.</w:t>
      </w:r>
    </w:p>
    <w:p w14:paraId="1470B0B8" w14:textId="77777777" w:rsidR="003E4BDD" w:rsidRPr="00254BEE" w:rsidRDefault="003E4BDD" w:rsidP="003E4BDD">
      <w:pPr>
        <w:pStyle w:val="Legend"/>
        <w:rPr>
          <w:rFonts w:ascii="Times New Roman" w:hAnsi="Times New Roman"/>
          <w:sz w:val="16"/>
          <w:szCs w:val="16"/>
          <w:highlight w:val="yellow"/>
        </w:rPr>
      </w:pPr>
      <w:r w:rsidRPr="00254BEE">
        <w:rPr>
          <w:rFonts w:ascii="Times New Roman" w:hAnsi="Times New Roman"/>
          <w:i/>
          <w:sz w:val="18"/>
          <w:szCs w:val="18"/>
        </w:rPr>
        <w:t>BOCF (Baseline Observation Carried Forward) was used to impute missing data.</w:t>
      </w:r>
      <w:r w:rsidRPr="00254BEE">
        <w:rPr>
          <w:rFonts w:ascii="Times New Roman" w:hAnsi="Times New Roman"/>
          <w:i/>
          <w:sz w:val="18"/>
          <w:szCs w:val="18"/>
        </w:rPr>
        <w:br/>
      </w:r>
      <w:r w:rsidRPr="00254BEE">
        <w:rPr>
          <w:rFonts w:ascii="Times New Roman" w:hAnsi="Times New Roman"/>
          <w:i/>
          <w:sz w:val="18"/>
          <w:szCs w:val="18"/>
          <w:vertAlign w:val="superscript"/>
        </w:rPr>
        <w:t>1</w:t>
      </w:r>
      <w:r w:rsidRPr="00254BEE">
        <w:rPr>
          <w:rFonts w:ascii="Times New Roman" w:hAnsi="Times New Roman"/>
          <w:i/>
          <w:sz w:val="18"/>
          <w:szCs w:val="18"/>
        </w:rPr>
        <w:t xml:space="preserve"> The LS mean was estimated using an ANCOVA model. The strata were baseline weekly itch severity score (&lt; 13 vs. ≥13) and baseline weight (&lt; 80 kg vs. ≥ 80 kg).</w:t>
      </w:r>
      <w:r w:rsidRPr="00254BEE">
        <w:rPr>
          <w:rFonts w:ascii="Times New Roman" w:hAnsi="Times New Roman"/>
          <w:i/>
          <w:sz w:val="18"/>
          <w:szCs w:val="18"/>
        </w:rPr>
        <w:br/>
      </w:r>
      <w:r w:rsidRPr="00254BEE">
        <w:rPr>
          <w:rFonts w:ascii="Times New Roman" w:hAnsi="Times New Roman"/>
          <w:i/>
          <w:sz w:val="18"/>
          <w:szCs w:val="18"/>
          <w:vertAlign w:val="superscript"/>
        </w:rPr>
        <w:t>2</w:t>
      </w:r>
      <w:r w:rsidRPr="00254BEE">
        <w:rPr>
          <w:rFonts w:ascii="Times New Roman" w:hAnsi="Times New Roman"/>
          <w:i/>
          <w:sz w:val="18"/>
          <w:szCs w:val="18"/>
        </w:rPr>
        <w:t xml:space="preserve"> </w:t>
      </w:r>
      <w:r w:rsidRPr="00254BEE">
        <w:rPr>
          <w:rFonts w:ascii="Times New Roman" w:hAnsi="Times New Roman"/>
          <w:i/>
          <w:sz w:val="18"/>
          <w:szCs w:val="18"/>
          <w:lang w:eastAsia="zh-TW"/>
        </w:rPr>
        <w:t>p-value is derived from ANCOVA t-test</w:t>
      </w:r>
      <w:r w:rsidRPr="00254BEE">
        <w:rPr>
          <w:rFonts w:ascii="Times New Roman" w:hAnsi="Times New Roman"/>
          <w:i/>
          <w:sz w:val="16"/>
          <w:szCs w:val="16"/>
        </w:rPr>
        <w:t xml:space="preserve"> </w:t>
      </w:r>
      <w:r w:rsidRPr="00254BEE">
        <w:rPr>
          <w:rFonts w:ascii="Times New Roman" w:hAnsi="Times New Roman"/>
          <w:i/>
          <w:sz w:val="16"/>
          <w:szCs w:val="16"/>
        </w:rPr>
        <w:br/>
      </w:r>
    </w:p>
    <w:p w14:paraId="42384D2C" w14:textId="77777777" w:rsidR="003E4BDD" w:rsidRPr="00254BEE" w:rsidRDefault="003E4BDD" w:rsidP="003E4BDD">
      <w:pPr>
        <w:pStyle w:val="Text"/>
      </w:pPr>
      <w:r w:rsidRPr="00254BEE">
        <w:t>Figure </w:t>
      </w:r>
      <w:r w:rsidR="00D357B5" w:rsidRPr="00254BEE">
        <w:t>1</w:t>
      </w:r>
      <w:r w:rsidRPr="00254BEE">
        <w:t xml:space="preserve"> shows the mean weekly itch severity score over time in study Q4881g. The mean weekly itch severity scores significantly decreased in both treatment groups with a maximum effect around week 12 that was sustained over the 24-week treatment period. In studies Q4883g (300 mg over the 24-week treatment period) and Q4882g (150 mg and 300 mg over the 12-week treatment period) the results were similar to those of study Q4881g.</w:t>
      </w:r>
    </w:p>
    <w:p w14:paraId="04F57205" w14:textId="77777777" w:rsidR="003E4BDD" w:rsidRPr="00254BEE" w:rsidRDefault="003E4BDD" w:rsidP="003E4BDD">
      <w:pPr>
        <w:pStyle w:val="Text"/>
        <w:rPr>
          <w:sz w:val="20"/>
        </w:rPr>
      </w:pPr>
      <w:r w:rsidRPr="00254BEE">
        <w:t>In all three studies (see Figure </w:t>
      </w:r>
      <w:r w:rsidR="00D357B5" w:rsidRPr="00254BEE">
        <w:t>1</w:t>
      </w:r>
      <w:r w:rsidRPr="00254BEE">
        <w:t xml:space="preserve"> for study Q4881g), the mean weekly itch severity score for both doses increased gradually during the 16-week treatment-free follow-up period, consistent with symptom re-occurrence. Mean values at the end of the follow-up period were similar to the placebo group, but lower than respective mean baseline values.</w:t>
      </w:r>
    </w:p>
    <w:p w14:paraId="5723E5E8" w14:textId="77777777" w:rsidR="003E4BDD" w:rsidRPr="00254BEE" w:rsidRDefault="003E4BDD" w:rsidP="003E4BDD">
      <w:pPr>
        <w:pStyle w:val="Heading7"/>
      </w:pPr>
      <w:bookmarkStart w:id="6" w:name="_Toc361211494"/>
      <w:r w:rsidRPr="00254BEE">
        <w:lastRenderedPageBreak/>
        <w:t xml:space="preserve">Figure </w:t>
      </w:r>
      <w:r w:rsidR="00D357B5" w:rsidRPr="00254BEE">
        <w:t>1</w:t>
      </w:r>
      <w:r w:rsidRPr="00254BEE">
        <w:tab/>
        <w:t>Mean weekly itch severity score over time, Study Q4881g (BOCF, mITT population)</w:t>
      </w:r>
      <w:bookmarkEnd w:id="6"/>
    </w:p>
    <w:p w14:paraId="1737E90C" w14:textId="77777777" w:rsidR="003E4BDD" w:rsidRPr="00254BEE" w:rsidRDefault="003E4BDD" w:rsidP="003E4BDD">
      <w:r w:rsidRPr="00254BEE">
        <w:rPr>
          <w:noProof/>
          <w:lang w:val="en-AU" w:eastAsia="en-AU"/>
        </w:rPr>
        <mc:AlternateContent>
          <mc:Choice Requires="wps">
            <w:drawing>
              <wp:anchor distT="0" distB="0" distL="114300" distR="114300" simplePos="0" relativeHeight="251667456" behindDoc="0" locked="0" layoutInCell="1" allowOverlap="1" wp14:anchorId="2AE121B3" wp14:editId="19D6AB84">
                <wp:simplePos x="0" y="0"/>
                <wp:positionH relativeFrom="column">
                  <wp:posOffset>793115</wp:posOffset>
                </wp:positionH>
                <wp:positionV relativeFrom="paragraph">
                  <wp:posOffset>2836545</wp:posOffset>
                </wp:positionV>
                <wp:extent cx="107315" cy="279400"/>
                <wp:effectExtent l="0" t="0" r="6985" b="6350"/>
                <wp:wrapNone/>
                <wp:docPr id="23" name="Up Arrow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279400"/>
                        </a:xfrm>
                        <a:prstGeom prst="upArrow">
                          <a:avLst>
                            <a:gd name="adj1" fmla="val 50000"/>
                            <a:gd name="adj2" fmla="val 50000"/>
                          </a:avLst>
                        </a:prstGeom>
                        <a:solidFill>
                          <a:sysClr val="windowText" lastClr="000000"/>
                        </a:solidFill>
                        <a:ln w="9525" algn="ctr">
                          <a:noFill/>
                          <a:round/>
                          <a:headEnd/>
                          <a:tailEn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B84E6E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3" o:spid="_x0000_s1026" type="#_x0000_t68" style="position:absolute;margin-left:62.45pt;margin-top:223.35pt;width:8.45pt;height: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" adj="4148" fillcolor="windowText" stroked="f">
                <v:stroke joinstyle="round"/>
              </v:shape>
            </w:pict>
          </mc:Fallback>
        </mc:AlternateContent>
      </w:r>
      <w:r w:rsidRPr="00254BEE">
        <w:rPr>
          <w:noProof/>
          <w:lang w:val="en-AU" w:eastAsia="en-AU"/>
        </w:rPr>
        <mc:AlternateContent>
          <mc:Choice Requires="wps">
            <w:drawing>
              <wp:anchor distT="0" distB="0" distL="114300" distR="114300" simplePos="0" relativeHeight="251662336" behindDoc="0" locked="0" layoutInCell="1" allowOverlap="1" wp14:anchorId="5B7EB879" wp14:editId="2777EBC6">
                <wp:simplePos x="0" y="0"/>
                <wp:positionH relativeFrom="column">
                  <wp:posOffset>1294130</wp:posOffset>
                </wp:positionH>
                <wp:positionV relativeFrom="paragraph">
                  <wp:posOffset>2837180</wp:posOffset>
                </wp:positionV>
                <wp:extent cx="107315" cy="279400"/>
                <wp:effectExtent l="0" t="0" r="6985" b="6350"/>
                <wp:wrapNone/>
                <wp:docPr id="24" name="Up Arrow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279400"/>
                        </a:xfrm>
                        <a:prstGeom prst="upArrow">
                          <a:avLst>
                            <a:gd name="adj1" fmla="val 50000"/>
                            <a:gd name="adj2" fmla="val 50000"/>
                          </a:avLst>
                        </a:prstGeom>
                        <a:solidFill>
                          <a:sysClr val="windowText" lastClr="000000"/>
                        </a:solidFill>
                        <a:ln w="9525" algn="ctr">
                          <a:noFill/>
                          <a:round/>
                          <a:headEnd/>
                          <a:tailEn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23B28C" id="Up Arrow 24" o:spid="_x0000_s1026" type="#_x0000_t68" style="position:absolute;margin-left:101.9pt;margin-top:223.4pt;width:8.45pt;height: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" adj="4148" fillcolor="windowText" stroked="f">
                <v:stroke joinstyle="round"/>
              </v:shape>
            </w:pict>
          </mc:Fallback>
        </mc:AlternateContent>
      </w:r>
      <w:r w:rsidRPr="00254BEE">
        <w:rPr>
          <w:noProof/>
          <w:lang w:val="en-AU" w:eastAsia="en-AU"/>
        </w:rPr>
        <mc:AlternateContent>
          <mc:Choice Requires="wps">
            <w:drawing>
              <wp:anchor distT="0" distB="0" distL="114300" distR="114300" simplePos="0" relativeHeight="251663360" behindDoc="0" locked="0" layoutInCell="1" allowOverlap="1" wp14:anchorId="3E9CE166" wp14:editId="237FD10F">
                <wp:simplePos x="0" y="0"/>
                <wp:positionH relativeFrom="column">
                  <wp:posOffset>1824355</wp:posOffset>
                </wp:positionH>
                <wp:positionV relativeFrom="paragraph">
                  <wp:posOffset>2841625</wp:posOffset>
                </wp:positionV>
                <wp:extent cx="107315" cy="279400"/>
                <wp:effectExtent l="0" t="0" r="6985" b="6350"/>
                <wp:wrapNone/>
                <wp:docPr id="25" name="Up Arrow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279400"/>
                        </a:xfrm>
                        <a:prstGeom prst="upArrow">
                          <a:avLst>
                            <a:gd name="adj1" fmla="val 50000"/>
                            <a:gd name="adj2" fmla="val 50000"/>
                          </a:avLst>
                        </a:prstGeom>
                        <a:solidFill>
                          <a:sysClr val="windowText" lastClr="000000"/>
                        </a:solidFill>
                        <a:ln w="9525" algn="ctr">
                          <a:noFill/>
                          <a:round/>
                          <a:headEnd/>
                          <a:tailEn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BD4D67E" id="Up Arrow 25" o:spid="_x0000_s1026" type="#_x0000_t68" style="position:absolute;margin-left:143.65pt;margin-top:223.75pt;width:8.4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" adj="4148" fillcolor="windowText" stroked="f">
                <v:stroke joinstyle="round"/>
              </v:shape>
            </w:pict>
          </mc:Fallback>
        </mc:AlternateContent>
      </w:r>
      <w:r w:rsidRPr="00254BEE">
        <w:rPr>
          <w:noProof/>
          <w:lang w:val="en-AU" w:eastAsia="en-AU"/>
        </w:rPr>
        <mc:AlternateContent>
          <mc:Choice Requires="wps">
            <w:drawing>
              <wp:anchor distT="0" distB="0" distL="114300" distR="114300" simplePos="0" relativeHeight="251665408" behindDoc="0" locked="0" layoutInCell="1" allowOverlap="1" wp14:anchorId="7983FF77" wp14:editId="57EC8252">
                <wp:simplePos x="0" y="0"/>
                <wp:positionH relativeFrom="column">
                  <wp:posOffset>2306955</wp:posOffset>
                </wp:positionH>
                <wp:positionV relativeFrom="paragraph">
                  <wp:posOffset>2853055</wp:posOffset>
                </wp:positionV>
                <wp:extent cx="107315" cy="279400"/>
                <wp:effectExtent l="0" t="0" r="6985" b="6350"/>
                <wp:wrapNone/>
                <wp:docPr id="27" name="Up Arrow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279400"/>
                        </a:xfrm>
                        <a:prstGeom prst="upArrow">
                          <a:avLst>
                            <a:gd name="adj1" fmla="val 50000"/>
                            <a:gd name="adj2" fmla="val 50000"/>
                          </a:avLst>
                        </a:prstGeom>
                        <a:solidFill>
                          <a:sysClr val="windowText" lastClr="000000"/>
                        </a:solidFill>
                        <a:ln w="9525" algn="ctr">
                          <a:noFill/>
                          <a:round/>
                          <a:headEnd/>
                          <a:tailEn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A6EE9F" id="Up Arrow 27" o:spid="_x0000_s1026" type="#_x0000_t68" style="position:absolute;margin-left:181.65pt;margin-top:224.65pt;width:8.45pt;height: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" adj="4148" fillcolor="windowText" stroked="f">
                <v:stroke joinstyle="round"/>
              </v:shape>
            </w:pict>
          </mc:Fallback>
        </mc:AlternateContent>
      </w:r>
      <w:r w:rsidRPr="00254BEE">
        <w:rPr>
          <w:noProof/>
          <w:lang w:val="en-AU" w:eastAsia="en-AU"/>
        </w:rPr>
        <mc:AlternateContent>
          <mc:Choice Requires="wps">
            <w:drawing>
              <wp:anchor distT="0" distB="0" distL="114300" distR="114300" simplePos="0" relativeHeight="251666432" behindDoc="0" locked="0" layoutInCell="1" allowOverlap="1" wp14:anchorId="27507B00" wp14:editId="558B8877">
                <wp:simplePos x="0" y="0"/>
                <wp:positionH relativeFrom="column">
                  <wp:posOffset>2828290</wp:posOffset>
                </wp:positionH>
                <wp:positionV relativeFrom="paragraph">
                  <wp:posOffset>2856230</wp:posOffset>
                </wp:positionV>
                <wp:extent cx="107315" cy="279400"/>
                <wp:effectExtent l="0" t="0" r="6985" b="6350"/>
                <wp:wrapNone/>
                <wp:docPr id="28" name="Up Arrow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279400"/>
                        </a:xfrm>
                        <a:prstGeom prst="upArrow">
                          <a:avLst>
                            <a:gd name="adj1" fmla="val 50000"/>
                            <a:gd name="adj2" fmla="val 50000"/>
                          </a:avLst>
                        </a:prstGeom>
                        <a:solidFill>
                          <a:sysClr val="windowText" lastClr="000000"/>
                        </a:solidFill>
                        <a:ln w="9525" algn="ctr">
                          <a:noFill/>
                          <a:round/>
                          <a:headEnd/>
                          <a:tailEn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4AE6625" id="Up Arrow 28" o:spid="_x0000_s1026" type="#_x0000_t68" style="position:absolute;margin-left:222.7pt;margin-top:224.9pt;width:8.45pt;height: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" adj="4148" fillcolor="windowText" stroked="f">
                <v:stroke joinstyle="round"/>
              </v:shape>
            </w:pict>
          </mc:Fallback>
        </mc:AlternateContent>
      </w:r>
      <w:r w:rsidRPr="00254BEE">
        <w:rPr>
          <w:noProof/>
          <w:lang w:val="en-AU" w:eastAsia="en-AU"/>
        </w:rPr>
        <mc:AlternateContent>
          <mc:Choice Requires="wps">
            <w:drawing>
              <wp:anchor distT="0" distB="0" distL="114300" distR="114300" simplePos="0" relativeHeight="251660288" behindDoc="0" locked="0" layoutInCell="1" allowOverlap="1" wp14:anchorId="64FF126C" wp14:editId="2872A73B">
                <wp:simplePos x="0" y="0"/>
                <wp:positionH relativeFrom="column">
                  <wp:posOffset>826135</wp:posOffset>
                </wp:positionH>
                <wp:positionV relativeFrom="paragraph">
                  <wp:posOffset>1551940</wp:posOffset>
                </wp:positionV>
                <wp:extent cx="2070100" cy="5080"/>
                <wp:effectExtent l="3810" t="0" r="29210" b="2921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2070100" cy="508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252A5B" id="Straight Connector 30" o:spid="_x0000_s1026" style="position:absolute;rotation:9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05pt,122.2pt" to="228.05pt,1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"/>
            </w:pict>
          </mc:Fallback>
        </mc:AlternateContent>
      </w:r>
      <w:r w:rsidRPr="00254BEE">
        <w:rPr>
          <w:noProof/>
          <w:lang w:val="en-AU" w:eastAsia="en-AU"/>
        </w:rPr>
        <mc:AlternateContent>
          <mc:Choice Requires="wps">
            <w:drawing>
              <wp:anchor distT="0" distB="0" distL="114300" distR="114300" simplePos="0" relativeHeight="251670528" behindDoc="0" locked="0" layoutInCell="1" allowOverlap="1" wp14:anchorId="51864EC9" wp14:editId="28895262">
                <wp:simplePos x="0" y="0"/>
                <wp:positionH relativeFrom="column">
                  <wp:posOffset>1465580</wp:posOffset>
                </wp:positionH>
                <wp:positionV relativeFrom="paragraph">
                  <wp:posOffset>63500</wp:posOffset>
                </wp:positionV>
                <wp:extent cx="680720" cy="576580"/>
                <wp:effectExtent l="0" t="0" r="24130" b="1397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576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EC4E09" w14:textId="77777777" w:rsidR="00A26E77" w:rsidRPr="00F90C48" w:rsidRDefault="00A26E77" w:rsidP="003E4BDD">
                            <w:pPr>
                              <w:pStyle w:val="NormalWeb"/>
                              <w:jc w:val="center"/>
                              <w:rPr>
                                <w:sz w:val="20"/>
                              </w:rPr>
                            </w:pPr>
                            <w:r w:rsidRPr="00F90C48">
                              <w:rPr>
                                <w:color w:val="000000"/>
                                <w:kern w:val="24"/>
                                <w:sz w:val="18"/>
                                <w:szCs w:val="22"/>
                                <w:lang w:val="de-CH"/>
                              </w:rPr>
                              <w:t xml:space="preserve">Week 12 </w:t>
                            </w:r>
                          </w:p>
                          <w:p w14:paraId="7A7AAA4C" w14:textId="77777777" w:rsidR="00A26E77" w:rsidRPr="00F90C48" w:rsidRDefault="00A26E77" w:rsidP="003E4BDD">
                            <w:pPr>
                              <w:pStyle w:val="NormalWeb"/>
                              <w:jc w:val="center"/>
                              <w:rPr>
                                <w:sz w:val="20"/>
                              </w:rPr>
                            </w:pPr>
                            <w:r w:rsidRPr="00F90C48">
                              <w:rPr>
                                <w:color w:val="000000"/>
                                <w:kern w:val="24"/>
                                <w:sz w:val="18"/>
                                <w:szCs w:val="22"/>
                                <w:lang w:val="de-CH"/>
                              </w:rPr>
                              <w:t>Primary Endpoint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115.4pt;margin-top:5pt;width:53.6pt;height:4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" filled="f">
                <v:textbox>
                  <w:txbxContent>
                    <w:p w14:paraId="6EEC4E09" w14:textId="77777777" w:rsidR="00A26E77" w:rsidRPr="00F90C48" w:rsidRDefault="00A26E77" w:rsidP="003E4BDD">
                      <w:pPr>
                        <w:pStyle w:val="NormalWeb"/>
                        <w:jc w:val="center"/>
                        <w:rPr>
                          <w:sz w:val="20"/>
                        </w:rPr>
                      </w:pPr>
                      <w:r w:rsidRPr="00F90C48">
                        <w:rPr>
                          <w:color w:val="000000"/>
                          <w:kern w:val="24"/>
                          <w:sz w:val="18"/>
                          <w:szCs w:val="22"/>
                          <w:lang w:val="de-CH"/>
                        </w:rPr>
                        <w:t xml:space="preserve">Week 12 </w:t>
                      </w:r>
                    </w:p>
                    <w:p w14:paraId="7A7AAA4C" w14:textId="77777777" w:rsidR="00A26E77" w:rsidRPr="00F90C48" w:rsidRDefault="00A26E77" w:rsidP="003E4BDD">
                      <w:pPr>
                        <w:pStyle w:val="NormalWeb"/>
                        <w:jc w:val="center"/>
                        <w:rPr>
                          <w:sz w:val="20"/>
                        </w:rPr>
                      </w:pPr>
                      <w:r w:rsidRPr="00F90C48">
                        <w:rPr>
                          <w:color w:val="000000"/>
                          <w:kern w:val="24"/>
                          <w:sz w:val="18"/>
                          <w:szCs w:val="22"/>
                          <w:lang w:val="de-CH"/>
                        </w:rPr>
                        <w:t>Primary Endpoint</w:t>
                      </w:r>
                    </w:p>
                  </w:txbxContent>
                </v:textbox>
              </v:shape>
            </w:pict>
          </mc:Fallback>
        </mc:AlternateContent>
      </w:r>
      <w:r w:rsidRPr="00254BEE">
        <w:rPr>
          <w:noProof/>
          <w:lang w:val="en-AU" w:eastAsia="en-AU"/>
        </w:rPr>
        <mc:AlternateContent>
          <mc:Choice Requires="wps">
            <w:drawing>
              <wp:anchor distT="0" distB="0" distL="114300" distR="114300" simplePos="0" relativeHeight="251669504" behindDoc="0" locked="0" layoutInCell="1" allowOverlap="1" wp14:anchorId="372A3984" wp14:editId="69ED5478">
                <wp:simplePos x="0" y="0"/>
                <wp:positionH relativeFrom="column">
                  <wp:posOffset>3979545</wp:posOffset>
                </wp:positionH>
                <wp:positionV relativeFrom="paragraph">
                  <wp:posOffset>2864485</wp:posOffset>
                </wp:positionV>
                <wp:extent cx="1711325" cy="25590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1325" cy="255905"/>
                        </a:xfrm>
                        <a:prstGeom prst="rect">
                          <a:avLst/>
                        </a:prstGeom>
                        <a:noFill/>
                      </wps:spPr>
                      <wps:txbx>
                        <w:txbxContent>
                          <w:p w14:paraId="2306DD3E" w14:textId="77777777" w:rsidR="00A26E77" w:rsidRPr="00DF11C0" w:rsidRDefault="00A26E77" w:rsidP="003E4BDD">
                            <w:pPr>
                              <w:pStyle w:val="NormalWeb"/>
                              <w:jc w:val="right"/>
                            </w:pPr>
                            <w:r w:rsidRPr="00DF11C0">
                              <w:rPr>
                                <w:color w:val="000000"/>
                                <w:kern w:val="24"/>
                                <w:sz w:val="22"/>
                                <w:szCs w:val="22"/>
                              </w:rPr>
                              <w:t>Week</w:t>
                            </w:r>
                          </w:p>
                        </w:txbxContent>
                      </wps:txbx>
                      <wps:bodyPr wrap="square" rtlCol="0" anchor="b">
                        <a:sp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313.35pt;margin-top:225.55pt;width:134.75pt;height:2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" filled="f" stroked="f">
                <v:path arrowok="t"/>
                <v:textbox style="mso-fit-shape-to-text:t">
                  <w:txbxContent>
                    <w:p w14:paraId="2306DD3E" w14:textId="77777777" w:rsidR="00A26E77" w:rsidRPr="00DF11C0" w:rsidRDefault="00A26E77" w:rsidP="003E4BDD">
                      <w:pPr>
                        <w:pStyle w:val="NormalWeb"/>
                        <w:jc w:val="right"/>
                      </w:pPr>
                      <w:r w:rsidRPr="00DF11C0">
                        <w:rPr>
                          <w:color w:val="000000"/>
                          <w:kern w:val="24"/>
                          <w:sz w:val="22"/>
                          <w:szCs w:val="22"/>
                        </w:rPr>
                        <w:t>Week</w:t>
                      </w:r>
                    </w:p>
                  </w:txbxContent>
                </v:textbox>
              </v:shape>
            </w:pict>
          </mc:Fallback>
        </mc:AlternateContent>
      </w:r>
      <w:r w:rsidRPr="00254BEE">
        <w:rPr>
          <w:noProof/>
          <w:lang w:val="en-AU" w:eastAsia="en-AU"/>
        </w:rPr>
        <mc:AlternateContent>
          <mc:Choice Requires="wps">
            <w:drawing>
              <wp:anchor distT="0" distB="0" distL="114300" distR="114300" simplePos="0" relativeHeight="251661312" behindDoc="0" locked="0" layoutInCell="1" allowOverlap="1" wp14:anchorId="50CE5F6D" wp14:editId="182FBEA7">
                <wp:simplePos x="0" y="0"/>
                <wp:positionH relativeFrom="column">
                  <wp:posOffset>280035</wp:posOffset>
                </wp:positionH>
                <wp:positionV relativeFrom="paragraph">
                  <wp:posOffset>2853055</wp:posOffset>
                </wp:positionV>
                <wp:extent cx="107315" cy="279400"/>
                <wp:effectExtent l="0" t="0" r="6985" b="6350"/>
                <wp:wrapNone/>
                <wp:docPr id="20" name="Up Arrow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279400"/>
                        </a:xfrm>
                        <a:prstGeom prst="upArrow">
                          <a:avLst>
                            <a:gd name="adj1" fmla="val 50000"/>
                            <a:gd name="adj2" fmla="val 50000"/>
                          </a:avLst>
                        </a:prstGeom>
                        <a:solidFill>
                          <a:sysClr val="windowText" lastClr="000000"/>
                        </a:solidFill>
                        <a:ln w="9525" algn="ctr">
                          <a:noFill/>
                          <a:round/>
                          <a:headEnd/>
                          <a:tailEn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0DDCB9" id="Up Arrow 20" o:spid="_x0000_s1026" type="#_x0000_t68" style="position:absolute;margin-left:22.05pt;margin-top:224.65pt;width:8.45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" adj="4148" fillcolor="windowText" stroked="f">
                <v:stroke joinstyle="round"/>
              </v:shape>
            </w:pict>
          </mc:Fallback>
        </mc:AlternateContent>
      </w:r>
      <w:r w:rsidRPr="00254BEE">
        <w:rPr>
          <w:noProof/>
          <w:lang w:val="en-AU" w:eastAsia="en-AU"/>
        </w:rPr>
        <mc:AlternateContent>
          <mc:Choice Requires="wps">
            <w:drawing>
              <wp:anchor distT="0" distB="0" distL="114300" distR="114300" simplePos="0" relativeHeight="251664384" behindDoc="0" locked="0" layoutInCell="1" allowOverlap="1" wp14:anchorId="7AB1CF47" wp14:editId="1269C2FE">
                <wp:simplePos x="0" y="0"/>
                <wp:positionH relativeFrom="column">
                  <wp:posOffset>276860</wp:posOffset>
                </wp:positionH>
                <wp:positionV relativeFrom="paragraph">
                  <wp:posOffset>3180715</wp:posOffset>
                </wp:positionV>
                <wp:extent cx="3056890" cy="25590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6890" cy="255905"/>
                        </a:xfrm>
                        <a:prstGeom prst="rect">
                          <a:avLst/>
                        </a:prstGeom>
                        <a:noFill/>
                      </wps:spPr>
                      <wps:txbx>
                        <w:txbxContent>
                          <w:p w14:paraId="2A3C3D52" w14:textId="77777777" w:rsidR="00A26E77" w:rsidRPr="00DF11C0" w:rsidRDefault="00A26E77" w:rsidP="003E4BDD">
                            <w:pPr>
                              <w:pStyle w:val="NormalWeb"/>
                            </w:pPr>
                            <w:r w:rsidRPr="00DF11C0">
                              <w:rPr>
                                <w:color w:val="000000"/>
                                <w:kern w:val="24"/>
                                <w:sz w:val="22"/>
                                <w:szCs w:val="22"/>
                              </w:rPr>
                              <w:t>Omalizumab or placebo administered</w:t>
                            </w:r>
                          </w:p>
                        </w:txbxContent>
                      </wps:txbx>
                      <wps:bodyPr wrap="square" rtlCol="0" anchor="b">
                        <a:sp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margin-left:21.8pt;margin-top:250.45pt;width:240.7pt;height:2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" filled="f" stroked="f">
                <v:path arrowok="t"/>
                <v:textbox style="mso-fit-shape-to-text:t">
                  <w:txbxContent>
                    <w:p w14:paraId="2A3C3D52" w14:textId="77777777" w:rsidR="00A26E77" w:rsidRPr="00DF11C0" w:rsidRDefault="00A26E77" w:rsidP="003E4BDD">
                      <w:pPr>
                        <w:pStyle w:val="NormalWeb"/>
                      </w:pPr>
                      <w:r w:rsidRPr="00DF11C0">
                        <w:rPr>
                          <w:color w:val="000000"/>
                          <w:kern w:val="24"/>
                          <w:sz w:val="22"/>
                          <w:szCs w:val="22"/>
                        </w:rPr>
                        <w:t>Omalizumab or placebo administered</w:t>
                      </w:r>
                    </w:p>
                  </w:txbxContent>
                </v:textbox>
              </v:shape>
            </w:pict>
          </mc:Fallback>
        </mc:AlternateContent>
      </w:r>
      <w:r w:rsidRPr="00254BEE">
        <w:rPr>
          <w:noProof/>
          <w:lang w:val="en-AU" w:eastAsia="en-AU"/>
        </w:rPr>
        <mc:AlternateContent>
          <mc:Choice Requires="wps">
            <w:drawing>
              <wp:anchor distT="0" distB="0" distL="114300" distR="114300" simplePos="0" relativeHeight="251668480" behindDoc="0" locked="0" layoutInCell="1" allowOverlap="1" wp14:anchorId="7E6A48D6" wp14:editId="4E792D48">
                <wp:simplePos x="0" y="0"/>
                <wp:positionH relativeFrom="column">
                  <wp:posOffset>-1497965</wp:posOffset>
                </wp:positionH>
                <wp:positionV relativeFrom="paragraph">
                  <wp:posOffset>1570990</wp:posOffset>
                </wp:positionV>
                <wp:extent cx="3043555" cy="256540"/>
                <wp:effectExtent l="0" t="0" r="444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04355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30D96" w14:textId="77777777" w:rsidR="00A26E77" w:rsidRPr="00DF11C0" w:rsidRDefault="00A26E77" w:rsidP="003E4BDD">
                            <w:pPr>
                              <w:pStyle w:val="NormalWeb"/>
                              <w:jc w:val="center"/>
                            </w:pPr>
                            <w:r w:rsidRPr="00DF11C0">
                              <w:rPr>
                                <w:color w:val="000000"/>
                                <w:kern w:val="24"/>
                              </w:rPr>
                              <w:t>Mean weekly itch severity score</w:t>
                            </w:r>
                          </w:p>
                        </w:txbxContent>
                      </wps:txbx>
                      <wps:bodyPr rot="0" vert="vert270"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117.95pt;margin-top:123.7pt;width:239.65pt;height:20.2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" filled="f" stroked="f">
                <v:textbox style="layout-flow:vertical;mso-layout-flow-alt:bottom-to-top;mso-fit-shape-to-text:t">
                  <w:txbxContent>
                    <w:p w14:paraId="51130D96" w14:textId="77777777" w:rsidR="00A26E77" w:rsidRPr="00DF11C0" w:rsidRDefault="00A26E77" w:rsidP="003E4BDD">
                      <w:pPr>
                        <w:pStyle w:val="NormalWeb"/>
                        <w:jc w:val="center"/>
                      </w:pPr>
                      <w:r w:rsidRPr="00DF11C0">
                        <w:rPr>
                          <w:color w:val="000000"/>
                          <w:kern w:val="24"/>
                        </w:rPr>
                        <w:t>Mean weekly itch severity score</w:t>
                      </w:r>
                    </w:p>
                  </w:txbxContent>
                </v:textbox>
              </v:shape>
            </w:pict>
          </mc:Fallback>
        </mc:AlternateContent>
      </w:r>
      <w:r w:rsidRPr="00254BEE">
        <w:rPr>
          <w:noProof/>
          <w:lang w:val="en-AU" w:eastAsia="en-AU"/>
        </w:rPr>
        <mc:AlternateContent>
          <mc:Choice Requires="wps">
            <w:drawing>
              <wp:anchor distT="0" distB="0" distL="114300" distR="114300" simplePos="0" relativeHeight="251672576" behindDoc="0" locked="0" layoutInCell="1" allowOverlap="1" wp14:anchorId="19CB0098" wp14:editId="1BE28E1A">
                <wp:simplePos x="0" y="0"/>
                <wp:positionH relativeFrom="column">
                  <wp:posOffset>4286885</wp:posOffset>
                </wp:positionH>
                <wp:positionV relativeFrom="paragraph">
                  <wp:posOffset>139065</wp:posOffset>
                </wp:positionV>
                <wp:extent cx="1515110" cy="73787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5110" cy="737870"/>
                        </a:xfrm>
                        <a:prstGeom prst="rect">
                          <a:avLst/>
                        </a:prstGeom>
                        <a:noFill/>
                      </wps:spPr>
                      <wps:txbx>
                        <w:txbxContent>
                          <w:p w14:paraId="217C617A" w14:textId="77777777" w:rsidR="00A26E77" w:rsidRPr="00DF11C0" w:rsidRDefault="00A26E77" w:rsidP="003E4BDD">
                            <w:pPr>
                              <w:pStyle w:val="NormalWeb"/>
                              <w:spacing w:after="120"/>
                            </w:pPr>
                            <w:r w:rsidRPr="00DF11C0">
                              <w:rPr>
                                <w:color w:val="000000"/>
                                <w:kern w:val="24"/>
                                <w:sz w:val="22"/>
                                <w:szCs w:val="22"/>
                                <w:lang w:val="de-CH"/>
                              </w:rPr>
                              <w:t>Placebo</w:t>
                            </w:r>
                          </w:p>
                          <w:p w14:paraId="3BB43679" w14:textId="77777777" w:rsidR="00A26E77" w:rsidRPr="00DF11C0" w:rsidRDefault="00A26E77" w:rsidP="003E4BDD">
                            <w:pPr>
                              <w:pStyle w:val="NormalWeb"/>
                              <w:spacing w:after="120"/>
                            </w:pPr>
                            <w:r w:rsidRPr="00DF11C0">
                              <w:rPr>
                                <w:color w:val="000000"/>
                                <w:kern w:val="24"/>
                                <w:sz w:val="22"/>
                                <w:szCs w:val="22"/>
                                <w:lang w:val="de-CH"/>
                              </w:rPr>
                              <w:t>Omalizumab 150 mg</w:t>
                            </w:r>
                          </w:p>
                          <w:p w14:paraId="0B9A9FCB" w14:textId="77777777" w:rsidR="00A26E77" w:rsidRPr="00DF11C0" w:rsidRDefault="00A26E77" w:rsidP="003E4BDD">
                            <w:pPr>
                              <w:pStyle w:val="NormalWeb"/>
                            </w:pPr>
                            <w:r w:rsidRPr="00DF11C0">
                              <w:rPr>
                                <w:color w:val="000000"/>
                                <w:kern w:val="24"/>
                                <w:sz w:val="22"/>
                                <w:szCs w:val="22"/>
                                <w:lang w:val="de-CH"/>
                              </w:rPr>
                              <w:t>Omalizumab 300 mg</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337.55pt;margin-top:10.95pt;width:119.3pt;height:5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" filled="f" stroked="f">
                <v:path arrowok="t"/>
                <v:textbox style="mso-fit-shape-to-text:t">
                  <w:txbxContent>
                    <w:p w14:paraId="217C617A" w14:textId="77777777" w:rsidR="00A26E77" w:rsidRPr="00DF11C0" w:rsidRDefault="00A26E77" w:rsidP="003E4BDD">
                      <w:pPr>
                        <w:pStyle w:val="NormalWeb"/>
                        <w:spacing w:after="120"/>
                      </w:pPr>
                      <w:r w:rsidRPr="00DF11C0">
                        <w:rPr>
                          <w:color w:val="000000"/>
                          <w:kern w:val="24"/>
                          <w:sz w:val="22"/>
                          <w:szCs w:val="22"/>
                          <w:lang w:val="de-CH"/>
                        </w:rPr>
                        <w:t>Placebo</w:t>
                      </w:r>
                    </w:p>
                    <w:p w14:paraId="3BB43679" w14:textId="77777777" w:rsidR="00A26E77" w:rsidRPr="00DF11C0" w:rsidRDefault="00A26E77" w:rsidP="003E4BDD">
                      <w:pPr>
                        <w:pStyle w:val="NormalWeb"/>
                        <w:spacing w:after="120"/>
                      </w:pPr>
                      <w:r w:rsidRPr="00DF11C0">
                        <w:rPr>
                          <w:color w:val="000000"/>
                          <w:kern w:val="24"/>
                          <w:sz w:val="22"/>
                          <w:szCs w:val="22"/>
                          <w:lang w:val="de-CH"/>
                        </w:rPr>
                        <w:t>Omalizumab 150 mg</w:t>
                      </w:r>
                    </w:p>
                    <w:p w14:paraId="0B9A9FCB" w14:textId="77777777" w:rsidR="00A26E77" w:rsidRPr="00DF11C0" w:rsidRDefault="00A26E77" w:rsidP="003E4BDD">
                      <w:pPr>
                        <w:pStyle w:val="NormalWeb"/>
                      </w:pPr>
                      <w:r w:rsidRPr="00DF11C0">
                        <w:rPr>
                          <w:color w:val="000000"/>
                          <w:kern w:val="24"/>
                          <w:sz w:val="22"/>
                          <w:szCs w:val="22"/>
                          <w:lang w:val="de-CH"/>
                        </w:rPr>
                        <w:t>Omalizumab 300 mg</w:t>
                      </w:r>
                    </w:p>
                  </w:txbxContent>
                </v:textbox>
              </v:shape>
            </w:pict>
          </mc:Fallback>
        </mc:AlternateContent>
      </w:r>
      <w:r w:rsidRPr="00254BEE">
        <w:rPr>
          <w:noProof/>
          <w:lang w:val="en-AU" w:eastAsia="en-AU"/>
        </w:rPr>
        <w:drawing>
          <wp:anchor distT="0" distB="0" distL="114300" distR="114300" simplePos="0" relativeHeight="251671552" behindDoc="0" locked="0" layoutInCell="1" allowOverlap="1" wp14:anchorId="5D724ED7" wp14:editId="05476E51">
            <wp:simplePos x="0" y="0"/>
            <wp:positionH relativeFrom="column">
              <wp:posOffset>3830320</wp:posOffset>
            </wp:positionH>
            <wp:positionV relativeFrom="paragraph">
              <wp:posOffset>66675</wp:posOffset>
            </wp:positionV>
            <wp:extent cx="501015" cy="9779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015" cy="9779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54BEE">
        <w:rPr>
          <w:noProof/>
          <w:lang w:val="en-AU" w:eastAsia="en-AU"/>
        </w:rPr>
        <w:drawing>
          <wp:inline distT="0" distB="0" distL="0" distR="0" wp14:anchorId="205FD598" wp14:editId="1791FC97">
            <wp:extent cx="5690937" cy="3043989"/>
            <wp:effectExtent l="0" t="0" r="5080" b="4445"/>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6F43D30" w14:textId="77777777" w:rsidR="003E4BDD" w:rsidRPr="00254BEE" w:rsidRDefault="003E4BDD" w:rsidP="003E4BDD"/>
    <w:p w14:paraId="72DC2D61" w14:textId="77777777" w:rsidR="003E4BDD" w:rsidRPr="00254BEE" w:rsidRDefault="003E4BDD" w:rsidP="003E4BDD"/>
    <w:p w14:paraId="03C5E55E" w14:textId="77777777" w:rsidR="003E4BDD" w:rsidRPr="00254BEE" w:rsidRDefault="003E4BDD" w:rsidP="003E4BDD">
      <w:pPr>
        <w:pStyle w:val="Legend"/>
        <w:rPr>
          <w:rFonts w:ascii="Times New Roman" w:hAnsi="Times New Roman"/>
          <w:sz w:val="18"/>
          <w:szCs w:val="18"/>
        </w:rPr>
      </w:pPr>
      <w:r w:rsidRPr="00254BEE">
        <w:rPr>
          <w:rFonts w:ascii="Times New Roman" w:hAnsi="Times New Roman"/>
          <w:sz w:val="16"/>
          <w:szCs w:val="16"/>
        </w:rPr>
        <w:br/>
      </w:r>
      <w:r w:rsidRPr="00254BEE">
        <w:rPr>
          <w:rFonts w:ascii="Times New Roman" w:hAnsi="Times New Roman"/>
          <w:sz w:val="18"/>
          <w:szCs w:val="18"/>
        </w:rPr>
        <w:t>BOCF=baseline observation carried forward; mITT=modified intention-to-treat population</w:t>
      </w:r>
    </w:p>
    <w:p w14:paraId="59FCF5D4" w14:textId="77777777" w:rsidR="006C7583" w:rsidRPr="00254BEE" w:rsidRDefault="006C7583" w:rsidP="003E4BDD">
      <w:pPr>
        <w:pStyle w:val="Legend"/>
        <w:rPr>
          <w:rFonts w:ascii="Times New Roman" w:hAnsi="Times New Roman"/>
          <w:i/>
          <w:color w:val="000000"/>
          <w:kern w:val="24"/>
          <w:sz w:val="18"/>
          <w:szCs w:val="18"/>
        </w:rPr>
      </w:pPr>
      <w:bookmarkStart w:id="7" w:name="_4153197Time_to_MID_response_in_we"/>
      <w:bookmarkStart w:id="8" w:name="_4253748Change_from_Baseline_to_we"/>
      <w:bookmarkEnd w:id="7"/>
      <w:bookmarkEnd w:id="8"/>
    </w:p>
    <w:p w14:paraId="586FA613" w14:textId="77777777" w:rsidR="00763B9D" w:rsidRPr="00254BEE" w:rsidRDefault="006C7583" w:rsidP="00B922D5">
      <w:pPr>
        <w:pStyle w:val="Text"/>
      </w:pPr>
      <w:r w:rsidRPr="00254BEE">
        <w:t xml:space="preserve">Secondary endpoints </w:t>
      </w:r>
      <w:r w:rsidR="00B922D5" w:rsidRPr="00254BEE">
        <w:t xml:space="preserve">for studies </w:t>
      </w:r>
      <w:r w:rsidR="00B922D5" w:rsidRPr="00254BEE">
        <w:rPr>
          <w:b/>
          <w:color w:val="000000" w:themeColor="text1"/>
        </w:rPr>
        <w:t>Q4881g</w:t>
      </w:r>
      <w:r w:rsidR="00450A8D" w:rsidRPr="00254BEE">
        <w:rPr>
          <w:b/>
          <w:color w:val="000000" w:themeColor="text1"/>
        </w:rPr>
        <w:t>, Q4882g</w:t>
      </w:r>
      <w:r w:rsidR="00B922D5" w:rsidRPr="00254BEE">
        <w:rPr>
          <w:b/>
          <w:color w:val="000000" w:themeColor="text1"/>
        </w:rPr>
        <w:t xml:space="preserve"> and Q4883g</w:t>
      </w:r>
      <w:r w:rsidR="00B922D5" w:rsidRPr="00254BEE">
        <w:t xml:space="preserve"> </w:t>
      </w:r>
      <w:r w:rsidRPr="00254BEE">
        <w:t>are presented in Table 5</w:t>
      </w:r>
    </w:p>
    <w:p w14:paraId="4E42FB7F" w14:textId="77777777" w:rsidR="00B922D5" w:rsidRPr="00254BEE" w:rsidRDefault="00B922D5" w:rsidP="00B922D5">
      <w:pPr>
        <w:pStyle w:val="Text"/>
        <w:rPr>
          <w:i/>
          <w:sz w:val="18"/>
          <w:szCs w:val="18"/>
        </w:rPr>
      </w:pPr>
    </w:p>
    <w:p w14:paraId="7AB713BF" w14:textId="77777777" w:rsidR="00763B9D" w:rsidRPr="00254BEE" w:rsidRDefault="00763B9D" w:rsidP="00660321">
      <w:pPr>
        <w:widowControl w:val="0"/>
        <w:ind w:left="2160" w:hanging="2160"/>
        <w:rPr>
          <w:b/>
          <w:color w:val="000000" w:themeColor="text1"/>
        </w:rPr>
      </w:pPr>
      <w:r w:rsidRPr="00254BEE">
        <w:rPr>
          <w:b/>
          <w:color w:val="000000" w:themeColor="text1"/>
        </w:rPr>
        <w:t xml:space="preserve">Table </w:t>
      </w:r>
      <w:r w:rsidR="00945F73" w:rsidRPr="00254BEE">
        <w:rPr>
          <w:b/>
          <w:color w:val="000000" w:themeColor="text1"/>
        </w:rPr>
        <w:t>5</w:t>
      </w:r>
      <w:r w:rsidRPr="00254BEE">
        <w:rPr>
          <w:b/>
          <w:color w:val="000000" w:themeColor="text1"/>
        </w:rPr>
        <w:tab/>
        <w:t>Secondary efficacy endpoints</w:t>
      </w:r>
      <w:r w:rsidR="00945F73" w:rsidRPr="00254BEE">
        <w:rPr>
          <w:b/>
          <w:color w:val="000000" w:themeColor="text1"/>
        </w:rPr>
        <w:t xml:space="preserve"> in Studies Q4881g,</w:t>
      </w:r>
      <w:r w:rsidR="00660321" w:rsidRPr="00254BEE">
        <w:rPr>
          <w:b/>
          <w:color w:val="000000" w:themeColor="text1"/>
        </w:rPr>
        <w:t xml:space="preserve"> </w:t>
      </w:r>
      <w:r w:rsidR="00945F73" w:rsidRPr="00254BEE">
        <w:rPr>
          <w:b/>
          <w:color w:val="000000" w:themeColor="text1"/>
        </w:rPr>
        <w:t>Q4882g and</w:t>
      </w:r>
      <w:r w:rsidR="00E32FB5" w:rsidRPr="00254BEE">
        <w:rPr>
          <w:b/>
          <w:color w:val="000000" w:themeColor="text1"/>
        </w:rPr>
        <w:t xml:space="preserve"> Q4883g</w:t>
      </w:r>
      <w:r w:rsidR="00195F31" w:rsidRPr="00254BEE">
        <w:rPr>
          <w:b/>
          <w:color w:val="000000" w:themeColor="text1"/>
        </w:rPr>
        <w:t xml:space="preserve"> (mITT population</w:t>
      </w:r>
      <w:r w:rsidR="0067230F" w:rsidRPr="00254BEE">
        <w:rPr>
          <w:b/>
          <w:color w:val="000000" w:themeColor="text1"/>
        </w:rPr>
        <w:t>*</w:t>
      </w:r>
      <w:r w:rsidR="00195F31" w:rsidRPr="00254BEE">
        <w:rPr>
          <w:b/>
          <w:color w:val="000000" w:themeColor="text1"/>
        </w:rPr>
        <w:t>)</w:t>
      </w:r>
    </w:p>
    <w:p w14:paraId="5C7D73B5" w14:textId="77777777" w:rsidR="00763B9D" w:rsidRPr="00254BEE" w:rsidRDefault="00763B9D" w:rsidP="00E32FB5">
      <w:pPr>
        <w:rPr>
          <w:b/>
          <w:szCs w:val="24"/>
        </w:rPr>
      </w:pPr>
      <w:r w:rsidRPr="00254BEE">
        <w:rPr>
          <w:b/>
          <w:color w:val="000000" w:themeColor="text1"/>
        </w:rPr>
        <w:t xml:space="preserve"> </w:t>
      </w:r>
    </w:p>
    <w:tbl>
      <w:tblPr>
        <w:tblW w:w="5000" w:type="pct"/>
        <w:tblLook w:val="04A0" w:firstRow="1" w:lastRow="0" w:firstColumn="1" w:lastColumn="0" w:noHBand="0" w:noVBand="1"/>
      </w:tblPr>
      <w:tblGrid>
        <w:gridCol w:w="2801"/>
        <w:gridCol w:w="1561"/>
        <w:gridCol w:w="2409"/>
        <w:gridCol w:w="2474"/>
      </w:tblGrid>
      <w:tr w:rsidR="00106A67" w:rsidRPr="00254BEE" w14:paraId="002262DF" w14:textId="77777777" w:rsidTr="00106A67">
        <w:trPr>
          <w:tblHeader/>
        </w:trPr>
        <w:tc>
          <w:tcPr>
            <w:tcW w:w="1515" w:type="pct"/>
            <w:tcBorders>
              <w:top w:val="single" w:sz="4" w:space="0" w:color="auto"/>
              <w:bottom w:val="single" w:sz="4" w:space="0" w:color="auto"/>
            </w:tcBorders>
            <w:shd w:val="clear" w:color="auto" w:fill="auto"/>
          </w:tcPr>
          <w:p w14:paraId="53CCC131" w14:textId="77777777" w:rsidR="00763B9D" w:rsidRPr="00254BEE" w:rsidRDefault="00763B9D" w:rsidP="001A123D">
            <w:pPr>
              <w:pStyle w:val="Table"/>
              <w:rPr>
                <w:rFonts w:ascii="Times New Roman" w:hAnsi="Times New Roman"/>
                <w:sz w:val="22"/>
                <w:szCs w:val="22"/>
              </w:rPr>
            </w:pPr>
          </w:p>
        </w:tc>
        <w:tc>
          <w:tcPr>
            <w:tcW w:w="844" w:type="pct"/>
            <w:tcBorders>
              <w:top w:val="single" w:sz="4" w:space="0" w:color="auto"/>
              <w:bottom w:val="single" w:sz="4" w:space="0" w:color="auto"/>
            </w:tcBorders>
            <w:shd w:val="clear" w:color="auto" w:fill="auto"/>
            <w:vAlign w:val="bottom"/>
          </w:tcPr>
          <w:p w14:paraId="711C57DA" w14:textId="77777777" w:rsidR="00763B9D" w:rsidRPr="00254BEE" w:rsidRDefault="00763B9D" w:rsidP="001A123D">
            <w:pPr>
              <w:pStyle w:val="Table"/>
              <w:jc w:val="center"/>
              <w:rPr>
                <w:rFonts w:ascii="Times New Roman" w:eastAsia="PMingLiU" w:hAnsi="Times New Roman"/>
                <w:b/>
                <w:sz w:val="22"/>
                <w:szCs w:val="22"/>
                <w:lang w:eastAsia="zh-TW"/>
              </w:rPr>
            </w:pPr>
            <w:r w:rsidRPr="00254BEE">
              <w:rPr>
                <w:rFonts w:ascii="Times New Roman" w:eastAsia="PMingLiU" w:hAnsi="Times New Roman"/>
                <w:b/>
                <w:sz w:val="22"/>
                <w:szCs w:val="22"/>
                <w:lang w:eastAsia="zh-TW"/>
              </w:rPr>
              <w:t>Placebo</w:t>
            </w:r>
          </w:p>
          <w:p w14:paraId="67634B57" w14:textId="77777777" w:rsidR="00E32FB5" w:rsidRPr="00254BEE" w:rsidRDefault="00E32FB5" w:rsidP="001A123D">
            <w:pPr>
              <w:pStyle w:val="Table"/>
              <w:jc w:val="center"/>
              <w:rPr>
                <w:rFonts w:ascii="Times New Roman" w:eastAsia="PMingLiU" w:hAnsi="Times New Roman"/>
                <w:b/>
                <w:sz w:val="22"/>
                <w:szCs w:val="22"/>
                <w:lang w:eastAsia="zh-TW"/>
              </w:rPr>
            </w:pPr>
          </w:p>
        </w:tc>
        <w:tc>
          <w:tcPr>
            <w:tcW w:w="1303" w:type="pct"/>
            <w:tcBorders>
              <w:top w:val="single" w:sz="4" w:space="0" w:color="auto"/>
              <w:bottom w:val="single" w:sz="4" w:space="0" w:color="auto"/>
            </w:tcBorders>
            <w:shd w:val="clear" w:color="auto" w:fill="auto"/>
            <w:vAlign w:val="bottom"/>
          </w:tcPr>
          <w:p w14:paraId="674E4044" w14:textId="77777777" w:rsidR="00763B9D" w:rsidRPr="00254BEE" w:rsidRDefault="00763B9D" w:rsidP="001A123D">
            <w:pPr>
              <w:pStyle w:val="Table"/>
              <w:jc w:val="center"/>
              <w:rPr>
                <w:rFonts w:ascii="Times New Roman" w:eastAsia="PMingLiU" w:hAnsi="Times New Roman"/>
                <w:b/>
                <w:sz w:val="22"/>
                <w:szCs w:val="22"/>
                <w:lang w:eastAsia="zh-TW"/>
              </w:rPr>
            </w:pPr>
            <w:r w:rsidRPr="00254BEE">
              <w:rPr>
                <w:rFonts w:ascii="Times New Roman" w:eastAsia="PMingLiU" w:hAnsi="Times New Roman"/>
                <w:b/>
                <w:sz w:val="22"/>
                <w:szCs w:val="22"/>
                <w:lang w:eastAsia="zh-TW"/>
              </w:rPr>
              <w:t>Omalizumab</w:t>
            </w:r>
            <w:r w:rsidRPr="00254BEE">
              <w:rPr>
                <w:rFonts w:ascii="Times New Roman" w:eastAsia="PMingLiU" w:hAnsi="Times New Roman"/>
                <w:b/>
                <w:sz w:val="22"/>
                <w:szCs w:val="22"/>
                <w:lang w:eastAsia="zh-TW"/>
              </w:rPr>
              <w:br/>
              <w:t>150mg</w:t>
            </w:r>
          </w:p>
        </w:tc>
        <w:tc>
          <w:tcPr>
            <w:tcW w:w="1338" w:type="pct"/>
            <w:tcBorders>
              <w:top w:val="single" w:sz="4" w:space="0" w:color="auto"/>
              <w:bottom w:val="single" w:sz="4" w:space="0" w:color="auto"/>
            </w:tcBorders>
            <w:shd w:val="clear" w:color="auto" w:fill="auto"/>
            <w:vAlign w:val="bottom"/>
          </w:tcPr>
          <w:p w14:paraId="40044D9D" w14:textId="77777777" w:rsidR="00763B9D" w:rsidRPr="00254BEE" w:rsidRDefault="00763B9D" w:rsidP="001A123D">
            <w:pPr>
              <w:pStyle w:val="Table"/>
              <w:jc w:val="center"/>
              <w:rPr>
                <w:rFonts w:ascii="Times New Roman" w:eastAsia="PMingLiU" w:hAnsi="Times New Roman"/>
                <w:b/>
                <w:sz w:val="22"/>
                <w:szCs w:val="22"/>
                <w:lang w:eastAsia="zh-TW"/>
              </w:rPr>
            </w:pPr>
            <w:r w:rsidRPr="00254BEE">
              <w:rPr>
                <w:rFonts w:ascii="Times New Roman" w:eastAsia="PMingLiU" w:hAnsi="Times New Roman"/>
                <w:b/>
                <w:sz w:val="22"/>
                <w:szCs w:val="22"/>
                <w:lang w:eastAsia="zh-TW"/>
              </w:rPr>
              <w:t>Omalizumab</w:t>
            </w:r>
            <w:r w:rsidRPr="00254BEE">
              <w:rPr>
                <w:rFonts w:ascii="Times New Roman" w:eastAsia="PMingLiU" w:hAnsi="Times New Roman"/>
                <w:b/>
                <w:sz w:val="22"/>
                <w:szCs w:val="22"/>
                <w:lang w:eastAsia="zh-TW"/>
              </w:rPr>
              <w:br/>
              <w:t>300mg</w:t>
            </w:r>
          </w:p>
        </w:tc>
      </w:tr>
      <w:tr w:rsidR="00763B9D" w:rsidRPr="00254BEE" w14:paraId="6C4920A1" w14:textId="77777777" w:rsidTr="00763B9D">
        <w:tc>
          <w:tcPr>
            <w:tcW w:w="5000" w:type="pct"/>
            <w:gridSpan w:val="4"/>
            <w:tcBorders>
              <w:top w:val="single" w:sz="4" w:space="0" w:color="auto"/>
            </w:tcBorders>
            <w:shd w:val="clear" w:color="auto" w:fill="auto"/>
          </w:tcPr>
          <w:p w14:paraId="4237A887" w14:textId="77777777" w:rsidR="00763B9D" w:rsidRPr="00254BEE" w:rsidRDefault="00763B9D" w:rsidP="00045291">
            <w:pPr>
              <w:rPr>
                <w:b/>
                <w:szCs w:val="24"/>
              </w:rPr>
            </w:pPr>
            <w:r w:rsidRPr="00254BEE">
              <w:rPr>
                <w:b/>
                <w:szCs w:val="24"/>
              </w:rPr>
              <w:t>Time to MID response in weekly ISS up to week 12 (</w:t>
            </w:r>
            <w:r w:rsidR="00793F63" w:rsidRPr="00254BEE">
              <w:rPr>
                <w:b/>
                <w:szCs w:val="24"/>
              </w:rPr>
              <w:t xml:space="preserve">median </w:t>
            </w:r>
            <w:r w:rsidRPr="00254BEE">
              <w:rPr>
                <w:b/>
                <w:szCs w:val="24"/>
              </w:rPr>
              <w:t>weeks)</w:t>
            </w:r>
          </w:p>
        </w:tc>
      </w:tr>
      <w:tr w:rsidR="00106A67" w:rsidRPr="00254BEE" w14:paraId="6E784266" w14:textId="77777777" w:rsidTr="00106A67">
        <w:tc>
          <w:tcPr>
            <w:tcW w:w="1515" w:type="pct"/>
            <w:tcBorders>
              <w:top w:val="single" w:sz="4" w:space="0" w:color="auto"/>
            </w:tcBorders>
            <w:shd w:val="clear" w:color="auto" w:fill="auto"/>
          </w:tcPr>
          <w:p w14:paraId="4C75A3B1" w14:textId="77777777" w:rsidR="00763B9D" w:rsidRPr="00254BEE" w:rsidRDefault="00763B9D" w:rsidP="001A123D">
            <w:pPr>
              <w:pStyle w:val="Table"/>
              <w:rPr>
                <w:rFonts w:ascii="Times New Roman" w:hAnsi="Times New Roman"/>
                <w:sz w:val="22"/>
                <w:szCs w:val="22"/>
              </w:rPr>
            </w:pPr>
            <w:r w:rsidRPr="00254BEE">
              <w:rPr>
                <w:rFonts w:ascii="Times New Roman" w:hAnsi="Times New Roman"/>
                <w:sz w:val="22"/>
                <w:szCs w:val="22"/>
              </w:rPr>
              <w:t>Q4881g</w:t>
            </w:r>
          </w:p>
        </w:tc>
        <w:tc>
          <w:tcPr>
            <w:tcW w:w="844" w:type="pct"/>
            <w:tcBorders>
              <w:top w:val="single" w:sz="4" w:space="0" w:color="auto"/>
            </w:tcBorders>
            <w:shd w:val="clear" w:color="auto" w:fill="auto"/>
          </w:tcPr>
          <w:p w14:paraId="5815AA05" w14:textId="77777777" w:rsidR="00763B9D" w:rsidRPr="00254BEE" w:rsidRDefault="00763B9D" w:rsidP="00763B9D">
            <w:pPr>
              <w:pStyle w:val="Table"/>
              <w:jc w:val="center"/>
              <w:rPr>
                <w:rFonts w:ascii="Times New Roman" w:hAnsi="Times New Roman"/>
                <w:sz w:val="22"/>
                <w:szCs w:val="22"/>
              </w:rPr>
            </w:pPr>
            <w:r w:rsidRPr="00254BEE">
              <w:rPr>
                <w:rFonts w:ascii="Times New Roman" w:hAnsi="Times New Roman"/>
                <w:sz w:val="22"/>
                <w:szCs w:val="22"/>
              </w:rPr>
              <w:t xml:space="preserve">4 </w:t>
            </w:r>
          </w:p>
        </w:tc>
        <w:tc>
          <w:tcPr>
            <w:tcW w:w="1303" w:type="pct"/>
            <w:tcBorders>
              <w:top w:val="single" w:sz="4" w:space="0" w:color="auto"/>
            </w:tcBorders>
            <w:shd w:val="clear" w:color="auto" w:fill="auto"/>
          </w:tcPr>
          <w:p w14:paraId="52287129" w14:textId="77777777" w:rsidR="00763B9D" w:rsidRPr="00254BEE" w:rsidRDefault="00763B9D" w:rsidP="00763B9D">
            <w:pPr>
              <w:pStyle w:val="Table"/>
              <w:jc w:val="center"/>
              <w:rPr>
                <w:rFonts w:ascii="Times New Roman" w:hAnsi="Times New Roman"/>
                <w:sz w:val="22"/>
                <w:szCs w:val="22"/>
              </w:rPr>
            </w:pPr>
            <w:r w:rsidRPr="00254BEE">
              <w:rPr>
                <w:rFonts w:ascii="Times New Roman" w:hAnsi="Times New Roman"/>
                <w:sz w:val="22"/>
                <w:szCs w:val="22"/>
              </w:rPr>
              <w:t xml:space="preserve">2 </w:t>
            </w:r>
            <w:r w:rsidR="00F53A48" w:rsidRPr="00254BEE">
              <w:rPr>
                <w:rFonts w:ascii="Times New Roman" w:hAnsi="Times New Roman"/>
                <w:sz w:val="22"/>
                <w:szCs w:val="22"/>
              </w:rPr>
              <w:t>(p=0.03</w:t>
            </w:r>
            <w:r w:rsidR="00904ED8" w:rsidRPr="00254BEE">
              <w:rPr>
                <w:rFonts w:ascii="Times New Roman" w:hAnsi="Times New Roman"/>
                <w:sz w:val="22"/>
                <w:szCs w:val="22"/>
              </w:rPr>
              <w:t>01</w:t>
            </w:r>
            <w:r w:rsidR="00F53A48" w:rsidRPr="00254BEE">
              <w:rPr>
                <w:rFonts w:ascii="Times New Roman" w:hAnsi="Times New Roman"/>
                <w:sz w:val="22"/>
                <w:szCs w:val="22"/>
              </w:rPr>
              <w:t>)</w:t>
            </w:r>
          </w:p>
        </w:tc>
        <w:tc>
          <w:tcPr>
            <w:tcW w:w="1338" w:type="pct"/>
            <w:tcBorders>
              <w:top w:val="single" w:sz="4" w:space="0" w:color="auto"/>
            </w:tcBorders>
            <w:shd w:val="clear" w:color="auto" w:fill="auto"/>
          </w:tcPr>
          <w:p w14:paraId="748A0895" w14:textId="77777777" w:rsidR="00763B9D" w:rsidRPr="00254BEE" w:rsidRDefault="00763B9D" w:rsidP="00763B9D">
            <w:pPr>
              <w:pStyle w:val="Table"/>
              <w:jc w:val="center"/>
              <w:rPr>
                <w:rFonts w:ascii="Times New Roman" w:hAnsi="Times New Roman"/>
                <w:sz w:val="22"/>
                <w:szCs w:val="22"/>
              </w:rPr>
            </w:pPr>
            <w:r w:rsidRPr="00254BEE">
              <w:rPr>
                <w:rFonts w:ascii="Times New Roman" w:hAnsi="Times New Roman"/>
                <w:sz w:val="22"/>
                <w:szCs w:val="22"/>
              </w:rPr>
              <w:t xml:space="preserve">1 </w:t>
            </w:r>
            <w:r w:rsidR="00F53A48" w:rsidRPr="00254BEE">
              <w:rPr>
                <w:rFonts w:ascii="Times New Roman" w:hAnsi="Times New Roman"/>
                <w:sz w:val="22"/>
                <w:szCs w:val="22"/>
              </w:rPr>
              <w:t>(p&lt;0.0001)</w:t>
            </w:r>
          </w:p>
        </w:tc>
      </w:tr>
      <w:tr w:rsidR="00106A67" w:rsidRPr="00254BEE" w14:paraId="7167B751" w14:textId="77777777" w:rsidTr="00106A67">
        <w:tc>
          <w:tcPr>
            <w:tcW w:w="1515" w:type="pct"/>
            <w:shd w:val="clear" w:color="auto" w:fill="auto"/>
          </w:tcPr>
          <w:p w14:paraId="16983014" w14:textId="77777777" w:rsidR="00763B9D" w:rsidRPr="00254BEE" w:rsidRDefault="00763B9D" w:rsidP="001A123D">
            <w:pPr>
              <w:pStyle w:val="Table"/>
              <w:rPr>
                <w:rFonts w:ascii="Times New Roman" w:hAnsi="Times New Roman"/>
                <w:sz w:val="22"/>
                <w:szCs w:val="22"/>
              </w:rPr>
            </w:pPr>
            <w:r w:rsidRPr="00254BEE">
              <w:rPr>
                <w:rFonts w:ascii="Times New Roman" w:hAnsi="Times New Roman"/>
                <w:sz w:val="22"/>
                <w:szCs w:val="22"/>
              </w:rPr>
              <w:t>Q4882g</w:t>
            </w:r>
          </w:p>
        </w:tc>
        <w:tc>
          <w:tcPr>
            <w:tcW w:w="844" w:type="pct"/>
            <w:shd w:val="clear" w:color="auto" w:fill="auto"/>
          </w:tcPr>
          <w:p w14:paraId="67792DD4" w14:textId="77777777" w:rsidR="00763B9D" w:rsidRPr="00254BEE" w:rsidRDefault="00763B9D" w:rsidP="00763B9D">
            <w:pPr>
              <w:pStyle w:val="Table"/>
              <w:jc w:val="center"/>
              <w:rPr>
                <w:rFonts w:ascii="Times New Roman" w:hAnsi="Times New Roman"/>
                <w:sz w:val="22"/>
                <w:szCs w:val="22"/>
              </w:rPr>
            </w:pPr>
            <w:r w:rsidRPr="00254BEE">
              <w:rPr>
                <w:rFonts w:ascii="Times New Roman" w:hAnsi="Times New Roman"/>
                <w:sz w:val="22"/>
                <w:szCs w:val="22"/>
              </w:rPr>
              <w:t xml:space="preserve">4 </w:t>
            </w:r>
          </w:p>
        </w:tc>
        <w:tc>
          <w:tcPr>
            <w:tcW w:w="1303" w:type="pct"/>
            <w:shd w:val="clear" w:color="auto" w:fill="auto"/>
          </w:tcPr>
          <w:p w14:paraId="2EE0118E" w14:textId="77777777" w:rsidR="00763B9D" w:rsidRPr="00254BEE" w:rsidRDefault="00763B9D" w:rsidP="00045291">
            <w:pPr>
              <w:pStyle w:val="Table"/>
              <w:jc w:val="center"/>
              <w:rPr>
                <w:rFonts w:ascii="Times New Roman" w:hAnsi="Times New Roman"/>
                <w:sz w:val="22"/>
                <w:szCs w:val="22"/>
              </w:rPr>
            </w:pPr>
            <w:r w:rsidRPr="00254BEE">
              <w:rPr>
                <w:rFonts w:ascii="Times New Roman" w:hAnsi="Times New Roman"/>
                <w:sz w:val="22"/>
                <w:szCs w:val="22"/>
              </w:rPr>
              <w:t xml:space="preserve">2 </w:t>
            </w:r>
            <w:r w:rsidR="00F53A48" w:rsidRPr="00254BEE">
              <w:rPr>
                <w:rFonts w:ascii="Times New Roman" w:hAnsi="Times New Roman"/>
                <w:sz w:val="22"/>
                <w:szCs w:val="22"/>
              </w:rPr>
              <w:t>(p=0.01</w:t>
            </w:r>
            <w:r w:rsidR="00904ED8" w:rsidRPr="00254BEE">
              <w:rPr>
                <w:rFonts w:ascii="Times New Roman" w:hAnsi="Times New Roman"/>
                <w:sz w:val="22"/>
                <w:szCs w:val="22"/>
              </w:rPr>
              <w:t>01</w:t>
            </w:r>
            <w:r w:rsidR="00F53A48" w:rsidRPr="00254BEE">
              <w:rPr>
                <w:rFonts w:ascii="Times New Roman" w:hAnsi="Times New Roman"/>
                <w:sz w:val="22"/>
                <w:szCs w:val="22"/>
              </w:rPr>
              <w:t>)</w:t>
            </w:r>
          </w:p>
        </w:tc>
        <w:tc>
          <w:tcPr>
            <w:tcW w:w="1338" w:type="pct"/>
            <w:shd w:val="clear" w:color="auto" w:fill="auto"/>
          </w:tcPr>
          <w:p w14:paraId="650E51DF" w14:textId="77777777" w:rsidR="00763B9D" w:rsidRPr="00254BEE" w:rsidRDefault="00F53A48" w:rsidP="001A123D">
            <w:pPr>
              <w:pStyle w:val="Table"/>
              <w:jc w:val="center"/>
              <w:rPr>
                <w:rFonts w:ascii="Times New Roman" w:hAnsi="Times New Roman"/>
                <w:sz w:val="22"/>
                <w:szCs w:val="22"/>
              </w:rPr>
            </w:pPr>
            <w:r w:rsidRPr="00254BEE">
              <w:rPr>
                <w:rFonts w:ascii="Times New Roman" w:hAnsi="Times New Roman"/>
                <w:sz w:val="22"/>
                <w:szCs w:val="22"/>
              </w:rPr>
              <w:t>1 (p&lt;0.0001)</w:t>
            </w:r>
          </w:p>
        </w:tc>
      </w:tr>
      <w:tr w:rsidR="00106A67" w:rsidRPr="00254BEE" w14:paraId="65991832" w14:textId="77777777" w:rsidTr="00106A67">
        <w:tc>
          <w:tcPr>
            <w:tcW w:w="1515" w:type="pct"/>
            <w:shd w:val="clear" w:color="auto" w:fill="auto"/>
          </w:tcPr>
          <w:p w14:paraId="32F0A06D" w14:textId="77777777" w:rsidR="00763B9D" w:rsidRPr="00254BEE" w:rsidRDefault="00F53A48" w:rsidP="001A123D">
            <w:pPr>
              <w:pStyle w:val="Table"/>
              <w:rPr>
                <w:rFonts w:ascii="Times New Roman" w:hAnsi="Times New Roman"/>
                <w:sz w:val="22"/>
                <w:szCs w:val="22"/>
              </w:rPr>
            </w:pPr>
            <w:r w:rsidRPr="00254BEE">
              <w:rPr>
                <w:rFonts w:ascii="Times New Roman" w:hAnsi="Times New Roman"/>
                <w:sz w:val="22"/>
                <w:szCs w:val="22"/>
              </w:rPr>
              <w:t>Q4883g</w:t>
            </w:r>
          </w:p>
        </w:tc>
        <w:tc>
          <w:tcPr>
            <w:tcW w:w="844" w:type="pct"/>
            <w:shd w:val="clear" w:color="auto" w:fill="auto"/>
          </w:tcPr>
          <w:p w14:paraId="54475521" w14:textId="77777777" w:rsidR="00763B9D" w:rsidRPr="00254BEE" w:rsidRDefault="00F53A48" w:rsidP="001A123D">
            <w:pPr>
              <w:pStyle w:val="Table"/>
              <w:jc w:val="center"/>
              <w:rPr>
                <w:rFonts w:ascii="Times New Roman" w:eastAsia="PMingLiU" w:hAnsi="Times New Roman"/>
                <w:sz w:val="22"/>
                <w:szCs w:val="22"/>
                <w:lang w:eastAsia="zh-TW"/>
              </w:rPr>
            </w:pPr>
            <w:r w:rsidRPr="00254BEE">
              <w:rPr>
                <w:rFonts w:ascii="Times New Roman" w:eastAsia="PMingLiU" w:hAnsi="Times New Roman"/>
                <w:sz w:val="22"/>
                <w:szCs w:val="22"/>
                <w:lang w:eastAsia="zh-TW"/>
              </w:rPr>
              <w:t>5</w:t>
            </w:r>
          </w:p>
        </w:tc>
        <w:tc>
          <w:tcPr>
            <w:tcW w:w="1303" w:type="pct"/>
            <w:shd w:val="clear" w:color="auto" w:fill="auto"/>
          </w:tcPr>
          <w:p w14:paraId="4F99C388" w14:textId="77777777" w:rsidR="00763B9D" w:rsidRPr="00254BEE" w:rsidRDefault="004D4B98" w:rsidP="001A123D">
            <w:pPr>
              <w:pStyle w:val="Table"/>
              <w:jc w:val="center"/>
              <w:rPr>
                <w:rFonts w:ascii="Times New Roman" w:eastAsia="PMingLiU" w:hAnsi="Times New Roman"/>
                <w:sz w:val="22"/>
                <w:szCs w:val="22"/>
                <w:lang w:eastAsia="zh-TW"/>
              </w:rPr>
            </w:pPr>
            <w:r w:rsidRPr="00254BEE">
              <w:rPr>
                <w:rFonts w:ascii="Times New Roman" w:eastAsia="PMingLiU" w:hAnsi="Times New Roman"/>
                <w:sz w:val="22"/>
                <w:szCs w:val="22"/>
                <w:lang w:eastAsia="zh-TW"/>
              </w:rPr>
              <w:t>NA</w:t>
            </w:r>
          </w:p>
        </w:tc>
        <w:tc>
          <w:tcPr>
            <w:tcW w:w="1338" w:type="pct"/>
            <w:shd w:val="clear" w:color="auto" w:fill="auto"/>
          </w:tcPr>
          <w:p w14:paraId="58EF0B80" w14:textId="77777777" w:rsidR="00763B9D" w:rsidRPr="00254BEE" w:rsidRDefault="00F53A48" w:rsidP="001A123D">
            <w:pPr>
              <w:pStyle w:val="Table"/>
              <w:jc w:val="center"/>
              <w:rPr>
                <w:rFonts w:ascii="Times New Roman" w:eastAsia="PMingLiU" w:hAnsi="Times New Roman"/>
                <w:sz w:val="22"/>
                <w:szCs w:val="22"/>
                <w:lang w:eastAsia="zh-TW"/>
              </w:rPr>
            </w:pPr>
            <w:r w:rsidRPr="00254BEE">
              <w:rPr>
                <w:rFonts w:ascii="Times New Roman" w:eastAsia="PMingLiU" w:hAnsi="Times New Roman"/>
                <w:sz w:val="22"/>
                <w:szCs w:val="22"/>
                <w:lang w:eastAsia="zh-TW"/>
              </w:rPr>
              <w:t xml:space="preserve">2 </w:t>
            </w:r>
            <w:r w:rsidRPr="00254BEE">
              <w:rPr>
                <w:rFonts w:ascii="Times New Roman" w:hAnsi="Times New Roman"/>
                <w:sz w:val="22"/>
                <w:szCs w:val="22"/>
              </w:rPr>
              <w:t>(p&lt;0.0001)</w:t>
            </w:r>
          </w:p>
        </w:tc>
      </w:tr>
      <w:tr w:rsidR="00571411" w:rsidRPr="00254BEE" w14:paraId="2E329C95" w14:textId="77777777" w:rsidTr="00571411">
        <w:tc>
          <w:tcPr>
            <w:tcW w:w="5000" w:type="pct"/>
            <w:gridSpan w:val="4"/>
            <w:shd w:val="clear" w:color="auto" w:fill="auto"/>
          </w:tcPr>
          <w:p w14:paraId="3D42292E" w14:textId="77777777" w:rsidR="00571411" w:rsidRPr="00254BEE" w:rsidRDefault="00571411" w:rsidP="000A0608">
            <w:pPr>
              <w:autoSpaceDE w:val="0"/>
              <w:autoSpaceDN w:val="0"/>
              <w:adjustRightInd w:val="0"/>
              <w:rPr>
                <w:sz w:val="18"/>
                <w:szCs w:val="18"/>
                <w:lang w:val="en-US"/>
              </w:rPr>
            </w:pPr>
          </w:p>
        </w:tc>
      </w:tr>
      <w:tr w:rsidR="00045291" w:rsidRPr="00254BEE" w14:paraId="35F497C0" w14:textId="77777777" w:rsidTr="00045291">
        <w:tc>
          <w:tcPr>
            <w:tcW w:w="5000" w:type="pct"/>
            <w:gridSpan w:val="4"/>
            <w:tcBorders>
              <w:top w:val="single" w:sz="4" w:space="0" w:color="auto"/>
              <w:bottom w:val="single" w:sz="4" w:space="0" w:color="auto"/>
            </w:tcBorders>
            <w:shd w:val="clear" w:color="auto" w:fill="auto"/>
          </w:tcPr>
          <w:p w14:paraId="66ADD5EB" w14:textId="77777777" w:rsidR="00045291" w:rsidRPr="00254BEE" w:rsidRDefault="00045291" w:rsidP="00B51BE9">
            <w:pPr>
              <w:rPr>
                <w:b/>
              </w:rPr>
            </w:pPr>
            <w:r w:rsidRPr="00254BEE">
              <w:rPr>
                <w:b/>
                <w:szCs w:val="24"/>
              </w:rPr>
              <w:t>Change from baseline to week 12 in UAS7</w:t>
            </w:r>
            <w:r w:rsidR="00B51BE9" w:rsidRPr="00254BEE">
              <w:rPr>
                <w:b/>
                <w:szCs w:val="24"/>
              </w:rPr>
              <w:t xml:space="preserve"> (mean)</w:t>
            </w:r>
            <w:r w:rsidRPr="00254BEE">
              <w:rPr>
                <w:b/>
                <w:szCs w:val="24"/>
              </w:rPr>
              <w:t xml:space="preserve"> </w:t>
            </w:r>
          </w:p>
        </w:tc>
      </w:tr>
      <w:tr w:rsidR="00106A67" w:rsidRPr="00254BEE" w14:paraId="5B5E491F" w14:textId="77777777" w:rsidTr="00106A67">
        <w:tc>
          <w:tcPr>
            <w:tcW w:w="1515" w:type="pct"/>
            <w:tcBorders>
              <w:top w:val="single" w:sz="4" w:space="0" w:color="auto"/>
            </w:tcBorders>
            <w:shd w:val="clear" w:color="auto" w:fill="auto"/>
          </w:tcPr>
          <w:p w14:paraId="036E7280" w14:textId="77777777" w:rsidR="00045291" w:rsidRPr="00254BEE" w:rsidRDefault="00045291" w:rsidP="001A123D">
            <w:pPr>
              <w:pStyle w:val="Table"/>
              <w:rPr>
                <w:rFonts w:ascii="Times New Roman" w:hAnsi="Times New Roman"/>
                <w:sz w:val="22"/>
                <w:szCs w:val="22"/>
              </w:rPr>
            </w:pPr>
            <w:r w:rsidRPr="00254BEE">
              <w:rPr>
                <w:rFonts w:ascii="Times New Roman" w:hAnsi="Times New Roman"/>
                <w:sz w:val="22"/>
                <w:szCs w:val="22"/>
              </w:rPr>
              <w:t>Q4881g</w:t>
            </w:r>
          </w:p>
        </w:tc>
        <w:tc>
          <w:tcPr>
            <w:tcW w:w="844" w:type="pct"/>
            <w:tcBorders>
              <w:top w:val="single" w:sz="4" w:space="0" w:color="auto"/>
            </w:tcBorders>
            <w:shd w:val="clear" w:color="auto" w:fill="auto"/>
          </w:tcPr>
          <w:p w14:paraId="3F2B527F" w14:textId="77777777" w:rsidR="00045291" w:rsidRPr="00254BEE" w:rsidRDefault="00106A67" w:rsidP="00106A67">
            <w:pPr>
              <w:pStyle w:val="Table"/>
              <w:jc w:val="center"/>
              <w:rPr>
                <w:rFonts w:ascii="Times New Roman" w:hAnsi="Times New Roman"/>
                <w:sz w:val="22"/>
                <w:szCs w:val="22"/>
              </w:rPr>
            </w:pPr>
            <w:r w:rsidRPr="00254BEE">
              <w:rPr>
                <w:rFonts w:ascii="Times New Roman" w:hAnsi="Times New Roman"/>
                <w:sz w:val="22"/>
                <w:szCs w:val="22"/>
              </w:rPr>
              <w:t>-8.01</w:t>
            </w:r>
          </w:p>
        </w:tc>
        <w:tc>
          <w:tcPr>
            <w:tcW w:w="1303" w:type="pct"/>
            <w:tcBorders>
              <w:top w:val="single" w:sz="4" w:space="0" w:color="auto"/>
            </w:tcBorders>
            <w:shd w:val="clear" w:color="auto" w:fill="auto"/>
          </w:tcPr>
          <w:p w14:paraId="7C089C3D" w14:textId="77777777" w:rsidR="00045291" w:rsidRPr="00254BEE" w:rsidRDefault="00106A67" w:rsidP="00106A67">
            <w:pPr>
              <w:pStyle w:val="Table"/>
              <w:jc w:val="center"/>
              <w:rPr>
                <w:rFonts w:ascii="Times New Roman" w:hAnsi="Times New Roman"/>
                <w:sz w:val="22"/>
                <w:szCs w:val="22"/>
              </w:rPr>
            </w:pPr>
            <w:r w:rsidRPr="00254BEE">
              <w:rPr>
                <w:rFonts w:ascii="Times New Roman" w:hAnsi="Times New Roman"/>
                <w:sz w:val="22"/>
                <w:szCs w:val="22"/>
              </w:rPr>
              <w:t xml:space="preserve">-14.44 </w:t>
            </w:r>
            <w:r w:rsidR="00045291" w:rsidRPr="00254BEE">
              <w:rPr>
                <w:rFonts w:ascii="Times New Roman" w:hAnsi="Times New Roman"/>
                <w:sz w:val="22"/>
                <w:szCs w:val="22"/>
              </w:rPr>
              <w:t>(p = 0.000</w:t>
            </w:r>
            <w:r w:rsidRPr="00254BEE">
              <w:rPr>
                <w:rFonts w:ascii="Times New Roman" w:hAnsi="Times New Roman"/>
                <w:sz w:val="22"/>
                <w:szCs w:val="22"/>
              </w:rPr>
              <w:t>8</w:t>
            </w:r>
            <w:r w:rsidR="00045291" w:rsidRPr="00254BEE">
              <w:rPr>
                <w:rFonts w:ascii="Times New Roman" w:hAnsi="Times New Roman"/>
                <w:sz w:val="22"/>
                <w:szCs w:val="22"/>
              </w:rPr>
              <w:t>)</w:t>
            </w:r>
          </w:p>
        </w:tc>
        <w:tc>
          <w:tcPr>
            <w:tcW w:w="1338" w:type="pct"/>
            <w:tcBorders>
              <w:top w:val="single" w:sz="4" w:space="0" w:color="auto"/>
            </w:tcBorders>
            <w:shd w:val="clear" w:color="auto" w:fill="auto"/>
          </w:tcPr>
          <w:p w14:paraId="715EC2A6" w14:textId="77777777" w:rsidR="00045291" w:rsidRPr="00254BEE" w:rsidRDefault="00106A67" w:rsidP="00106A67">
            <w:pPr>
              <w:pStyle w:val="Table"/>
              <w:jc w:val="center"/>
              <w:rPr>
                <w:rFonts w:ascii="Times New Roman" w:hAnsi="Times New Roman"/>
                <w:sz w:val="22"/>
                <w:szCs w:val="22"/>
              </w:rPr>
            </w:pPr>
            <w:r w:rsidRPr="00254BEE">
              <w:rPr>
                <w:rFonts w:ascii="Times New Roman" w:hAnsi="Times New Roman"/>
                <w:sz w:val="22"/>
                <w:szCs w:val="22"/>
              </w:rPr>
              <w:t xml:space="preserve">-20.75 </w:t>
            </w:r>
            <w:r w:rsidR="00045291" w:rsidRPr="00254BEE">
              <w:rPr>
                <w:rFonts w:ascii="Times New Roman" w:hAnsi="Times New Roman"/>
                <w:sz w:val="22"/>
                <w:szCs w:val="22"/>
              </w:rPr>
              <w:t>(p&lt;0.0001)</w:t>
            </w:r>
          </w:p>
        </w:tc>
      </w:tr>
      <w:tr w:rsidR="00106A67" w:rsidRPr="00254BEE" w14:paraId="2E7D6C6F" w14:textId="77777777" w:rsidTr="00106A67">
        <w:tc>
          <w:tcPr>
            <w:tcW w:w="1515" w:type="pct"/>
            <w:shd w:val="clear" w:color="auto" w:fill="auto"/>
          </w:tcPr>
          <w:p w14:paraId="4B281CFA" w14:textId="77777777" w:rsidR="00045291" w:rsidRPr="00254BEE" w:rsidRDefault="00045291" w:rsidP="001A123D">
            <w:pPr>
              <w:pStyle w:val="Table"/>
              <w:rPr>
                <w:rFonts w:ascii="Times New Roman" w:hAnsi="Times New Roman"/>
                <w:sz w:val="22"/>
                <w:szCs w:val="22"/>
              </w:rPr>
            </w:pPr>
            <w:r w:rsidRPr="00254BEE">
              <w:rPr>
                <w:rFonts w:ascii="Times New Roman" w:hAnsi="Times New Roman"/>
                <w:sz w:val="22"/>
                <w:szCs w:val="22"/>
              </w:rPr>
              <w:t>Q4882g</w:t>
            </w:r>
          </w:p>
        </w:tc>
        <w:tc>
          <w:tcPr>
            <w:tcW w:w="844" w:type="pct"/>
            <w:shd w:val="clear" w:color="auto" w:fill="auto"/>
          </w:tcPr>
          <w:p w14:paraId="5CEC802E" w14:textId="77777777" w:rsidR="00045291" w:rsidRPr="00254BEE" w:rsidRDefault="00106A67" w:rsidP="00106A67">
            <w:pPr>
              <w:pStyle w:val="Table"/>
              <w:jc w:val="center"/>
              <w:rPr>
                <w:rFonts w:ascii="Times New Roman" w:eastAsia="PMingLiU" w:hAnsi="Times New Roman"/>
                <w:sz w:val="22"/>
                <w:szCs w:val="22"/>
                <w:lang w:eastAsia="zh-TW"/>
              </w:rPr>
            </w:pPr>
            <w:r w:rsidRPr="00254BEE">
              <w:rPr>
                <w:rFonts w:ascii="Times New Roman" w:eastAsia="PMingLiU" w:hAnsi="Times New Roman"/>
                <w:sz w:val="22"/>
                <w:szCs w:val="22"/>
                <w:lang w:eastAsia="zh-TW"/>
              </w:rPr>
              <w:t>-10.36</w:t>
            </w:r>
          </w:p>
        </w:tc>
        <w:tc>
          <w:tcPr>
            <w:tcW w:w="1303" w:type="pct"/>
            <w:shd w:val="clear" w:color="auto" w:fill="auto"/>
          </w:tcPr>
          <w:p w14:paraId="77FE4AFC" w14:textId="77777777" w:rsidR="00045291" w:rsidRPr="00254BEE" w:rsidRDefault="00106A67" w:rsidP="00106A67">
            <w:pPr>
              <w:pStyle w:val="Table"/>
              <w:jc w:val="center"/>
              <w:rPr>
                <w:rFonts w:ascii="Times New Roman" w:hAnsi="Times New Roman"/>
                <w:sz w:val="22"/>
                <w:szCs w:val="22"/>
              </w:rPr>
            </w:pPr>
            <w:r w:rsidRPr="00254BEE">
              <w:rPr>
                <w:rFonts w:ascii="Times New Roman" w:hAnsi="Times New Roman"/>
                <w:sz w:val="22"/>
                <w:szCs w:val="22"/>
              </w:rPr>
              <w:t xml:space="preserve">-17.89 </w:t>
            </w:r>
            <w:r w:rsidR="00045291" w:rsidRPr="00254BEE">
              <w:rPr>
                <w:rFonts w:ascii="Times New Roman" w:hAnsi="Times New Roman"/>
                <w:sz w:val="22"/>
                <w:szCs w:val="22"/>
              </w:rPr>
              <w:t>(p = 0.000</w:t>
            </w:r>
            <w:r w:rsidRPr="00254BEE">
              <w:rPr>
                <w:rFonts w:ascii="Times New Roman" w:hAnsi="Times New Roman"/>
                <w:sz w:val="22"/>
                <w:szCs w:val="22"/>
              </w:rPr>
              <w:t>1</w:t>
            </w:r>
            <w:r w:rsidR="00045291" w:rsidRPr="00254BEE">
              <w:rPr>
                <w:rFonts w:ascii="Times New Roman" w:hAnsi="Times New Roman"/>
                <w:sz w:val="22"/>
                <w:szCs w:val="22"/>
              </w:rPr>
              <w:t>)</w:t>
            </w:r>
          </w:p>
        </w:tc>
        <w:tc>
          <w:tcPr>
            <w:tcW w:w="1338" w:type="pct"/>
            <w:shd w:val="clear" w:color="auto" w:fill="auto"/>
          </w:tcPr>
          <w:p w14:paraId="718FA36C" w14:textId="77777777" w:rsidR="00045291" w:rsidRPr="00254BEE" w:rsidRDefault="00106A67" w:rsidP="00106A67">
            <w:pPr>
              <w:pStyle w:val="Table"/>
              <w:jc w:val="center"/>
              <w:rPr>
                <w:rFonts w:ascii="Times New Roman" w:eastAsia="PMingLiU" w:hAnsi="Times New Roman"/>
                <w:sz w:val="22"/>
                <w:szCs w:val="22"/>
                <w:lang w:eastAsia="zh-TW"/>
              </w:rPr>
            </w:pPr>
            <w:r w:rsidRPr="00254BEE">
              <w:rPr>
                <w:rFonts w:ascii="Times New Roman" w:hAnsi="Times New Roman"/>
                <w:sz w:val="22"/>
                <w:szCs w:val="22"/>
              </w:rPr>
              <w:t xml:space="preserve">-21.74 </w:t>
            </w:r>
            <w:r w:rsidR="00045291" w:rsidRPr="00254BEE">
              <w:rPr>
                <w:rFonts w:ascii="Times New Roman" w:hAnsi="Times New Roman"/>
                <w:sz w:val="22"/>
                <w:szCs w:val="22"/>
              </w:rPr>
              <w:t>(p&lt;0.0001)</w:t>
            </w:r>
          </w:p>
        </w:tc>
      </w:tr>
      <w:tr w:rsidR="004D4B98" w:rsidRPr="00254BEE" w14:paraId="3566AA73" w14:textId="77777777" w:rsidTr="00106A67">
        <w:tc>
          <w:tcPr>
            <w:tcW w:w="1515" w:type="pct"/>
            <w:shd w:val="clear" w:color="auto" w:fill="auto"/>
          </w:tcPr>
          <w:p w14:paraId="1CB59E17" w14:textId="77777777" w:rsidR="004D4B98" w:rsidRPr="00254BEE" w:rsidRDefault="004D4B98" w:rsidP="001A123D">
            <w:pPr>
              <w:pStyle w:val="Table"/>
              <w:rPr>
                <w:rFonts w:ascii="Times New Roman" w:hAnsi="Times New Roman"/>
                <w:sz w:val="22"/>
                <w:szCs w:val="22"/>
              </w:rPr>
            </w:pPr>
            <w:r w:rsidRPr="00254BEE">
              <w:rPr>
                <w:rFonts w:ascii="Times New Roman" w:hAnsi="Times New Roman"/>
                <w:sz w:val="22"/>
                <w:szCs w:val="22"/>
              </w:rPr>
              <w:t>Q4883g</w:t>
            </w:r>
          </w:p>
        </w:tc>
        <w:tc>
          <w:tcPr>
            <w:tcW w:w="844" w:type="pct"/>
            <w:shd w:val="clear" w:color="auto" w:fill="auto"/>
          </w:tcPr>
          <w:p w14:paraId="7E7EA1EE" w14:textId="77777777" w:rsidR="004D4B98" w:rsidRPr="00254BEE" w:rsidRDefault="004D4B98" w:rsidP="001A123D">
            <w:pPr>
              <w:pStyle w:val="Table"/>
              <w:jc w:val="center"/>
              <w:rPr>
                <w:rFonts w:ascii="Times New Roman" w:eastAsia="PMingLiU" w:hAnsi="Times New Roman"/>
                <w:sz w:val="22"/>
                <w:szCs w:val="22"/>
                <w:lang w:eastAsia="zh-TW"/>
              </w:rPr>
            </w:pPr>
            <w:r w:rsidRPr="00254BEE">
              <w:rPr>
                <w:rFonts w:ascii="Times New Roman" w:eastAsia="PMingLiU" w:hAnsi="Times New Roman"/>
                <w:sz w:val="22"/>
                <w:szCs w:val="22"/>
                <w:lang w:eastAsia="zh-TW"/>
              </w:rPr>
              <w:t>-8.50</w:t>
            </w:r>
          </w:p>
        </w:tc>
        <w:tc>
          <w:tcPr>
            <w:tcW w:w="1303" w:type="pct"/>
            <w:shd w:val="clear" w:color="auto" w:fill="auto"/>
          </w:tcPr>
          <w:p w14:paraId="5B1735E6" w14:textId="77777777" w:rsidR="004D4B98" w:rsidRPr="00254BEE" w:rsidRDefault="004D4B98" w:rsidP="001A123D">
            <w:pPr>
              <w:pStyle w:val="Table"/>
              <w:jc w:val="center"/>
              <w:rPr>
                <w:rFonts w:ascii="Times New Roman" w:hAnsi="Times New Roman"/>
                <w:sz w:val="22"/>
                <w:szCs w:val="22"/>
              </w:rPr>
            </w:pPr>
            <w:r w:rsidRPr="00254BEE">
              <w:rPr>
                <w:rFonts w:ascii="Times New Roman" w:eastAsia="PMingLiU" w:hAnsi="Times New Roman"/>
                <w:sz w:val="22"/>
                <w:szCs w:val="22"/>
                <w:lang w:eastAsia="zh-TW"/>
              </w:rPr>
              <w:t>NA</w:t>
            </w:r>
          </w:p>
        </w:tc>
        <w:tc>
          <w:tcPr>
            <w:tcW w:w="1338" w:type="pct"/>
            <w:shd w:val="clear" w:color="auto" w:fill="auto"/>
          </w:tcPr>
          <w:p w14:paraId="247B9DEF" w14:textId="77777777" w:rsidR="004D4B98" w:rsidRPr="00254BEE" w:rsidRDefault="004D4B98" w:rsidP="001A123D">
            <w:pPr>
              <w:pStyle w:val="Table"/>
              <w:jc w:val="center"/>
              <w:rPr>
                <w:rFonts w:ascii="Times New Roman" w:hAnsi="Times New Roman"/>
                <w:sz w:val="22"/>
                <w:szCs w:val="22"/>
              </w:rPr>
            </w:pPr>
            <w:r w:rsidRPr="00254BEE">
              <w:rPr>
                <w:rFonts w:ascii="Times New Roman" w:hAnsi="Times New Roman"/>
                <w:sz w:val="22"/>
                <w:szCs w:val="22"/>
              </w:rPr>
              <w:t>-19.01 (p&lt;0.0001)</w:t>
            </w:r>
          </w:p>
        </w:tc>
      </w:tr>
      <w:tr w:rsidR="004D4B98" w:rsidRPr="00254BEE" w14:paraId="37CDDBC4" w14:textId="77777777" w:rsidTr="00106A67">
        <w:tc>
          <w:tcPr>
            <w:tcW w:w="1515" w:type="pct"/>
            <w:tcBorders>
              <w:bottom w:val="single" w:sz="4" w:space="0" w:color="auto"/>
            </w:tcBorders>
            <w:shd w:val="clear" w:color="auto" w:fill="auto"/>
          </w:tcPr>
          <w:p w14:paraId="3EA5C256" w14:textId="77777777" w:rsidR="004D4B98" w:rsidRPr="00254BEE" w:rsidRDefault="004D4B98" w:rsidP="001A123D">
            <w:pPr>
              <w:pStyle w:val="Table"/>
              <w:rPr>
                <w:rFonts w:ascii="Times New Roman" w:hAnsi="Times New Roman"/>
                <w:sz w:val="22"/>
                <w:szCs w:val="22"/>
              </w:rPr>
            </w:pPr>
          </w:p>
        </w:tc>
        <w:tc>
          <w:tcPr>
            <w:tcW w:w="844" w:type="pct"/>
            <w:tcBorders>
              <w:bottom w:val="single" w:sz="4" w:space="0" w:color="auto"/>
            </w:tcBorders>
            <w:shd w:val="clear" w:color="auto" w:fill="auto"/>
          </w:tcPr>
          <w:p w14:paraId="781D3ECC" w14:textId="77777777" w:rsidR="004D4B98" w:rsidRPr="00254BEE" w:rsidRDefault="004D4B98" w:rsidP="001A123D">
            <w:pPr>
              <w:pStyle w:val="Table"/>
              <w:jc w:val="center"/>
              <w:rPr>
                <w:rFonts w:ascii="Times New Roman" w:hAnsi="Times New Roman"/>
                <w:sz w:val="22"/>
                <w:szCs w:val="22"/>
              </w:rPr>
            </w:pPr>
          </w:p>
        </w:tc>
        <w:tc>
          <w:tcPr>
            <w:tcW w:w="1303" w:type="pct"/>
            <w:tcBorders>
              <w:bottom w:val="single" w:sz="4" w:space="0" w:color="auto"/>
            </w:tcBorders>
            <w:shd w:val="clear" w:color="auto" w:fill="auto"/>
          </w:tcPr>
          <w:p w14:paraId="14FF04FC" w14:textId="77777777" w:rsidR="004D4B98" w:rsidRPr="00254BEE" w:rsidRDefault="004D4B98" w:rsidP="001A123D">
            <w:pPr>
              <w:pStyle w:val="Table"/>
              <w:jc w:val="center"/>
              <w:rPr>
                <w:rFonts w:ascii="Times New Roman" w:hAnsi="Times New Roman"/>
                <w:sz w:val="22"/>
                <w:szCs w:val="22"/>
              </w:rPr>
            </w:pPr>
          </w:p>
        </w:tc>
        <w:tc>
          <w:tcPr>
            <w:tcW w:w="1338" w:type="pct"/>
            <w:tcBorders>
              <w:bottom w:val="single" w:sz="4" w:space="0" w:color="auto"/>
            </w:tcBorders>
            <w:shd w:val="clear" w:color="auto" w:fill="auto"/>
          </w:tcPr>
          <w:p w14:paraId="166EE82E" w14:textId="77777777" w:rsidR="004D4B98" w:rsidRPr="00254BEE" w:rsidRDefault="004D4B98" w:rsidP="001A123D">
            <w:pPr>
              <w:pStyle w:val="Table"/>
              <w:jc w:val="center"/>
              <w:rPr>
                <w:rFonts w:ascii="Times New Roman" w:hAnsi="Times New Roman"/>
                <w:sz w:val="22"/>
                <w:szCs w:val="22"/>
              </w:rPr>
            </w:pPr>
          </w:p>
        </w:tc>
      </w:tr>
      <w:tr w:rsidR="004D4B98" w:rsidRPr="00254BEE" w14:paraId="6E929B02" w14:textId="77777777" w:rsidTr="001A123D">
        <w:tc>
          <w:tcPr>
            <w:tcW w:w="5000" w:type="pct"/>
            <w:gridSpan w:val="4"/>
            <w:tcBorders>
              <w:top w:val="single" w:sz="4" w:space="0" w:color="auto"/>
              <w:bottom w:val="single" w:sz="4" w:space="0" w:color="auto"/>
            </w:tcBorders>
            <w:shd w:val="clear" w:color="auto" w:fill="auto"/>
          </w:tcPr>
          <w:p w14:paraId="6F74CABD" w14:textId="77777777" w:rsidR="004D4B98" w:rsidRPr="00254BEE" w:rsidRDefault="004D4B98" w:rsidP="00E32FB5">
            <w:pPr>
              <w:rPr>
                <w:b/>
                <w:lang w:val="en-US"/>
              </w:rPr>
            </w:pPr>
            <w:r w:rsidRPr="00254BEE">
              <w:rPr>
                <w:b/>
                <w:lang w:val="en-US"/>
              </w:rPr>
              <w:t>Changes from baseline in the weekly number of hives score at week 12 (mean)</w:t>
            </w:r>
          </w:p>
        </w:tc>
      </w:tr>
      <w:tr w:rsidR="004D4B98" w:rsidRPr="00254BEE" w14:paraId="01F385E6" w14:textId="77777777" w:rsidTr="001A123D">
        <w:tc>
          <w:tcPr>
            <w:tcW w:w="1515" w:type="pct"/>
            <w:tcBorders>
              <w:top w:val="single" w:sz="4" w:space="0" w:color="auto"/>
            </w:tcBorders>
            <w:shd w:val="clear" w:color="auto" w:fill="auto"/>
          </w:tcPr>
          <w:p w14:paraId="0951A0BA" w14:textId="77777777" w:rsidR="004D4B98" w:rsidRPr="00254BEE" w:rsidRDefault="004D4B98" w:rsidP="001A123D">
            <w:pPr>
              <w:pStyle w:val="Table"/>
              <w:rPr>
                <w:rFonts w:ascii="Times New Roman" w:hAnsi="Times New Roman"/>
                <w:sz w:val="22"/>
                <w:szCs w:val="22"/>
              </w:rPr>
            </w:pPr>
            <w:r w:rsidRPr="00254BEE">
              <w:rPr>
                <w:rFonts w:ascii="Times New Roman" w:hAnsi="Times New Roman"/>
                <w:sz w:val="22"/>
                <w:szCs w:val="22"/>
              </w:rPr>
              <w:t>Q4881g</w:t>
            </w:r>
          </w:p>
        </w:tc>
        <w:tc>
          <w:tcPr>
            <w:tcW w:w="844" w:type="pct"/>
            <w:tcBorders>
              <w:top w:val="single" w:sz="4" w:space="0" w:color="auto"/>
            </w:tcBorders>
            <w:shd w:val="clear" w:color="auto" w:fill="auto"/>
          </w:tcPr>
          <w:p w14:paraId="1B8FC2EF" w14:textId="77777777" w:rsidR="004D4B98" w:rsidRPr="00254BEE" w:rsidRDefault="004D4B98" w:rsidP="001A123D">
            <w:pPr>
              <w:pStyle w:val="Table"/>
              <w:jc w:val="center"/>
              <w:rPr>
                <w:rFonts w:ascii="Times New Roman" w:hAnsi="Times New Roman"/>
                <w:sz w:val="22"/>
                <w:szCs w:val="22"/>
              </w:rPr>
            </w:pPr>
            <w:r w:rsidRPr="00254BEE">
              <w:rPr>
                <w:rFonts w:ascii="Times New Roman" w:hAnsi="Times New Roman"/>
                <w:sz w:val="22"/>
                <w:szCs w:val="22"/>
              </w:rPr>
              <w:t>-4.37</w:t>
            </w:r>
          </w:p>
        </w:tc>
        <w:tc>
          <w:tcPr>
            <w:tcW w:w="1303" w:type="pct"/>
            <w:tcBorders>
              <w:top w:val="single" w:sz="4" w:space="0" w:color="auto"/>
            </w:tcBorders>
            <w:shd w:val="clear" w:color="auto" w:fill="auto"/>
          </w:tcPr>
          <w:p w14:paraId="7536099C" w14:textId="77777777" w:rsidR="004D4B98" w:rsidRPr="00254BEE" w:rsidRDefault="004D4B98" w:rsidP="001C49B5">
            <w:pPr>
              <w:pStyle w:val="Table"/>
              <w:jc w:val="center"/>
              <w:rPr>
                <w:rFonts w:ascii="Times New Roman" w:hAnsi="Times New Roman"/>
                <w:sz w:val="22"/>
                <w:szCs w:val="22"/>
              </w:rPr>
            </w:pPr>
            <w:r w:rsidRPr="00254BEE">
              <w:rPr>
                <w:rFonts w:ascii="Times New Roman" w:hAnsi="Times New Roman"/>
                <w:sz w:val="22"/>
                <w:szCs w:val="22"/>
              </w:rPr>
              <w:t>-7.78 (p=0.0017)</w:t>
            </w:r>
          </w:p>
        </w:tc>
        <w:tc>
          <w:tcPr>
            <w:tcW w:w="1338" w:type="pct"/>
            <w:tcBorders>
              <w:top w:val="single" w:sz="4" w:space="0" w:color="auto"/>
            </w:tcBorders>
            <w:shd w:val="clear" w:color="auto" w:fill="auto"/>
          </w:tcPr>
          <w:p w14:paraId="351BAE1E" w14:textId="77777777" w:rsidR="004D4B98" w:rsidRPr="00254BEE" w:rsidRDefault="004D4B98" w:rsidP="001A123D">
            <w:pPr>
              <w:pStyle w:val="Table"/>
              <w:jc w:val="center"/>
              <w:rPr>
                <w:rFonts w:ascii="Times New Roman" w:hAnsi="Times New Roman"/>
                <w:sz w:val="22"/>
                <w:szCs w:val="22"/>
              </w:rPr>
            </w:pPr>
            <w:r w:rsidRPr="00254BEE">
              <w:rPr>
                <w:rFonts w:ascii="Times New Roman" w:hAnsi="Times New Roman"/>
                <w:sz w:val="22"/>
                <w:szCs w:val="22"/>
              </w:rPr>
              <w:t>-11.35 (p&lt;0.0001)</w:t>
            </w:r>
          </w:p>
        </w:tc>
      </w:tr>
      <w:tr w:rsidR="004D4B98" w:rsidRPr="00254BEE" w14:paraId="696E0B73" w14:textId="77777777" w:rsidTr="001A123D">
        <w:tc>
          <w:tcPr>
            <w:tcW w:w="1515" w:type="pct"/>
            <w:shd w:val="clear" w:color="auto" w:fill="auto"/>
          </w:tcPr>
          <w:p w14:paraId="76648997" w14:textId="77777777" w:rsidR="004D4B98" w:rsidRPr="00254BEE" w:rsidRDefault="004D4B98" w:rsidP="001A123D">
            <w:pPr>
              <w:pStyle w:val="Table"/>
              <w:rPr>
                <w:rFonts w:ascii="Times New Roman" w:hAnsi="Times New Roman"/>
                <w:sz w:val="22"/>
                <w:szCs w:val="22"/>
              </w:rPr>
            </w:pPr>
            <w:r w:rsidRPr="00254BEE">
              <w:rPr>
                <w:rFonts w:ascii="Times New Roman" w:hAnsi="Times New Roman"/>
                <w:sz w:val="22"/>
                <w:szCs w:val="22"/>
              </w:rPr>
              <w:t>Q4882g</w:t>
            </w:r>
          </w:p>
        </w:tc>
        <w:tc>
          <w:tcPr>
            <w:tcW w:w="844" w:type="pct"/>
            <w:shd w:val="clear" w:color="auto" w:fill="auto"/>
          </w:tcPr>
          <w:p w14:paraId="09FF592D" w14:textId="77777777" w:rsidR="004D4B98" w:rsidRPr="00254BEE" w:rsidRDefault="004D4B98" w:rsidP="001A123D">
            <w:pPr>
              <w:pStyle w:val="Table"/>
              <w:jc w:val="center"/>
              <w:rPr>
                <w:rFonts w:ascii="Times New Roman" w:eastAsia="PMingLiU" w:hAnsi="Times New Roman"/>
                <w:sz w:val="22"/>
                <w:szCs w:val="22"/>
                <w:lang w:eastAsia="zh-TW"/>
              </w:rPr>
            </w:pPr>
            <w:r w:rsidRPr="00254BEE">
              <w:rPr>
                <w:rFonts w:ascii="Times New Roman" w:eastAsia="PMingLiU" w:hAnsi="Times New Roman"/>
                <w:sz w:val="22"/>
                <w:szCs w:val="22"/>
                <w:lang w:eastAsia="zh-TW"/>
              </w:rPr>
              <w:t>-5.22</w:t>
            </w:r>
          </w:p>
        </w:tc>
        <w:tc>
          <w:tcPr>
            <w:tcW w:w="1303" w:type="pct"/>
            <w:shd w:val="clear" w:color="auto" w:fill="auto"/>
          </w:tcPr>
          <w:p w14:paraId="240CCC5F" w14:textId="77777777" w:rsidR="004D4B98" w:rsidRPr="00254BEE" w:rsidRDefault="004D4B98" w:rsidP="001A123D">
            <w:pPr>
              <w:pStyle w:val="Table"/>
              <w:jc w:val="center"/>
              <w:rPr>
                <w:rFonts w:ascii="Times New Roman" w:hAnsi="Times New Roman"/>
                <w:sz w:val="22"/>
                <w:szCs w:val="22"/>
              </w:rPr>
            </w:pPr>
            <w:r w:rsidRPr="00254BEE">
              <w:rPr>
                <w:rFonts w:ascii="Times New Roman" w:hAnsi="Times New Roman"/>
                <w:sz w:val="22"/>
                <w:szCs w:val="22"/>
              </w:rPr>
              <w:t>-9.75 (p&lt;0.0001)</w:t>
            </w:r>
          </w:p>
        </w:tc>
        <w:tc>
          <w:tcPr>
            <w:tcW w:w="1338" w:type="pct"/>
            <w:shd w:val="clear" w:color="auto" w:fill="auto"/>
          </w:tcPr>
          <w:p w14:paraId="1A0914C2" w14:textId="77777777" w:rsidR="004D4B98" w:rsidRPr="00254BEE" w:rsidRDefault="004D4B98" w:rsidP="001A123D">
            <w:pPr>
              <w:pStyle w:val="Table"/>
              <w:jc w:val="center"/>
              <w:rPr>
                <w:rFonts w:ascii="Times New Roman" w:eastAsia="PMingLiU" w:hAnsi="Times New Roman"/>
                <w:sz w:val="22"/>
                <w:szCs w:val="22"/>
                <w:lang w:eastAsia="zh-TW"/>
              </w:rPr>
            </w:pPr>
            <w:r w:rsidRPr="00254BEE">
              <w:rPr>
                <w:rFonts w:ascii="Times New Roman" w:eastAsia="PMingLiU" w:hAnsi="Times New Roman"/>
                <w:sz w:val="22"/>
                <w:szCs w:val="22"/>
                <w:lang w:eastAsia="zh-TW"/>
              </w:rPr>
              <w:t xml:space="preserve">-11.97 </w:t>
            </w:r>
            <w:r w:rsidRPr="00254BEE">
              <w:rPr>
                <w:rFonts w:ascii="Times New Roman" w:hAnsi="Times New Roman"/>
                <w:sz w:val="22"/>
                <w:szCs w:val="22"/>
              </w:rPr>
              <w:t>(p&lt;0.0001)</w:t>
            </w:r>
          </w:p>
        </w:tc>
      </w:tr>
      <w:tr w:rsidR="004D4B98" w:rsidRPr="00254BEE" w14:paraId="275F9607" w14:textId="77777777" w:rsidTr="001A123D">
        <w:tc>
          <w:tcPr>
            <w:tcW w:w="1515" w:type="pct"/>
            <w:shd w:val="clear" w:color="auto" w:fill="auto"/>
          </w:tcPr>
          <w:p w14:paraId="3DBA24BA" w14:textId="77777777" w:rsidR="004D4B98" w:rsidRPr="00254BEE" w:rsidRDefault="004D4B98" w:rsidP="001A123D">
            <w:pPr>
              <w:pStyle w:val="Table"/>
              <w:rPr>
                <w:rFonts w:ascii="Times New Roman" w:hAnsi="Times New Roman"/>
                <w:sz w:val="22"/>
                <w:szCs w:val="22"/>
              </w:rPr>
            </w:pPr>
            <w:r w:rsidRPr="00254BEE">
              <w:rPr>
                <w:rFonts w:ascii="Times New Roman" w:hAnsi="Times New Roman"/>
                <w:sz w:val="22"/>
                <w:szCs w:val="22"/>
              </w:rPr>
              <w:t>Q4883g</w:t>
            </w:r>
          </w:p>
        </w:tc>
        <w:tc>
          <w:tcPr>
            <w:tcW w:w="844" w:type="pct"/>
            <w:shd w:val="clear" w:color="auto" w:fill="auto"/>
          </w:tcPr>
          <w:p w14:paraId="291FC744" w14:textId="77777777" w:rsidR="004D4B98" w:rsidRPr="00254BEE" w:rsidRDefault="004D4B98" w:rsidP="001A123D">
            <w:pPr>
              <w:pStyle w:val="Table"/>
              <w:jc w:val="center"/>
              <w:rPr>
                <w:rFonts w:ascii="Times New Roman" w:eastAsia="PMingLiU" w:hAnsi="Times New Roman"/>
                <w:sz w:val="22"/>
                <w:szCs w:val="22"/>
                <w:lang w:eastAsia="zh-TW"/>
              </w:rPr>
            </w:pPr>
            <w:r w:rsidRPr="00254BEE">
              <w:rPr>
                <w:rFonts w:ascii="Times New Roman" w:eastAsia="PMingLiU" w:hAnsi="Times New Roman"/>
                <w:sz w:val="22"/>
                <w:szCs w:val="22"/>
                <w:lang w:eastAsia="zh-TW"/>
              </w:rPr>
              <w:t>-4.49</w:t>
            </w:r>
          </w:p>
        </w:tc>
        <w:tc>
          <w:tcPr>
            <w:tcW w:w="1303" w:type="pct"/>
            <w:shd w:val="clear" w:color="auto" w:fill="auto"/>
          </w:tcPr>
          <w:p w14:paraId="432C516C" w14:textId="77777777" w:rsidR="004D4B98" w:rsidRPr="00254BEE" w:rsidRDefault="004D4B98" w:rsidP="001A123D">
            <w:pPr>
              <w:pStyle w:val="Table"/>
              <w:jc w:val="center"/>
              <w:rPr>
                <w:rFonts w:ascii="Times New Roman" w:hAnsi="Times New Roman"/>
                <w:sz w:val="22"/>
                <w:szCs w:val="22"/>
              </w:rPr>
            </w:pPr>
            <w:r w:rsidRPr="00254BEE">
              <w:rPr>
                <w:rFonts w:ascii="Times New Roman" w:eastAsia="PMingLiU" w:hAnsi="Times New Roman"/>
                <w:sz w:val="22"/>
                <w:szCs w:val="22"/>
                <w:lang w:eastAsia="zh-TW"/>
              </w:rPr>
              <w:t>NA</w:t>
            </w:r>
          </w:p>
        </w:tc>
        <w:tc>
          <w:tcPr>
            <w:tcW w:w="1338" w:type="pct"/>
            <w:shd w:val="clear" w:color="auto" w:fill="auto"/>
          </w:tcPr>
          <w:p w14:paraId="163C6E49" w14:textId="77777777" w:rsidR="004D4B98" w:rsidRPr="00254BEE" w:rsidRDefault="004D4B98" w:rsidP="001A123D">
            <w:pPr>
              <w:pStyle w:val="Table"/>
              <w:jc w:val="center"/>
              <w:rPr>
                <w:rFonts w:ascii="Times New Roman" w:hAnsi="Times New Roman"/>
                <w:sz w:val="22"/>
                <w:szCs w:val="22"/>
              </w:rPr>
            </w:pPr>
            <w:r w:rsidRPr="00254BEE">
              <w:rPr>
                <w:rFonts w:ascii="Times New Roman" w:hAnsi="Times New Roman"/>
                <w:sz w:val="22"/>
                <w:szCs w:val="22"/>
              </w:rPr>
              <w:t>-10.46 (p&lt;0.0001)</w:t>
            </w:r>
          </w:p>
        </w:tc>
      </w:tr>
      <w:tr w:rsidR="004D4B98" w:rsidRPr="00254BEE" w14:paraId="6042CCE2" w14:textId="77777777" w:rsidTr="00945F73">
        <w:tc>
          <w:tcPr>
            <w:tcW w:w="5000" w:type="pct"/>
            <w:gridSpan w:val="4"/>
            <w:tcBorders>
              <w:top w:val="single" w:sz="4" w:space="0" w:color="auto"/>
              <w:bottom w:val="single" w:sz="4" w:space="0" w:color="auto"/>
            </w:tcBorders>
            <w:shd w:val="clear" w:color="auto" w:fill="auto"/>
          </w:tcPr>
          <w:p w14:paraId="190B442A" w14:textId="77777777" w:rsidR="004D4B98" w:rsidRPr="00254BEE" w:rsidRDefault="004D4B98" w:rsidP="00E32FB5">
            <w:pPr>
              <w:rPr>
                <w:b/>
              </w:rPr>
            </w:pPr>
            <w:r w:rsidRPr="00254BEE">
              <w:rPr>
                <w:b/>
              </w:rPr>
              <w:t>Change from baseline to week 12 in overall Dermatology Life Quality Index (DLQI) (mean)</w:t>
            </w:r>
          </w:p>
        </w:tc>
      </w:tr>
      <w:tr w:rsidR="004D4B98" w:rsidRPr="00254BEE" w14:paraId="3E1B8755" w14:textId="77777777" w:rsidTr="00945F73">
        <w:tc>
          <w:tcPr>
            <w:tcW w:w="1515" w:type="pct"/>
            <w:tcBorders>
              <w:top w:val="single" w:sz="4" w:space="0" w:color="auto"/>
            </w:tcBorders>
            <w:shd w:val="clear" w:color="auto" w:fill="auto"/>
          </w:tcPr>
          <w:p w14:paraId="7DBADAD5" w14:textId="77777777" w:rsidR="004D4B98" w:rsidRPr="00254BEE" w:rsidRDefault="004D4B98" w:rsidP="00945F73">
            <w:pPr>
              <w:pStyle w:val="Table"/>
              <w:rPr>
                <w:rFonts w:ascii="Times New Roman" w:hAnsi="Times New Roman"/>
                <w:sz w:val="22"/>
                <w:szCs w:val="22"/>
              </w:rPr>
            </w:pPr>
            <w:r w:rsidRPr="00254BEE">
              <w:rPr>
                <w:rFonts w:ascii="Times New Roman" w:hAnsi="Times New Roman"/>
                <w:sz w:val="22"/>
                <w:szCs w:val="22"/>
              </w:rPr>
              <w:lastRenderedPageBreak/>
              <w:t>Q4881g</w:t>
            </w:r>
          </w:p>
        </w:tc>
        <w:tc>
          <w:tcPr>
            <w:tcW w:w="844" w:type="pct"/>
            <w:tcBorders>
              <w:top w:val="single" w:sz="4" w:space="0" w:color="auto"/>
            </w:tcBorders>
            <w:shd w:val="clear" w:color="auto" w:fill="auto"/>
          </w:tcPr>
          <w:p w14:paraId="046A0A54" w14:textId="77777777" w:rsidR="004D4B98" w:rsidRPr="00254BEE" w:rsidRDefault="004D4B98" w:rsidP="00945F73">
            <w:pPr>
              <w:pStyle w:val="Table"/>
              <w:jc w:val="center"/>
              <w:rPr>
                <w:rFonts w:ascii="Times New Roman" w:hAnsi="Times New Roman"/>
                <w:sz w:val="22"/>
                <w:szCs w:val="22"/>
              </w:rPr>
            </w:pPr>
            <w:r w:rsidRPr="00254BEE">
              <w:rPr>
                <w:rFonts w:ascii="Times New Roman" w:hAnsi="Times New Roman"/>
                <w:sz w:val="22"/>
                <w:szCs w:val="22"/>
              </w:rPr>
              <w:t>-6.13</w:t>
            </w:r>
          </w:p>
        </w:tc>
        <w:tc>
          <w:tcPr>
            <w:tcW w:w="1303" w:type="pct"/>
            <w:tcBorders>
              <w:top w:val="single" w:sz="4" w:space="0" w:color="auto"/>
            </w:tcBorders>
            <w:shd w:val="clear" w:color="auto" w:fill="auto"/>
          </w:tcPr>
          <w:p w14:paraId="731AF02F" w14:textId="77777777" w:rsidR="004D4B98" w:rsidRPr="00254BEE" w:rsidRDefault="004D4B98" w:rsidP="00945F73">
            <w:pPr>
              <w:pStyle w:val="Table"/>
              <w:jc w:val="center"/>
              <w:rPr>
                <w:rFonts w:ascii="Times New Roman" w:hAnsi="Times New Roman"/>
                <w:sz w:val="22"/>
                <w:szCs w:val="22"/>
              </w:rPr>
            </w:pPr>
            <w:r w:rsidRPr="00254BEE">
              <w:rPr>
                <w:rFonts w:ascii="Times New Roman" w:hAnsi="Times New Roman"/>
                <w:sz w:val="22"/>
                <w:szCs w:val="22"/>
              </w:rPr>
              <w:t>-8.00 (p=0.2286)</w:t>
            </w:r>
          </w:p>
        </w:tc>
        <w:tc>
          <w:tcPr>
            <w:tcW w:w="1338" w:type="pct"/>
            <w:tcBorders>
              <w:top w:val="single" w:sz="4" w:space="0" w:color="auto"/>
            </w:tcBorders>
            <w:shd w:val="clear" w:color="auto" w:fill="auto"/>
          </w:tcPr>
          <w:p w14:paraId="6B7D39B3" w14:textId="77777777" w:rsidR="004D4B98" w:rsidRPr="00254BEE" w:rsidRDefault="004D4B98" w:rsidP="00945F73">
            <w:pPr>
              <w:pStyle w:val="Table"/>
              <w:tabs>
                <w:tab w:val="left" w:pos="495"/>
              </w:tabs>
              <w:jc w:val="center"/>
              <w:rPr>
                <w:rFonts w:ascii="Times New Roman" w:hAnsi="Times New Roman"/>
                <w:sz w:val="22"/>
                <w:szCs w:val="22"/>
              </w:rPr>
            </w:pPr>
            <w:r w:rsidRPr="00254BEE">
              <w:rPr>
                <w:rFonts w:ascii="Times New Roman" w:hAnsi="Times New Roman"/>
                <w:sz w:val="22"/>
                <w:szCs w:val="22"/>
              </w:rPr>
              <w:t>-10.29  (p&lt;0.0001)</w:t>
            </w:r>
          </w:p>
        </w:tc>
      </w:tr>
      <w:tr w:rsidR="004D4B98" w:rsidRPr="00254BEE" w14:paraId="49D41C1E" w14:textId="77777777" w:rsidTr="00945F73">
        <w:tc>
          <w:tcPr>
            <w:tcW w:w="1515" w:type="pct"/>
            <w:shd w:val="clear" w:color="auto" w:fill="auto"/>
          </w:tcPr>
          <w:p w14:paraId="412392BC" w14:textId="77777777" w:rsidR="004D4B98" w:rsidRPr="00254BEE" w:rsidRDefault="004D4B98" w:rsidP="00945F73">
            <w:pPr>
              <w:pStyle w:val="Table"/>
              <w:rPr>
                <w:rFonts w:ascii="Times New Roman" w:hAnsi="Times New Roman"/>
                <w:sz w:val="22"/>
                <w:szCs w:val="22"/>
              </w:rPr>
            </w:pPr>
            <w:r w:rsidRPr="00254BEE">
              <w:rPr>
                <w:rFonts w:ascii="Times New Roman" w:hAnsi="Times New Roman"/>
                <w:sz w:val="22"/>
                <w:szCs w:val="22"/>
              </w:rPr>
              <w:t>Q4882g</w:t>
            </w:r>
          </w:p>
        </w:tc>
        <w:tc>
          <w:tcPr>
            <w:tcW w:w="844" w:type="pct"/>
            <w:shd w:val="clear" w:color="auto" w:fill="auto"/>
          </w:tcPr>
          <w:p w14:paraId="0CC0FB62" w14:textId="77777777" w:rsidR="004D4B98" w:rsidRPr="00254BEE" w:rsidRDefault="004D4B98" w:rsidP="00945F73">
            <w:pPr>
              <w:pStyle w:val="Table"/>
              <w:jc w:val="center"/>
              <w:rPr>
                <w:rFonts w:ascii="Times New Roman" w:eastAsia="PMingLiU" w:hAnsi="Times New Roman"/>
                <w:sz w:val="22"/>
                <w:szCs w:val="22"/>
                <w:lang w:eastAsia="zh-TW"/>
              </w:rPr>
            </w:pPr>
            <w:r w:rsidRPr="00254BEE">
              <w:rPr>
                <w:rFonts w:ascii="Times New Roman" w:eastAsia="PMingLiU" w:hAnsi="Times New Roman"/>
                <w:sz w:val="22"/>
                <w:szCs w:val="22"/>
                <w:lang w:eastAsia="zh-TW"/>
              </w:rPr>
              <w:t>-6.09</w:t>
            </w:r>
          </w:p>
        </w:tc>
        <w:tc>
          <w:tcPr>
            <w:tcW w:w="1303" w:type="pct"/>
            <w:shd w:val="clear" w:color="auto" w:fill="auto"/>
          </w:tcPr>
          <w:p w14:paraId="6278A435" w14:textId="77777777" w:rsidR="004D4B98" w:rsidRPr="00254BEE" w:rsidRDefault="004D4B98" w:rsidP="00945F73">
            <w:pPr>
              <w:pStyle w:val="Table"/>
              <w:jc w:val="center"/>
              <w:rPr>
                <w:rFonts w:ascii="Times New Roman" w:hAnsi="Times New Roman"/>
                <w:sz w:val="22"/>
                <w:szCs w:val="22"/>
              </w:rPr>
            </w:pPr>
            <w:r w:rsidRPr="00254BEE">
              <w:rPr>
                <w:rFonts w:ascii="Times New Roman" w:hAnsi="Times New Roman"/>
                <w:sz w:val="22"/>
                <w:szCs w:val="22"/>
              </w:rPr>
              <w:t>-8.29 (p=0.0215)</w:t>
            </w:r>
          </w:p>
        </w:tc>
        <w:tc>
          <w:tcPr>
            <w:tcW w:w="1338" w:type="pct"/>
            <w:shd w:val="clear" w:color="auto" w:fill="auto"/>
          </w:tcPr>
          <w:p w14:paraId="49407BA4" w14:textId="77777777" w:rsidR="004D4B98" w:rsidRPr="00254BEE" w:rsidRDefault="004D4B98" w:rsidP="00C20746">
            <w:pPr>
              <w:pStyle w:val="Table"/>
              <w:jc w:val="center"/>
              <w:rPr>
                <w:rFonts w:ascii="Times New Roman" w:eastAsia="PMingLiU" w:hAnsi="Times New Roman"/>
                <w:sz w:val="22"/>
                <w:szCs w:val="22"/>
                <w:lang w:eastAsia="zh-TW"/>
              </w:rPr>
            </w:pPr>
            <w:r w:rsidRPr="00254BEE">
              <w:rPr>
                <w:rFonts w:ascii="Times New Roman" w:eastAsia="PMingLiU" w:hAnsi="Times New Roman"/>
                <w:sz w:val="22"/>
                <w:szCs w:val="22"/>
                <w:lang w:eastAsia="zh-TW"/>
              </w:rPr>
              <w:t xml:space="preserve">-10.15 </w:t>
            </w:r>
            <w:r w:rsidRPr="00254BEE">
              <w:rPr>
                <w:rFonts w:ascii="Times New Roman" w:hAnsi="Times New Roman"/>
                <w:sz w:val="22"/>
                <w:szCs w:val="22"/>
              </w:rPr>
              <w:t>(p=0.0004)</w:t>
            </w:r>
          </w:p>
        </w:tc>
      </w:tr>
      <w:tr w:rsidR="004D4B98" w:rsidRPr="00254BEE" w14:paraId="55B9CC70" w14:textId="77777777" w:rsidTr="00945F73">
        <w:tc>
          <w:tcPr>
            <w:tcW w:w="1515" w:type="pct"/>
            <w:shd w:val="clear" w:color="auto" w:fill="auto"/>
          </w:tcPr>
          <w:p w14:paraId="6947870F" w14:textId="77777777" w:rsidR="004D4B98" w:rsidRPr="00254BEE" w:rsidRDefault="004D4B98" w:rsidP="00945F73">
            <w:pPr>
              <w:pStyle w:val="Table"/>
              <w:rPr>
                <w:rFonts w:ascii="Times New Roman" w:hAnsi="Times New Roman"/>
                <w:sz w:val="22"/>
                <w:szCs w:val="22"/>
              </w:rPr>
            </w:pPr>
            <w:r w:rsidRPr="00254BEE">
              <w:rPr>
                <w:rFonts w:ascii="Times New Roman" w:hAnsi="Times New Roman"/>
                <w:sz w:val="22"/>
                <w:szCs w:val="22"/>
              </w:rPr>
              <w:t>Q4883g</w:t>
            </w:r>
          </w:p>
        </w:tc>
        <w:tc>
          <w:tcPr>
            <w:tcW w:w="844" w:type="pct"/>
            <w:shd w:val="clear" w:color="auto" w:fill="auto"/>
          </w:tcPr>
          <w:p w14:paraId="78153452" w14:textId="77777777" w:rsidR="004D4B98" w:rsidRPr="00254BEE" w:rsidRDefault="004D4B98" w:rsidP="00945F73">
            <w:pPr>
              <w:pStyle w:val="Table"/>
              <w:jc w:val="center"/>
              <w:rPr>
                <w:rFonts w:ascii="Times New Roman" w:eastAsia="PMingLiU" w:hAnsi="Times New Roman"/>
                <w:sz w:val="22"/>
                <w:szCs w:val="22"/>
                <w:lang w:eastAsia="zh-TW"/>
              </w:rPr>
            </w:pPr>
            <w:r w:rsidRPr="00254BEE">
              <w:rPr>
                <w:rFonts w:ascii="Times New Roman" w:eastAsia="PMingLiU" w:hAnsi="Times New Roman"/>
                <w:sz w:val="22"/>
                <w:szCs w:val="22"/>
                <w:lang w:eastAsia="zh-TW"/>
              </w:rPr>
              <w:t>-5.11</w:t>
            </w:r>
          </w:p>
        </w:tc>
        <w:tc>
          <w:tcPr>
            <w:tcW w:w="1303" w:type="pct"/>
            <w:shd w:val="clear" w:color="auto" w:fill="auto"/>
          </w:tcPr>
          <w:p w14:paraId="608520E1" w14:textId="77777777" w:rsidR="004D4B98" w:rsidRPr="00254BEE" w:rsidRDefault="004D4B98" w:rsidP="00945F73">
            <w:pPr>
              <w:pStyle w:val="Table"/>
              <w:jc w:val="center"/>
              <w:rPr>
                <w:rFonts w:ascii="Times New Roman" w:hAnsi="Times New Roman"/>
                <w:sz w:val="22"/>
                <w:szCs w:val="22"/>
              </w:rPr>
            </w:pPr>
            <w:r w:rsidRPr="00254BEE">
              <w:rPr>
                <w:rFonts w:ascii="Times New Roman" w:eastAsia="PMingLiU" w:hAnsi="Times New Roman"/>
                <w:sz w:val="22"/>
                <w:szCs w:val="22"/>
                <w:lang w:eastAsia="zh-TW"/>
              </w:rPr>
              <w:t>NA</w:t>
            </w:r>
          </w:p>
        </w:tc>
        <w:tc>
          <w:tcPr>
            <w:tcW w:w="1338" w:type="pct"/>
            <w:shd w:val="clear" w:color="auto" w:fill="auto"/>
          </w:tcPr>
          <w:p w14:paraId="6E4B3193" w14:textId="77777777" w:rsidR="004D4B98" w:rsidRPr="00254BEE" w:rsidRDefault="004D4B98" w:rsidP="00945F73">
            <w:pPr>
              <w:pStyle w:val="Table"/>
              <w:jc w:val="center"/>
              <w:rPr>
                <w:rFonts w:ascii="Times New Roman" w:hAnsi="Times New Roman"/>
                <w:sz w:val="22"/>
                <w:szCs w:val="22"/>
              </w:rPr>
            </w:pPr>
            <w:r w:rsidRPr="00254BEE">
              <w:rPr>
                <w:rFonts w:ascii="Times New Roman" w:hAnsi="Times New Roman"/>
                <w:sz w:val="22"/>
                <w:szCs w:val="22"/>
              </w:rPr>
              <w:t>-9.69 (p&lt;0.0001)</w:t>
            </w:r>
          </w:p>
        </w:tc>
      </w:tr>
      <w:tr w:rsidR="004D4B98" w:rsidRPr="00254BEE" w14:paraId="0962933C" w14:textId="77777777" w:rsidTr="001A123D">
        <w:tc>
          <w:tcPr>
            <w:tcW w:w="5000" w:type="pct"/>
            <w:gridSpan w:val="4"/>
            <w:tcBorders>
              <w:top w:val="single" w:sz="4" w:space="0" w:color="auto"/>
              <w:bottom w:val="single" w:sz="4" w:space="0" w:color="auto"/>
            </w:tcBorders>
            <w:shd w:val="clear" w:color="auto" w:fill="auto"/>
          </w:tcPr>
          <w:p w14:paraId="53E4BE3A" w14:textId="77777777" w:rsidR="004D4B98" w:rsidRPr="00254BEE" w:rsidRDefault="004D4B98" w:rsidP="000A0608">
            <w:pPr>
              <w:autoSpaceDE w:val="0"/>
              <w:autoSpaceDN w:val="0"/>
              <w:adjustRightInd w:val="0"/>
              <w:rPr>
                <w:sz w:val="18"/>
                <w:szCs w:val="18"/>
                <w:lang w:val="en-US"/>
              </w:rPr>
            </w:pPr>
          </w:p>
        </w:tc>
      </w:tr>
      <w:tr w:rsidR="004D4B98" w:rsidRPr="00254BEE" w14:paraId="7E922B6C" w14:textId="77777777" w:rsidTr="001A123D">
        <w:tc>
          <w:tcPr>
            <w:tcW w:w="5000" w:type="pct"/>
            <w:gridSpan w:val="4"/>
            <w:tcBorders>
              <w:top w:val="single" w:sz="4" w:space="0" w:color="auto"/>
              <w:bottom w:val="single" w:sz="4" w:space="0" w:color="auto"/>
            </w:tcBorders>
            <w:shd w:val="clear" w:color="auto" w:fill="auto"/>
          </w:tcPr>
          <w:p w14:paraId="25B7284F" w14:textId="77777777" w:rsidR="004D4B98" w:rsidRPr="00254BEE" w:rsidRDefault="004D4B98" w:rsidP="00C20746">
            <w:pPr>
              <w:rPr>
                <w:b/>
              </w:rPr>
            </w:pPr>
            <w:r w:rsidRPr="00254BEE">
              <w:rPr>
                <w:b/>
              </w:rPr>
              <w:t>Proportion of angioedema-free days from week 4 to week 12 (mean)</w:t>
            </w:r>
          </w:p>
        </w:tc>
      </w:tr>
      <w:tr w:rsidR="004D4B98" w:rsidRPr="00254BEE" w14:paraId="69703856" w14:textId="77777777" w:rsidTr="001A123D">
        <w:tc>
          <w:tcPr>
            <w:tcW w:w="1515" w:type="pct"/>
            <w:tcBorders>
              <w:top w:val="single" w:sz="4" w:space="0" w:color="auto"/>
            </w:tcBorders>
            <w:shd w:val="clear" w:color="auto" w:fill="auto"/>
          </w:tcPr>
          <w:p w14:paraId="4898CE70" w14:textId="77777777" w:rsidR="004D4B98" w:rsidRPr="00254BEE" w:rsidRDefault="004D4B98" w:rsidP="001A123D">
            <w:pPr>
              <w:pStyle w:val="Table"/>
              <w:rPr>
                <w:rFonts w:ascii="Times New Roman" w:hAnsi="Times New Roman"/>
                <w:sz w:val="22"/>
                <w:szCs w:val="22"/>
              </w:rPr>
            </w:pPr>
            <w:r w:rsidRPr="00254BEE">
              <w:rPr>
                <w:rFonts w:ascii="Times New Roman" w:hAnsi="Times New Roman"/>
                <w:sz w:val="22"/>
                <w:szCs w:val="22"/>
              </w:rPr>
              <w:t>Q4881g</w:t>
            </w:r>
          </w:p>
        </w:tc>
        <w:tc>
          <w:tcPr>
            <w:tcW w:w="844" w:type="pct"/>
            <w:tcBorders>
              <w:top w:val="single" w:sz="4" w:space="0" w:color="auto"/>
            </w:tcBorders>
            <w:shd w:val="clear" w:color="auto" w:fill="auto"/>
          </w:tcPr>
          <w:p w14:paraId="29347070" w14:textId="77777777" w:rsidR="004D4B98" w:rsidRPr="00254BEE" w:rsidRDefault="004D4B98" w:rsidP="001A123D">
            <w:pPr>
              <w:pStyle w:val="Table"/>
              <w:jc w:val="center"/>
              <w:rPr>
                <w:rFonts w:ascii="Times New Roman" w:hAnsi="Times New Roman"/>
                <w:sz w:val="22"/>
                <w:szCs w:val="22"/>
              </w:rPr>
            </w:pPr>
            <w:r w:rsidRPr="00254BEE">
              <w:rPr>
                <w:rFonts w:ascii="Times New Roman" w:hAnsi="Times New Roman"/>
                <w:sz w:val="22"/>
                <w:szCs w:val="22"/>
              </w:rPr>
              <w:t>88.2%</w:t>
            </w:r>
          </w:p>
        </w:tc>
        <w:tc>
          <w:tcPr>
            <w:tcW w:w="1303" w:type="pct"/>
            <w:tcBorders>
              <w:top w:val="single" w:sz="4" w:space="0" w:color="auto"/>
            </w:tcBorders>
            <w:shd w:val="clear" w:color="auto" w:fill="auto"/>
          </w:tcPr>
          <w:p w14:paraId="5BCA32AE" w14:textId="77777777" w:rsidR="004D4B98" w:rsidRPr="00254BEE" w:rsidRDefault="004D4B98" w:rsidP="001A123D">
            <w:pPr>
              <w:pStyle w:val="Table"/>
              <w:jc w:val="center"/>
              <w:rPr>
                <w:rFonts w:ascii="Times New Roman" w:hAnsi="Times New Roman"/>
                <w:sz w:val="22"/>
                <w:szCs w:val="22"/>
              </w:rPr>
            </w:pPr>
            <w:r w:rsidRPr="00254BEE">
              <w:rPr>
                <w:rFonts w:ascii="Times New Roman" w:hAnsi="Times New Roman"/>
                <w:sz w:val="22"/>
                <w:szCs w:val="22"/>
              </w:rPr>
              <w:t>89.6% (p=0.1747)</w:t>
            </w:r>
          </w:p>
        </w:tc>
        <w:tc>
          <w:tcPr>
            <w:tcW w:w="1338" w:type="pct"/>
            <w:tcBorders>
              <w:top w:val="single" w:sz="4" w:space="0" w:color="auto"/>
            </w:tcBorders>
            <w:shd w:val="clear" w:color="auto" w:fill="auto"/>
          </w:tcPr>
          <w:p w14:paraId="77072DAD" w14:textId="77777777" w:rsidR="004D4B98" w:rsidRPr="00254BEE" w:rsidRDefault="004D4B98" w:rsidP="001C49B5">
            <w:pPr>
              <w:pStyle w:val="Table"/>
              <w:tabs>
                <w:tab w:val="left" w:pos="495"/>
              </w:tabs>
              <w:jc w:val="center"/>
              <w:rPr>
                <w:rFonts w:ascii="Times New Roman" w:hAnsi="Times New Roman"/>
                <w:sz w:val="22"/>
                <w:szCs w:val="22"/>
              </w:rPr>
            </w:pPr>
            <w:r w:rsidRPr="00254BEE">
              <w:rPr>
                <w:rFonts w:ascii="Times New Roman" w:hAnsi="Times New Roman"/>
                <w:sz w:val="22"/>
                <w:szCs w:val="22"/>
              </w:rPr>
              <w:t>96.1%</w:t>
            </w:r>
            <w:r w:rsidR="004C77BF" w:rsidRPr="00254BEE">
              <w:rPr>
                <w:rFonts w:ascii="Times New Roman" w:hAnsi="Times New Roman"/>
                <w:sz w:val="22"/>
                <w:szCs w:val="22"/>
              </w:rPr>
              <w:t xml:space="preserve"> </w:t>
            </w:r>
            <w:r w:rsidRPr="00254BEE">
              <w:rPr>
                <w:rFonts w:ascii="Times New Roman" w:hAnsi="Times New Roman"/>
                <w:sz w:val="22"/>
                <w:szCs w:val="22"/>
              </w:rPr>
              <w:t>(p&lt;0.0001)</w:t>
            </w:r>
          </w:p>
        </w:tc>
      </w:tr>
      <w:tr w:rsidR="004D4B98" w:rsidRPr="00254BEE" w14:paraId="167A872A" w14:textId="77777777" w:rsidTr="001A123D">
        <w:tc>
          <w:tcPr>
            <w:tcW w:w="1515" w:type="pct"/>
            <w:shd w:val="clear" w:color="auto" w:fill="auto"/>
          </w:tcPr>
          <w:p w14:paraId="112E2A10" w14:textId="77777777" w:rsidR="004D4B98" w:rsidRPr="00254BEE" w:rsidRDefault="004D4B98" w:rsidP="001A123D">
            <w:pPr>
              <w:pStyle w:val="Table"/>
              <w:rPr>
                <w:rFonts w:ascii="Times New Roman" w:hAnsi="Times New Roman"/>
                <w:sz w:val="22"/>
                <w:szCs w:val="22"/>
              </w:rPr>
            </w:pPr>
            <w:r w:rsidRPr="00254BEE">
              <w:rPr>
                <w:rFonts w:ascii="Times New Roman" w:hAnsi="Times New Roman"/>
                <w:sz w:val="22"/>
                <w:szCs w:val="22"/>
              </w:rPr>
              <w:t>Q4882g</w:t>
            </w:r>
          </w:p>
        </w:tc>
        <w:tc>
          <w:tcPr>
            <w:tcW w:w="844" w:type="pct"/>
            <w:shd w:val="clear" w:color="auto" w:fill="auto"/>
          </w:tcPr>
          <w:p w14:paraId="33107417" w14:textId="77777777" w:rsidR="004D4B98" w:rsidRPr="00254BEE" w:rsidRDefault="004D4B98" w:rsidP="001A123D">
            <w:pPr>
              <w:pStyle w:val="Table"/>
              <w:jc w:val="center"/>
              <w:rPr>
                <w:rFonts w:ascii="Times New Roman" w:eastAsia="PMingLiU" w:hAnsi="Times New Roman"/>
                <w:sz w:val="22"/>
                <w:szCs w:val="22"/>
                <w:lang w:eastAsia="zh-TW"/>
              </w:rPr>
            </w:pPr>
            <w:r w:rsidRPr="00254BEE">
              <w:rPr>
                <w:rFonts w:ascii="Times New Roman" w:eastAsia="PMingLiU" w:hAnsi="Times New Roman"/>
                <w:sz w:val="22"/>
                <w:szCs w:val="22"/>
                <w:lang w:eastAsia="zh-TW"/>
              </w:rPr>
              <w:t>89.2%</w:t>
            </w:r>
          </w:p>
        </w:tc>
        <w:tc>
          <w:tcPr>
            <w:tcW w:w="1303" w:type="pct"/>
            <w:shd w:val="clear" w:color="auto" w:fill="auto"/>
          </w:tcPr>
          <w:p w14:paraId="19426CC0" w14:textId="77777777" w:rsidR="004D4B98" w:rsidRPr="00254BEE" w:rsidRDefault="004D4B98" w:rsidP="001A123D">
            <w:pPr>
              <w:pStyle w:val="Table"/>
              <w:jc w:val="center"/>
              <w:rPr>
                <w:rFonts w:ascii="Times New Roman" w:hAnsi="Times New Roman"/>
                <w:sz w:val="22"/>
                <w:szCs w:val="22"/>
              </w:rPr>
            </w:pPr>
            <w:r w:rsidRPr="00254BEE">
              <w:rPr>
                <w:rFonts w:ascii="Times New Roman" w:hAnsi="Times New Roman"/>
                <w:sz w:val="22"/>
                <w:szCs w:val="22"/>
              </w:rPr>
              <w:t>91.6% (p=0.0905)</w:t>
            </w:r>
          </w:p>
        </w:tc>
        <w:tc>
          <w:tcPr>
            <w:tcW w:w="1338" w:type="pct"/>
            <w:shd w:val="clear" w:color="auto" w:fill="auto"/>
          </w:tcPr>
          <w:p w14:paraId="2452C5C9" w14:textId="77777777" w:rsidR="004D4B98" w:rsidRPr="00254BEE" w:rsidRDefault="004D4B98" w:rsidP="001A123D">
            <w:pPr>
              <w:pStyle w:val="Table"/>
              <w:jc w:val="center"/>
              <w:rPr>
                <w:rFonts w:ascii="Times New Roman" w:eastAsia="PMingLiU" w:hAnsi="Times New Roman"/>
                <w:sz w:val="22"/>
                <w:szCs w:val="22"/>
                <w:lang w:eastAsia="zh-TW"/>
              </w:rPr>
            </w:pPr>
            <w:r w:rsidRPr="00254BEE">
              <w:rPr>
                <w:rFonts w:ascii="Times New Roman" w:eastAsia="PMingLiU" w:hAnsi="Times New Roman"/>
                <w:sz w:val="22"/>
                <w:szCs w:val="22"/>
                <w:lang w:eastAsia="zh-TW"/>
              </w:rPr>
              <w:t xml:space="preserve">95.5% </w:t>
            </w:r>
            <w:r w:rsidRPr="00254BEE">
              <w:rPr>
                <w:rFonts w:ascii="Times New Roman" w:hAnsi="Times New Roman"/>
                <w:sz w:val="22"/>
                <w:szCs w:val="22"/>
              </w:rPr>
              <w:t>(p&lt;0.0001)</w:t>
            </w:r>
          </w:p>
        </w:tc>
      </w:tr>
      <w:tr w:rsidR="004D4B98" w:rsidRPr="00254BEE" w14:paraId="797826EF" w14:textId="77777777" w:rsidTr="001A123D">
        <w:tc>
          <w:tcPr>
            <w:tcW w:w="1515" w:type="pct"/>
            <w:shd w:val="clear" w:color="auto" w:fill="auto"/>
          </w:tcPr>
          <w:p w14:paraId="75A0133F" w14:textId="77777777" w:rsidR="004D4B98" w:rsidRPr="00254BEE" w:rsidRDefault="004D4B98" w:rsidP="001A123D">
            <w:pPr>
              <w:pStyle w:val="Table"/>
              <w:rPr>
                <w:rFonts w:ascii="Times New Roman" w:hAnsi="Times New Roman"/>
                <w:sz w:val="22"/>
                <w:szCs w:val="22"/>
              </w:rPr>
            </w:pPr>
            <w:r w:rsidRPr="00254BEE">
              <w:rPr>
                <w:rFonts w:ascii="Times New Roman" w:hAnsi="Times New Roman"/>
                <w:sz w:val="22"/>
                <w:szCs w:val="22"/>
              </w:rPr>
              <w:t>Q4883g</w:t>
            </w:r>
          </w:p>
        </w:tc>
        <w:tc>
          <w:tcPr>
            <w:tcW w:w="844" w:type="pct"/>
            <w:shd w:val="clear" w:color="auto" w:fill="auto"/>
          </w:tcPr>
          <w:p w14:paraId="190F528C" w14:textId="77777777" w:rsidR="004D4B98" w:rsidRPr="00254BEE" w:rsidRDefault="004D4B98" w:rsidP="001A123D">
            <w:pPr>
              <w:pStyle w:val="Table"/>
              <w:jc w:val="center"/>
              <w:rPr>
                <w:rFonts w:ascii="Times New Roman" w:eastAsia="PMingLiU" w:hAnsi="Times New Roman"/>
                <w:sz w:val="22"/>
                <w:szCs w:val="22"/>
                <w:lang w:eastAsia="zh-TW"/>
              </w:rPr>
            </w:pPr>
            <w:r w:rsidRPr="00254BEE">
              <w:rPr>
                <w:rFonts w:ascii="Times New Roman" w:eastAsia="PMingLiU" w:hAnsi="Times New Roman"/>
                <w:sz w:val="22"/>
                <w:szCs w:val="22"/>
                <w:lang w:eastAsia="zh-TW"/>
              </w:rPr>
              <w:t>88.1%</w:t>
            </w:r>
          </w:p>
        </w:tc>
        <w:tc>
          <w:tcPr>
            <w:tcW w:w="1303" w:type="pct"/>
            <w:shd w:val="clear" w:color="auto" w:fill="auto"/>
          </w:tcPr>
          <w:p w14:paraId="7BDE85AB" w14:textId="77777777" w:rsidR="004D4B98" w:rsidRPr="00254BEE" w:rsidRDefault="004D4B98" w:rsidP="001A123D">
            <w:pPr>
              <w:pStyle w:val="Table"/>
              <w:jc w:val="center"/>
              <w:rPr>
                <w:rFonts w:ascii="Times New Roman" w:hAnsi="Times New Roman"/>
                <w:sz w:val="22"/>
                <w:szCs w:val="22"/>
              </w:rPr>
            </w:pPr>
            <w:r w:rsidRPr="00254BEE">
              <w:rPr>
                <w:rFonts w:ascii="Times New Roman" w:eastAsia="PMingLiU" w:hAnsi="Times New Roman"/>
                <w:sz w:val="22"/>
                <w:szCs w:val="22"/>
                <w:lang w:eastAsia="zh-TW"/>
              </w:rPr>
              <w:t>NA</w:t>
            </w:r>
          </w:p>
        </w:tc>
        <w:tc>
          <w:tcPr>
            <w:tcW w:w="1338" w:type="pct"/>
            <w:shd w:val="clear" w:color="auto" w:fill="auto"/>
          </w:tcPr>
          <w:p w14:paraId="22BAF5E5" w14:textId="77777777" w:rsidR="004D4B98" w:rsidRPr="00254BEE" w:rsidRDefault="004D4B98" w:rsidP="001C49B5">
            <w:pPr>
              <w:pStyle w:val="Table"/>
              <w:jc w:val="center"/>
              <w:rPr>
                <w:rFonts w:ascii="Times New Roman" w:hAnsi="Times New Roman"/>
                <w:sz w:val="22"/>
                <w:szCs w:val="22"/>
              </w:rPr>
            </w:pPr>
            <w:r w:rsidRPr="00254BEE">
              <w:rPr>
                <w:rFonts w:ascii="Times New Roman" w:hAnsi="Times New Roman"/>
                <w:sz w:val="22"/>
                <w:szCs w:val="22"/>
              </w:rPr>
              <w:t>91.0% (p&lt;0.0006)</w:t>
            </w:r>
          </w:p>
        </w:tc>
      </w:tr>
      <w:tr w:rsidR="004D4B98" w:rsidRPr="00254BEE" w14:paraId="24F4E6BE" w14:textId="77777777" w:rsidTr="00945F73">
        <w:tc>
          <w:tcPr>
            <w:tcW w:w="5000" w:type="pct"/>
            <w:gridSpan w:val="4"/>
            <w:tcBorders>
              <w:top w:val="single" w:sz="4" w:space="0" w:color="auto"/>
              <w:bottom w:val="single" w:sz="4" w:space="0" w:color="auto"/>
            </w:tcBorders>
            <w:shd w:val="clear" w:color="auto" w:fill="auto"/>
          </w:tcPr>
          <w:p w14:paraId="117A8960" w14:textId="77777777" w:rsidR="004D4B98" w:rsidRPr="00254BEE" w:rsidRDefault="004D4B98" w:rsidP="00671059">
            <w:pPr>
              <w:rPr>
                <w:b/>
                <w:szCs w:val="24"/>
              </w:rPr>
            </w:pPr>
            <w:r w:rsidRPr="00254BEE">
              <w:rPr>
                <w:b/>
                <w:szCs w:val="24"/>
              </w:rPr>
              <w:t>Proportion of patients with UAS7 ≤ 6 at week 12 (% patients)</w:t>
            </w:r>
          </w:p>
        </w:tc>
      </w:tr>
      <w:tr w:rsidR="004D4B98" w:rsidRPr="00254BEE" w14:paraId="5304D91A" w14:textId="77777777" w:rsidTr="00945F73">
        <w:tc>
          <w:tcPr>
            <w:tcW w:w="1515" w:type="pct"/>
            <w:tcBorders>
              <w:top w:val="single" w:sz="4" w:space="0" w:color="auto"/>
            </w:tcBorders>
            <w:shd w:val="clear" w:color="auto" w:fill="auto"/>
          </w:tcPr>
          <w:p w14:paraId="6244C9B5" w14:textId="77777777" w:rsidR="004D4B98" w:rsidRPr="00254BEE" w:rsidRDefault="004D4B98" w:rsidP="00945F73">
            <w:pPr>
              <w:pStyle w:val="Table"/>
              <w:rPr>
                <w:rFonts w:ascii="Times New Roman" w:hAnsi="Times New Roman"/>
                <w:sz w:val="22"/>
                <w:szCs w:val="22"/>
              </w:rPr>
            </w:pPr>
            <w:r w:rsidRPr="00254BEE">
              <w:rPr>
                <w:rFonts w:ascii="Times New Roman" w:hAnsi="Times New Roman"/>
                <w:sz w:val="22"/>
                <w:szCs w:val="22"/>
              </w:rPr>
              <w:t>Q4881g</w:t>
            </w:r>
          </w:p>
        </w:tc>
        <w:tc>
          <w:tcPr>
            <w:tcW w:w="844" w:type="pct"/>
            <w:tcBorders>
              <w:top w:val="single" w:sz="4" w:space="0" w:color="auto"/>
            </w:tcBorders>
            <w:shd w:val="clear" w:color="auto" w:fill="auto"/>
          </w:tcPr>
          <w:p w14:paraId="03FB17EC" w14:textId="77777777" w:rsidR="004D4B98" w:rsidRPr="00254BEE" w:rsidRDefault="004D4B98" w:rsidP="00945F73">
            <w:pPr>
              <w:pStyle w:val="Table"/>
              <w:jc w:val="center"/>
              <w:rPr>
                <w:rFonts w:ascii="Times New Roman" w:hAnsi="Times New Roman"/>
                <w:sz w:val="22"/>
                <w:szCs w:val="22"/>
              </w:rPr>
            </w:pPr>
            <w:r w:rsidRPr="00254BEE">
              <w:rPr>
                <w:rFonts w:ascii="Times New Roman" w:hAnsi="Times New Roman"/>
                <w:sz w:val="22"/>
                <w:szCs w:val="22"/>
              </w:rPr>
              <w:t>11.3</w:t>
            </w:r>
          </w:p>
        </w:tc>
        <w:tc>
          <w:tcPr>
            <w:tcW w:w="1303" w:type="pct"/>
            <w:tcBorders>
              <w:top w:val="single" w:sz="4" w:space="0" w:color="auto"/>
            </w:tcBorders>
            <w:shd w:val="clear" w:color="auto" w:fill="auto"/>
          </w:tcPr>
          <w:p w14:paraId="52D1732D" w14:textId="77777777" w:rsidR="004D4B98" w:rsidRPr="00254BEE" w:rsidRDefault="004D4B98" w:rsidP="00945F73">
            <w:pPr>
              <w:pStyle w:val="Table"/>
              <w:jc w:val="center"/>
              <w:rPr>
                <w:rFonts w:ascii="Times New Roman" w:hAnsi="Times New Roman"/>
                <w:sz w:val="22"/>
                <w:szCs w:val="22"/>
              </w:rPr>
            </w:pPr>
            <w:r w:rsidRPr="00254BEE">
              <w:rPr>
                <w:rFonts w:ascii="Times New Roman" w:hAnsi="Times New Roman"/>
                <w:sz w:val="22"/>
                <w:szCs w:val="22"/>
              </w:rPr>
              <w:t>40.0 (p&lt;0.0001)</w:t>
            </w:r>
          </w:p>
        </w:tc>
        <w:tc>
          <w:tcPr>
            <w:tcW w:w="1338" w:type="pct"/>
            <w:tcBorders>
              <w:top w:val="single" w:sz="4" w:space="0" w:color="auto"/>
            </w:tcBorders>
            <w:shd w:val="clear" w:color="auto" w:fill="auto"/>
          </w:tcPr>
          <w:p w14:paraId="483C7943" w14:textId="77777777" w:rsidR="004D4B98" w:rsidRPr="00254BEE" w:rsidRDefault="004D4B98" w:rsidP="00945F73">
            <w:pPr>
              <w:pStyle w:val="Table"/>
              <w:jc w:val="center"/>
              <w:rPr>
                <w:rFonts w:ascii="Times New Roman" w:hAnsi="Times New Roman"/>
                <w:sz w:val="22"/>
                <w:szCs w:val="22"/>
              </w:rPr>
            </w:pPr>
            <w:r w:rsidRPr="00254BEE">
              <w:rPr>
                <w:rFonts w:ascii="Times New Roman" w:hAnsi="Times New Roman"/>
                <w:sz w:val="22"/>
                <w:szCs w:val="22"/>
              </w:rPr>
              <w:t>51.9 (p&lt;0.0001)</w:t>
            </w:r>
          </w:p>
        </w:tc>
      </w:tr>
      <w:tr w:rsidR="004D4B98" w:rsidRPr="00254BEE" w14:paraId="4B3489AF" w14:textId="77777777" w:rsidTr="00945F73">
        <w:tc>
          <w:tcPr>
            <w:tcW w:w="1515" w:type="pct"/>
            <w:shd w:val="clear" w:color="auto" w:fill="auto"/>
          </w:tcPr>
          <w:p w14:paraId="7C09AB82" w14:textId="77777777" w:rsidR="004D4B98" w:rsidRPr="00254BEE" w:rsidRDefault="004D4B98" w:rsidP="00945F73">
            <w:pPr>
              <w:pStyle w:val="Table"/>
              <w:rPr>
                <w:rFonts w:ascii="Times New Roman" w:hAnsi="Times New Roman"/>
                <w:sz w:val="22"/>
                <w:szCs w:val="22"/>
              </w:rPr>
            </w:pPr>
            <w:r w:rsidRPr="00254BEE">
              <w:rPr>
                <w:rFonts w:ascii="Times New Roman" w:hAnsi="Times New Roman"/>
                <w:sz w:val="22"/>
                <w:szCs w:val="22"/>
              </w:rPr>
              <w:t>Q4882g</w:t>
            </w:r>
          </w:p>
        </w:tc>
        <w:tc>
          <w:tcPr>
            <w:tcW w:w="844" w:type="pct"/>
            <w:shd w:val="clear" w:color="auto" w:fill="auto"/>
          </w:tcPr>
          <w:p w14:paraId="1A059E1A" w14:textId="77777777" w:rsidR="004D4B98" w:rsidRPr="00254BEE" w:rsidRDefault="004D4B98" w:rsidP="00945F73">
            <w:pPr>
              <w:pStyle w:val="Table"/>
              <w:jc w:val="center"/>
              <w:rPr>
                <w:rFonts w:ascii="Times New Roman" w:hAnsi="Times New Roman"/>
                <w:sz w:val="22"/>
                <w:szCs w:val="22"/>
              </w:rPr>
            </w:pPr>
            <w:r w:rsidRPr="00254BEE">
              <w:rPr>
                <w:rFonts w:ascii="Times New Roman" w:hAnsi="Times New Roman"/>
                <w:sz w:val="22"/>
                <w:szCs w:val="22"/>
              </w:rPr>
              <w:t>19.0</w:t>
            </w:r>
          </w:p>
        </w:tc>
        <w:tc>
          <w:tcPr>
            <w:tcW w:w="1303" w:type="pct"/>
            <w:shd w:val="clear" w:color="auto" w:fill="auto"/>
          </w:tcPr>
          <w:p w14:paraId="648F194B" w14:textId="77777777" w:rsidR="004D4B98" w:rsidRPr="00254BEE" w:rsidRDefault="004D4B98" w:rsidP="00945F73">
            <w:pPr>
              <w:pStyle w:val="Table"/>
              <w:jc w:val="center"/>
              <w:rPr>
                <w:rFonts w:ascii="Times New Roman" w:hAnsi="Times New Roman"/>
                <w:sz w:val="22"/>
                <w:szCs w:val="22"/>
              </w:rPr>
            </w:pPr>
            <w:r w:rsidRPr="00254BEE">
              <w:rPr>
                <w:rFonts w:ascii="Times New Roman" w:hAnsi="Times New Roman"/>
                <w:sz w:val="22"/>
                <w:szCs w:val="22"/>
              </w:rPr>
              <w:t>42.7 (p=0.0010)</w:t>
            </w:r>
          </w:p>
        </w:tc>
        <w:tc>
          <w:tcPr>
            <w:tcW w:w="1338" w:type="pct"/>
            <w:shd w:val="clear" w:color="auto" w:fill="auto"/>
          </w:tcPr>
          <w:p w14:paraId="60CA47E2" w14:textId="77777777" w:rsidR="004D4B98" w:rsidRPr="00254BEE" w:rsidRDefault="004D4B98" w:rsidP="00945F73">
            <w:pPr>
              <w:pStyle w:val="Table"/>
              <w:jc w:val="center"/>
              <w:rPr>
                <w:rFonts w:ascii="Times New Roman" w:hAnsi="Times New Roman"/>
                <w:sz w:val="22"/>
                <w:szCs w:val="22"/>
              </w:rPr>
            </w:pPr>
            <w:r w:rsidRPr="00254BEE">
              <w:rPr>
                <w:rFonts w:ascii="Times New Roman" w:hAnsi="Times New Roman"/>
                <w:sz w:val="22"/>
                <w:szCs w:val="22"/>
              </w:rPr>
              <w:t>65.8 (p&lt;0.0001)</w:t>
            </w:r>
          </w:p>
        </w:tc>
      </w:tr>
      <w:tr w:rsidR="004D4B98" w:rsidRPr="00254BEE" w14:paraId="31E3AFB3" w14:textId="77777777" w:rsidTr="00945F73">
        <w:tc>
          <w:tcPr>
            <w:tcW w:w="1515" w:type="pct"/>
            <w:shd w:val="clear" w:color="auto" w:fill="auto"/>
          </w:tcPr>
          <w:p w14:paraId="3992DD96" w14:textId="77777777" w:rsidR="004D4B98" w:rsidRPr="00254BEE" w:rsidRDefault="004D4B98" w:rsidP="00945F73">
            <w:pPr>
              <w:pStyle w:val="Table"/>
              <w:rPr>
                <w:rFonts w:ascii="Times New Roman" w:hAnsi="Times New Roman"/>
                <w:sz w:val="22"/>
                <w:szCs w:val="22"/>
              </w:rPr>
            </w:pPr>
            <w:r w:rsidRPr="00254BEE">
              <w:rPr>
                <w:rFonts w:ascii="Times New Roman" w:hAnsi="Times New Roman"/>
                <w:sz w:val="22"/>
                <w:szCs w:val="22"/>
              </w:rPr>
              <w:t>Q4883g</w:t>
            </w:r>
          </w:p>
        </w:tc>
        <w:tc>
          <w:tcPr>
            <w:tcW w:w="844" w:type="pct"/>
            <w:shd w:val="clear" w:color="auto" w:fill="auto"/>
          </w:tcPr>
          <w:p w14:paraId="524B8341" w14:textId="77777777" w:rsidR="004D4B98" w:rsidRPr="00254BEE" w:rsidRDefault="004D4B98" w:rsidP="00945F73">
            <w:pPr>
              <w:pStyle w:val="Table"/>
              <w:jc w:val="center"/>
              <w:rPr>
                <w:rFonts w:ascii="Times New Roman" w:hAnsi="Times New Roman"/>
                <w:sz w:val="22"/>
                <w:szCs w:val="22"/>
              </w:rPr>
            </w:pPr>
            <w:r w:rsidRPr="00254BEE">
              <w:rPr>
                <w:rFonts w:ascii="Times New Roman" w:hAnsi="Times New Roman"/>
                <w:sz w:val="22"/>
                <w:szCs w:val="22"/>
              </w:rPr>
              <w:t>12.0</w:t>
            </w:r>
          </w:p>
        </w:tc>
        <w:tc>
          <w:tcPr>
            <w:tcW w:w="1303" w:type="pct"/>
            <w:shd w:val="clear" w:color="auto" w:fill="auto"/>
          </w:tcPr>
          <w:p w14:paraId="35F7448F" w14:textId="77777777" w:rsidR="004D4B98" w:rsidRPr="00254BEE" w:rsidRDefault="004D4B98" w:rsidP="00945F73">
            <w:pPr>
              <w:pStyle w:val="Table"/>
              <w:jc w:val="center"/>
              <w:rPr>
                <w:rFonts w:ascii="Times New Roman" w:hAnsi="Times New Roman"/>
                <w:sz w:val="22"/>
                <w:szCs w:val="22"/>
              </w:rPr>
            </w:pPr>
            <w:r w:rsidRPr="00254BEE">
              <w:rPr>
                <w:rFonts w:ascii="Times New Roman" w:eastAsia="PMingLiU" w:hAnsi="Times New Roman"/>
                <w:sz w:val="22"/>
                <w:szCs w:val="22"/>
                <w:lang w:eastAsia="zh-TW"/>
              </w:rPr>
              <w:t>NA</w:t>
            </w:r>
          </w:p>
        </w:tc>
        <w:tc>
          <w:tcPr>
            <w:tcW w:w="1338" w:type="pct"/>
            <w:shd w:val="clear" w:color="auto" w:fill="auto"/>
          </w:tcPr>
          <w:p w14:paraId="6A0DE3A9" w14:textId="77777777" w:rsidR="004D4B98" w:rsidRPr="00254BEE" w:rsidRDefault="004D4B98" w:rsidP="00945F73">
            <w:pPr>
              <w:pStyle w:val="Table"/>
              <w:jc w:val="center"/>
              <w:rPr>
                <w:rFonts w:ascii="Times New Roman" w:hAnsi="Times New Roman"/>
                <w:sz w:val="22"/>
                <w:szCs w:val="22"/>
              </w:rPr>
            </w:pPr>
            <w:r w:rsidRPr="00254BEE">
              <w:rPr>
                <w:rFonts w:ascii="Times New Roman" w:hAnsi="Times New Roman"/>
                <w:sz w:val="22"/>
                <w:szCs w:val="22"/>
              </w:rPr>
              <w:t>52.4 (p&lt;0.0001)</w:t>
            </w:r>
          </w:p>
        </w:tc>
      </w:tr>
      <w:tr w:rsidR="004D4B98" w:rsidRPr="00254BEE" w14:paraId="2EAA1542" w14:textId="77777777" w:rsidTr="00E66914">
        <w:tc>
          <w:tcPr>
            <w:tcW w:w="5000" w:type="pct"/>
            <w:gridSpan w:val="4"/>
            <w:shd w:val="clear" w:color="auto" w:fill="auto"/>
          </w:tcPr>
          <w:p w14:paraId="06D82FB0" w14:textId="77777777" w:rsidR="004D4B98" w:rsidRPr="00254BEE" w:rsidRDefault="004D4B98" w:rsidP="00E32562">
            <w:pPr>
              <w:autoSpaceDE w:val="0"/>
              <w:autoSpaceDN w:val="0"/>
              <w:adjustRightInd w:val="0"/>
              <w:rPr>
                <w:sz w:val="18"/>
                <w:szCs w:val="18"/>
                <w:lang w:val="en-US"/>
              </w:rPr>
            </w:pPr>
          </w:p>
        </w:tc>
      </w:tr>
      <w:tr w:rsidR="004D4B98" w:rsidRPr="00254BEE" w14:paraId="2DE23F24" w14:textId="77777777" w:rsidTr="00945F73">
        <w:tc>
          <w:tcPr>
            <w:tcW w:w="5000" w:type="pct"/>
            <w:gridSpan w:val="4"/>
            <w:tcBorders>
              <w:top w:val="single" w:sz="4" w:space="0" w:color="auto"/>
              <w:bottom w:val="single" w:sz="4" w:space="0" w:color="auto"/>
            </w:tcBorders>
            <w:shd w:val="clear" w:color="auto" w:fill="auto"/>
          </w:tcPr>
          <w:p w14:paraId="4DFE3FCB" w14:textId="77777777" w:rsidR="004D4B98" w:rsidRPr="00254BEE" w:rsidRDefault="004D4B98" w:rsidP="00945F73">
            <w:pPr>
              <w:rPr>
                <w:b/>
              </w:rPr>
            </w:pPr>
            <w:r w:rsidRPr="00254BEE">
              <w:rPr>
                <w:b/>
              </w:rPr>
              <w:t>Proportion of patients with UAS7 = 0 at week 12 (% patients)</w:t>
            </w:r>
          </w:p>
        </w:tc>
      </w:tr>
      <w:tr w:rsidR="004D4B98" w:rsidRPr="00254BEE" w14:paraId="39BA5AB6" w14:textId="77777777" w:rsidTr="00945F73">
        <w:tc>
          <w:tcPr>
            <w:tcW w:w="1515" w:type="pct"/>
            <w:tcBorders>
              <w:top w:val="single" w:sz="4" w:space="0" w:color="auto"/>
            </w:tcBorders>
            <w:shd w:val="clear" w:color="auto" w:fill="auto"/>
          </w:tcPr>
          <w:p w14:paraId="5B9D0D3C" w14:textId="77777777" w:rsidR="004D4B98" w:rsidRPr="00254BEE" w:rsidRDefault="004D4B98" w:rsidP="00945F73">
            <w:pPr>
              <w:pStyle w:val="Table"/>
              <w:rPr>
                <w:rFonts w:ascii="Times New Roman" w:hAnsi="Times New Roman"/>
                <w:sz w:val="22"/>
                <w:szCs w:val="22"/>
              </w:rPr>
            </w:pPr>
            <w:r w:rsidRPr="00254BEE">
              <w:rPr>
                <w:rFonts w:ascii="Times New Roman" w:hAnsi="Times New Roman"/>
                <w:sz w:val="22"/>
                <w:szCs w:val="22"/>
              </w:rPr>
              <w:t>Q4881g</w:t>
            </w:r>
          </w:p>
        </w:tc>
        <w:tc>
          <w:tcPr>
            <w:tcW w:w="844" w:type="pct"/>
            <w:tcBorders>
              <w:top w:val="single" w:sz="4" w:space="0" w:color="auto"/>
            </w:tcBorders>
            <w:shd w:val="clear" w:color="auto" w:fill="auto"/>
          </w:tcPr>
          <w:p w14:paraId="3311A9BD" w14:textId="77777777" w:rsidR="004D4B98" w:rsidRPr="00254BEE" w:rsidRDefault="004D4B98" w:rsidP="00945F73">
            <w:pPr>
              <w:pStyle w:val="Table"/>
              <w:jc w:val="center"/>
              <w:rPr>
                <w:rFonts w:ascii="Times New Roman" w:hAnsi="Times New Roman"/>
                <w:sz w:val="22"/>
                <w:szCs w:val="22"/>
              </w:rPr>
            </w:pPr>
            <w:r w:rsidRPr="00254BEE">
              <w:rPr>
                <w:rFonts w:ascii="Times New Roman" w:hAnsi="Times New Roman"/>
                <w:sz w:val="22"/>
                <w:szCs w:val="22"/>
              </w:rPr>
              <w:t>8.8</w:t>
            </w:r>
          </w:p>
        </w:tc>
        <w:tc>
          <w:tcPr>
            <w:tcW w:w="1303" w:type="pct"/>
            <w:tcBorders>
              <w:top w:val="single" w:sz="4" w:space="0" w:color="auto"/>
            </w:tcBorders>
            <w:shd w:val="clear" w:color="auto" w:fill="auto"/>
          </w:tcPr>
          <w:p w14:paraId="47A98390" w14:textId="77777777" w:rsidR="004D4B98" w:rsidRPr="00254BEE" w:rsidRDefault="004D4B98" w:rsidP="00945F73">
            <w:pPr>
              <w:pStyle w:val="Table"/>
              <w:jc w:val="center"/>
              <w:rPr>
                <w:rFonts w:ascii="Times New Roman" w:hAnsi="Times New Roman"/>
                <w:sz w:val="22"/>
                <w:szCs w:val="22"/>
              </w:rPr>
            </w:pPr>
            <w:r w:rsidRPr="00254BEE">
              <w:rPr>
                <w:rFonts w:ascii="Times New Roman" w:hAnsi="Times New Roman"/>
                <w:sz w:val="22"/>
                <w:szCs w:val="22"/>
              </w:rPr>
              <w:t>15.0 (p=0.2087)</w:t>
            </w:r>
          </w:p>
        </w:tc>
        <w:tc>
          <w:tcPr>
            <w:tcW w:w="1338" w:type="pct"/>
            <w:tcBorders>
              <w:top w:val="single" w:sz="4" w:space="0" w:color="auto"/>
            </w:tcBorders>
            <w:shd w:val="clear" w:color="auto" w:fill="auto"/>
          </w:tcPr>
          <w:p w14:paraId="4D29053A" w14:textId="77777777" w:rsidR="004D4B98" w:rsidRPr="00254BEE" w:rsidRDefault="004D4B98" w:rsidP="00945F73">
            <w:pPr>
              <w:pStyle w:val="Table"/>
              <w:jc w:val="center"/>
              <w:rPr>
                <w:rFonts w:ascii="Times New Roman" w:hAnsi="Times New Roman"/>
                <w:sz w:val="22"/>
                <w:szCs w:val="22"/>
              </w:rPr>
            </w:pPr>
            <w:r w:rsidRPr="00254BEE">
              <w:rPr>
                <w:rFonts w:ascii="Times New Roman" w:hAnsi="Times New Roman"/>
                <w:sz w:val="22"/>
                <w:szCs w:val="22"/>
              </w:rPr>
              <w:t>35.8 (p&lt;0.0001)</w:t>
            </w:r>
          </w:p>
        </w:tc>
      </w:tr>
      <w:tr w:rsidR="004D4B98" w:rsidRPr="00254BEE" w14:paraId="455BF935" w14:textId="77777777" w:rsidTr="00945F73">
        <w:tc>
          <w:tcPr>
            <w:tcW w:w="1515" w:type="pct"/>
            <w:shd w:val="clear" w:color="auto" w:fill="auto"/>
          </w:tcPr>
          <w:p w14:paraId="3D36CD63" w14:textId="77777777" w:rsidR="004D4B98" w:rsidRPr="00254BEE" w:rsidRDefault="004D4B98" w:rsidP="00945F73">
            <w:pPr>
              <w:pStyle w:val="Table"/>
              <w:rPr>
                <w:rFonts w:ascii="Times New Roman" w:hAnsi="Times New Roman"/>
                <w:sz w:val="22"/>
                <w:szCs w:val="22"/>
              </w:rPr>
            </w:pPr>
            <w:r w:rsidRPr="00254BEE">
              <w:rPr>
                <w:rFonts w:ascii="Times New Roman" w:hAnsi="Times New Roman"/>
                <w:sz w:val="22"/>
                <w:szCs w:val="22"/>
              </w:rPr>
              <w:t>Q4882g</w:t>
            </w:r>
          </w:p>
        </w:tc>
        <w:tc>
          <w:tcPr>
            <w:tcW w:w="844" w:type="pct"/>
            <w:shd w:val="clear" w:color="auto" w:fill="auto"/>
          </w:tcPr>
          <w:p w14:paraId="7A721D90" w14:textId="77777777" w:rsidR="004D4B98" w:rsidRPr="00254BEE" w:rsidRDefault="004D4B98" w:rsidP="00945F73">
            <w:pPr>
              <w:pStyle w:val="Table"/>
              <w:jc w:val="center"/>
              <w:rPr>
                <w:rFonts w:ascii="Times New Roman" w:eastAsia="PMingLiU" w:hAnsi="Times New Roman"/>
                <w:sz w:val="22"/>
                <w:szCs w:val="22"/>
                <w:lang w:eastAsia="zh-TW"/>
              </w:rPr>
            </w:pPr>
            <w:r w:rsidRPr="00254BEE">
              <w:rPr>
                <w:rFonts w:ascii="Times New Roman" w:eastAsia="PMingLiU" w:hAnsi="Times New Roman"/>
                <w:sz w:val="22"/>
                <w:szCs w:val="22"/>
                <w:lang w:eastAsia="zh-TW"/>
              </w:rPr>
              <w:t>5.1</w:t>
            </w:r>
          </w:p>
        </w:tc>
        <w:tc>
          <w:tcPr>
            <w:tcW w:w="1303" w:type="pct"/>
            <w:shd w:val="clear" w:color="auto" w:fill="auto"/>
          </w:tcPr>
          <w:p w14:paraId="06E50BE9" w14:textId="77777777" w:rsidR="004D4B98" w:rsidRPr="00254BEE" w:rsidRDefault="004D4B98" w:rsidP="00945F73">
            <w:pPr>
              <w:pStyle w:val="Table"/>
              <w:jc w:val="center"/>
              <w:rPr>
                <w:rFonts w:ascii="Times New Roman" w:hAnsi="Times New Roman"/>
                <w:sz w:val="22"/>
                <w:szCs w:val="22"/>
              </w:rPr>
            </w:pPr>
            <w:r w:rsidRPr="00254BEE">
              <w:rPr>
                <w:rFonts w:ascii="Times New Roman" w:hAnsi="Times New Roman"/>
                <w:sz w:val="22"/>
                <w:szCs w:val="22"/>
              </w:rPr>
              <w:t>22.0 (p=0.0019)</w:t>
            </w:r>
          </w:p>
        </w:tc>
        <w:tc>
          <w:tcPr>
            <w:tcW w:w="1338" w:type="pct"/>
            <w:shd w:val="clear" w:color="auto" w:fill="auto"/>
          </w:tcPr>
          <w:p w14:paraId="1C06A105" w14:textId="77777777" w:rsidR="004D4B98" w:rsidRPr="00254BEE" w:rsidRDefault="004D4B98" w:rsidP="00945F73">
            <w:pPr>
              <w:pStyle w:val="Table"/>
              <w:jc w:val="center"/>
              <w:rPr>
                <w:rFonts w:ascii="Times New Roman" w:eastAsia="PMingLiU" w:hAnsi="Times New Roman"/>
                <w:sz w:val="22"/>
                <w:szCs w:val="22"/>
                <w:lang w:eastAsia="zh-TW"/>
              </w:rPr>
            </w:pPr>
            <w:r w:rsidRPr="00254BEE">
              <w:rPr>
                <w:rFonts w:ascii="Times New Roman" w:eastAsia="PMingLiU" w:hAnsi="Times New Roman"/>
                <w:sz w:val="22"/>
                <w:szCs w:val="22"/>
                <w:lang w:eastAsia="zh-TW"/>
              </w:rPr>
              <w:t xml:space="preserve">44.3 </w:t>
            </w:r>
            <w:r w:rsidRPr="00254BEE">
              <w:rPr>
                <w:rFonts w:ascii="Times New Roman" w:hAnsi="Times New Roman"/>
                <w:sz w:val="22"/>
                <w:szCs w:val="22"/>
              </w:rPr>
              <w:t>(p&lt;0.0001)</w:t>
            </w:r>
          </w:p>
        </w:tc>
      </w:tr>
      <w:tr w:rsidR="004D4B98" w:rsidRPr="00254BEE" w14:paraId="1D73984F" w14:textId="77777777" w:rsidTr="00945F73">
        <w:tc>
          <w:tcPr>
            <w:tcW w:w="1515" w:type="pct"/>
            <w:shd w:val="clear" w:color="auto" w:fill="auto"/>
          </w:tcPr>
          <w:p w14:paraId="74744F86" w14:textId="77777777" w:rsidR="004D4B98" w:rsidRPr="00254BEE" w:rsidRDefault="004D4B98" w:rsidP="00945F73">
            <w:pPr>
              <w:pStyle w:val="Table"/>
              <w:rPr>
                <w:rFonts w:ascii="Times New Roman" w:hAnsi="Times New Roman"/>
                <w:sz w:val="22"/>
                <w:szCs w:val="22"/>
              </w:rPr>
            </w:pPr>
            <w:r w:rsidRPr="00254BEE">
              <w:rPr>
                <w:rFonts w:ascii="Times New Roman" w:hAnsi="Times New Roman"/>
                <w:sz w:val="22"/>
                <w:szCs w:val="22"/>
              </w:rPr>
              <w:t>Q4883g</w:t>
            </w:r>
          </w:p>
        </w:tc>
        <w:tc>
          <w:tcPr>
            <w:tcW w:w="844" w:type="pct"/>
            <w:shd w:val="clear" w:color="auto" w:fill="auto"/>
          </w:tcPr>
          <w:p w14:paraId="2D1BCFC0" w14:textId="77777777" w:rsidR="004D4B98" w:rsidRPr="00254BEE" w:rsidRDefault="004D4B98" w:rsidP="00945F73">
            <w:pPr>
              <w:pStyle w:val="Table"/>
              <w:jc w:val="center"/>
              <w:rPr>
                <w:rFonts w:ascii="Times New Roman" w:eastAsia="PMingLiU" w:hAnsi="Times New Roman"/>
                <w:sz w:val="22"/>
                <w:szCs w:val="22"/>
                <w:lang w:eastAsia="zh-TW"/>
              </w:rPr>
            </w:pPr>
            <w:r w:rsidRPr="00254BEE">
              <w:rPr>
                <w:rFonts w:ascii="Times New Roman" w:eastAsia="PMingLiU" w:hAnsi="Times New Roman"/>
                <w:sz w:val="22"/>
                <w:szCs w:val="22"/>
                <w:lang w:eastAsia="zh-TW"/>
              </w:rPr>
              <w:t>4.8</w:t>
            </w:r>
          </w:p>
        </w:tc>
        <w:tc>
          <w:tcPr>
            <w:tcW w:w="1303" w:type="pct"/>
            <w:shd w:val="clear" w:color="auto" w:fill="auto"/>
          </w:tcPr>
          <w:p w14:paraId="1EFDCD32" w14:textId="77777777" w:rsidR="004D4B98" w:rsidRPr="00254BEE" w:rsidRDefault="004D4B98" w:rsidP="00945F73">
            <w:pPr>
              <w:pStyle w:val="Table"/>
              <w:jc w:val="center"/>
              <w:rPr>
                <w:rFonts w:ascii="Times New Roman" w:hAnsi="Times New Roman"/>
                <w:sz w:val="22"/>
                <w:szCs w:val="22"/>
              </w:rPr>
            </w:pPr>
            <w:r w:rsidRPr="00254BEE">
              <w:rPr>
                <w:rFonts w:ascii="Times New Roman" w:eastAsia="PMingLiU" w:hAnsi="Times New Roman"/>
                <w:sz w:val="22"/>
                <w:szCs w:val="22"/>
                <w:lang w:eastAsia="zh-TW"/>
              </w:rPr>
              <w:t>NA</w:t>
            </w:r>
          </w:p>
        </w:tc>
        <w:tc>
          <w:tcPr>
            <w:tcW w:w="1338" w:type="pct"/>
            <w:shd w:val="clear" w:color="auto" w:fill="auto"/>
          </w:tcPr>
          <w:p w14:paraId="09B5C5D8" w14:textId="77777777" w:rsidR="004D4B98" w:rsidRPr="00254BEE" w:rsidRDefault="004D4B98" w:rsidP="00945F73">
            <w:pPr>
              <w:pStyle w:val="Table"/>
              <w:jc w:val="center"/>
              <w:rPr>
                <w:rFonts w:ascii="Times New Roman" w:hAnsi="Times New Roman"/>
                <w:sz w:val="22"/>
                <w:szCs w:val="22"/>
              </w:rPr>
            </w:pPr>
            <w:r w:rsidRPr="00254BEE">
              <w:rPr>
                <w:rFonts w:ascii="Times New Roman" w:hAnsi="Times New Roman"/>
                <w:sz w:val="22"/>
                <w:szCs w:val="22"/>
              </w:rPr>
              <w:t>33.7 (p&lt;0.0001)</w:t>
            </w:r>
          </w:p>
        </w:tc>
      </w:tr>
      <w:tr w:rsidR="004D4B98" w:rsidRPr="00254BEE" w14:paraId="051FB418" w14:textId="77777777" w:rsidTr="00945F73">
        <w:tc>
          <w:tcPr>
            <w:tcW w:w="1515" w:type="pct"/>
            <w:shd w:val="clear" w:color="auto" w:fill="auto"/>
          </w:tcPr>
          <w:p w14:paraId="76A6C1F2" w14:textId="77777777" w:rsidR="004D4B98" w:rsidRPr="00254BEE" w:rsidRDefault="004D4B98" w:rsidP="00945F73">
            <w:pPr>
              <w:pStyle w:val="Table"/>
              <w:rPr>
                <w:rFonts w:ascii="Times New Roman" w:hAnsi="Times New Roman"/>
                <w:sz w:val="22"/>
                <w:szCs w:val="22"/>
              </w:rPr>
            </w:pPr>
          </w:p>
        </w:tc>
        <w:tc>
          <w:tcPr>
            <w:tcW w:w="844" w:type="pct"/>
            <w:shd w:val="clear" w:color="auto" w:fill="auto"/>
          </w:tcPr>
          <w:p w14:paraId="766B6A68" w14:textId="77777777" w:rsidR="004D4B98" w:rsidRPr="00254BEE" w:rsidRDefault="004D4B98" w:rsidP="00945F73">
            <w:pPr>
              <w:pStyle w:val="Table"/>
              <w:jc w:val="center"/>
              <w:rPr>
                <w:rFonts w:ascii="Times New Roman" w:eastAsia="PMingLiU" w:hAnsi="Times New Roman"/>
                <w:sz w:val="22"/>
                <w:szCs w:val="22"/>
                <w:lang w:eastAsia="zh-TW"/>
              </w:rPr>
            </w:pPr>
          </w:p>
        </w:tc>
        <w:tc>
          <w:tcPr>
            <w:tcW w:w="1303" w:type="pct"/>
            <w:shd w:val="clear" w:color="auto" w:fill="auto"/>
          </w:tcPr>
          <w:p w14:paraId="11DDFD9D" w14:textId="77777777" w:rsidR="004D4B98" w:rsidRPr="00254BEE" w:rsidRDefault="004D4B98" w:rsidP="00945F73">
            <w:pPr>
              <w:pStyle w:val="Table"/>
              <w:jc w:val="center"/>
              <w:rPr>
                <w:rFonts w:ascii="Times New Roman" w:hAnsi="Times New Roman"/>
                <w:sz w:val="22"/>
                <w:szCs w:val="22"/>
              </w:rPr>
            </w:pPr>
          </w:p>
        </w:tc>
        <w:tc>
          <w:tcPr>
            <w:tcW w:w="1338" w:type="pct"/>
            <w:shd w:val="clear" w:color="auto" w:fill="auto"/>
          </w:tcPr>
          <w:p w14:paraId="0C571DD2" w14:textId="77777777" w:rsidR="004D4B98" w:rsidRPr="00254BEE" w:rsidRDefault="004D4B98" w:rsidP="00945F73">
            <w:pPr>
              <w:pStyle w:val="Table"/>
              <w:jc w:val="center"/>
              <w:rPr>
                <w:rFonts w:ascii="Times New Roman" w:hAnsi="Times New Roman"/>
                <w:sz w:val="22"/>
                <w:szCs w:val="22"/>
              </w:rPr>
            </w:pPr>
          </w:p>
        </w:tc>
      </w:tr>
      <w:tr w:rsidR="004D4B98" w:rsidRPr="00254BEE" w14:paraId="7A15E44C" w14:textId="77777777" w:rsidTr="00945F73">
        <w:tc>
          <w:tcPr>
            <w:tcW w:w="5000" w:type="pct"/>
            <w:gridSpan w:val="4"/>
            <w:tcBorders>
              <w:top w:val="single" w:sz="4" w:space="0" w:color="auto"/>
              <w:bottom w:val="single" w:sz="4" w:space="0" w:color="auto"/>
            </w:tcBorders>
            <w:shd w:val="clear" w:color="auto" w:fill="auto"/>
          </w:tcPr>
          <w:p w14:paraId="2C4CB60A" w14:textId="77777777" w:rsidR="004D4B98" w:rsidRPr="00254BEE" w:rsidRDefault="004D4B98" w:rsidP="00B41490">
            <w:pPr>
              <w:autoSpaceDE w:val="0"/>
              <w:autoSpaceDN w:val="0"/>
              <w:adjustRightInd w:val="0"/>
              <w:rPr>
                <w:i/>
                <w:sz w:val="18"/>
                <w:szCs w:val="18"/>
              </w:rPr>
            </w:pPr>
            <w:r w:rsidRPr="00254BEE">
              <w:rPr>
                <w:i/>
                <w:sz w:val="18"/>
                <w:szCs w:val="18"/>
              </w:rPr>
              <w:t>*Modified intent-to-treat (mITT) population: included all patients who were randomised and received at least one dose of study medication</w:t>
            </w:r>
          </w:p>
          <w:p w14:paraId="15F075C0" w14:textId="77777777" w:rsidR="004D4B98" w:rsidRPr="00254BEE" w:rsidRDefault="004D4B98" w:rsidP="00B41490">
            <w:pPr>
              <w:autoSpaceDE w:val="0"/>
              <w:autoSpaceDN w:val="0"/>
              <w:adjustRightInd w:val="0"/>
              <w:rPr>
                <w:i/>
                <w:sz w:val="18"/>
                <w:szCs w:val="18"/>
              </w:rPr>
            </w:pPr>
            <w:r w:rsidRPr="00254BEE">
              <w:rPr>
                <w:i/>
                <w:sz w:val="18"/>
                <w:szCs w:val="18"/>
              </w:rPr>
              <w:t xml:space="preserve">p-value was derived using </w:t>
            </w:r>
            <w:r w:rsidR="00B32A9A" w:rsidRPr="00254BEE">
              <w:rPr>
                <w:i/>
                <w:sz w:val="18"/>
                <w:szCs w:val="18"/>
              </w:rPr>
              <w:t xml:space="preserve">Cox proportional hazard model, ANCOVA, stratified Wilcoxon, and stratified CMH, as appropriate, </w:t>
            </w:r>
            <w:r w:rsidRPr="00254BEE">
              <w:rPr>
                <w:i/>
                <w:sz w:val="18"/>
                <w:szCs w:val="18"/>
              </w:rPr>
              <w:t>comparing between active treatment and placebo</w:t>
            </w:r>
          </w:p>
          <w:p w14:paraId="44E2119A" w14:textId="77777777" w:rsidR="004D4B98" w:rsidRPr="00254BEE" w:rsidRDefault="004D4B98" w:rsidP="00B41490">
            <w:pPr>
              <w:autoSpaceDE w:val="0"/>
              <w:autoSpaceDN w:val="0"/>
              <w:adjustRightInd w:val="0"/>
              <w:rPr>
                <w:i/>
                <w:sz w:val="18"/>
                <w:szCs w:val="18"/>
              </w:rPr>
            </w:pPr>
            <w:r w:rsidRPr="00254BEE">
              <w:rPr>
                <w:i/>
                <w:sz w:val="18"/>
                <w:szCs w:val="18"/>
              </w:rPr>
              <w:t>NA: Not applicable.</w:t>
            </w:r>
          </w:p>
          <w:p w14:paraId="2FCA2C65" w14:textId="77777777" w:rsidR="004D4B98" w:rsidRPr="00254BEE" w:rsidRDefault="004D4B98" w:rsidP="00B41490">
            <w:pPr>
              <w:autoSpaceDE w:val="0"/>
              <w:autoSpaceDN w:val="0"/>
              <w:adjustRightInd w:val="0"/>
              <w:rPr>
                <w:sz w:val="18"/>
                <w:szCs w:val="18"/>
              </w:rPr>
            </w:pPr>
            <w:r w:rsidRPr="00254BEE">
              <w:rPr>
                <w:i/>
                <w:sz w:val="18"/>
                <w:szCs w:val="18"/>
              </w:rPr>
              <w:t>BOCF: Baseline Observation Carried Forward</w:t>
            </w:r>
          </w:p>
        </w:tc>
      </w:tr>
    </w:tbl>
    <w:p w14:paraId="34E42DFF" w14:textId="77777777" w:rsidR="00A0228E" w:rsidRPr="00254BEE" w:rsidRDefault="00A0228E" w:rsidP="00A0228E">
      <w:pPr>
        <w:pStyle w:val="Text"/>
      </w:pPr>
    </w:p>
    <w:p w14:paraId="30C5692D" w14:textId="77777777" w:rsidR="00A0228E" w:rsidRPr="00254BEE" w:rsidRDefault="00A0228E" w:rsidP="00A0228E">
      <w:pPr>
        <w:pStyle w:val="Text"/>
      </w:pPr>
      <w:r w:rsidRPr="00254BEE">
        <w:t>Figure 2 shows mean UAS7 over time in study Q4881g, displaying a significant decrease from baseline in both treatment groups with a maximum effect around week 12. The magnitude of the effect was maintained during the 24-week treatment period. In studies Q4882g (150 mg and 300 mg over the 12-week treatment period) and Q4883g (300 mg over 24-week treatment period) the results were similar to those of study Q4881g.</w:t>
      </w:r>
    </w:p>
    <w:p w14:paraId="2060BF83" w14:textId="77777777" w:rsidR="00A0228E" w:rsidRPr="00254BEE" w:rsidRDefault="00A0228E" w:rsidP="00A0228E">
      <w:pPr>
        <w:pStyle w:val="Text"/>
      </w:pPr>
      <w:r w:rsidRPr="00254BEE">
        <w:t>In all three studies (see Figure 2 for study Q4881g), the UAS7 for both omalizumab treatment groups increased gradually during the 16-week treatment-free follow-up period, consistent with symptom re</w:t>
      </w:r>
      <w:r w:rsidRPr="00254BEE">
        <w:noBreakHyphen/>
        <w:t>occurrence. Mean values at the end of the follow-up period were similar to the placebo group but lower than respective mean baseline values.</w:t>
      </w:r>
    </w:p>
    <w:p w14:paraId="3A9FC81A" w14:textId="77777777" w:rsidR="00A0228E" w:rsidRPr="00254BEE" w:rsidRDefault="00A0228E" w:rsidP="00A0228E">
      <w:pPr>
        <w:pStyle w:val="Text"/>
      </w:pPr>
    </w:p>
    <w:p w14:paraId="1ECC5A2D" w14:textId="77777777" w:rsidR="00B36C84" w:rsidRPr="00254BEE" w:rsidRDefault="00B36C84">
      <w:pPr>
        <w:rPr>
          <w:b/>
          <w:u w:val="single"/>
        </w:rPr>
      </w:pPr>
      <w:r w:rsidRPr="00254BEE">
        <w:br w:type="page"/>
      </w:r>
    </w:p>
    <w:p w14:paraId="20AC23D3" w14:textId="77777777" w:rsidR="00A0228E" w:rsidRPr="00254BEE" w:rsidRDefault="00A0228E" w:rsidP="00A0228E">
      <w:pPr>
        <w:pStyle w:val="Heading7"/>
      </w:pPr>
      <w:r w:rsidRPr="00254BEE">
        <w:lastRenderedPageBreak/>
        <w:t>Figure 2</w:t>
      </w:r>
      <w:r w:rsidRPr="00254BEE">
        <w:tab/>
        <w:t>Mean UAS7 over time, Study Q4881g (BOCF, mITT population)</w:t>
      </w:r>
    </w:p>
    <w:p w14:paraId="06E72754" w14:textId="77777777" w:rsidR="00A0228E" w:rsidRPr="00254BEE" w:rsidRDefault="00A0228E" w:rsidP="00A0228E">
      <w:pPr>
        <w:tabs>
          <w:tab w:val="left" w:pos="567"/>
        </w:tabs>
        <w:spacing w:line="260" w:lineRule="exact"/>
        <w:rPr>
          <w:sz w:val="22"/>
        </w:rPr>
      </w:pPr>
    </w:p>
    <w:p w14:paraId="6CDC748A" w14:textId="77777777" w:rsidR="00A0228E" w:rsidRPr="00254BEE" w:rsidRDefault="00A0228E" w:rsidP="00A0228E">
      <w:pPr>
        <w:keepNext/>
        <w:tabs>
          <w:tab w:val="left" w:pos="-720"/>
          <w:tab w:val="left" w:pos="567"/>
          <w:tab w:val="left" w:pos="4536"/>
        </w:tabs>
        <w:suppressAutoHyphens/>
        <w:outlineLvl w:val="6"/>
        <w:rPr>
          <w:sz w:val="22"/>
          <w:szCs w:val="22"/>
        </w:rPr>
      </w:pPr>
      <w:r w:rsidRPr="00254BEE">
        <w:rPr>
          <w:i/>
          <w:noProof/>
          <w:sz w:val="22"/>
          <w:lang w:val="en-AU" w:eastAsia="en-AU"/>
        </w:rPr>
        <mc:AlternateContent>
          <mc:Choice Requires="wps">
            <w:drawing>
              <wp:anchor distT="0" distB="0" distL="114300" distR="114300" simplePos="0" relativeHeight="251737088" behindDoc="0" locked="0" layoutInCell="1" allowOverlap="1" wp14:anchorId="5693F490" wp14:editId="051A0BA3">
                <wp:simplePos x="0" y="0"/>
                <wp:positionH relativeFrom="column">
                  <wp:posOffset>2443480</wp:posOffset>
                </wp:positionH>
                <wp:positionV relativeFrom="paragraph">
                  <wp:posOffset>2896235</wp:posOffset>
                </wp:positionV>
                <wp:extent cx="107315" cy="279400"/>
                <wp:effectExtent l="0" t="0" r="6985" b="6350"/>
                <wp:wrapNone/>
                <wp:docPr id="33" name="Up Arrow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279400"/>
                        </a:xfrm>
                        <a:prstGeom prst="upArrow">
                          <a:avLst>
                            <a:gd name="adj1" fmla="val 50000"/>
                            <a:gd name="adj2" fmla="val 50000"/>
                          </a:avLst>
                        </a:prstGeom>
                        <a:solidFill>
                          <a:sysClr val="windowText" lastClr="000000"/>
                        </a:solidFill>
                        <a:ln w="9525" algn="ctr">
                          <a:noFill/>
                          <a:round/>
                          <a:headEnd/>
                          <a:tailEn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A4819A" id="Up Arrow 33" o:spid="_x0000_s1026" type="#_x0000_t68" style="position:absolute;margin-left:192.4pt;margin-top:228.05pt;width:8.45pt;height:2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" adj="4148" fillcolor="windowText" stroked="f">
                <v:stroke joinstyle="round"/>
              </v:shape>
            </w:pict>
          </mc:Fallback>
        </mc:AlternateContent>
      </w:r>
      <w:r w:rsidRPr="00254BEE">
        <w:rPr>
          <w:i/>
          <w:noProof/>
          <w:sz w:val="22"/>
          <w:lang w:val="en-AU" w:eastAsia="en-AU"/>
        </w:rPr>
        <mc:AlternateContent>
          <mc:Choice Requires="wps">
            <w:drawing>
              <wp:anchor distT="0" distB="0" distL="114300" distR="114300" simplePos="0" relativeHeight="251738112" behindDoc="0" locked="0" layoutInCell="1" allowOverlap="1" wp14:anchorId="533D1F17" wp14:editId="6ADE9C01">
                <wp:simplePos x="0" y="0"/>
                <wp:positionH relativeFrom="column">
                  <wp:posOffset>2958303</wp:posOffset>
                </wp:positionH>
                <wp:positionV relativeFrom="paragraph">
                  <wp:posOffset>2898775</wp:posOffset>
                </wp:positionV>
                <wp:extent cx="107315" cy="279400"/>
                <wp:effectExtent l="0" t="0" r="6985" b="6350"/>
                <wp:wrapNone/>
                <wp:docPr id="26" name="Up Arrow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279400"/>
                        </a:xfrm>
                        <a:prstGeom prst="upArrow">
                          <a:avLst>
                            <a:gd name="adj1" fmla="val 50000"/>
                            <a:gd name="adj2" fmla="val 50000"/>
                          </a:avLst>
                        </a:prstGeom>
                        <a:solidFill>
                          <a:sysClr val="windowText" lastClr="000000"/>
                        </a:solidFill>
                        <a:ln w="9525" algn="ctr">
                          <a:noFill/>
                          <a:round/>
                          <a:headEnd/>
                          <a:tailEn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A6A1181" id="Up Arrow 26" o:spid="_x0000_s1026" type="#_x0000_t68" style="position:absolute;margin-left:232.95pt;margin-top:228.25pt;width:8.45pt;height:2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" adj="4148" fillcolor="windowText" stroked="f">
                <v:stroke joinstyle="round"/>
              </v:shape>
            </w:pict>
          </mc:Fallback>
        </mc:AlternateContent>
      </w:r>
      <w:r w:rsidRPr="00254BEE">
        <w:rPr>
          <w:i/>
          <w:noProof/>
          <w:sz w:val="22"/>
          <w:lang w:val="en-AU" w:eastAsia="en-AU"/>
        </w:rPr>
        <mc:AlternateContent>
          <mc:Choice Requires="wps">
            <w:drawing>
              <wp:anchor distT="0" distB="0" distL="114300" distR="114300" simplePos="0" relativeHeight="251734016" behindDoc="0" locked="0" layoutInCell="1" allowOverlap="1" wp14:anchorId="7913CCB8" wp14:editId="07A1A084">
                <wp:simplePos x="0" y="0"/>
                <wp:positionH relativeFrom="column">
                  <wp:posOffset>1393190</wp:posOffset>
                </wp:positionH>
                <wp:positionV relativeFrom="paragraph">
                  <wp:posOffset>2891790</wp:posOffset>
                </wp:positionV>
                <wp:extent cx="107315" cy="279400"/>
                <wp:effectExtent l="0" t="0" r="6985" b="6350"/>
                <wp:wrapNone/>
                <wp:docPr id="49" name="Up Arrow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279400"/>
                        </a:xfrm>
                        <a:prstGeom prst="upArrow">
                          <a:avLst>
                            <a:gd name="adj1" fmla="val 50000"/>
                            <a:gd name="adj2" fmla="val 50000"/>
                          </a:avLst>
                        </a:prstGeom>
                        <a:solidFill>
                          <a:sysClr val="windowText" lastClr="000000"/>
                        </a:solidFill>
                        <a:ln w="9525" algn="ctr">
                          <a:noFill/>
                          <a:round/>
                          <a:headEnd/>
                          <a:tailEn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510109" id="Up Arrow 49" o:spid="_x0000_s1026" type="#_x0000_t68" style="position:absolute;margin-left:109.7pt;margin-top:227.7pt;width:8.45pt;height:2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" adj="4148" fillcolor="windowText" stroked="f">
                <v:stroke joinstyle="round"/>
              </v:shape>
            </w:pict>
          </mc:Fallback>
        </mc:AlternateContent>
      </w:r>
      <w:r w:rsidRPr="00254BEE">
        <w:rPr>
          <w:i/>
          <w:noProof/>
          <w:sz w:val="22"/>
          <w:lang w:val="en-AU" w:eastAsia="en-AU"/>
        </w:rPr>
        <mc:AlternateContent>
          <mc:Choice Requires="wps">
            <w:drawing>
              <wp:anchor distT="0" distB="0" distL="114300" distR="114300" simplePos="0" relativeHeight="251736064" behindDoc="0" locked="0" layoutInCell="1" allowOverlap="1" wp14:anchorId="5E978A32" wp14:editId="769D7A60">
                <wp:simplePos x="0" y="0"/>
                <wp:positionH relativeFrom="column">
                  <wp:posOffset>1919605</wp:posOffset>
                </wp:positionH>
                <wp:positionV relativeFrom="paragraph">
                  <wp:posOffset>2903382</wp:posOffset>
                </wp:positionV>
                <wp:extent cx="107315" cy="279400"/>
                <wp:effectExtent l="0" t="0" r="6985" b="6350"/>
                <wp:wrapNone/>
                <wp:docPr id="47" name="Up Arrow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279400"/>
                        </a:xfrm>
                        <a:prstGeom prst="upArrow">
                          <a:avLst>
                            <a:gd name="adj1" fmla="val 50000"/>
                            <a:gd name="adj2" fmla="val 50000"/>
                          </a:avLst>
                        </a:prstGeom>
                        <a:solidFill>
                          <a:sysClr val="windowText" lastClr="000000"/>
                        </a:solidFill>
                        <a:ln w="9525" algn="ctr">
                          <a:noFill/>
                          <a:round/>
                          <a:headEnd/>
                          <a:tailEn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2515E38" id="Up Arrow 47" o:spid="_x0000_s1026" type="#_x0000_t68" style="position:absolute;margin-left:151.15pt;margin-top:228.6pt;width:8.45pt;height:2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" adj="4148" fillcolor="windowText" stroked="f">
                <v:stroke joinstyle="round"/>
              </v:shape>
            </w:pict>
          </mc:Fallback>
        </mc:AlternateContent>
      </w:r>
      <w:r w:rsidRPr="00254BEE">
        <w:rPr>
          <w:i/>
          <w:noProof/>
          <w:sz w:val="22"/>
          <w:lang w:val="en-AU" w:eastAsia="en-AU"/>
        </w:rPr>
        <mc:AlternateContent>
          <mc:Choice Requires="wps">
            <w:drawing>
              <wp:anchor distT="0" distB="0" distL="114300" distR="114300" simplePos="0" relativeHeight="251732992" behindDoc="0" locked="0" layoutInCell="1" allowOverlap="1" wp14:anchorId="126CA964" wp14:editId="6DAB262F">
                <wp:simplePos x="0" y="0"/>
                <wp:positionH relativeFrom="column">
                  <wp:posOffset>897255</wp:posOffset>
                </wp:positionH>
                <wp:positionV relativeFrom="paragraph">
                  <wp:posOffset>2891317</wp:posOffset>
                </wp:positionV>
                <wp:extent cx="107315" cy="279400"/>
                <wp:effectExtent l="0" t="0" r="6985" b="6350"/>
                <wp:wrapNone/>
                <wp:docPr id="50" name="Up Arrow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279400"/>
                        </a:xfrm>
                        <a:prstGeom prst="upArrow">
                          <a:avLst>
                            <a:gd name="adj1" fmla="val 50000"/>
                            <a:gd name="adj2" fmla="val 50000"/>
                          </a:avLst>
                        </a:prstGeom>
                        <a:solidFill>
                          <a:sysClr val="windowText" lastClr="000000"/>
                        </a:solidFill>
                        <a:ln w="9525" algn="ctr">
                          <a:noFill/>
                          <a:round/>
                          <a:headEnd/>
                          <a:tailEn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80CBF9A" id="Up Arrow 50" o:spid="_x0000_s1026" type="#_x0000_t68" style="position:absolute;margin-left:70.65pt;margin-top:227.65pt;width:8.45pt;height:2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" adj="4148" fillcolor="windowText" stroked="f">
                <v:stroke joinstyle="round"/>
              </v:shape>
            </w:pict>
          </mc:Fallback>
        </mc:AlternateContent>
      </w:r>
      <w:r w:rsidRPr="00254BEE">
        <w:rPr>
          <w:i/>
          <w:noProof/>
          <w:sz w:val="22"/>
          <w:lang w:val="en-AU" w:eastAsia="en-AU"/>
        </w:rPr>
        <mc:AlternateContent>
          <mc:Choice Requires="wps">
            <w:drawing>
              <wp:anchor distT="0" distB="0" distL="114300" distR="114300" simplePos="0" relativeHeight="251731968" behindDoc="0" locked="0" layoutInCell="1" allowOverlap="1" wp14:anchorId="59E4D681" wp14:editId="3B05EF66">
                <wp:simplePos x="0" y="0"/>
                <wp:positionH relativeFrom="column">
                  <wp:posOffset>365125</wp:posOffset>
                </wp:positionH>
                <wp:positionV relativeFrom="paragraph">
                  <wp:posOffset>2878928</wp:posOffset>
                </wp:positionV>
                <wp:extent cx="107315" cy="279400"/>
                <wp:effectExtent l="0" t="0" r="6985" b="6350"/>
                <wp:wrapNone/>
                <wp:docPr id="51" name="Up Arrow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279400"/>
                        </a:xfrm>
                        <a:prstGeom prst="upArrow">
                          <a:avLst>
                            <a:gd name="adj1" fmla="val 50000"/>
                            <a:gd name="adj2" fmla="val 50000"/>
                          </a:avLst>
                        </a:prstGeom>
                        <a:solidFill>
                          <a:sysClr val="windowText" lastClr="000000"/>
                        </a:solidFill>
                        <a:ln w="9525" algn="ctr">
                          <a:noFill/>
                          <a:round/>
                          <a:headEnd/>
                          <a:tailEn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1D85F2" id="Up Arrow 51" o:spid="_x0000_s1026" type="#_x0000_t68" style="position:absolute;margin-left:28.75pt;margin-top:226.7pt;width:8.45pt;height:2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" adj="4148" fillcolor="windowText" stroked="f">
                <v:stroke joinstyle="round"/>
              </v:shape>
            </w:pict>
          </mc:Fallback>
        </mc:AlternateContent>
      </w:r>
      <w:r w:rsidRPr="00254BEE">
        <w:rPr>
          <w:i/>
          <w:noProof/>
          <w:sz w:val="22"/>
          <w:lang w:val="en-AU" w:eastAsia="en-AU"/>
        </w:rPr>
        <mc:AlternateContent>
          <mc:Choice Requires="wps">
            <w:drawing>
              <wp:anchor distT="0" distB="0" distL="114300" distR="114300" simplePos="0" relativeHeight="251739136" behindDoc="0" locked="0" layoutInCell="1" allowOverlap="1" wp14:anchorId="6DBE0267" wp14:editId="2D6F2E44">
                <wp:simplePos x="0" y="0"/>
                <wp:positionH relativeFrom="column">
                  <wp:posOffset>1663700</wp:posOffset>
                </wp:positionH>
                <wp:positionV relativeFrom="paragraph">
                  <wp:posOffset>22860</wp:posOffset>
                </wp:positionV>
                <wp:extent cx="621030" cy="627380"/>
                <wp:effectExtent l="0" t="0" r="26670" b="2032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627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F8014C" w14:textId="77777777" w:rsidR="00A26E77" w:rsidRPr="00D60D84" w:rsidRDefault="00A26E77" w:rsidP="00A0228E">
                            <w:pPr>
                              <w:pStyle w:val="NormalWeb"/>
                              <w:jc w:val="center"/>
                              <w:rPr>
                                <w:sz w:val="20"/>
                              </w:rPr>
                            </w:pPr>
                            <w:r w:rsidRPr="00D60D84">
                              <w:rPr>
                                <w:color w:val="000000"/>
                                <w:kern w:val="24"/>
                                <w:sz w:val="18"/>
                                <w:szCs w:val="22"/>
                                <w:lang w:val="de-CH"/>
                              </w:rPr>
                              <w:t xml:space="preserve">Week 12 </w:t>
                            </w:r>
                          </w:p>
                          <w:p w14:paraId="3356ACCF" w14:textId="77777777" w:rsidR="00A26E77" w:rsidRPr="00D60D84" w:rsidRDefault="00A26E77" w:rsidP="00A0228E">
                            <w:pPr>
                              <w:pStyle w:val="NormalWeb"/>
                              <w:jc w:val="center"/>
                              <w:rPr>
                                <w:sz w:val="20"/>
                              </w:rPr>
                            </w:pPr>
                            <w:r w:rsidRPr="00D60D84">
                              <w:rPr>
                                <w:color w:val="000000"/>
                                <w:kern w:val="24"/>
                                <w:sz w:val="18"/>
                                <w:szCs w:val="22"/>
                                <w:lang w:val="de-CH"/>
                              </w:rPr>
                              <w:t>Primary Endpoint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1" type="#_x0000_t202" style="position:absolute;margin-left:131pt;margin-top:1.8pt;width:48.9pt;height:49.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" filled="f">
                <v:textbox>
                  <w:txbxContent>
                    <w:p w14:paraId="46F8014C" w14:textId="77777777" w:rsidR="00A26E77" w:rsidRPr="00D60D84" w:rsidRDefault="00A26E77" w:rsidP="00A0228E">
                      <w:pPr>
                        <w:pStyle w:val="NormalWeb"/>
                        <w:jc w:val="center"/>
                        <w:rPr>
                          <w:sz w:val="20"/>
                        </w:rPr>
                      </w:pPr>
                      <w:r w:rsidRPr="00D60D84">
                        <w:rPr>
                          <w:color w:val="000000"/>
                          <w:kern w:val="24"/>
                          <w:sz w:val="18"/>
                          <w:szCs w:val="22"/>
                          <w:lang w:val="de-CH"/>
                        </w:rPr>
                        <w:t xml:space="preserve">Week 12 </w:t>
                      </w:r>
                    </w:p>
                    <w:p w14:paraId="3356ACCF" w14:textId="77777777" w:rsidR="00A26E77" w:rsidRPr="00D60D84" w:rsidRDefault="00A26E77" w:rsidP="00A0228E">
                      <w:pPr>
                        <w:pStyle w:val="NormalWeb"/>
                        <w:jc w:val="center"/>
                        <w:rPr>
                          <w:sz w:val="20"/>
                        </w:rPr>
                      </w:pPr>
                      <w:r w:rsidRPr="00D60D84">
                        <w:rPr>
                          <w:color w:val="000000"/>
                          <w:kern w:val="24"/>
                          <w:sz w:val="18"/>
                          <w:szCs w:val="22"/>
                          <w:lang w:val="de-CH"/>
                        </w:rPr>
                        <w:t>Primary Endpoint</w:t>
                      </w:r>
                    </w:p>
                  </w:txbxContent>
                </v:textbox>
              </v:shape>
            </w:pict>
          </mc:Fallback>
        </mc:AlternateContent>
      </w:r>
      <w:r w:rsidRPr="00254BEE">
        <w:rPr>
          <w:i/>
          <w:noProof/>
          <w:sz w:val="22"/>
          <w:lang w:val="en-AU" w:eastAsia="en-AU"/>
        </w:rPr>
        <mc:AlternateContent>
          <mc:Choice Requires="wps">
            <w:drawing>
              <wp:anchor distT="0" distB="0" distL="114300" distR="114300" simplePos="0" relativeHeight="251729920" behindDoc="0" locked="0" layoutInCell="1" allowOverlap="1" wp14:anchorId="1D4EC27E" wp14:editId="718822CE">
                <wp:simplePos x="0" y="0"/>
                <wp:positionH relativeFrom="column">
                  <wp:posOffset>1005840</wp:posOffset>
                </wp:positionH>
                <wp:positionV relativeFrom="paragraph">
                  <wp:posOffset>1612265</wp:posOffset>
                </wp:positionV>
                <wp:extent cx="1924050" cy="7620"/>
                <wp:effectExtent l="5715" t="0" r="24765" b="2476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1924050" cy="762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4FE395" id="Straight Connector 48" o:spid="_x0000_s1026" style="position:absolute;rotation:90;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126.95pt" to="230.7pt,1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"/>
            </w:pict>
          </mc:Fallback>
        </mc:AlternateContent>
      </w:r>
      <w:r w:rsidRPr="00254BEE">
        <w:rPr>
          <w:i/>
          <w:noProof/>
          <w:sz w:val="22"/>
          <w:lang w:val="en-AU" w:eastAsia="en-AU"/>
        </w:rPr>
        <mc:AlternateContent>
          <mc:Choice Requires="wps">
            <w:drawing>
              <wp:anchor distT="0" distB="0" distL="114300" distR="114300" simplePos="0" relativeHeight="251740160" behindDoc="0" locked="0" layoutInCell="1" allowOverlap="1" wp14:anchorId="0EAC1A2C" wp14:editId="7B74BBA9">
                <wp:simplePos x="0" y="0"/>
                <wp:positionH relativeFrom="column">
                  <wp:posOffset>4774565</wp:posOffset>
                </wp:positionH>
                <wp:positionV relativeFrom="paragraph">
                  <wp:posOffset>2848610</wp:posOffset>
                </wp:positionV>
                <wp:extent cx="828040" cy="255905"/>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8040" cy="255905"/>
                        </a:xfrm>
                        <a:prstGeom prst="rect">
                          <a:avLst/>
                        </a:prstGeom>
                        <a:noFill/>
                      </wps:spPr>
                      <wps:txbx>
                        <w:txbxContent>
                          <w:p w14:paraId="190B0F62" w14:textId="77777777" w:rsidR="00A26E77" w:rsidRPr="00F90C48" w:rsidRDefault="00A26E77" w:rsidP="00A0228E">
                            <w:pPr>
                              <w:pStyle w:val="NormalWeb"/>
                              <w:jc w:val="right"/>
                            </w:pPr>
                            <w:r w:rsidRPr="00F90C48">
                              <w:rPr>
                                <w:color w:val="000000"/>
                                <w:kern w:val="24"/>
                                <w:sz w:val="22"/>
                                <w:szCs w:val="22"/>
                              </w:rPr>
                              <w:t>Week</w:t>
                            </w:r>
                          </w:p>
                        </w:txbxContent>
                      </wps:txbx>
                      <wps:bodyPr wrap="square" rtlCol="0" anchor="b">
                        <a:spAutoFit/>
                      </wps:bodyPr>
                    </wps:wsp>
                  </a:graphicData>
                </a:graphic>
                <wp14:sizeRelH relativeFrom="page">
                  <wp14:pctWidth>0</wp14:pctWidth>
                </wp14:sizeRelH>
                <wp14:sizeRelV relativeFrom="page">
                  <wp14:pctHeight>0</wp14:pctHeight>
                </wp14:sizeRelV>
              </wp:anchor>
            </w:drawing>
          </mc:Choice>
          <mc:Fallback>
            <w:pict>
              <v:shape id="Text Box 52" o:spid="_x0000_s1032" type="#_x0000_t202" style="position:absolute;margin-left:375.95pt;margin-top:224.3pt;width:65.2pt;height:20.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" filled="f" stroked="f">
                <v:path arrowok="t"/>
                <v:textbox style="mso-fit-shape-to-text:t">
                  <w:txbxContent>
                    <w:p w14:paraId="190B0F62" w14:textId="77777777" w:rsidR="00A26E77" w:rsidRPr="00F90C48" w:rsidRDefault="00A26E77" w:rsidP="00A0228E">
                      <w:pPr>
                        <w:pStyle w:val="NormalWeb"/>
                        <w:jc w:val="right"/>
                      </w:pPr>
                      <w:r w:rsidRPr="00F90C48">
                        <w:rPr>
                          <w:color w:val="000000"/>
                          <w:kern w:val="24"/>
                          <w:sz w:val="22"/>
                          <w:szCs w:val="22"/>
                        </w:rPr>
                        <w:t>Week</w:t>
                      </w:r>
                    </w:p>
                  </w:txbxContent>
                </v:textbox>
              </v:shape>
            </w:pict>
          </mc:Fallback>
        </mc:AlternateContent>
      </w:r>
      <w:r w:rsidRPr="00254BEE">
        <w:rPr>
          <w:i/>
          <w:noProof/>
          <w:sz w:val="22"/>
          <w:lang w:val="en-AU" w:eastAsia="en-AU"/>
        </w:rPr>
        <mc:AlternateContent>
          <mc:Choice Requires="wps">
            <w:drawing>
              <wp:anchor distT="0" distB="0" distL="114300" distR="114300" simplePos="0" relativeHeight="251735040" behindDoc="0" locked="0" layoutInCell="1" allowOverlap="1" wp14:anchorId="48502CA5" wp14:editId="46CD7F4C">
                <wp:simplePos x="0" y="0"/>
                <wp:positionH relativeFrom="column">
                  <wp:posOffset>251460</wp:posOffset>
                </wp:positionH>
                <wp:positionV relativeFrom="paragraph">
                  <wp:posOffset>3190875</wp:posOffset>
                </wp:positionV>
                <wp:extent cx="3415665" cy="255905"/>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5665" cy="255905"/>
                        </a:xfrm>
                        <a:prstGeom prst="rect">
                          <a:avLst/>
                        </a:prstGeom>
                        <a:noFill/>
                      </wps:spPr>
                      <wps:txbx>
                        <w:txbxContent>
                          <w:p w14:paraId="09FAC8FE" w14:textId="77777777" w:rsidR="00A26E77" w:rsidRPr="00F90C48" w:rsidRDefault="00A26E77" w:rsidP="00A0228E">
                            <w:pPr>
                              <w:pStyle w:val="NormalWeb"/>
                            </w:pPr>
                            <w:r w:rsidRPr="00F90C48">
                              <w:rPr>
                                <w:color w:val="000000"/>
                                <w:kern w:val="24"/>
                                <w:sz w:val="22"/>
                                <w:szCs w:val="22"/>
                              </w:rPr>
                              <w:t xml:space="preserve">Omalizumab or placebo administered </w:t>
                            </w:r>
                          </w:p>
                        </w:txbxContent>
                      </wps:txbx>
                      <wps:bodyPr wrap="square" rtlCol="0" anchor="b">
                        <a:spAutoFit/>
                      </wps:bodyPr>
                    </wps:wsp>
                  </a:graphicData>
                </a:graphic>
                <wp14:sizeRelH relativeFrom="page">
                  <wp14:pctWidth>0</wp14:pctWidth>
                </wp14:sizeRelH>
                <wp14:sizeRelV relativeFrom="page">
                  <wp14:pctHeight>0</wp14:pctHeight>
                </wp14:sizeRelV>
              </wp:anchor>
            </w:drawing>
          </mc:Choice>
          <mc:Fallback>
            <w:pict>
              <v:shape id="Text Box 53" o:spid="_x0000_s1033" type="#_x0000_t202" style="position:absolute;margin-left:19.8pt;margin-top:251.25pt;width:268.95pt;height:20.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" filled="f" stroked="f">
                <v:path arrowok="t"/>
                <v:textbox style="mso-fit-shape-to-text:t">
                  <w:txbxContent>
                    <w:p w14:paraId="09FAC8FE" w14:textId="77777777" w:rsidR="00A26E77" w:rsidRPr="00F90C48" w:rsidRDefault="00A26E77" w:rsidP="00A0228E">
                      <w:pPr>
                        <w:pStyle w:val="NormalWeb"/>
                      </w:pPr>
                      <w:r w:rsidRPr="00F90C48">
                        <w:rPr>
                          <w:color w:val="000000"/>
                          <w:kern w:val="24"/>
                          <w:sz w:val="22"/>
                          <w:szCs w:val="22"/>
                        </w:rPr>
                        <w:t xml:space="preserve">Omalizumab or placebo administered </w:t>
                      </w:r>
                    </w:p>
                  </w:txbxContent>
                </v:textbox>
              </v:shape>
            </w:pict>
          </mc:Fallback>
        </mc:AlternateContent>
      </w:r>
      <w:r w:rsidRPr="00254BEE">
        <w:rPr>
          <w:i/>
          <w:noProof/>
          <w:sz w:val="22"/>
          <w:lang w:val="en-AU" w:eastAsia="en-AU"/>
        </w:rPr>
        <mc:AlternateContent>
          <mc:Choice Requires="wps">
            <w:drawing>
              <wp:anchor distT="0" distB="0" distL="114300" distR="114300" simplePos="0" relativeHeight="251730944" behindDoc="0" locked="0" layoutInCell="1" allowOverlap="1" wp14:anchorId="549959C7" wp14:editId="1A1618F6">
                <wp:simplePos x="0" y="0"/>
                <wp:positionH relativeFrom="column">
                  <wp:posOffset>-1163320</wp:posOffset>
                </wp:positionH>
                <wp:positionV relativeFrom="paragraph">
                  <wp:posOffset>1571625</wp:posOffset>
                </wp:positionV>
                <wp:extent cx="2372995" cy="256540"/>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37299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07352" w14:textId="77777777" w:rsidR="00A26E77" w:rsidRPr="00F90C48" w:rsidRDefault="00A26E77" w:rsidP="00A0228E">
                            <w:pPr>
                              <w:pStyle w:val="NormalWeb"/>
                              <w:jc w:val="center"/>
                            </w:pPr>
                            <w:r w:rsidRPr="00F90C48">
                              <w:rPr>
                                <w:color w:val="000000"/>
                                <w:kern w:val="24"/>
                              </w:rPr>
                              <w:t>Mean UAS7 score</w:t>
                            </w:r>
                          </w:p>
                        </w:txbxContent>
                      </wps:txbx>
                      <wps:bodyPr rot="0" vert="vert270"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4" o:spid="_x0000_s1034" type="#_x0000_t202" style="position:absolute;margin-left:-91.6pt;margin-top:123.75pt;width:186.85pt;height:20.2pt;rotation:-9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" filled="f" stroked="f">
                <v:textbox style="layout-flow:vertical;mso-layout-flow-alt:bottom-to-top;mso-fit-shape-to-text:t">
                  <w:txbxContent>
                    <w:p w14:paraId="39607352" w14:textId="77777777" w:rsidR="00A26E77" w:rsidRPr="00F90C48" w:rsidRDefault="00A26E77" w:rsidP="00A0228E">
                      <w:pPr>
                        <w:pStyle w:val="NormalWeb"/>
                        <w:jc w:val="center"/>
                      </w:pPr>
                      <w:r w:rsidRPr="00F90C48">
                        <w:rPr>
                          <w:color w:val="000000"/>
                          <w:kern w:val="24"/>
                        </w:rPr>
                        <w:t>Mean UAS7 score</w:t>
                      </w:r>
                    </w:p>
                  </w:txbxContent>
                </v:textbox>
              </v:shape>
            </w:pict>
          </mc:Fallback>
        </mc:AlternateContent>
      </w:r>
      <w:r w:rsidRPr="00254BEE">
        <w:rPr>
          <w:i/>
          <w:noProof/>
          <w:sz w:val="22"/>
          <w:lang w:val="en-AU" w:eastAsia="en-AU"/>
        </w:rPr>
        <w:drawing>
          <wp:anchor distT="0" distB="0" distL="114300" distR="114300" simplePos="0" relativeHeight="251741184" behindDoc="0" locked="0" layoutInCell="1" allowOverlap="1" wp14:anchorId="5CC85DE5" wp14:editId="0DC713CE">
            <wp:simplePos x="0" y="0"/>
            <wp:positionH relativeFrom="column">
              <wp:posOffset>3724275</wp:posOffset>
            </wp:positionH>
            <wp:positionV relativeFrom="paragraph">
              <wp:posOffset>54610</wp:posOffset>
            </wp:positionV>
            <wp:extent cx="501015" cy="97790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015" cy="9779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54BEE">
        <w:rPr>
          <w:i/>
          <w:noProof/>
          <w:sz w:val="22"/>
          <w:lang w:val="en-AU" w:eastAsia="en-AU"/>
        </w:rPr>
        <mc:AlternateContent>
          <mc:Choice Requires="wps">
            <w:drawing>
              <wp:anchor distT="0" distB="0" distL="114300" distR="114300" simplePos="0" relativeHeight="251742208" behindDoc="0" locked="0" layoutInCell="1" allowOverlap="1" wp14:anchorId="294F71BF" wp14:editId="67CB70CB">
                <wp:simplePos x="0" y="0"/>
                <wp:positionH relativeFrom="column">
                  <wp:posOffset>4180840</wp:posOffset>
                </wp:positionH>
                <wp:positionV relativeFrom="paragraph">
                  <wp:posOffset>127000</wp:posOffset>
                </wp:positionV>
                <wp:extent cx="1515110" cy="73787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5110" cy="737870"/>
                        </a:xfrm>
                        <a:prstGeom prst="rect">
                          <a:avLst/>
                        </a:prstGeom>
                        <a:noFill/>
                      </wps:spPr>
                      <wps:txbx>
                        <w:txbxContent>
                          <w:p w14:paraId="39BB9AF5" w14:textId="77777777" w:rsidR="00A26E77" w:rsidRPr="008B1555" w:rsidRDefault="00A26E77" w:rsidP="00A0228E">
                            <w:pPr>
                              <w:pStyle w:val="NormalWeb"/>
                              <w:spacing w:after="120"/>
                            </w:pPr>
                            <w:r w:rsidRPr="008B1555">
                              <w:rPr>
                                <w:color w:val="000000"/>
                                <w:kern w:val="24"/>
                                <w:sz w:val="22"/>
                                <w:szCs w:val="22"/>
                                <w:lang w:val="de-CH"/>
                              </w:rPr>
                              <w:t>Placebo</w:t>
                            </w:r>
                          </w:p>
                          <w:p w14:paraId="6D348B15" w14:textId="77777777" w:rsidR="00A26E77" w:rsidRPr="008B1555" w:rsidRDefault="00A26E77" w:rsidP="00A0228E">
                            <w:pPr>
                              <w:pStyle w:val="NormalWeb"/>
                              <w:spacing w:after="120"/>
                            </w:pPr>
                            <w:r w:rsidRPr="008B1555">
                              <w:rPr>
                                <w:color w:val="000000"/>
                                <w:kern w:val="24"/>
                                <w:sz w:val="22"/>
                                <w:szCs w:val="22"/>
                                <w:lang w:val="de-CH"/>
                              </w:rPr>
                              <w:t>Omalizumab 150 mg</w:t>
                            </w:r>
                          </w:p>
                          <w:p w14:paraId="13C89BEB" w14:textId="77777777" w:rsidR="00A26E77" w:rsidRPr="008B1555" w:rsidRDefault="00A26E77" w:rsidP="00A0228E">
                            <w:pPr>
                              <w:pStyle w:val="NormalWeb"/>
                            </w:pPr>
                            <w:r w:rsidRPr="008B1555">
                              <w:rPr>
                                <w:color w:val="000000"/>
                                <w:kern w:val="24"/>
                                <w:sz w:val="22"/>
                                <w:szCs w:val="22"/>
                                <w:lang w:val="de-CH"/>
                              </w:rPr>
                              <w:t>Omalizumab 300 mg</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 Box 55" o:spid="_x0000_s1035" type="#_x0000_t202" style="position:absolute;margin-left:329.2pt;margin-top:10pt;width:119.3pt;height:58.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" filled="f" stroked="f">
                <v:path arrowok="t"/>
                <v:textbox style="mso-fit-shape-to-text:t">
                  <w:txbxContent>
                    <w:p w14:paraId="39BB9AF5" w14:textId="77777777" w:rsidR="00A26E77" w:rsidRPr="008B1555" w:rsidRDefault="00A26E77" w:rsidP="00A0228E">
                      <w:pPr>
                        <w:pStyle w:val="NormalWeb"/>
                        <w:spacing w:after="120"/>
                      </w:pPr>
                      <w:r w:rsidRPr="008B1555">
                        <w:rPr>
                          <w:color w:val="000000"/>
                          <w:kern w:val="24"/>
                          <w:sz w:val="22"/>
                          <w:szCs w:val="22"/>
                          <w:lang w:val="de-CH"/>
                        </w:rPr>
                        <w:t>Placebo</w:t>
                      </w:r>
                    </w:p>
                    <w:p w14:paraId="6D348B15" w14:textId="77777777" w:rsidR="00A26E77" w:rsidRPr="008B1555" w:rsidRDefault="00A26E77" w:rsidP="00A0228E">
                      <w:pPr>
                        <w:pStyle w:val="NormalWeb"/>
                        <w:spacing w:after="120"/>
                      </w:pPr>
                      <w:r w:rsidRPr="008B1555">
                        <w:rPr>
                          <w:color w:val="000000"/>
                          <w:kern w:val="24"/>
                          <w:sz w:val="22"/>
                          <w:szCs w:val="22"/>
                          <w:lang w:val="de-CH"/>
                        </w:rPr>
                        <w:t>Omalizumab 150 mg</w:t>
                      </w:r>
                    </w:p>
                    <w:p w14:paraId="13C89BEB" w14:textId="77777777" w:rsidR="00A26E77" w:rsidRPr="008B1555" w:rsidRDefault="00A26E77" w:rsidP="00A0228E">
                      <w:pPr>
                        <w:pStyle w:val="NormalWeb"/>
                      </w:pPr>
                      <w:r w:rsidRPr="008B1555">
                        <w:rPr>
                          <w:color w:val="000000"/>
                          <w:kern w:val="24"/>
                          <w:sz w:val="22"/>
                          <w:szCs w:val="22"/>
                          <w:lang w:val="de-CH"/>
                        </w:rPr>
                        <w:t>Omalizumab 300 mg</w:t>
                      </w:r>
                    </w:p>
                  </w:txbxContent>
                </v:textbox>
              </v:shape>
            </w:pict>
          </mc:Fallback>
        </mc:AlternateContent>
      </w:r>
      <w:r w:rsidRPr="00254BEE">
        <w:rPr>
          <w:noProof/>
          <w:sz w:val="22"/>
          <w:lang w:val="en-AU" w:eastAsia="en-AU"/>
        </w:rPr>
        <w:drawing>
          <wp:inline distT="0" distB="0" distL="0" distR="0" wp14:anchorId="02B315BC" wp14:editId="2B5575AF">
            <wp:extent cx="5748956" cy="3043989"/>
            <wp:effectExtent l="0" t="0" r="4445" b="4445"/>
            <wp:docPr id="57" name="Chart 5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06FC6B8" w14:textId="77777777" w:rsidR="00A0228E" w:rsidRPr="00254BEE" w:rsidRDefault="00A0228E" w:rsidP="00A0228E">
      <w:pPr>
        <w:keepNext/>
        <w:tabs>
          <w:tab w:val="left" w:pos="-720"/>
          <w:tab w:val="left" w:pos="567"/>
          <w:tab w:val="left" w:pos="4536"/>
        </w:tabs>
        <w:suppressAutoHyphens/>
        <w:outlineLvl w:val="6"/>
        <w:rPr>
          <w:sz w:val="22"/>
          <w:szCs w:val="22"/>
        </w:rPr>
      </w:pPr>
    </w:p>
    <w:p w14:paraId="3B2772F6" w14:textId="77777777" w:rsidR="00A0228E" w:rsidRPr="00254BEE" w:rsidRDefault="00A0228E" w:rsidP="00A0228E">
      <w:pPr>
        <w:keepNext/>
        <w:tabs>
          <w:tab w:val="left" w:pos="-720"/>
          <w:tab w:val="left" w:pos="567"/>
          <w:tab w:val="left" w:pos="4536"/>
        </w:tabs>
        <w:suppressAutoHyphens/>
        <w:outlineLvl w:val="6"/>
        <w:rPr>
          <w:sz w:val="22"/>
          <w:szCs w:val="22"/>
        </w:rPr>
      </w:pPr>
    </w:p>
    <w:p w14:paraId="73721357" w14:textId="77777777" w:rsidR="00A0228E" w:rsidRPr="00254BEE" w:rsidRDefault="00A0228E" w:rsidP="00A0228E">
      <w:pPr>
        <w:pStyle w:val="Legend"/>
        <w:rPr>
          <w:rFonts w:ascii="Times New Roman" w:hAnsi="Times New Roman"/>
          <w:i/>
          <w:color w:val="000000"/>
          <w:kern w:val="24"/>
          <w:sz w:val="18"/>
          <w:szCs w:val="18"/>
        </w:rPr>
      </w:pPr>
      <w:r w:rsidRPr="00254BEE">
        <w:rPr>
          <w:rFonts w:ascii="Times New Roman" w:hAnsi="Times New Roman"/>
          <w:color w:val="000000"/>
          <w:kern w:val="24"/>
          <w:sz w:val="16"/>
          <w:szCs w:val="16"/>
        </w:rPr>
        <w:br/>
      </w:r>
      <w:r w:rsidRPr="00254BEE">
        <w:rPr>
          <w:rFonts w:ascii="Times New Roman" w:hAnsi="Times New Roman"/>
          <w:i/>
          <w:color w:val="000000"/>
          <w:kern w:val="24"/>
          <w:sz w:val="18"/>
          <w:szCs w:val="18"/>
        </w:rPr>
        <w:t>BOCF=baseline observation carried forward; mITT=modified intention-to-treat population; UAS7= urticaria activity score over 7 days</w:t>
      </w:r>
    </w:p>
    <w:p w14:paraId="7A5CF7D9" w14:textId="77777777" w:rsidR="00945F73" w:rsidRPr="00254BEE" w:rsidRDefault="00945F73" w:rsidP="00945F73">
      <w:pPr>
        <w:pStyle w:val="Nottoc-headings"/>
        <w:ind w:left="0" w:firstLine="0"/>
        <w:rPr>
          <w:rFonts w:ascii="Times New Roman" w:hAnsi="Times New Roman"/>
        </w:rPr>
      </w:pPr>
    </w:p>
    <w:p w14:paraId="5B9D3ACA" w14:textId="77777777" w:rsidR="003E4BDD" w:rsidRPr="00254BEE" w:rsidRDefault="003E4BDD" w:rsidP="003E4BDD">
      <w:pPr>
        <w:pStyle w:val="Nottoc-headings"/>
        <w:rPr>
          <w:rFonts w:ascii="Times New Roman" w:hAnsi="Times New Roman"/>
        </w:rPr>
      </w:pPr>
      <w:bookmarkStart w:id="9" w:name="_4355258Proportion_of_patients_wit"/>
      <w:bookmarkStart w:id="10" w:name="_Toc361147957"/>
      <w:bookmarkEnd w:id="9"/>
    </w:p>
    <w:p w14:paraId="39E53412" w14:textId="77777777" w:rsidR="00975113" w:rsidRPr="00254BEE" w:rsidRDefault="00975113">
      <w:pPr>
        <w:rPr>
          <w:b/>
        </w:rPr>
      </w:pPr>
      <w:r w:rsidRPr="00254BEE">
        <w:rPr>
          <w:b/>
        </w:rPr>
        <w:br w:type="page"/>
      </w:r>
    </w:p>
    <w:p w14:paraId="290B6477" w14:textId="77777777" w:rsidR="003E4BDD" w:rsidRPr="00254BEE" w:rsidRDefault="003E4BDD" w:rsidP="003E4BDD">
      <w:pPr>
        <w:pStyle w:val="Nottoc-headings"/>
        <w:rPr>
          <w:rFonts w:ascii="Times New Roman" w:hAnsi="Times New Roman"/>
        </w:rPr>
      </w:pPr>
      <w:r w:rsidRPr="00254BEE">
        <w:rPr>
          <w:rFonts w:ascii="Times New Roman" w:hAnsi="Times New Roman"/>
        </w:rPr>
        <w:lastRenderedPageBreak/>
        <w:t>Efficacy after 24 weeks of treatment</w:t>
      </w:r>
      <w:bookmarkEnd w:id="10"/>
      <w:r w:rsidRPr="00254BEE">
        <w:rPr>
          <w:rFonts w:ascii="Times New Roman" w:hAnsi="Times New Roman"/>
        </w:rPr>
        <w:t xml:space="preserve"> </w:t>
      </w:r>
    </w:p>
    <w:p w14:paraId="3519FF79" w14:textId="77777777" w:rsidR="003E4BDD" w:rsidRPr="00254BEE" w:rsidRDefault="003E4BDD" w:rsidP="003E4BDD">
      <w:pPr>
        <w:pStyle w:val="Text"/>
      </w:pPr>
      <w:r w:rsidRPr="00254BEE">
        <w:t xml:space="preserve">Table </w:t>
      </w:r>
      <w:r w:rsidR="004C77BF" w:rsidRPr="00254BEE">
        <w:t xml:space="preserve">6 </w:t>
      </w:r>
      <w:r w:rsidRPr="00254BEE">
        <w:t xml:space="preserve">shows the results after 24 weeks of treatment. Similar magnitudes of response are seen as at 12 weeks. </w:t>
      </w:r>
    </w:p>
    <w:p w14:paraId="416AA16B" w14:textId="77777777" w:rsidR="00D76D41" w:rsidRPr="00254BEE" w:rsidRDefault="00D76D41" w:rsidP="003E4BDD">
      <w:pPr>
        <w:pStyle w:val="Text"/>
      </w:pPr>
    </w:p>
    <w:p w14:paraId="32BF6542" w14:textId="77777777" w:rsidR="003E4BDD" w:rsidRPr="00254BEE" w:rsidRDefault="003E4BDD" w:rsidP="00D76D41">
      <w:pPr>
        <w:widowControl w:val="0"/>
        <w:rPr>
          <w:b/>
          <w:color w:val="000000" w:themeColor="text1"/>
        </w:rPr>
      </w:pPr>
      <w:bookmarkStart w:id="11" w:name="_Toc361210684"/>
      <w:r w:rsidRPr="00254BEE">
        <w:rPr>
          <w:b/>
          <w:color w:val="000000" w:themeColor="text1"/>
        </w:rPr>
        <w:t xml:space="preserve">Table </w:t>
      </w:r>
      <w:r w:rsidR="004C77BF" w:rsidRPr="00254BEE">
        <w:rPr>
          <w:b/>
          <w:color w:val="000000" w:themeColor="text1"/>
        </w:rPr>
        <w:t>6</w:t>
      </w:r>
      <w:r w:rsidRPr="00254BEE">
        <w:rPr>
          <w:b/>
          <w:color w:val="000000" w:themeColor="text1"/>
        </w:rPr>
        <w:tab/>
        <w:t>Efficacy results after 24 weeks of treatment, Studies Q4881g and Q4883g (mITT population*)</w:t>
      </w:r>
      <w:bookmarkEnd w:id="11"/>
    </w:p>
    <w:tbl>
      <w:tblPr>
        <w:tblW w:w="9267" w:type="dxa"/>
        <w:tblCellMar>
          <w:left w:w="0" w:type="dxa"/>
          <w:right w:w="0" w:type="dxa"/>
        </w:tblCellMar>
        <w:tblLook w:val="04A0" w:firstRow="1" w:lastRow="0" w:firstColumn="1" w:lastColumn="0" w:noHBand="0" w:noVBand="1"/>
      </w:tblPr>
      <w:tblGrid>
        <w:gridCol w:w="2127"/>
        <w:gridCol w:w="1357"/>
        <w:gridCol w:w="1761"/>
        <w:gridCol w:w="155"/>
        <w:gridCol w:w="1830"/>
        <w:gridCol w:w="2037"/>
      </w:tblGrid>
      <w:tr w:rsidR="003E4BDD" w:rsidRPr="00254BEE" w14:paraId="74AE4CD5" w14:textId="77777777" w:rsidTr="00195F31">
        <w:tc>
          <w:tcPr>
            <w:tcW w:w="2127" w:type="dxa"/>
            <w:tcBorders>
              <w:top w:val="single" w:sz="4" w:space="0" w:color="auto"/>
              <w:left w:val="nil"/>
              <w:bottom w:val="single" w:sz="4" w:space="0" w:color="auto"/>
              <w:right w:val="nil"/>
            </w:tcBorders>
            <w:hideMark/>
          </w:tcPr>
          <w:p w14:paraId="739C5137" w14:textId="77777777" w:rsidR="003E4BDD" w:rsidRPr="00254BEE" w:rsidRDefault="003E4BDD" w:rsidP="003E4BDD">
            <w:pPr>
              <w:pStyle w:val="Table"/>
              <w:spacing w:line="276" w:lineRule="auto"/>
              <w:rPr>
                <w:rFonts w:ascii="Times New Roman" w:hAnsi="Times New Roman"/>
                <w:sz w:val="22"/>
                <w:szCs w:val="22"/>
              </w:rPr>
            </w:pPr>
            <w:r w:rsidRPr="00254BEE">
              <w:rPr>
                <w:rFonts w:ascii="Times New Roman" w:hAnsi="Times New Roman"/>
                <w:sz w:val="22"/>
                <w:szCs w:val="22"/>
              </w:rPr>
              <w:t>Parameter</w:t>
            </w:r>
            <w:r w:rsidRPr="00254BEE">
              <w:rPr>
                <w:rFonts w:ascii="Times New Roman" w:hAnsi="Times New Roman"/>
                <w:sz w:val="22"/>
                <w:szCs w:val="22"/>
              </w:rPr>
              <w:br/>
            </w:r>
            <w:r w:rsidRPr="00254BEE">
              <w:rPr>
                <w:rFonts w:ascii="Times New Roman" w:hAnsi="Times New Roman"/>
                <w:sz w:val="22"/>
                <w:szCs w:val="22"/>
              </w:rPr>
              <w:tab/>
              <w:t>Study</w:t>
            </w:r>
          </w:p>
        </w:tc>
        <w:tc>
          <w:tcPr>
            <w:tcW w:w="1357" w:type="dxa"/>
            <w:tcBorders>
              <w:top w:val="single" w:sz="4" w:space="0" w:color="auto"/>
              <w:left w:val="nil"/>
              <w:bottom w:val="single" w:sz="4" w:space="0" w:color="auto"/>
              <w:right w:val="nil"/>
            </w:tcBorders>
          </w:tcPr>
          <w:p w14:paraId="4EE4ACAE" w14:textId="77777777" w:rsidR="003E4BDD" w:rsidRPr="00254BEE" w:rsidRDefault="003E4BDD" w:rsidP="003E4BDD">
            <w:pPr>
              <w:pStyle w:val="Table"/>
              <w:spacing w:line="276" w:lineRule="auto"/>
              <w:rPr>
                <w:rFonts w:ascii="Times New Roman" w:hAnsi="Times New Roman"/>
                <w:sz w:val="22"/>
                <w:szCs w:val="22"/>
              </w:rPr>
            </w:pPr>
          </w:p>
          <w:p w14:paraId="35C1793C" w14:textId="77777777" w:rsidR="003E4BDD" w:rsidRPr="00254BEE" w:rsidRDefault="003E4BDD" w:rsidP="003E4BDD">
            <w:pPr>
              <w:pStyle w:val="Table"/>
              <w:spacing w:line="276" w:lineRule="auto"/>
              <w:rPr>
                <w:rFonts w:ascii="Times New Roman" w:hAnsi="Times New Roman"/>
                <w:sz w:val="22"/>
                <w:szCs w:val="22"/>
              </w:rPr>
            </w:pPr>
            <w:r w:rsidRPr="00254BEE">
              <w:rPr>
                <w:rFonts w:ascii="Times New Roman" w:hAnsi="Times New Roman"/>
                <w:sz w:val="22"/>
                <w:szCs w:val="22"/>
              </w:rPr>
              <w:t xml:space="preserve">Week </w:t>
            </w:r>
          </w:p>
        </w:tc>
        <w:tc>
          <w:tcPr>
            <w:tcW w:w="1761" w:type="dxa"/>
            <w:tcBorders>
              <w:top w:val="single" w:sz="4" w:space="0" w:color="auto"/>
              <w:left w:val="nil"/>
              <w:bottom w:val="single" w:sz="4" w:space="0" w:color="auto"/>
              <w:right w:val="nil"/>
            </w:tcBorders>
            <w:vAlign w:val="bottom"/>
            <w:hideMark/>
          </w:tcPr>
          <w:p w14:paraId="5A54CD75" w14:textId="77777777" w:rsidR="003E4BDD" w:rsidRPr="00254BEE" w:rsidRDefault="003E4BDD" w:rsidP="003E4BDD">
            <w:pPr>
              <w:pStyle w:val="Table"/>
              <w:spacing w:line="276" w:lineRule="auto"/>
              <w:jc w:val="center"/>
              <w:rPr>
                <w:rFonts w:ascii="Times New Roman" w:eastAsia="PMingLiU" w:hAnsi="Times New Roman"/>
                <w:sz w:val="22"/>
                <w:szCs w:val="22"/>
                <w:lang w:eastAsia="zh-TW"/>
              </w:rPr>
            </w:pPr>
            <w:r w:rsidRPr="00254BEE">
              <w:rPr>
                <w:rFonts w:ascii="Times New Roman" w:eastAsia="PMingLiU" w:hAnsi="Times New Roman"/>
                <w:sz w:val="22"/>
                <w:szCs w:val="22"/>
                <w:lang w:eastAsia="zh-TW"/>
              </w:rPr>
              <w:t>Placebo</w:t>
            </w:r>
          </w:p>
        </w:tc>
        <w:tc>
          <w:tcPr>
            <w:tcW w:w="155" w:type="dxa"/>
            <w:tcBorders>
              <w:top w:val="single" w:sz="4" w:space="0" w:color="auto"/>
              <w:left w:val="nil"/>
              <w:bottom w:val="single" w:sz="4" w:space="0" w:color="auto"/>
              <w:right w:val="nil"/>
            </w:tcBorders>
            <w:vAlign w:val="bottom"/>
            <w:hideMark/>
          </w:tcPr>
          <w:p w14:paraId="025AF978" w14:textId="77777777" w:rsidR="003E4BDD" w:rsidRPr="00254BEE" w:rsidRDefault="003E4BDD" w:rsidP="003E4BDD">
            <w:pPr>
              <w:pStyle w:val="Table"/>
              <w:spacing w:line="276" w:lineRule="auto"/>
              <w:jc w:val="center"/>
              <w:rPr>
                <w:rFonts w:ascii="Times New Roman" w:eastAsia="PMingLiU" w:hAnsi="Times New Roman"/>
                <w:sz w:val="22"/>
                <w:szCs w:val="22"/>
                <w:lang w:eastAsia="zh-TW"/>
              </w:rPr>
            </w:pPr>
          </w:p>
        </w:tc>
        <w:tc>
          <w:tcPr>
            <w:tcW w:w="1830" w:type="dxa"/>
            <w:tcBorders>
              <w:top w:val="single" w:sz="4" w:space="0" w:color="auto"/>
              <w:left w:val="nil"/>
              <w:bottom w:val="single" w:sz="4" w:space="0" w:color="auto"/>
              <w:right w:val="nil"/>
            </w:tcBorders>
            <w:vAlign w:val="bottom"/>
            <w:hideMark/>
          </w:tcPr>
          <w:p w14:paraId="77211CA6" w14:textId="77777777" w:rsidR="003E4BDD" w:rsidRPr="00254BEE" w:rsidRDefault="003E4BDD" w:rsidP="003E4BDD">
            <w:pPr>
              <w:pStyle w:val="Table"/>
              <w:spacing w:line="276" w:lineRule="auto"/>
              <w:jc w:val="center"/>
              <w:rPr>
                <w:rFonts w:ascii="Times New Roman" w:eastAsia="PMingLiU" w:hAnsi="Times New Roman"/>
                <w:sz w:val="22"/>
                <w:szCs w:val="22"/>
                <w:lang w:eastAsia="zh-TW"/>
              </w:rPr>
            </w:pPr>
            <w:r w:rsidRPr="00254BEE">
              <w:rPr>
                <w:rFonts w:ascii="Times New Roman" w:eastAsia="PMingLiU" w:hAnsi="Times New Roman"/>
                <w:sz w:val="22"/>
                <w:szCs w:val="22"/>
                <w:lang w:eastAsia="zh-TW"/>
              </w:rPr>
              <w:t>Omalizumab</w:t>
            </w:r>
            <w:r w:rsidRPr="00254BEE">
              <w:rPr>
                <w:rFonts w:ascii="Times New Roman" w:eastAsia="PMingLiU" w:hAnsi="Times New Roman"/>
                <w:sz w:val="22"/>
                <w:szCs w:val="22"/>
                <w:lang w:eastAsia="zh-TW"/>
              </w:rPr>
              <w:br/>
              <w:t>150 mg</w:t>
            </w:r>
          </w:p>
        </w:tc>
        <w:tc>
          <w:tcPr>
            <w:tcW w:w="2037" w:type="dxa"/>
            <w:tcBorders>
              <w:top w:val="single" w:sz="4" w:space="0" w:color="auto"/>
              <w:left w:val="nil"/>
              <w:bottom w:val="single" w:sz="4" w:space="0" w:color="auto"/>
              <w:right w:val="nil"/>
            </w:tcBorders>
            <w:vAlign w:val="bottom"/>
            <w:hideMark/>
          </w:tcPr>
          <w:p w14:paraId="4C550504" w14:textId="77777777" w:rsidR="003E4BDD" w:rsidRPr="00254BEE" w:rsidRDefault="003E4BDD" w:rsidP="003E4BDD">
            <w:pPr>
              <w:pStyle w:val="Table"/>
              <w:spacing w:line="276" w:lineRule="auto"/>
              <w:jc w:val="center"/>
              <w:rPr>
                <w:rFonts w:ascii="Times New Roman" w:eastAsia="PMingLiU" w:hAnsi="Times New Roman"/>
                <w:sz w:val="22"/>
                <w:szCs w:val="22"/>
                <w:lang w:eastAsia="zh-TW"/>
              </w:rPr>
            </w:pPr>
            <w:r w:rsidRPr="00254BEE">
              <w:rPr>
                <w:rFonts w:ascii="Times New Roman" w:eastAsia="PMingLiU" w:hAnsi="Times New Roman"/>
                <w:sz w:val="22"/>
                <w:szCs w:val="22"/>
                <w:lang w:eastAsia="zh-TW"/>
              </w:rPr>
              <w:t>Omalizumab</w:t>
            </w:r>
            <w:r w:rsidRPr="00254BEE">
              <w:rPr>
                <w:rFonts w:ascii="Times New Roman" w:eastAsia="PMingLiU" w:hAnsi="Times New Roman"/>
                <w:sz w:val="22"/>
                <w:szCs w:val="22"/>
                <w:lang w:eastAsia="zh-TW"/>
              </w:rPr>
              <w:br/>
              <w:t>300 mg</w:t>
            </w:r>
          </w:p>
        </w:tc>
      </w:tr>
      <w:tr w:rsidR="003E4BDD" w:rsidRPr="00254BEE" w14:paraId="2163B24C" w14:textId="77777777" w:rsidTr="003E4BDD">
        <w:tc>
          <w:tcPr>
            <w:tcW w:w="9267" w:type="dxa"/>
            <w:gridSpan w:val="6"/>
            <w:hideMark/>
          </w:tcPr>
          <w:p w14:paraId="5DC6742C" w14:textId="77777777" w:rsidR="003E4BDD" w:rsidRPr="00254BEE" w:rsidRDefault="003E4BDD" w:rsidP="003E4BDD">
            <w:pPr>
              <w:pStyle w:val="Table"/>
              <w:spacing w:line="276" w:lineRule="auto"/>
              <w:rPr>
                <w:rFonts w:ascii="Times New Roman" w:hAnsi="Times New Roman"/>
                <w:sz w:val="22"/>
                <w:szCs w:val="22"/>
              </w:rPr>
            </w:pPr>
            <w:r w:rsidRPr="00254BEE">
              <w:rPr>
                <w:rFonts w:ascii="Times New Roman" w:hAnsi="Times New Roman"/>
                <w:sz w:val="22"/>
                <w:szCs w:val="22"/>
                <w:lang w:val="en-GB" w:eastAsia="en-GB"/>
              </w:rPr>
              <w:t>Change from baseline in weekly itch severity score (BOCF), mean</w:t>
            </w:r>
          </w:p>
        </w:tc>
      </w:tr>
      <w:tr w:rsidR="003E4BDD" w:rsidRPr="00254BEE" w14:paraId="721C437E" w14:textId="77777777" w:rsidTr="00195F31">
        <w:tc>
          <w:tcPr>
            <w:tcW w:w="2127" w:type="dxa"/>
          </w:tcPr>
          <w:p w14:paraId="08BBE02F" w14:textId="77777777" w:rsidR="003E4BDD" w:rsidRPr="00254BEE" w:rsidRDefault="003E4BDD" w:rsidP="003E4BDD">
            <w:pPr>
              <w:pStyle w:val="Table"/>
              <w:spacing w:line="276" w:lineRule="auto"/>
              <w:rPr>
                <w:rFonts w:ascii="Times New Roman" w:hAnsi="Times New Roman"/>
                <w:sz w:val="22"/>
                <w:szCs w:val="22"/>
              </w:rPr>
            </w:pPr>
            <w:r w:rsidRPr="00254BEE">
              <w:rPr>
                <w:rFonts w:ascii="Times New Roman" w:hAnsi="Times New Roman"/>
                <w:sz w:val="22"/>
                <w:szCs w:val="22"/>
              </w:rPr>
              <w:t>Study Q4881g</w:t>
            </w:r>
          </w:p>
        </w:tc>
        <w:tc>
          <w:tcPr>
            <w:tcW w:w="1357" w:type="dxa"/>
            <w:hideMark/>
          </w:tcPr>
          <w:p w14:paraId="2A9424FF" w14:textId="77777777" w:rsidR="003E4BDD" w:rsidRPr="00254BEE" w:rsidRDefault="003E4BDD" w:rsidP="003E4BDD">
            <w:pPr>
              <w:pStyle w:val="Table"/>
              <w:spacing w:line="276" w:lineRule="auto"/>
              <w:rPr>
                <w:rFonts w:ascii="Times New Roman" w:hAnsi="Times New Roman"/>
                <w:sz w:val="22"/>
                <w:szCs w:val="22"/>
              </w:rPr>
            </w:pPr>
            <w:r w:rsidRPr="00254BEE">
              <w:rPr>
                <w:rFonts w:ascii="Times New Roman" w:hAnsi="Times New Roman"/>
                <w:sz w:val="22"/>
                <w:szCs w:val="22"/>
              </w:rPr>
              <w:t>Week 24</w:t>
            </w:r>
          </w:p>
        </w:tc>
        <w:tc>
          <w:tcPr>
            <w:tcW w:w="1761" w:type="dxa"/>
            <w:hideMark/>
          </w:tcPr>
          <w:p w14:paraId="105C0DC7" w14:textId="77777777" w:rsidR="003E4BDD" w:rsidRPr="00254BEE" w:rsidRDefault="003E4BDD" w:rsidP="003E4BDD">
            <w:pPr>
              <w:spacing w:line="276" w:lineRule="auto"/>
              <w:jc w:val="center"/>
              <w:rPr>
                <w:sz w:val="22"/>
                <w:szCs w:val="22"/>
              </w:rPr>
            </w:pPr>
            <w:r w:rsidRPr="00254BEE">
              <w:rPr>
                <w:rFonts w:eastAsiaTheme="minorHAnsi"/>
                <w:sz w:val="22"/>
                <w:szCs w:val="22"/>
              </w:rPr>
              <w:t>−5.41</w:t>
            </w:r>
          </w:p>
        </w:tc>
        <w:tc>
          <w:tcPr>
            <w:tcW w:w="155" w:type="dxa"/>
          </w:tcPr>
          <w:p w14:paraId="3689352E" w14:textId="77777777" w:rsidR="003E4BDD" w:rsidRPr="00254BEE" w:rsidRDefault="003E4BDD" w:rsidP="003E4BDD">
            <w:pPr>
              <w:spacing w:line="276" w:lineRule="auto"/>
              <w:jc w:val="center"/>
              <w:rPr>
                <w:sz w:val="22"/>
                <w:szCs w:val="22"/>
              </w:rPr>
            </w:pPr>
          </w:p>
        </w:tc>
        <w:tc>
          <w:tcPr>
            <w:tcW w:w="1830" w:type="dxa"/>
            <w:hideMark/>
          </w:tcPr>
          <w:p w14:paraId="48C9EDCB" w14:textId="77777777" w:rsidR="003E4BDD" w:rsidRPr="00254BEE" w:rsidRDefault="003E4BDD" w:rsidP="003E4BDD">
            <w:pPr>
              <w:spacing w:line="276" w:lineRule="auto"/>
              <w:jc w:val="center"/>
              <w:rPr>
                <w:sz w:val="22"/>
                <w:szCs w:val="22"/>
              </w:rPr>
            </w:pPr>
            <w:r w:rsidRPr="00254BEE">
              <w:rPr>
                <w:rFonts w:eastAsiaTheme="minorHAnsi"/>
                <w:sz w:val="22"/>
                <w:szCs w:val="22"/>
              </w:rPr>
              <w:t>−6.47</w:t>
            </w:r>
          </w:p>
        </w:tc>
        <w:tc>
          <w:tcPr>
            <w:tcW w:w="2037" w:type="dxa"/>
            <w:hideMark/>
          </w:tcPr>
          <w:p w14:paraId="05B4548C" w14:textId="77777777" w:rsidR="003E4BDD" w:rsidRPr="00254BEE" w:rsidRDefault="003E4BDD" w:rsidP="003E4BDD">
            <w:pPr>
              <w:spacing w:line="276" w:lineRule="auto"/>
              <w:jc w:val="center"/>
              <w:rPr>
                <w:sz w:val="22"/>
                <w:szCs w:val="22"/>
              </w:rPr>
            </w:pPr>
            <w:r w:rsidRPr="00254BEE">
              <w:rPr>
                <w:rFonts w:eastAsiaTheme="minorHAnsi"/>
                <w:sz w:val="22"/>
                <w:szCs w:val="22"/>
              </w:rPr>
              <w:t>−9.84**</w:t>
            </w:r>
          </w:p>
        </w:tc>
      </w:tr>
      <w:tr w:rsidR="003E4BDD" w:rsidRPr="00254BEE" w14:paraId="4834CAC2" w14:textId="77777777" w:rsidTr="00195F31">
        <w:tc>
          <w:tcPr>
            <w:tcW w:w="2127" w:type="dxa"/>
          </w:tcPr>
          <w:p w14:paraId="4156214C" w14:textId="77777777" w:rsidR="003E4BDD" w:rsidRPr="00254BEE" w:rsidRDefault="003E4BDD" w:rsidP="003E4BDD">
            <w:pPr>
              <w:pStyle w:val="Table"/>
              <w:spacing w:line="276" w:lineRule="auto"/>
              <w:rPr>
                <w:rFonts w:ascii="Times New Roman" w:hAnsi="Times New Roman"/>
                <w:sz w:val="22"/>
                <w:szCs w:val="22"/>
              </w:rPr>
            </w:pPr>
            <w:r w:rsidRPr="00254BEE">
              <w:rPr>
                <w:rFonts w:ascii="Times New Roman" w:hAnsi="Times New Roman"/>
                <w:sz w:val="22"/>
                <w:szCs w:val="22"/>
              </w:rPr>
              <w:t>Study Q4883g</w:t>
            </w:r>
          </w:p>
        </w:tc>
        <w:tc>
          <w:tcPr>
            <w:tcW w:w="1357" w:type="dxa"/>
            <w:hideMark/>
          </w:tcPr>
          <w:p w14:paraId="20484970" w14:textId="77777777" w:rsidR="003E4BDD" w:rsidRPr="00254BEE" w:rsidRDefault="003E4BDD" w:rsidP="003E4BDD">
            <w:pPr>
              <w:pStyle w:val="Table"/>
              <w:spacing w:line="276" w:lineRule="auto"/>
              <w:rPr>
                <w:rFonts w:ascii="Times New Roman" w:hAnsi="Times New Roman"/>
                <w:sz w:val="22"/>
                <w:szCs w:val="22"/>
              </w:rPr>
            </w:pPr>
            <w:r w:rsidRPr="00254BEE">
              <w:rPr>
                <w:rFonts w:ascii="Times New Roman" w:hAnsi="Times New Roman"/>
                <w:sz w:val="22"/>
                <w:szCs w:val="22"/>
              </w:rPr>
              <w:t>Week 24</w:t>
            </w:r>
          </w:p>
        </w:tc>
        <w:tc>
          <w:tcPr>
            <w:tcW w:w="1761" w:type="dxa"/>
            <w:hideMark/>
          </w:tcPr>
          <w:p w14:paraId="10360596" w14:textId="77777777" w:rsidR="003E4BDD" w:rsidRPr="00254BEE" w:rsidRDefault="003E4BDD" w:rsidP="003E4BDD">
            <w:pPr>
              <w:spacing w:line="276" w:lineRule="auto"/>
              <w:jc w:val="center"/>
              <w:rPr>
                <w:sz w:val="22"/>
                <w:szCs w:val="22"/>
              </w:rPr>
            </w:pPr>
            <w:r w:rsidRPr="00254BEE">
              <w:rPr>
                <w:rFonts w:eastAsiaTheme="minorHAnsi"/>
                <w:sz w:val="22"/>
                <w:szCs w:val="22"/>
              </w:rPr>
              <w:t>−4.03</w:t>
            </w:r>
          </w:p>
        </w:tc>
        <w:tc>
          <w:tcPr>
            <w:tcW w:w="155" w:type="dxa"/>
          </w:tcPr>
          <w:p w14:paraId="0381124E" w14:textId="77777777" w:rsidR="003E4BDD" w:rsidRPr="00254BEE" w:rsidRDefault="003E4BDD" w:rsidP="003E4BDD">
            <w:pPr>
              <w:spacing w:line="276" w:lineRule="auto"/>
              <w:jc w:val="center"/>
              <w:rPr>
                <w:sz w:val="22"/>
                <w:szCs w:val="22"/>
              </w:rPr>
            </w:pPr>
          </w:p>
        </w:tc>
        <w:tc>
          <w:tcPr>
            <w:tcW w:w="1830" w:type="dxa"/>
            <w:hideMark/>
          </w:tcPr>
          <w:p w14:paraId="09A7E067" w14:textId="77777777" w:rsidR="003E4BDD" w:rsidRPr="00254BEE" w:rsidRDefault="003E4BDD" w:rsidP="003E4BDD">
            <w:pPr>
              <w:spacing w:line="276" w:lineRule="auto"/>
              <w:jc w:val="center"/>
              <w:rPr>
                <w:sz w:val="22"/>
                <w:szCs w:val="22"/>
              </w:rPr>
            </w:pPr>
            <w:r w:rsidRPr="00254BEE">
              <w:rPr>
                <w:sz w:val="22"/>
                <w:szCs w:val="22"/>
              </w:rPr>
              <w:t>NA</w:t>
            </w:r>
          </w:p>
        </w:tc>
        <w:tc>
          <w:tcPr>
            <w:tcW w:w="2037" w:type="dxa"/>
            <w:hideMark/>
          </w:tcPr>
          <w:p w14:paraId="08588D63" w14:textId="77777777" w:rsidR="003E4BDD" w:rsidRPr="00254BEE" w:rsidRDefault="003E4BDD" w:rsidP="003E4BDD">
            <w:pPr>
              <w:spacing w:line="276" w:lineRule="auto"/>
              <w:jc w:val="center"/>
              <w:rPr>
                <w:sz w:val="22"/>
                <w:szCs w:val="22"/>
              </w:rPr>
            </w:pPr>
            <w:r w:rsidRPr="00254BEE">
              <w:rPr>
                <w:rFonts w:eastAsiaTheme="minorHAnsi"/>
                <w:sz w:val="22"/>
                <w:szCs w:val="22"/>
              </w:rPr>
              <w:t>−8.60**</w:t>
            </w:r>
          </w:p>
        </w:tc>
      </w:tr>
      <w:tr w:rsidR="003E4BDD" w:rsidRPr="00254BEE" w14:paraId="12A58E77" w14:textId="77777777" w:rsidTr="003E4BDD">
        <w:tc>
          <w:tcPr>
            <w:tcW w:w="9267" w:type="dxa"/>
            <w:gridSpan w:val="6"/>
            <w:hideMark/>
          </w:tcPr>
          <w:p w14:paraId="2C534C5E" w14:textId="77777777" w:rsidR="003E4BDD" w:rsidRPr="00254BEE" w:rsidRDefault="003E4BDD" w:rsidP="003E4BDD">
            <w:pPr>
              <w:pStyle w:val="Table"/>
              <w:spacing w:line="276" w:lineRule="auto"/>
              <w:rPr>
                <w:rFonts w:ascii="Times New Roman" w:hAnsi="Times New Roman"/>
                <w:sz w:val="22"/>
                <w:szCs w:val="22"/>
                <w:lang w:val="en-GB" w:eastAsia="en-GB"/>
              </w:rPr>
            </w:pPr>
            <w:r w:rsidRPr="00254BEE">
              <w:rPr>
                <w:rFonts w:ascii="Times New Roman" w:hAnsi="Times New Roman"/>
                <w:sz w:val="22"/>
                <w:szCs w:val="22"/>
                <w:lang w:val="en-GB" w:eastAsia="en-GB"/>
              </w:rPr>
              <w:t>Change from baseline in UAS7 (BOCF)</w:t>
            </w:r>
            <w:r w:rsidRPr="00254BEE">
              <w:rPr>
                <w:rFonts w:ascii="Times New Roman" w:eastAsia="PMingLiU" w:hAnsi="Times New Roman"/>
                <w:color w:val="000000"/>
                <w:sz w:val="22"/>
                <w:szCs w:val="22"/>
                <w:lang w:eastAsia="zh-TW"/>
              </w:rPr>
              <w:t>, mean</w:t>
            </w:r>
          </w:p>
        </w:tc>
      </w:tr>
      <w:tr w:rsidR="003E4BDD" w:rsidRPr="00254BEE" w14:paraId="357EB55C" w14:textId="77777777" w:rsidTr="00195F31">
        <w:tc>
          <w:tcPr>
            <w:tcW w:w="2127" w:type="dxa"/>
          </w:tcPr>
          <w:p w14:paraId="74571650" w14:textId="77777777" w:rsidR="003E4BDD" w:rsidRPr="00254BEE" w:rsidRDefault="003E4BDD" w:rsidP="003E4BDD">
            <w:pPr>
              <w:pStyle w:val="Table"/>
              <w:spacing w:line="276" w:lineRule="auto"/>
              <w:rPr>
                <w:rFonts w:ascii="Times New Roman" w:hAnsi="Times New Roman"/>
                <w:sz w:val="22"/>
                <w:szCs w:val="22"/>
              </w:rPr>
            </w:pPr>
            <w:r w:rsidRPr="00254BEE">
              <w:rPr>
                <w:rFonts w:ascii="Times New Roman" w:hAnsi="Times New Roman"/>
                <w:sz w:val="22"/>
                <w:szCs w:val="22"/>
              </w:rPr>
              <w:t>Study Q4881g</w:t>
            </w:r>
          </w:p>
        </w:tc>
        <w:tc>
          <w:tcPr>
            <w:tcW w:w="1357" w:type="dxa"/>
            <w:hideMark/>
          </w:tcPr>
          <w:p w14:paraId="4BFFE5E9" w14:textId="77777777" w:rsidR="003E4BDD" w:rsidRPr="00254BEE" w:rsidRDefault="003E4BDD" w:rsidP="003E4BDD">
            <w:pPr>
              <w:pStyle w:val="Table"/>
              <w:spacing w:line="276" w:lineRule="auto"/>
              <w:rPr>
                <w:rFonts w:ascii="Times New Roman" w:hAnsi="Times New Roman"/>
                <w:sz w:val="22"/>
                <w:szCs w:val="22"/>
              </w:rPr>
            </w:pPr>
            <w:r w:rsidRPr="00254BEE">
              <w:rPr>
                <w:rFonts w:ascii="Times New Roman" w:hAnsi="Times New Roman"/>
                <w:sz w:val="22"/>
                <w:szCs w:val="22"/>
              </w:rPr>
              <w:t>Week 24</w:t>
            </w:r>
          </w:p>
        </w:tc>
        <w:tc>
          <w:tcPr>
            <w:tcW w:w="1761" w:type="dxa"/>
            <w:hideMark/>
          </w:tcPr>
          <w:p w14:paraId="3323F662" w14:textId="77777777" w:rsidR="003E4BDD" w:rsidRPr="00254BEE" w:rsidRDefault="003E4BDD" w:rsidP="003E4BDD">
            <w:pPr>
              <w:spacing w:line="276" w:lineRule="auto"/>
              <w:jc w:val="center"/>
              <w:rPr>
                <w:sz w:val="22"/>
                <w:szCs w:val="22"/>
              </w:rPr>
            </w:pPr>
            <w:r w:rsidRPr="00254BEE">
              <w:rPr>
                <w:rFonts w:eastAsiaTheme="minorHAnsi"/>
                <w:sz w:val="22"/>
                <w:szCs w:val="22"/>
              </w:rPr>
              <w:t>−11.73</w:t>
            </w:r>
          </w:p>
        </w:tc>
        <w:tc>
          <w:tcPr>
            <w:tcW w:w="155" w:type="dxa"/>
          </w:tcPr>
          <w:p w14:paraId="05AFE62C" w14:textId="77777777" w:rsidR="003E4BDD" w:rsidRPr="00254BEE" w:rsidRDefault="003E4BDD" w:rsidP="003E4BDD">
            <w:pPr>
              <w:spacing w:line="276" w:lineRule="auto"/>
              <w:jc w:val="center"/>
              <w:rPr>
                <w:sz w:val="22"/>
                <w:szCs w:val="22"/>
              </w:rPr>
            </w:pPr>
          </w:p>
        </w:tc>
        <w:tc>
          <w:tcPr>
            <w:tcW w:w="1830" w:type="dxa"/>
            <w:hideMark/>
          </w:tcPr>
          <w:p w14:paraId="481DCDEC" w14:textId="77777777" w:rsidR="003E4BDD" w:rsidRPr="00254BEE" w:rsidRDefault="003E4BDD" w:rsidP="003E4BDD">
            <w:pPr>
              <w:spacing w:line="276" w:lineRule="auto"/>
              <w:jc w:val="center"/>
              <w:rPr>
                <w:sz w:val="22"/>
                <w:szCs w:val="22"/>
              </w:rPr>
            </w:pPr>
            <w:r w:rsidRPr="00254BEE">
              <w:rPr>
                <w:rFonts w:eastAsiaTheme="minorHAnsi"/>
                <w:sz w:val="22"/>
                <w:szCs w:val="22"/>
              </w:rPr>
              <w:t>−14.21</w:t>
            </w:r>
          </w:p>
        </w:tc>
        <w:tc>
          <w:tcPr>
            <w:tcW w:w="2037" w:type="dxa"/>
            <w:hideMark/>
          </w:tcPr>
          <w:p w14:paraId="3A71A975" w14:textId="77777777" w:rsidR="003E4BDD" w:rsidRPr="00254BEE" w:rsidRDefault="003E4BDD" w:rsidP="003E4BDD">
            <w:pPr>
              <w:spacing w:line="276" w:lineRule="auto"/>
              <w:jc w:val="center"/>
              <w:rPr>
                <w:sz w:val="22"/>
                <w:szCs w:val="22"/>
              </w:rPr>
            </w:pPr>
            <w:r w:rsidRPr="00254BEE">
              <w:rPr>
                <w:rFonts w:eastAsiaTheme="minorHAnsi"/>
                <w:sz w:val="22"/>
                <w:szCs w:val="22"/>
              </w:rPr>
              <w:t>−22.11**</w:t>
            </w:r>
          </w:p>
        </w:tc>
      </w:tr>
      <w:tr w:rsidR="003E4BDD" w:rsidRPr="00254BEE" w14:paraId="76FDBCE6" w14:textId="77777777" w:rsidTr="00195F31">
        <w:tc>
          <w:tcPr>
            <w:tcW w:w="2127" w:type="dxa"/>
          </w:tcPr>
          <w:p w14:paraId="59006BAD" w14:textId="77777777" w:rsidR="003E4BDD" w:rsidRPr="00254BEE" w:rsidRDefault="003E4BDD" w:rsidP="003E4BDD">
            <w:pPr>
              <w:pStyle w:val="Table"/>
              <w:spacing w:line="276" w:lineRule="auto"/>
              <w:rPr>
                <w:rFonts w:ascii="Times New Roman" w:hAnsi="Times New Roman"/>
                <w:sz w:val="22"/>
                <w:szCs w:val="22"/>
              </w:rPr>
            </w:pPr>
            <w:r w:rsidRPr="00254BEE">
              <w:rPr>
                <w:rFonts w:ascii="Times New Roman" w:hAnsi="Times New Roman"/>
                <w:sz w:val="22"/>
                <w:szCs w:val="22"/>
              </w:rPr>
              <w:t>Study Q4883g</w:t>
            </w:r>
          </w:p>
        </w:tc>
        <w:tc>
          <w:tcPr>
            <w:tcW w:w="1357" w:type="dxa"/>
            <w:hideMark/>
          </w:tcPr>
          <w:p w14:paraId="002FC336" w14:textId="77777777" w:rsidR="003E4BDD" w:rsidRPr="00254BEE" w:rsidRDefault="003E4BDD" w:rsidP="003E4BDD">
            <w:pPr>
              <w:pStyle w:val="Table"/>
              <w:spacing w:line="276" w:lineRule="auto"/>
              <w:rPr>
                <w:rFonts w:ascii="Times New Roman" w:hAnsi="Times New Roman"/>
                <w:sz w:val="22"/>
                <w:szCs w:val="22"/>
              </w:rPr>
            </w:pPr>
            <w:r w:rsidRPr="00254BEE">
              <w:rPr>
                <w:rFonts w:ascii="Times New Roman" w:hAnsi="Times New Roman"/>
                <w:sz w:val="22"/>
                <w:szCs w:val="22"/>
              </w:rPr>
              <w:t>Week 24</w:t>
            </w:r>
          </w:p>
        </w:tc>
        <w:tc>
          <w:tcPr>
            <w:tcW w:w="1761" w:type="dxa"/>
            <w:hideMark/>
          </w:tcPr>
          <w:p w14:paraId="4360AFA8" w14:textId="77777777" w:rsidR="003E4BDD" w:rsidRPr="00254BEE" w:rsidRDefault="003E4BDD" w:rsidP="003E4BDD">
            <w:pPr>
              <w:spacing w:line="276" w:lineRule="auto"/>
              <w:jc w:val="center"/>
              <w:rPr>
                <w:sz w:val="22"/>
                <w:szCs w:val="22"/>
              </w:rPr>
            </w:pPr>
            <w:r w:rsidRPr="00254BEE">
              <w:rPr>
                <w:rFonts w:eastAsiaTheme="minorHAnsi"/>
                <w:sz w:val="22"/>
                <w:szCs w:val="22"/>
              </w:rPr>
              <w:t>−8.85</w:t>
            </w:r>
          </w:p>
        </w:tc>
        <w:tc>
          <w:tcPr>
            <w:tcW w:w="155" w:type="dxa"/>
          </w:tcPr>
          <w:p w14:paraId="6F3F8CFB" w14:textId="77777777" w:rsidR="003E4BDD" w:rsidRPr="00254BEE" w:rsidRDefault="003E4BDD" w:rsidP="003E4BDD">
            <w:pPr>
              <w:spacing w:line="276" w:lineRule="auto"/>
              <w:jc w:val="center"/>
              <w:rPr>
                <w:sz w:val="22"/>
                <w:szCs w:val="22"/>
              </w:rPr>
            </w:pPr>
          </w:p>
        </w:tc>
        <w:tc>
          <w:tcPr>
            <w:tcW w:w="1830" w:type="dxa"/>
            <w:hideMark/>
          </w:tcPr>
          <w:p w14:paraId="74107650" w14:textId="77777777" w:rsidR="003E4BDD" w:rsidRPr="00254BEE" w:rsidRDefault="003E4BDD" w:rsidP="003E4BDD">
            <w:pPr>
              <w:spacing w:line="276" w:lineRule="auto"/>
              <w:jc w:val="center"/>
              <w:rPr>
                <w:sz w:val="22"/>
                <w:szCs w:val="22"/>
              </w:rPr>
            </w:pPr>
            <w:r w:rsidRPr="00254BEE">
              <w:rPr>
                <w:sz w:val="22"/>
                <w:szCs w:val="22"/>
              </w:rPr>
              <w:t>NA</w:t>
            </w:r>
          </w:p>
        </w:tc>
        <w:tc>
          <w:tcPr>
            <w:tcW w:w="2037" w:type="dxa"/>
            <w:hideMark/>
          </w:tcPr>
          <w:p w14:paraId="3697C217" w14:textId="77777777" w:rsidR="003E4BDD" w:rsidRPr="00254BEE" w:rsidRDefault="003E4BDD" w:rsidP="003E4BDD">
            <w:pPr>
              <w:spacing w:line="276" w:lineRule="auto"/>
              <w:jc w:val="center"/>
              <w:rPr>
                <w:sz w:val="22"/>
                <w:szCs w:val="22"/>
              </w:rPr>
            </w:pPr>
            <w:r w:rsidRPr="00254BEE">
              <w:rPr>
                <w:rFonts w:eastAsiaTheme="minorHAnsi"/>
                <w:sz w:val="22"/>
                <w:szCs w:val="22"/>
              </w:rPr>
              <w:t>−19.15**</w:t>
            </w:r>
          </w:p>
        </w:tc>
      </w:tr>
      <w:tr w:rsidR="003E4BDD" w:rsidRPr="00254BEE" w14:paraId="0D9AC9D8" w14:textId="77777777" w:rsidTr="003E4BDD">
        <w:tc>
          <w:tcPr>
            <w:tcW w:w="9267" w:type="dxa"/>
            <w:gridSpan w:val="6"/>
            <w:tcBorders>
              <w:top w:val="single" w:sz="4" w:space="0" w:color="auto"/>
              <w:left w:val="nil"/>
              <w:bottom w:val="nil"/>
              <w:right w:val="nil"/>
            </w:tcBorders>
            <w:hideMark/>
          </w:tcPr>
          <w:p w14:paraId="7F44CDDE" w14:textId="77777777" w:rsidR="003E4BDD" w:rsidRPr="00254BEE" w:rsidRDefault="003E4BDD" w:rsidP="003E4BDD">
            <w:pPr>
              <w:pStyle w:val="Table"/>
              <w:spacing w:line="276" w:lineRule="auto"/>
              <w:rPr>
                <w:rFonts w:ascii="Times New Roman" w:hAnsi="Times New Roman"/>
                <w:sz w:val="22"/>
                <w:szCs w:val="22"/>
              </w:rPr>
            </w:pPr>
            <w:r w:rsidRPr="00254BEE">
              <w:rPr>
                <w:rFonts w:ascii="Times New Roman" w:hAnsi="Times New Roman"/>
                <w:sz w:val="22"/>
                <w:szCs w:val="22"/>
                <w:lang w:val="en-GB" w:eastAsia="en-GB"/>
              </w:rPr>
              <w:t>Proportion of patients with UAS7 ≤ 6, % patients</w:t>
            </w:r>
          </w:p>
        </w:tc>
      </w:tr>
      <w:tr w:rsidR="003E4BDD" w:rsidRPr="00254BEE" w14:paraId="7418DA23" w14:textId="77777777" w:rsidTr="00195F31">
        <w:tc>
          <w:tcPr>
            <w:tcW w:w="2127" w:type="dxa"/>
          </w:tcPr>
          <w:p w14:paraId="063E1141" w14:textId="77777777" w:rsidR="003E4BDD" w:rsidRPr="00254BEE" w:rsidRDefault="003E4BDD" w:rsidP="003E4BDD">
            <w:pPr>
              <w:pStyle w:val="Table"/>
              <w:spacing w:line="276" w:lineRule="auto"/>
              <w:rPr>
                <w:rFonts w:ascii="Times New Roman" w:hAnsi="Times New Roman"/>
                <w:sz w:val="22"/>
                <w:szCs w:val="22"/>
              </w:rPr>
            </w:pPr>
            <w:r w:rsidRPr="00254BEE">
              <w:rPr>
                <w:rFonts w:ascii="Times New Roman" w:hAnsi="Times New Roman"/>
                <w:sz w:val="22"/>
                <w:szCs w:val="22"/>
              </w:rPr>
              <w:t>Study Q4881g</w:t>
            </w:r>
          </w:p>
        </w:tc>
        <w:tc>
          <w:tcPr>
            <w:tcW w:w="1357" w:type="dxa"/>
            <w:hideMark/>
          </w:tcPr>
          <w:p w14:paraId="16289D6B" w14:textId="77777777" w:rsidR="003E4BDD" w:rsidRPr="00254BEE" w:rsidRDefault="003E4BDD" w:rsidP="003E4BDD">
            <w:pPr>
              <w:pStyle w:val="Table"/>
              <w:spacing w:line="276" w:lineRule="auto"/>
              <w:rPr>
                <w:rFonts w:ascii="Times New Roman" w:hAnsi="Times New Roman"/>
                <w:sz w:val="22"/>
                <w:szCs w:val="22"/>
              </w:rPr>
            </w:pPr>
            <w:r w:rsidRPr="00254BEE">
              <w:rPr>
                <w:rFonts w:ascii="Times New Roman" w:hAnsi="Times New Roman"/>
                <w:sz w:val="22"/>
                <w:szCs w:val="22"/>
              </w:rPr>
              <w:t>Week 24</w:t>
            </w:r>
          </w:p>
        </w:tc>
        <w:tc>
          <w:tcPr>
            <w:tcW w:w="1761" w:type="dxa"/>
            <w:hideMark/>
          </w:tcPr>
          <w:p w14:paraId="2F2BCB31" w14:textId="77777777" w:rsidR="003E4BDD" w:rsidRPr="00254BEE" w:rsidRDefault="003E4BDD" w:rsidP="003E4BDD">
            <w:pPr>
              <w:spacing w:line="276" w:lineRule="auto"/>
              <w:jc w:val="center"/>
              <w:rPr>
                <w:sz w:val="22"/>
                <w:szCs w:val="22"/>
              </w:rPr>
            </w:pPr>
            <w:r w:rsidRPr="00254BEE">
              <w:rPr>
                <w:rFonts w:eastAsiaTheme="minorHAnsi"/>
                <w:sz w:val="22"/>
                <w:szCs w:val="22"/>
              </w:rPr>
              <w:t>25.0</w:t>
            </w:r>
          </w:p>
        </w:tc>
        <w:tc>
          <w:tcPr>
            <w:tcW w:w="155" w:type="dxa"/>
          </w:tcPr>
          <w:p w14:paraId="3E1EEEEB" w14:textId="77777777" w:rsidR="003E4BDD" w:rsidRPr="00254BEE" w:rsidRDefault="003E4BDD" w:rsidP="003E4BDD">
            <w:pPr>
              <w:spacing w:line="276" w:lineRule="auto"/>
              <w:jc w:val="center"/>
              <w:rPr>
                <w:sz w:val="22"/>
                <w:szCs w:val="22"/>
              </w:rPr>
            </w:pPr>
          </w:p>
        </w:tc>
        <w:tc>
          <w:tcPr>
            <w:tcW w:w="1830" w:type="dxa"/>
            <w:hideMark/>
          </w:tcPr>
          <w:p w14:paraId="43C07839" w14:textId="77777777" w:rsidR="003E4BDD" w:rsidRPr="00254BEE" w:rsidRDefault="003E4BDD" w:rsidP="003E4BDD">
            <w:pPr>
              <w:spacing w:line="276" w:lineRule="auto"/>
              <w:jc w:val="center"/>
              <w:rPr>
                <w:sz w:val="22"/>
                <w:szCs w:val="22"/>
              </w:rPr>
            </w:pPr>
            <w:r w:rsidRPr="00254BEE">
              <w:rPr>
                <w:rFonts w:eastAsiaTheme="minorHAnsi"/>
                <w:sz w:val="22"/>
                <w:szCs w:val="22"/>
              </w:rPr>
              <w:t>36.3</w:t>
            </w:r>
          </w:p>
        </w:tc>
        <w:tc>
          <w:tcPr>
            <w:tcW w:w="2037" w:type="dxa"/>
            <w:hideMark/>
          </w:tcPr>
          <w:p w14:paraId="49D10E27" w14:textId="77777777" w:rsidR="003E4BDD" w:rsidRPr="00254BEE" w:rsidRDefault="003E4BDD" w:rsidP="003E4BDD">
            <w:pPr>
              <w:spacing w:line="276" w:lineRule="auto"/>
              <w:jc w:val="center"/>
              <w:rPr>
                <w:sz w:val="22"/>
                <w:szCs w:val="22"/>
              </w:rPr>
            </w:pPr>
            <w:r w:rsidRPr="00254BEE">
              <w:rPr>
                <w:rFonts w:eastAsiaTheme="minorHAnsi"/>
                <w:sz w:val="22"/>
                <w:szCs w:val="22"/>
              </w:rPr>
              <w:t>61.7**</w:t>
            </w:r>
          </w:p>
        </w:tc>
      </w:tr>
      <w:tr w:rsidR="003E4BDD" w:rsidRPr="00254BEE" w14:paraId="54238254" w14:textId="77777777" w:rsidTr="00195F31">
        <w:tc>
          <w:tcPr>
            <w:tcW w:w="2127" w:type="dxa"/>
          </w:tcPr>
          <w:p w14:paraId="78756719" w14:textId="77777777" w:rsidR="003E4BDD" w:rsidRPr="00254BEE" w:rsidRDefault="003E4BDD" w:rsidP="003E4BDD">
            <w:pPr>
              <w:pStyle w:val="Table"/>
              <w:spacing w:line="276" w:lineRule="auto"/>
              <w:rPr>
                <w:rFonts w:ascii="Times New Roman" w:hAnsi="Times New Roman"/>
                <w:sz w:val="22"/>
                <w:szCs w:val="22"/>
              </w:rPr>
            </w:pPr>
            <w:r w:rsidRPr="00254BEE">
              <w:rPr>
                <w:rFonts w:ascii="Times New Roman" w:hAnsi="Times New Roman"/>
                <w:sz w:val="22"/>
                <w:szCs w:val="22"/>
              </w:rPr>
              <w:t>Study Q4883g</w:t>
            </w:r>
          </w:p>
        </w:tc>
        <w:tc>
          <w:tcPr>
            <w:tcW w:w="1357" w:type="dxa"/>
            <w:hideMark/>
          </w:tcPr>
          <w:p w14:paraId="4B0129FC" w14:textId="77777777" w:rsidR="003E4BDD" w:rsidRPr="00254BEE" w:rsidRDefault="003E4BDD" w:rsidP="003E4BDD">
            <w:pPr>
              <w:pStyle w:val="Table"/>
              <w:spacing w:line="276" w:lineRule="auto"/>
              <w:rPr>
                <w:rFonts w:ascii="Times New Roman" w:hAnsi="Times New Roman"/>
                <w:sz w:val="22"/>
                <w:szCs w:val="22"/>
              </w:rPr>
            </w:pPr>
            <w:r w:rsidRPr="00254BEE">
              <w:rPr>
                <w:rFonts w:ascii="Times New Roman" w:hAnsi="Times New Roman"/>
                <w:sz w:val="22"/>
                <w:szCs w:val="22"/>
              </w:rPr>
              <w:t>Week 24</w:t>
            </w:r>
          </w:p>
        </w:tc>
        <w:tc>
          <w:tcPr>
            <w:tcW w:w="1761" w:type="dxa"/>
            <w:hideMark/>
          </w:tcPr>
          <w:p w14:paraId="06B484CA" w14:textId="77777777" w:rsidR="003E4BDD" w:rsidRPr="00254BEE" w:rsidRDefault="003E4BDD" w:rsidP="003E4BDD">
            <w:pPr>
              <w:spacing w:line="276" w:lineRule="auto"/>
              <w:jc w:val="center"/>
              <w:rPr>
                <w:sz w:val="22"/>
                <w:szCs w:val="22"/>
              </w:rPr>
            </w:pPr>
            <w:r w:rsidRPr="00254BEE">
              <w:rPr>
                <w:rFonts w:eastAsiaTheme="minorHAnsi"/>
                <w:sz w:val="22"/>
                <w:szCs w:val="22"/>
              </w:rPr>
              <w:t>16.9</w:t>
            </w:r>
          </w:p>
        </w:tc>
        <w:tc>
          <w:tcPr>
            <w:tcW w:w="155" w:type="dxa"/>
          </w:tcPr>
          <w:p w14:paraId="5656DD7F" w14:textId="77777777" w:rsidR="003E4BDD" w:rsidRPr="00254BEE" w:rsidRDefault="003E4BDD" w:rsidP="003E4BDD">
            <w:pPr>
              <w:spacing w:line="276" w:lineRule="auto"/>
              <w:jc w:val="center"/>
              <w:rPr>
                <w:sz w:val="22"/>
                <w:szCs w:val="22"/>
              </w:rPr>
            </w:pPr>
          </w:p>
        </w:tc>
        <w:tc>
          <w:tcPr>
            <w:tcW w:w="1830" w:type="dxa"/>
            <w:hideMark/>
          </w:tcPr>
          <w:p w14:paraId="5D7C401B" w14:textId="77777777" w:rsidR="003E4BDD" w:rsidRPr="00254BEE" w:rsidRDefault="003E4BDD" w:rsidP="003E4BDD">
            <w:pPr>
              <w:spacing w:line="276" w:lineRule="auto"/>
              <w:jc w:val="center"/>
              <w:rPr>
                <w:sz w:val="22"/>
                <w:szCs w:val="22"/>
              </w:rPr>
            </w:pPr>
            <w:r w:rsidRPr="00254BEE">
              <w:rPr>
                <w:sz w:val="22"/>
                <w:szCs w:val="22"/>
              </w:rPr>
              <w:t>NA</w:t>
            </w:r>
          </w:p>
        </w:tc>
        <w:tc>
          <w:tcPr>
            <w:tcW w:w="2037" w:type="dxa"/>
            <w:hideMark/>
          </w:tcPr>
          <w:p w14:paraId="02B42607" w14:textId="77777777" w:rsidR="003E4BDD" w:rsidRPr="00254BEE" w:rsidRDefault="003E4BDD" w:rsidP="003E4BDD">
            <w:pPr>
              <w:spacing w:line="276" w:lineRule="auto"/>
              <w:jc w:val="center"/>
              <w:rPr>
                <w:sz w:val="22"/>
                <w:szCs w:val="22"/>
              </w:rPr>
            </w:pPr>
            <w:r w:rsidRPr="00254BEE">
              <w:rPr>
                <w:rFonts w:eastAsiaTheme="minorHAnsi"/>
                <w:sz w:val="22"/>
                <w:szCs w:val="22"/>
              </w:rPr>
              <w:t>55.6**</w:t>
            </w:r>
          </w:p>
        </w:tc>
      </w:tr>
      <w:tr w:rsidR="003E4BDD" w:rsidRPr="00254BEE" w14:paraId="016B4FDD" w14:textId="77777777" w:rsidTr="003E4BDD">
        <w:tc>
          <w:tcPr>
            <w:tcW w:w="9267" w:type="dxa"/>
            <w:gridSpan w:val="6"/>
            <w:tcBorders>
              <w:top w:val="single" w:sz="4" w:space="0" w:color="auto"/>
              <w:left w:val="nil"/>
              <w:bottom w:val="nil"/>
              <w:right w:val="nil"/>
            </w:tcBorders>
            <w:hideMark/>
          </w:tcPr>
          <w:p w14:paraId="714BBBAA" w14:textId="77777777" w:rsidR="003E4BDD" w:rsidRPr="00254BEE" w:rsidRDefault="003E4BDD" w:rsidP="003E4BDD">
            <w:pPr>
              <w:pStyle w:val="Table"/>
              <w:spacing w:line="276" w:lineRule="auto"/>
              <w:rPr>
                <w:rFonts w:ascii="Times New Roman" w:hAnsi="Times New Roman"/>
                <w:sz w:val="22"/>
                <w:szCs w:val="22"/>
              </w:rPr>
            </w:pPr>
            <w:r w:rsidRPr="00254BEE">
              <w:rPr>
                <w:rFonts w:ascii="Times New Roman" w:hAnsi="Times New Roman"/>
                <w:sz w:val="22"/>
                <w:szCs w:val="22"/>
                <w:lang w:val="en-GB" w:eastAsia="en-GB"/>
              </w:rPr>
              <w:t>Proportion of patients with UAS7 = 0, % patients</w:t>
            </w:r>
          </w:p>
        </w:tc>
      </w:tr>
      <w:tr w:rsidR="003E4BDD" w:rsidRPr="00254BEE" w14:paraId="3FCAC9A3" w14:textId="77777777" w:rsidTr="00195F31">
        <w:tc>
          <w:tcPr>
            <w:tcW w:w="2127" w:type="dxa"/>
          </w:tcPr>
          <w:p w14:paraId="0CE3825E" w14:textId="77777777" w:rsidR="003E4BDD" w:rsidRPr="00254BEE" w:rsidRDefault="003E4BDD" w:rsidP="003E4BDD">
            <w:pPr>
              <w:pStyle w:val="Table"/>
              <w:spacing w:line="276" w:lineRule="auto"/>
              <w:rPr>
                <w:rFonts w:ascii="Times New Roman" w:hAnsi="Times New Roman"/>
                <w:sz w:val="22"/>
                <w:szCs w:val="22"/>
              </w:rPr>
            </w:pPr>
            <w:r w:rsidRPr="00254BEE">
              <w:rPr>
                <w:rFonts w:ascii="Times New Roman" w:hAnsi="Times New Roman"/>
                <w:sz w:val="22"/>
                <w:szCs w:val="22"/>
              </w:rPr>
              <w:t>Study Q4881g</w:t>
            </w:r>
          </w:p>
        </w:tc>
        <w:tc>
          <w:tcPr>
            <w:tcW w:w="1357" w:type="dxa"/>
            <w:hideMark/>
          </w:tcPr>
          <w:p w14:paraId="0F0D02A8" w14:textId="77777777" w:rsidR="003E4BDD" w:rsidRPr="00254BEE" w:rsidRDefault="003E4BDD" w:rsidP="003E4BDD">
            <w:pPr>
              <w:pStyle w:val="Table"/>
              <w:spacing w:line="276" w:lineRule="auto"/>
              <w:rPr>
                <w:rFonts w:ascii="Times New Roman" w:hAnsi="Times New Roman"/>
                <w:sz w:val="22"/>
                <w:szCs w:val="22"/>
              </w:rPr>
            </w:pPr>
            <w:r w:rsidRPr="00254BEE">
              <w:rPr>
                <w:rFonts w:ascii="Times New Roman" w:hAnsi="Times New Roman"/>
                <w:sz w:val="22"/>
                <w:szCs w:val="22"/>
              </w:rPr>
              <w:t>Week 24</w:t>
            </w:r>
          </w:p>
        </w:tc>
        <w:tc>
          <w:tcPr>
            <w:tcW w:w="1761" w:type="dxa"/>
            <w:hideMark/>
          </w:tcPr>
          <w:p w14:paraId="012B8FFC" w14:textId="77777777" w:rsidR="003E4BDD" w:rsidRPr="00254BEE" w:rsidRDefault="003E4BDD" w:rsidP="003E4BDD">
            <w:pPr>
              <w:spacing w:line="276" w:lineRule="auto"/>
              <w:jc w:val="center"/>
              <w:rPr>
                <w:sz w:val="22"/>
                <w:szCs w:val="22"/>
              </w:rPr>
            </w:pPr>
            <w:r w:rsidRPr="00254BEE">
              <w:rPr>
                <w:rFonts w:eastAsiaTheme="minorHAnsi"/>
                <w:sz w:val="22"/>
                <w:szCs w:val="22"/>
              </w:rPr>
              <w:t>12.5</w:t>
            </w:r>
          </w:p>
        </w:tc>
        <w:tc>
          <w:tcPr>
            <w:tcW w:w="155" w:type="dxa"/>
          </w:tcPr>
          <w:p w14:paraId="7F3F6111" w14:textId="77777777" w:rsidR="003E4BDD" w:rsidRPr="00254BEE" w:rsidRDefault="003E4BDD" w:rsidP="003E4BDD">
            <w:pPr>
              <w:spacing w:line="276" w:lineRule="auto"/>
              <w:jc w:val="center"/>
              <w:rPr>
                <w:sz w:val="22"/>
                <w:szCs w:val="22"/>
              </w:rPr>
            </w:pPr>
          </w:p>
        </w:tc>
        <w:tc>
          <w:tcPr>
            <w:tcW w:w="1830" w:type="dxa"/>
            <w:hideMark/>
          </w:tcPr>
          <w:p w14:paraId="3D7BB94F" w14:textId="77777777" w:rsidR="003E4BDD" w:rsidRPr="00254BEE" w:rsidRDefault="003E4BDD" w:rsidP="003E4BDD">
            <w:pPr>
              <w:spacing w:line="276" w:lineRule="auto"/>
              <w:jc w:val="center"/>
              <w:rPr>
                <w:sz w:val="22"/>
                <w:szCs w:val="22"/>
              </w:rPr>
            </w:pPr>
            <w:r w:rsidRPr="00254BEE">
              <w:rPr>
                <w:rFonts w:eastAsiaTheme="minorHAnsi"/>
                <w:sz w:val="22"/>
                <w:szCs w:val="22"/>
              </w:rPr>
              <w:t>20.0</w:t>
            </w:r>
          </w:p>
        </w:tc>
        <w:tc>
          <w:tcPr>
            <w:tcW w:w="2037" w:type="dxa"/>
            <w:hideMark/>
          </w:tcPr>
          <w:p w14:paraId="4E80D727" w14:textId="77777777" w:rsidR="003E4BDD" w:rsidRPr="00254BEE" w:rsidRDefault="003E4BDD" w:rsidP="003E4BDD">
            <w:pPr>
              <w:spacing w:line="276" w:lineRule="auto"/>
              <w:jc w:val="center"/>
              <w:rPr>
                <w:sz w:val="22"/>
                <w:szCs w:val="22"/>
              </w:rPr>
            </w:pPr>
            <w:r w:rsidRPr="00254BEE">
              <w:rPr>
                <w:rFonts w:eastAsiaTheme="minorHAnsi"/>
                <w:sz w:val="22"/>
                <w:szCs w:val="22"/>
              </w:rPr>
              <w:t>48.1**</w:t>
            </w:r>
          </w:p>
        </w:tc>
      </w:tr>
      <w:tr w:rsidR="003E4BDD" w:rsidRPr="00254BEE" w14:paraId="4DD2C30F" w14:textId="77777777" w:rsidTr="00195F31">
        <w:tc>
          <w:tcPr>
            <w:tcW w:w="2127" w:type="dxa"/>
          </w:tcPr>
          <w:p w14:paraId="61A63D37" w14:textId="77777777" w:rsidR="003E4BDD" w:rsidRPr="00254BEE" w:rsidRDefault="003E4BDD" w:rsidP="003E4BDD">
            <w:pPr>
              <w:pStyle w:val="Table"/>
              <w:spacing w:line="276" w:lineRule="auto"/>
              <w:rPr>
                <w:rFonts w:ascii="Times New Roman" w:hAnsi="Times New Roman"/>
                <w:sz w:val="22"/>
                <w:szCs w:val="22"/>
              </w:rPr>
            </w:pPr>
            <w:r w:rsidRPr="00254BEE">
              <w:rPr>
                <w:rFonts w:ascii="Times New Roman" w:hAnsi="Times New Roman"/>
                <w:sz w:val="22"/>
                <w:szCs w:val="22"/>
              </w:rPr>
              <w:t>Study Q4883g</w:t>
            </w:r>
          </w:p>
        </w:tc>
        <w:tc>
          <w:tcPr>
            <w:tcW w:w="1357" w:type="dxa"/>
            <w:hideMark/>
          </w:tcPr>
          <w:p w14:paraId="4187605D" w14:textId="77777777" w:rsidR="003E4BDD" w:rsidRPr="00254BEE" w:rsidRDefault="003E4BDD" w:rsidP="003E4BDD">
            <w:pPr>
              <w:pStyle w:val="Table"/>
              <w:spacing w:line="276" w:lineRule="auto"/>
              <w:rPr>
                <w:rFonts w:ascii="Times New Roman" w:hAnsi="Times New Roman"/>
                <w:sz w:val="22"/>
                <w:szCs w:val="22"/>
              </w:rPr>
            </w:pPr>
            <w:r w:rsidRPr="00254BEE">
              <w:rPr>
                <w:rFonts w:ascii="Times New Roman" w:hAnsi="Times New Roman"/>
                <w:sz w:val="22"/>
                <w:szCs w:val="22"/>
              </w:rPr>
              <w:t>Week 24</w:t>
            </w:r>
          </w:p>
        </w:tc>
        <w:tc>
          <w:tcPr>
            <w:tcW w:w="1761" w:type="dxa"/>
            <w:hideMark/>
          </w:tcPr>
          <w:p w14:paraId="0188B385" w14:textId="77777777" w:rsidR="003E4BDD" w:rsidRPr="00254BEE" w:rsidRDefault="003E4BDD" w:rsidP="003E4BDD">
            <w:pPr>
              <w:spacing w:line="276" w:lineRule="auto"/>
              <w:jc w:val="center"/>
              <w:rPr>
                <w:sz w:val="22"/>
                <w:szCs w:val="22"/>
              </w:rPr>
            </w:pPr>
            <w:r w:rsidRPr="00254BEE">
              <w:rPr>
                <w:rFonts w:eastAsiaTheme="minorHAnsi"/>
                <w:sz w:val="22"/>
                <w:szCs w:val="22"/>
              </w:rPr>
              <w:t>3.6</w:t>
            </w:r>
          </w:p>
        </w:tc>
        <w:tc>
          <w:tcPr>
            <w:tcW w:w="155" w:type="dxa"/>
          </w:tcPr>
          <w:p w14:paraId="745B9FB9" w14:textId="77777777" w:rsidR="003E4BDD" w:rsidRPr="00254BEE" w:rsidRDefault="003E4BDD" w:rsidP="003E4BDD">
            <w:pPr>
              <w:spacing w:line="276" w:lineRule="auto"/>
              <w:jc w:val="center"/>
              <w:rPr>
                <w:sz w:val="22"/>
                <w:szCs w:val="22"/>
              </w:rPr>
            </w:pPr>
          </w:p>
        </w:tc>
        <w:tc>
          <w:tcPr>
            <w:tcW w:w="1830" w:type="dxa"/>
            <w:hideMark/>
          </w:tcPr>
          <w:p w14:paraId="7A0B7510" w14:textId="77777777" w:rsidR="003E4BDD" w:rsidRPr="00254BEE" w:rsidRDefault="003E4BDD" w:rsidP="003E4BDD">
            <w:pPr>
              <w:spacing w:line="276" w:lineRule="auto"/>
              <w:jc w:val="center"/>
              <w:rPr>
                <w:sz w:val="22"/>
                <w:szCs w:val="22"/>
              </w:rPr>
            </w:pPr>
            <w:r w:rsidRPr="00254BEE">
              <w:rPr>
                <w:sz w:val="22"/>
                <w:szCs w:val="22"/>
              </w:rPr>
              <w:t>NA</w:t>
            </w:r>
          </w:p>
        </w:tc>
        <w:tc>
          <w:tcPr>
            <w:tcW w:w="2037" w:type="dxa"/>
            <w:hideMark/>
          </w:tcPr>
          <w:p w14:paraId="2496F21B" w14:textId="77777777" w:rsidR="003E4BDD" w:rsidRPr="00254BEE" w:rsidRDefault="003E4BDD" w:rsidP="003E4BDD">
            <w:pPr>
              <w:spacing w:line="276" w:lineRule="auto"/>
              <w:jc w:val="center"/>
              <w:rPr>
                <w:sz w:val="22"/>
                <w:szCs w:val="22"/>
              </w:rPr>
            </w:pPr>
            <w:r w:rsidRPr="00254BEE">
              <w:rPr>
                <w:rFonts w:eastAsiaTheme="minorHAnsi"/>
                <w:sz w:val="22"/>
                <w:szCs w:val="22"/>
              </w:rPr>
              <w:t>42.5**</w:t>
            </w:r>
          </w:p>
        </w:tc>
      </w:tr>
      <w:tr w:rsidR="003E4BDD" w:rsidRPr="00254BEE" w14:paraId="604BA694" w14:textId="77777777" w:rsidTr="003E4BDD">
        <w:tc>
          <w:tcPr>
            <w:tcW w:w="9267" w:type="dxa"/>
            <w:gridSpan w:val="6"/>
            <w:tcBorders>
              <w:top w:val="single" w:sz="4" w:space="0" w:color="auto"/>
              <w:left w:val="nil"/>
              <w:bottom w:val="nil"/>
              <w:right w:val="nil"/>
            </w:tcBorders>
            <w:hideMark/>
          </w:tcPr>
          <w:p w14:paraId="2991FAB4" w14:textId="77777777" w:rsidR="003E4BDD" w:rsidRPr="00254BEE" w:rsidRDefault="003E4BDD" w:rsidP="004D4B98">
            <w:pPr>
              <w:pStyle w:val="Legend"/>
              <w:rPr>
                <w:rFonts w:ascii="Times New Roman" w:hAnsi="Times New Roman"/>
                <w:i/>
                <w:sz w:val="18"/>
                <w:szCs w:val="18"/>
              </w:rPr>
            </w:pPr>
            <w:r w:rsidRPr="00254BEE">
              <w:rPr>
                <w:rFonts w:ascii="Times New Roman" w:hAnsi="Times New Roman"/>
                <w:i/>
                <w:sz w:val="18"/>
                <w:szCs w:val="18"/>
              </w:rPr>
              <w:t>*Modified intent-to-treat (mITT) population: included all patients who were randomised and received at least one dose of study medication</w:t>
            </w:r>
            <w:r w:rsidRPr="00254BEE">
              <w:rPr>
                <w:rFonts w:ascii="Times New Roman" w:hAnsi="Times New Roman"/>
                <w:i/>
                <w:sz w:val="18"/>
                <w:szCs w:val="18"/>
              </w:rPr>
              <w:br/>
              <w:t>** p-value≤0.0001 for the corresponding test statistics between the treatment and the placebo</w:t>
            </w:r>
            <w:r w:rsidRPr="00254BEE">
              <w:rPr>
                <w:rFonts w:ascii="Times New Roman" w:hAnsi="Times New Roman"/>
                <w:i/>
                <w:sz w:val="18"/>
                <w:szCs w:val="18"/>
              </w:rPr>
              <w:br/>
              <w:t xml:space="preserve">NA: Not applicable. </w:t>
            </w:r>
            <w:r w:rsidRPr="00254BEE">
              <w:rPr>
                <w:rFonts w:ascii="Times New Roman" w:hAnsi="Times New Roman"/>
                <w:i/>
                <w:sz w:val="18"/>
                <w:szCs w:val="18"/>
              </w:rPr>
              <w:br/>
              <w:t>BOCF: Baseline Observation Carried Forward</w:t>
            </w:r>
          </w:p>
        </w:tc>
      </w:tr>
    </w:tbl>
    <w:p w14:paraId="514257C7" w14:textId="77777777" w:rsidR="00B637DF" w:rsidRPr="00254BEE" w:rsidRDefault="00B637DF" w:rsidP="00B637DF">
      <w:pPr>
        <w:pStyle w:val="Text"/>
        <w:rPr>
          <w:szCs w:val="24"/>
        </w:rPr>
      </w:pPr>
      <w:r w:rsidRPr="00254BEE">
        <w:rPr>
          <w:color w:val="000000" w:themeColor="text1"/>
          <w:szCs w:val="24"/>
        </w:rPr>
        <w:t xml:space="preserve">The treatment duration in the studies were 12 weeks (Q4882g) and 24 weeks, respectively (Q4881g and Q4883g), therefore the </w:t>
      </w:r>
      <w:r w:rsidRPr="00254BEE">
        <w:rPr>
          <w:szCs w:val="24"/>
        </w:rPr>
        <w:t>Clinical trial experience of long-term treatment beyond 6 months in this indication is limited.</w:t>
      </w:r>
    </w:p>
    <w:p w14:paraId="792E493A" w14:textId="77777777" w:rsidR="00D8347D" w:rsidRPr="00254BEE" w:rsidRDefault="00EC673F" w:rsidP="00604B4E">
      <w:pPr>
        <w:pStyle w:val="Heading5"/>
        <w:spacing w:before="240" w:after="240" w:line="240" w:lineRule="auto"/>
        <w:rPr>
          <w:color w:val="000000" w:themeColor="text1"/>
        </w:rPr>
      </w:pPr>
      <w:r w:rsidRPr="00254BEE">
        <w:rPr>
          <w:color w:val="000000" w:themeColor="text1"/>
        </w:rPr>
        <w:t>INDICATIONS</w:t>
      </w:r>
    </w:p>
    <w:p w14:paraId="7FBC3166" w14:textId="77777777" w:rsidR="006C657A" w:rsidRPr="00254BEE" w:rsidRDefault="006C657A" w:rsidP="006C657A">
      <w:pPr>
        <w:pStyle w:val="Nottoc-headings"/>
        <w:rPr>
          <w:rFonts w:ascii="Times New Roman" w:hAnsi="Times New Roman"/>
          <w:sz w:val="24"/>
          <w:szCs w:val="24"/>
        </w:rPr>
      </w:pPr>
      <w:r w:rsidRPr="00254BEE">
        <w:rPr>
          <w:rFonts w:ascii="Times New Roman" w:hAnsi="Times New Roman"/>
          <w:sz w:val="24"/>
          <w:szCs w:val="24"/>
        </w:rPr>
        <w:t>Allergic Asthma</w:t>
      </w:r>
      <w:bookmarkStart w:id="12" w:name="_54723Allergic_Asthma"/>
      <w:bookmarkEnd w:id="12"/>
    </w:p>
    <w:p w14:paraId="71C015A8" w14:textId="77777777" w:rsidR="006C657A" w:rsidRPr="00254BEE" w:rsidRDefault="006C657A" w:rsidP="00286336">
      <w:pPr>
        <w:pStyle w:val="BodyText"/>
        <w:spacing w:line="240" w:lineRule="auto"/>
        <w:rPr>
          <w:color w:val="000000" w:themeColor="text1"/>
          <w:u w:val="none"/>
        </w:rPr>
      </w:pPr>
    </w:p>
    <w:p w14:paraId="69225183" w14:textId="7F3135B1" w:rsidR="003E2029" w:rsidRPr="00254BEE" w:rsidRDefault="003E2029" w:rsidP="00286336">
      <w:pPr>
        <w:pStyle w:val="BodyText"/>
        <w:spacing w:line="240" w:lineRule="auto"/>
        <w:rPr>
          <w:color w:val="000000" w:themeColor="text1"/>
          <w:u w:val="none"/>
        </w:rPr>
      </w:pPr>
    </w:p>
    <w:p w14:paraId="649E031A" w14:textId="77777777" w:rsidR="0003318E" w:rsidRPr="00254BEE" w:rsidRDefault="0003318E" w:rsidP="00286336">
      <w:pPr>
        <w:pStyle w:val="BodyText"/>
        <w:spacing w:line="240" w:lineRule="auto"/>
        <w:rPr>
          <w:color w:val="000000" w:themeColor="text1"/>
          <w:u w:val="none"/>
        </w:rPr>
      </w:pPr>
    </w:p>
    <w:p w14:paraId="1CE9E798" w14:textId="77777777" w:rsidR="0003318E" w:rsidRPr="00254BEE" w:rsidRDefault="0003318E" w:rsidP="0003318E">
      <w:pPr>
        <w:widowControl w:val="0"/>
        <w:spacing w:after="120"/>
        <w:rPr>
          <w:b/>
          <w:szCs w:val="24"/>
        </w:rPr>
      </w:pPr>
      <w:r w:rsidRPr="00254BEE">
        <w:rPr>
          <w:b/>
          <w:szCs w:val="24"/>
        </w:rPr>
        <w:t>Children 6 to &lt; 12 years of age</w:t>
      </w:r>
    </w:p>
    <w:p w14:paraId="7BA23DEE" w14:textId="1BBED819" w:rsidR="006C657A" w:rsidRPr="00646CE7" w:rsidRDefault="003E2029" w:rsidP="00286336">
      <w:pPr>
        <w:pStyle w:val="BodyText"/>
        <w:spacing w:line="240" w:lineRule="auto"/>
        <w:rPr>
          <w:color w:val="auto"/>
          <w:szCs w:val="24"/>
          <w:u w:val="none"/>
          <w:lang w:val="en-US"/>
        </w:rPr>
      </w:pPr>
      <w:r w:rsidRPr="003E2029">
        <w:rPr>
          <w:color w:val="auto"/>
          <w:szCs w:val="24"/>
          <w:u w:val="none"/>
          <w:lang w:val="en-US"/>
        </w:rPr>
        <w:t>In children aged 6</w:t>
      </w:r>
      <w:r w:rsidR="007F2D76">
        <w:rPr>
          <w:color w:val="auto"/>
          <w:szCs w:val="24"/>
          <w:u w:val="none"/>
          <w:lang w:val="en-US"/>
        </w:rPr>
        <w:t xml:space="preserve"> </w:t>
      </w:r>
      <w:r w:rsidR="00A72530">
        <w:rPr>
          <w:color w:val="auto"/>
          <w:szCs w:val="24"/>
          <w:u w:val="none"/>
          <w:lang w:val="en-US"/>
        </w:rPr>
        <w:t>to</w:t>
      </w:r>
      <w:r w:rsidR="007F2D76">
        <w:rPr>
          <w:color w:val="auto"/>
          <w:szCs w:val="24"/>
          <w:u w:val="none"/>
          <w:lang w:val="en-US"/>
        </w:rPr>
        <w:t xml:space="preserve"> &lt;1</w:t>
      </w:r>
      <w:r w:rsidRPr="003E2029">
        <w:rPr>
          <w:color w:val="auto"/>
          <w:szCs w:val="24"/>
          <w:u w:val="none"/>
          <w:lang w:val="en-US"/>
        </w:rPr>
        <w:t>2 years, Xolair is indicated as add-on therapy to improve asthma control in patients with severe allergic asthma who have documented exacerbations despite daily high dose inhaled corticosteroids, and who have immunoglobul</w:t>
      </w:r>
      <w:r>
        <w:rPr>
          <w:color w:val="auto"/>
          <w:szCs w:val="24"/>
          <w:u w:val="none"/>
          <w:lang w:val="en-US"/>
        </w:rPr>
        <w:t xml:space="preserve">in E levels </w:t>
      </w:r>
      <w:r w:rsidR="00646CE7" w:rsidRPr="00646CE7">
        <w:rPr>
          <w:color w:val="auto"/>
          <w:szCs w:val="24"/>
          <w:u w:val="none"/>
          <w:lang w:val="en-US"/>
        </w:rPr>
        <w:t xml:space="preserve"> corresponding to the recommended dose range (see Table 10 under “Dosage and Administration”).</w:t>
      </w:r>
    </w:p>
    <w:p w14:paraId="1A2ED1DE" w14:textId="77777777" w:rsidR="00D1114F" w:rsidRDefault="00D1114F" w:rsidP="00D1114F">
      <w:pPr>
        <w:widowControl w:val="0"/>
        <w:spacing w:after="120"/>
        <w:rPr>
          <w:b/>
          <w:szCs w:val="24"/>
        </w:rPr>
      </w:pPr>
    </w:p>
    <w:p w14:paraId="1135F59D" w14:textId="77777777" w:rsidR="00D1114F" w:rsidRPr="00254BEE" w:rsidRDefault="00D1114F" w:rsidP="00D1114F">
      <w:pPr>
        <w:widowControl w:val="0"/>
        <w:spacing w:after="120"/>
        <w:rPr>
          <w:b/>
          <w:szCs w:val="24"/>
        </w:rPr>
      </w:pPr>
      <w:r w:rsidRPr="00254BEE">
        <w:rPr>
          <w:b/>
          <w:szCs w:val="24"/>
        </w:rPr>
        <w:t>Adults and adolescents ≥ 12 years of age</w:t>
      </w:r>
    </w:p>
    <w:p w14:paraId="5E1C31D8" w14:textId="77777777" w:rsidR="00D1114F" w:rsidRDefault="00D1114F" w:rsidP="00D1114F">
      <w:pPr>
        <w:pStyle w:val="BodyText"/>
        <w:spacing w:line="240" w:lineRule="auto"/>
        <w:rPr>
          <w:color w:val="000000" w:themeColor="text1"/>
          <w:u w:val="none"/>
        </w:rPr>
      </w:pPr>
      <w:r w:rsidRPr="00254BEE">
        <w:rPr>
          <w:color w:val="000000" w:themeColor="text1"/>
          <w:u w:val="none"/>
        </w:rPr>
        <w:lastRenderedPageBreak/>
        <w:t>Xolair is indicated for the management of adult and adolescent patients with moderate to severe allergic asthma, who are already being treated with inhaled steroids, and who have serum immunoglobulin E levels corresponding to the recommended dose range (see Table 10 under “Dosage and Administration”).</w:t>
      </w:r>
    </w:p>
    <w:p w14:paraId="7AB112F1" w14:textId="77777777" w:rsidR="00D1114F" w:rsidRDefault="00D1114F" w:rsidP="006C657A">
      <w:pPr>
        <w:pStyle w:val="Nottoc-headings"/>
        <w:rPr>
          <w:rFonts w:ascii="Times New Roman" w:hAnsi="Times New Roman"/>
          <w:color w:val="000000" w:themeColor="text1"/>
          <w:sz w:val="24"/>
          <w:szCs w:val="24"/>
        </w:rPr>
      </w:pPr>
    </w:p>
    <w:p w14:paraId="7630A1D5" w14:textId="01298C5E" w:rsidR="006C657A" w:rsidRPr="00254BEE" w:rsidRDefault="006C657A" w:rsidP="006C657A">
      <w:pPr>
        <w:pStyle w:val="Nottoc-headings"/>
        <w:rPr>
          <w:rFonts w:ascii="Times New Roman" w:hAnsi="Times New Roman"/>
          <w:color w:val="000000" w:themeColor="text1"/>
          <w:sz w:val="24"/>
          <w:szCs w:val="24"/>
        </w:rPr>
      </w:pPr>
      <w:r w:rsidRPr="00254BEE">
        <w:rPr>
          <w:rFonts w:ascii="Times New Roman" w:hAnsi="Times New Roman"/>
          <w:color w:val="000000" w:themeColor="text1"/>
          <w:sz w:val="24"/>
          <w:szCs w:val="24"/>
        </w:rPr>
        <w:t xml:space="preserve">Chronic </w:t>
      </w:r>
      <w:r w:rsidR="00690BA9">
        <w:rPr>
          <w:rFonts w:ascii="Times New Roman" w:hAnsi="Times New Roman"/>
          <w:color w:val="000000" w:themeColor="text1"/>
          <w:sz w:val="24"/>
          <w:szCs w:val="24"/>
        </w:rPr>
        <w:t>Spontaneous</w:t>
      </w:r>
      <w:r w:rsidRPr="00254BEE">
        <w:rPr>
          <w:rFonts w:ascii="Times New Roman" w:hAnsi="Times New Roman"/>
          <w:color w:val="000000" w:themeColor="text1"/>
          <w:sz w:val="24"/>
          <w:szCs w:val="24"/>
        </w:rPr>
        <w:t xml:space="preserve"> Urticaria (</w:t>
      </w:r>
      <w:r w:rsidR="00690BA9">
        <w:rPr>
          <w:rFonts w:ascii="Times New Roman" w:hAnsi="Times New Roman"/>
          <w:color w:val="000000" w:themeColor="text1"/>
          <w:sz w:val="24"/>
          <w:szCs w:val="24"/>
        </w:rPr>
        <w:t>CSU</w:t>
      </w:r>
      <w:r w:rsidRPr="00254BEE">
        <w:rPr>
          <w:rFonts w:ascii="Times New Roman" w:hAnsi="Times New Roman"/>
          <w:color w:val="000000" w:themeColor="text1"/>
          <w:sz w:val="24"/>
          <w:szCs w:val="24"/>
        </w:rPr>
        <w:t>)</w:t>
      </w:r>
      <w:bookmarkStart w:id="13" w:name="_65133Chronic_Spontaneous_Urticari"/>
      <w:bookmarkEnd w:id="13"/>
    </w:p>
    <w:p w14:paraId="42BD5301" w14:textId="31FAA46D" w:rsidR="006C657A" w:rsidRPr="00254BEE" w:rsidRDefault="006C657A" w:rsidP="006C657A">
      <w:pPr>
        <w:pStyle w:val="BodyText"/>
        <w:spacing w:line="240" w:lineRule="auto"/>
        <w:rPr>
          <w:color w:val="000000" w:themeColor="text1"/>
          <w:u w:val="none"/>
        </w:rPr>
      </w:pPr>
      <w:r w:rsidRPr="00254BEE">
        <w:rPr>
          <w:color w:val="000000" w:themeColor="text1"/>
          <w:u w:val="none"/>
        </w:rPr>
        <w:t xml:space="preserve">Xolair is indicated for adults and adolescents (12 years of age and above) with chronic </w:t>
      </w:r>
      <w:r w:rsidR="00690BA9">
        <w:rPr>
          <w:color w:val="000000" w:themeColor="text1"/>
          <w:u w:val="none"/>
        </w:rPr>
        <w:t>spontaneous</w:t>
      </w:r>
      <w:r w:rsidRPr="00254BEE">
        <w:rPr>
          <w:color w:val="000000" w:themeColor="text1"/>
          <w:u w:val="none"/>
        </w:rPr>
        <w:t xml:space="preserve"> urticaria </w:t>
      </w:r>
      <w:r w:rsidR="00AB121A" w:rsidRPr="00254BEE">
        <w:rPr>
          <w:color w:val="000000" w:themeColor="text1"/>
          <w:u w:val="none"/>
        </w:rPr>
        <w:t>who remain symp</w:t>
      </w:r>
      <w:r w:rsidR="008504DD" w:rsidRPr="00254BEE">
        <w:rPr>
          <w:color w:val="000000" w:themeColor="text1"/>
          <w:u w:val="none"/>
        </w:rPr>
        <w:t>tomatic despite H1 antihistamin</w:t>
      </w:r>
      <w:r w:rsidR="00AB121A" w:rsidRPr="00254BEE">
        <w:rPr>
          <w:color w:val="000000" w:themeColor="text1"/>
          <w:u w:val="none"/>
        </w:rPr>
        <w:t>e treatment</w:t>
      </w:r>
      <w:r w:rsidRPr="00254BEE">
        <w:rPr>
          <w:color w:val="000000" w:themeColor="text1"/>
          <w:u w:val="none"/>
        </w:rPr>
        <w:t>.</w:t>
      </w:r>
    </w:p>
    <w:p w14:paraId="7426131E" w14:textId="77777777" w:rsidR="00D8347D" w:rsidRPr="00254BEE" w:rsidRDefault="00EC673F" w:rsidP="00604B4E">
      <w:pPr>
        <w:pStyle w:val="Heading5"/>
        <w:spacing w:before="240" w:after="240" w:line="240" w:lineRule="auto"/>
        <w:rPr>
          <w:color w:val="000000" w:themeColor="text1"/>
        </w:rPr>
      </w:pPr>
      <w:r w:rsidRPr="00254BEE">
        <w:rPr>
          <w:color w:val="000000" w:themeColor="text1"/>
        </w:rPr>
        <w:t>CONTRAINDICATIONS</w:t>
      </w:r>
    </w:p>
    <w:p w14:paraId="73B86A38" w14:textId="77777777" w:rsidR="00D8347D" w:rsidRPr="00254BEE" w:rsidRDefault="00EC673F" w:rsidP="00286336">
      <w:pPr>
        <w:rPr>
          <w:color w:val="000000" w:themeColor="text1"/>
        </w:rPr>
      </w:pPr>
      <w:r w:rsidRPr="00254BEE">
        <w:rPr>
          <w:color w:val="000000" w:themeColor="text1"/>
        </w:rPr>
        <w:t xml:space="preserve">Hypersensitivity to omalizumab or any other component of the formulation. </w:t>
      </w:r>
    </w:p>
    <w:p w14:paraId="04CFDE28" w14:textId="77777777" w:rsidR="00D8347D" w:rsidRPr="00254BEE" w:rsidRDefault="00EC673F" w:rsidP="00604B4E">
      <w:pPr>
        <w:pStyle w:val="Heading5"/>
        <w:spacing w:before="240" w:after="240" w:line="240" w:lineRule="auto"/>
        <w:rPr>
          <w:color w:val="000000" w:themeColor="text1"/>
        </w:rPr>
      </w:pPr>
      <w:r w:rsidRPr="00254BEE">
        <w:rPr>
          <w:color w:val="000000" w:themeColor="text1"/>
        </w:rPr>
        <w:t>PRECAUTIONS</w:t>
      </w:r>
    </w:p>
    <w:p w14:paraId="358A6917" w14:textId="77777777" w:rsidR="00D8347D" w:rsidRPr="00254BEE" w:rsidRDefault="00EC673F" w:rsidP="00286336">
      <w:pPr>
        <w:rPr>
          <w:b/>
          <w:color w:val="000000" w:themeColor="text1"/>
        </w:rPr>
      </w:pPr>
      <w:bookmarkStart w:id="14" w:name="_Toc441044451"/>
      <w:r w:rsidRPr="00254BEE">
        <w:rPr>
          <w:b/>
          <w:color w:val="000000" w:themeColor="text1"/>
        </w:rPr>
        <w:t>Allergic reactions:</w:t>
      </w:r>
    </w:p>
    <w:p w14:paraId="19EE78EA" w14:textId="77777777" w:rsidR="006857A0" w:rsidRPr="00254BEE" w:rsidRDefault="00EC673F" w:rsidP="006857A0">
      <w:pPr>
        <w:rPr>
          <w:color w:val="000000" w:themeColor="text1"/>
        </w:rPr>
      </w:pPr>
      <w:r w:rsidRPr="00254BEE">
        <w:rPr>
          <w:color w:val="000000" w:themeColor="text1"/>
        </w:rPr>
        <w:t>Local or systemic allergic reactions, including anaphylaxis, may occur.   In post-marketing experience, anaphylaxis and anaphylactoid reactions have been reported following the first and subsequent administrations of Xolair. Although most of these reactions occurred within 2 hours after Xolair administration, some occurred beyond 2 hours and even beyond 24 hours after injections. Medications for the treatment of anaphylactic reactions should always be available for immediate use following administration of Xolair. Patients should be informed that such reactions are possible and prompt medical attention should be sought if allergic reactions occur (see “</w:t>
      </w:r>
      <w:r w:rsidR="00133ED7" w:rsidRPr="00254BEE">
        <w:rPr>
          <w:color w:val="000000" w:themeColor="text1"/>
        </w:rPr>
        <w:t>ADVERSE EFFECTS</w:t>
      </w:r>
      <w:r w:rsidRPr="00254BEE">
        <w:rPr>
          <w:color w:val="000000" w:themeColor="text1"/>
        </w:rPr>
        <w:t>”).</w:t>
      </w:r>
    </w:p>
    <w:p w14:paraId="6CA16F83" w14:textId="77777777" w:rsidR="0036592D" w:rsidRPr="00254BEE" w:rsidRDefault="0036592D" w:rsidP="004C5DF0">
      <w:pPr>
        <w:rPr>
          <w:color w:val="000000" w:themeColor="text1"/>
        </w:rPr>
      </w:pPr>
    </w:p>
    <w:p w14:paraId="083FF1E0" w14:textId="77777777" w:rsidR="00B62046" w:rsidRPr="00254BEE" w:rsidRDefault="00EC673F" w:rsidP="004C5DF0">
      <w:pPr>
        <w:rPr>
          <w:color w:val="000000" w:themeColor="text1"/>
        </w:rPr>
      </w:pPr>
      <w:r w:rsidRPr="00254BEE">
        <w:rPr>
          <w:color w:val="000000" w:themeColor="text1"/>
        </w:rPr>
        <w:t xml:space="preserve">Serum sickness and serum sickness-like reactions, which are delayed allergic type </w:t>
      </w:r>
      <w:smartTag w:uri="urn:schemas-microsoft-com:office:smarttags" w:element="stockticker">
        <w:r w:rsidRPr="00254BEE">
          <w:rPr>
            <w:color w:val="000000" w:themeColor="text1"/>
          </w:rPr>
          <w:t>III</w:t>
        </w:r>
      </w:smartTag>
      <w:r w:rsidRPr="00254BEE">
        <w:rPr>
          <w:color w:val="000000" w:themeColor="text1"/>
        </w:rPr>
        <w:t xml:space="preserve"> reactions, have rarely been seen in patients treated with humanized monoclonal antibodies including omalizumab. The onset has typically been 1-5 days after administration of the first or subsequent injections, also after long duration of treatment. Symptoms suggestive of serum sickness include arthritis/arthralgia, rash (urticaria or other forms), fever and lymphadenopathy. Patients should be advised to report any suspected symptoms.</w:t>
      </w:r>
    </w:p>
    <w:p w14:paraId="182EC677" w14:textId="77777777" w:rsidR="00CC1EBE" w:rsidRPr="00254BEE" w:rsidRDefault="00CC1EBE" w:rsidP="0004092B">
      <w:pPr>
        <w:rPr>
          <w:color w:val="000000" w:themeColor="text1"/>
        </w:rPr>
      </w:pPr>
    </w:p>
    <w:p w14:paraId="55807D86" w14:textId="77777777" w:rsidR="00A857E9" w:rsidRPr="00254BEE" w:rsidRDefault="00A857E9" w:rsidP="00304C91">
      <w:pPr>
        <w:pStyle w:val="Level4"/>
        <w:keepNext w:val="0"/>
        <w:keepLines w:val="0"/>
        <w:spacing w:before="0" w:after="0" w:line="240" w:lineRule="auto"/>
        <w:rPr>
          <w:rFonts w:ascii="Times New Roman" w:hAnsi="Times New Roman"/>
          <w:color w:val="000000" w:themeColor="text1"/>
          <w:lang w:val="en-GB"/>
        </w:rPr>
      </w:pPr>
      <w:r w:rsidRPr="00254BEE">
        <w:rPr>
          <w:rFonts w:ascii="Times New Roman" w:hAnsi="Times New Roman"/>
          <w:color w:val="000000" w:themeColor="text1"/>
          <w:lang w:val="en-GB"/>
        </w:rPr>
        <w:t>Churg-Strauss syndrome and hypereosinophilic syndrome:</w:t>
      </w:r>
    </w:p>
    <w:p w14:paraId="3D5C63A8" w14:textId="77777777" w:rsidR="00EF0919" w:rsidRPr="00254BEE" w:rsidRDefault="00EF0919" w:rsidP="00EF0919">
      <w:pPr>
        <w:pStyle w:val="Level4"/>
        <w:keepNext w:val="0"/>
        <w:keepLines w:val="0"/>
        <w:spacing w:before="0" w:after="0" w:line="240" w:lineRule="auto"/>
        <w:rPr>
          <w:rFonts w:ascii="Times New Roman" w:hAnsi="Times New Roman"/>
          <w:b w:val="0"/>
          <w:color w:val="000000" w:themeColor="text1"/>
        </w:rPr>
      </w:pPr>
      <w:r w:rsidRPr="00254BEE">
        <w:rPr>
          <w:rFonts w:ascii="Times New Roman" w:hAnsi="Times New Roman"/>
          <w:b w:val="0"/>
          <w:color w:val="000000" w:themeColor="text1"/>
        </w:rPr>
        <w:t>Patients with severe asthma may rarely present systemic hypereosinophilic syndrome or allergic eosinophilic granulomatous vasculitis (Churg-Strauss syndrome), both of which are usually treated with systemic corticosteroids. In rare cases, patients on therapy with anti-asthma agents, including omalizumab, may present or develop systemic eosinophilia and vasculitis. A causal association between Xolair and these underlying conditions has not been established. These events are commonly associated with the reduction of oral corticosteroid therapy. In these patients, physicians should be alert to the development of marked eosinophilia, vasculitic rash, worsening pulmonary symptoms, paranasal sinus abnormalities, cardiac complications, and/or neuropathy. Discontinuation of omalizumab should be considered in all severe cases with the above mentioned immune system disorders.</w:t>
      </w:r>
    </w:p>
    <w:p w14:paraId="1C68060A" w14:textId="77777777" w:rsidR="00A857E9" w:rsidRPr="00254BEE" w:rsidRDefault="00A857E9" w:rsidP="00A857E9">
      <w:pPr>
        <w:pStyle w:val="Level4"/>
        <w:keepNext w:val="0"/>
        <w:keepLines w:val="0"/>
        <w:spacing w:before="0" w:after="0" w:line="240" w:lineRule="auto"/>
        <w:rPr>
          <w:rFonts w:ascii="Times New Roman" w:hAnsi="Times New Roman"/>
          <w:color w:val="000000" w:themeColor="text1"/>
        </w:rPr>
      </w:pPr>
    </w:p>
    <w:p w14:paraId="5DBC7796" w14:textId="77777777" w:rsidR="00D8347D" w:rsidRPr="00254BEE" w:rsidRDefault="00EC673F" w:rsidP="00A857E9">
      <w:pPr>
        <w:pStyle w:val="Level4"/>
        <w:keepNext w:val="0"/>
        <w:keepLines w:val="0"/>
        <w:spacing w:before="0" w:after="0" w:line="240" w:lineRule="auto"/>
        <w:rPr>
          <w:rFonts w:ascii="Times New Roman" w:hAnsi="Times New Roman"/>
          <w:color w:val="000000" w:themeColor="text1"/>
          <w:lang w:val="en-GB"/>
        </w:rPr>
      </w:pPr>
      <w:r w:rsidRPr="00254BEE">
        <w:rPr>
          <w:rFonts w:ascii="Times New Roman" w:hAnsi="Times New Roman"/>
          <w:color w:val="000000" w:themeColor="text1"/>
          <w:lang w:val="en-GB"/>
        </w:rPr>
        <w:t>Immunogenicity:</w:t>
      </w:r>
    </w:p>
    <w:p w14:paraId="22449A0C" w14:textId="77777777" w:rsidR="00296F01" w:rsidRPr="00254BEE" w:rsidRDefault="00EC673F" w:rsidP="00296F01">
      <w:pPr>
        <w:rPr>
          <w:color w:val="000000" w:themeColor="text1"/>
        </w:rPr>
      </w:pPr>
      <w:r w:rsidRPr="00254BEE">
        <w:rPr>
          <w:color w:val="000000" w:themeColor="text1"/>
        </w:rPr>
        <w:t xml:space="preserve">As with all protein pharmaceuticals, a small percentage of patients may potentially develop antibodies to the protein. (see ‘ADVERSE </w:t>
      </w:r>
      <w:r w:rsidR="00133ED7" w:rsidRPr="00254BEE">
        <w:rPr>
          <w:color w:val="000000" w:themeColor="text1"/>
        </w:rPr>
        <w:t>EFFECTS’</w:t>
      </w:r>
      <w:r w:rsidRPr="00254BEE">
        <w:rPr>
          <w:color w:val="000000" w:themeColor="text1"/>
        </w:rPr>
        <w:t>)</w:t>
      </w:r>
    </w:p>
    <w:p w14:paraId="3CD68F0F" w14:textId="77777777" w:rsidR="00D8347D" w:rsidRPr="00254BEE" w:rsidRDefault="00D8347D" w:rsidP="00286336">
      <w:pPr>
        <w:pStyle w:val="Header"/>
        <w:tabs>
          <w:tab w:val="clear" w:pos="4153"/>
          <w:tab w:val="clear" w:pos="8306"/>
        </w:tabs>
        <w:rPr>
          <w:color w:val="000000" w:themeColor="text1"/>
        </w:rPr>
      </w:pPr>
    </w:p>
    <w:p w14:paraId="0E3AFDFB" w14:textId="77777777" w:rsidR="00D8347D" w:rsidRPr="00254BEE" w:rsidRDefault="00EC673F" w:rsidP="00286336">
      <w:pPr>
        <w:rPr>
          <w:b/>
          <w:color w:val="000000" w:themeColor="text1"/>
        </w:rPr>
      </w:pPr>
      <w:r w:rsidRPr="00254BEE">
        <w:rPr>
          <w:b/>
          <w:color w:val="000000" w:themeColor="text1"/>
        </w:rPr>
        <w:lastRenderedPageBreak/>
        <w:t>Other IgE-associated disorders:</w:t>
      </w:r>
    </w:p>
    <w:p w14:paraId="082E3D42" w14:textId="77777777" w:rsidR="003D4133" w:rsidRPr="00254BEE" w:rsidRDefault="00EC673F" w:rsidP="004D3AE9">
      <w:pPr>
        <w:rPr>
          <w:i/>
          <w:color w:val="000000" w:themeColor="text1"/>
        </w:rPr>
      </w:pPr>
      <w:r w:rsidRPr="00254BEE">
        <w:rPr>
          <w:color w:val="000000" w:themeColor="text1"/>
        </w:rPr>
        <w:t>Xolair has not been studied in patients with anaphylaxis, hyperimmunoglobulin E syndrome, allergic bronchopulmonary aspergillosis, food allergy or atopic dermatitis. Parasitic infestation may also result in elevation of serum IgE concentrations.  In a study of asthmatic patients who had been treated for gut parasites, the level of reinfection did not differ significantly between omalizumab and placebo groups and there were no serious or severe infections. There is no current evidence to suggest that parasitic infections are predisposed to by omalizumab.</w:t>
      </w:r>
    </w:p>
    <w:p w14:paraId="70F0D3DB" w14:textId="77777777" w:rsidR="003D4133" w:rsidRPr="00254BEE" w:rsidRDefault="003D4133" w:rsidP="00286336">
      <w:pPr>
        <w:pStyle w:val="Text"/>
        <w:spacing w:before="0"/>
        <w:jc w:val="left"/>
        <w:rPr>
          <w:color w:val="000000" w:themeColor="text1"/>
        </w:rPr>
      </w:pPr>
    </w:p>
    <w:p w14:paraId="61FC7251" w14:textId="77777777" w:rsidR="00131D01" w:rsidRPr="00131D01" w:rsidRDefault="00131D01" w:rsidP="00131D01">
      <w:pPr>
        <w:rPr>
          <w:b/>
          <w:color w:val="000000" w:themeColor="text1"/>
        </w:rPr>
      </w:pPr>
      <w:r>
        <w:rPr>
          <w:b/>
          <w:color w:val="000000" w:themeColor="text1"/>
        </w:rPr>
        <w:t>Interpretation of serum IgE levels, skin patch and skin prick testing</w:t>
      </w:r>
    </w:p>
    <w:p w14:paraId="2CBA6DB6" w14:textId="77777777" w:rsidR="00131D01" w:rsidRPr="00131D01" w:rsidRDefault="00131D01" w:rsidP="00131D01">
      <w:pPr>
        <w:rPr>
          <w:color w:val="000000" w:themeColor="text1"/>
        </w:rPr>
      </w:pPr>
      <w:r w:rsidRPr="00131D01">
        <w:rPr>
          <w:color w:val="000000" w:themeColor="text1"/>
        </w:rPr>
        <w:t>Patients treated with Xolair have a rapid reduction in free IgE in the serum but an overall increase in the total serum IgE   (commonly measured in clinical laboratories), which reflects free IgE and IgE bound by Xolair. IgE measured following treatment cannot be used to guide treatment or dosing decisions.</w:t>
      </w:r>
    </w:p>
    <w:p w14:paraId="070FA242" w14:textId="77777777" w:rsidR="00131D01" w:rsidRPr="00131D01" w:rsidRDefault="00131D01" w:rsidP="00131D01">
      <w:pPr>
        <w:rPr>
          <w:color w:val="000000" w:themeColor="text1"/>
        </w:rPr>
      </w:pPr>
    </w:p>
    <w:p w14:paraId="7DD067DC" w14:textId="77777777" w:rsidR="00131D01" w:rsidRPr="00131D01" w:rsidRDefault="00131D01" w:rsidP="00131D01">
      <w:pPr>
        <w:rPr>
          <w:color w:val="000000" w:themeColor="text1"/>
        </w:rPr>
      </w:pPr>
      <w:r w:rsidRPr="00131D01">
        <w:rPr>
          <w:color w:val="000000" w:themeColor="text1"/>
        </w:rPr>
        <w:t>Because Xolair reduces free IgE in the serum and tissues, results of skin prick testing, patch testing, and RAST testing for hypersensitivity to potential allergens may be affected. A positive test to a potential allergen in a patient receiving Xolair can be correctly interpreted as representing hypersensitivity to that allergen; however, a negative test in a patient receiving Xolair may not be interpretable. Physicians are urged to use caution in interpreting such tests in patients receiving Xolair.</w:t>
      </w:r>
    </w:p>
    <w:p w14:paraId="3F2D515E" w14:textId="77777777" w:rsidR="00131D01" w:rsidRDefault="00131D01" w:rsidP="00286336">
      <w:pPr>
        <w:pStyle w:val="Text"/>
        <w:spacing w:before="0"/>
        <w:jc w:val="left"/>
        <w:rPr>
          <w:b/>
          <w:color w:val="000000" w:themeColor="text1"/>
        </w:rPr>
      </w:pPr>
    </w:p>
    <w:p w14:paraId="48975319" w14:textId="77777777" w:rsidR="00D8347D" w:rsidRPr="00254BEE" w:rsidRDefault="00EC673F" w:rsidP="00286336">
      <w:pPr>
        <w:pStyle w:val="Text"/>
        <w:spacing w:before="0"/>
        <w:jc w:val="left"/>
        <w:rPr>
          <w:color w:val="000000" w:themeColor="text1"/>
        </w:rPr>
      </w:pPr>
      <w:r w:rsidRPr="00254BEE">
        <w:rPr>
          <w:b/>
          <w:color w:val="000000" w:themeColor="text1"/>
        </w:rPr>
        <w:t>Thrombocytopenia:</w:t>
      </w:r>
    </w:p>
    <w:p w14:paraId="705BB8A6" w14:textId="77777777" w:rsidR="00D8347D" w:rsidRPr="00254BEE" w:rsidRDefault="00EC673F" w:rsidP="00286336">
      <w:pPr>
        <w:pStyle w:val="Text"/>
        <w:spacing w:before="0"/>
        <w:jc w:val="left"/>
        <w:rPr>
          <w:color w:val="000000" w:themeColor="text1"/>
        </w:rPr>
      </w:pPr>
      <w:r w:rsidRPr="00254BEE">
        <w:rPr>
          <w:color w:val="000000" w:themeColor="text1"/>
        </w:rPr>
        <w:t>At serum concentrations in excess of maximum human exposure used in pivotal clinical trials, dose-related thrombocytopenia occurred in 2 out of 4 non-human primate species studied.  The thrombocytopenia was more pronounced in juvenile animals.  No Xolair-related thrombocytopenia has been observed in clinical trials</w:t>
      </w:r>
      <w:r w:rsidR="00FD6EE4" w:rsidRPr="00254BEE">
        <w:rPr>
          <w:color w:val="000000" w:themeColor="text1"/>
        </w:rPr>
        <w:t>, but it has been reported in the post-market setting</w:t>
      </w:r>
      <w:r w:rsidRPr="00254BEE">
        <w:rPr>
          <w:color w:val="000000" w:themeColor="text1"/>
        </w:rPr>
        <w:t>.</w:t>
      </w:r>
    </w:p>
    <w:p w14:paraId="09C7BEF4" w14:textId="77777777" w:rsidR="00D8347D" w:rsidRPr="00254BEE" w:rsidRDefault="00D8347D" w:rsidP="00286336">
      <w:pPr>
        <w:pStyle w:val="Text"/>
        <w:spacing w:before="0"/>
        <w:jc w:val="left"/>
        <w:rPr>
          <w:color w:val="000000" w:themeColor="text1"/>
        </w:rPr>
      </w:pPr>
    </w:p>
    <w:p w14:paraId="4EF559DA" w14:textId="77777777" w:rsidR="00D8347D" w:rsidRPr="00254BEE" w:rsidRDefault="00EC673F" w:rsidP="00286336">
      <w:pPr>
        <w:pStyle w:val="Text"/>
        <w:spacing w:before="0"/>
        <w:jc w:val="left"/>
        <w:rPr>
          <w:color w:val="000000" w:themeColor="text1"/>
        </w:rPr>
      </w:pPr>
      <w:r w:rsidRPr="00254BEE">
        <w:rPr>
          <w:color w:val="000000" w:themeColor="text1"/>
        </w:rPr>
        <w:t>Xolair should be used with caution in patients with thrombocytopenia and patients with a history of thrombocytopenia.  It is recommended that patients have a platelet count before commencing therapy with Xolair and then periodically during treatment with Xolair.</w:t>
      </w:r>
    </w:p>
    <w:p w14:paraId="3584D76A" w14:textId="77777777" w:rsidR="00203ABA" w:rsidRPr="00254BEE" w:rsidRDefault="00203ABA" w:rsidP="00286336">
      <w:pPr>
        <w:pStyle w:val="Text"/>
        <w:spacing w:before="0"/>
        <w:jc w:val="left"/>
        <w:rPr>
          <w:color w:val="000000" w:themeColor="text1"/>
          <w:u w:val="single"/>
        </w:rPr>
      </w:pPr>
    </w:p>
    <w:p w14:paraId="4448C178" w14:textId="77777777" w:rsidR="00353855" w:rsidRPr="00254BEE" w:rsidRDefault="00353855" w:rsidP="00353855">
      <w:pPr>
        <w:pStyle w:val="Text"/>
        <w:spacing w:before="0" w:after="60"/>
        <w:jc w:val="left"/>
        <w:rPr>
          <w:b/>
          <w:u w:val="single"/>
        </w:rPr>
      </w:pPr>
      <w:r w:rsidRPr="00254BEE">
        <w:rPr>
          <w:b/>
          <w:u w:val="single"/>
        </w:rPr>
        <w:t>Arteriothrombolic Events (ATE)</w:t>
      </w:r>
    </w:p>
    <w:p w14:paraId="3632E8C5" w14:textId="77777777" w:rsidR="00353855" w:rsidRPr="00254BEE" w:rsidRDefault="00353855" w:rsidP="00353855">
      <w:pPr>
        <w:pStyle w:val="Text"/>
        <w:spacing w:before="0"/>
        <w:jc w:val="left"/>
      </w:pPr>
      <w:r w:rsidRPr="00254BEE">
        <w:t>In controlled clinical trials, interim and final analyses of an observational study, a numerical imbalance of ATE was observed. See ‘ADVERSE EFFECTS’.</w:t>
      </w:r>
    </w:p>
    <w:p w14:paraId="5A188EAE" w14:textId="77777777" w:rsidR="00B62046" w:rsidRPr="00254BEE" w:rsidRDefault="00B62046" w:rsidP="00286336">
      <w:pPr>
        <w:pStyle w:val="Text"/>
        <w:spacing w:before="0"/>
        <w:jc w:val="left"/>
        <w:rPr>
          <w:color w:val="000000" w:themeColor="text1"/>
          <w:u w:val="single"/>
        </w:rPr>
      </w:pPr>
    </w:p>
    <w:p w14:paraId="7B267D21" w14:textId="77777777" w:rsidR="00D8347D" w:rsidRPr="00254BEE" w:rsidRDefault="00EC673F" w:rsidP="00286336">
      <w:pPr>
        <w:pStyle w:val="Heading2"/>
        <w:spacing w:before="0"/>
        <w:ind w:left="0" w:firstLine="0"/>
        <w:rPr>
          <w:rFonts w:ascii="Times New Roman" w:hAnsi="Times New Roman"/>
          <w:color w:val="000000" w:themeColor="text1"/>
          <w:sz w:val="24"/>
        </w:rPr>
      </w:pPr>
      <w:r w:rsidRPr="00254BEE">
        <w:rPr>
          <w:rFonts w:ascii="Times New Roman" w:hAnsi="Times New Roman"/>
          <w:color w:val="000000" w:themeColor="text1"/>
          <w:sz w:val="24"/>
        </w:rPr>
        <w:t>Effects on ability to drive and use machines:</w:t>
      </w:r>
    </w:p>
    <w:p w14:paraId="0E9B459D" w14:textId="77777777" w:rsidR="0004092B" w:rsidRPr="00254BEE" w:rsidRDefault="00EC673F" w:rsidP="00AC7DC6">
      <w:pPr>
        <w:autoSpaceDE w:val="0"/>
        <w:autoSpaceDN w:val="0"/>
        <w:adjustRightInd w:val="0"/>
        <w:rPr>
          <w:color w:val="000000" w:themeColor="text1"/>
          <w:szCs w:val="24"/>
          <w:lang w:val="en-US"/>
        </w:rPr>
      </w:pPr>
      <w:r w:rsidRPr="00254BEE">
        <w:rPr>
          <w:color w:val="000000" w:themeColor="text1"/>
          <w:lang w:val="en-US"/>
        </w:rPr>
        <w:t>Patients receiving Xolair should be informed that if they experience dizziness, fatigue,</w:t>
      </w:r>
    </w:p>
    <w:p w14:paraId="75CA5DCA" w14:textId="77777777" w:rsidR="0004092B" w:rsidRPr="00254BEE" w:rsidRDefault="00EC673F" w:rsidP="00AC7DC6">
      <w:pPr>
        <w:autoSpaceDE w:val="0"/>
        <w:autoSpaceDN w:val="0"/>
        <w:adjustRightInd w:val="0"/>
        <w:rPr>
          <w:color w:val="000000" w:themeColor="text1"/>
          <w:sz w:val="20"/>
          <w:lang w:val="en-US"/>
        </w:rPr>
      </w:pPr>
      <w:r w:rsidRPr="00254BEE">
        <w:rPr>
          <w:color w:val="000000" w:themeColor="text1"/>
          <w:lang w:val="en-US"/>
        </w:rPr>
        <w:t>faintness or somnolence they should not drive or use machines.</w:t>
      </w:r>
    </w:p>
    <w:p w14:paraId="6F7D12B4" w14:textId="77777777" w:rsidR="00D8347D" w:rsidRPr="00254BEE" w:rsidRDefault="00D8347D" w:rsidP="00286336">
      <w:pPr>
        <w:pStyle w:val="Text"/>
        <w:spacing w:before="0"/>
        <w:jc w:val="left"/>
        <w:rPr>
          <w:b/>
          <w:color w:val="000000" w:themeColor="text1"/>
        </w:rPr>
      </w:pPr>
    </w:p>
    <w:p w14:paraId="2C437B34" w14:textId="77777777" w:rsidR="00D8347D" w:rsidRPr="00254BEE" w:rsidRDefault="00EC673F" w:rsidP="00286336">
      <w:pPr>
        <w:rPr>
          <w:color w:val="000000" w:themeColor="text1"/>
        </w:rPr>
      </w:pPr>
      <w:r w:rsidRPr="00254BEE">
        <w:rPr>
          <w:b/>
          <w:color w:val="000000" w:themeColor="text1"/>
        </w:rPr>
        <w:t>Use in children:</w:t>
      </w:r>
    </w:p>
    <w:p w14:paraId="33DA3E73" w14:textId="77777777" w:rsidR="00D8347D" w:rsidRPr="00254BEE" w:rsidRDefault="0009306B" w:rsidP="00286336">
      <w:pPr>
        <w:pStyle w:val="BodyText2"/>
        <w:spacing w:line="240" w:lineRule="auto"/>
        <w:rPr>
          <w:color w:val="000000" w:themeColor="text1"/>
          <w:u w:val="none"/>
        </w:rPr>
      </w:pPr>
      <w:r w:rsidRPr="00254BEE">
        <w:rPr>
          <w:color w:val="000000" w:themeColor="text1"/>
          <w:u w:val="none"/>
        </w:rPr>
        <w:t>In allergic asthma, t</w:t>
      </w:r>
      <w:r w:rsidR="00EC673F" w:rsidRPr="00254BEE">
        <w:rPr>
          <w:color w:val="000000" w:themeColor="text1"/>
          <w:u w:val="none"/>
        </w:rPr>
        <w:t xml:space="preserve">here are currently insufficient safety data to support the use of Xolair in children under the age of </w:t>
      </w:r>
      <w:r w:rsidRPr="00254BEE">
        <w:rPr>
          <w:color w:val="000000" w:themeColor="text1"/>
          <w:u w:val="none"/>
        </w:rPr>
        <w:t xml:space="preserve">6 </w:t>
      </w:r>
      <w:r w:rsidR="00EC673F" w:rsidRPr="00254BEE">
        <w:rPr>
          <w:color w:val="000000" w:themeColor="text1"/>
          <w:u w:val="none"/>
        </w:rPr>
        <w:t>years.</w:t>
      </w:r>
    </w:p>
    <w:p w14:paraId="569AA355" w14:textId="7782BEDD" w:rsidR="0003318E" w:rsidRPr="00254BEE" w:rsidRDefault="0003318E" w:rsidP="0003318E">
      <w:pPr>
        <w:pStyle w:val="Text"/>
      </w:pPr>
      <w:r w:rsidRPr="00254BEE">
        <w:t xml:space="preserve">In chronic </w:t>
      </w:r>
      <w:r w:rsidR="00690BA9">
        <w:t>spontaneous</w:t>
      </w:r>
      <w:r w:rsidRPr="00254BEE">
        <w:t xml:space="preserve"> urticaria, </w:t>
      </w:r>
      <w:r w:rsidR="0009306B" w:rsidRPr="00254BEE">
        <w:rPr>
          <w:color w:val="000000" w:themeColor="text1"/>
        </w:rPr>
        <w:t xml:space="preserve">there are currently insufficient safety data to support the use of Xolair in children under the age </w:t>
      </w:r>
      <w:r w:rsidR="0009306B" w:rsidRPr="00254BEE">
        <w:t>of 12 years.</w:t>
      </w:r>
    </w:p>
    <w:p w14:paraId="0578E0C1" w14:textId="77777777" w:rsidR="00D8347D" w:rsidRPr="00254BEE" w:rsidRDefault="00D8347D" w:rsidP="00286336">
      <w:pPr>
        <w:rPr>
          <w:color w:val="000000" w:themeColor="text1"/>
        </w:rPr>
      </w:pPr>
    </w:p>
    <w:p w14:paraId="0952FCAC" w14:textId="77777777" w:rsidR="00D8347D" w:rsidRPr="00254BEE" w:rsidRDefault="00EC673F" w:rsidP="00EA0BD8">
      <w:pPr>
        <w:pageBreakBefore/>
        <w:rPr>
          <w:b/>
          <w:color w:val="000000" w:themeColor="text1"/>
        </w:rPr>
      </w:pPr>
      <w:bookmarkStart w:id="15" w:name="_GoBack"/>
      <w:bookmarkEnd w:id="15"/>
      <w:r w:rsidRPr="00254BEE">
        <w:rPr>
          <w:b/>
          <w:color w:val="000000" w:themeColor="text1"/>
        </w:rPr>
        <w:lastRenderedPageBreak/>
        <w:t>Use in the elderly:</w:t>
      </w:r>
    </w:p>
    <w:p w14:paraId="4FB3FA92" w14:textId="77777777" w:rsidR="00D8347D" w:rsidRPr="00254BEE" w:rsidRDefault="00EC673F" w:rsidP="0049247C">
      <w:pPr>
        <w:rPr>
          <w:color w:val="000000" w:themeColor="text1"/>
        </w:rPr>
      </w:pPr>
      <w:r w:rsidRPr="00254BEE">
        <w:rPr>
          <w:color w:val="000000" w:themeColor="text1"/>
        </w:rPr>
        <w:t>There are limited data available on the use of Xolair in patients older than 65 years but there is no evidence that elderly patients require a different dosage from younger adult patients.</w:t>
      </w:r>
      <w:bookmarkEnd w:id="14"/>
    </w:p>
    <w:p w14:paraId="46A093B2" w14:textId="77777777" w:rsidR="00FC1D98" w:rsidRPr="00254BEE" w:rsidRDefault="00FC1D98" w:rsidP="00731E5F">
      <w:pPr>
        <w:rPr>
          <w:color w:val="000000" w:themeColor="text1"/>
        </w:rPr>
      </w:pPr>
    </w:p>
    <w:p w14:paraId="194EF9A5" w14:textId="77777777" w:rsidR="00296F01" w:rsidRPr="00254BEE" w:rsidRDefault="00EC673F" w:rsidP="00296F01">
      <w:pPr>
        <w:rPr>
          <w:b/>
          <w:color w:val="000000" w:themeColor="text1"/>
        </w:rPr>
      </w:pPr>
      <w:r w:rsidRPr="00254BEE">
        <w:rPr>
          <w:b/>
          <w:color w:val="000000" w:themeColor="text1"/>
        </w:rPr>
        <w:t>Renal or hepatic impairment</w:t>
      </w:r>
    </w:p>
    <w:p w14:paraId="05CBEA97" w14:textId="77777777" w:rsidR="00296F01" w:rsidRPr="00254BEE" w:rsidRDefault="00EC673F" w:rsidP="00296F01">
      <w:pPr>
        <w:rPr>
          <w:color w:val="000000" w:themeColor="text1"/>
        </w:rPr>
      </w:pPr>
      <w:r w:rsidRPr="00254BEE">
        <w:rPr>
          <w:color w:val="000000" w:themeColor="text1"/>
        </w:rPr>
        <w:t>There have been no studies on the effect of impaired renal or hepatic function on the pharmacokinetics of Xolair. Xolair should be administered with caution in these patients.</w:t>
      </w:r>
    </w:p>
    <w:p w14:paraId="7AF34671" w14:textId="77777777" w:rsidR="0049247C" w:rsidRPr="00254BEE" w:rsidRDefault="0049247C" w:rsidP="00731E5F">
      <w:pPr>
        <w:pStyle w:val="Level4"/>
        <w:spacing w:before="0" w:after="0" w:line="240" w:lineRule="auto"/>
        <w:rPr>
          <w:rFonts w:ascii="Times New Roman" w:hAnsi="Times New Roman"/>
          <w:color w:val="000000" w:themeColor="text1"/>
        </w:rPr>
      </w:pPr>
    </w:p>
    <w:p w14:paraId="61E267F7" w14:textId="77777777" w:rsidR="00353855" w:rsidRPr="00254BEE" w:rsidRDefault="00353855" w:rsidP="00353855">
      <w:pPr>
        <w:pStyle w:val="Level4"/>
        <w:spacing w:before="0" w:after="0" w:line="240" w:lineRule="auto"/>
        <w:rPr>
          <w:rFonts w:ascii="Times New Roman" w:hAnsi="Times New Roman"/>
          <w:color w:val="000000" w:themeColor="text1"/>
        </w:rPr>
      </w:pPr>
      <w:r w:rsidRPr="00254BEE">
        <w:rPr>
          <w:rFonts w:ascii="Times New Roman" w:hAnsi="Times New Roman"/>
          <w:color w:val="000000" w:themeColor="text1"/>
        </w:rPr>
        <w:t>Pre-filled syringe, latex-sensitive individuals</w:t>
      </w:r>
    </w:p>
    <w:p w14:paraId="45BB65F1" w14:textId="77777777" w:rsidR="00353855" w:rsidRPr="00254BEE" w:rsidRDefault="00353855" w:rsidP="00353855">
      <w:pPr>
        <w:widowControl w:val="0"/>
        <w:rPr>
          <w:color w:val="000000" w:themeColor="text1"/>
        </w:rPr>
      </w:pPr>
      <w:r w:rsidRPr="00254BEE">
        <w:rPr>
          <w:color w:val="000000" w:themeColor="text1"/>
        </w:rPr>
        <w:t xml:space="preserve">The removable needle cap of Xolair solution for injection in pre-filled syringe contains a derivative of natural rubber latex. Although no natural rubber latex is detected in the removable needle cap, the safe use of Xolair solution for injection in pre-filled syringe in latex-sensitive individuals has not been studied. </w:t>
      </w:r>
    </w:p>
    <w:p w14:paraId="4142A804" w14:textId="77777777" w:rsidR="00353855" w:rsidRPr="00254BEE" w:rsidRDefault="00353855" w:rsidP="004D3AE9">
      <w:pPr>
        <w:pStyle w:val="Level4"/>
        <w:spacing w:before="0" w:after="0" w:line="240" w:lineRule="auto"/>
        <w:rPr>
          <w:rFonts w:ascii="Times New Roman" w:hAnsi="Times New Roman"/>
          <w:color w:val="000000" w:themeColor="text1"/>
          <w:lang w:val="en-GB"/>
        </w:rPr>
      </w:pPr>
    </w:p>
    <w:p w14:paraId="353476A6" w14:textId="77777777" w:rsidR="00D8347D" w:rsidRPr="00254BEE" w:rsidRDefault="00EC673F" w:rsidP="004D3AE9">
      <w:pPr>
        <w:pStyle w:val="Level4"/>
        <w:spacing w:before="0" w:after="0" w:line="240" w:lineRule="auto"/>
        <w:rPr>
          <w:rFonts w:ascii="Times New Roman" w:hAnsi="Times New Roman"/>
          <w:color w:val="000000" w:themeColor="text1"/>
        </w:rPr>
      </w:pPr>
      <w:r w:rsidRPr="00254BEE">
        <w:rPr>
          <w:rFonts w:ascii="Times New Roman" w:hAnsi="Times New Roman"/>
          <w:color w:val="000000" w:themeColor="text1"/>
        </w:rPr>
        <w:t>Carcinogenicity</w:t>
      </w:r>
    </w:p>
    <w:p w14:paraId="38B885F0" w14:textId="77777777" w:rsidR="00330CFF" w:rsidRPr="00254BEE" w:rsidRDefault="00EC673F" w:rsidP="004D3AE9">
      <w:pPr>
        <w:widowControl w:val="0"/>
        <w:rPr>
          <w:color w:val="000000" w:themeColor="text1"/>
        </w:rPr>
      </w:pPr>
      <w:r w:rsidRPr="00254BEE">
        <w:rPr>
          <w:color w:val="000000" w:themeColor="text1"/>
        </w:rPr>
        <w:t xml:space="preserve">No long-term studies have been performed in animals to evaluate the carcinogenic potential of omalizumab. </w:t>
      </w:r>
    </w:p>
    <w:p w14:paraId="19F7148B" w14:textId="77777777" w:rsidR="00330CFF" w:rsidRPr="00254BEE" w:rsidRDefault="00330CFF" w:rsidP="004D3AE9">
      <w:pPr>
        <w:widowControl w:val="0"/>
        <w:rPr>
          <w:color w:val="000000" w:themeColor="text1"/>
        </w:rPr>
      </w:pPr>
    </w:p>
    <w:p w14:paraId="36DBCF7F" w14:textId="77777777" w:rsidR="003E2029" w:rsidRDefault="00A06894" w:rsidP="004D3AE9">
      <w:pPr>
        <w:widowControl w:val="0"/>
        <w:rPr>
          <w:b/>
          <w:color w:val="000000" w:themeColor="text1"/>
          <w:lang w:val="en-US"/>
        </w:rPr>
      </w:pPr>
      <w:r w:rsidRPr="00254BEE">
        <w:rPr>
          <w:b/>
          <w:color w:val="000000" w:themeColor="text1"/>
          <w:lang w:val="en-US"/>
        </w:rPr>
        <w:t>Genotoxicity</w:t>
      </w:r>
    </w:p>
    <w:p w14:paraId="29B3FB0D" w14:textId="77777777" w:rsidR="00D8347D" w:rsidRPr="00254BEE" w:rsidRDefault="00EC673F" w:rsidP="004D3AE9">
      <w:pPr>
        <w:widowControl w:val="0"/>
        <w:rPr>
          <w:color w:val="000000" w:themeColor="text1"/>
        </w:rPr>
      </w:pPr>
      <w:r w:rsidRPr="00254BEE">
        <w:rPr>
          <w:color w:val="000000" w:themeColor="text1"/>
        </w:rPr>
        <w:t>There was no evidence of gene mutations in a bacterial gene mutation assay with omalizumab. The clastogenic potential of omalizumab has not been investigated.</w:t>
      </w:r>
    </w:p>
    <w:p w14:paraId="78B2F93C" w14:textId="77777777" w:rsidR="00D8347D" w:rsidRPr="00254BEE" w:rsidRDefault="00D8347D" w:rsidP="004D3AE9">
      <w:pPr>
        <w:widowControl w:val="0"/>
        <w:rPr>
          <w:color w:val="000000" w:themeColor="text1"/>
        </w:rPr>
      </w:pPr>
    </w:p>
    <w:p w14:paraId="051078FF" w14:textId="77777777" w:rsidR="00726CDF" w:rsidRPr="00254BEE" w:rsidRDefault="00EC673F" w:rsidP="004D3AE9">
      <w:pPr>
        <w:widowControl w:val="0"/>
        <w:rPr>
          <w:b/>
          <w:color w:val="000000" w:themeColor="text1"/>
        </w:rPr>
      </w:pPr>
      <w:r w:rsidRPr="00254BEE">
        <w:rPr>
          <w:b/>
          <w:color w:val="000000" w:themeColor="text1"/>
        </w:rPr>
        <w:t>Effects on fertility</w:t>
      </w:r>
    </w:p>
    <w:p w14:paraId="63FE8E66" w14:textId="77777777" w:rsidR="0009306B" w:rsidRPr="00254BEE" w:rsidRDefault="00EC673F" w:rsidP="0009306B">
      <w:pPr>
        <w:widowControl w:val="0"/>
        <w:rPr>
          <w:color w:val="000000" w:themeColor="text1"/>
        </w:rPr>
      </w:pPr>
      <w:r w:rsidRPr="00254BEE">
        <w:rPr>
          <w:color w:val="000000" w:themeColor="text1"/>
        </w:rPr>
        <w:t xml:space="preserve">Studies in cynomolgus monkeys showed no adverse effects of omalizumab on fertility or general reproductive performance of males or females at weekly doses up to 75 mg/kg SC </w:t>
      </w:r>
    </w:p>
    <w:p w14:paraId="37A9CF00" w14:textId="77777777" w:rsidR="00D8347D" w:rsidRPr="00254BEE" w:rsidRDefault="00E411F2" w:rsidP="004D3AE9">
      <w:pPr>
        <w:widowControl w:val="0"/>
        <w:rPr>
          <w:color w:val="000000" w:themeColor="text1"/>
        </w:rPr>
      </w:pPr>
      <w:r w:rsidRPr="00254BEE">
        <w:rPr>
          <w:color w:val="000000" w:themeColor="text1"/>
        </w:rPr>
        <w:t xml:space="preserve">about </w:t>
      </w:r>
      <w:r w:rsidR="005307D6" w:rsidRPr="00254BEE">
        <w:rPr>
          <w:color w:val="000000" w:themeColor="text1"/>
        </w:rPr>
        <w:t>10</w:t>
      </w:r>
      <w:r w:rsidRPr="00254BEE">
        <w:rPr>
          <w:color w:val="000000" w:themeColor="text1"/>
        </w:rPr>
        <w:t xml:space="preserve"> times the </w:t>
      </w:r>
      <w:r w:rsidR="005307D6" w:rsidRPr="00254BEE">
        <w:rPr>
          <w:color w:val="000000" w:themeColor="text1"/>
        </w:rPr>
        <w:t xml:space="preserve">maximum </w:t>
      </w:r>
      <w:r w:rsidRPr="00254BEE">
        <w:rPr>
          <w:color w:val="000000" w:themeColor="text1"/>
        </w:rPr>
        <w:t xml:space="preserve">anticipated clinical exposure in adult patients, based on serum AUC).  </w:t>
      </w:r>
    </w:p>
    <w:p w14:paraId="0876F4B7" w14:textId="77777777" w:rsidR="00D8347D" w:rsidRPr="00254BEE" w:rsidRDefault="00D8347D" w:rsidP="00286336">
      <w:pPr>
        <w:widowControl w:val="0"/>
        <w:rPr>
          <w:color w:val="000000" w:themeColor="text1"/>
        </w:rPr>
      </w:pPr>
    </w:p>
    <w:p w14:paraId="5696CF6B" w14:textId="77777777" w:rsidR="00D8347D" w:rsidRPr="00254BEE" w:rsidRDefault="00EC673F" w:rsidP="00286336">
      <w:pPr>
        <w:widowControl w:val="0"/>
        <w:rPr>
          <w:b/>
          <w:color w:val="000000" w:themeColor="text1"/>
          <w:u w:val="single"/>
        </w:rPr>
      </w:pPr>
      <w:r w:rsidRPr="00254BEE">
        <w:rPr>
          <w:b/>
          <w:color w:val="000000" w:themeColor="text1"/>
          <w:u w:val="single"/>
        </w:rPr>
        <w:t>Use in Pregnancy</w:t>
      </w:r>
      <w:r w:rsidRPr="00254BEE">
        <w:rPr>
          <w:b/>
          <w:color w:val="000000" w:themeColor="text1"/>
        </w:rPr>
        <w:t xml:space="preserve"> (Category B</w:t>
      </w:r>
      <w:r w:rsidR="00321518" w:rsidRPr="00254BEE">
        <w:rPr>
          <w:b/>
          <w:color w:val="000000" w:themeColor="text1"/>
        </w:rPr>
        <w:t>1</w:t>
      </w:r>
      <w:r w:rsidRPr="00254BEE">
        <w:rPr>
          <w:b/>
          <w:color w:val="000000" w:themeColor="text1"/>
        </w:rPr>
        <w:t>)</w:t>
      </w:r>
    </w:p>
    <w:p w14:paraId="72A02BE3" w14:textId="77777777" w:rsidR="00D8347D" w:rsidRPr="00254BEE" w:rsidRDefault="00EC673F" w:rsidP="00286336">
      <w:pPr>
        <w:pStyle w:val="PIParagraph0"/>
        <w:spacing w:after="0" w:line="240" w:lineRule="auto"/>
        <w:jc w:val="left"/>
        <w:rPr>
          <w:rFonts w:ascii="Times New Roman" w:hAnsi="Times New Roman"/>
          <w:color w:val="000000" w:themeColor="text1"/>
        </w:rPr>
      </w:pPr>
      <w:r w:rsidRPr="00254BEE">
        <w:rPr>
          <w:rFonts w:ascii="Times New Roman" w:hAnsi="Times New Roman"/>
          <w:color w:val="000000" w:themeColor="text1"/>
        </w:rPr>
        <w:t xml:space="preserve">No studies have been performed in pregnant or breast-feeding women.  Studies in </w:t>
      </w:r>
      <w:r w:rsidR="00E411F2" w:rsidRPr="00254BEE">
        <w:rPr>
          <w:rFonts w:ascii="Times New Roman" w:hAnsi="Times New Roman"/>
          <w:sz w:val="22"/>
          <w:szCs w:val="22"/>
          <w:lang w:val="en-AU"/>
        </w:rPr>
        <w:t>cynomolgus</w:t>
      </w:r>
      <w:r w:rsidRPr="00254BEE">
        <w:rPr>
          <w:rFonts w:ascii="Times New Roman" w:hAnsi="Times New Roman"/>
          <w:color w:val="000000" w:themeColor="text1"/>
        </w:rPr>
        <w:t xml:space="preserve"> monkeys do not indicate direct or indirect harmful effects with respect to pregnancy, embryonic/foetal development, parturition or neonatal growth at weekly doses up to 75 mg/kg SC </w:t>
      </w:r>
      <w:r w:rsidR="00E411F2" w:rsidRPr="00254BEE">
        <w:rPr>
          <w:rFonts w:ascii="Times New Roman" w:hAnsi="Times New Roman"/>
          <w:color w:val="000000" w:themeColor="text1"/>
        </w:rPr>
        <w:t xml:space="preserve">about </w:t>
      </w:r>
      <w:r w:rsidR="005307D6" w:rsidRPr="00254BEE">
        <w:rPr>
          <w:rFonts w:ascii="Times New Roman" w:hAnsi="Times New Roman"/>
          <w:color w:val="000000" w:themeColor="text1"/>
        </w:rPr>
        <w:t>10</w:t>
      </w:r>
      <w:r w:rsidR="00E411F2" w:rsidRPr="00254BEE">
        <w:rPr>
          <w:rFonts w:ascii="Times New Roman" w:hAnsi="Times New Roman"/>
          <w:color w:val="000000" w:themeColor="text1"/>
        </w:rPr>
        <w:t xml:space="preserve"> times the </w:t>
      </w:r>
      <w:r w:rsidR="005307D6" w:rsidRPr="00254BEE">
        <w:rPr>
          <w:rFonts w:ascii="Times New Roman" w:hAnsi="Times New Roman"/>
          <w:color w:val="000000" w:themeColor="text1"/>
        </w:rPr>
        <w:t xml:space="preserve">maximum </w:t>
      </w:r>
      <w:r w:rsidR="00E411F2" w:rsidRPr="00254BEE">
        <w:rPr>
          <w:rFonts w:ascii="Times New Roman" w:hAnsi="Times New Roman"/>
          <w:color w:val="000000" w:themeColor="text1"/>
        </w:rPr>
        <w:t xml:space="preserve">anticipated clinical exposure in adult patients, based on serum AUC).  </w:t>
      </w:r>
      <w:r w:rsidRPr="00254BEE">
        <w:rPr>
          <w:rFonts w:ascii="Times New Roman" w:hAnsi="Times New Roman"/>
          <w:color w:val="000000" w:themeColor="text1"/>
        </w:rPr>
        <w:t>Because immunoglobulins are known to cross the placenta and the potential for harm to the foetus is unknown, caution should be exercised when prescribing Xolair to pregnant women.</w:t>
      </w:r>
    </w:p>
    <w:p w14:paraId="05C09283" w14:textId="77777777" w:rsidR="00D8347D" w:rsidRPr="00254BEE" w:rsidRDefault="00D8347D" w:rsidP="00286336">
      <w:pPr>
        <w:pStyle w:val="PIParagraph0"/>
        <w:spacing w:after="0" w:line="240" w:lineRule="auto"/>
        <w:jc w:val="left"/>
        <w:rPr>
          <w:rFonts w:ascii="Times New Roman" w:hAnsi="Times New Roman"/>
          <w:color w:val="000000" w:themeColor="text1"/>
        </w:rPr>
      </w:pPr>
    </w:p>
    <w:p w14:paraId="47C1668F" w14:textId="77777777" w:rsidR="00D8347D" w:rsidRPr="00254BEE" w:rsidRDefault="00EC673F" w:rsidP="00286336">
      <w:pPr>
        <w:rPr>
          <w:b/>
          <w:color w:val="000000" w:themeColor="text1"/>
          <w:u w:val="single"/>
        </w:rPr>
      </w:pPr>
      <w:r w:rsidRPr="00254BEE">
        <w:rPr>
          <w:b/>
          <w:color w:val="000000" w:themeColor="text1"/>
          <w:u w:val="single"/>
        </w:rPr>
        <w:t>Use in Lactation</w:t>
      </w:r>
    </w:p>
    <w:p w14:paraId="618853EA" w14:textId="77777777" w:rsidR="00D8347D" w:rsidRPr="00254BEE" w:rsidRDefault="00EC673F" w:rsidP="00286336">
      <w:pPr>
        <w:pStyle w:val="Text"/>
        <w:spacing w:before="0"/>
        <w:jc w:val="left"/>
        <w:rPr>
          <w:color w:val="000000" w:themeColor="text1"/>
        </w:rPr>
      </w:pPr>
      <w:r w:rsidRPr="00254BEE">
        <w:rPr>
          <w:color w:val="000000" w:themeColor="text1"/>
        </w:rPr>
        <w:t>It is not known whether Xolair is excreted in human milk.  Because human IgG is excreted in human milk, and because the potential for absorption and harm to the infant are unknown, caution should be exercised when Xolair is administered to breast-feeding women.</w:t>
      </w:r>
    </w:p>
    <w:p w14:paraId="46081B4A" w14:textId="77777777" w:rsidR="00D8347D" w:rsidRPr="00254BEE" w:rsidRDefault="00D8347D" w:rsidP="00286336">
      <w:pPr>
        <w:pStyle w:val="Text"/>
        <w:spacing w:before="0"/>
        <w:jc w:val="left"/>
        <w:rPr>
          <w:color w:val="000000" w:themeColor="text1"/>
        </w:rPr>
      </w:pPr>
    </w:p>
    <w:p w14:paraId="400BB336" w14:textId="77777777" w:rsidR="00D8347D" w:rsidRPr="00254BEE" w:rsidRDefault="00EC673F" w:rsidP="00286336">
      <w:pPr>
        <w:pStyle w:val="Text"/>
        <w:spacing w:before="0"/>
        <w:jc w:val="left"/>
        <w:rPr>
          <w:color w:val="000000" w:themeColor="text1"/>
        </w:rPr>
      </w:pPr>
      <w:r w:rsidRPr="00254BEE">
        <w:rPr>
          <w:color w:val="000000" w:themeColor="text1"/>
        </w:rPr>
        <w:t>In order to assess the effect of omalizumab on late gestation, and to evaluate the placental transfer and milk excretion of omalizumab, doses of 75 mg/kg/week were administered subcutaneously to female cynomolgus monkeys.  Transport of omalizumab into maternal milk was limited.  The serum levels of omalizumab observed in dams, fetuses, and neonates are consistent with reported transport and distribution of IgG class immunoglobulins.</w:t>
      </w:r>
    </w:p>
    <w:p w14:paraId="1BE6E37B" w14:textId="77777777" w:rsidR="00D8347D" w:rsidRPr="00254BEE" w:rsidRDefault="00D8347D" w:rsidP="00286336">
      <w:pPr>
        <w:rPr>
          <w:b/>
          <w:color w:val="000000" w:themeColor="text1"/>
          <w:u w:val="single"/>
        </w:rPr>
      </w:pPr>
    </w:p>
    <w:p w14:paraId="03B19664" w14:textId="77777777" w:rsidR="00D8347D" w:rsidRPr="00254BEE" w:rsidRDefault="00FC1D98" w:rsidP="00286336">
      <w:pPr>
        <w:rPr>
          <w:b/>
          <w:color w:val="000000" w:themeColor="text1"/>
          <w:sz w:val="30"/>
          <w:u w:val="single"/>
        </w:rPr>
      </w:pPr>
      <w:r w:rsidRPr="00254BEE">
        <w:rPr>
          <w:b/>
          <w:color w:val="000000" w:themeColor="text1"/>
          <w:sz w:val="30"/>
          <w:u w:val="single"/>
        </w:rPr>
        <w:t>INTERACTIONS WITH OTHER MEDICINES</w:t>
      </w:r>
    </w:p>
    <w:p w14:paraId="4EE3305A" w14:textId="77777777" w:rsidR="006E525A" w:rsidRPr="00254BEE" w:rsidRDefault="006E525A" w:rsidP="00286336">
      <w:pPr>
        <w:pStyle w:val="Text"/>
        <w:spacing w:before="0"/>
        <w:jc w:val="left"/>
        <w:rPr>
          <w:color w:val="000000" w:themeColor="text1"/>
        </w:rPr>
      </w:pPr>
    </w:p>
    <w:p w14:paraId="7CC2C51B" w14:textId="77777777" w:rsidR="00D8347D" w:rsidRPr="00254BEE" w:rsidRDefault="00EC673F" w:rsidP="00286336">
      <w:pPr>
        <w:pStyle w:val="Text"/>
        <w:spacing w:before="0"/>
        <w:jc w:val="left"/>
        <w:rPr>
          <w:color w:val="000000" w:themeColor="text1"/>
        </w:rPr>
      </w:pPr>
      <w:r w:rsidRPr="00254BEE">
        <w:rPr>
          <w:color w:val="000000" w:themeColor="text1"/>
        </w:rPr>
        <w:lastRenderedPageBreak/>
        <w:t>In clinical studies, Xolair was effectively and safely used in conjunction with inhaled corticosteroids, inhaled beta agonists and oral antihistamines. No formal drug interaction studies have been performed with Xolair.</w:t>
      </w:r>
    </w:p>
    <w:p w14:paraId="5710A9E6" w14:textId="6CD426AC" w:rsidR="006E525A" w:rsidRPr="00254BEE" w:rsidRDefault="00EE52E0" w:rsidP="006E525A">
      <w:pPr>
        <w:pStyle w:val="Nottoc-headings"/>
        <w:rPr>
          <w:rFonts w:ascii="Times New Roman" w:hAnsi="Times New Roman"/>
        </w:rPr>
      </w:pPr>
      <w:r w:rsidRPr="00254BEE">
        <w:rPr>
          <w:rFonts w:ascii="Times New Roman" w:hAnsi="Times New Roman"/>
        </w:rPr>
        <w:t xml:space="preserve">Chronic </w:t>
      </w:r>
      <w:r w:rsidR="00690BA9">
        <w:rPr>
          <w:rFonts w:ascii="Times New Roman" w:hAnsi="Times New Roman"/>
        </w:rPr>
        <w:t>Spontaneous</w:t>
      </w:r>
      <w:r w:rsidRPr="00254BEE">
        <w:rPr>
          <w:rFonts w:ascii="Times New Roman" w:hAnsi="Times New Roman"/>
        </w:rPr>
        <w:t xml:space="preserve"> Urticaria</w:t>
      </w:r>
      <w:r w:rsidR="006E525A" w:rsidRPr="00254BEE">
        <w:rPr>
          <w:rFonts w:ascii="Times New Roman" w:hAnsi="Times New Roman"/>
        </w:rPr>
        <w:t xml:space="preserve"> (</w:t>
      </w:r>
      <w:r w:rsidR="00690BA9">
        <w:rPr>
          <w:rFonts w:ascii="Times New Roman" w:hAnsi="Times New Roman"/>
        </w:rPr>
        <w:t>CSU</w:t>
      </w:r>
      <w:r w:rsidR="006E525A" w:rsidRPr="00254BEE">
        <w:rPr>
          <w:rFonts w:ascii="Times New Roman" w:hAnsi="Times New Roman"/>
        </w:rPr>
        <w:t>)</w:t>
      </w:r>
      <w:bookmarkStart w:id="16" w:name="_3025534Chronic_Spontaneous_Urtica"/>
      <w:bookmarkEnd w:id="16"/>
    </w:p>
    <w:p w14:paraId="3552B798" w14:textId="21DC9118" w:rsidR="006E525A" w:rsidRPr="00254BEE" w:rsidRDefault="006E525A" w:rsidP="006E525A">
      <w:pPr>
        <w:pStyle w:val="Text"/>
        <w:spacing w:before="0"/>
        <w:jc w:val="left"/>
        <w:rPr>
          <w:color w:val="000000" w:themeColor="text1"/>
        </w:rPr>
      </w:pPr>
      <w:r w:rsidRPr="00254BEE">
        <w:rPr>
          <w:color w:val="000000" w:themeColor="text1"/>
        </w:rPr>
        <w:t xml:space="preserve">In clinical studies in </w:t>
      </w:r>
      <w:r w:rsidR="00690BA9">
        <w:rPr>
          <w:color w:val="000000" w:themeColor="text1"/>
        </w:rPr>
        <w:t>CSU</w:t>
      </w:r>
      <w:r w:rsidRPr="00254BEE">
        <w:rPr>
          <w:color w:val="000000" w:themeColor="text1"/>
        </w:rPr>
        <w:t xml:space="preserve"> Xolair was used in conjunction with antihistamines (anti-H1, anti-H2) and leukotriene receptor antagonists (LTRAs). In the phase III studies Q4881g and Q4882g all patients received H1 antihistamines in addition to Xolair or placebo. In the phase III study Q4883g, all patients received one or more H1 antihistamine(s), and/or H2 antihistamines and/or LTRAs in addition to Xolair or placebo. There was no evidence that the safety of omalizumab was altered when used with these medicinal products relative to its known safety profile in allergic asthma. In addition, a population pharmacokinetic analysis showed no relevant effect of H2 antihistamines and LTRAs on omalizumab pharmacokinetics (see </w:t>
      </w:r>
      <w:r w:rsidR="00EC6409" w:rsidRPr="00254BEE">
        <w:rPr>
          <w:color w:val="000000" w:themeColor="text1"/>
        </w:rPr>
        <w:t>PHARMACOLOGY</w:t>
      </w:r>
      <w:r w:rsidRPr="00254BEE">
        <w:rPr>
          <w:color w:val="000000" w:themeColor="text1"/>
        </w:rPr>
        <w:t>).</w:t>
      </w:r>
    </w:p>
    <w:p w14:paraId="415A104B" w14:textId="77777777" w:rsidR="006E525A" w:rsidRPr="00254BEE" w:rsidRDefault="006E525A" w:rsidP="00286336">
      <w:pPr>
        <w:pStyle w:val="Heading5"/>
        <w:spacing w:line="240" w:lineRule="auto"/>
        <w:rPr>
          <w:color w:val="000000" w:themeColor="text1"/>
        </w:rPr>
      </w:pPr>
    </w:p>
    <w:p w14:paraId="372FF16D" w14:textId="77777777" w:rsidR="00D8347D" w:rsidRPr="00254BEE" w:rsidRDefault="00DA372F" w:rsidP="00286336">
      <w:pPr>
        <w:pStyle w:val="Heading5"/>
        <w:spacing w:line="240" w:lineRule="auto"/>
        <w:rPr>
          <w:color w:val="000000" w:themeColor="text1"/>
        </w:rPr>
      </w:pPr>
      <w:r w:rsidRPr="00254BEE">
        <w:rPr>
          <w:color w:val="000000" w:themeColor="text1"/>
        </w:rPr>
        <w:t xml:space="preserve">ADVERSE </w:t>
      </w:r>
      <w:r w:rsidR="00FC1D98" w:rsidRPr="00254BEE">
        <w:rPr>
          <w:color w:val="000000" w:themeColor="text1"/>
        </w:rPr>
        <w:t>EFFECTS</w:t>
      </w:r>
    </w:p>
    <w:p w14:paraId="454DB6D1" w14:textId="77777777" w:rsidR="0004092B" w:rsidRPr="00254BEE" w:rsidRDefault="0004092B" w:rsidP="0004092B">
      <w:pPr>
        <w:pStyle w:val="Text"/>
        <w:tabs>
          <w:tab w:val="left" w:pos="567"/>
        </w:tabs>
        <w:spacing w:before="0"/>
        <w:jc w:val="left"/>
        <w:rPr>
          <w:color w:val="000000" w:themeColor="text1"/>
        </w:rPr>
      </w:pPr>
    </w:p>
    <w:p w14:paraId="516B500F" w14:textId="77777777" w:rsidR="0004092B" w:rsidRPr="00254BEE" w:rsidRDefault="00DA372F" w:rsidP="0004092B">
      <w:pPr>
        <w:pStyle w:val="Text"/>
        <w:tabs>
          <w:tab w:val="left" w:pos="567"/>
        </w:tabs>
        <w:spacing w:before="0"/>
        <w:jc w:val="left"/>
        <w:rPr>
          <w:b/>
          <w:color w:val="000000" w:themeColor="text1"/>
          <w:u w:val="single"/>
        </w:rPr>
      </w:pPr>
      <w:r w:rsidRPr="00254BEE">
        <w:rPr>
          <w:b/>
          <w:color w:val="000000" w:themeColor="text1"/>
          <w:u w:val="single"/>
        </w:rPr>
        <w:t xml:space="preserve">Clinical trial experience </w:t>
      </w:r>
      <w:r w:rsidR="006C657A" w:rsidRPr="00254BEE">
        <w:rPr>
          <w:b/>
          <w:color w:val="000000" w:themeColor="text1"/>
          <w:u w:val="single"/>
        </w:rPr>
        <w:t>in allergic asthma</w:t>
      </w:r>
    </w:p>
    <w:p w14:paraId="1CEB2B04" w14:textId="77777777" w:rsidR="0004092B" w:rsidRPr="00254BEE" w:rsidRDefault="0004092B" w:rsidP="0004092B">
      <w:pPr>
        <w:pStyle w:val="Text"/>
        <w:tabs>
          <w:tab w:val="left" w:pos="567"/>
        </w:tabs>
        <w:spacing w:before="0"/>
        <w:jc w:val="left"/>
        <w:rPr>
          <w:b/>
          <w:color w:val="000000" w:themeColor="text1"/>
          <w:u w:val="single"/>
        </w:rPr>
      </w:pPr>
    </w:p>
    <w:p w14:paraId="04DDEA96" w14:textId="77777777" w:rsidR="00D8347D" w:rsidRPr="00254BEE" w:rsidRDefault="00DA372F" w:rsidP="00B36C84">
      <w:pPr>
        <w:autoSpaceDE w:val="0"/>
        <w:autoSpaceDN w:val="0"/>
        <w:adjustRightInd w:val="0"/>
        <w:rPr>
          <w:snapToGrid w:val="0"/>
        </w:rPr>
      </w:pPr>
      <w:r w:rsidRPr="00254BEE">
        <w:rPr>
          <w:color w:val="000000" w:themeColor="text1"/>
        </w:rPr>
        <w:t>Adverse reactions with Xolair were observed (all studies</w:t>
      </w:r>
      <w:r w:rsidR="0009306B" w:rsidRPr="00254BEE">
        <w:rPr>
          <w:color w:val="000000" w:themeColor="text1"/>
        </w:rPr>
        <w:t xml:space="preserve"> </w:t>
      </w:r>
      <w:r w:rsidR="0009306B" w:rsidRPr="00254BEE">
        <w:rPr>
          <w:snapToGrid w:val="0"/>
        </w:rPr>
        <w:t>with adult and adolescent patients</w:t>
      </w:r>
      <w:r w:rsidR="00B36C84" w:rsidRPr="00254BEE">
        <w:rPr>
          <w:snapToGrid w:val="0"/>
        </w:rPr>
        <w:t xml:space="preserve"> </w:t>
      </w:r>
      <w:r w:rsidR="0009306B" w:rsidRPr="00254BEE">
        <w:rPr>
          <w:snapToGrid w:val="0"/>
        </w:rPr>
        <w:t>12 years of age and older</w:t>
      </w:r>
      <w:r w:rsidRPr="00254BEE">
        <w:rPr>
          <w:color w:val="000000" w:themeColor="text1"/>
        </w:rPr>
        <w:t>) at a frequency of 6.6 % of patients, treated with active drug, during clinical trials.</w:t>
      </w:r>
    </w:p>
    <w:p w14:paraId="507D1D76" w14:textId="77777777" w:rsidR="00D8347D" w:rsidRPr="00254BEE" w:rsidRDefault="00DA372F" w:rsidP="00286336">
      <w:pPr>
        <w:rPr>
          <w:color w:val="000000" w:themeColor="text1"/>
        </w:rPr>
      </w:pPr>
      <w:r w:rsidRPr="00254BEE">
        <w:rPr>
          <w:color w:val="000000" w:themeColor="text1"/>
        </w:rPr>
        <w:t>The most commonly associated adverse drug reactions were injection site reactions, including injection site pain, swelling, itching and redness (1.7%) and headaches (1%).</w:t>
      </w:r>
    </w:p>
    <w:p w14:paraId="6AE00EB5" w14:textId="77777777" w:rsidR="00D8347D" w:rsidRPr="00254BEE" w:rsidRDefault="00D8347D" w:rsidP="00286336">
      <w:pPr>
        <w:rPr>
          <w:color w:val="000000" w:themeColor="text1"/>
        </w:rPr>
      </w:pPr>
    </w:p>
    <w:p w14:paraId="30A1239A" w14:textId="77777777" w:rsidR="00D8347D" w:rsidRPr="00254BEE" w:rsidRDefault="00DA372F" w:rsidP="00286336">
      <w:pPr>
        <w:rPr>
          <w:color w:val="000000" w:themeColor="text1"/>
        </w:rPr>
      </w:pPr>
      <w:r w:rsidRPr="00254BEE">
        <w:rPr>
          <w:color w:val="000000" w:themeColor="text1"/>
        </w:rPr>
        <w:t>Other adverse reactions most frequently observed were weight increase (0.7%), urticaria (0.4%), fatigue, arm swelling, nausea, pharyngitis and skin rashes (all at 0.3%).  Most of these events were mild or moderate in severity.</w:t>
      </w:r>
    </w:p>
    <w:p w14:paraId="30DF8983" w14:textId="77777777" w:rsidR="0009306B" w:rsidRPr="00254BEE" w:rsidRDefault="0009306B" w:rsidP="0009306B">
      <w:pPr>
        <w:rPr>
          <w:snapToGrid w:val="0"/>
        </w:rPr>
      </w:pPr>
    </w:p>
    <w:p w14:paraId="0AAB33C5" w14:textId="77777777" w:rsidR="0009306B" w:rsidRPr="00254BEE" w:rsidRDefault="0009306B" w:rsidP="0009306B">
      <w:pPr>
        <w:rPr>
          <w:snapToGrid w:val="0"/>
        </w:rPr>
      </w:pPr>
      <w:r w:rsidRPr="00254BEE">
        <w:rPr>
          <w:snapToGrid w:val="0"/>
        </w:rPr>
        <w:t>In clinical trials with patients 6 to &lt;12 years of age, the most commonly reported adverse</w:t>
      </w:r>
      <w:r w:rsidR="00B36C84" w:rsidRPr="00254BEE">
        <w:rPr>
          <w:snapToGrid w:val="0"/>
        </w:rPr>
        <w:t xml:space="preserve"> </w:t>
      </w:r>
      <w:r w:rsidRPr="00254BEE">
        <w:rPr>
          <w:snapToGrid w:val="0"/>
        </w:rPr>
        <w:t>reactions were headache, pyrexia and upper abdominal pain. Most of the events were mild or</w:t>
      </w:r>
      <w:r w:rsidR="00B36C84" w:rsidRPr="00254BEE">
        <w:rPr>
          <w:snapToGrid w:val="0"/>
        </w:rPr>
        <w:t xml:space="preserve"> </w:t>
      </w:r>
      <w:r w:rsidRPr="00254BEE">
        <w:rPr>
          <w:snapToGrid w:val="0"/>
        </w:rPr>
        <w:t>moderate in severity.</w:t>
      </w:r>
    </w:p>
    <w:p w14:paraId="64EDC37D" w14:textId="77777777" w:rsidR="00D8347D" w:rsidRPr="00254BEE" w:rsidRDefault="00D8347D" w:rsidP="00286336">
      <w:pPr>
        <w:rPr>
          <w:color w:val="000000" w:themeColor="text1"/>
        </w:rPr>
      </w:pPr>
    </w:p>
    <w:p w14:paraId="107171B9" w14:textId="77777777" w:rsidR="00D8347D" w:rsidRPr="00254BEE" w:rsidRDefault="00DA372F" w:rsidP="00286336">
      <w:pPr>
        <w:rPr>
          <w:color w:val="000000" w:themeColor="text1"/>
        </w:rPr>
      </w:pPr>
      <w:r w:rsidRPr="00254BEE">
        <w:rPr>
          <w:color w:val="000000" w:themeColor="text1"/>
        </w:rPr>
        <w:t xml:space="preserve">The adverse reactions listed in Table </w:t>
      </w:r>
      <w:r w:rsidR="00254BEE">
        <w:rPr>
          <w:color w:val="000000" w:themeColor="text1"/>
        </w:rPr>
        <w:t>7</w:t>
      </w:r>
      <w:r w:rsidRPr="00254BEE">
        <w:rPr>
          <w:color w:val="000000" w:themeColor="text1"/>
        </w:rPr>
        <w:t xml:space="preserve"> were recorded in clinical studies in the total </w:t>
      </w:r>
      <w:r w:rsidR="00DF3EF6" w:rsidRPr="00254BEE">
        <w:rPr>
          <w:color w:val="000000" w:themeColor="text1"/>
        </w:rPr>
        <w:t xml:space="preserve">allergic asthma </w:t>
      </w:r>
      <w:r w:rsidRPr="00254BEE">
        <w:rPr>
          <w:color w:val="000000" w:themeColor="text1"/>
        </w:rPr>
        <w:t>safety population treated with Xolair.  Adverse reactions are ranked under headings of frequency using the following convention: common (&gt;1/100; &lt;1/10), uncommon (&gt;1/1000; &lt;1/100), rare (&lt;1/1000).</w:t>
      </w:r>
    </w:p>
    <w:p w14:paraId="6B247B7B" w14:textId="77777777" w:rsidR="008C64EE" w:rsidRPr="00254BEE" w:rsidRDefault="008C64EE">
      <w:pPr>
        <w:rPr>
          <w:b/>
          <w:color w:val="000000" w:themeColor="text1"/>
        </w:rPr>
      </w:pPr>
      <w:r w:rsidRPr="00254BEE">
        <w:rPr>
          <w:b/>
          <w:color w:val="000000" w:themeColor="text1"/>
        </w:rPr>
        <w:br w:type="page"/>
      </w:r>
    </w:p>
    <w:p w14:paraId="71A1FD24" w14:textId="77777777" w:rsidR="000367E4" w:rsidRPr="00254BEE" w:rsidRDefault="000367E4" w:rsidP="009B03A7">
      <w:pPr>
        <w:rPr>
          <w:b/>
          <w:color w:val="000000" w:themeColor="text1"/>
        </w:rPr>
      </w:pPr>
    </w:p>
    <w:p w14:paraId="6E7937CD" w14:textId="77777777" w:rsidR="009B03A7" w:rsidRPr="00254BEE" w:rsidRDefault="00DA372F" w:rsidP="009B03A7">
      <w:pPr>
        <w:rPr>
          <w:b/>
          <w:color w:val="000000" w:themeColor="text1"/>
        </w:rPr>
      </w:pPr>
      <w:r w:rsidRPr="00254BEE">
        <w:rPr>
          <w:b/>
          <w:color w:val="000000" w:themeColor="text1"/>
        </w:rPr>
        <w:t xml:space="preserve">Table </w:t>
      </w:r>
      <w:r w:rsidR="00BC0864" w:rsidRPr="00254BEE">
        <w:rPr>
          <w:b/>
          <w:color w:val="000000" w:themeColor="text1"/>
        </w:rPr>
        <w:t>7</w:t>
      </w:r>
      <w:r w:rsidRPr="00254BEE">
        <w:rPr>
          <w:b/>
          <w:color w:val="000000" w:themeColor="text1"/>
        </w:rPr>
        <w:t>:</w:t>
      </w:r>
      <w:r w:rsidRPr="00254BEE">
        <w:rPr>
          <w:b/>
          <w:color w:val="000000" w:themeColor="text1"/>
        </w:rPr>
        <w:tab/>
        <w:t xml:space="preserve">Adverse reactions listed in Table </w:t>
      </w:r>
      <w:r w:rsidR="00254BEE">
        <w:rPr>
          <w:b/>
          <w:color w:val="000000" w:themeColor="text1"/>
        </w:rPr>
        <w:t>7</w:t>
      </w:r>
      <w:r w:rsidR="00254BEE" w:rsidRPr="00254BEE">
        <w:rPr>
          <w:b/>
          <w:color w:val="000000" w:themeColor="text1"/>
        </w:rPr>
        <w:t xml:space="preserve"> </w:t>
      </w:r>
      <w:r w:rsidRPr="00254BEE">
        <w:rPr>
          <w:b/>
          <w:color w:val="000000" w:themeColor="text1"/>
        </w:rPr>
        <w:t xml:space="preserve">recorded in clinical studies in the total </w:t>
      </w:r>
      <w:r w:rsidRPr="00254BEE">
        <w:rPr>
          <w:b/>
          <w:color w:val="000000" w:themeColor="text1"/>
        </w:rPr>
        <w:tab/>
      </w:r>
      <w:r w:rsidRPr="00254BEE">
        <w:rPr>
          <w:b/>
          <w:color w:val="000000" w:themeColor="text1"/>
        </w:rPr>
        <w:tab/>
      </w:r>
      <w:r w:rsidR="006E525A" w:rsidRPr="00254BEE">
        <w:rPr>
          <w:b/>
          <w:color w:val="000000" w:themeColor="text1"/>
        </w:rPr>
        <w:t xml:space="preserve">allergic asthma </w:t>
      </w:r>
      <w:r w:rsidRPr="00254BEE">
        <w:rPr>
          <w:b/>
          <w:color w:val="000000" w:themeColor="text1"/>
        </w:rPr>
        <w:t>safety population treated with Xolair</w:t>
      </w:r>
    </w:p>
    <w:p w14:paraId="3B5E98B4" w14:textId="77777777" w:rsidR="00604B4E" w:rsidRPr="00254BEE" w:rsidRDefault="00604B4E" w:rsidP="009B03A7">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072"/>
      </w:tblGrid>
      <w:tr w:rsidR="00D8347D" w:rsidRPr="00254BEE" w14:paraId="39E74FF0" w14:textId="77777777">
        <w:tc>
          <w:tcPr>
            <w:tcW w:w="9072" w:type="dxa"/>
            <w:tcBorders>
              <w:bottom w:val="nil"/>
            </w:tcBorders>
          </w:tcPr>
          <w:p w14:paraId="3714F427" w14:textId="77777777" w:rsidR="00D8347D" w:rsidRPr="00254BEE" w:rsidRDefault="00DA372F" w:rsidP="00286336">
            <w:pPr>
              <w:pStyle w:val="Table"/>
              <w:spacing w:before="0" w:after="0"/>
              <w:rPr>
                <w:rFonts w:ascii="Times New Roman" w:hAnsi="Times New Roman"/>
                <w:b/>
                <w:i/>
                <w:color w:val="000000" w:themeColor="text1"/>
                <w:sz w:val="24"/>
                <w:lang w:val="en-GB"/>
              </w:rPr>
            </w:pPr>
            <w:r w:rsidRPr="00254BEE">
              <w:rPr>
                <w:rFonts w:ascii="Times New Roman" w:hAnsi="Times New Roman"/>
                <w:b/>
                <w:i/>
                <w:color w:val="000000" w:themeColor="text1"/>
                <w:sz w:val="24"/>
                <w:lang w:val="en-GB"/>
              </w:rPr>
              <w:t>Body as a whole disorders</w:t>
            </w:r>
          </w:p>
        </w:tc>
      </w:tr>
      <w:tr w:rsidR="00D8347D" w:rsidRPr="00254BEE" w14:paraId="23641938" w14:textId="77777777">
        <w:tc>
          <w:tcPr>
            <w:tcW w:w="9072" w:type="dxa"/>
            <w:tcBorders>
              <w:top w:val="nil"/>
              <w:bottom w:val="nil"/>
            </w:tcBorders>
          </w:tcPr>
          <w:p w14:paraId="79F286DF" w14:textId="77777777" w:rsidR="0009306B" w:rsidRPr="00254BEE" w:rsidRDefault="0009306B" w:rsidP="00286336">
            <w:pPr>
              <w:pStyle w:val="Table"/>
              <w:spacing w:before="0" w:after="0"/>
              <w:rPr>
                <w:rFonts w:ascii="Times New Roman" w:hAnsi="Times New Roman"/>
                <w:snapToGrid w:val="0"/>
                <w:sz w:val="24"/>
                <w:szCs w:val="24"/>
                <w:lang w:val="en-GB"/>
              </w:rPr>
            </w:pPr>
            <w:r w:rsidRPr="00254BEE">
              <w:rPr>
                <w:rFonts w:ascii="Times New Roman" w:hAnsi="Times New Roman"/>
                <w:snapToGrid w:val="0"/>
                <w:sz w:val="24"/>
                <w:szCs w:val="24"/>
                <w:lang w:val="en-GB"/>
              </w:rPr>
              <w:t>Very common: pyrexia*</w:t>
            </w:r>
          </w:p>
          <w:p w14:paraId="682D0D4C" w14:textId="77777777" w:rsidR="00D8347D" w:rsidRPr="00254BEE" w:rsidRDefault="00EC673F" w:rsidP="00286336">
            <w:pPr>
              <w:pStyle w:val="Table"/>
              <w:spacing w:before="0" w:after="0"/>
              <w:rPr>
                <w:rFonts w:ascii="Times New Roman" w:hAnsi="Times New Roman"/>
                <w:color w:val="000000" w:themeColor="text1"/>
                <w:sz w:val="24"/>
                <w:lang w:val="en-GB"/>
              </w:rPr>
            </w:pPr>
            <w:r w:rsidRPr="00254BEE">
              <w:rPr>
                <w:rFonts w:ascii="Times New Roman" w:hAnsi="Times New Roman"/>
                <w:color w:val="000000" w:themeColor="text1"/>
                <w:sz w:val="24"/>
                <w:lang w:val="en-GB"/>
              </w:rPr>
              <w:t xml:space="preserve">Common:  injection site reactions </w:t>
            </w:r>
          </w:p>
        </w:tc>
      </w:tr>
      <w:tr w:rsidR="00D8347D" w:rsidRPr="00254BEE" w14:paraId="6AB0E16F" w14:textId="77777777">
        <w:tc>
          <w:tcPr>
            <w:tcW w:w="9072" w:type="dxa"/>
            <w:tcBorders>
              <w:top w:val="nil"/>
            </w:tcBorders>
          </w:tcPr>
          <w:p w14:paraId="52282F71" w14:textId="77777777" w:rsidR="00D8347D" w:rsidRPr="00254BEE" w:rsidRDefault="00EC673F" w:rsidP="00286336">
            <w:pPr>
              <w:pStyle w:val="Table"/>
              <w:spacing w:before="0" w:after="0"/>
              <w:rPr>
                <w:rFonts w:ascii="Times New Roman" w:hAnsi="Times New Roman"/>
                <w:color w:val="000000" w:themeColor="text1"/>
                <w:sz w:val="24"/>
                <w:lang w:val="en-GB"/>
              </w:rPr>
            </w:pPr>
            <w:r w:rsidRPr="00254BEE">
              <w:rPr>
                <w:rFonts w:ascii="Times New Roman" w:hAnsi="Times New Roman"/>
                <w:color w:val="000000" w:themeColor="text1"/>
                <w:sz w:val="24"/>
                <w:lang w:val="en-GB"/>
              </w:rPr>
              <w:t xml:space="preserve">Uncommon:  weight increase, fatigue, swelling arms, post-injection phenomena </w:t>
            </w:r>
          </w:p>
        </w:tc>
      </w:tr>
      <w:tr w:rsidR="00D8347D" w:rsidRPr="00254BEE" w14:paraId="107F22CD" w14:textId="77777777">
        <w:tc>
          <w:tcPr>
            <w:tcW w:w="9072" w:type="dxa"/>
            <w:tcBorders>
              <w:bottom w:val="nil"/>
            </w:tcBorders>
          </w:tcPr>
          <w:p w14:paraId="1EC541EF" w14:textId="77777777" w:rsidR="00D8347D" w:rsidRPr="00254BEE" w:rsidRDefault="00EC673F" w:rsidP="00286336">
            <w:pPr>
              <w:pStyle w:val="Table"/>
              <w:spacing w:before="0" w:after="0"/>
              <w:rPr>
                <w:rFonts w:ascii="Times New Roman" w:hAnsi="Times New Roman"/>
                <w:b/>
                <w:i/>
                <w:color w:val="000000" w:themeColor="text1"/>
                <w:sz w:val="24"/>
                <w:lang w:val="en-GB"/>
              </w:rPr>
            </w:pPr>
            <w:r w:rsidRPr="00254BEE">
              <w:rPr>
                <w:rFonts w:ascii="Times New Roman" w:hAnsi="Times New Roman"/>
                <w:b/>
                <w:i/>
                <w:color w:val="000000" w:themeColor="text1"/>
                <w:sz w:val="24"/>
                <w:lang w:val="en-GB"/>
              </w:rPr>
              <w:t>Cardiovascular disorders</w:t>
            </w:r>
          </w:p>
        </w:tc>
      </w:tr>
      <w:tr w:rsidR="00D8347D" w:rsidRPr="00254BEE" w14:paraId="1C2ED126" w14:textId="77777777">
        <w:tc>
          <w:tcPr>
            <w:tcW w:w="9072" w:type="dxa"/>
            <w:tcBorders>
              <w:top w:val="nil"/>
              <w:bottom w:val="single" w:sz="4" w:space="0" w:color="auto"/>
            </w:tcBorders>
          </w:tcPr>
          <w:p w14:paraId="7866D60E" w14:textId="77777777" w:rsidR="00D8347D" w:rsidRPr="00254BEE" w:rsidRDefault="00EC673F" w:rsidP="00286336">
            <w:pPr>
              <w:pStyle w:val="Table"/>
              <w:spacing w:before="0" w:after="0"/>
              <w:rPr>
                <w:rFonts w:ascii="Times New Roman" w:hAnsi="Times New Roman"/>
                <w:color w:val="000000" w:themeColor="text1"/>
                <w:sz w:val="24"/>
                <w:lang w:val="en-GB"/>
              </w:rPr>
            </w:pPr>
            <w:r w:rsidRPr="00254BEE">
              <w:rPr>
                <w:rFonts w:ascii="Times New Roman" w:hAnsi="Times New Roman"/>
                <w:color w:val="000000" w:themeColor="text1"/>
                <w:sz w:val="24"/>
                <w:lang w:val="en-GB"/>
              </w:rPr>
              <w:t xml:space="preserve">Uncommon:  syncope and vasovagal syncope </w:t>
            </w:r>
          </w:p>
        </w:tc>
      </w:tr>
      <w:tr w:rsidR="007D4CCF" w:rsidRPr="00254BEE" w14:paraId="4B382CD0" w14:textId="77777777">
        <w:tc>
          <w:tcPr>
            <w:tcW w:w="9072" w:type="dxa"/>
            <w:tcBorders>
              <w:top w:val="single" w:sz="4" w:space="0" w:color="auto"/>
              <w:left w:val="single" w:sz="4" w:space="0" w:color="auto"/>
              <w:bottom w:val="nil"/>
              <w:right w:val="single" w:sz="4" w:space="0" w:color="auto"/>
            </w:tcBorders>
          </w:tcPr>
          <w:p w14:paraId="4B1A4E3C" w14:textId="77777777" w:rsidR="007D4CCF" w:rsidRPr="00254BEE" w:rsidRDefault="00EC673F" w:rsidP="00334EB3">
            <w:pPr>
              <w:pStyle w:val="Table"/>
              <w:spacing w:before="0" w:after="0"/>
              <w:rPr>
                <w:rFonts w:ascii="Times New Roman" w:hAnsi="Times New Roman"/>
                <w:b/>
                <w:i/>
                <w:color w:val="000000" w:themeColor="text1"/>
                <w:sz w:val="24"/>
                <w:lang w:val="en-GB"/>
              </w:rPr>
            </w:pPr>
            <w:r w:rsidRPr="00254BEE">
              <w:rPr>
                <w:rFonts w:ascii="Times New Roman" w:hAnsi="Times New Roman"/>
                <w:b/>
                <w:i/>
                <w:color w:val="000000" w:themeColor="text1"/>
                <w:sz w:val="24"/>
                <w:lang w:val="en-GB"/>
              </w:rPr>
              <w:t>Vascular disorders</w:t>
            </w:r>
          </w:p>
        </w:tc>
      </w:tr>
      <w:tr w:rsidR="007D4CCF" w:rsidRPr="00254BEE" w14:paraId="5D382C0E" w14:textId="77777777" w:rsidTr="00406717">
        <w:tc>
          <w:tcPr>
            <w:tcW w:w="9072" w:type="dxa"/>
            <w:tcBorders>
              <w:top w:val="nil"/>
              <w:bottom w:val="nil"/>
            </w:tcBorders>
          </w:tcPr>
          <w:p w14:paraId="451BF94F" w14:textId="77777777" w:rsidR="007D4CCF" w:rsidRPr="00254BEE" w:rsidRDefault="00EC673F" w:rsidP="00867C4A">
            <w:pPr>
              <w:pStyle w:val="Table"/>
              <w:spacing w:before="0" w:after="0"/>
              <w:rPr>
                <w:rFonts w:ascii="Times New Roman" w:hAnsi="Times New Roman"/>
                <w:b/>
                <w:i/>
                <w:color w:val="000000" w:themeColor="text1"/>
                <w:sz w:val="24"/>
                <w:lang w:val="en-GB"/>
              </w:rPr>
            </w:pPr>
            <w:r w:rsidRPr="00254BEE">
              <w:rPr>
                <w:rFonts w:ascii="Times New Roman" w:hAnsi="Times New Roman"/>
                <w:color w:val="000000" w:themeColor="text1"/>
                <w:sz w:val="24"/>
                <w:lang w:val="en-GB"/>
              </w:rPr>
              <w:t xml:space="preserve">Uncommon: </w:t>
            </w:r>
            <w:r w:rsidRPr="00254BEE">
              <w:rPr>
                <w:rFonts w:ascii="Times New Roman" w:hAnsi="Times New Roman"/>
                <w:snapToGrid w:val="0"/>
                <w:color w:val="000000" w:themeColor="text1"/>
                <w:sz w:val="24"/>
                <w:szCs w:val="24"/>
                <w:lang w:val="en-GB"/>
              </w:rPr>
              <w:t xml:space="preserve"> postural hypotension</w:t>
            </w:r>
            <w:r w:rsidRPr="00254BEE">
              <w:rPr>
                <w:rFonts w:ascii="Times New Roman" w:hAnsi="Times New Roman"/>
                <w:color w:val="000000" w:themeColor="text1"/>
                <w:sz w:val="24"/>
                <w:lang w:val="en-GB"/>
              </w:rPr>
              <w:t xml:space="preserve">, flushing  </w:t>
            </w:r>
          </w:p>
        </w:tc>
      </w:tr>
      <w:tr w:rsidR="00D8347D" w:rsidRPr="00254BEE" w14:paraId="0D4708F1" w14:textId="77777777" w:rsidTr="0080000A">
        <w:tc>
          <w:tcPr>
            <w:tcW w:w="9072" w:type="dxa"/>
            <w:tcBorders>
              <w:bottom w:val="nil"/>
            </w:tcBorders>
          </w:tcPr>
          <w:p w14:paraId="4EFF058D" w14:textId="77777777" w:rsidR="00D8347D" w:rsidRPr="00254BEE" w:rsidRDefault="00EC673F" w:rsidP="00286336">
            <w:pPr>
              <w:pStyle w:val="Table"/>
              <w:spacing w:before="0" w:after="0"/>
              <w:rPr>
                <w:rFonts w:ascii="Times New Roman" w:hAnsi="Times New Roman"/>
                <w:b/>
                <w:i/>
                <w:color w:val="000000" w:themeColor="text1"/>
                <w:sz w:val="24"/>
                <w:lang w:val="en-GB"/>
              </w:rPr>
            </w:pPr>
            <w:r w:rsidRPr="00254BEE">
              <w:rPr>
                <w:rFonts w:ascii="Times New Roman" w:hAnsi="Times New Roman"/>
                <w:b/>
                <w:i/>
                <w:color w:val="000000" w:themeColor="text1"/>
                <w:sz w:val="24"/>
                <w:lang w:val="en-GB"/>
              </w:rPr>
              <w:t>Gastrointestinal disorders</w:t>
            </w:r>
          </w:p>
          <w:p w14:paraId="2884E4B7" w14:textId="77777777" w:rsidR="0009306B" w:rsidRPr="00254BEE" w:rsidRDefault="0009306B" w:rsidP="00286336">
            <w:pPr>
              <w:pStyle w:val="Table"/>
              <w:spacing w:before="0" w:after="0"/>
              <w:rPr>
                <w:rFonts w:ascii="Times New Roman" w:hAnsi="Times New Roman"/>
                <w:b/>
                <w:i/>
                <w:color w:val="000000" w:themeColor="text1"/>
                <w:sz w:val="24"/>
                <w:lang w:val="en-GB"/>
              </w:rPr>
            </w:pPr>
            <w:r w:rsidRPr="00254BEE">
              <w:rPr>
                <w:rFonts w:ascii="Times New Roman" w:hAnsi="Times New Roman"/>
                <w:snapToGrid w:val="0"/>
                <w:sz w:val="24"/>
                <w:szCs w:val="24"/>
                <w:lang w:val="en-GB"/>
              </w:rPr>
              <w:t>Common: abdominal pain upper*</w:t>
            </w:r>
          </w:p>
        </w:tc>
      </w:tr>
      <w:tr w:rsidR="00D8347D" w:rsidRPr="00254BEE" w14:paraId="0E74CAA0" w14:textId="77777777" w:rsidTr="0080000A">
        <w:tc>
          <w:tcPr>
            <w:tcW w:w="9072" w:type="dxa"/>
            <w:tcBorders>
              <w:top w:val="nil"/>
            </w:tcBorders>
          </w:tcPr>
          <w:p w14:paraId="792EAB76" w14:textId="77777777" w:rsidR="00D8347D" w:rsidRPr="00254BEE" w:rsidRDefault="00EC673F" w:rsidP="00286336">
            <w:pPr>
              <w:pStyle w:val="Table"/>
              <w:spacing w:before="0" w:after="0"/>
              <w:rPr>
                <w:rFonts w:ascii="Times New Roman" w:hAnsi="Times New Roman"/>
                <w:color w:val="000000" w:themeColor="text1"/>
                <w:sz w:val="24"/>
                <w:lang w:val="en-GB"/>
              </w:rPr>
            </w:pPr>
            <w:r w:rsidRPr="00254BEE">
              <w:rPr>
                <w:rFonts w:ascii="Times New Roman" w:hAnsi="Times New Roman"/>
                <w:color w:val="000000" w:themeColor="text1"/>
                <w:sz w:val="24"/>
                <w:lang w:val="en-GB"/>
              </w:rPr>
              <w:t>Uncommon:  nausea, diarrhoea, dyspeptic signs and symptoms</w:t>
            </w:r>
          </w:p>
        </w:tc>
      </w:tr>
      <w:tr w:rsidR="00D8347D" w:rsidRPr="00254BEE" w14:paraId="34777BE8" w14:textId="77777777" w:rsidTr="0080000A">
        <w:tc>
          <w:tcPr>
            <w:tcW w:w="9072" w:type="dxa"/>
            <w:tcBorders>
              <w:bottom w:val="nil"/>
            </w:tcBorders>
          </w:tcPr>
          <w:p w14:paraId="318E203C" w14:textId="77777777" w:rsidR="00D8347D" w:rsidRPr="00254BEE" w:rsidRDefault="00EC673F" w:rsidP="00286336">
            <w:pPr>
              <w:pStyle w:val="Table"/>
              <w:spacing w:before="0" w:after="0"/>
              <w:rPr>
                <w:rFonts w:ascii="Times New Roman" w:hAnsi="Times New Roman"/>
                <w:b/>
                <w:i/>
                <w:color w:val="000000" w:themeColor="text1"/>
                <w:sz w:val="24"/>
                <w:lang w:val="en-GB"/>
              </w:rPr>
            </w:pPr>
            <w:r w:rsidRPr="00254BEE">
              <w:rPr>
                <w:rFonts w:ascii="Times New Roman" w:hAnsi="Times New Roman"/>
                <w:b/>
                <w:i/>
                <w:color w:val="000000" w:themeColor="text1"/>
                <w:sz w:val="24"/>
                <w:lang w:val="en-GB"/>
              </w:rPr>
              <w:t>Infections and infestations</w:t>
            </w:r>
          </w:p>
        </w:tc>
      </w:tr>
      <w:tr w:rsidR="00D8347D" w:rsidRPr="00254BEE" w14:paraId="3A3F669F" w14:textId="77777777">
        <w:tc>
          <w:tcPr>
            <w:tcW w:w="9072" w:type="dxa"/>
            <w:tcBorders>
              <w:top w:val="nil"/>
            </w:tcBorders>
          </w:tcPr>
          <w:p w14:paraId="66D95283" w14:textId="77777777" w:rsidR="00D8347D" w:rsidRPr="00254BEE" w:rsidRDefault="00EC673F" w:rsidP="00286336">
            <w:pPr>
              <w:pStyle w:val="Table"/>
              <w:spacing w:before="0" w:after="0"/>
              <w:rPr>
                <w:rFonts w:ascii="Times New Roman" w:hAnsi="Times New Roman"/>
                <w:color w:val="000000" w:themeColor="text1"/>
                <w:sz w:val="24"/>
                <w:lang w:val="en-GB"/>
              </w:rPr>
            </w:pPr>
            <w:r w:rsidRPr="00254BEE">
              <w:rPr>
                <w:rFonts w:ascii="Times New Roman" w:hAnsi="Times New Roman"/>
                <w:color w:val="000000" w:themeColor="text1"/>
                <w:sz w:val="24"/>
                <w:lang w:val="en-GB"/>
              </w:rPr>
              <w:t>Uncommon:  moniliasis</w:t>
            </w:r>
          </w:p>
        </w:tc>
      </w:tr>
      <w:tr w:rsidR="005119CD" w:rsidRPr="00254BEE" w14:paraId="7E605092" w14:textId="77777777">
        <w:tc>
          <w:tcPr>
            <w:tcW w:w="9072" w:type="dxa"/>
            <w:tcBorders>
              <w:bottom w:val="nil"/>
            </w:tcBorders>
          </w:tcPr>
          <w:p w14:paraId="2D50C558" w14:textId="77777777" w:rsidR="005119CD" w:rsidRPr="00254BEE" w:rsidRDefault="00EC673F" w:rsidP="00286336">
            <w:pPr>
              <w:pStyle w:val="Table"/>
              <w:spacing w:before="0" w:after="0"/>
              <w:rPr>
                <w:rFonts w:ascii="Times New Roman" w:hAnsi="Times New Roman"/>
                <w:b/>
                <w:i/>
                <w:snapToGrid w:val="0"/>
                <w:color w:val="000000" w:themeColor="text1"/>
                <w:sz w:val="24"/>
                <w:szCs w:val="24"/>
                <w:lang w:val="en-GB"/>
              </w:rPr>
            </w:pPr>
            <w:r w:rsidRPr="00254BEE">
              <w:rPr>
                <w:rFonts w:ascii="Times New Roman" w:hAnsi="Times New Roman"/>
                <w:b/>
                <w:i/>
                <w:snapToGrid w:val="0"/>
                <w:color w:val="000000" w:themeColor="text1"/>
                <w:sz w:val="24"/>
                <w:szCs w:val="24"/>
                <w:lang w:val="en-GB"/>
              </w:rPr>
              <w:t>Immune system disorders</w:t>
            </w:r>
          </w:p>
          <w:p w14:paraId="0EAF83CF" w14:textId="77777777" w:rsidR="005119CD" w:rsidRPr="00254BEE" w:rsidRDefault="00EC673F" w:rsidP="00286336">
            <w:pPr>
              <w:pStyle w:val="Table"/>
              <w:spacing w:before="0" w:after="0"/>
              <w:rPr>
                <w:rFonts w:ascii="Times New Roman" w:hAnsi="Times New Roman"/>
                <w:b/>
                <w:i/>
                <w:snapToGrid w:val="0"/>
                <w:color w:val="000000" w:themeColor="text1"/>
                <w:sz w:val="24"/>
                <w:szCs w:val="24"/>
                <w:lang w:val="en-GB"/>
              </w:rPr>
            </w:pPr>
            <w:r w:rsidRPr="00254BEE">
              <w:rPr>
                <w:rFonts w:ascii="Times New Roman" w:hAnsi="Times New Roman"/>
                <w:snapToGrid w:val="0"/>
                <w:color w:val="000000" w:themeColor="text1"/>
                <w:sz w:val="24"/>
                <w:szCs w:val="24"/>
                <w:lang w:val="en-GB"/>
              </w:rPr>
              <w:t>Rare: anaphylactic reactions, anti-therapeutic antibody development</w:t>
            </w:r>
          </w:p>
        </w:tc>
      </w:tr>
      <w:tr w:rsidR="00D8347D" w:rsidRPr="00254BEE" w14:paraId="28A5CB8C" w14:textId="77777777">
        <w:tc>
          <w:tcPr>
            <w:tcW w:w="9072" w:type="dxa"/>
            <w:tcBorders>
              <w:bottom w:val="nil"/>
            </w:tcBorders>
          </w:tcPr>
          <w:p w14:paraId="4FFFEFF8" w14:textId="77777777" w:rsidR="00D8347D" w:rsidRPr="00254BEE" w:rsidRDefault="00EC673F" w:rsidP="00286336">
            <w:pPr>
              <w:pStyle w:val="Table"/>
              <w:spacing w:before="0" w:after="0"/>
              <w:rPr>
                <w:rFonts w:ascii="Times New Roman" w:hAnsi="Times New Roman"/>
                <w:b/>
                <w:i/>
                <w:color w:val="000000" w:themeColor="text1"/>
                <w:sz w:val="24"/>
                <w:lang w:val="en-GB"/>
              </w:rPr>
            </w:pPr>
            <w:r w:rsidRPr="00254BEE">
              <w:rPr>
                <w:rFonts w:ascii="Times New Roman" w:hAnsi="Times New Roman"/>
                <w:b/>
                <w:i/>
                <w:color w:val="000000" w:themeColor="text1"/>
                <w:sz w:val="24"/>
                <w:lang w:val="en-GB"/>
              </w:rPr>
              <w:t>Nervous system disorders</w:t>
            </w:r>
          </w:p>
        </w:tc>
      </w:tr>
      <w:tr w:rsidR="00D8347D" w:rsidRPr="00254BEE" w14:paraId="3D3AE225" w14:textId="77777777">
        <w:tc>
          <w:tcPr>
            <w:tcW w:w="9072" w:type="dxa"/>
            <w:tcBorders>
              <w:top w:val="nil"/>
              <w:bottom w:val="nil"/>
            </w:tcBorders>
          </w:tcPr>
          <w:p w14:paraId="7B7E7426" w14:textId="77777777" w:rsidR="00D8347D" w:rsidRPr="00254BEE" w:rsidRDefault="00EC673F" w:rsidP="00286336">
            <w:pPr>
              <w:pStyle w:val="Table"/>
              <w:spacing w:before="0" w:after="0"/>
              <w:rPr>
                <w:rFonts w:ascii="Times New Roman" w:hAnsi="Times New Roman"/>
                <w:color w:val="000000" w:themeColor="text1"/>
                <w:sz w:val="24"/>
                <w:lang w:val="en-GB"/>
              </w:rPr>
            </w:pPr>
            <w:r w:rsidRPr="00254BEE">
              <w:rPr>
                <w:rFonts w:ascii="Times New Roman" w:hAnsi="Times New Roman"/>
                <w:color w:val="000000" w:themeColor="text1"/>
                <w:sz w:val="24"/>
                <w:lang w:val="en-GB"/>
              </w:rPr>
              <w:t>Common: headache</w:t>
            </w:r>
            <w:r w:rsidR="0009306B" w:rsidRPr="00254BEE">
              <w:rPr>
                <w:rFonts w:ascii="Times New Roman" w:hAnsi="Times New Roman"/>
                <w:snapToGrid w:val="0"/>
                <w:sz w:val="24"/>
                <w:szCs w:val="24"/>
                <w:lang w:val="en-GB"/>
              </w:rPr>
              <w:t>**</w:t>
            </w:r>
          </w:p>
        </w:tc>
      </w:tr>
      <w:tr w:rsidR="00D8347D" w:rsidRPr="00254BEE" w14:paraId="5715F09A" w14:textId="77777777">
        <w:tc>
          <w:tcPr>
            <w:tcW w:w="9072" w:type="dxa"/>
            <w:tcBorders>
              <w:top w:val="nil"/>
            </w:tcBorders>
          </w:tcPr>
          <w:p w14:paraId="17028786" w14:textId="77777777" w:rsidR="00D8347D" w:rsidRPr="00254BEE" w:rsidRDefault="00EC673F" w:rsidP="00286336">
            <w:pPr>
              <w:pStyle w:val="Table"/>
              <w:spacing w:before="0" w:after="0"/>
              <w:rPr>
                <w:rFonts w:ascii="Times New Roman" w:hAnsi="Times New Roman"/>
                <w:color w:val="000000" w:themeColor="text1"/>
                <w:sz w:val="24"/>
                <w:lang w:val="en-GB"/>
              </w:rPr>
            </w:pPr>
            <w:r w:rsidRPr="00254BEE">
              <w:rPr>
                <w:rFonts w:ascii="Times New Roman" w:hAnsi="Times New Roman"/>
                <w:color w:val="000000" w:themeColor="text1"/>
                <w:sz w:val="24"/>
                <w:lang w:val="en-GB"/>
              </w:rPr>
              <w:t>Uncommon: dizziness, somnolence, paresthesia</w:t>
            </w:r>
          </w:p>
        </w:tc>
      </w:tr>
      <w:tr w:rsidR="00D8347D" w:rsidRPr="00254BEE" w14:paraId="6FCC6E4F" w14:textId="77777777">
        <w:tc>
          <w:tcPr>
            <w:tcW w:w="9072" w:type="dxa"/>
            <w:tcBorders>
              <w:bottom w:val="nil"/>
            </w:tcBorders>
          </w:tcPr>
          <w:p w14:paraId="7FBC2460" w14:textId="77777777" w:rsidR="00D8347D" w:rsidRPr="00254BEE" w:rsidRDefault="00EC673F" w:rsidP="00286336">
            <w:pPr>
              <w:pStyle w:val="Table"/>
              <w:spacing w:before="0" w:after="0"/>
              <w:rPr>
                <w:rFonts w:ascii="Times New Roman" w:hAnsi="Times New Roman"/>
                <w:b/>
                <w:i/>
                <w:color w:val="000000" w:themeColor="text1"/>
                <w:sz w:val="24"/>
                <w:lang w:val="en-GB"/>
              </w:rPr>
            </w:pPr>
            <w:r w:rsidRPr="00254BEE">
              <w:rPr>
                <w:rFonts w:ascii="Times New Roman" w:hAnsi="Times New Roman"/>
                <w:b/>
                <w:i/>
                <w:color w:val="000000" w:themeColor="text1"/>
                <w:sz w:val="24"/>
                <w:lang w:val="en-GB"/>
              </w:rPr>
              <w:t>Respiratory system</w:t>
            </w:r>
          </w:p>
        </w:tc>
      </w:tr>
      <w:tr w:rsidR="00D8347D" w:rsidRPr="00254BEE" w14:paraId="325E3AEC" w14:textId="77777777">
        <w:tc>
          <w:tcPr>
            <w:tcW w:w="9072" w:type="dxa"/>
            <w:tcBorders>
              <w:top w:val="nil"/>
            </w:tcBorders>
          </w:tcPr>
          <w:p w14:paraId="10B0BB39" w14:textId="77777777" w:rsidR="00D8347D" w:rsidRPr="00254BEE" w:rsidRDefault="00EC673F" w:rsidP="00286336">
            <w:pPr>
              <w:pStyle w:val="Table"/>
              <w:spacing w:before="0" w:after="0"/>
              <w:rPr>
                <w:rFonts w:ascii="Times New Roman" w:hAnsi="Times New Roman"/>
                <w:color w:val="000000" w:themeColor="text1"/>
                <w:sz w:val="24"/>
                <w:lang w:val="en-GB"/>
              </w:rPr>
            </w:pPr>
            <w:r w:rsidRPr="00254BEE">
              <w:rPr>
                <w:rFonts w:ascii="Times New Roman" w:hAnsi="Times New Roman"/>
                <w:color w:val="000000" w:themeColor="text1"/>
                <w:sz w:val="24"/>
                <w:lang w:val="en-GB"/>
              </w:rPr>
              <w:t>Uncommon: pharyngitis, coughing, allergic bronchospasm</w:t>
            </w:r>
          </w:p>
          <w:p w14:paraId="670B2A2F" w14:textId="77777777" w:rsidR="006B1F48" w:rsidRPr="00254BEE" w:rsidRDefault="00EC673F" w:rsidP="00286336">
            <w:pPr>
              <w:pStyle w:val="Table"/>
              <w:spacing w:before="0" w:after="0"/>
              <w:rPr>
                <w:rFonts w:ascii="Times New Roman" w:hAnsi="Times New Roman"/>
                <w:color w:val="000000" w:themeColor="text1"/>
                <w:sz w:val="24"/>
                <w:lang w:val="en-GB"/>
              </w:rPr>
            </w:pPr>
            <w:r w:rsidRPr="00254BEE">
              <w:rPr>
                <w:rFonts w:ascii="Times New Roman" w:hAnsi="Times New Roman"/>
                <w:color w:val="000000" w:themeColor="text1"/>
                <w:sz w:val="24"/>
                <w:lang w:val="en-GB"/>
              </w:rPr>
              <w:t>Rare: laryngoedema</w:t>
            </w:r>
          </w:p>
        </w:tc>
      </w:tr>
      <w:tr w:rsidR="00D8347D" w:rsidRPr="00254BEE" w14:paraId="02824D69" w14:textId="77777777">
        <w:tc>
          <w:tcPr>
            <w:tcW w:w="9072" w:type="dxa"/>
            <w:tcBorders>
              <w:bottom w:val="nil"/>
            </w:tcBorders>
          </w:tcPr>
          <w:p w14:paraId="64072E26" w14:textId="77777777" w:rsidR="00D8347D" w:rsidRPr="00254BEE" w:rsidRDefault="00EC673F" w:rsidP="00286336">
            <w:pPr>
              <w:pStyle w:val="Table"/>
              <w:spacing w:before="0" w:after="0"/>
              <w:rPr>
                <w:rFonts w:ascii="Times New Roman" w:hAnsi="Times New Roman"/>
                <w:b/>
                <w:i/>
                <w:color w:val="000000" w:themeColor="text1"/>
                <w:sz w:val="24"/>
                <w:lang w:val="en-GB"/>
              </w:rPr>
            </w:pPr>
            <w:r w:rsidRPr="00254BEE">
              <w:rPr>
                <w:rFonts w:ascii="Times New Roman" w:hAnsi="Times New Roman"/>
                <w:b/>
                <w:i/>
                <w:color w:val="000000" w:themeColor="text1"/>
                <w:sz w:val="24"/>
                <w:lang w:val="en-GB"/>
              </w:rPr>
              <w:t>Skin and subcutaneous tissue disorders</w:t>
            </w:r>
          </w:p>
        </w:tc>
      </w:tr>
      <w:tr w:rsidR="00D8347D" w:rsidRPr="00254BEE" w14:paraId="02CDB2AA" w14:textId="77777777">
        <w:tc>
          <w:tcPr>
            <w:tcW w:w="9072" w:type="dxa"/>
            <w:tcBorders>
              <w:top w:val="nil"/>
            </w:tcBorders>
          </w:tcPr>
          <w:p w14:paraId="5BE0744F" w14:textId="77777777" w:rsidR="00D8347D" w:rsidRPr="00254BEE" w:rsidRDefault="00EC673F" w:rsidP="00286336">
            <w:pPr>
              <w:pStyle w:val="Table"/>
              <w:spacing w:before="0" w:after="0"/>
              <w:rPr>
                <w:rFonts w:ascii="Times New Roman" w:hAnsi="Times New Roman"/>
                <w:color w:val="000000" w:themeColor="text1"/>
                <w:sz w:val="24"/>
                <w:lang w:val="en-GB"/>
              </w:rPr>
            </w:pPr>
            <w:r w:rsidRPr="00254BEE">
              <w:rPr>
                <w:rFonts w:ascii="Times New Roman" w:hAnsi="Times New Roman"/>
                <w:color w:val="000000" w:themeColor="text1"/>
                <w:sz w:val="24"/>
                <w:lang w:val="en-GB"/>
              </w:rPr>
              <w:t>Uncommon: urticaria, rash, pruritus, photosensitivity</w:t>
            </w:r>
          </w:p>
          <w:p w14:paraId="4CDAD943" w14:textId="77777777" w:rsidR="006B1F48" w:rsidRPr="00254BEE" w:rsidRDefault="00EC673F" w:rsidP="00286336">
            <w:pPr>
              <w:pStyle w:val="Table"/>
              <w:spacing w:before="0" w:after="0"/>
              <w:rPr>
                <w:rFonts w:ascii="Times New Roman" w:hAnsi="Times New Roman"/>
                <w:color w:val="000000" w:themeColor="text1"/>
                <w:sz w:val="24"/>
                <w:lang w:val="en-GB"/>
              </w:rPr>
            </w:pPr>
            <w:r w:rsidRPr="00254BEE">
              <w:rPr>
                <w:rFonts w:ascii="Times New Roman" w:hAnsi="Times New Roman"/>
                <w:color w:val="000000" w:themeColor="text1"/>
                <w:sz w:val="24"/>
                <w:lang w:val="en-GB"/>
              </w:rPr>
              <w:t>Rare: angioedema</w:t>
            </w:r>
          </w:p>
        </w:tc>
      </w:tr>
      <w:tr w:rsidR="00D8347D" w:rsidRPr="00254BEE" w14:paraId="0075EB83" w14:textId="77777777">
        <w:tc>
          <w:tcPr>
            <w:tcW w:w="9072" w:type="dxa"/>
            <w:tcBorders>
              <w:bottom w:val="nil"/>
            </w:tcBorders>
          </w:tcPr>
          <w:p w14:paraId="284BD6A3" w14:textId="77777777" w:rsidR="00D8347D" w:rsidRPr="00254BEE" w:rsidRDefault="00EC673F" w:rsidP="00286336">
            <w:pPr>
              <w:pStyle w:val="Table"/>
              <w:spacing w:before="0" w:after="0"/>
              <w:rPr>
                <w:rFonts w:ascii="Times New Roman" w:hAnsi="Times New Roman"/>
                <w:b/>
                <w:i/>
                <w:color w:val="000000" w:themeColor="text1"/>
                <w:sz w:val="24"/>
                <w:lang w:val="en-GB"/>
              </w:rPr>
            </w:pPr>
            <w:r w:rsidRPr="00254BEE">
              <w:rPr>
                <w:rFonts w:ascii="Times New Roman" w:hAnsi="Times New Roman"/>
                <w:b/>
                <w:i/>
                <w:color w:val="000000" w:themeColor="text1"/>
                <w:sz w:val="24"/>
                <w:lang w:val="en-GB"/>
              </w:rPr>
              <w:t>Adverse event special categories (causality not established)</w:t>
            </w:r>
          </w:p>
        </w:tc>
      </w:tr>
      <w:tr w:rsidR="00D8347D" w:rsidRPr="00254BEE" w14:paraId="7F534672" w14:textId="77777777">
        <w:tc>
          <w:tcPr>
            <w:tcW w:w="9072" w:type="dxa"/>
            <w:tcBorders>
              <w:top w:val="nil"/>
              <w:bottom w:val="nil"/>
            </w:tcBorders>
          </w:tcPr>
          <w:p w14:paraId="46D89EDC" w14:textId="77777777" w:rsidR="00D8347D" w:rsidRPr="00254BEE" w:rsidRDefault="00EC673F" w:rsidP="00286336">
            <w:pPr>
              <w:pStyle w:val="Table"/>
              <w:spacing w:before="0" w:after="0"/>
              <w:rPr>
                <w:rFonts w:ascii="Times New Roman" w:hAnsi="Times New Roman"/>
                <w:color w:val="000000" w:themeColor="text1"/>
                <w:sz w:val="24"/>
                <w:lang w:val="en-GB"/>
              </w:rPr>
            </w:pPr>
            <w:r w:rsidRPr="00254BEE">
              <w:rPr>
                <w:rFonts w:ascii="Times New Roman" w:hAnsi="Times New Roman"/>
                <w:color w:val="000000" w:themeColor="text1"/>
                <w:sz w:val="24"/>
                <w:lang w:val="en-GB"/>
              </w:rPr>
              <w:t>Uncommon:  asymptomatic platelet decreases, parasitic infections</w:t>
            </w:r>
          </w:p>
        </w:tc>
      </w:tr>
      <w:tr w:rsidR="00D8347D" w:rsidRPr="00254BEE" w14:paraId="17742AD7" w14:textId="77777777">
        <w:tc>
          <w:tcPr>
            <w:tcW w:w="9072" w:type="dxa"/>
            <w:tcBorders>
              <w:top w:val="nil"/>
            </w:tcBorders>
          </w:tcPr>
          <w:p w14:paraId="38C277A1" w14:textId="77777777" w:rsidR="00D8347D" w:rsidRPr="00254BEE" w:rsidRDefault="00D8347D" w:rsidP="00296F01">
            <w:pPr>
              <w:pStyle w:val="Table"/>
              <w:spacing w:before="0" w:after="0"/>
              <w:rPr>
                <w:rFonts w:ascii="Times New Roman" w:hAnsi="Times New Roman"/>
                <w:color w:val="000000" w:themeColor="text1"/>
                <w:sz w:val="24"/>
                <w:lang w:val="en-GB"/>
              </w:rPr>
            </w:pPr>
          </w:p>
        </w:tc>
      </w:tr>
    </w:tbl>
    <w:p w14:paraId="5E9C3B4B" w14:textId="77777777" w:rsidR="0009306B" w:rsidRPr="00254BEE" w:rsidRDefault="0009306B" w:rsidP="0009306B">
      <w:pPr>
        <w:pStyle w:val="Table"/>
        <w:spacing w:before="0" w:after="0"/>
        <w:rPr>
          <w:rFonts w:ascii="Times New Roman" w:hAnsi="Times New Roman"/>
          <w:snapToGrid w:val="0"/>
          <w:sz w:val="20"/>
          <w:lang w:val="en-GB"/>
        </w:rPr>
      </w:pPr>
      <w:r w:rsidRPr="00254BEE">
        <w:rPr>
          <w:rFonts w:ascii="Times New Roman" w:hAnsi="Times New Roman"/>
          <w:snapToGrid w:val="0"/>
          <w:sz w:val="20"/>
          <w:lang w:val="en-GB"/>
        </w:rPr>
        <w:t>*: In 6 to &lt;12 year old children **: Very common in 6 to &lt;12 year old children</w:t>
      </w:r>
    </w:p>
    <w:p w14:paraId="2A9B8723" w14:textId="77777777" w:rsidR="009B03A7" w:rsidRPr="00254BEE" w:rsidRDefault="009B03A7" w:rsidP="00286336">
      <w:pPr>
        <w:rPr>
          <w:color w:val="000000" w:themeColor="text1"/>
        </w:rPr>
      </w:pPr>
    </w:p>
    <w:p w14:paraId="2B9C09DB" w14:textId="77777777" w:rsidR="00D8347D" w:rsidRPr="00254BEE" w:rsidRDefault="00EC673F" w:rsidP="00286336">
      <w:pPr>
        <w:rPr>
          <w:color w:val="000000" w:themeColor="text1"/>
        </w:rPr>
      </w:pPr>
      <w:r w:rsidRPr="00254BEE">
        <w:rPr>
          <w:color w:val="000000" w:themeColor="text1"/>
        </w:rPr>
        <w:t>The frequencies of adverse reactions in the active treatment group</w:t>
      </w:r>
      <w:r w:rsidR="0009306B" w:rsidRPr="00254BEE">
        <w:rPr>
          <w:color w:val="000000" w:themeColor="text1"/>
        </w:rPr>
        <w:t xml:space="preserve"> </w:t>
      </w:r>
      <w:r w:rsidR="0009306B" w:rsidRPr="00254BEE">
        <w:rPr>
          <w:snapToGrid w:val="0"/>
        </w:rPr>
        <w:t>adult and adolescent</w:t>
      </w:r>
      <w:r w:rsidRPr="00254BEE">
        <w:rPr>
          <w:color w:val="000000" w:themeColor="text1"/>
        </w:rPr>
        <w:t xml:space="preserve"> patients were very similar to those observed in the placebo group.  Weight increase (0.7% vs 0.2%, placebo), urticaria (0.4% vs 0.1%, placebo) and local injection site reactions (1.7% vs 1.3%, placebo) were slightly more commonly observed in the active treatment group than in placebo group patients.</w:t>
      </w:r>
    </w:p>
    <w:p w14:paraId="1C32DC9E" w14:textId="77777777" w:rsidR="00D8347D" w:rsidRPr="00254BEE" w:rsidRDefault="00D8347D" w:rsidP="00286336">
      <w:pPr>
        <w:rPr>
          <w:color w:val="000000" w:themeColor="text1"/>
        </w:rPr>
      </w:pPr>
    </w:p>
    <w:p w14:paraId="66466CDE" w14:textId="77777777" w:rsidR="00D8347D" w:rsidRPr="00254BEE" w:rsidRDefault="00EC673F" w:rsidP="00286336">
      <w:pPr>
        <w:rPr>
          <w:color w:val="000000" w:themeColor="text1"/>
        </w:rPr>
      </w:pPr>
      <w:r w:rsidRPr="00254BEE">
        <w:rPr>
          <w:b/>
          <w:color w:val="000000" w:themeColor="text1"/>
        </w:rPr>
        <w:t>Adverse Events (AEs):</w:t>
      </w:r>
      <w:r w:rsidRPr="00254BEE">
        <w:rPr>
          <w:b/>
          <w:snapToGrid w:val="0"/>
          <w:color w:val="000000" w:themeColor="text1"/>
        </w:rPr>
        <w:t xml:space="preserve"> </w:t>
      </w:r>
      <w:r w:rsidRPr="00254BEE">
        <w:rPr>
          <w:b/>
          <w:color w:val="000000" w:themeColor="text1"/>
        </w:rPr>
        <w:t xml:space="preserve"> </w:t>
      </w:r>
      <w:r w:rsidRPr="00254BEE">
        <w:rPr>
          <w:color w:val="000000" w:themeColor="text1"/>
        </w:rPr>
        <w:t xml:space="preserve">The commonest adverse events observed (frequency of </w:t>
      </w:r>
      <w:r w:rsidRPr="00254BEE">
        <w:rPr>
          <w:color w:val="000000" w:themeColor="text1"/>
          <w:u w:val="single"/>
        </w:rPr>
        <w:t>&gt;</w:t>
      </w:r>
      <w:r w:rsidRPr="00254BEE">
        <w:rPr>
          <w:color w:val="000000" w:themeColor="text1"/>
        </w:rPr>
        <w:t xml:space="preserve">20%) in this </w:t>
      </w:r>
      <w:r w:rsidR="0009306B" w:rsidRPr="00254BEE">
        <w:rPr>
          <w:snapToGrid w:val="0"/>
        </w:rPr>
        <w:t>adult and adolescent</w:t>
      </w:r>
      <w:r w:rsidR="0009306B" w:rsidRPr="00254BEE">
        <w:rPr>
          <w:snapToGrid w:val="0"/>
          <w:color w:val="000000" w:themeColor="text1"/>
        </w:rPr>
        <w:t xml:space="preserve"> </w:t>
      </w:r>
      <w:r w:rsidRPr="00254BEE">
        <w:rPr>
          <w:color w:val="000000" w:themeColor="text1"/>
        </w:rPr>
        <w:t>patient population, were headaches, viral infections and upper respiratory tract infections.  The frequencies of all adverse events for both treated (N = 1763) and placebo group patients (N =1278) for all studies were very similar.</w:t>
      </w:r>
    </w:p>
    <w:p w14:paraId="36CB67D3" w14:textId="77777777" w:rsidR="00D8347D" w:rsidRPr="00254BEE" w:rsidRDefault="00D8347D" w:rsidP="00286336">
      <w:pPr>
        <w:rPr>
          <w:color w:val="000000" w:themeColor="text1"/>
        </w:rPr>
      </w:pPr>
    </w:p>
    <w:p w14:paraId="345AE810" w14:textId="77777777" w:rsidR="00D8347D" w:rsidRPr="00254BEE" w:rsidRDefault="00EC673F" w:rsidP="00286336">
      <w:pPr>
        <w:rPr>
          <w:color w:val="000000" w:themeColor="text1"/>
        </w:rPr>
      </w:pPr>
      <w:r w:rsidRPr="00254BEE">
        <w:rPr>
          <w:b/>
          <w:color w:val="000000" w:themeColor="text1"/>
        </w:rPr>
        <w:t>Serious Adverse Events</w:t>
      </w:r>
      <w:r w:rsidRPr="00254BEE">
        <w:rPr>
          <w:color w:val="000000" w:themeColor="text1"/>
        </w:rPr>
        <w:t xml:space="preserve"> </w:t>
      </w:r>
      <w:r w:rsidRPr="00254BEE">
        <w:rPr>
          <w:b/>
          <w:color w:val="000000" w:themeColor="text1"/>
        </w:rPr>
        <w:t>(SAEs):</w:t>
      </w:r>
      <w:r w:rsidRPr="00254BEE">
        <w:rPr>
          <w:color w:val="000000" w:themeColor="text1"/>
        </w:rPr>
        <w:t xml:space="preserve"> were reported for 2.6% of Xolair treated patients and 2.8% of placebo-treated patients.  The most frequently reported SAE’s were appendicitis and fractures (0.2% for both treatment groups and both events).  Frequencies of all SAEs by body system were comparable for both treatment groups.</w:t>
      </w:r>
    </w:p>
    <w:p w14:paraId="1E85828F" w14:textId="77777777" w:rsidR="00D8347D" w:rsidRPr="00254BEE" w:rsidRDefault="00D8347D" w:rsidP="00286336">
      <w:pPr>
        <w:rPr>
          <w:color w:val="000000" w:themeColor="text1"/>
        </w:rPr>
      </w:pPr>
    </w:p>
    <w:p w14:paraId="02EE6C23" w14:textId="77777777" w:rsidR="00D8347D" w:rsidRPr="00254BEE" w:rsidRDefault="00D8347D" w:rsidP="00286336">
      <w:pPr>
        <w:rPr>
          <w:color w:val="000000" w:themeColor="text1"/>
        </w:rPr>
      </w:pPr>
    </w:p>
    <w:p w14:paraId="0FB7396F" w14:textId="77777777" w:rsidR="00D8347D" w:rsidRPr="00254BEE" w:rsidRDefault="00D8347D" w:rsidP="00286336">
      <w:pPr>
        <w:rPr>
          <w:color w:val="000000" w:themeColor="text1"/>
        </w:rPr>
      </w:pPr>
    </w:p>
    <w:p w14:paraId="03230C15" w14:textId="77777777" w:rsidR="00D8347D" w:rsidRPr="00254BEE" w:rsidRDefault="00EC673F" w:rsidP="00286336">
      <w:pPr>
        <w:rPr>
          <w:color w:val="000000" w:themeColor="text1"/>
        </w:rPr>
      </w:pPr>
      <w:r w:rsidRPr="00254BEE">
        <w:rPr>
          <w:b/>
          <w:color w:val="000000" w:themeColor="text1"/>
        </w:rPr>
        <w:t xml:space="preserve">Allergic asthma (adult and adolescent study population): </w:t>
      </w:r>
      <w:r w:rsidRPr="00254BEE">
        <w:rPr>
          <w:b/>
          <w:snapToGrid w:val="0"/>
          <w:color w:val="000000" w:themeColor="text1"/>
        </w:rPr>
        <w:t xml:space="preserve"> </w:t>
      </w:r>
      <w:r w:rsidRPr="00254BEE">
        <w:rPr>
          <w:color w:val="000000" w:themeColor="text1"/>
        </w:rPr>
        <w:t>The most frequently observed adverse events in this population (N = 716 Xolair patients, N = 694 placebo patients) were viral infections, upper respiratory tract infections, sinusitis and headaches (frequency ≥20%).</w:t>
      </w:r>
    </w:p>
    <w:p w14:paraId="729320F2" w14:textId="77777777" w:rsidR="00D8347D" w:rsidRPr="00254BEE" w:rsidRDefault="00D8347D" w:rsidP="00286336">
      <w:pPr>
        <w:rPr>
          <w:color w:val="000000" w:themeColor="text1"/>
        </w:rPr>
      </w:pPr>
    </w:p>
    <w:p w14:paraId="1163E146" w14:textId="77777777" w:rsidR="00D8347D" w:rsidRPr="00254BEE" w:rsidRDefault="00EC673F" w:rsidP="00286336">
      <w:pPr>
        <w:rPr>
          <w:color w:val="000000" w:themeColor="text1"/>
        </w:rPr>
      </w:pPr>
      <w:r w:rsidRPr="00254BEE">
        <w:rPr>
          <w:color w:val="000000" w:themeColor="text1"/>
        </w:rPr>
        <w:t>Adverse reactions occurred in 5.6% of Xolair-treated patients and in 5.2% of patients receiving placebo.  The most frequently reported events of this type were headaches (1.3% vs 1.2%, placebo) and fatigue (0.6% vs 0%, placebo).  All other suspected Xolair drug related adverse events occurred with a frequency of &lt;0.5%.</w:t>
      </w:r>
    </w:p>
    <w:p w14:paraId="3FC6007D" w14:textId="77777777" w:rsidR="00D8347D" w:rsidRPr="00254BEE" w:rsidRDefault="00D8347D" w:rsidP="00286336">
      <w:pPr>
        <w:rPr>
          <w:color w:val="000000" w:themeColor="text1"/>
        </w:rPr>
      </w:pPr>
    </w:p>
    <w:p w14:paraId="2A0D8EE2" w14:textId="77777777" w:rsidR="00D8347D" w:rsidRPr="00254BEE" w:rsidRDefault="00EC673F" w:rsidP="00286336">
      <w:pPr>
        <w:rPr>
          <w:color w:val="000000" w:themeColor="text1"/>
        </w:rPr>
      </w:pPr>
      <w:r w:rsidRPr="00254BEE">
        <w:rPr>
          <w:color w:val="000000" w:themeColor="text1"/>
        </w:rPr>
        <w:t>Serious episodes of</w:t>
      </w:r>
      <w:r w:rsidRPr="00254BEE">
        <w:rPr>
          <w:snapToGrid w:val="0"/>
          <w:color w:val="000000" w:themeColor="text1"/>
        </w:rPr>
        <w:t xml:space="preserve"> </w:t>
      </w:r>
      <w:r w:rsidRPr="00254BEE">
        <w:rPr>
          <w:color w:val="000000" w:themeColor="text1"/>
        </w:rPr>
        <w:t xml:space="preserve"> asthma related events requiring hospitalisation were observed in 0.2% of Xolair-treated patients and 1.3% of placebo-treated patients, in the asthma studies.</w:t>
      </w:r>
    </w:p>
    <w:p w14:paraId="652F34EA" w14:textId="77777777" w:rsidR="00D8347D" w:rsidRPr="00254BEE" w:rsidRDefault="00D8347D" w:rsidP="00286336">
      <w:pPr>
        <w:rPr>
          <w:color w:val="000000" w:themeColor="text1"/>
        </w:rPr>
      </w:pPr>
    </w:p>
    <w:p w14:paraId="5F0DD36A" w14:textId="77777777" w:rsidR="00D8347D" w:rsidRPr="00254BEE" w:rsidRDefault="00EC673F" w:rsidP="00286336">
      <w:pPr>
        <w:rPr>
          <w:color w:val="000000" w:themeColor="text1"/>
        </w:rPr>
      </w:pPr>
      <w:r w:rsidRPr="00254BEE">
        <w:rPr>
          <w:color w:val="000000" w:themeColor="text1"/>
        </w:rPr>
        <w:t xml:space="preserve">The most frequently observed (≥5%) adverse events in studies with asthma patients 12 years of age and older are provided in Table </w:t>
      </w:r>
      <w:r w:rsidR="00254BEE">
        <w:rPr>
          <w:color w:val="000000" w:themeColor="text1"/>
        </w:rPr>
        <w:t>8.</w:t>
      </w:r>
    </w:p>
    <w:p w14:paraId="3074849E" w14:textId="77777777" w:rsidR="009B03A7" w:rsidRPr="00254BEE" w:rsidRDefault="009B03A7" w:rsidP="00286336">
      <w:pPr>
        <w:rPr>
          <w:b/>
          <w:color w:val="000000" w:themeColor="text1"/>
        </w:rPr>
      </w:pPr>
    </w:p>
    <w:p w14:paraId="01106596" w14:textId="77777777" w:rsidR="009B03A7" w:rsidRPr="00254BEE" w:rsidRDefault="00EC673F" w:rsidP="009B03A7">
      <w:pPr>
        <w:rPr>
          <w:b/>
          <w:color w:val="000000" w:themeColor="text1"/>
        </w:rPr>
      </w:pPr>
      <w:r w:rsidRPr="00254BEE">
        <w:rPr>
          <w:b/>
          <w:color w:val="000000" w:themeColor="text1"/>
        </w:rPr>
        <w:t xml:space="preserve">Table </w:t>
      </w:r>
      <w:r w:rsidR="00BC0864" w:rsidRPr="00254BEE">
        <w:rPr>
          <w:b/>
          <w:color w:val="000000" w:themeColor="text1"/>
        </w:rPr>
        <w:t>8</w:t>
      </w:r>
      <w:r w:rsidRPr="00254BEE">
        <w:rPr>
          <w:b/>
          <w:color w:val="000000" w:themeColor="text1"/>
        </w:rPr>
        <w:t>:</w:t>
      </w:r>
      <w:r w:rsidRPr="00254BEE">
        <w:rPr>
          <w:b/>
          <w:color w:val="000000" w:themeColor="text1"/>
        </w:rPr>
        <w:tab/>
        <w:t xml:space="preserve">Most frequently reported adverse events regardless of causality in </w:t>
      </w:r>
      <w:r w:rsidRPr="00254BEE">
        <w:rPr>
          <w:b/>
          <w:color w:val="000000" w:themeColor="text1"/>
        </w:rPr>
        <w:tab/>
      </w:r>
      <w:r w:rsidRPr="00254BEE">
        <w:rPr>
          <w:b/>
          <w:color w:val="000000" w:themeColor="text1"/>
        </w:rPr>
        <w:tab/>
      </w:r>
      <w:r w:rsidRPr="00254BEE">
        <w:rPr>
          <w:b/>
          <w:color w:val="000000" w:themeColor="text1"/>
        </w:rPr>
        <w:tab/>
        <w:t>adult/adolescent asthma population (≥ 5% in either treatment group)</w:t>
      </w:r>
    </w:p>
    <w:p w14:paraId="6D15EA34" w14:textId="77777777" w:rsidR="009B03A7" w:rsidRPr="00254BEE" w:rsidRDefault="009B03A7" w:rsidP="009B03A7">
      <w:pPr>
        <w:rPr>
          <w:b/>
          <w:color w:val="000000" w:themeColor="text1"/>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4"/>
        <w:gridCol w:w="2835"/>
        <w:gridCol w:w="2835"/>
      </w:tblGrid>
      <w:tr w:rsidR="00D8347D" w:rsidRPr="00254BEE" w14:paraId="4F81E39F" w14:textId="77777777">
        <w:trPr>
          <w:cantSplit/>
          <w:jc w:val="center"/>
        </w:trPr>
        <w:tc>
          <w:tcPr>
            <w:tcW w:w="3404" w:type="dxa"/>
            <w:tcBorders>
              <w:bottom w:val="nil"/>
            </w:tcBorders>
          </w:tcPr>
          <w:p w14:paraId="7CC6CE5D" w14:textId="77777777" w:rsidR="00D8347D" w:rsidRPr="00254BEE" w:rsidRDefault="00EC673F" w:rsidP="00604B4E">
            <w:pPr>
              <w:pStyle w:val="Table"/>
              <w:spacing w:before="60" w:after="60"/>
              <w:rPr>
                <w:rFonts w:ascii="Times New Roman" w:hAnsi="Times New Roman"/>
                <w:b/>
                <w:color w:val="000000" w:themeColor="text1"/>
                <w:sz w:val="22"/>
              </w:rPr>
            </w:pPr>
            <w:r w:rsidRPr="00254BEE">
              <w:rPr>
                <w:rFonts w:ascii="Times New Roman" w:hAnsi="Times New Roman"/>
                <w:b/>
                <w:color w:val="000000" w:themeColor="text1"/>
                <w:sz w:val="22"/>
              </w:rPr>
              <w:t>Body system/preferred term</w:t>
            </w:r>
          </w:p>
        </w:tc>
        <w:tc>
          <w:tcPr>
            <w:tcW w:w="2835" w:type="dxa"/>
            <w:tcBorders>
              <w:bottom w:val="nil"/>
            </w:tcBorders>
          </w:tcPr>
          <w:p w14:paraId="71E7CCBA" w14:textId="77777777" w:rsidR="00D8347D" w:rsidRPr="00254BEE" w:rsidRDefault="00EC673F" w:rsidP="00604B4E">
            <w:pPr>
              <w:pStyle w:val="Table"/>
              <w:spacing w:before="60" w:after="60"/>
              <w:jc w:val="center"/>
              <w:rPr>
                <w:rFonts w:ascii="Times New Roman" w:hAnsi="Times New Roman"/>
                <w:b/>
                <w:color w:val="000000" w:themeColor="text1"/>
                <w:sz w:val="22"/>
              </w:rPr>
            </w:pPr>
            <w:r w:rsidRPr="00254BEE">
              <w:rPr>
                <w:rFonts w:ascii="Times New Roman" w:hAnsi="Times New Roman"/>
                <w:b/>
                <w:color w:val="000000" w:themeColor="text1"/>
                <w:sz w:val="22"/>
              </w:rPr>
              <w:t>Xolair (N=716)</w:t>
            </w:r>
          </w:p>
        </w:tc>
        <w:tc>
          <w:tcPr>
            <w:tcW w:w="2835" w:type="dxa"/>
            <w:tcBorders>
              <w:bottom w:val="nil"/>
            </w:tcBorders>
          </w:tcPr>
          <w:p w14:paraId="64A60104" w14:textId="77777777" w:rsidR="00D8347D" w:rsidRPr="00254BEE" w:rsidRDefault="00EC673F" w:rsidP="00604B4E">
            <w:pPr>
              <w:pStyle w:val="Table"/>
              <w:spacing w:before="60" w:after="60"/>
              <w:jc w:val="center"/>
              <w:rPr>
                <w:rFonts w:ascii="Times New Roman" w:hAnsi="Times New Roman"/>
                <w:b/>
                <w:color w:val="000000" w:themeColor="text1"/>
                <w:sz w:val="22"/>
              </w:rPr>
            </w:pPr>
            <w:r w:rsidRPr="00254BEE">
              <w:rPr>
                <w:rFonts w:ascii="Times New Roman" w:hAnsi="Times New Roman"/>
                <w:b/>
                <w:color w:val="000000" w:themeColor="text1"/>
                <w:sz w:val="22"/>
              </w:rPr>
              <w:t>Placebo (N=694)</w:t>
            </w:r>
          </w:p>
        </w:tc>
      </w:tr>
      <w:tr w:rsidR="00D8347D" w:rsidRPr="00254BEE" w14:paraId="29169622" w14:textId="77777777">
        <w:trPr>
          <w:jc w:val="center"/>
        </w:trPr>
        <w:tc>
          <w:tcPr>
            <w:tcW w:w="3404" w:type="dxa"/>
            <w:tcBorders>
              <w:bottom w:val="nil"/>
            </w:tcBorders>
          </w:tcPr>
          <w:p w14:paraId="45063D8D" w14:textId="77777777" w:rsidR="00D8347D" w:rsidRPr="00254BEE" w:rsidRDefault="000A76C3" w:rsidP="00604B4E">
            <w:pPr>
              <w:pStyle w:val="Table"/>
              <w:spacing w:before="60" w:after="60"/>
              <w:rPr>
                <w:rFonts w:ascii="Times New Roman" w:hAnsi="Times New Roman"/>
                <w:b/>
                <w:color w:val="000000" w:themeColor="text1"/>
                <w:sz w:val="22"/>
              </w:rPr>
            </w:pPr>
            <w:r w:rsidRPr="00254BEE">
              <w:rPr>
                <w:rFonts w:ascii="Times New Roman" w:hAnsi="Times New Roman"/>
                <w:b/>
                <w:color w:val="000000" w:themeColor="text1"/>
                <w:sz w:val="22"/>
              </w:rPr>
              <w:t>Body as a whole</w:t>
            </w:r>
          </w:p>
        </w:tc>
        <w:tc>
          <w:tcPr>
            <w:tcW w:w="2835" w:type="dxa"/>
            <w:tcBorders>
              <w:bottom w:val="nil"/>
            </w:tcBorders>
          </w:tcPr>
          <w:p w14:paraId="1B742E8E" w14:textId="77777777" w:rsidR="00D8347D" w:rsidRPr="00254BEE" w:rsidRDefault="00D8347D" w:rsidP="00604B4E">
            <w:pPr>
              <w:pStyle w:val="Table"/>
              <w:spacing w:before="60" w:after="60"/>
              <w:jc w:val="center"/>
              <w:rPr>
                <w:rFonts w:ascii="Times New Roman" w:hAnsi="Times New Roman"/>
                <w:color w:val="000000" w:themeColor="text1"/>
                <w:sz w:val="22"/>
              </w:rPr>
            </w:pPr>
          </w:p>
        </w:tc>
        <w:tc>
          <w:tcPr>
            <w:tcW w:w="2835" w:type="dxa"/>
            <w:tcBorders>
              <w:bottom w:val="nil"/>
            </w:tcBorders>
          </w:tcPr>
          <w:p w14:paraId="532AB961" w14:textId="77777777" w:rsidR="00D8347D" w:rsidRPr="00254BEE" w:rsidRDefault="00D8347D" w:rsidP="00604B4E">
            <w:pPr>
              <w:pStyle w:val="Table"/>
              <w:spacing w:before="60" w:after="60"/>
              <w:jc w:val="center"/>
              <w:rPr>
                <w:rFonts w:ascii="Times New Roman" w:hAnsi="Times New Roman"/>
                <w:color w:val="000000" w:themeColor="text1"/>
                <w:sz w:val="22"/>
              </w:rPr>
            </w:pPr>
          </w:p>
        </w:tc>
      </w:tr>
      <w:tr w:rsidR="00D8347D" w:rsidRPr="00254BEE" w14:paraId="0320A396" w14:textId="77777777">
        <w:trPr>
          <w:jc w:val="center"/>
        </w:trPr>
        <w:tc>
          <w:tcPr>
            <w:tcW w:w="3404" w:type="dxa"/>
            <w:tcBorders>
              <w:top w:val="nil"/>
              <w:bottom w:val="nil"/>
            </w:tcBorders>
          </w:tcPr>
          <w:p w14:paraId="628A4C4C" w14:textId="77777777" w:rsidR="00D8347D" w:rsidRPr="00254BEE" w:rsidRDefault="000A76C3" w:rsidP="00604B4E">
            <w:pPr>
              <w:pStyle w:val="Table"/>
              <w:spacing w:before="60" w:after="60"/>
              <w:rPr>
                <w:rFonts w:ascii="Times New Roman" w:hAnsi="Times New Roman"/>
                <w:color w:val="000000" w:themeColor="text1"/>
                <w:sz w:val="22"/>
              </w:rPr>
            </w:pPr>
            <w:r w:rsidRPr="00254BEE">
              <w:rPr>
                <w:rFonts w:ascii="Times New Roman" w:hAnsi="Times New Roman"/>
                <w:color w:val="000000" w:themeColor="text1"/>
                <w:sz w:val="22"/>
              </w:rPr>
              <w:tab/>
              <w:t>Fever</w:t>
            </w:r>
          </w:p>
        </w:tc>
        <w:tc>
          <w:tcPr>
            <w:tcW w:w="2835" w:type="dxa"/>
            <w:tcBorders>
              <w:top w:val="nil"/>
              <w:bottom w:val="nil"/>
            </w:tcBorders>
          </w:tcPr>
          <w:p w14:paraId="6E9DF76B" w14:textId="77777777" w:rsidR="00D8347D" w:rsidRPr="00254BEE" w:rsidRDefault="000A76C3" w:rsidP="00604B4E">
            <w:pPr>
              <w:pStyle w:val="Table"/>
              <w:spacing w:before="60" w:after="60"/>
              <w:jc w:val="center"/>
              <w:rPr>
                <w:rFonts w:ascii="Times New Roman" w:hAnsi="Times New Roman"/>
                <w:color w:val="000000" w:themeColor="text1"/>
                <w:sz w:val="22"/>
              </w:rPr>
            </w:pPr>
            <w:r w:rsidRPr="00254BEE">
              <w:rPr>
                <w:rFonts w:ascii="Times New Roman" w:hAnsi="Times New Roman"/>
                <w:color w:val="000000" w:themeColor="text1"/>
                <w:sz w:val="22"/>
              </w:rPr>
              <w:t>5%</w:t>
            </w:r>
          </w:p>
        </w:tc>
        <w:tc>
          <w:tcPr>
            <w:tcW w:w="2835" w:type="dxa"/>
            <w:tcBorders>
              <w:top w:val="nil"/>
              <w:bottom w:val="nil"/>
            </w:tcBorders>
          </w:tcPr>
          <w:p w14:paraId="3D29AEB8" w14:textId="77777777" w:rsidR="00D8347D" w:rsidRPr="00254BEE" w:rsidRDefault="000A76C3" w:rsidP="00604B4E">
            <w:pPr>
              <w:pStyle w:val="Table"/>
              <w:spacing w:before="60" w:after="60"/>
              <w:jc w:val="center"/>
              <w:rPr>
                <w:rFonts w:ascii="Times New Roman" w:hAnsi="Times New Roman"/>
                <w:color w:val="000000" w:themeColor="text1"/>
                <w:sz w:val="22"/>
              </w:rPr>
            </w:pPr>
            <w:r w:rsidRPr="00254BEE">
              <w:rPr>
                <w:rFonts w:ascii="Times New Roman" w:hAnsi="Times New Roman"/>
                <w:color w:val="000000" w:themeColor="text1"/>
                <w:sz w:val="22"/>
              </w:rPr>
              <w:t>5%</w:t>
            </w:r>
          </w:p>
        </w:tc>
      </w:tr>
      <w:tr w:rsidR="00D8347D" w:rsidRPr="00254BEE" w14:paraId="37CA194B" w14:textId="77777777">
        <w:trPr>
          <w:jc w:val="center"/>
        </w:trPr>
        <w:tc>
          <w:tcPr>
            <w:tcW w:w="3404" w:type="dxa"/>
            <w:tcBorders>
              <w:top w:val="nil"/>
              <w:bottom w:val="nil"/>
            </w:tcBorders>
          </w:tcPr>
          <w:p w14:paraId="163063B2" w14:textId="77777777" w:rsidR="00D8347D" w:rsidRPr="00254BEE" w:rsidRDefault="000A76C3" w:rsidP="00604B4E">
            <w:pPr>
              <w:pStyle w:val="Table"/>
              <w:spacing w:before="60" w:after="60"/>
              <w:rPr>
                <w:rFonts w:ascii="Times New Roman" w:hAnsi="Times New Roman"/>
                <w:color w:val="000000" w:themeColor="text1"/>
                <w:sz w:val="22"/>
              </w:rPr>
            </w:pPr>
            <w:r w:rsidRPr="00254BEE">
              <w:rPr>
                <w:rFonts w:ascii="Times New Roman" w:hAnsi="Times New Roman"/>
                <w:color w:val="000000" w:themeColor="text1"/>
                <w:sz w:val="22"/>
              </w:rPr>
              <w:tab/>
              <w:t>Pain</w:t>
            </w:r>
          </w:p>
        </w:tc>
        <w:tc>
          <w:tcPr>
            <w:tcW w:w="2835" w:type="dxa"/>
            <w:tcBorders>
              <w:top w:val="nil"/>
              <w:bottom w:val="nil"/>
            </w:tcBorders>
          </w:tcPr>
          <w:p w14:paraId="596D71F7" w14:textId="77777777" w:rsidR="00D8347D" w:rsidRPr="00254BEE" w:rsidRDefault="000A76C3" w:rsidP="00604B4E">
            <w:pPr>
              <w:pStyle w:val="Table"/>
              <w:spacing w:before="60" w:after="60"/>
              <w:jc w:val="center"/>
              <w:rPr>
                <w:rFonts w:ascii="Times New Roman" w:hAnsi="Times New Roman"/>
                <w:color w:val="000000" w:themeColor="text1"/>
                <w:sz w:val="22"/>
              </w:rPr>
            </w:pPr>
            <w:r w:rsidRPr="00254BEE">
              <w:rPr>
                <w:rFonts w:ascii="Times New Roman" w:hAnsi="Times New Roman"/>
                <w:color w:val="000000" w:themeColor="text1"/>
                <w:sz w:val="22"/>
              </w:rPr>
              <w:t>7%</w:t>
            </w:r>
          </w:p>
        </w:tc>
        <w:tc>
          <w:tcPr>
            <w:tcW w:w="2835" w:type="dxa"/>
            <w:tcBorders>
              <w:top w:val="nil"/>
              <w:bottom w:val="nil"/>
            </w:tcBorders>
          </w:tcPr>
          <w:p w14:paraId="56B9FA74" w14:textId="77777777" w:rsidR="00D8347D" w:rsidRPr="00254BEE" w:rsidRDefault="000A76C3" w:rsidP="00604B4E">
            <w:pPr>
              <w:pStyle w:val="Table"/>
              <w:spacing w:before="60" w:after="60"/>
              <w:jc w:val="center"/>
              <w:rPr>
                <w:rFonts w:ascii="Times New Roman" w:hAnsi="Times New Roman"/>
                <w:color w:val="000000" w:themeColor="text1"/>
                <w:sz w:val="22"/>
              </w:rPr>
            </w:pPr>
            <w:r w:rsidRPr="00254BEE">
              <w:rPr>
                <w:rFonts w:ascii="Times New Roman" w:hAnsi="Times New Roman"/>
                <w:color w:val="000000" w:themeColor="text1"/>
                <w:sz w:val="22"/>
              </w:rPr>
              <w:t>5%</w:t>
            </w:r>
          </w:p>
        </w:tc>
      </w:tr>
      <w:tr w:rsidR="00D8347D" w:rsidRPr="00254BEE" w14:paraId="25A8BE56" w14:textId="77777777">
        <w:trPr>
          <w:jc w:val="center"/>
        </w:trPr>
        <w:tc>
          <w:tcPr>
            <w:tcW w:w="3404" w:type="dxa"/>
            <w:tcBorders>
              <w:bottom w:val="nil"/>
            </w:tcBorders>
          </w:tcPr>
          <w:p w14:paraId="5F393453" w14:textId="77777777" w:rsidR="00D8347D" w:rsidRPr="00254BEE" w:rsidRDefault="000A76C3" w:rsidP="00604B4E">
            <w:pPr>
              <w:pStyle w:val="Table"/>
              <w:spacing w:before="60" w:after="60"/>
              <w:rPr>
                <w:rFonts w:ascii="Times New Roman" w:hAnsi="Times New Roman"/>
                <w:b/>
                <w:color w:val="000000" w:themeColor="text1"/>
                <w:sz w:val="22"/>
              </w:rPr>
            </w:pPr>
            <w:r w:rsidRPr="00254BEE">
              <w:rPr>
                <w:rFonts w:ascii="Times New Roman" w:hAnsi="Times New Roman"/>
                <w:b/>
                <w:color w:val="000000" w:themeColor="text1"/>
                <w:sz w:val="22"/>
              </w:rPr>
              <w:t>Digestive system</w:t>
            </w:r>
          </w:p>
        </w:tc>
        <w:tc>
          <w:tcPr>
            <w:tcW w:w="2835" w:type="dxa"/>
            <w:tcBorders>
              <w:bottom w:val="nil"/>
            </w:tcBorders>
          </w:tcPr>
          <w:p w14:paraId="30994B70" w14:textId="77777777" w:rsidR="00D8347D" w:rsidRPr="00254BEE" w:rsidRDefault="00D8347D" w:rsidP="00604B4E">
            <w:pPr>
              <w:pStyle w:val="Table"/>
              <w:spacing w:before="60" w:after="60"/>
              <w:jc w:val="center"/>
              <w:rPr>
                <w:rFonts w:ascii="Times New Roman" w:hAnsi="Times New Roman"/>
                <w:color w:val="000000" w:themeColor="text1"/>
                <w:sz w:val="22"/>
              </w:rPr>
            </w:pPr>
          </w:p>
        </w:tc>
        <w:tc>
          <w:tcPr>
            <w:tcW w:w="2835" w:type="dxa"/>
            <w:tcBorders>
              <w:bottom w:val="nil"/>
            </w:tcBorders>
          </w:tcPr>
          <w:p w14:paraId="03EFE820" w14:textId="77777777" w:rsidR="00D8347D" w:rsidRPr="00254BEE" w:rsidRDefault="00D8347D" w:rsidP="00604B4E">
            <w:pPr>
              <w:pStyle w:val="Table"/>
              <w:spacing w:before="60" w:after="60"/>
              <w:jc w:val="center"/>
              <w:rPr>
                <w:rFonts w:ascii="Times New Roman" w:hAnsi="Times New Roman"/>
                <w:color w:val="000000" w:themeColor="text1"/>
                <w:sz w:val="22"/>
              </w:rPr>
            </w:pPr>
          </w:p>
        </w:tc>
      </w:tr>
      <w:tr w:rsidR="00D8347D" w:rsidRPr="00254BEE" w14:paraId="1FF7E2C1" w14:textId="77777777">
        <w:trPr>
          <w:jc w:val="center"/>
        </w:trPr>
        <w:tc>
          <w:tcPr>
            <w:tcW w:w="3404" w:type="dxa"/>
            <w:tcBorders>
              <w:top w:val="nil"/>
              <w:bottom w:val="nil"/>
            </w:tcBorders>
          </w:tcPr>
          <w:p w14:paraId="559AB13F" w14:textId="77777777" w:rsidR="00D8347D" w:rsidRPr="00254BEE" w:rsidRDefault="000A76C3" w:rsidP="00604B4E">
            <w:pPr>
              <w:pStyle w:val="Table"/>
              <w:spacing w:before="60" w:after="60"/>
              <w:rPr>
                <w:rFonts w:ascii="Times New Roman" w:hAnsi="Times New Roman"/>
                <w:color w:val="000000" w:themeColor="text1"/>
                <w:sz w:val="22"/>
              </w:rPr>
            </w:pPr>
            <w:r w:rsidRPr="00254BEE">
              <w:rPr>
                <w:rFonts w:ascii="Times New Roman" w:hAnsi="Times New Roman"/>
                <w:color w:val="000000" w:themeColor="text1"/>
                <w:sz w:val="22"/>
              </w:rPr>
              <w:tab/>
              <w:t>Diarrhoea</w:t>
            </w:r>
          </w:p>
        </w:tc>
        <w:tc>
          <w:tcPr>
            <w:tcW w:w="2835" w:type="dxa"/>
            <w:tcBorders>
              <w:top w:val="nil"/>
              <w:bottom w:val="nil"/>
            </w:tcBorders>
          </w:tcPr>
          <w:p w14:paraId="2A8EAD15" w14:textId="77777777" w:rsidR="00D8347D" w:rsidRPr="00254BEE" w:rsidRDefault="000A76C3" w:rsidP="00604B4E">
            <w:pPr>
              <w:pStyle w:val="Table"/>
              <w:spacing w:before="60" w:after="60"/>
              <w:jc w:val="center"/>
              <w:rPr>
                <w:rFonts w:ascii="Times New Roman" w:hAnsi="Times New Roman"/>
                <w:color w:val="000000" w:themeColor="text1"/>
                <w:sz w:val="22"/>
              </w:rPr>
            </w:pPr>
            <w:r w:rsidRPr="00254BEE">
              <w:rPr>
                <w:rFonts w:ascii="Times New Roman" w:hAnsi="Times New Roman"/>
                <w:color w:val="000000" w:themeColor="text1"/>
                <w:sz w:val="22"/>
              </w:rPr>
              <w:t>6%</w:t>
            </w:r>
          </w:p>
        </w:tc>
        <w:tc>
          <w:tcPr>
            <w:tcW w:w="2835" w:type="dxa"/>
            <w:tcBorders>
              <w:top w:val="nil"/>
              <w:bottom w:val="nil"/>
            </w:tcBorders>
          </w:tcPr>
          <w:p w14:paraId="3E92C762" w14:textId="77777777" w:rsidR="00D8347D" w:rsidRPr="00254BEE" w:rsidRDefault="000A76C3" w:rsidP="00604B4E">
            <w:pPr>
              <w:pStyle w:val="Table"/>
              <w:spacing w:before="60" w:after="60"/>
              <w:jc w:val="center"/>
              <w:rPr>
                <w:rFonts w:ascii="Times New Roman" w:hAnsi="Times New Roman"/>
                <w:color w:val="000000" w:themeColor="text1"/>
                <w:sz w:val="22"/>
              </w:rPr>
            </w:pPr>
            <w:r w:rsidRPr="00254BEE">
              <w:rPr>
                <w:rFonts w:ascii="Times New Roman" w:hAnsi="Times New Roman"/>
                <w:color w:val="000000" w:themeColor="text1"/>
                <w:sz w:val="22"/>
              </w:rPr>
              <w:t>6%</w:t>
            </w:r>
          </w:p>
        </w:tc>
      </w:tr>
      <w:tr w:rsidR="00D8347D" w:rsidRPr="00254BEE" w14:paraId="40C2E56E" w14:textId="77777777">
        <w:trPr>
          <w:jc w:val="center"/>
        </w:trPr>
        <w:tc>
          <w:tcPr>
            <w:tcW w:w="3404" w:type="dxa"/>
            <w:tcBorders>
              <w:top w:val="nil"/>
              <w:bottom w:val="nil"/>
            </w:tcBorders>
          </w:tcPr>
          <w:p w14:paraId="03C2CC06" w14:textId="77777777" w:rsidR="00D8347D" w:rsidRPr="00254BEE" w:rsidRDefault="000A76C3" w:rsidP="00604B4E">
            <w:pPr>
              <w:pStyle w:val="Table"/>
              <w:spacing w:before="60" w:after="60"/>
              <w:rPr>
                <w:rFonts w:ascii="Times New Roman" w:hAnsi="Times New Roman"/>
                <w:color w:val="000000" w:themeColor="text1"/>
                <w:sz w:val="22"/>
              </w:rPr>
            </w:pPr>
            <w:r w:rsidRPr="00254BEE">
              <w:rPr>
                <w:rFonts w:ascii="Times New Roman" w:hAnsi="Times New Roman"/>
                <w:color w:val="000000" w:themeColor="text1"/>
                <w:sz w:val="22"/>
              </w:rPr>
              <w:tab/>
              <w:t>Dyspepsia</w:t>
            </w:r>
          </w:p>
        </w:tc>
        <w:tc>
          <w:tcPr>
            <w:tcW w:w="2835" w:type="dxa"/>
            <w:tcBorders>
              <w:top w:val="nil"/>
              <w:bottom w:val="nil"/>
            </w:tcBorders>
          </w:tcPr>
          <w:p w14:paraId="6319C7B6" w14:textId="77777777" w:rsidR="00D8347D" w:rsidRPr="00254BEE" w:rsidRDefault="000A76C3" w:rsidP="00604B4E">
            <w:pPr>
              <w:pStyle w:val="Table"/>
              <w:spacing w:before="60" w:after="60"/>
              <w:jc w:val="center"/>
              <w:rPr>
                <w:rFonts w:ascii="Times New Roman" w:hAnsi="Times New Roman"/>
                <w:color w:val="000000" w:themeColor="text1"/>
                <w:sz w:val="22"/>
              </w:rPr>
            </w:pPr>
            <w:r w:rsidRPr="00254BEE">
              <w:rPr>
                <w:rFonts w:ascii="Times New Roman" w:hAnsi="Times New Roman"/>
                <w:color w:val="000000" w:themeColor="text1"/>
                <w:sz w:val="22"/>
              </w:rPr>
              <w:t>6%</w:t>
            </w:r>
          </w:p>
        </w:tc>
        <w:tc>
          <w:tcPr>
            <w:tcW w:w="2835" w:type="dxa"/>
            <w:tcBorders>
              <w:top w:val="nil"/>
              <w:bottom w:val="nil"/>
            </w:tcBorders>
          </w:tcPr>
          <w:p w14:paraId="6F0F8088" w14:textId="77777777" w:rsidR="00D8347D" w:rsidRPr="00254BEE" w:rsidRDefault="000A76C3" w:rsidP="00604B4E">
            <w:pPr>
              <w:pStyle w:val="Table"/>
              <w:spacing w:before="60" w:after="60"/>
              <w:jc w:val="center"/>
              <w:rPr>
                <w:rFonts w:ascii="Times New Roman" w:hAnsi="Times New Roman"/>
                <w:color w:val="000000" w:themeColor="text1"/>
                <w:sz w:val="22"/>
              </w:rPr>
            </w:pPr>
            <w:r w:rsidRPr="00254BEE">
              <w:rPr>
                <w:rFonts w:ascii="Times New Roman" w:hAnsi="Times New Roman"/>
                <w:color w:val="000000" w:themeColor="text1"/>
                <w:sz w:val="22"/>
              </w:rPr>
              <w:t>5%</w:t>
            </w:r>
          </w:p>
        </w:tc>
      </w:tr>
      <w:tr w:rsidR="00D8347D" w:rsidRPr="00254BEE" w14:paraId="6257CB48" w14:textId="77777777">
        <w:trPr>
          <w:jc w:val="center"/>
        </w:trPr>
        <w:tc>
          <w:tcPr>
            <w:tcW w:w="3404" w:type="dxa"/>
            <w:tcBorders>
              <w:top w:val="nil"/>
              <w:bottom w:val="nil"/>
            </w:tcBorders>
          </w:tcPr>
          <w:p w14:paraId="0FE888E7" w14:textId="77777777" w:rsidR="00D8347D" w:rsidRPr="00254BEE" w:rsidRDefault="000A76C3" w:rsidP="00604B4E">
            <w:pPr>
              <w:pStyle w:val="Table"/>
              <w:spacing w:before="60" w:after="60"/>
              <w:rPr>
                <w:rFonts w:ascii="Times New Roman" w:hAnsi="Times New Roman"/>
                <w:color w:val="000000" w:themeColor="text1"/>
                <w:sz w:val="22"/>
              </w:rPr>
            </w:pPr>
            <w:r w:rsidRPr="00254BEE">
              <w:rPr>
                <w:rFonts w:ascii="Times New Roman" w:hAnsi="Times New Roman"/>
                <w:color w:val="000000" w:themeColor="text1"/>
                <w:sz w:val="22"/>
              </w:rPr>
              <w:tab/>
              <w:t>Nausea</w:t>
            </w:r>
          </w:p>
        </w:tc>
        <w:tc>
          <w:tcPr>
            <w:tcW w:w="2835" w:type="dxa"/>
            <w:tcBorders>
              <w:top w:val="nil"/>
              <w:bottom w:val="nil"/>
            </w:tcBorders>
          </w:tcPr>
          <w:p w14:paraId="66D8B485" w14:textId="77777777" w:rsidR="00D8347D" w:rsidRPr="00254BEE" w:rsidRDefault="000A76C3" w:rsidP="00604B4E">
            <w:pPr>
              <w:pStyle w:val="Table"/>
              <w:spacing w:before="60" w:after="60"/>
              <w:jc w:val="center"/>
              <w:rPr>
                <w:rFonts w:ascii="Times New Roman" w:hAnsi="Times New Roman"/>
                <w:color w:val="000000" w:themeColor="text1"/>
                <w:sz w:val="22"/>
              </w:rPr>
            </w:pPr>
            <w:r w:rsidRPr="00254BEE">
              <w:rPr>
                <w:rFonts w:ascii="Times New Roman" w:hAnsi="Times New Roman"/>
                <w:color w:val="000000" w:themeColor="text1"/>
                <w:sz w:val="22"/>
              </w:rPr>
              <w:t>6%</w:t>
            </w:r>
          </w:p>
        </w:tc>
        <w:tc>
          <w:tcPr>
            <w:tcW w:w="2835" w:type="dxa"/>
            <w:tcBorders>
              <w:top w:val="nil"/>
              <w:bottom w:val="nil"/>
            </w:tcBorders>
          </w:tcPr>
          <w:p w14:paraId="229251C6" w14:textId="77777777" w:rsidR="00D8347D" w:rsidRPr="00254BEE" w:rsidRDefault="000A76C3" w:rsidP="00604B4E">
            <w:pPr>
              <w:pStyle w:val="Table"/>
              <w:spacing w:before="60" w:after="60"/>
              <w:jc w:val="center"/>
              <w:rPr>
                <w:rFonts w:ascii="Times New Roman" w:hAnsi="Times New Roman"/>
                <w:color w:val="000000" w:themeColor="text1"/>
                <w:sz w:val="22"/>
              </w:rPr>
            </w:pPr>
            <w:r w:rsidRPr="00254BEE">
              <w:rPr>
                <w:rFonts w:ascii="Times New Roman" w:hAnsi="Times New Roman"/>
                <w:color w:val="000000" w:themeColor="text1"/>
                <w:sz w:val="22"/>
              </w:rPr>
              <w:t>6%</w:t>
            </w:r>
          </w:p>
        </w:tc>
      </w:tr>
      <w:tr w:rsidR="00D8347D" w:rsidRPr="00254BEE" w14:paraId="5AD36925" w14:textId="77777777">
        <w:trPr>
          <w:jc w:val="center"/>
        </w:trPr>
        <w:tc>
          <w:tcPr>
            <w:tcW w:w="3404" w:type="dxa"/>
            <w:tcBorders>
              <w:top w:val="nil"/>
              <w:bottom w:val="nil"/>
            </w:tcBorders>
          </w:tcPr>
          <w:p w14:paraId="5D1E6564" w14:textId="77777777" w:rsidR="00D8347D" w:rsidRPr="00254BEE" w:rsidRDefault="000A76C3" w:rsidP="00604B4E">
            <w:pPr>
              <w:pStyle w:val="Table"/>
              <w:spacing w:before="60" w:after="60"/>
              <w:rPr>
                <w:rFonts w:ascii="Times New Roman" w:hAnsi="Times New Roman"/>
                <w:color w:val="000000" w:themeColor="text1"/>
                <w:sz w:val="22"/>
              </w:rPr>
            </w:pPr>
            <w:r w:rsidRPr="00254BEE">
              <w:rPr>
                <w:rFonts w:ascii="Times New Roman" w:hAnsi="Times New Roman"/>
                <w:color w:val="000000" w:themeColor="text1"/>
                <w:sz w:val="22"/>
              </w:rPr>
              <w:tab/>
              <w:t>Gastroenteritis</w:t>
            </w:r>
          </w:p>
        </w:tc>
        <w:tc>
          <w:tcPr>
            <w:tcW w:w="2835" w:type="dxa"/>
            <w:tcBorders>
              <w:top w:val="nil"/>
              <w:bottom w:val="nil"/>
            </w:tcBorders>
          </w:tcPr>
          <w:p w14:paraId="72249E2B" w14:textId="77777777" w:rsidR="00D8347D" w:rsidRPr="00254BEE" w:rsidRDefault="000A76C3" w:rsidP="00604B4E">
            <w:pPr>
              <w:pStyle w:val="Table"/>
              <w:spacing w:before="60" w:after="60"/>
              <w:jc w:val="center"/>
              <w:rPr>
                <w:rFonts w:ascii="Times New Roman" w:hAnsi="Times New Roman"/>
                <w:color w:val="000000" w:themeColor="text1"/>
                <w:sz w:val="22"/>
              </w:rPr>
            </w:pPr>
            <w:r w:rsidRPr="00254BEE">
              <w:rPr>
                <w:rFonts w:ascii="Times New Roman" w:hAnsi="Times New Roman"/>
                <w:color w:val="000000" w:themeColor="text1"/>
                <w:sz w:val="22"/>
              </w:rPr>
              <w:t>6%</w:t>
            </w:r>
          </w:p>
        </w:tc>
        <w:tc>
          <w:tcPr>
            <w:tcW w:w="2835" w:type="dxa"/>
            <w:tcBorders>
              <w:top w:val="nil"/>
              <w:bottom w:val="nil"/>
            </w:tcBorders>
          </w:tcPr>
          <w:p w14:paraId="01D4C698" w14:textId="77777777" w:rsidR="00D8347D" w:rsidRPr="00254BEE" w:rsidRDefault="000A76C3" w:rsidP="00604B4E">
            <w:pPr>
              <w:pStyle w:val="Table"/>
              <w:spacing w:before="60" w:after="60"/>
              <w:jc w:val="center"/>
              <w:rPr>
                <w:rFonts w:ascii="Times New Roman" w:hAnsi="Times New Roman"/>
                <w:color w:val="000000" w:themeColor="text1"/>
                <w:sz w:val="22"/>
              </w:rPr>
            </w:pPr>
            <w:r w:rsidRPr="00254BEE">
              <w:rPr>
                <w:rFonts w:ascii="Times New Roman" w:hAnsi="Times New Roman"/>
                <w:color w:val="000000" w:themeColor="text1"/>
                <w:sz w:val="22"/>
              </w:rPr>
              <w:t>5%</w:t>
            </w:r>
          </w:p>
        </w:tc>
      </w:tr>
      <w:tr w:rsidR="00D8347D" w:rsidRPr="00254BEE" w14:paraId="5B882E68" w14:textId="77777777">
        <w:trPr>
          <w:jc w:val="center"/>
        </w:trPr>
        <w:tc>
          <w:tcPr>
            <w:tcW w:w="3404" w:type="dxa"/>
            <w:tcBorders>
              <w:top w:val="nil"/>
              <w:bottom w:val="single" w:sz="2" w:space="0" w:color="auto"/>
            </w:tcBorders>
          </w:tcPr>
          <w:p w14:paraId="7B75858F" w14:textId="77777777" w:rsidR="00D8347D" w:rsidRPr="00254BEE" w:rsidRDefault="000A76C3" w:rsidP="00604B4E">
            <w:pPr>
              <w:pStyle w:val="Table"/>
              <w:spacing w:before="60" w:after="60"/>
              <w:rPr>
                <w:rFonts w:ascii="Times New Roman" w:hAnsi="Times New Roman"/>
                <w:color w:val="000000" w:themeColor="text1"/>
                <w:sz w:val="22"/>
              </w:rPr>
            </w:pPr>
            <w:r w:rsidRPr="00254BEE">
              <w:rPr>
                <w:rFonts w:ascii="Times New Roman" w:hAnsi="Times New Roman"/>
                <w:color w:val="000000" w:themeColor="text1"/>
                <w:sz w:val="22"/>
              </w:rPr>
              <w:tab/>
              <w:t>Pain abdominal</w:t>
            </w:r>
          </w:p>
        </w:tc>
        <w:tc>
          <w:tcPr>
            <w:tcW w:w="2835" w:type="dxa"/>
            <w:tcBorders>
              <w:top w:val="nil"/>
              <w:bottom w:val="single" w:sz="2" w:space="0" w:color="auto"/>
            </w:tcBorders>
          </w:tcPr>
          <w:p w14:paraId="6691BCFA" w14:textId="77777777" w:rsidR="00D8347D" w:rsidRPr="00254BEE" w:rsidRDefault="000A76C3" w:rsidP="00604B4E">
            <w:pPr>
              <w:pStyle w:val="Table"/>
              <w:spacing w:before="60" w:after="60"/>
              <w:jc w:val="center"/>
              <w:rPr>
                <w:rFonts w:ascii="Times New Roman" w:hAnsi="Times New Roman"/>
                <w:color w:val="000000" w:themeColor="text1"/>
                <w:sz w:val="22"/>
              </w:rPr>
            </w:pPr>
            <w:r w:rsidRPr="00254BEE">
              <w:rPr>
                <w:rFonts w:ascii="Times New Roman" w:hAnsi="Times New Roman"/>
                <w:color w:val="000000" w:themeColor="text1"/>
                <w:sz w:val="22"/>
              </w:rPr>
              <w:t>4%</w:t>
            </w:r>
          </w:p>
        </w:tc>
        <w:tc>
          <w:tcPr>
            <w:tcW w:w="2835" w:type="dxa"/>
            <w:tcBorders>
              <w:top w:val="nil"/>
              <w:bottom w:val="single" w:sz="2" w:space="0" w:color="auto"/>
            </w:tcBorders>
          </w:tcPr>
          <w:p w14:paraId="000BB0BF" w14:textId="77777777" w:rsidR="00D8347D" w:rsidRPr="00254BEE" w:rsidRDefault="000A76C3" w:rsidP="00604B4E">
            <w:pPr>
              <w:pStyle w:val="Table"/>
              <w:spacing w:before="60" w:after="60"/>
              <w:jc w:val="center"/>
              <w:rPr>
                <w:rFonts w:ascii="Times New Roman" w:hAnsi="Times New Roman"/>
                <w:color w:val="000000" w:themeColor="text1"/>
                <w:sz w:val="22"/>
              </w:rPr>
            </w:pPr>
            <w:r w:rsidRPr="00254BEE">
              <w:rPr>
                <w:rFonts w:ascii="Times New Roman" w:hAnsi="Times New Roman"/>
                <w:color w:val="000000" w:themeColor="text1"/>
                <w:sz w:val="22"/>
              </w:rPr>
              <w:t>5%</w:t>
            </w:r>
          </w:p>
        </w:tc>
      </w:tr>
      <w:tr w:rsidR="00D8347D" w:rsidRPr="00254BEE" w14:paraId="04236C7E" w14:textId="77777777">
        <w:trPr>
          <w:jc w:val="center"/>
        </w:trPr>
        <w:tc>
          <w:tcPr>
            <w:tcW w:w="3404" w:type="dxa"/>
            <w:tcBorders>
              <w:top w:val="nil"/>
              <w:bottom w:val="nil"/>
            </w:tcBorders>
          </w:tcPr>
          <w:p w14:paraId="12692D44" w14:textId="77777777" w:rsidR="00D8347D" w:rsidRPr="00254BEE" w:rsidRDefault="000A76C3" w:rsidP="00604B4E">
            <w:pPr>
              <w:pStyle w:val="Table"/>
              <w:spacing w:before="60" w:after="60"/>
              <w:rPr>
                <w:rFonts w:ascii="Times New Roman" w:hAnsi="Times New Roman"/>
                <w:b/>
                <w:color w:val="000000" w:themeColor="text1"/>
                <w:sz w:val="22"/>
              </w:rPr>
            </w:pPr>
            <w:r w:rsidRPr="00254BEE">
              <w:rPr>
                <w:rFonts w:ascii="Times New Roman" w:hAnsi="Times New Roman"/>
                <w:b/>
                <w:color w:val="000000" w:themeColor="text1"/>
                <w:sz w:val="22"/>
              </w:rPr>
              <w:t>Infections and infestations</w:t>
            </w:r>
          </w:p>
        </w:tc>
        <w:tc>
          <w:tcPr>
            <w:tcW w:w="2835" w:type="dxa"/>
            <w:tcBorders>
              <w:top w:val="nil"/>
              <w:bottom w:val="nil"/>
            </w:tcBorders>
          </w:tcPr>
          <w:p w14:paraId="67FA56E1" w14:textId="77777777" w:rsidR="00D8347D" w:rsidRPr="00254BEE" w:rsidRDefault="00D8347D" w:rsidP="00604B4E">
            <w:pPr>
              <w:pStyle w:val="Table"/>
              <w:spacing w:before="60" w:after="60"/>
              <w:jc w:val="center"/>
              <w:rPr>
                <w:rFonts w:ascii="Times New Roman" w:hAnsi="Times New Roman"/>
                <w:color w:val="000000" w:themeColor="text1"/>
                <w:sz w:val="22"/>
              </w:rPr>
            </w:pPr>
          </w:p>
        </w:tc>
        <w:tc>
          <w:tcPr>
            <w:tcW w:w="2835" w:type="dxa"/>
            <w:tcBorders>
              <w:top w:val="nil"/>
              <w:bottom w:val="nil"/>
            </w:tcBorders>
          </w:tcPr>
          <w:p w14:paraId="09E3D307" w14:textId="77777777" w:rsidR="00D8347D" w:rsidRPr="00254BEE" w:rsidRDefault="00D8347D" w:rsidP="00604B4E">
            <w:pPr>
              <w:pStyle w:val="Table"/>
              <w:spacing w:before="60" w:after="60"/>
              <w:jc w:val="center"/>
              <w:rPr>
                <w:rFonts w:ascii="Times New Roman" w:hAnsi="Times New Roman"/>
                <w:color w:val="000000" w:themeColor="text1"/>
                <w:sz w:val="22"/>
              </w:rPr>
            </w:pPr>
          </w:p>
        </w:tc>
      </w:tr>
      <w:tr w:rsidR="00D8347D" w:rsidRPr="00254BEE" w14:paraId="7EABD6B7" w14:textId="77777777">
        <w:trPr>
          <w:jc w:val="center"/>
        </w:trPr>
        <w:tc>
          <w:tcPr>
            <w:tcW w:w="3404" w:type="dxa"/>
            <w:tcBorders>
              <w:top w:val="nil"/>
              <w:bottom w:val="nil"/>
            </w:tcBorders>
          </w:tcPr>
          <w:p w14:paraId="5E05D30C" w14:textId="77777777" w:rsidR="00D8347D" w:rsidRPr="00254BEE" w:rsidRDefault="000A76C3" w:rsidP="00604B4E">
            <w:pPr>
              <w:pStyle w:val="Table"/>
              <w:spacing w:before="60" w:after="60"/>
              <w:rPr>
                <w:rFonts w:ascii="Times New Roman" w:hAnsi="Times New Roman"/>
                <w:color w:val="000000" w:themeColor="text1"/>
                <w:sz w:val="22"/>
              </w:rPr>
            </w:pPr>
            <w:r w:rsidRPr="00254BEE">
              <w:rPr>
                <w:rFonts w:ascii="Times New Roman" w:hAnsi="Times New Roman"/>
                <w:color w:val="000000" w:themeColor="text1"/>
                <w:sz w:val="22"/>
              </w:rPr>
              <w:tab/>
              <w:t>Infection, viral</w:t>
            </w:r>
          </w:p>
        </w:tc>
        <w:tc>
          <w:tcPr>
            <w:tcW w:w="2835" w:type="dxa"/>
            <w:tcBorders>
              <w:top w:val="nil"/>
              <w:bottom w:val="nil"/>
            </w:tcBorders>
          </w:tcPr>
          <w:p w14:paraId="207E52D2" w14:textId="77777777" w:rsidR="00D8347D" w:rsidRPr="00254BEE" w:rsidRDefault="000A76C3" w:rsidP="00604B4E">
            <w:pPr>
              <w:pStyle w:val="Table"/>
              <w:spacing w:before="60" w:after="60"/>
              <w:jc w:val="center"/>
              <w:rPr>
                <w:rFonts w:ascii="Times New Roman" w:hAnsi="Times New Roman"/>
                <w:color w:val="000000" w:themeColor="text1"/>
                <w:sz w:val="22"/>
              </w:rPr>
            </w:pPr>
            <w:r w:rsidRPr="00254BEE">
              <w:rPr>
                <w:rFonts w:ascii="Times New Roman" w:hAnsi="Times New Roman"/>
                <w:color w:val="000000" w:themeColor="text1"/>
                <w:sz w:val="22"/>
              </w:rPr>
              <w:t>37%</w:t>
            </w:r>
          </w:p>
        </w:tc>
        <w:tc>
          <w:tcPr>
            <w:tcW w:w="2835" w:type="dxa"/>
            <w:tcBorders>
              <w:top w:val="nil"/>
              <w:bottom w:val="nil"/>
            </w:tcBorders>
          </w:tcPr>
          <w:p w14:paraId="293C0580" w14:textId="77777777" w:rsidR="00D8347D" w:rsidRPr="00254BEE" w:rsidRDefault="000A76C3" w:rsidP="00604B4E">
            <w:pPr>
              <w:pStyle w:val="Table"/>
              <w:spacing w:before="60" w:after="60"/>
              <w:jc w:val="center"/>
              <w:rPr>
                <w:rFonts w:ascii="Times New Roman" w:hAnsi="Times New Roman"/>
                <w:color w:val="000000" w:themeColor="text1"/>
                <w:sz w:val="22"/>
              </w:rPr>
            </w:pPr>
            <w:r w:rsidRPr="00254BEE">
              <w:rPr>
                <w:rFonts w:ascii="Times New Roman" w:hAnsi="Times New Roman"/>
                <w:color w:val="000000" w:themeColor="text1"/>
                <w:sz w:val="22"/>
              </w:rPr>
              <w:t>39%</w:t>
            </w:r>
          </w:p>
        </w:tc>
      </w:tr>
      <w:tr w:rsidR="00D8347D" w:rsidRPr="00254BEE" w14:paraId="33BBB7DA" w14:textId="77777777">
        <w:trPr>
          <w:jc w:val="center"/>
        </w:trPr>
        <w:tc>
          <w:tcPr>
            <w:tcW w:w="3404" w:type="dxa"/>
            <w:tcBorders>
              <w:bottom w:val="nil"/>
            </w:tcBorders>
          </w:tcPr>
          <w:p w14:paraId="215914CE" w14:textId="77777777" w:rsidR="00D8347D" w:rsidRPr="00254BEE" w:rsidRDefault="000A76C3" w:rsidP="00604B4E">
            <w:pPr>
              <w:pStyle w:val="Table"/>
              <w:spacing w:before="60" w:after="60"/>
              <w:rPr>
                <w:rFonts w:ascii="Times New Roman" w:hAnsi="Times New Roman"/>
                <w:b/>
                <w:color w:val="000000" w:themeColor="text1"/>
                <w:sz w:val="22"/>
              </w:rPr>
            </w:pPr>
            <w:r w:rsidRPr="00254BEE">
              <w:rPr>
                <w:rFonts w:ascii="Times New Roman" w:hAnsi="Times New Roman"/>
                <w:b/>
                <w:color w:val="000000" w:themeColor="text1"/>
                <w:sz w:val="22"/>
              </w:rPr>
              <w:t>Musculoskeletal</w:t>
            </w:r>
          </w:p>
        </w:tc>
        <w:tc>
          <w:tcPr>
            <w:tcW w:w="2835" w:type="dxa"/>
            <w:tcBorders>
              <w:bottom w:val="nil"/>
            </w:tcBorders>
          </w:tcPr>
          <w:p w14:paraId="717FF315" w14:textId="77777777" w:rsidR="00D8347D" w:rsidRPr="00254BEE" w:rsidRDefault="00D8347D" w:rsidP="00604B4E">
            <w:pPr>
              <w:pStyle w:val="Table"/>
              <w:spacing w:before="60" w:after="60"/>
              <w:jc w:val="center"/>
              <w:rPr>
                <w:rFonts w:ascii="Times New Roman" w:hAnsi="Times New Roman"/>
                <w:color w:val="000000" w:themeColor="text1"/>
                <w:sz w:val="22"/>
              </w:rPr>
            </w:pPr>
          </w:p>
        </w:tc>
        <w:tc>
          <w:tcPr>
            <w:tcW w:w="2835" w:type="dxa"/>
            <w:tcBorders>
              <w:bottom w:val="nil"/>
            </w:tcBorders>
          </w:tcPr>
          <w:p w14:paraId="549D5B13" w14:textId="77777777" w:rsidR="00D8347D" w:rsidRPr="00254BEE" w:rsidRDefault="00D8347D" w:rsidP="00604B4E">
            <w:pPr>
              <w:pStyle w:val="Table"/>
              <w:spacing w:before="60" w:after="60"/>
              <w:jc w:val="center"/>
              <w:rPr>
                <w:rFonts w:ascii="Times New Roman" w:hAnsi="Times New Roman"/>
                <w:color w:val="000000" w:themeColor="text1"/>
                <w:sz w:val="22"/>
              </w:rPr>
            </w:pPr>
          </w:p>
        </w:tc>
      </w:tr>
      <w:tr w:rsidR="00D8347D" w:rsidRPr="00254BEE" w14:paraId="6361E01B" w14:textId="77777777">
        <w:trPr>
          <w:jc w:val="center"/>
        </w:trPr>
        <w:tc>
          <w:tcPr>
            <w:tcW w:w="3404" w:type="dxa"/>
            <w:tcBorders>
              <w:top w:val="nil"/>
              <w:bottom w:val="nil"/>
            </w:tcBorders>
          </w:tcPr>
          <w:p w14:paraId="4388F8C4" w14:textId="77777777" w:rsidR="00D8347D" w:rsidRPr="00254BEE" w:rsidRDefault="000A76C3" w:rsidP="00604B4E">
            <w:pPr>
              <w:pStyle w:val="Table"/>
              <w:spacing w:before="60" w:after="60"/>
              <w:rPr>
                <w:rFonts w:ascii="Times New Roman" w:hAnsi="Times New Roman"/>
                <w:color w:val="000000" w:themeColor="text1"/>
                <w:sz w:val="22"/>
              </w:rPr>
            </w:pPr>
            <w:r w:rsidRPr="00254BEE">
              <w:rPr>
                <w:rFonts w:ascii="Times New Roman" w:hAnsi="Times New Roman"/>
                <w:color w:val="000000" w:themeColor="text1"/>
                <w:sz w:val="22"/>
              </w:rPr>
              <w:tab/>
              <w:t>Pain back</w:t>
            </w:r>
          </w:p>
        </w:tc>
        <w:tc>
          <w:tcPr>
            <w:tcW w:w="2835" w:type="dxa"/>
            <w:tcBorders>
              <w:top w:val="nil"/>
              <w:bottom w:val="nil"/>
            </w:tcBorders>
          </w:tcPr>
          <w:p w14:paraId="78BC577C" w14:textId="77777777" w:rsidR="00D8347D" w:rsidRPr="00254BEE" w:rsidRDefault="000A76C3" w:rsidP="00604B4E">
            <w:pPr>
              <w:pStyle w:val="Table"/>
              <w:spacing w:before="60" w:after="60"/>
              <w:jc w:val="center"/>
              <w:rPr>
                <w:rFonts w:ascii="Times New Roman" w:hAnsi="Times New Roman"/>
                <w:color w:val="000000" w:themeColor="text1"/>
                <w:sz w:val="22"/>
              </w:rPr>
            </w:pPr>
            <w:r w:rsidRPr="00254BEE">
              <w:rPr>
                <w:rFonts w:ascii="Times New Roman" w:hAnsi="Times New Roman"/>
                <w:color w:val="000000" w:themeColor="text1"/>
                <w:sz w:val="22"/>
              </w:rPr>
              <w:t>13%</w:t>
            </w:r>
          </w:p>
        </w:tc>
        <w:tc>
          <w:tcPr>
            <w:tcW w:w="2835" w:type="dxa"/>
            <w:tcBorders>
              <w:top w:val="nil"/>
              <w:bottom w:val="nil"/>
            </w:tcBorders>
          </w:tcPr>
          <w:p w14:paraId="6C75198B" w14:textId="77777777" w:rsidR="00D8347D" w:rsidRPr="00254BEE" w:rsidRDefault="000A76C3" w:rsidP="00604B4E">
            <w:pPr>
              <w:pStyle w:val="Table"/>
              <w:spacing w:before="60" w:after="60"/>
              <w:jc w:val="center"/>
              <w:rPr>
                <w:rFonts w:ascii="Times New Roman" w:hAnsi="Times New Roman"/>
                <w:color w:val="000000" w:themeColor="text1"/>
                <w:sz w:val="22"/>
              </w:rPr>
            </w:pPr>
            <w:r w:rsidRPr="00254BEE">
              <w:rPr>
                <w:rFonts w:ascii="Times New Roman" w:hAnsi="Times New Roman"/>
                <w:color w:val="000000" w:themeColor="text1"/>
                <w:sz w:val="22"/>
              </w:rPr>
              <w:t>12%</w:t>
            </w:r>
          </w:p>
        </w:tc>
      </w:tr>
      <w:tr w:rsidR="00D8347D" w:rsidRPr="00254BEE" w14:paraId="330BBFCF" w14:textId="77777777">
        <w:trPr>
          <w:jc w:val="center"/>
        </w:trPr>
        <w:tc>
          <w:tcPr>
            <w:tcW w:w="3404" w:type="dxa"/>
            <w:tcBorders>
              <w:top w:val="nil"/>
              <w:bottom w:val="nil"/>
            </w:tcBorders>
          </w:tcPr>
          <w:p w14:paraId="3CDF5A54" w14:textId="77777777" w:rsidR="00D8347D" w:rsidRPr="00254BEE" w:rsidRDefault="000A76C3" w:rsidP="00604B4E">
            <w:pPr>
              <w:pStyle w:val="Table"/>
              <w:spacing w:before="60" w:after="60"/>
              <w:rPr>
                <w:rFonts w:ascii="Times New Roman" w:hAnsi="Times New Roman"/>
                <w:color w:val="000000" w:themeColor="text1"/>
                <w:sz w:val="22"/>
              </w:rPr>
            </w:pPr>
            <w:r w:rsidRPr="00254BEE">
              <w:rPr>
                <w:rFonts w:ascii="Times New Roman" w:hAnsi="Times New Roman"/>
                <w:color w:val="000000" w:themeColor="text1"/>
                <w:sz w:val="22"/>
              </w:rPr>
              <w:tab/>
              <w:t>Arthralgia</w:t>
            </w:r>
          </w:p>
        </w:tc>
        <w:tc>
          <w:tcPr>
            <w:tcW w:w="2835" w:type="dxa"/>
            <w:tcBorders>
              <w:top w:val="nil"/>
              <w:bottom w:val="nil"/>
            </w:tcBorders>
          </w:tcPr>
          <w:p w14:paraId="5F991F48" w14:textId="77777777" w:rsidR="00D8347D" w:rsidRPr="00254BEE" w:rsidRDefault="000A76C3" w:rsidP="00604B4E">
            <w:pPr>
              <w:pStyle w:val="Table"/>
              <w:spacing w:before="60" w:after="60"/>
              <w:jc w:val="center"/>
              <w:rPr>
                <w:rFonts w:ascii="Times New Roman" w:hAnsi="Times New Roman"/>
                <w:color w:val="000000" w:themeColor="text1"/>
                <w:sz w:val="22"/>
              </w:rPr>
            </w:pPr>
            <w:r w:rsidRPr="00254BEE">
              <w:rPr>
                <w:rFonts w:ascii="Times New Roman" w:hAnsi="Times New Roman"/>
                <w:color w:val="000000" w:themeColor="text1"/>
                <w:sz w:val="22"/>
              </w:rPr>
              <w:t>8%</w:t>
            </w:r>
          </w:p>
        </w:tc>
        <w:tc>
          <w:tcPr>
            <w:tcW w:w="2835" w:type="dxa"/>
            <w:tcBorders>
              <w:top w:val="nil"/>
              <w:bottom w:val="nil"/>
            </w:tcBorders>
          </w:tcPr>
          <w:p w14:paraId="1051F409" w14:textId="77777777" w:rsidR="00D8347D" w:rsidRPr="00254BEE" w:rsidRDefault="000A76C3" w:rsidP="00604B4E">
            <w:pPr>
              <w:pStyle w:val="Table"/>
              <w:spacing w:before="60" w:after="60"/>
              <w:jc w:val="center"/>
              <w:rPr>
                <w:rFonts w:ascii="Times New Roman" w:hAnsi="Times New Roman"/>
                <w:color w:val="000000" w:themeColor="text1"/>
                <w:sz w:val="22"/>
              </w:rPr>
            </w:pPr>
            <w:r w:rsidRPr="00254BEE">
              <w:rPr>
                <w:rFonts w:ascii="Times New Roman" w:hAnsi="Times New Roman"/>
                <w:color w:val="000000" w:themeColor="text1"/>
                <w:sz w:val="22"/>
              </w:rPr>
              <w:t>7%</w:t>
            </w:r>
          </w:p>
        </w:tc>
      </w:tr>
      <w:tr w:rsidR="00D8347D" w:rsidRPr="00254BEE" w14:paraId="14A58CCD" w14:textId="77777777">
        <w:trPr>
          <w:jc w:val="center"/>
        </w:trPr>
        <w:tc>
          <w:tcPr>
            <w:tcW w:w="3404" w:type="dxa"/>
            <w:tcBorders>
              <w:top w:val="nil"/>
              <w:bottom w:val="nil"/>
            </w:tcBorders>
          </w:tcPr>
          <w:p w14:paraId="64CA2710" w14:textId="77777777" w:rsidR="00D8347D" w:rsidRPr="00254BEE" w:rsidRDefault="000A76C3" w:rsidP="00604B4E">
            <w:pPr>
              <w:pStyle w:val="Table"/>
              <w:spacing w:before="60" w:after="60"/>
              <w:rPr>
                <w:rFonts w:ascii="Times New Roman" w:hAnsi="Times New Roman"/>
                <w:color w:val="000000" w:themeColor="text1"/>
                <w:sz w:val="22"/>
              </w:rPr>
            </w:pPr>
            <w:r w:rsidRPr="00254BEE">
              <w:rPr>
                <w:rFonts w:ascii="Times New Roman" w:hAnsi="Times New Roman"/>
                <w:color w:val="000000" w:themeColor="text1"/>
                <w:sz w:val="22"/>
              </w:rPr>
              <w:tab/>
              <w:t>Myalgia</w:t>
            </w:r>
          </w:p>
        </w:tc>
        <w:tc>
          <w:tcPr>
            <w:tcW w:w="2835" w:type="dxa"/>
            <w:tcBorders>
              <w:top w:val="nil"/>
              <w:bottom w:val="nil"/>
            </w:tcBorders>
          </w:tcPr>
          <w:p w14:paraId="3A4979DD" w14:textId="77777777" w:rsidR="00D8347D" w:rsidRPr="00254BEE" w:rsidRDefault="000A76C3" w:rsidP="00604B4E">
            <w:pPr>
              <w:pStyle w:val="Table"/>
              <w:spacing w:before="60" w:after="60"/>
              <w:jc w:val="center"/>
              <w:rPr>
                <w:rFonts w:ascii="Times New Roman" w:hAnsi="Times New Roman"/>
                <w:color w:val="000000" w:themeColor="text1"/>
                <w:sz w:val="22"/>
              </w:rPr>
            </w:pPr>
            <w:r w:rsidRPr="00254BEE">
              <w:rPr>
                <w:rFonts w:ascii="Times New Roman" w:hAnsi="Times New Roman"/>
                <w:color w:val="000000" w:themeColor="text1"/>
                <w:sz w:val="22"/>
              </w:rPr>
              <w:t>6%</w:t>
            </w:r>
          </w:p>
        </w:tc>
        <w:tc>
          <w:tcPr>
            <w:tcW w:w="2835" w:type="dxa"/>
            <w:tcBorders>
              <w:top w:val="nil"/>
              <w:bottom w:val="nil"/>
            </w:tcBorders>
          </w:tcPr>
          <w:p w14:paraId="2FD4E017" w14:textId="77777777" w:rsidR="00D8347D" w:rsidRPr="00254BEE" w:rsidRDefault="000A76C3" w:rsidP="00604B4E">
            <w:pPr>
              <w:pStyle w:val="Table"/>
              <w:spacing w:before="60" w:after="60"/>
              <w:jc w:val="center"/>
              <w:rPr>
                <w:rFonts w:ascii="Times New Roman" w:hAnsi="Times New Roman"/>
                <w:color w:val="000000" w:themeColor="text1"/>
                <w:sz w:val="22"/>
              </w:rPr>
            </w:pPr>
            <w:r w:rsidRPr="00254BEE">
              <w:rPr>
                <w:rFonts w:ascii="Times New Roman" w:hAnsi="Times New Roman"/>
                <w:color w:val="000000" w:themeColor="text1"/>
                <w:sz w:val="22"/>
              </w:rPr>
              <w:t>6%</w:t>
            </w:r>
          </w:p>
        </w:tc>
      </w:tr>
      <w:tr w:rsidR="00D8347D" w:rsidRPr="00254BEE" w14:paraId="19DD81E9" w14:textId="77777777">
        <w:trPr>
          <w:jc w:val="center"/>
        </w:trPr>
        <w:tc>
          <w:tcPr>
            <w:tcW w:w="3404" w:type="dxa"/>
            <w:tcBorders>
              <w:top w:val="nil"/>
            </w:tcBorders>
          </w:tcPr>
          <w:p w14:paraId="2E176206" w14:textId="77777777" w:rsidR="00D8347D" w:rsidRPr="00254BEE" w:rsidRDefault="000A76C3" w:rsidP="00604B4E">
            <w:pPr>
              <w:pStyle w:val="Table"/>
              <w:spacing w:before="60" w:after="60"/>
              <w:rPr>
                <w:rFonts w:ascii="Times New Roman" w:hAnsi="Times New Roman"/>
                <w:color w:val="000000" w:themeColor="text1"/>
                <w:sz w:val="22"/>
              </w:rPr>
            </w:pPr>
            <w:r w:rsidRPr="00254BEE">
              <w:rPr>
                <w:rFonts w:ascii="Times New Roman" w:hAnsi="Times New Roman"/>
                <w:color w:val="000000" w:themeColor="text1"/>
                <w:sz w:val="22"/>
              </w:rPr>
              <w:tab/>
              <w:t>Sprains and strains</w:t>
            </w:r>
          </w:p>
        </w:tc>
        <w:tc>
          <w:tcPr>
            <w:tcW w:w="2835" w:type="dxa"/>
            <w:tcBorders>
              <w:top w:val="nil"/>
            </w:tcBorders>
          </w:tcPr>
          <w:p w14:paraId="521859F1" w14:textId="77777777" w:rsidR="00D8347D" w:rsidRPr="00254BEE" w:rsidRDefault="000A76C3" w:rsidP="00604B4E">
            <w:pPr>
              <w:pStyle w:val="Table"/>
              <w:spacing w:before="60" w:after="60"/>
              <w:jc w:val="center"/>
              <w:rPr>
                <w:rFonts w:ascii="Times New Roman" w:hAnsi="Times New Roman"/>
                <w:color w:val="000000" w:themeColor="text1"/>
                <w:sz w:val="22"/>
              </w:rPr>
            </w:pPr>
            <w:r w:rsidRPr="00254BEE">
              <w:rPr>
                <w:rFonts w:ascii="Times New Roman" w:hAnsi="Times New Roman"/>
                <w:color w:val="000000" w:themeColor="text1"/>
                <w:sz w:val="22"/>
              </w:rPr>
              <w:t>6%</w:t>
            </w:r>
          </w:p>
        </w:tc>
        <w:tc>
          <w:tcPr>
            <w:tcW w:w="2835" w:type="dxa"/>
            <w:tcBorders>
              <w:top w:val="nil"/>
            </w:tcBorders>
          </w:tcPr>
          <w:p w14:paraId="0B3F639F" w14:textId="77777777" w:rsidR="00D8347D" w:rsidRPr="00254BEE" w:rsidRDefault="000A76C3" w:rsidP="00604B4E">
            <w:pPr>
              <w:pStyle w:val="Table"/>
              <w:spacing w:before="60" w:after="60"/>
              <w:jc w:val="center"/>
              <w:rPr>
                <w:rFonts w:ascii="Times New Roman" w:hAnsi="Times New Roman"/>
                <w:color w:val="000000" w:themeColor="text1"/>
                <w:sz w:val="22"/>
              </w:rPr>
            </w:pPr>
            <w:r w:rsidRPr="00254BEE">
              <w:rPr>
                <w:rFonts w:ascii="Times New Roman" w:hAnsi="Times New Roman"/>
                <w:color w:val="000000" w:themeColor="text1"/>
                <w:sz w:val="22"/>
              </w:rPr>
              <w:t>5%</w:t>
            </w:r>
          </w:p>
        </w:tc>
      </w:tr>
      <w:tr w:rsidR="00D8347D" w:rsidRPr="00254BEE" w14:paraId="3EDC2294" w14:textId="77777777">
        <w:trPr>
          <w:jc w:val="center"/>
        </w:trPr>
        <w:tc>
          <w:tcPr>
            <w:tcW w:w="3404" w:type="dxa"/>
            <w:tcBorders>
              <w:bottom w:val="nil"/>
            </w:tcBorders>
          </w:tcPr>
          <w:p w14:paraId="61CD957E" w14:textId="77777777" w:rsidR="00D8347D" w:rsidRPr="00254BEE" w:rsidRDefault="000A76C3" w:rsidP="00604B4E">
            <w:pPr>
              <w:pStyle w:val="Table"/>
              <w:spacing w:before="60" w:after="60"/>
              <w:rPr>
                <w:rFonts w:ascii="Times New Roman" w:hAnsi="Times New Roman"/>
                <w:b/>
                <w:color w:val="000000" w:themeColor="text1"/>
                <w:sz w:val="22"/>
              </w:rPr>
            </w:pPr>
            <w:r w:rsidRPr="00254BEE">
              <w:rPr>
                <w:rFonts w:ascii="Times New Roman" w:hAnsi="Times New Roman"/>
                <w:b/>
                <w:color w:val="000000" w:themeColor="text1"/>
                <w:sz w:val="22"/>
              </w:rPr>
              <w:t>Nervous</w:t>
            </w:r>
          </w:p>
        </w:tc>
        <w:tc>
          <w:tcPr>
            <w:tcW w:w="2835" w:type="dxa"/>
            <w:tcBorders>
              <w:bottom w:val="nil"/>
            </w:tcBorders>
          </w:tcPr>
          <w:p w14:paraId="26ECF86A" w14:textId="77777777" w:rsidR="00D8347D" w:rsidRPr="00254BEE" w:rsidRDefault="00D8347D" w:rsidP="00604B4E">
            <w:pPr>
              <w:pStyle w:val="Table"/>
              <w:spacing w:before="60" w:after="60"/>
              <w:jc w:val="center"/>
              <w:rPr>
                <w:rFonts w:ascii="Times New Roman" w:hAnsi="Times New Roman"/>
                <w:color w:val="000000" w:themeColor="text1"/>
                <w:sz w:val="22"/>
              </w:rPr>
            </w:pPr>
          </w:p>
        </w:tc>
        <w:tc>
          <w:tcPr>
            <w:tcW w:w="2835" w:type="dxa"/>
            <w:tcBorders>
              <w:bottom w:val="nil"/>
            </w:tcBorders>
          </w:tcPr>
          <w:p w14:paraId="6C02B4BA" w14:textId="77777777" w:rsidR="00D8347D" w:rsidRPr="00254BEE" w:rsidRDefault="00D8347D" w:rsidP="00604B4E">
            <w:pPr>
              <w:pStyle w:val="Table"/>
              <w:spacing w:before="60" w:after="60"/>
              <w:jc w:val="center"/>
              <w:rPr>
                <w:rFonts w:ascii="Times New Roman" w:hAnsi="Times New Roman"/>
                <w:color w:val="000000" w:themeColor="text1"/>
                <w:sz w:val="22"/>
              </w:rPr>
            </w:pPr>
          </w:p>
        </w:tc>
      </w:tr>
      <w:tr w:rsidR="00D8347D" w:rsidRPr="00254BEE" w14:paraId="04D79CE3" w14:textId="77777777">
        <w:trPr>
          <w:jc w:val="center"/>
        </w:trPr>
        <w:tc>
          <w:tcPr>
            <w:tcW w:w="3404" w:type="dxa"/>
            <w:tcBorders>
              <w:top w:val="nil"/>
            </w:tcBorders>
          </w:tcPr>
          <w:p w14:paraId="1E276DE5" w14:textId="77777777" w:rsidR="00D8347D" w:rsidRPr="00254BEE" w:rsidRDefault="000A76C3" w:rsidP="00604B4E">
            <w:pPr>
              <w:pStyle w:val="Table"/>
              <w:spacing w:before="60" w:after="60"/>
              <w:rPr>
                <w:rFonts w:ascii="Times New Roman" w:hAnsi="Times New Roman"/>
                <w:color w:val="000000" w:themeColor="text1"/>
                <w:sz w:val="22"/>
              </w:rPr>
            </w:pPr>
            <w:r w:rsidRPr="00254BEE">
              <w:rPr>
                <w:rFonts w:ascii="Times New Roman" w:hAnsi="Times New Roman"/>
                <w:color w:val="000000" w:themeColor="text1"/>
                <w:sz w:val="22"/>
              </w:rPr>
              <w:tab/>
              <w:t>Headache</w:t>
            </w:r>
          </w:p>
        </w:tc>
        <w:tc>
          <w:tcPr>
            <w:tcW w:w="2835" w:type="dxa"/>
            <w:tcBorders>
              <w:top w:val="nil"/>
            </w:tcBorders>
          </w:tcPr>
          <w:p w14:paraId="69AFB3C5" w14:textId="77777777" w:rsidR="00D8347D" w:rsidRPr="00254BEE" w:rsidRDefault="000A76C3" w:rsidP="00604B4E">
            <w:pPr>
              <w:pStyle w:val="Table"/>
              <w:spacing w:before="60" w:after="60"/>
              <w:jc w:val="center"/>
              <w:rPr>
                <w:rFonts w:ascii="Times New Roman" w:hAnsi="Times New Roman"/>
                <w:color w:val="000000" w:themeColor="text1"/>
                <w:sz w:val="22"/>
              </w:rPr>
            </w:pPr>
            <w:r w:rsidRPr="00254BEE">
              <w:rPr>
                <w:rFonts w:ascii="Times New Roman" w:hAnsi="Times New Roman"/>
                <w:color w:val="000000" w:themeColor="text1"/>
                <w:sz w:val="22"/>
              </w:rPr>
              <w:t>27%</w:t>
            </w:r>
          </w:p>
        </w:tc>
        <w:tc>
          <w:tcPr>
            <w:tcW w:w="2835" w:type="dxa"/>
            <w:tcBorders>
              <w:top w:val="nil"/>
            </w:tcBorders>
          </w:tcPr>
          <w:p w14:paraId="149074A5" w14:textId="77777777" w:rsidR="00D8347D" w:rsidRPr="00254BEE" w:rsidRDefault="000A76C3" w:rsidP="00604B4E">
            <w:pPr>
              <w:pStyle w:val="Table"/>
              <w:spacing w:before="60" w:after="60"/>
              <w:jc w:val="center"/>
              <w:rPr>
                <w:rFonts w:ascii="Times New Roman" w:hAnsi="Times New Roman"/>
                <w:color w:val="000000" w:themeColor="text1"/>
                <w:sz w:val="22"/>
              </w:rPr>
            </w:pPr>
            <w:r w:rsidRPr="00254BEE">
              <w:rPr>
                <w:rFonts w:ascii="Times New Roman" w:hAnsi="Times New Roman"/>
                <w:color w:val="000000" w:themeColor="text1"/>
                <w:sz w:val="22"/>
              </w:rPr>
              <w:t>27%</w:t>
            </w:r>
          </w:p>
        </w:tc>
      </w:tr>
    </w:tbl>
    <w:p w14:paraId="5EAA53C1" w14:textId="77777777" w:rsidR="0004092B" w:rsidRPr="00254BEE" w:rsidRDefault="0004092B" w:rsidP="0004092B">
      <w:pPr>
        <w:rPr>
          <w:color w:val="000000" w:themeColor="text1"/>
        </w:rPr>
      </w:pPr>
    </w:p>
    <w:p w14:paraId="475C0228" w14:textId="77777777" w:rsidR="0004092B" w:rsidRPr="00254BEE" w:rsidRDefault="0004092B" w:rsidP="0004092B">
      <w:pPr>
        <w:rPr>
          <w:b/>
          <w:color w:val="000000" w:themeColor="text1"/>
          <w:u w:val="single"/>
        </w:rPr>
      </w:pPr>
    </w:p>
    <w:p w14:paraId="2FCB99B7" w14:textId="77777777" w:rsidR="0004092B" w:rsidRPr="00254BEE" w:rsidRDefault="000A76C3" w:rsidP="003B3173">
      <w:pPr>
        <w:autoSpaceDE w:val="0"/>
        <w:autoSpaceDN w:val="0"/>
        <w:adjustRightInd w:val="0"/>
        <w:rPr>
          <w:b/>
          <w:color w:val="000000" w:themeColor="text1"/>
          <w:u w:val="single"/>
          <w:lang w:val="en-US"/>
        </w:rPr>
      </w:pPr>
      <w:r w:rsidRPr="00254BEE">
        <w:rPr>
          <w:b/>
          <w:color w:val="000000" w:themeColor="text1"/>
          <w:szCs w:val="24"/>
          <w:u w:val="single"/>
          <w:lang w:val="en-US"/>
        </w:rPr>
        <w:br w:type="page"/>
      </w:r>
      <w:r w:rsidRPr="00254BEE">
        <w:rPr>
          <w:b/>
          <w:color w:val="000000" w:themeColor="text1"/>
          <w:u w:val="single"/>
          <w:lang w:val="en-US"/>
        </w:rPr>
        <w:lastRenderedPageBreak/>
        <w:t>Post-marketing observations:</w:t>
      </w:r>
    </w:p>
    <w:p w14:paraId="30D4CB83" w14:textId="77777777" w:rsidR="0004092B" w:rsidRPr="00254BEE" w:rsidRDefault="0004092B" w:rsidP="003B3173">
      <w:pPr>
        <w:autoSpaceDE w:val="0"/>
        <w:autoSpaceDN w:val="0"/>
        <w:adjustRightInd w:val="0"/>
        <w:rPr>
          <w:b/>
          <w:color w:val="000000" w:themeColor="text1"/>
          <w:u w:val="single"/>
          <w:lang w:val="en-US"/>
        </w:rPr>
      </w:pPr>
    </w:p>
    <w:p w14:paraId="6E9025BF" w14:textId="77777777" w:rsidR="0004092B" w:rsidRPr="00254BEE" w:rsidRDefault="000A76C3" w:rsidP="003B3173">
      <w:pPr>
        <w:autoSpaceDE w:val="0"/>
        <w:autoSpaceDN w:val="0"/>
        <w:adjustRightInd w:val="0"/>
        <w:rPr>
          <w:color w:val="000000" w:themeColor="text1"/>
          <w:lang w:val="en-US"/>
        </w:rPr>
      </w:pPr>
      <w:r w:rsidRPr="00254BEE">
        <w:rPr>
          <w:color w:val="000000" w:themeColor="text1"/>
          <w:lang w:val="en-US"/>
        </w:rPr>
        <w:t>The following reactions have been identified through spontaneous reporting.</w:t>
      </w:r>
    </w:p>
    <w:p w14:paraId="2B050354" w14:textId="77777777" w:rsidR="0004092B" w:rsidRPr="00254BEE" w:rsidRDefault="0004092B" w:rsidP="003B3173">
      <w:pPr>
        <w:autoSpaceDE w:val="0"/>
        <w:autoSpaceDN w:val="0"/>
        <w:adjustRightInd w:val="0"/>
        <w:rPr>
          <w:color w:val="000000" w:themeColor="text1"/>
          <w:lang w:val="en-US"/>
        </w:rPr>
      </w:pPr>
    </w:p>
    <w:p w14:paraId="7A5D7991" w14:textId="77777777" w:rsidR="0004092B" w:rsidRPr="00254BEE" w:rsidRDefault="000A76C3" w:rsidP="003B3173">
      <w:pPr>
        <w:autoSpaceDE w:val="0"/>
        <w:autoSpaceDN w:val="0"/>
        <w:adjustRightInd w:val="0"/>
        <w:ind w:left="5040" w:hanging="5040"/>
        <w:rPr>
          <w:color w:val="000000" w:themeColor="text1"/>
          <w:lang w:val="en-US"/>
        </w:rPr>
      </w:pPr>
      <w:r w:rsidRPr="00254BEE">
        <w:rPr>
          <w:color w:val="000000" w:themeColor="text1"/>
          <w:u w:val="single"/>
          <w:lang w:val="en-US"/>
        </w:rPr>
        <w:t>Immune system disorders</w:t>
      </w:r>
      <w:r w:rsidRPr="00254BEE">
        <w:rPr>
          <w:color w:val="000000" w:themeColor="text1"/>
          <w:lang w:val="en-US"/>
        </w:rPr>
        <w:t xml:space="preserve"> </w:t>
      </w:r>
    </w:p>
    <w:p w14:paraId="6F0D9786" w14:textId="77777777" w:rsidR="00C71DE3" w:rsidRPr="00254BEE" w:rsidRDefault="000A76C3" w:rsidP="00005D64">
      <w:pPr>
        <w:autoSpaceDE w:val="0"/>
        <w:autoSpaceDN w:val="0"/>
        <w:adjustRightInd w:val="0"/>
        <w:rPr>
          <w:color w:val="000000" w:themeColor="text1"/>
          <w:lang w:val="en-US"/>
        </w:rPr>
      </w:pPr>
      <w:r w:rsidRPr="00254BEE">
        <w:rPr>
          <w:color w:val="000000" w:themeColor="text1"/>
          <w:lang w:val="en-US"/>
        </w:rPr>
        <w:t>Anaphylaxis and anaphylactoid reactions have been reported following the first or subsequent administrations, serum sickness (see section “Precautions” and “Allergic events” in the “Clinical trial experience” section).</w:t>
      </w:r>
    </w:p>
    <w:p w14:paraId="777AE696" w14:textId="77777777" w:rsidR="00C71DE3" w:rsidRPr="00254BEE" w:rsidRDefault="00C71DE3" w:rsidP="00005D64">
      <w:pPr>
        <w:autoSpaceDE w:val="0"/>
        <w:autoSpaceDN w:val="0"/>
        <w:adjustRightInd w:val="0"/>
        <w:rPr>
          <w:color w:val="000000" w:themeColor="text1"/>
          <w:lang w:val="en-US"/>
        </w:rPr>
      </w:pPr>
    </w:p>
    <w:p w14:paraId="40ED12E3" w14:textId="77777777" w:rsidR="0004092B" w:rsidRPr="00254BEE" w:rsidRDefault="000A76C3" w:rsidP="00005D64">
      <w:pPr>
        <w:autoSpaceDE w:val="0"/>
        <w:autoSpaceDN w:val="0"/>
        <w:adjustRightInd w:val="0"/>
        <w:rPr>
          <w:color w:val="000000" w:themeColor="text1"/>
          <w:u w:val="single"/>
          <w:lang w:val="en-US"/>
        </w:rPr>
      </w:pPr>
      <w:r w:rsidRPr="00254BEE">
        <w:rPr>
          <w:color w:val="000000" w:themeColor="text1"/>
          <w:u w:val="single"/>
          <w:lang w:val="en-US"/>
        </w:rPr>
        <w:t>Skin and subcutaneous disorders</w:t>
      </w:r>
    </w:p>
    <w:p w14:paraId="61FA54D2" w14:textId="77777777" w:rsidR="0004092B" w:rsidRPr="00254BEE" w:rsidRDefault="000A76C3" w:rsidP="00005D64">
      <w:pPr>
        <w:autoSpaceDE w:val="0"/>
        <w:autoSpaceDN w:val="0"/>
        <w:adjustRightInd w:val="0"/>
        <w:rPr>
          <w:color w:val="000000" w:themeColor="text1"/>
          <w:lang w:val="en-US"/>
        </w:rPr>
      </w:pPr>
      <w:r w:rsidRPr="00254BEE">
        <w:rPr>
          <w:color w:val="000000" w:themeColor="text1"/>
          <w:lang w:val="en-US"/>
        </w:rPr>
        <w:t>Alopecia.</w:t>
      </w:r>
    </w:p>
    <w:p w14:paraId="5B94EBA2" w14:textId="77777777" w:rsidR="0004092B" w:rsidRPr="00254BEE" w:rsidRDefault="0004092B" w:rsidP="00005D64">
      <w:pPr>
        <w:autoSpaceDE w:val="0"/>
        <w:autoSpaceDN w:val="0"/>
        <w:adjustRightInd w:val="0"/>
        <w:rPr>
          <w:color w:val="000000" w:themeColor="text1"/>
          <w:lang w:val="en-US"/>
        </w:rPr>
      </w:pPr>
    </w:p>
    <w:p w14:paraId="7B207C8A" w14:textId="77777777" w:rsidR="0004092B" w:rsidRPr="00254BEE" w:rsidRDefault="000A76C3" w:rsidP="00005D64">
      <w:pPr>
        <w:autoSpaceDE w:val="0"/>
        <w:autoSpaceDN w:val="0"/>
        <w:adjustRightInd w:val="0"/>
        <w:rPr>
          <w:color w:val="000000" w:themeColor="text1"/>
          <w:u w:val="single"/>
          <w:lang w:val="en-US"/>
        </w:rPr>
      </w:pPr>
      <w:r w:rsidRPr="00254BEE">
        <w:rPr>
          <w:color w:val="000000" w:themeColor="text1"/>
          <w:u w:val="single"/>
          <w:lang w:val="en-US"/>
        </w:rPr>
        <w:t>Blood and lymphatic system disorders</w:t>
      </w:r>
    </w:p>
    <w:p w14:paraId="2856C068" w14:textId="77777777" w:rsidR="0004092B" w:rsidRPr="00254BEE" w:rsidRDefault="000A76C3" w:rsidP="00005D64">
      <w:pPr>
        <w:autoSpaceDE w:val="0"/>
        <w:autoSpaceDN w:val="0"/>
        <w:adjustRightInd w:val="0"/>
        <w:rPr>
          <w:color w:val="000000" w:themeColor="text1"/>
          <w:lang w:val="en-US"/>
        </w:rPr>
      </w:pPr>
      <w:r w:rsidRPr="00254BEE">
        <w:rPr>
          <w:color w:val="000000" w:themeColor="text1"/>
          <w:lang w:val="en-US"/>
        </w:rPr>
        <w:t>Idiopathic severe thrombocytopenia.</w:t>
      </w:r>
    </w:p>
    <w:p w14:paraId="23201C71" w14:textId="77777777" w:rsidR="0004092B" w:rsidRPr="00254BEE" w:rsidRDefault="0004092B" w:rsidP="00005D64">
      <w:pPr>
        <w:autoSpaceDE w:val="0"/>
        <w:autoSpaceDN w:val="0"/>
        <w:adjustRightInd w:val="0"/>
        <w:rPr>
          <w:color w:val="000000" w:themeColor="text1"/>
          <w:lang w:val="en-US"/>
        </w:rPr>
      </w:pPr>
    </w:p>
    <w:p w14:paraId="21EFD98B" w14:textId="77777777" w:rsidR="0004092B" w:rsidRPr="00254BEE" w:rsidRDefault="000A76C3" w:rsidP="00005D64">
      <w:pPr>
        <w:autoSpaceDE w:val="0"/>
        <w:autoSpaceDN w:val="0"/>
        <w:adjustRightInd w:val="0"/>
        <w:rPr>
          <w:color w:val="000000" w:themeColor="text1"/>
          <w:u w:val="single"/>
          <w:lang w:val="en-US"/>
        </w:rPr>
      </w:pPr>
      <w:r w:rsidRPr="00254BEE">
        <w:rPr>
          <w:color w:val="000000" w:themeColor="text1"/>
          <w:u w:val="single"/>
          <w:lang w:val="en-US"/>
        </w:rPr>
        <w:t>Respiratory, thoracic and mediastinal disorders.</w:t>
      </w:r>
    </w:p>
    <w:p w14:paraId="09796FB5" w14:textId="77777777" w:rsidR="0004092B" w:rsidRPr="00254BEE" w:rsidRDefault="000A76C3" w:rsidP="00005D64">
      <w:pPr>
        <w:autoSpaceDE w:val="0"/>
        <w:autoSpaceDN w:val="0"/>
        <w:adjustRightInd w:val="0"/>
        <w:rPr>
          <w:color w:val="000000" w:themeColor="text1"/>
          <w:lang w:val="en-US"/>
        </w:rPr>
      </w:pPr>
      <w:r w:rsidRPr="00254BEE">
        <w:rPr>
          <w:color w:val="000000" w:themeColor="text1"/>
          <w:lang w:val="en-US"/>
        </w:rPr>
        <w:t>Allergic granulomatous angiitis (i.e. Churg Strauss syndrome)</w:t>
      </w:r>
    </w:p>
    <w:p w14:paraId="12BF2DCD" w14:textId="77777777" w:rsidR="0004092B" w:rsidRPr="00254BEE" w:rsidRDefault="0004092B" w:rsidP="00005D64">
      <w:pPr>
        <w:autoSpaceDE w:val="0"/>
        <w:autoSpaceDN w:val="0"/>
        <w:adjustRightInd w:val="0"/>
        <w:rPr>
          <w:color w:val="000000" w:themeColor="text1"/>
          <w:lang w:val="en-US"/>
        </w:rPr>
      </w:pPr>
    </w:p>
    <w:p w14:paraId="4B4CCA0B" w14:textId="77777777" w:rsidR="0004092B" w:rsidRPr="00254BEE" w:rsidRDefault="000A76C3" w:rsidP="00005D64">
      <w:pPr>
        <w:autoSpaceDE w:val="0"/>
        <w:autoSpaceDN w:val="0"/>
        <w:adjustRightInd w:val="0"/>
        <w:rPr>
          <w:color w:val="000000" w:themeColor="text1"/>
          <w:lang w:val="en-US"/>
        </w:rPr>
      </w:pPr>
      <w:r w:rsidRPr="00254BEE">
        <w:rPr>
          <w:color w:val="000000" w:themeColor="text1"/>
          <w:u w:val="single"/>
          <w:lang w:val="en-US"/>
        </w:rPr>
        <w:t>Musculoskeletal and connective tissue disorders.</w:t>
      </w:r>
    </w:p>
    <w:p w14:paraId="5BEFE727" w14:textId="77777777" w:rsidR="0004092B" w:rsidRPr="00254BEE" w:rsidRDefault="000A76C3" w:rsidP="00005D64">
      <w:pPr>
        <w:autoSpaceDE w:val="0"/>
        <w:autoSpaceDN w:val="0"/>
        <w:adjustRightInd w:val="0"/>
        <w:rPr>
          <w:color w:val="000000" w:themeColor="text1"/>
          <w:lang w:val="en-US"/>
        </w:rPr>
      </w:pPr>
      <w:r w:rsidRPr="00254BEE">
        <w:rPr>
          <w:color w:val="000000" w:themeColor="text1"/>
          <w:lang w:val="en-US"/>
        </w:rPr>
        <w:t>Arthralgia, myalgia, joint swelling</w:t>
      </w:r>
    </w:p>
    <w:p w14:paraId="1D83B73C" w14:textId="77777777" w:rsidR="00DF3EF6" w:rsidRPr="00254BEE" w:rsidRDefault="00DF3EF6" w:rsidP="00AD5636">
      <w:pPr>
        <w:autoSpaceDE w:val="0"/>
        <w:autoSpaceDN w:val="0"/>
        <w:adjustRightInd w:val="0"/>
        <w:rPr>
          <w:color w:val="000000" w:themeColor="text1"/>
          <w:lang w:val="en-US"/>
        </w:rPr>
      </w:pPr>
    </w:p>
    <w:p w14:paraId="61193A22" w14:textId="77EA402D" w:rsidR="00DF3EF6" w:rsidRPr="00254BEE" w:rsidRDefault="00DF3EF6" w:rsidP="00DF3EF6">
      <w:pPr>
        <w:pStyle w:val="Text"/>
        <w:tabs>
          <w:tab w:val="left" w:pos="567"/>
        </w:tabs>
        <w:spacing w:before="0"/>
        <w:jc w:val="left"/>
        <w:rPr>
          <w:b/>
          <w:color w:val="000000" w:themeColor="text1"/>
          <w:u w:val="single"/>
        </w:rPr>
      </w:pPr>
      <w:r w:rsidRPr="00254BEE">
        <w:rPr>
          <w:b/>
          <w:color w:val="000000" w:themeColor="text1"/>
          <w:u w:val="single"/>
        </w:rPr>
        <w:t xml:space="preserve">Clinical trial experience in </w:t>
      </w:r>
      <w:r w:rsidR="00EE52E0" w:rsidRPr="00254BEE">
        <w:rPr>
          <w:b/>
          <w:color w:val="000000" w:themeColor="text1"/>
          <w:u w:val="single"/>
        </w:rPr>
        <w:t xml:space="preserve">Chronic </w:t>
      </w:r>
      <w:r w:rsidR="00690BA9">
        <w:rPr>
          <w:b/>
          <w:color w:val="000000" w:themeColor="text1"/>
          <w:u w:val="single"/>
        </w:rPr>
        <w:t>Spontaneous</w:t>
      </w:r>
      <w:r w:rsidR="00EE52E0" w:rsidRPr="00254BEE">
        <w:rPr>
          <w:b/>
          <w:color w:val="000000" w:themeColor="text1"/>
          <w:u w:val="single"/>
        </w:rPr>
        <w:t xml:space="preserve"> Urticaria</w:t>
      </w:r>
      <w:r w:rsidRPr="00254BEE">
        <w:rPr>
          <w:b/>
          <w:color w:val="000000" w:themeColor="text1"/>
          <w:u w:val="single"/>
        </w:rPr>
        <w:t xml:space="preserve"> (</w:t>
      </w:r>
      <w:r w:rsidR="00690BA9">
        <w:rPr>
          <w:b/>
          <w:color w:val="000000" w:themeColor="text1"/>
          <w:u w:val="single"/>
        </w:rPr>
        <w:t>CSU</w:t>
      </w:r>
      <w:r w:rsidRPr="00254BEE">
        <w:rPr>
          <w:b/>
          <w:color w:val="000000" w:themeColor="text1"/>
          <w:u w:val="single"/>
        </w:rPr>
        <w:t>)</w:t>
      </w:r>
    </w:p>
    <w:p w14:paraId="1FD8132E" w14:textId="77777777" w:rsidR="00DF3EF6" w:rsidRPr="00254BEE" w:rsidRDefault="00DF3EF6" w:rsidP="00005D64">
      <w:pPr>
        <w:autoSpaceDE w:val="0"/>
        <w:autoSpaceDN w:val="0"/>
        <w:adjustRightInd w:val="0"/>
        <w:rPr>
          <w:color w:val="000000" w:themeColor="text1"/>
          <w:sz w:val="20"/>
        </w:rPr>
      </w:pPr>
    </w:p>
    <w:p w14:paraId="3F64839C" w14:textId="386070F4" w:rsidR="00DF3EF6" w:rsidRPr="00254BEE" w:rsidRDefault="00EE52E0" w:rsidP="00DF3EF6">
      <w:pPr>
        <w:pStyle w:val="Nottoc-headings"/>
        <w:rPr>
          <w:rFonts w:ascii="Times New Roman" w:hAnsi="Times New Roman"/>
          <w:sz w:val="24"/>
          <w:szCs w:val="24"/>
        </w:rPr>
      </w:pPr>
      <w:r w:rsidRPr="00254BEE">
        <w:rPr>
          <w:rFonts w:ascii="Times New Roman" w:hAnsi="Times New Roman"/>
          <w:sz w:val="24"/>
          <w:szCs w:val="24"/>
        </w:rPr>
        <w:t xml:space="preserve">Chronic </w:t>
      </w:r>
      <w:r w:rsidR="00690BA9">
        <w:rPr>
          <w:rFonts w:ascii="Times New Roman" w:hAnsi="Times New Roman"/>
          <w:sz w:val="24"/>
          <w:szCs w:val="24"/>
        </w:rPr>
        <w:t>Spontaneous</w:t>
      </w:r>
      <w:r w:rsidRPr="00254BEE">
        <w:rPr>
          <w:rFonts w:ascii="Times New Roman" w:hAnsi="Times New Roman"/>
          <w:sz w:val="24"/>
          <w:szCs w:val="24"/>
        </w:rPr>
        <w:t xml:space="preserve"> Urticaria</w:t>
      </w:r>
      <w:r w:rsidR="00DF3EF6" w:rsidRPr="00254BEE">
        <w:rPr>
          <w:rFonts w:ascii="Times New Roman" w:hAnsi="Times New Roman"/>
          <w:sz w:val="24"/>
          <w:szCs w:val="24"/>
        </w:rPr>
        <w:t xml:space="preserve"> (</w:t>
      </w:r>
      <w:r w:rsidR="00690BA9">
        <w:rPr>
          <w:rFonts w:ascii="Times New Roman" w:hAnsi="Times New Roman"/>
          <w:sz w:val="24"/>
          <w:szCs w:val="24"/>
        </w:rPr>
        <w:t>CSU</w:t>
      </w:r>
      <w:r w:rsidR="00DF3EF6" w:rsidRPr="00254BEE">
        <w:rPr>
          <w:rFonts w:ascii="Times New Roman" w:hAnsi="Times New Roman"/>
          <w:sz w:val="24"/>
          <w:szCs w:val="24"/>
        </w:rPr>
        <w:t xml:space="preserve">) </w:t>
      </w:r>
      <w:bookmarkStart w:id="17" w:name="_2117897Chronic_Spontaneous_Urtica"/>
      <w:bookmarkEnd w:id="17"/>
    </w:p>
    <w:p w14:paraId="0E19BE7C" w14:textId="77777777" w:rsidR="00DF3EF6" w:rsidRPr="00254BEE" w:rsidRDefault="00DF3EF6" w:rsidP="00DF3EF6">
      <w:pPr>
        <w:pStyle w:val="Nottoc-headings"/>
        <w:rPr>
          <w:rFonts w:ascii="Times New Roman" w:hAnsi="Times New Roman"/>
          <w:sz w:val="24"/>
          <w:szCs w:val="24"/>
        </w:rPr>
      </w:pPr>
      <w:r w:rsidRPr="00254BEE">
        <w:rPr>
          <w:rFonts w:ascii="Times New Roman" w:hAnsi="Times New Roman"/>
          <w:sz w:val="24"/>
          <w:szCs w:val="24"/>
        </w:rPr>
        <w:t xml:space="preserve">Summary of the safety profile </w:t>
      </w:r>
      <w:bookmarkStart w:id="18" w:name="_2217938Summary_of_the_safety_prof"/>
      <w:bookmarkEnd w:id="18"/>
    </w:p>
    <w:p w14:paraId="0CAD411D" w14:textId="66DA07BF" w:rsidR="00DF3EF6" w:rsidRPr="00254BEE" w:rsidRDefault="00DF3EF6" w:rsidP="00DF3EF6">
      <w:pPr>
        <w:pStyle w:val="Text"/>
      </w:pPr>
      <w:r w:rsidRPr="00254BEE">
        <w:t xml:space="preserve">The safety and tolerability of omalizumab were investigated with the doses of 75 mg, 150 mg and 300 mg every four weeks in 975 </w:t>
      </w:r>
      <w:r w:rsidR="00690BA9">
        <w:t>CSU</w:t>
      </w:r>
      <w:r w:rsidRPr="00254BEE">
        <w:t xml:space="preserve"> patients, 242 of whom received placebo. </w:t>
      </w:r>
      <w:r w:rsidRPr="00254BEE">
        <w:rPr>
          <w:szCs w:val="22"/>
        </w:rPr>
        <w:t xml:space="preserve">733 patients were treated with omalizumab for up to 12 weeks and 490 patients for up to 24 weeks. </w:t>
      </w:r>
      <w:r w:rsidRPr="00254BEE">
        <w:t>175 and 412 patients were treated for up to 12 weeks and 87 and 333 patients were treated for up to 24 weeks at the recommended doses of 150 mg and 300 mg respectively.</w:t>
      </w:r>
    </w:p>
    <w:p w14:paraId="6DA7B380" w14:textId="77777777" w:rsidR="00DF3EF6" w:rsidRPr="00254BEE" w:rsidRDefault="00DF3EF6" w:rsidP="00DF3EF6">
      <w:pPr>
        <w:pStyle w:val="Text"/>
        <w:rPr>
          <w:szCs w:val="24"/>
        </w:rPr>
      </w:pPr>
      <w:r w:rsidRPr="00254BEE">
        <w:rPr>
          <w:szCs w:val="24"/>
        </w:rPr>
        <w:t>During clinical studies with adult and adolescent patients (12 years of age and older) the most commonly reported adverse reactions observed were headache and nasopharyngitis.</w:t>
      </w:r>
    </w:p>
    <w:p w14:paraId="559E17A8" w14:textId="77777777" w:rsidR="00DF3EF6" w:rsidRPr="00254BEE" w:rsidRDefault="00DF3EF6" w:rsidP="00DF3EF6">
      <w:pPr>
        <w:pStyle w:val="Nottoc-headings"/>
        <w:ind w:left="0" w:firstLine="0"/>
        <w:rPr>
          <w:rFonts w:ascii="Times New Roman" w:hAnsi="Times New Roman"/>
          <w:sz w:val="24"/>
          <w:szCs w:val="24"/>
        </w:rPr>
      </w:pPr>
      <w:r w:rsidRPr="00254BEE">
        <w:rPr>
          <w:rFonts w:ascii="Times New Roman" w:hAnsi="Times New Roman"/>
          <w:sz w:val="24"/>
          <w:szCs w:val="24"/>
        </w:rPr>
        <w:t>Tabulated summary of adverse reactions from the clinical studies at the recommended doses (150 mg and 300 mg)</w:t>
      </w:r>
      <w:bookmarkStart w:id="19" w:name="_2318590Tabulated_summary_of_adver"/>
      <w:bookmarkEnd w:id="19"/>
    </w:p>
    <w:p w14:paraId="2CFE6013" w14:textId="77777777" w:rsidR="00DF3EF6" w:rsidRPr="00254BEE" w:rsidRDefault="00DF3EF6" w:rsidP="00DF3EF6">
      <w:pPr>
        <w:pStyle w:val="Text"/>
        <w:rPr>
          <w:rFonts w:eastAsia="MS Gothic"/>
          <w:szCs w:val="24"/>
        </w:rPr>
      </w:pPr>
      <w:r w:rsidRPr="00254BEE">
        <w:rPr>
          <w:rFonts w:eastAsia="MS Gothic"/>
          <w:szCs w:val="24"/>
        </w:rPr>
        <w:t xml:space="preserve">Adverse reactions </w:t>
      </w:r>
      <w:r w:rsidRPr="00254BEE">
        <w:t xml:space="preserve">(events occurring in ≥1% of patients in any treatment group and ≥2% more frequently in any omalizumab treatment group than in the placebo group after medical review) </w:t>
      </w:r>
      <w:r w:rsidRPr="00254BEE">
        <w:rPr>
          <w:rFonts w:eastAsia="MS Gothic"/>
          <w:szCs w:val="24"/>
        </w:rPr>
        <w:t xml:space="preserve">reported at the recommended doses (150mg and 300mg)  in the three pooled Phase III studies are listed by MedDRA system organ class (Table </w:t>
      </w:r>
      <w:r w:rsidR="00B00300" w:rsidRPr="00254BEE">
        <w:rPr>
          <w:rFonts w:eastAsia="MS Gothic"/>
          <w:szCs w:val="24"/>
        </w:rPr>
        <w:t>8</w:t>
      </w:r>
      <w:r w:rsidRPr="00254BEE">
        <w:rPr>
          <w:rFonts w:eastAsia="MS Gothic"/>
          <w:szCs w:val="24"/>
        </w:rPr>
        <w:t>). Within each system organ class, the adverse reactions are ranked by frequency, with the most frequent reactions listed first. The corresponding frequency category for each adverse reaction is based on the following convention (CIOMS III): very common (≥1/10); common (≥1/100 to &lt;1/10); uncommon (≥1/1,000 to &lt;1/100); rare (≥1/10,000 to &lt;1/1000);</w:t>
      </w:r>
      <w:r w:rsidRPr="00254BEE">
        <w:t xml:space="preserve"> </w:t>
      </w:r>
      <w:r w:rsidRPr="00254BEE">
        <w:rPr>
          <w:rFonts w:eastAsia="MS Gothic"/>
          <w:szCs w:val="24"/>
        </w:rPr>
        <w:t>very rare (&lt;1/10,000); not known (cannot be estimated from the available data).</w:t>
      </w:r>
    </w:p>
    <w:p w14:paraId="35B87CCA" w14:textId="77777777" w:rsidR="00DF3EF6" w:rsidRPr="00254BEE" w:rsidRDefault="00DF3EF6" w:rsidP="00DF3EF6">
      <w:pPr>
        <w:pStyle w:val="Text"/>
        <w:rPr>
          <w:rFonts w:eastAsia="MS Gothic"/>
          <w:szCs w:val="24"/>
        </w:rPr>
      </w:pPr>
    </w:p>
    <w:p w14:paraId="01981A98" w14:textId="77777777" w:rsidR="00DF3EF6" w:rsidRPr="00254BEE" w:rsidRDefault="00DF3EF6" w:rsidP="00DF3EF6">
      <w:pPr>
        <w:pStyle w:val="Text"/>
        <w:rPr>
          <w:rFonts w:eastAsia="MS Gothic"/>
          <w:szCs w:val="24"/>
        </w:rPr>
      </w:pPr>
    </w:p>
    <w:p w14:paraId="4340D817" w14:textId="77777777" w:rsidR="00DF3EF6" w:rsidRPr="00254BEE" w:rsidRDefault="00DF3EF6" w:rsidP="00DF3EF6">
      <w:pPr>
        <w:pStyle w:val="Text"/>
        <w:rPr>
          <w:rFonts w:eastAsia="MS Gothic"/>
          <w:szCs w:val="24"/>
        </w:rPr>
      </w:pPr>
    </w:p>
    <w:p w14:paraId="29AEBDE7" w14:textId="556812B0" w:rsidR="00DF3EF6" w:rsidRPr="00254BEE" w:rsidRDefault="00DF3EF6" w:rsidP="00DF3EF6">
      <w:pPr>
        <w:rPr>
          <w:b/>
          <w:color w:val="000000" w:themeColor="text1"/>
        </w:rPr>
      </w:pPr>
      <w:bookmarkStart w:id="20" w:name="_Toc361210681"/>
      <w:r w:rsidRPr="00254BEE">
        <w:rPr>
          <w:b/>
          <w:color w:val="000000" w:themeColor="text1"/>
        </w:rPr>
        <w:t xml:space="preserve">Table </w:t>
      </w:r>
      <w:r w:rsidR="00BC0864" w:rsidRPr="00254BEE">
        <w:rPr>
          <w:b/>
          <w:color w:val="000000" w:themeColor="text1"/>
        </w:rPr>
        <w:t>9</w:t>
      </w:r>
      <w:r w:rsidRPr="00254BEE">
        <w:rPr>
          <w:b/>
          <w:color w:val="000000" w:themeColor="text1"/>
        </w:rPr>
        <w:t xml:space="preserve"> Adverse reactions from the pooled </w:t>
      </w:r>
      <w:r w:rsidR="00690BA9">
        <w:rPr>
          <w:b/>
          <w:color w:val="000000" w:themeColor="text1"/>
        </w:rPr>
        <w:t>CSU</w:t>
      </w:r>
      <w:r w:rsidRPr="00254BEE">
        <w:rPr>
          <w:b/>
          <w:color w:val="000000" w:themeColor="text1"/>
        </w:rPr>
        <w:t xml:space="preserve"> safety database (day 1 to week 12) </w:t>
      </w:r>
      <w:bookmarkStart w:id="21" w:name="_2518383Table_14529Adverse_reactio"/>
      <w:bookmarkStart w:id="22" w:name="_2517590Table_14539Adverse_reactio"/>
      <w:bookmarkStart w:id="23" w:name="_3123452Table_14559Adverse_reactio"/>
      <w:bookmarkStart w:id="24" w:name="_3123508Table_14559Adverse_reactio"/>
      <w:bookmarkStart w:id="25" w:name="_3123603Table_14559Adverse_reactio"/>
      <w:bookmarkStart w:id="26" w:name="_3123659Table_14559Adverse_reactio"/>
      <w:bookmarkStart w:id="27" w:name="_3023084Table_14559Adverse_reactio"/>
      <w:bookmarkStart w:id="28" w:name="_3023158Table_14559Adverse_reactio"/>
      <w:bookmarkStart w:id="29" w:name="_3023637Table_14559Adverse_reactio"/>
      <w:bookmarkStart w:id="30" w:name="_3023693Table_14559Adverse_reactio"/>
      <w:bookmarkStart w:id="31" w:name="_3024327Table_14559Adverse_reactio"/>
      <w:bookmarkStart w:id="32" w:name="_3024574Table_14559Adverse_reactio"/>
      <w:bookmarkStart w:id="33" w:name="_3024509Table_14559Adverse_reactio"/>
      <w:bookmarkStart w:id="34" w:name="_3024565Table_14559Adverse_reactio"/>
      <w:bookmarkStart w:id="35" w:name="_3126059Table_14569Adverse_reactio"/>
      <w:bookmarkStart w:id="36" w:name="_2725993Table_14569Adverse_reactio"/>
      <w:bookmarkStart w:id="37" w:name="_2626537Table_14559Adverse_reactio"/>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254BEE">
        <w:rPr>
          <w:b/>
          <w:color w:val="000000" w:themeColor="text1"/>
        </w:rPr>
        <w:t>at the recommended doses</w:t>
      </w:r>
      <w:bookmarkEnd w:id="20"/>
    </w:p>
    <w:p w14:paraId="2FB81A2A" w14:textId="77777777" w:rsidR="00DF3EF6" w:rsidRPr="00254BEE" w:rsidRDefault="00DF3EF6" w:rsidP="00DF3EF6">
      <w:pPr>
        <w:rPr>
          <w:b/>
          <w:color w:val="000000" w:themeColor="text1"/>
        </w:rPr>
      </w:pPr>
    </w:p>
    <w:tbl>
      <w:tblPr>
        <w:tblW w:w="9299" w:type="dxa"/>
        <w:tblBorders>
          <w:top w:val="single" w:sz="4" w:space="0" w:color="auto"/>
          <w:bottom w:val="single" w:sz="4" w:space="0" w:color="auto"/>
        </w:tblBorders>
        <w:tblLayout w:type="fixed"/>
        <w:tblLook w:val="0000" w:firstRow="0" w:lastRow="0" w:firstColumn="0" w:lastColumn="0" w:noHBand="0" w:noVBand="0"/>
      </w:tblPr>
      <w:tblGrid>
        <w:gridCol w:w="1859"/>
        <w:gridCol w:w="1860"/>
        <w:gridCol w:w="1860"/>
        <w:gridCol w:w="1860"/>
        <w:gridCol w:w="1860"/>
      </w:tblGrid>
      <w:tr w:rsidR="00DF3EF6" w:rsidRPr="00254BEE" w14:paraId="0CCB129D" w14:textId="77777777" w:rsidTr="003E4BDD">
        <w:trPr>
          <w:tblHeader/>
        </w:trPr>
        <w:tc>
          <w:tcPr>
            <w:tcW w:w="1859" w:type="dxa"/>
            <w:vMerge w:val="restart"/>
            <w:tcBorders>
              <w:top w:val="single" w:sz="4" w:space="0" w:color="auto"/>
            </w:tcBorders>
            <w:shd w:val="clear" w:color="auto" w:fill="auto"/>
          </w:tcPr>
          <w:p w14:paraId="44D08F87" w14:textId="77777777" w:rsidR="00DF3EF6" w:rsidRPr="00254BEE" w:rsidRDefault="00DF3EF6" w:rsidP="003E4BDD">
            <w:pPr>
              <w:keepNext/>
              <w:keepLines/>
              <w:tabs>
                <w:tab w:val="left" w:pos="284"/>
              </w:tabs>
              <w:spacing w:before="40" w:after="20"/>
              <w:rPr>
                <w:b/>
                <w:color w:val="000000"/>
                <w:sz w:val="20"/>
              </w:rPr>
            </w:pPr>
            <w:r w:rsidRPr="00254BEE">
              <w:rPr>
                <w:b/>
                <w:color w:val="000000"/>
                <w:sz w:val="20"/>
              </w:rPr>
              <w:t xml:space="preserve">Adverse reactions </w:t>
            </w:r>
            <w:r w:rsidRPr="00254BEE">
              <w:rPr>
                <w:b/>
                <w:color w:val="000000"/>
                <w:sz w:val="20"/>
              </w:rPr>
              <w:br/>
              <w:t>(by MedDRA preferred term)</w:t>
            </w:r>
          </w:p>
        </w:tc>
        <w:tc>
          <w:tcPr>
            <w:tcW w:w="5580" w:type="dxa"/>
            <w:gridSpan w:val="3"/>
            <w:tcBorders>
              <w:top w:val="single" w:sz="4" w:space="0" w:color="auto"/>
              <w:bottom w:val="single" w:sz="4" w:space="0" w:color="auto"/>
            </w:tcBorders>
            <w:shd w:val="clear" w:color="auto" w:fill="auto"/>
          </w:tcPr>
          <w:p w14:paraId="101F18D2" w14:textId="77777777" w:rsidR="00DF3EF6" w:rsidRPr="00254BEE" w:rsidRDefault="00DF3EF6" w:rsidP="003E4BDD">
            <w:pPr>
              <w:pStyle w:val="Table"/>
              <w:jc w:val="center"/>
              <w:rPr>
                <w:rFonts w:ascii="Times New Roman" w:hAnsi="Times New Roman"/>
              </w:rPr>
            </w:pPr>
            <w:r w:rsidRPr="00254BEE">
              <w:rPr>
                <w:rFonts w:ascii="Times New Roman" w:hAnsi="Times New Roman"/>
                <w:b/>
                <w:color w:val="000000"/>
              </w:rPr>
              <w:t>Omalizumab Studies Q4881g, Q4882g and Q4883g Pooled</w:t>
            </w:r>
          </w:p>
        </w:tc>
        <w:tc>
          <w:tcPr>
            <w:tcW w:w="1860" w:type="dxa"/>
            <w:tcBorders>
              <w:top w:val="single" w:sz="4" w:space="0" w:color="auto"/>
              <w:bottom w:val="single" w:sz="4" w:space="0" w:color="auto"/>
            </w:tcBorders>
            <w:shd w:val="clear" w:color="auto" w:fill="auto"/>
          </w:tcPr>
          <w:p w14:paraId="1407DD8C" w14:textId="77777777" w:rsidR="00DF3EF6" w:rsidRPr="00254BEE" w:rsidRDefault="00DF3EF6" w:rsidP="003E4BDD">
            <w:pPr>
              <w:keepNext/>
              <w:keepLines/>
              <w:tabs>
                <w:tab w:val="left" w:pos="284"/>
              </w:tabs>
              <w:spacing w:before="40" w:after="20"/>
              <w:rPr>
                <w:b/>
                <w:color w:val="000000"/>
                <w:sz w:val="20"/>
              </w:rPr>
            </w:pPr>
            <w:r w:rsidRPr="00254BEE">
              <w:rPr>
                <w:b/>
                <w:color w:val="000000"/>
                <w:sz w:val="20"/>
              </w:rPr>
              <w:t xml:space="preserve">Frequency category </w:t>
            </w:r>
          </w:p>
        </w:tc>
      </w:tr>
      <w:tr w:rsidR="00DF3EF6" w:rsidRPr="00254BEE" w14:paraId="33CCE6B8" w14:textId="77777777" w:rsidTr="003E4BDD">
        <w:tc>
          <w:tcPr>
            <w:tcW w:w="1859" w:type="dxa"/>
            <w:vMerge/>
            <w:shd w:val="clear" w:color="auto" w:fill="auto"/>
          </w:tcPr>
          <w:p w14:paraId="6595C0D6" w14:textId="77777777" w:rsidR="00DF3EF6" w:rsidRPr="00254BEE" w:rsidRDefault="00DF3EF6" w:rsidP="003E4BDD">
            <w:pPr>
              <w:keepNext/>
              <w:keepLines/>
              <w:tabs>
                <w:tab w:val="left" w:pos="284"/>
              </w:tabs>
              <w:spacing w:before="40" w:after="20"/>
              <w:rPr>
                <w:b/>
                <w:bCs/>
                <w:color w:val="000000"/>
                <w:sz w:val="20"/>
              </w:rPr>
            </w:pPr>
          </w:p>
        </w:tc>
        <w:tc>
          <w:tcPr>
            <w:tcW w:w="1860" w:type="dxa"/>
            <w:tcBorders>
              <w:top w:val="single" w:sz="4" w:space="0" w:color="auto"/>
            </w:tcBorders>
            <w:shd w:val="clear" w:color="auto" w:fill="auto"/>
          </w:tcPr>
          <w:p w14:paraId="3D13CD99" w14:textId="77777777" w:rsidR="00DF3EF6" w:rsidRPr="00254BEE" w:rsidRDefault="00DF3EF6" w:rsidP="003E4BDD">
            <w:pPr>
              <w:keepNext/>
              <w:keepLines/>
              <w:tabs>
                <w:tab w:val="left" w:pos="284"/>
              </w:tabs>
              <w:spacing w:before="40" w:after="20"/>
              <w:jc w:val="center"/>
              <w:rPr>
                <w:color w:val="000000"/>
                <w:sz w:val="20"/>
              </w:rPr>
            </w:pPr>
            <w:r w:rsidRPr="00254BEE">
              <w:rPr>
                <w:color w:val="000000"/>
                <w:sz w:val="20"/>
              </w:rPr>
              <w:t>Placebo</w:t>
            </w:r>
          </w:p>
          <w:p w14:paraId="3BC34A16" w14:textId="77777777" w:rsidR="00DF3EF6" w:rsidRPr="00254BEE" w:rsidRDefault="00DF3EF6" w:rsidP="003E4BDD">
            <w:pPr>
              <w:keepNext/>
              <w:keepLines/>
              <w:tabs>
                <w:tab w:val="left" w:pos="284"/>
              </w:tabs>
              <w:spacing w:before="40" w:after="20"/>
              <w:jc w:val="center"/>
              <w:rPr>
                <w:b/>
                <w:bCs/>
                <w:color w:val="000000"/>
                <w:sz w:val="20"/>
              </w:rPr>
            </w:pPr>
            <w:r w:rsidRPr="00254BEE">
              <w:rPr>
                <w:color w:val="000000"/>
                <w:sz w:val="20"/>
              </w:rPr>
              <w:t>N=242</w:t>
            </w:r>
          </w:p>
        </w:tc>
        <w:tc>
          <w:tcPr>
            <w:tcW w:w="1860" w:type="dxa"/>
            <w:tcBorders>
              <w:top w:val="single" w:sz="4" w:space="0" w:color="auto"/>
            </w:tcBorders>
            <w:shd w:val="clear" w:color="auto" w:fill="auto"/>
            <w:vAlign w:val="center"/>
          </w:tcPr>
          <w:p w14:paraId="4DFE1039" w14:textId="77777777" w:rsidR="00DF3EF6" w:rsidRPr="00254BEE" w:rsidRDefault="00DF3EF6" w:rsidP="003E4BDD">
            <w:pPr>
              <w:keepNext/>
              <w:keepLines/>
              <w:tabs>
                <w:tab w:val="left" w:pos="284"/>
              </w:tabs>
              <w:spacing w:before="40" w:after="20"/>
              <w:jc w:val="center"/>
              <w:rPr>
                <w:color w:val="000000"/>
                <w:sz w:val="20"/>
              </w:rPr>
            </w:pPr>
            <w:r w:rsidRPr="00254BEE">
              <w:rPr>
                <w:color w:val="000000"/>
                <w:sz w:val="20"/>
              </w:rPr>
              <w:t>150 mg</w:t>
            </w:r>
          </w:p>
          <w:p w14:paraId="26C13991" w14:textId="77777777" w:rsidR="00DF3EF6" w:rsidRPr="00254BEE" w:rsidRDefault="00DF3EF6" w:rsidP="003E4BDD">
            <w:pPr>
              <w:keepNext/>
              <w:keepLines/>
              <w:tabs>
                <w:tab w:val="left" w:pos="284"/>
              </w:tabs>
              <w:spacing w:before="40" w:after="20"/>
              <w:jc w:val="center"/>
              <w:rPr>
                <w:color w:val="000000"/>
                <w:sz w:val="20"/>
              </w:rPr>
            </w:pPr>
            <w:r w:rsidRPr="00254BEE">
              <w:rPr>
                <w:color w:val="000000"/>
                <w:sz w:val="20"/>
              </w:rPr>
              <w:t>N=175</w:t>
            </w:r>
          </w:p>
        </w:tc>
        <w:tc>
          <w:tcPr>
            <w:tcW w:w="1860" w:type="dxa"/>
            <w:tcBorders>
              <w:top w:val="single" w:sz="4" w:space="0" w:color="auto"/>
            </w:tcBorders>
            <w:shd w:val="clear" w:color="auto" w:fill="auto"/>
            <w:vAlign w:val="center"/>
          </w:tcPr>
          <w:p w14:paraId="5DCA47DD" w14:textId="77777777" w:rsidR="00DF3EF6" w:rsidRPr="00254BEE" w:rsidRDefault="00DF3EF6" w:rsidP="003E4BDD">
            <w:pPr>
              <w:keepNext/>
              <w:keepLines/>
              <w:tabs>
                <w:tab w:val="left" w:pos="284"/>
              </w:tabs>
              <w:spacing w:before="40" w:after="20"/>
              <w:jc w:val="center"/>
              <w:rPr>
                <w:color w:val="000000"/>
                <w:sz w:val="20"/>
              </w:rPr>
            </w:pPr>
            <w:r w:rsidRPr="00254BEE">
              <w:rPr>
                <w:color w:val="000000"/>
                <w:sz w:val="20"/>
              </w:rPr>
              <w:t>300 mg</w:t>
            </w:r>
          </w:p>
          <w:p w14:paraId="3433E179" w14:textId="77777777" w:rsidR="00DF3EF6" w:rsidRPr="00254BEE" w:rsidRDefault="00DF3EF6" w:rsidP="003E4BDD">
            <w:pPr>
              <w:keepNext/>
              <w:keepLines/>
              <w:tabs>
                <w:tab w:val="left" w:pos="284"/>
              </w:tabs>
              <w:spacing w:before="40" w:after="20"/>
              <w:jc w:val="center"/>
              <w:rPr>
                <w:color w:val="000000"/>
                <w:sz w:val="20"/>
              </w:rPr>
            </w:pPr>
            <w:r w:rsidRPr="00254BEE">
              <w:rPr>
                <w:color w:val="000000"/>
                <w:sz w:val="20"/>
              </w:rPr>
              <w:t>N=412</w:t>
            </w:r>
          </w:p>
        </w:tc>
        <w:tc>
          <w:tcPr>
            <w:tcW w:w="1860" w:type="dxa"/>
            <w:tcBorders>
              <w:top w:val="single" w:sz="4" w:space="0" w:color="auto"/>
            </w:tcBorders>
            <w:shd w:val="clear" w:color="auto" w:fill="auto"/>
          </w:tcPr>
          <w:p w14:paraId="455D9FEB" w14:textId="77777777" w:rsidR="00DF3EF6" w:rsidRPr="00254BEE" w:rsidRDefault="00DF3EF6" w:rsidP="003E4BDD">
            <w:pPr>
              <w:keepNext/>
              <w:keepLines/>
              <w:tabs>
                <w:tab w:val="left" w:pos="284"/>
              </w:tabs>
              <w:spacing w:before="40" w:after="20"/>
              <w:rPr>
                <w:b/>
                <w:bCs/>
                <w:color w:val="000000"/>
                <w:sz w:val="20"/>
              </w:rPr>
            </w:pPr>
          </w:p>
        </w:tc>
      </w:tr>
      <w:tr w:rsidR="00DF3EF6" w:rsidRPr="00254BEE" w14:paraId="028D3445" w14:textId="77777777" w:rsidTr="003E4BDD">
        <w:tc>
          <w:tcPr>
            <w:tcW w:w="9299" w:type="dxa"/>
            <w:gridSpan w:val="5"/>
            <w:tcBorders>
              <w:top w:val="single" w:sz="4" w:space="0" w:color="auto"/>
            </w:tcBorders>
            <w:shd w:val="clear" w:color="auto" w:fill="auto"/>
          </w:tcPr>
          <w:p w14:paraId="56BBED58" w14:textId="77777777" w:rsidR="00DF3EF6" w:rsidRPr="00254BEE" w:rsidRDefault="00DF3EF6" w:rsidP="003E4BDD">
            <w:pPr>
              <w:keepNext/>
              <w:keepLines/>
              <w:tabs>
                <w:tab w:val="left" w:pos="284"/>
              </w:tabs>
              <w:spacing w:before="40" w:after="20"/>
              <w:rPr>
                <w:b/>
                <w:bCs/>
                <w:color w:val="000000"/>
                <w:sz w:val="20"/>
              </w:rPr>
            </w:pPr>
            <w:r w:rsidRPr="00254BEE">
              <w:rPr>
                <w:b/>
                <w:bCs/>
                <w:color w:val="000000"/>
                <w:sz w:val="20"/>
              </w:rPr>
              <w:t>Infections and infestations</w:t>
            </w:r>
          </w:p>
        </w:tc>
      </w:tr>
      <w:tr w:rsidR="00DF3EF6" w:rsidRPr="00254BEE" w14:paraId="0D686ACC" w14:textId="77777777" w:rsidTr="003E4BDD">
        <w:tc>
          <w:tcPr>
            <w:tcW w:w="1859" w:type="dxa"/>
            <w:shd w:val="clear" w:color="auto" w:fill="auto"/>
            <w:vAlign w:val="center"/>
          </w:tcPr>
          <w:p w14:paraId="7E1AF2BC" w14:textId="77777777" w:rsidR="00DF3EF6" w:rsidRPr="00254BEE" w:rsidRDefault="00DF3EF6" w:rsidP="003E4BDD">
            <w:pPr>
              <w:keepNext/>
              <w:keepLines/>
              <w:tabs>
                <w:tab w:val="left" w:pos="284"/>
              </w:tabs>
              <w:spacing w:before="40" w:after="20"/>
              <w:rPr>
                <w:color w:val="000000"/>
                <w:sz w:val="20"/>
              </w:rPr>
            </w:pPr>
            <w:r w:rsidRPr="00254BEE">
              <w:rPr>
                <w:color w:val="000000"/>
                <w:sz w:val="20"/>
              </w:rPr>
              <w:t>Nasopharyngitis</w:t>
            </w:r>
          </w:p>
        </w:tc>
        <w:tc>
          <w:tcPr>
            <w:tcW w:w="1860" w:type="dxa"/>
            <w:shd w:val="clear" w:color="auto" w:fill="auto"/>
          </w:tcPr>
          <w:p w14:paraId="6ADF14ED" w14:textId="77777777" w:rsidR="00DF3EF6" w:rsidRPr="00254BEE" w:rsidRDefault="00DF3EF6" w:rsidP="003E4BDD">
            <w:pPr>
              <w:keepNext/>
              <w:keepLines/>
              <w:tabs>
                <w:tab w:val="left" w:pos="284"/>
              </w:tabs>
              <w:spacing w:before="40" w:after="20"/>
              <w:jc w:val="center"/>
              <w:rPr>
                <w:color w:val="000000"/>
                <w:sz w:val="20"/>
              </w:rPr>
            </w:pPr>
            <w:r w:rsidRPr="00254BEE">
              <w:rPr>
                <w:color w:val="000000"/>
                <w:sz w:val="20"/>
              </w:rPr>
              <w:t>17 (7.0%)</w:t>
            </w:r>
          </w:p>
        </w:tc>
        <w:tc>
          <w:tcPr>
            <w:tcW w:w="1860" w:type="dxa"/>
            <w:shd w:val="clear" w:color="auto" w:fill="auto"/>
            <w:vAlign w:val="center"/>
          </w:tcPr>
          <w:p w14:paraId="0B32B7F8" w14:textId="77777777" w:rsidR="00DF3EF6" w:rsidRPr="00254BEE" w:rsidRDefault="00DF3EF6" w:rsidP="003E4BDD">
            <w:pPr>
              <w:keepNext/>
              <w:keepLines/>
              <w:tabs>
                <w:tab w:val="left" w:pos="284"/>
              </w:tabs>
              <w:spacing w:before="40" w:after="20"/>
              <w:jc w:val="center"/>
              <w:rPr>
                <w:color w:val="000000"/>
                <w:sz w:val="20"/>
              </w:rPr>
            </w:pPr>
            <w:r w:rsidRPr="00254BEE">
              <w:rPr>
                <w:color w:val="000000"/>
                <w:sz w:val="20"/>
              </w:rPr>
              <w:t>16 (9.1%)</w:t>
            </w:r>
          </w:p>
        </w:tc>
        <w:tc>
          <w:tcPr>
            <w:tcW w:w="1860" w:type="dxa"/>
            <w:shd w:val="clear" w:color="auto" w:fill="auto"/>
            <w:vAlign w:val="center"/>
          </w:tcPr>
          <w:p w14:paraId="33C85FEA" w14:textId="77777777" w:rsidR="00DF3EF6" w:rsidRPr="00254BEE" w:rsidRDefault="00DF3EF6" w:rsidP="003E4BDD">
            <w:pPr>
              <w:keepNext/>
              <w:keepLines/>
              <w:tabs>
                <w:tab w:val="left" w:pos="284"/>
              </w:tabs>
              <w:spacing w:before="40" w:after="20"/>
              <w:jc w:val="center"/>
              <w:rPr>
                <w:color w:val="000000"/>
                <w:sz w:val="20"/>
              </w:rPr>
            </w:pPr>
            <w:r w:rsidRPr="00254BEE">
              <w:rPr>
                <w:color w:val="000000"/>
                <w:sz w:val="20"/>
              </w:rPr>
              <w:t>27 (6.6%)</w:t>
            </w:r>
          </w:p>
        </w:tc>
        <w:tc>
          <w:tcPr>
            <w:tcW w:w="1860" w:type="dxa"/>
            <w:shd w:val="clear" w:color="auto" w:fill="auto"/>
            <w:vAlign w:val="center"/>
          </w:tcPr>
          <w:p w14:paraId="29145E0A" w14:textId="77777777" w:rsidR="00DF3EF6" w:rsidRPr="00254BEE" w:rsidRDefault="00DF3EF6" w:rsidP="003E4BDD">
            <w:pPr>
              <w:keepNext/>
              <w:keepLines/>
              <w:tabs>
                <w:tab w:val="left" w:pos="284"/>
              </w:tabs>
              <w:spacing w:before="40" w:after="20"/>
              <w:jc w:val="center"/>
              <w:rPr>
                <w:color w:val="000000"/>
                <w:sz w:val="20"/>
              </w:rPr>
            </w:pPr>
            <w:r w:rsidRPr="00254BEE">
              <w:rPr>
                <w:color w:val="000000"/>
                <w:sz w:val="20"/>
              </w:rPr>
              <w:t>Common</w:t>
            </w:r>
          </w:p>
        </w:tc>
      </w:tr>
      <w:tr w:rsidR="00DF3EF6" w:rsidRPr="00254BEE" w14:paraId="5963F0B5" w14:textId="77777777" w:rsidTr="003E4BDD">
        <w:tc>
          <w:tcPr>
            <w:tcW w:w="1859" w:type="dxa"/>
            <w:shd w:val="clear" w:color="auto" w:fill="auto"/>
            <w:vAlign w:val="center"/>
          </w:tcPr>
          <w:p w14:paraId="79D5BA52" w14:textId="77777777" w:rsidR="00DF3EF6" w:rsidRPr="00254BEE" w:rsidRDefault="00DF3EF6" w:rsidP="003E4BDD">
            <w:pPr>
              <w:keepNext/>
              <w:keepLines/>
              <w:tabs>
                <w:tab w:val="left" w:pos="284"/>
              </w:tabs>
              <w:spacing w:before="40" w:after="20"/>
              <w:rPr>
                <w:color w:val="000000"/>
                <w:sz w:val="20"/>
              </w:rPr>
            </w:pPr>
            <w:r w:rsidRPr="00254BEE">
              <w:rPr>
                <w:color w:val="000000"/>
                <w:sz w:val="20"/>
              </w:rPr>
              <w:t>Sinusitis</w:t>
            </w:r>
          </w:p>
        </w:tc>
        <w:tc>
          <w:tcPr>
            <w:tcW w:w="1860" w:type="dxa"/>
            <w:shd w:val="clear" w:color="auto" w:fill="auto"/>
          </w:tcPr>
          <w:p w14:paraId="1759CE0F" w14:textId="77777777" w:rsidR="00DF3EF6" w:rsidRPr="00254BEE" w:rsidRDefault="00DF3EF6" w:rsidP="003E4BDD">
            <w:pPr>
              <w:keepNext/>
              <w:keepLines/>
              <w:tabs>
                <w:tab w:val="left" w:pos="284"/>
              </w:tabs>
              <w:spacing w:before="40" w:after="20"/>
              <w:jc w:val="center"/>
              <w:rPr>
                <w:color w:val="000000"/>
                <w:sz w:val="20"/>
              </w:rPr>
            </w:pPr>
            <w:r w:rsidRPr="00254BEE">
              <w:rPr>
                <w:color w:val="000000"/>
                <w:sz w:val="20"/>
              </w:rPr>
              <w:t>5 (2.1%)</w:t>
            </w:r>
          </w:p>
        </w:tc>
        <w:tc>
          <w:tcPr>
            <w:tcW w:w="1860" w:type="dxa"/>
            <w:shd w:val="clear" w:color="auto" w:fill="auto"/>
            <w:vAlign w:val="center"/>
          </w:tcPr>
          <w:p w14:paraId="6B42C913" w14:textId="77777777" w:rsidR="00DF3EF6" w:rsidRPr="00254BEE" w:rsidRDefault="00DF3EF6" w:rsidP="003E4BDD">
            <w:pPr>
              <w:keepNext/>
              <w:keepLines/>
              <w:tabs>
                <w:tab w:val="left" w:pos="284"/>
              </w:tabs>
              <w:spacing w:before="40" w:after="20"/>
              <w:jc w:val="center"/>
              <w:rPr>
                <w:color w:val="000000"/>
                <w:sz w:val="20"/>
              </w:rPr>
            </w:pPr>
            <w:r w:rsidRPr="00254BEE">
              <w:rPr>
                <w:color w:val="000000"/>
                <w:sz w:val="20"/>
              </w:rPr>
              <w:t>2 (1.1%)</w:t>
            </w:r>
          </w:p>
        </w:tc>
        <w:tc>
          <w:tcPr>
            <w:tcW w:w="1860" w:type="dxa"/>
            <w:shd w:val="clear" w:color="auto" w:fill="auto"/>
            <w:vAlign w:val="center"/>
          </w:tcPr>
          <w:p w14:paraId="7C28BD82" w14:textId="77777777" w:rsidR="00DF3EF6" w:rsidRPr="00254BEE" w:rsidRDefault="00DF3EF6" w:rsidP="003E4BDD">
            <w:pPr>
              <w:keepNext/>
              <w:keepLines/>
              <w:tabs>
                <w:tab w:val="left" w:pos="284"/>
              </w:tabs>
              <w:spacing w:before="40" w:after="20"/>
              <w:jc w:val="center"/>
              <w:rPr>
                <w:color w:val="000000"/>
                <w:sz w:val="20"/>
              </w:rPr>
            </w:pPr>
            <w:r w:rsidRPr="00254BEE">
              <w:rPr>
                <w:color w:val="000000"/>
                <w:sz w:val="20"/>
              </w:rPr>
              <w:t>20 (4.9%)</w:t>
            </w:r>
          </w:p>
        </w:tc>
        <w:tc>
          <w:tcPr>
            <w:tcW w:w="1860" w:type="dxa"/>
            <w:shd w:val="clear" w:color="auto" w:fill="auto"/>
            <w:vAlign w:val="center"/>
          </w:tcPr>
          <w:p w14:paraId="41FB1BBD" w14:textId="77777777" w:rsidR="00DF3EF6" w:rsidRPr="00254BEE" w:rsidRDefault="00DF3EF6" w:rsidP="003E4BDD">
            <w:pPr>
              <w:keepNext/>
              <w:keepLines/>
              <w:tabs>
                <w:tab w:val="left" w:pos="284"/>
              </w:tabs>
              <w:spacing w:before="40" w:after="20"/>
              <w:jc w:val="center"/>
              <w:rPr>
                <w:color w:val="000000"/>
                <w:sz w:val="20"/>
              </w:rPr>
            </w:pPr>
            <w:r w:rsidRPr="00254BEE">
              <w:rPr>
                <w:color w:val="000000"/>
                <w:sz w:val="20"/>
              </w:rPr>
              <w:t>Common</w:t>
            </w:r>
          </w:p>
        </w:tc>
      </w:tr>
      <w:tr w:rsidR="00DF3EF6" w:rsidRPr="00254BEE" w14:paraId="10C28182" w14:textId="77777777" w:rsidTr="003E4BDD">
        <w:tc>
          <w:tcPr>
            <w:tcW w:w="1859" w:type="dxa"/>
            <w:shd w:val="clear" w:color="auto" w:fill="auto"/>
            <w:vAlign w:val="center"/>
          </w:tcPr>
          <w:p w14:paraId="6A1641CB" w14:textId="77777777" w:rsidR="00DF3EF6" w:rsidRPr="00254BEE" w:rsidRDefault="00DF3EF6" w:rsidP="003E4BDD">
            <w:pPr>
              <w:keepNext/>
              <w:keepLines/>
              <w:tabs>
                <w:tab w:val="left" w:pos="284"/>
              </w:tabs>
              <w:spacing w:before="40" w:after="20"/>
              <w:rPr>
                <w:color w:val="000000"/>
                <w:sz w:val="20"/>
              </w:rPr>
            </w:pPr>
            <w:r w:rsidRPr="00254BEE">
              <w:rPr>
                <w:color w:val="000000"/>
                <w:sz w:val="20"/>
              </w:rPr>
              <w:t>Viral upper respiratory tract infection</w:t>
            </w:r>
          </w:p>
        </w:tc>
        <w:tc>
          <w:tcPr>
            <w:tcW w:w="1860" w:type="dxa"/>
            <w:shd w:val="clear" w:color="auto" w:fill="auto"/>
            <w:vAlign w:val="center"/>
          </w:tcPr>
          <w:p w14:paraId="72E6F41E" w14:textId="77777777" w:rsidR="00DF3EF6" w:rsidRPr="00254BEE" w:rsidRDefault="00DF3EF6" w:rsidP="003E4BDD">
            <w:pPr>
              <w:pStyle w:val="Table"/>
              <w:jc w:val="center"/>
              <w:rPr>
                <w:rFonts w:ascii="Times New Roman" w:hAnsi="Times New Roman"/>
                <w:color w:val="000000"/>
              </w:rPr>
            </w:pPr>
            <w:r w:rsidRPr="00254BEE">
              <w:rPr>
                <w:rFonts w:ascii="Times New Roman" w:hAnsi="Times New Roman"/>
                <w:color w:val="000000"/>
              </w:rPr>
              <w:t>0</w:t>
            </w:r>
          </w:p>
        </w:tc>
        <w:tc>
          <w:tcPr>
            <w:tcW w:w="1860" w:type="dxa"/>
            <w:shd w:val="clear" w:color="auto" w:fill="auto"/>
            <w:vAlign w:val="center"/>
          </w:tcPr>
          <w:p w14:paraId="213007E7" w14:textId="77777777" w:rsidR="00DF3EF6" w:rsidRPr="00254BEE" w:rsidRDefault="00DF3EF6" w:rsidP="003E4BDD">
            <w:pPr>
              <w:pStyle w:val="Table"/>
              <w:jc w:val="center"/>
              <w:rPr>
                <w:rFonts w:ascii="Times New Roman" w:hAnsi="Times New Roman"/>
                <w:color w:val="000000"/>
              </w:rPr>
            </w:pPr>
            <w:r w:rsidRPr="00254BEE">
              <w:rPr>
                <w:rFonts w:ascii="Times New Roman" w:hAnsi="Times New Roman"/>
                <w:color w:val="000000"/>
              </w:rPr>
              <w:t>4 (2.3%)</w:t>
            </w:r>
          </w:p>
        </w:tc>
        <w:tc>
          <w:tcPr>
            <w:tcW w:w="1860" w:type="dxa"/>
            <w:shd w:val="clear" w:color="auto" w:fill="auto"/>
            <w:vAlign w:val="center"/>
          </w:tcPr>
          <w:p w14:paraId="4AABFD10" w14:textId="77777777" w:rsidR="00DF3EF6" w:rsidRPr="00254BEE" w:rsidRDefault="00DF3EF6" w:rsidP="003E4BDD">
            <w:pPr>
              <w:pStyle w:val="Table"/>
              <w:jc w:val="center"/>
              <w:rPr>
                <w:rFonts w:ascii="Times New Roman" w:hAnsi="Times New Roman"/>
                <w:color w:val="000000"/>
              </w:rPr>
            </w:pPr>
            <w:r w:rsidRPr="00254BEE">
              <w:rPr>
                <w:rFonts w:ascii="Times New Roman" w:hAnsi="Times New Roman"/>
                <w:color w:val="000000"/>
              </w:rPr>
              <w:t>2 (0.5%)</w:t>
            </w:r>
          </w:p>
        </w:tc>
        <w:tc>
          <w:tcPr>
            <w:tcW w:w="1860" w:type="dxa"/>
            <w:shd w:val="clear" w:color="auto" w:fill="auto"/>
            <w:vAlign w:val="center"/>
          </w:tcPr>
          <w:p w14:paraId="431827FA" w14:textId="77777777" w:rsidR="00DF3EF6" w:rsidRPr="00254BEE" w:rsidRDefault="00DF3EF6" w:rsidP="003E4BDD">
            <w:pPr>
              <w:keepNext/>
              <w:keepLines/>
              <w:tabs>
                <w:tab w:val="left" w:pos="284"/>
              </w:tabs>
              <w:spacing w:before="40" w:after="20"/>
              <w:jc w:val="center"/>
              <w:rPr>
                <w:color w:val="000000"/>
                <w:sz w:val="20"/>
              </w:rPr>
            </w:pPr>
            <w:r w:rsidRPr="00254BEE">
              <w:rPr>
                <w:color w:val="000000"/>
                <w:sz w:val="20"/>
              </w:rPr>
              <w:t>Common</w:t>
            </w:r>
          </w:p>
        </w:tc>
      </w:tr>
      <w:tr w:rsidR="00DF3EF6" w:rsidRPr="00254BEE" w14:paraId="3D5EAD0A" w14:textId="77777777" w:rsidTr="003E4BDD">
        <w:tc>
          <w:tcPr>
            <w:tcW w:w="9299" w:type="dxa"/>
            <w:gridSpan w:val="5"/>
            <w:shd w:val="clear" w:color="auto" w:fill="auto"/>
          </w:tcPr>
          <w:p w14:paraId="10EF09FB" w14:textId="77777777" w:rsidR="00DF3EF6" w:rsidRPr="00254BEE" w:rsidRDefault="00DF3EF6" w:rsidP="003E4BDD">
            <w:pPr>
              <w:keepLines/>
              <w:tabs>
                <w:tab w:val="left" w:pos="284"/>
              </w:tabs>
              <w:spacing w:before="40" w:after="20"/>
              <w:rPr>
                <w:b/>
                <w:bCs/>
                <w:color w:val="000000"/>
                <w:sz w:val="20"/>
              </w:rPr>
            </w:pPr>
            <w:r w:rsidRPr="00254BEE">
              <w:rPr>
                <w:b/>
                <w:bCs/>
                <w:color w:val="000000"/>
                <w:sz w:val="20"/>
              </w:rPr>
              <w:t>Nervous system disorders</w:t>
            </w:r>
          </w:p>
        </w:tc>
      </w:tr>
      <w:tr w:rsidR="00DF3EF6" w:rsidRPr="00254BEE" w14:paraId="750C7624" w14:textId="77777777" w:rsidTr="003E4BDD">
        <w:tc>
          <w:tcPr>
            <w:tcW w:w="1859" w:type="dxa"/>
            <w:shd w:val="clear" w:color="auto" w:fill="auto"/>
            <w:vAlign w:val="center"/>
          </w:tcPr>
          <w:p w14:paraId="74211DB7" w14:textId="77777777" w:rsidR="00DF3EF6" w:rsidRPr="00254BEE" w:rsidRDefault="00DF3EF6" w:rsidP="003E4BDD">
            <w:pPr>
              <w:keepLines/>
              <w:tabs>
                <w:tab w:val="left" w:pos="284"/>
              </w:tabs>
              <w:spacing w:before="40" w:after="20"/>
              <w:rPr>
                <w:color w:val="000000"/>
                <w:sz w:val="20"/>
              </w:rPr>
            </w:pPr>
            <w:r w:rsidRPr="00254BEE">
              <w:rPr>
                <w:color w:val="000000"/>
                <w:sz w:val="20"/>
              </w:rPr>
              <w:t xml:space="preserve">Headache </w:t>
            </w:r>
          </w:p>
        </w:tc>
        <w:tc>
          <w:tcPr>
            <w:tcW w:w="1860" w:type="dxa"/>
            <w:shd w:val="clear" w:color="auto" w:fill="auto"/>
          </w:tcPr>
          <w:p w14:paraId="357DE174" w14:textId="77777777" w:rsidR="00DF3EF6" w:rsidRPr="00254BEE" w:rsidRDefault="00DF3EF6" w:rsidP="003E4BDD">
            <w:pPr>
              <w:keepLines/>
              <w:tabs>
                <w:tab w:val="left" w:pos="284"/>
              </w:tabs>
              <w:spacing w:before="40" w:after="20"/>
              <w:jc w:val="center"/>
              <w:rPr>
                <w:color w:val="000000"/>
                <w:sz w:val="20"/>
              </w:rPr>
            </w:pPr>
            <w:r w:rsidRPr="00254BEE">
              <w:rPr>
                <w:color w:val="000000"/>
                <w:sz w:val="20"/>
              </w:rPr>
              <w:t>7 (2.9%)</w:t>
            </w:r>
          </w:p>
        </w:tc>
        <w:tc>
          <w:tcPr>
            <w:tcW w:w="1860" w:type="dxa"/>
            <w:shd w:val="clear" w:color="auto" w:fill="auto"/>
            <w:vAlign w:val="center"/>
          </w:tcPr>
          <w:p w14:paraId="393EEF3D" w14:textId="77777777" w:rsidR="00DF3EF6" w:rsidRPr="00254BEE" w:rsidRDefault="00D721C3" w:rsidP="003E4BDD">
            <w:pPr>
              <w:keepLines/>
              <w:tabs>
                <w:tab w:val="left" w:pos="284"/>
              </w:tabs>
              <w:spacing w:before="40" w:after="20"/>
              <w:jc w:val="center"/>
              <w:rPr>
                <w:color w:val="000000"/>
                <w:sz w:val="20"/>
              </w:rPr>
            </w:pPr>
            <w:r w:rsidRPr="00254BEE">
              <w:rPr>
                <w:color w:val="000000"/>
                <w:sz w:val="20"/>
              </w:rPr>
              <w:t>21 (12.0</w:t>
            </w:r>
            <w:r w:rsidR="00DF3EF6" w:rsidRPr="00254BEE">
              <w:rPr>
                <w:color w:val="000000"/>
                <w:sz w:val="20"/>
              </w:rPr>
              <w:t>%)</w:t>
            </w:r>
          </w:p>
        </w:tc>
        <w:tc>
          <w:tcPr>
            <w:tcW w:w="1860" w:type="dxa"/>
            <w:shd w:val="clear" w:color="auto" w:fill="auto"/>
            <w:vAlign w:val="center"/>
          </w:tcPr>
          <w:p w14:paraId="3E6CD7AB" w14:textId="77777777" w:rsidR="00DF3EF6" w:rsidRPr="00254BEE" w:rsidRDefault="00D721C3" w:rsidP="00D721C3">
            <w:pPr>
              <w:keepLines/>
              <w:tabs>
                <w:tab w:val="left" w:pos="284"/>
              </w:tabs>
              <w:spacing w:before="40" w:after="20"/>
              <w:jc w:val="center"/>
              <w:rPr>
                <w:color w:val="000000"/>
                <w:sz w:val="20"/>
              </w:rPr>
            </w:pPr>
            <w:r w:rsidRPr="00254BEE">
              <w:rPr>
                <w:color w:val="000000"/>
                <w:sz w:val="20"/>
              </w:rPr>
              <w:t>25</w:t>
            </w:r>
            <w:r w:rsidR="00DF3EF6" w:rsidRPr="00254BEE">
              <w:rPr>
                <w:color w:val="000000"/>
                <w:sz w:val="20"/>
              </w:rPr>
              <w:t xml:space="preserve"> (6.</w:t>
            </w:r>
            <w:r w:rsidRPr="00254BEE">
              <w:rPr>
                <w:color w:val="000000"/>
                <w:sz w:val="20"/>
              </w:rPr>
              <w:t>1</w:t>
            </w:r>
            <w:r w:rsidR="00DF3EF6" w:rsidRPr="00254BEE">
              <w:rPr>
                <w:color w:val="000000"/>
                <w:sz w:val="20"/>
              </w:rPr>
              <w:t>%)</w:t>
            </w:r>
          </w:p>
        </w:tc>
        <w:tc>
          <w:tcPr>
            <w:tcW w:w="1860" w:type="dxa"/>
            <w:shd w:val="clear" w:color="auto" w:fill="auto"/>
            <w:vAlign w:val="center"/>
          </w:tcPr>
          <w:p w14:paraId="709A9329" w14:textId="77777777" w:rsidR="00DF3EF6" w:rsidRPr="00254BEE" w:rsidRDefault="00DF3EF6" w:rsidP="003E4BDD">
            <w:pPr>
              <w:keepLines/>
              <w:tabs>
                <w:tab w:val="left" w:pos="284"/>
              </w:tabs>
              <w:spacing w:before="40" w:after="20"/>
              <w:jc w:val="center"/>
              <w:rPr>
                <w:color w:val="000000"/>
                <w:sz w:val="20"/>
              </w:rPr>
            </w:pPr>
            <w:r w:rsidRPr="00254BEE">
              <w:rPr>
                <w:color w:val="000000"/>
                <w:sz w:val="20"/>
              </w:rPr>
              <w:t>Very common</w:t>
            </w:r>
          </w:p>
        </w:tc>
      </w:tr>
      <w:tr w:rsidR="00DF3EF6" w:rsidRPr="00254BEE" w14:paraId="4D328F5B" w14:textId="77777777" w:rsidTr="003E4BDD">
        <w:tc>
          <w:tcPr>
            <w:tcW w:w="9299" w:type="dxa"/>
            <w:gridSpan w:val="5"/>
            <w:shd w:val="clear" w:color="auto" w:fill="auto"/>
          </w:tcPr>
          <w:p w14:paraId="7A1D32CB" w14:textId="77777777" w:rsidR="00DF3EF6" w:rsidRPr="00254BEE" w:rsidRDefault="00DF3EF6" w:rsidP="003E4BDD">
            <w:pPr>
              <w:keepLines/>
              <w:tabs>
                <w:tab w:val="left" w:pos="284"/>
              </w:tabs>
              <w:spacing w:before="40" w:after="20"/>
              <w:rPr>
                <w:b/>
                <w:bCs/>
                <w:color w:val="000000"/>
                <w:sz w:val="20"/>
              </w:rPr>
            </w:pPr>
            <w:r w:rsidRPr="00254BEE">
              <w:rPr>
                <w:b/>
                <w:bCs/>
                <w:color w:val="000000"/>
                <w:sz w:val="20"/>
              </w:rPr>
              <w:t>Musculo skeletal and connective tissue disorders</w:t>
            </w:r>
          </w:p>
        </w:tc>
      </w:tr>
      <w:tr w:rsidR="00DF3EF6" w:rsidRPr="00254BEE" w14:paraId="578ECA96" w14:textId="77777777" w:rsidTr="003E4BDD">
        <w:tc>
          <w:tcPr>
            <w:tcW w:w="1859" w:type="dxa"/>
            <w:shd w:val="clear" w:color="auto" w:fill="auto"/>
            <w:vAlign w:val="center"/>
          </w:tcPr>
          <w:p w14:paraId="27B26868" w14:textId="77777777" w:rsidR="00DF3EF6" w:rsidRPr="00254BEE" w:rsidRDefault="00DF3EF6" w:rsidP="003E4BDD">
            <w:pPr>
              <w:keepLines/>
              <w:tabs>
                <w:tab w:val="left" w:pos="284"/>
              </w:tabs>
              <w:spacing w:before="40" w:after="20"/>
              <w:rPr>
                <w:color w:val="000000"/>
                <w:sz w:val="20"/>
              </w:rPr>
            </w:pPr>
            <w:r w:rsidRPr="00254BEE">
              <w:rPr>
                <w:color w:val="000000"/>
                <w:sz w:val="20"/>
              </w:rPr>
              <w:t xml:space="preserve">Arthralgia </w:t>
            </w:r>
          </w:p>
        </w:tc>
        <w:tc>
          <w:tcPr>
            <w:tcW w:w="1860" w:type="dxa"/>
            <w:shd w:val="clear" w:color="auto" w:fill="auto"/>
          </w:tcPr>
          <w:p w14:paraId="025C292A" w14:textId="77777777" w:rsidR="00DF3EF6" w:rsidRPr="00254BEE" w:rsidRDefault="00DF3EF6" w:rsidP="003E4BDD">
            <w:pPr>
              <w:keepLines/>
              <w:tabs>
                <w:tab w:val="left" w:pos="284"/>
              </w:tabs>
              <w:spacing w:before="40" w:after="20"/>
              <w:jc w:val="center"/>
              <w:rPr>
                <w:color w:val="000000"/>
                <w:sz w:val="20"/>
              </w:rPr>
            </w:pPr>
            <w:r w:rsidRPr="00254BEE">
              <w:rPr>
                <w:color w:val="000000"/>
                <w:sz w:val="20"/>
              </w:rPr>
              <w:t>1 (0.4%)</w:t>
            </w:r>
          </w:p>
        </w:tc>
        <w:tc>
          <w:tcPr>
            <w:tcW w:w="1860" w:type="dxa"/>
            <w:shd w:val="clear" w:color="auto" w:fill="auto"/>
            <w:vAlign w:val="center"/>
          </w:tcPr>
          <w:p w14:paraId="24A3D965" w14:textId="77777777" w:rsidR="00DF3EF6" w:rsidRPr="00254BEE" w:rsidRDefault="00DF3EF6" w:rsidP="003E4BDD">
            <w:pPr>
              <w:keepLines/>
              <w:tabs>
                <w:tab w:val="left" w:pos="284"/>
              </w:tabs>
              <w:spacing w:before="40" w:after="20"/>
              <w:jc w:val="center"/>
              <w:rPr>
                <w:color w:val="000000"/>
                <w:sz w:val="20"/>
              </w:rPr>
            </w:pPr>
            <w:r w:rsidRPr="00254BEE">
              <w:rPr>
                <w:color w:val="000000"/>
                <w:sz w:val="20"/>
              </w:rPr>
              <w:t>5 (2.9%)</w:t>
            </w:r>
          </w:p>
        </w:tc>
        <w:tc>
          <w:tcPr>
            <w:tcW w:w="1860" w:type="dxa"/>
            <w:shd w:val="clear" w:color="auto" w:fill="auto"/>
            <w:vAlign w:val="center"/>
          </w:tcPr>
          <w:p w14:paraId="3CD7C6D2" w14:textId="77777777" w:rsidR="00DF3EF6" w:rsidRPr="00254BEE" w:rsidRDefault="00DF3EF6" w:rsidP="003E4BDD">
            <w:pPr>
              <w:keepLines/>
              <w:tabs>
                <w:tab w:val="left" w:pos="284"/>
              </w:tabs>
              <w:spacing w:before="40" w:after="20"/>
              <w:jc w:val="center"/>
              <w:rPr>
                <w:color w:val="000000"/>
                <w:sz w:val="20"/>
              </w:rPr>
            </w:pPr>
            <w:r w:rsidRPr="00254BEE">
              <w:rPr>
                <w:color w:val="000000"/>
                <w:sz w:val="20"/>
              </w:rPr>
              <w:t>12 (2.9%)</w:t>
            </w:r>
            <w:r w:rsidRPr="00254BEE">
              <w:rPr>
                <w:color w:val="000000"/>
                <w:sz w:val="20"/>
                <w:lang w:val="en"/>
              </w:rPr>
              <w:t xml:space="preserve"> </w:t>
            </w:r>
          </w:p>
        </w:tc>
        <w:tc>
          <w:tcPr>
            <w:tcW w:w="1860" w:type="dxa"/>
            <w:shd w:val="clear" w:color="auto" w:fill="auto"/>
            <w:vAlign w:val="center"/>
          </w:tcPr>
          <w:p w14:paraId="3CF32993" w14:textId="77777777" w:rsidR="00DF3EF6" w:rsidRPr="00254BEE" w:rsidRDefault="00DF3EF6" w:rsidP="003E4BDD">
            <w:pPr>
              <w:keepLines/>
              <w:tabs>
                <w:tab w:val="left" w:pos="284"/>
              </w:tabs>
              <w:spacing w:before="40" w:after="20"/>
              <w:jc w:val="center"/>
              <w:rPr>
                <w:color w:val="000000"/>
                <w:sz w:val="20"/>
              </w:rPr>
            </w:pPr>
            <w:r w:rsidRPr="00254BEE">
              <w:rPr>
                <w:color w:val="000000"/>
                <w:sz w:val="20"/>
              </w:rPr>
              <w:t>Common</w:t>
            </w:r>
          </w:p>
        </w:tc>
      </w:tr>
    </w:tbl>
    <w:p w14:paraId="1BFEC2B2" w14:textId="77777777" w:rsidR="00DF3EF6" w:rsidRPr="00254BEE" w:rsidRDefault="00DF3EF6" w:rsidP="00DF3EF6">
      <w:pPr>
        <w:pStyle w:val="Text"/>
      </w:pPr>
      <w:r w:rsidRPr="00254BEE">
        <w:t>Additional events reported anytime during the day 1 to week 24 treatment period (studies Q4881g and Q4883g) that met the criteria of adverse reactions:Infections and infestations: upper respiratory tract infections (placebo 3.1%, 150 mg 3.4%, 300 mg 5.7%), urinary tract infection (placebo 1.8%, 150 mg 4.6%, 300 mg 2.4%).</w:t>
      </w:r>
    </w:p>
    <w:p w14:paraId="177FF737" w14:textId="77777777" w:rsidR="00DF3EF6" w:rsidRPr="00254BEE" w:rsidRDefault="00DF3EF6" w:rsidP="00DF3EF6">
      <w:pPr>
        <w:pStyle w:val="Text"/>
      </w:pPr>
      <w:r w:rsidRPr="00254BEE">
        <w:t>Nervous system disorders: sinus headache (placebo 0%, 150 mg 2.3%, 300 mg 0.3%).</w:t>
      </w:r>
    </w:p>
    <w:p w14:paraId="233BB693" w14:textId="77777777" w:rsidR="00DF3EF6" w:rsidRPr="00254BEE" w:rsidRDefault="00DF3EF6" w:rsidP="00DF3EF6">
      <w:pPr>
        <w:pStyle w:val="Text"/>
      </w:pPr>
      <w:r w:rsidRPr="00254BEE">
        <w:t>Musculoskeletal and connective tissue disorders: myalgia (placebo 0%, 150 mg 2.3%, 300 mg 0.9%), pain in extremity (placebo 0%, 150 mg 3.4%, 300 mg 0.9%), musculoskeletal pain (placebo 0%, 150 mg 2.3%, 300 mg 0.9%).</w:t>
      </w:r>
    </w:p>
    <w:p w14:paraId="44D7E4B7" w14:textId="77777777" w:rsidR="00DF3EF6" w:rsidRPr="00254BEE" w:rsidRDefault="00DF3EF6" w:rsidP="00DF3EF6">
      <w:pPr>
        <w:pStyle w:val="Text"/>
      </w:pPr>
      <w:r w:rsidRPr="00254BEE">
        <w:t>General disorders and administration site conditions: pyrexia (placebo 1.2%, 150 mg 3.4%, 300 mg 0.9%).</w:t>
      </w:r>
    </w:p>
    <w:p w14:paraId="296E2CFA" w14:textId="77777777" w:rsidR="00DF3EF6" w:rsidRPr="00254BEE" w:rsidRDefault="00DF3EF6" w:rsidP="00DF3EF6">
      <w:pPr>
        <w:pStyle w:val="Text"/>
      </w:pPr>
      <w:r w:rsidRPr="00254BEE">
        <w:t>Injection site reactions: Injection site reactions occurred during the studies in more omalizumab-treated patients than placebo patients (2.7% at 300 mg, 0.6% at 150 mg, 0.8% with placebo). They included: swelling, erythema, pain, bruising, itching, bleeding and urticaria.</w:t>
      </w:r>
    </w:p>
    <w:p w14:paraId="02C04D43" w14:textId="7297CA52" w:rsidR="00DF3EF6" w:rsidRPr="00254BEE" w:rsidRDefault="00DF3EF6" w:rsidP="0009306B">
      <w:pPr>
        <w:pStyle w:val="Nottoc-headings"/>
        <w:spacing w:after="120"/>
        <w:ind w:left="0" w:firstLine="0"/>
        <w:rPr>
          <w:rFonts w:ascii="Times New Roman" w:hAnsi="Times New Roman"/>
          <w:sz w:val="24"/>
          <w:szCs w:val="24"/>
          <w:u w:val="single"/>
        </w:rPr>
      </w:pPr>
      <w:r w:rsidRPr="00254BEE">
        <w:rPr>
          <w:rFonts w:ascii="Times New Roman" w:hAnsi="Times New Roman"/>
          <w:sz w:val="24"/>
          <w:szCs w:val="24"/>
          <w:u w:val="single"/>
        </w:rPr>
        <w:t xml:space="preserve">Description of safety aspects of special interest pertinent to allergic asthma and </w:t>
      </w:r>
      <w:r w:rsidR="00690BA9">
        <w:rPr>
          <w:rFonts w:ascii="Times New Roman" w:hAnsi="Times New Roman"/>
          <w:sz w:val="24"/>
          <w:szCs w:val="24"/>
          <w:u w:val="single"/>
        </w:rPr>
        <w:t>CSU</w:t>
      </w:r>
      <w:r w:rsidRPr="00254BEE">
        <w:rPr>
          <w:rFonts w:ascii="Times New Roman" w:hAnsi="Times New Roman"/>
          <w:sz w:val="24"/>
          <w:szCs w:val="24"/>
          <w:u w:val="single"/>
        </w:rPr>
        <w:t xml:space="preserve"> indications</w:t>
      </w:r>
      <w:bookmarkStart w:id="38" w:name="_2421140Description_of_safety_aspe"/>
      <w:bookmarkEnd w:id="38"/>
    </w:p>
    <w:p w14:paraId="2660C009" w14:textId="4439AA45" w:rsidR="00DF3EF6" w:rsidRPr="00254BEE" w:rsidRDefault="007A1D2A" w:rsidP="0009306B">
      <w:pPr>
        <w:spacing w:after="120"/>
      </w:pPr>
      <w:r w:rsidRPr="00254BEE">
        <w:t xml:space="preserve">No relevant </w:t>
      </w:r>
      <w:r w:rsidR="00BE0135" w:rsidRPr="00254BEE">
        <w:t xml:space="preserve">data was obtained in </w:t>
      </w:r>
      <w:r w:rsidR="00690BA9">
        <w:t>CSU</w:t>
      </w:r>
      <w:r w:rsidR="00BE0135" w:rsidRPr="00254BEE">
        <w:t xml:space="preserve"> studies that alter the safety profile of Xolair. The following information was obtained from the allergic asthma trials</w:t>
      </w:r>
      <w:r w:rsidR="00433D17" w:rsidRPr="00254BEE">
        <w:t xml:space="preserve"> </w:t>
      </w:r>
      <w:r w:rsidR="00433D17" w:rsidRPr="00254BEE">
        <w:rPr>
          <w:snapToGrid w:val="0"/>
        </w:rPr>
        <w:t>in adults and adolescents</w:t>
      </w:r>
      <w:r w:rsidR="00BE0135" w:rsidRPr="00254BEE">
        <w:t>.</w:t>
      </w:r>
    </w:p>
    <w:p w14:paraId="68B3D1B1" w14:textId="77777777" w:rsidR="00AD5636" w:rsidRPr="00254BEE" w:rsidRDefault="00AD5636" w:rsidP="0004092B">
      <w:pPr>
        <w:rPr>
          <w:color w:val="000000" w:themeColor="text1"/>
        </w:rPr>
      </w:pPr>
    </w:p>
    <w:p w14:paraId="55805B86" w14:textId="77777777" w:rsidR="00DF3EF6" w:rsidRPr="00254BEE" w:rsidRDefault="00DF3EF6" w:rsidP="00DF3EF6">
      <w:pPr>
        <w:rPr>
          <w:color w:val="000000" w:themeColor="text1"/>
        </w:rPr>
      </w:pPr>
      <w:r w:rsidRPr="00254BEE">
        <w:rPr>
          <w:b/>
          <w:color w:val="000000" w:themeColor="text1"/>
        </w:rPr>
        <w:t xml:space="preserve">Allergic events:  </w:t>
      </w:r>
      <w:r w:rsidRPr="00254BEE">
        <w:rPr>
          <w:color w:val="000000" w:themeColor="text1"/>
        </w:rPr>
        <w:t>As with any protein, local or systemic allergic or Type I hypersensitivity events can occur.  Frequencies of all allergic-type events were similar for both treatment groups of the total</w:t>
      </w:r>
      <w:r w:rsidR="00433D17" w:rsidRPr="00254BEE">
        <w:rPr>
          <w:color w:val="000000" w:themeColor="text1"/>
        </w:rPr>
        <w:t xml:space="preserve"> </w:t>
      </w:r>
      <w:r w:rsidRPr="00254BEE">
        <w:rPr>
          <w:color w:val="000000" w:themeColor="text1"/>
        </w:rPr>
        <w:t>study population</w:t>
      </w:r>
      <w:r w:rsidR="00433D17" w:rsidRPr="00254BEE">
        <w:rPr>
          <w:color w:val="000000" w:themeColor="text1"/>
        </w:rPr>
        <w:t xml:space="preserve"> </w:t>
      </w:r>
      <w:r w:rsidR="00433D17" w:rsidRPr="00254BEE">
        <w:rPr>
          <w:snapToGrid w:val="0"/>
        </w:rPr>
        <w:t>in adults and adolescents</w:t>
      </w:r>
      <w:r w:rsidRPr="00254BEE">
        <w:rPr>
          <w:color w:val="000000" w:themeColor="text1"/>
        </w:rPr>
        <w:t xml:space="preserve"> (4%, Xolair, 6%, placebo).  Events such as vasovagal syncope, postural hypotension, allergic bronchospasm and photosensitivity occurred in &lt;1% of patients in each treatment group. (see “ Precautions”)</w:t>
      </w:r>
    </w:p>
    <w:p w14:paraId="384416EC" w14:textId="77777777" w:rsidR="00004DAA" w:rsidRPr="00254BEE" w:rsidRDefault="00004DAA" w:rsidP="00A36B06">
      <w:pPr>
        <w:rPr>
          <w:color w:val="000000" w:themeColor="text1"/>
          <w:lang w:val="en-US"/>
        </w:rPr>
      </w:pPr>
    </w:p>
    <w:p w14:paraId="27301D26" w14:textId="77777777" w:rsidR="00A36B06" w:rsidRPr="00254BEE" w:rsidRDefault="00A36B06" w:rsidP="00A36B06">
      <w:pPr>
        <w:rPr>
          <w:color w:val="000000" w:themeColor="text1"/>
          <w:lang w:val="en-US"/>
        </w:rPr>
      </w:pPr>
      <w:r w:rsidRPr="00254BEE">
        <w:rPr>
          <w:color w:val="000000" w:themeColor="text1"/>
          <w:lang w:val="en-US"/>
        </w:rPr>
        <w:t>In post-marketing reports, the frequency of anaphylaxis in patients exposed to Xolair use was estimated to be 0.2% based on a total number of anaphylactic reactions observed from an estimated exposure of over 500,000 patient years.</w:t>
      </w:r>
    </w:p>
    <w:p w14:paraId="7BDB043B" w14:textId="77777777" w:rsidR="00A36B06" w:rsidRPr="00254BEE" w:rsidRDefault="00A36B06" w:rsidP="00A36B06">
      <w:pPr>
        <w:rPr>
          <w:color w:val="000000" w:themeColor="text1"/>
          <w:lang w:val="en-US"/>
        </w:rPr>
      </w:pPr>
    </w:p>
    <w:p w14:paraId="1C3E4BF0" w14:textId="77777777" w:rsidR="00A36B06" w:rsidRPr="00254BEE" w:rsidRDefault="00A36B06" w:rsidP="00A36B06">
      <w:pPr>
        <w:rPr>
          <w:color w:val="000000" w:themeColor="text1"/>
          <w:lang w:val="en-US"/>
        </w:rPr>
      </w:pPr>
      <w:r w:rsidRPr="00254BEE">
        <w:rPr>
          <w:color w:val="000000" w:themeColor="text1"/>
          <w:lang w:val="en-US"/>
        </w:rPr>
        <w:t>A history of anaphylaxis unrelated to omalizumab may be a risk factor for anaphylaxis following Xolair administration.</w:t>
      </w:r>
    </w:p>
    <w:p w14:paraId="1CF3FD72" w14:textId="77777777" w:rsidR="00DF3EF6" w:rsidRPr="00254BEE" w:rsidRDefault="00DF3EF6" w:rsidP="00DF3EF6">
      <w:pPr>
        <w:rPr>
          <w:color w:val="000000" w:themeColor="text1"/>
        </w:rPr>
      </w:pPr>
    </w:p>
    <w:p w14:paraId="574ECE49" w14:textId="77777777" w:rsidR="00DF3EF6" w:rsidRPr="00254BEE" w:rsidRDefault="00DF3EF6" w:rsidP="00DF3EF6">
      <w:pPr>
        <w:rPr>
          <w:color w:val="000000" w:themeColor="text1"/>
        </w:rPr>
      </w:pPr>
      <w:r w:rsidRPr="00254BEE">
        <w:rPr>
          <w:b/>
          <w:color w:val="000000" w:themeColor="text1"/>
        </w:rPr>
        <w:t>Parasitic infections:</w:t>
      </w:r>
      <w:r w:rsidRPr="00254BEE">
        <w:rPr>
          <w:b/>
          <w:snapToGrid w:val="0"/>
          <w:color w:val="000000" w:themeColor="text1"/>
        </w:rPr>
        <w:t xml:space="preserve"> </w:t>
      </w:r>
      <w:r w:rsidRPr="00254BEE">
        <w:rPr>
          <w:b/>
          <w:color w:val="000000" w:themeColor="text1"/>
        </w:rPr>
        <w:t xml:space="preserve"> </w:t>
      </w:r>
      <w:r w:rsidRPr="00254BEE">
        <w:rPr>
          <w:color w:val="000000" w:themeColor="text1"/>
        </w:rPr>
        <w:t>In patients at chronic high risk of helminth infection, a placebo-controlled trial showed a numerical increase in infection rate with omalizumab that was not statistically significant. The course, severity, and response to treatment of infections were unaltered (see PRECAUTIONS - “Other IgE associated disorders”).</w:t>
      </w:r>
    </w:p>
    <w:p w14:paraId="054CB87D" w14:textId="77777777" w:rsidR="00DF3EF6" w:rsidRPr="00254BEE" w:rsidRDefault="00DF3EF6" w:rsidP="00DF3EF6">
      <w:pPr>
        <w:autoSpaceDE w:val="0"/>
        <w:autoSpaceDN w:val="0"/>
        <w:adjustRightInd w:val="0"/>
        <w:rPr>
          <w:b/>
          <w:color w:val="000000" w:themeColor="text1"/>
        </w:rPr>
      </w:pPr>
    </w:p>
    <w:p w14:paraId="6B4E5173" w14:textId="77777777" w:rsidR="00353855" w:rsidRPr="00254BEE" w:rsidRDefault="00DF3EF6" w:rsidP="00DF3EF6">
      <w:pPr>
        <w:autoSpaceDE w:val="0"/>
        <w:autoSpaceDN w:val="0"/>
        <w:adjustRightInd w:val="0"/>
        <w:rPr>
          <w:color w:val="000000" w:themeColor="text1"/>
          <w:lang w:val="en-US"/>
        </w:rPr>
      </w:pPr>
      <w:r w:rsidRPr="00254BEE">
        <w:rPr>
          <w:b/>
          <w:color w:val="000000" w:themeColor="text1"/>
        </w:rPr>
        <w:t>Malignancies</w:t>
      </w:r>
      <w:r w:rsidRPr="00254BEE">
        <w:rPr>
          <w:color w:val="000000" w:themeColor="text1"/>
        </w:rPr>
        <w:t xml:space="preserve">: During </w:t>
      </w:r>
      <w:r w:rsidR="00353855" w:rsidRPr="00254BEE">
        <w:rPr>
          <w:color w:val="000000" w:themeColor="text1"/>
        </w:rPr>
        <w:t xml:space="preserve">initial </w:t>
      </w:r>
      <w:r w:rsidRPr="00254BEE">
        <w:rPr>
          <w:color w:val="000000" w:themeColor="text1"/>
        </w:rPr>
        <w:t>clinical trials</w:t>
      </w:r>
      <w:r w:rsidR="00353855" w:rsidRPr="00254BEE">
        <w:rPr>
          <w:color w:val="000000" w:themeColor="text1"/>
        </w:rPr>
        <w:t xml:space="preserve"> </w:t>
      </w:r>
      <w:r w:rsidR="00353855" w:rsidRPr="00254BEE">
        <w:rPr>
          <w:szCs w:val="24"/>
        </w:rPr>
        <w:t>for adults and adolescents 12 years of age and older</w:t>
      </w:r>
      <w:r w:rsidRPr="00254BEE">
        <w:rPr>
          <w:color w:val="000000" w:themeColor="text1"/>
        </w:rPr>
        <w:t>, there was a numerical imbalance in cancers arising in the active treatment group (25 patients of 5015), compared with the control group (5 patients of 2854). The number of observed cases was uncommon (&lt;1/100) in both the active</w:t>
      </w:r>
      <w:r w:rsidR="00353855" w:rsidRPr="00254BEE">
        <w:rPr>
          <w:color w:val="000000" w:themeColor="text1"/>
        </w:rPr>
        <w:t xml:space="preserve"> (0.5%)</w:t>
      </w:r>
      <w:r w:rsidRPr="00254BEE">
        <w:rPr>
          <w:color w:val="000000" w:themeColor="text1"/>
        </w:rPr>
        <w:t xml:space="preserve"> and the control group, </w:t>
      </w:r>
      <w:r w:rsidR="00AD5636" w:rsidRPr="00254BEE">
        <w:rPr>
          <w:color w:val="000000" w:themeColor="text1"/>
        </w:rPr>
        <w:t>(0.2</w:t>
      </w:r>
      <w:r w:rsidRPr="00254BEE">
        <w:rPr>
          <w:color w:val="000000" w:themeColor="text1"/>
        </w:rPr>
        <w:t>%</w:t>
      </w:r>
      <w:r w:rsidR="00353855" w:rsidRPr="00254BEE">
        <w:rPr>
          <w:color w:val="000000" w:themeColor="text1"/>
        </w:rPr>
        <w:t>)</w:t>
      </w:r>
      <w:r w:rsidRPr="00254BEE">
        <w:rPr>
          <w:color w:val="000000" w:themeColor="text1"/>
        </w:rPr>
        <w:t>.</w:t>
      </w:r>
      <w:r w:rsidRPr="00254BEE">
        <w:rPr>
          <w:color w:val="000000" w:themeColor="text1"/>
          <w:lang w:val="en-US"/>
        </w:rPr>
        <w:t xml:space="preserve"> The observed cases in Xolair-treated patients included breast, non-melanoma skin, prostate, melanoma and parotid malignancies.</w:t>
      </w:r>
      <w:r w:rsidRPr="00254BEE">
        <w:rPr>
          <w:color w:val="000000" w:themeColor="text1"/>
        </w:rPr>
        <w:t xml:space="preserve"> The overall observed incidence rate of malignancy in the</w:t>
      </w:r>
      <w:r w:rsidR="00353855" w:rsidRPr="00254BEE">
        <w:rPr>
          <w:color w:val="000000" w:themeColor="text1"/>
        </w:rPr>
        <w:t xml:space="preserve"> initial</w:t>
      </w:r>
      <w:r w:rsidRPr="00254BEE">
        <w:rPr>
          <w:color w:val="000000" w:themeColor="text1"/>
        </w:rPr>
        <w:t xml:space="preserve"> Xolair clinical trial programme was comparable to that reported in the general population (0.4%).</w:t>
      </w:r>
      <w:r w:rsidRPr="00254BEE">
        <w:rPr>
          <w:color w:val="000000" w:themeColor="text1"/>
          <w:lang w:val="en-US"/>
        </w:rPr>
        <w:t xml:space="preserve"> </w:t>
      </w:r>
    </w:p>
    <w:p w14:paraId="369791E7" w14:textId="77777777" w:rsidR="00353855" w:rsidRPr="00254BEE" w:rsidRDefault="00353855" w:rsidP="00DF3EF6">
      <w:pPr>
        <w:autoSpaceDE w:val="0"/>
        <w:autoSpaceDN w:val="0"/>
        <w:adjustRightInd w:val="0"/>
        <w:rPr>
          <w:color w:val="000000" w:themeColor="text1"/>
          <w:lang w:val="en-US"/>
        </w:rPr>
      </w:pPr>
    </w:p>
    <w:p w14:paraId="6FC51EC3" w14:textId="7345E3EB" w:rsidR="003026C1" w:rsidRPr="00254BEE" w:rsidRDefault="00353855" w:rsidP="003026C1">
      <w:pPr>
        <w:autoSpaceDE w:val="0"/>
        <w:autoSpaceDN w:val="0"/>
        <w:adjustRightInd w:val="0"/>
        <w:rPr>
          <w:u w:val="single"/>
        </w:rPr>
      </w:pPr>
      <w:r w:rsidRPr="00254BEE">
        <w:t>In a subsequent observational study comparing 5007 Xolair-treated and 2829 non-Xolair-treated</w:t>
      </w:r>
      <w:r w:rsidRPr="00254BEE" w:rsidDel="00353855">
        <w:rPr>
          <w:color w:val="000000" w:themeColor="text1"/>
          <w:lang w:val="en-US"/>
        </w:rPr>
        <w:t xml:space="preserve"> </w:t>
      </w:r>
      <w:r w:rsidR="00DF3EF6" w:rsidRPr="00254BEE">
        <w:rPr>
          <w:color w:val="000000" w:themeColor="text1"/>
          <w:lang w:val="en-US"/>
        </w:rPr>
        <w:t xml:space="preserve">patients </w:t>
      </w:r>
      <w:r w:rsidRPr="00254BEE">
        <w:t xml:space="preserve">followed for up to 5 years, the incidence rates of primary malignancies per 1000 patient years </w:t>
      </w:r>
      <w:r w:rsidR="00DF3EF6" w:rsidRPr="00254BEE">
        <w:rPr>
          <w:color w:val="000000" w:themeColor="text1"/>
          <w:lang w:val="en-US"/>
        </w:rPr>
        <w:t>were</w:t>
      </w:r>
      <w:r w:rsidRPr="00254BEE">
        <w:rPr>
          <w:color w:val="000000" w:themeColor="text1"/>
          <w:lang w:val="en-US"/>
        </w:rPr>
        <w:t xml:space="preserve"> </w:t>
      </w:r>
      <w:r w:rsidRPr="00254BEE">
        <w:t>16.01 (295/18426 patient years) and 19.07 (190/996</w:t>
      </w:r>
      <w:r w:rsidR="003026C1" w:rsidRPr="00254BEE">
        <w:t>3</w:t>
      </w:r>
      <w:r w:rsidRPr="00254BEE">
        <w:t xml:space="preserve"> </w:t>
      </w:r>
      <w:r w:rsidR="00DF3EF6" w:rsidRPr="00254BEE">
        <w:rPr>
          <w:color w:val="000000" w:themeColor="text1"/>
          <w:lang w:val="en-US"/>
        </w:rPr>
        <w:t xml:space="preserve"> </w:t>
      </w:r>
      <w:r w:rsidRPr="00254BEE">
        <w:t xml:space="preserve"> </w:t>
      </w:r>
      <w:r w:rsidR="003026C1" w:rsidRPr="00254BEE">
        <w:t xml:space="preserve">patient </w:t>
      </w:r>
      <w:r w:rsidRPr="00254BEE">
        <w:t>years), respectively, which does not indicate an increased</w:t>
      </w:r>
      <w:r w:rsidR="00DF3EF6" w:rsidRPr="00254BEE">
        <w:rPr>
          <w:color w:val="000000" w:themeColor="text1"/>
          <w:lang w:val="en-US"/>
        </w:rPr>
        <w:t xml:space="preserve">  malignancy </w:t>
      </w:r>
      <w:r w:rsidR="003026C1" w:rsidRPr="00254BEE">
        <w:t xml:space="preserve"> risk (rate ratio 0.84, 95% confidence interval, 0.62-1.13). In a further analysis of </w:t>
      </w:r>
      <w:r w:rsidR="003E2029" w:rsidRPr="00254BEE">
        <w:t>randomi</w:t>
      </w:r>
      <w:r w:rsidR="003E2029">
        <w:t>s</w:t>
      </w:r>
      <w:r w:rsidR="003E2029" w:rsidRPr="00254BEE">
        <w:t>ed</w:t>
      </w:r>
      <w:r w:rsidR="003026C1" w:rsidRPr="00254BEE">
        <w:t xml:space="preserve">, double-blind, placebo-controlled clinical trials including 4254 patients on Xolair and 3178 patients on placebo, Xolair treatment was not associated with an increased malignancy risk based on incidence rates per 1000 patient years of 4.14 (14/3382 patient years) for Xolair treated patients and 4.45 (11/2474 patient years) for placebo patients (rate ratio 0.93, 95% confidence interval 0.39-2.27). </w:t>
      </w:r>
    </w:p>
    <w:p w14:paraId="783A027E" w14:textId="77777777" w:rsidR="00DF3EF6" w:rsidRPr="00254BEE" w:rsidRDefault="00DF3EF6" w:rsidP="00AD5636">
      <w:pPr>
        <w:autoSpaceDE w:val="0"/>
        <w:autoSpaceDN w:val="0"/>
        <w:adjustRightInd w:val="0"/>
        <w:rPr>
          <w:color w:val="000000" w:themeColor="text1"/>
        </w:rPr>
      </w:pPr>
    </w:p>
    <w:p w14:paraId="647E8C17" w14:textId="5B4599D1" w:rsidR="003026C1" w:rsidRPr="00254BEE" w:rsidRDefault="003026C1" w:rsidP="003026C1">
      <w:pPr>
        <w:autoSpaceDE w:val="0"/>
        <w:autoSpaceDN w:val="0"/>
        <w:adjustRightInd w:val="0"/>
        <w:rPr>
          <w:color w:val="000000" w:themeColor="text1"/>
          <w:szCs w:val="24"/>
          <w:lang w:val="en-US"/>
        </w:rPr>
      </w:pPr>
      <w:r w:rsidRPr="00254BEE">
        <w:rPr>
          <w:b/>
          <w:snapToGrid w:val="0"/>
        </w:rPr>
        <w:t xml:space="preserve">Arterial Thromboembolic Events (ATE): </w:t>
      </w:r>
      <w:r w:rsidRPr="00254BEE">
        <w:rPr>
          <w:szCs w:val="24"/>
        </w:rPr>
        <w:t>In controlled clinical trials and during interim  analyses of an observational study, a numerical imbalance of</w:t>
      </w:r>
      <w:r w:rsidRPr="00254BEE">
        <w:rPr>
          <w:color w:val="000000"/>
          <w:szCs w:val="24"/>
        </w:rPr>
        <w:t xml:space="preserve"> ATEs was observed. ATE included stroke, transient ischemic attack, myocardial infarction, unstable angina, and cardiovascular death (including death from unknown cause). In the final analysis of the observational study, a numerical imbalance of ATEs was observed for:  transient ischemic attack, myocardial infarction, unstable angina, and cardiovascular death (including death from unknown cause) while no notable numerical imbalance was observed for stroke. The rate of ATE per 1000 patient years was 7.52 (115/15286 patients years) for Xolair-treated patients and 5.12 (51/9963 patient years) for control patients. In a multivariate analysis controlling for available baseline cardiovascular risk factors, the hazard ratio was 1.32 (95% confidence interval 0.91-1.91). In a new analysis of pooled clinical trials including all </w:t>
      </w:r>
      <w:r w:rsidR="003E2029" w:rsidRPr="00254BEE">
        <w:rPr>
          <w:color w:val="000000"/>
          <w:szCs w:val="24"/>
        </w:rPr>
        <w:t>randomi</w:t>
      </w:r>
      <w:r w:rsidR="003E2029">
        <w:rPr>
          <w:color w:val="000000"/>
          <w:szCs w:val="24"/>
        </w:rPr>
        <w:t>s</w:t>
      </w:r>
      <w:r w:rsidR="003E2029" w:rsidRPr="00254BEE">
        <w:rPr>
          <w:color w:val="000000"/>
          <w:szCs w:val="24"/>
        </w:rPr>
        <w:t xml:space="preserve">ed </w:t>
      </w:r>
      <w:r w:rsidRPr="00254BEE">
        <w:rPr>
          <w:color w:val="000000"/>
          <w:szCs w:val="24"/>
        </w:rPr>
        <w:t xml:space="preserve">double-blind, placebo-controlled clinical trials of 8 or more weeks duration, the rate of ATE per 1000 patient years was 2.69 (5/1856 patients years) for Xolair-treated patients and 2.38 (4/1680 patient years) for placebo patients (rate ratio 1.13, 95% confidence interval 0.24-5.71). </w:t>
      </w:r>
    </w:p>
    <w:p w14:paraId="65D132FB" w14:textId="77777777" w:rsidR="00DF3EF6" w:rsidRPr="003E2029" w:rsidRDefault="00DF3EF6" w:rsidP="00DF3EF6">
      <w:pPr>
        <w:rPr>
          <w:snapToGrid w:val="0"/>
          <w:color w:val="000000" w:themeColor="text1"/>
          <w:lang w:val="en-US"/>
        </w:rPr>
      </w:pPr>
    </w:p>
    <w:p w14:paraId="259DC537" w14:textId="77777777" w:rsidR="00DF3EF6" w:rsidRPr="00254BEE" w:rsidRDefault="00DF3EF6" w:rsidP="00DF3EF6">
      <w:pPr>
        <w:rPr>
          <w:color w:val="000000" w:themeColor="text1"/>
        </w:rPr>
      </w:pPr>
      <w:r w:rsidRPr="00254BEE">
        <w:rPr>
          <w:b/>
          <w:color w:val="000000" w:themeColor="text1"/>
        </w:rPr>
        <w:t>Platelets:</w:t>
      </w:r>
      <w:r w:rsidRPr="00254BEE">
        <w:rPr>
          <w:b/>
          <w:snapToGrid w:val="0"/>
          <w:color w:val="000000" w:themeColor="text1"/>
        </w:rPr>
        <w:t xml:space="preserve"> </w:t>
      </w:r>
      <w:r w:rsidRPr="00254BEE">
        <w:rPr>
          <w:b/>
          <w:color w:val="000000" w:themeColor="text1"/>
        </w:rPr>
        <w:t xml:space="preserve"> </w:t>
      </w:r>
      <w:r w:rsidRPr="00254BEE">
        <w:rPr>
          <w:color w:val="000000" w:themeColor="text1"/>
        </w:rPr>
        <w:t xml:space="preserve">In clinical trials 0.6% of </w:t>
      </w:r>
      <w:r w:rsidR="00433D17" w:rsidRPr="00254BEE">
        <w:rPr>
          <w:snapToGrid w:val="0"/>
        </w:rPr>
        <w:t>adult and adolescent</w:t>
      </w:r>
      <w:r w:rsidR="00433D17" w:rsidRPr="00254BEE">
        <w:rPr>
          <w:snapToGrid w:val="0"/>
          <w:color w:val="000000" w:themeColor="text1"/>
        </w:rPr>
        <w:t xml:space="preserve"> </w:t>
      </w:r>
      <w:r w:rsidRPr="00254BEE">
        <w:rPr>
          <w:color w:val="000000" w:themeColor="text1"/>
        </w:rPr>
        <w:t xml:space="preserve">patients experienced platelet counts below the lower limit of the normal laboratory range.  None of these changes was associated with bleeding episodes or a decrease in haemoglobin. </w:t>
      </w:r>
      <w:r w:rsidRPr="00254BEE">
        <w:rPr>
          <w:snapToGrid w:val="0"/>
          <w:color w:val="000000" w:themeColor="text1"/>
        </w:rPr>
        <w:t xml:space="preserve"> </w:t>
      </w:r>
      <w:r w:rsidRPr="00254BEE">
        <w:rPr>
          <w:color w:val="000000" w:themeColor="text1"/>
        </w:rPr>
        <w:t>No pattern of persistent decrease in platelet counts has been reported in humans</w:t>
      </w:r>
      <w:r w:rsidR="00433D17" w:rsidRPr="00254BEE">
        <w:rPr>
          <w:color w:val="000000" w:themeColor="text1"/>
        </w:rPr>
        <w:t xml:space="preserve"> </w:t>
      </w:r>
      <w:r w:rsidR="00433D17" w:rsidRPr="00254BEE">
        <w:rPr>
          <w:snapToGrid w:val="0"/>
        </w:rPr>
        <w:t>(patients greater than 6 years of age)</w:t>
      </w:r>
      <w:r w:rsidR="00433D17" w:rsidRPr="00254BEE">
        <w:rPr>
          <w:snapToGrid w:val="0"/>
          <w:color w:val="000000" w:themeColor="text1"/>
        </w:rPr>
        <w:t xml:space="preserve">, </w:t>
      </w:r>
      <w:r w:rsidRPr="00254BEE">
        <w:rPr>
          <w:color w:val="000000" w:themeColor="text1"/>
        </w:rPr>
        <w:t>as observed in non-human primates.  (See ‘Precautions’)</w:t>
      </w:r>
    </w:p>
    <w:p w14:paraId="30A39663" w14:textId="77777777" w:rsidR="008C64EE" w:rsidRPr="00254BEE" w:rsidRDefault="008C64EE" w:rsidP="00DF3EF6">
      <w:pPr>
        <w:rPr>
          <w:color w:val="000000" w:themeColor="text1"/>
        </w:rPr>
      </w:pPr>
    </w:p>
    <w:p w14:paraId="0ECD31C7" w14:textId="77777777" w:rsidR="008C64EE" w:rsidRPr="00254BEE" w:rsidRDefault="008C64EE" w:rsidP="00DF3EF6">
      <w:pPr>
        <w:rPr>
          <w:color w:val="000000" w:themeColor="text1"/>
        </w:rPr>
      </w:pPr>
      <w:r w:rsidRPr="00254BEE">
        <w:rPr>
          <w:b/>
          <w:color w:val="000000" w:themeColor="text1"/>
        </w:rPr>
        <w:t xml:space="preserve">Other laboratory data: </w:t>
      </w:r>
      <w:r w:rsidRPr="00254BEE">
        <w:rPr>
          <w:color w:val="000000" w:themeColor="text1"/>
        </w:rPr>
        <w:t>There was no evidence of clinically relevant changes in laboratory safety tests during clinical trials.</w:t>
      </w:r>
    </w:p>
    <w:p w14:paraId="70FB62A7" w14:textId="77777777" w:rsidR="00DF3EF6" w:rsidRPr="00254BEE" w:rsidRDefault="00DF3EF6" w:rsidP="0004092B">
      <w:pPr>
        <w:rPr>
          <w:color w:val="000000" w:themeColor="text1"/>
        </w:rPr>
      </w:pPr>
    </w:p>
    <w:p w14:paraId="770485D1" w14:textId="77777777" w:rsidR="006C657A" w:rsidRPr="00254BEE" w:rsidRDefault="000A76C3" w:rsidP="00286336">
      <w:pPr>
        <w:pStyle w:val="Heading5"/>
        <w:spacing w:line="240" w:lineRule="auto"/>
        <w:rPr>
          <w:color w:val="000000" w:themeColor="text1"/>
        </w:rPr>
      </w:pPr>
      <w:r w:rsidRPr="00254BEE">
        <w:rPr>
          <w:color w:val="000000" w:themeColor="text1"/>
        </w:rPr>
        <w:t xml:space="preserve">DOSAGE </w:t>
      </w:r>
      <w:smartTag w:uri="urn:schemas-microsoft-com:office:smarttags" w:element="stockticker">
        <w:r w:rsidRPr="00254BEE">
          <w:rPr>
            <w:color w:val="000000" w:themeColor="text1"/>
          </w:rPr>
          <w:t>AND</w:t>
        </w:r>
      </w:smartTag>
      <w:r w:rsidRPr="00254BEE">
        <w:rPr>
          <w:color w:val="000000" w:themeColor="text1"/>
        </w:rPr>
        <w:t xml:space="preserve"> ADMINISTRATION</w:t>
      </w:r>
    </w:p>
    <w:p w14:paraId="038EAB86" w14:textId="77777777" w:rsidR="006C657A" w:rsidRPr="00254BEE" w:rsidRDefault="006C657A" w:rsidP="00AD5636">
      <w:pPr>
        <w:pStyle w:val="Heading5"/>
        <w:spacing w:line="240" w:lineRule="auto"/>
        <w:rPr>
          <w:color w:val="000000" w:themeColor="text1"/>
        </w:rPr>
      </w:pPr>
    </w:p>
    <w:p w14:paraId="1356EC41" w14:textId="77777777" w:rsidR="006C657A" w:rsidRPr="00254BEE" w:rsidRDefault="006C657A" w:rsidP="006C657A">
      <w:pPr>
        <w:pStyle w:val="Text"/>
      </w:pPr>
      <w:r w:rsidRPr="00254BEE">
        <w:t>For subcutaneous administration only. Do not administer by the intravenous or intramuscular route.</w:t>
      </w:r>
    </w:p>
    <w:p w14:paraId="08B2326A" w14:textId="77777777" w:rsidR="00B637DF" w:rsidRPr="00FC5A01" w:rsidRDefault="005D7D32" w:rsidP="006C657A">
      <w:pPr>
        <w:pStyle w:val="Text"/>
      </w:pPr>
      <w:r w:rsidRPr="00FC5A01">
        <w:t>T</w:t>
      </w:r>
      <w:r w:rsidR="00326707" w:rsidRPr="00FC5A01">
        <w:t>reatment is intended to be administered by a healthcare provider only</w:t>
      </w:r>
      <w:r w:rsidR="00B628F1" w:rsidRPr="00FC5A01">
        <w:t xml:space="preserve"> (see PRECAUTIONS – Allergic Reactions)</w:t>
      </w:r>
      <w:r w:rsidR="00326707" w:rsidRPr="00FC5A01">
        <w:t>.</w:t>
      </w:r>
    </w:p>
    <w:p w14:paraId="3744B3D9" w14:textId="77777777" w:rsidR="006C657A" w:rsidRPr="00254BEE" w:rsidRDefault="006C657A" w:rsidP="006C657A">
      <w:pPr>
        <w:rPr>
          <w:szCs w:val="24"/>
        </w:rPr>
      </w:pPr>
    </w:p>
    <w:p w14:paraId="61B44D2B" w14:textId="77777777" w:rsidR="00D8347D" w:rsidRPr="00254BEE" w:rsidRDefault="006C657A" w:rsidP="00286336">
      <w:pPr>
        <w:pStyle w:val="Heading5"/>
        <w:spacing w:line="240" w:lineRule="auto"/>
        <w:rPr>
          <w:color w:val="000000" w:themeColor="text1"/>
          <w:sz w:val="24"/>
          <w:szCs w:val="24"/>
        </w:rPr>
      </w:pPr>
      <w:r w:rsidRPr="00254BEE">
        <w:rPr>
          <w:color w:val="000000" w:themeColor="text1"/>
          <w:sz w:val="24"/>
          <w:szCs w:val="24"/>
        </w:rPr>
        <w:t xml:space="preserve">Dosage for allergic asthma </w:t>
      </w:r>
    </w:p>
    <w:p w14:paraId="5D015372" w14:textId="77777777" w:rsidR="00D8347D" w:rsidRPr="00254BEE" w:rsidRDefault="00D8347D" w:rsidP="00286336">
      <w:pPr>
        <w:rPr>
          <w:color w:val="000000" w:themeColor="text1"/>
        </w:rPr>
      </w:pPr>
    </w:p>
    <w:p w14:paraId="16EB1AAD" w14:textId="182AD30D" w:rsidR="00D8347D" w:rsidRPr="00254BEE" w:rsidRDefault="00EE5F16" w:rsidP="00286336">
      <w:pPr>
        <w:pStyle w:val="PIParagraph0"/>
        <w:spacing w:after="0" w:line="240" w:lineRule="auto"/>
        <w:jc w:val="left"/>
        <w:rPr>
          <w:rFonts w:ascii="Times New Roman" w:hAnsi="Times New Roman"/>
          <w:color w:val="000000" w:themeColor="text1"/>
        </w:rPr>
      </w:pPr>
      <w:r w:rsidRPr="004F75B2">
        <w:rPr>
          <w:rFonts w:ascii="Times New Roman" w:hAnsi="Times New Roman"/>
          <w:color w:val="000000" w:themeColor="text1"/>
        </w:rPr>
        <w:t xml:space="preserve">75 </w:t>
      </w:r>
      <w:r w:rsidR="000A76C3" w:rsidRPr="004F75B2">
        <w:rPr>
          <w:rFonts w:ascii="Times New Roman" w:hAnsi="Times New Roman"/>
          <w:color w:val="000000" w:themeColor="text1"/>
        </w:rPr>
        <w:t>to 375 mg of Xolair is administered subcutaneously every two or four weeks. Doses (mg</w:t>
      </w:r>
      <w:r w:rsidR="000A76C3" w:rsidRPr="00254BEE">
        <w:rPr>
          <w:rFonts w:ascii="Times New Roman" w:hAnsi="Times New Roman"/>
          <w:color w:val="000000" w:themeColor="text1"/>
        </w:rPr>
        <w:t>) and dosing frequency are determined by baseline serum total IgE level (IU/mL), measured before the start of treatment, and body weight (kg).  See the dose determination chart below (Table </w:t>
      </w:r>
      <w:r w:rsidR="00433D17" w:rsidRPr="00254BEE">
        <w:rPr>
          <w:rFonts w:ascii="Times New Roman" w:hAnsi="Times New Roman"/>
          <w:color w:val="000000" w:themeColor="text1"/>
        </w:rPr>
        <w:t>10</w:t>
      </w:r>
      <w:r w:rsidR="000A76C3" w:rsidRPr="00254BEE">
        <w:rPr>
          <w:rFonts w:ascii="Times New Roman" w:hAnsi="Times New Roman"/>
          <w:color w:val="000000" w:themeColor="text1"/>
        </w:rPr>
        <w:t>).</w:t>
      </w:r>
    </w:p>
    <w:p w14:paraId="546B25A7" w14:textId="77777777" w:rsidR="00ED41D0" w:rsidRDefault="00ED41D0">
      <w:pPr>
        <w:rPr>
          <w:b/>
          <w:color w:val="000000" w:themeColor="text1"/>
        </w:rPr>
      </w:pPr>
    </w:p>
    <w:p w14:paraId="1850EED6" w14:textId="77777777" w:rsidR="00604B4E" w:rsidRPr="00254BEE" w:rsidRDefault="00604B4E" w:rsidP="00286336">
      <w:pPr>
        <w:pStyle w:val="PIParagraph0"/>
        <w:spacing w:after="0" w:line="240" w:lineRule="auto"/>
        <w:jc w:val="left"/>
        <w:rPr>
          <w:rFonts w:ascii="Times New Roman" w:hAnsi="Times New Roman"/>
          <w:b/>
          <w:color w:val="000000" w:themeColor="text1"/>
        </w:rPr>
      </w:pPr>
    </w:p>
    <w:p w14:paraId="73E74388" w14:textId="210F8817" w:rsidR="00433D17" w:rsidRPr="00254BEE" w:rsidRDefault="00433D17" w:rsidP="00433D17">
      <w:pPr>
        <w:pStyle w:val="PIParagraph0"/>
        <w:spacing w:after="0" w:line="240" w:lineRule="auto"/>
        <w:jc w:val="left"/>
        <w:rPr>
          <w:rFonts w:ascii="Times New Roman" w:hAnsi="Times New Roman"/>
          <w:b/>
          <w:szCs w:val="24"/>
          <w:lang w:val="en-GB"/>
        </w:rPr>
      </w:pPr>
      <w:r w:rsidRPr="00254BEE">
        <w:rPr>
          <w:rFonts w:ascii="Times New Roman" w:hAnsi="Times New Roman"/>
          <w:b/>
          <w:szCs w:val="24"/>
        </w:rPr>
        <w:t>Table 10:</w:t>
      </w:r>
      <w:r w:rsidRPr="00254BEE">
        <w:rPr>
          <w:rFonts w:ascii="Times New Roman" w:hAnsi="Times New Roman"/>
          <w:b/>
          <w:szCs w:val="24"/>
        </w:rPr>
        <w:tab/>
        <w:t>Xolair doses for patients 6 years and older</w:t>
      </w:r>
      <w:r w:rsidRPr="00254BEE">
        <w:rPr>
          <w:rFonts w:ascii="Times New Roman" w:hAnsi="Times New Roman"/>
          <w:b/>
          <w:szCs w:val="24"/>
          <w:lang w:val="en-GB"/>
        </w:rPr>
        <w:t xml:space="preserve"> with </w:t>
      </w:r>
      <w:r w:rsidRPr="00254BEE">
        <w:rPr>
          <w:rFonts w:ascii="Times New Roman" w:hAnsi="Times New Roman"/>
          <w:b/>
          <w:szCs w:val="24"/>
          <w:lang w:val="en-GB"/>
        </w:rPr>
        <w:tab/>
        <w:t>allergic asthma, subcutaneous administration.</w:t>
      </w:r>
    </w:p>
    <w:p w14:paraId="0A16B6AA" w14:textId="77777777" w:rsidR="00604B4E" w:rsidRPr="00254BEE" w:rsidRDefault="00604B4E" w:rsidP="00286336">
      <w:pPr>
        <w:pStyle w:val="PIParagraph0"/>
        <w:spacing w:after="0" w:line="240" w:lineRule="auto"/>
        <w:jc w:val="left"/>
        <w:rPr>
          <w:rFonts w:ascii="Times New Roman" w:hAnsi="Times New Roman"/>
          <w:b/>
          <w:color w:val="000000" w:themeColor="text1"/>
          <w:lang w:val="en-GB"/>
        </w:rPr>
      </w:pPr>
    </w:p>
    <w:tbl>
      <w:tblPr>
        <w:tblW w:w="9510" w:type="dxa"/>
        <w:tblLayout w:type="fixed"/>
        <w:tblCellMar>
          <w:left w:w="57" w:type="dxa"/>
          <w:right w:w="57" w:type="dxa"/>
        </w:tblCellMar>
        <w:tblLook w:val="0000" w:firstRow="0" w:lastRow="0" w:firstColumn="0" w:lastColumn="0" w:noHBand="0" w:noVBand="0"/>
      </w:tblPr>
      <w:tblGrid>
        <w:gridCol w:w="1230"/>
        <w:gridCol w:w="840"/>
        <w:gridCol w:w="720"/>
        <w:gridCol w:w="840"/>
        <w:gridCol w:w="840"/>
        <w:gridCol w:w="720"/>
        <w:gridCol w:w="840"/>
        <w:gridCol w:w="840"/>
        <w:gridCol w:w="840"/>
        <w:gridCol w:w="840"/>
        <w:gridCol w:w="960"/>
      </w:tblGrid>
      <w:tr w:rsidR="00433D17" w:rsidRPr="00254BEE" w14:paraId="5642A65B" w14:textId="77777777" w:rsidTr="000913C7">
        <w:trPr>
          <w:cantSplit/>
        </w:trPr>
        <w:tc>
          <w:tcPr>
            <w:tcW w:w="1230" w:type="dxa"/>
            <w:tcBorders>
              <w:top w:val="single" w:sz="4" w:space="0" w:color="auto"/>
              <w:left w:val="single" w:sz="4" w:space="0" w:color="auto"/>
              <w:right w:val="single" w:sz="6" w:space="0" w:color="auto"/>
            </w:tcBorders>
            <w:shd w:val="clear" w:color="auto" w:fill="FFFFFF"/>
            <w:vAlign w:val="bottom"/>
          </w:tcPr>
          <w:p w14:paraId="59F2FB44" w14:textId="77777777" w:rsidR="00433D17" w:rsidRPr="00254BEE" w:rsidRDefault="00433D17" w:rsidP="000913C7">
            <w:pPr>
              <w:pStyle w:val="TableCellCenter"/>
              <w:spacing w:before="0" w:after="0" w:line="240" w:lineRule="auto"/>
              <w:rPr>
                <w:rFonts w:ascii="Times New Roman" w:hAnsi="Times New Roman"/>
                <w:b/>
                <w:u w:val="single"/>
              </w:rPr>
            </w:pPr>
            <w:r w:rsidRPr="00254BEE">
              <w:rPr>
                <w:rFonts w:ascii="Times New Roman" w:hAnsi="Times New Roman"/>
                <w:b/>
                <w:u w:val="single"/>
              </w:rPr>
              <w:t>Baseline IgE</w:t>
            </w:r>
          </w:p>
          <w:p w14:paraId="599E3AAA" w14:textId="77777777" w:rsidR="00433D17" w:rsidRPr="00254BEE" w:rsidRDefault="00433D17" w:rsidP="000913C7">
            <w:pPr>
              <w:pStyle w:val="TableCellCenter"/>
              <w:spacing w:before="0" w:after="0" w:line="240" w:lineRule="auto"/>
              <w:rPr>
                <w:rFonts w:ascii="Times New Roman" w:hAnsi="Times New Roman"/>
                <w:b/>
                <w:u w:val="single"/>
              </w:rPr>
            </w:pPr>
            <w:r w:rsidRPr="00254BEE">
              <w:rPr>
                <w:rFonts w:ascii="Times New Roman" w:hAnsi="Times New Roman"/>
                <w:b/>
                <w:u w:val="single"/>
              </w:rPr>
              <w:t>(IU/mL)</w:t>
            </w:r>
          </w:p>
        </w:tc>
        <w:tc>
          <w:tcPr>
            <w:tcW w:w="8280" w:type="dxa"/>
            <w:gridSpan w:val="10"/>
            <w:tcBorders>
              <w:top w:val="single" w:sz="4" w:space="0" w:color="auto"/>
              <w:left w:val="single" w:sz="8" w:space="0" w:color="auto"/>
              <w:bottom w:val="single" w:sz="4" w:space="0" w:color="auto"/>
              <w:right w:val="single" w:sz="8" w:space="0" w:color="auto"/>
            </w:tcBorders>
            <w:shd w:val="clear" w:color="auto" w:fill="FFFFFF"/>
          </w:tcPr>
          <w:p w14:paraId="263D793B" w14:textId="77777777" w:rsidR="00433D17" w:rsidRPr="00254BEE" w:rsidRDefault="00433D17" w:rsidP="000913C7">
            <w:pPr>
              <w:pStyle w:val="TableCellCenter"/>
              <w:spacing w:before="0" w:after="0" w:line="240" w:lineRule="auto"/>
              <w:rPr>
                <w:rFonts w:ascii="Times New Roman" w:hAnsi="Times New Roman"/>
                <w:u w:val="single"/>
              </w:rPr>
            </w:pPr>
            <w:r w:rsidRPr="00254BEE">
              <w:rPr>
                <w:rFonts w:ascii="Times New Roman" w:hAnsi="Times New Roman"/>
                <w:u w:val="single"/>
              </w:rPr>
              <w:t>Total milligrams of Xolair required per 4-week interval</w:t>
            </w:r>
          </w:p>
          <w:p w14:paraId="1F608E5F" w14:textId="77777777" w:rsidR="00433D17" w:rsidRPr="00254BEE" w:rsidRDefault="00433D17" w:rsidP="000913C7">
            <w:pPr>
              <w:pStyle w:val="TableCellCenter"/>
              <w:spacing w:before="0" w:after="0" w:line="240" w:lineRule="auto"/>
              <w:rPr>
                <w:rFonts w:ascii="Times New Roman" w:hAnsi="Times New Roman"/>
                <w:u w:val="single"/>
              </w:rPr>
            </w:pPr>
            <w:r w:rsidRPr="00254BEE">
              <w:rPr>
                <w:rFonts w:ascii="Times New Roman" w:hAnsi="Times New Roman"/>
                <w:u w:val="single"/>
              </w:rPr>
              <w:t>Body Weight (kg)</w:t>
            </w:r>
          </w:p>
        </w:tc>
      </w:tr>
      <w:tr w:rsidR="00433D17" w:rsidRPr="00254BEE" w14:paraId="7FDB9CA2" w14:textId="77777777" w:rsidTr="000913C7">
        <w:trPr>
          <w:cantSplit/>
          <w:trHeight w:val="80"/>
        </w:trPr>
        <w:tc>
          <w:tcPr>
            <w:tcW w:w="1230" w:type="dxa"/>
            <w:tcBorders>
              <w:left w:val="single" w:sz="4" w:space="0" w:color="auto"/>
              <w:bottom w:val="single" w:sz="4" w:space="0" w:color="auto"/>
              <w:right w:val="single" w:sz="6" w:space="0" w:color="auto"/>
            </w:tcBorders>
            <w:shd w:val="clear" w:color="auto" w:fill="FFFFFF"/>
            <w:vAlign w:val="bottom"/>
          </w:tcPr>
          <w:p w14:paraId="55F4D4B6"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p>
        </w:tc>
        <w:tc>
          <w:tcPr>
            <w:tcW w:w="840" w:type="dxa"/>
            <w:tcBorders>
              <w:top w:val="single" w:sz="4" w:space="0" w:color="auto"/>
              <w:left w:val="single" w:sz="8" w:space="0" w:color="auto"/>
              <w:bottom w:val="single" w:sz="4" w:space="0" w:color="auto"/>
              <w:right w:val="single" w:sz="6" w:space="0" w:color="auto"/>
            </w:tcBorders>
            <w:shd w:val="clear" w:color="auto" w:fill="D9D9D9" w:themeFill="background1" w:themeFillShade="D9"/>
            <w:vAlign w:val="bottom"/>
          </w:tcPr>
          <w:p w14:paraId="2C913A49"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b/>
                <w:color w:val="000000" w:themeColor="text1"/>
                <w:u w:val="single"/>
              </w:rPr>
              <w:t>&gt;20–25</w:t>
            </w:r>
          </w:p>
        </w:tc>
        <w:tc>
          <w:tcPr>
            <w:tcW w:w="720" w:type="dxa"/>
            <w:tcBorders>
              <w:top w:val="single" w:sz="4" w:space="0" w:color="auto"/>
              <w:left w:val="single" w:sz="8" w:space="0" w:color="auto"/>
              <w:bottom w:val="single" w:sz="4" w:space="0" w:color="auto"/>
              <w:right w:val="single" w:sz="6" w:space="0" w:color="auto"/>
            </w:tcBorders>
            <w:shd w:val="clear" w:color="auto" w:fill="D9D9D9" w:themeFill="background1" w:themeFillShade="D9"/>
            <w:vAlign w:val="bottom"/>
          </w:tcPr>
          <w:p w14:paraId="5A75D923"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b/>
                <w:color w:val="000000" w:themeColor="text1"/>
                <w:u w:val="single"/>
              </w:rPr>
              <w:t>&gt;25-30</w:t>
            </w:r>
          </w:p>
        </w:tc>
        <w:tc>
          <w:tcPr>
            <w:tcW w:w="840" w:type="dxa"/>
            <w:tcBorders>
              <w:top w:val="single" w:sz="4" w:space="0" w:color="auto"/>
              <w:left w:val="single" w:sz="8" w:space="0" w:color="auto"/>
              <w:bottom w:val="single" w:sz="4" w:space="0" w:color="auto"/>
              <w:right w:val="single" w:sz="6" w:space="0" w:color="auto"/>
            </w:tcBorders>
            <w:shd w:val="clear" w:color="auto" w:fill="D9D9D9" w:themeFill="background1" w:themeFillShade="D9"/>
            <w:vAlign w:val="bottom"/>
          </w:tcPr>
          <w:p w14:paraId="7617ECA7"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b/>
                <w:color w:val="000000" w:themeColor="text1"/>
                <w:u w:val="single"/>
              </w:rPr>
              <w:t>&gt;30–40</w:t>
            </w:r>
          </w:p>
        </w:tc>
        <w:tc>
          <w:tcPr>
            <w:tcW w:w="84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bottom"/>
          </w:tcPr>
          <w:p w14:paraId="0EDEB3D0" w14:textId="77777777" w:rsidR="00433D17" w:rsidRPr="00254BEE" w:rsidRDefault="00433D17" w:rsidP="000913C7">
            <w:pPr>
              <w:pStyle w:val="TableCellCenter"/>
              <w:spacing w:before="0" w:after="0" w:line="240" w:lineRule="auto"/>
              <w:rPr>
                <w:rFonts w:ascii="Times New Roman" w:hAnsi="Times New Roman"/>
                <w:b/>
                <w:color w:val="000000" w:themeColor="text1"/>
                <w:u w:val="single"/>
              </w:rPr>
            </w:pPr>
            <w:r w:rsidRPr="00254BEE">
              <w:rPr>
                <w:rFonts w:ascii="Times New Roman" w:hAnsi="Times New Roman"/>
                <w:b/>
                <w:color w:val="000000" w:themeColor="text1"/>
                <w:u w:val="single"/>
              </w:rPr>
              <w:t>&gt;40–50</w:t>
            </w:r>
          </w:p>
        </w:tc>
        <w:tc>
          <w:tcPr>
            <w:tcW w:w="72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bottom"/>
          </w:tcPr>
          <w:p w14:paraId="10A4F0D5" w14:textId="77777777" w:rsidR="00433D17" w:rsidRPr="00254BEE" w:rsidRDefault="00433D17" w:rsidP="000913C7">
            <w:pPr>
              <w:pStyle w:val="TableCellCenter"/>
              <w:spacing w:before="0" w:after="0" w:line="240" w:lineRule="auto"/>
              <w:rPr>
                <w:rFonts w:ascii="Times New Roman" w:hAnsi="Times New Roman"/>
                <w:b/>
                <w:color w:val="000000" w:themeColor="text1"/>
                <w:u w:val="single"/>
              </w:rPr>
            </w:pPr>
            <w:r w:rsidRPr="00254BEE">
              <w:rPr>
                <w:rFonts w:ascii="Times New Roman" w:hAnsi="Times New Roman"/>
                <w:b/>
                <w:color w:val="000000" w:themeColor="text1"/>
                <w:u w:val="single"/>
              </w:rPr>
              <w:t>&gt;50-60</w:t>
            </w:r>
          </w:p>
        </w:tc>
        <w:tc>
          <w:tcPr>
            <w:tcW w:w="84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bottom"/>
          </w:tcPr>
          <w:p w14:paraId="22B7CCAF" w14:textId="77777777" w:rsidR="00433D17" w:rsidRPr="00254BEE" w:rsidRDefault="00433D17" w:rsidP="000913C7">
            <w:pPr>
              <w:pStyle w:val="TableCellCenter"/>
              <w:spacing w:before="0" w:after="0" w:line="240" w:lineRule="auto"/>
              <w:rPr>
                <w:rFonts w:ascii="Times New Roman" w:hAnsi="Times New Roman"/>
                <w:b/>
                <w:color w:val="000000" w:themeColor="text1"/>
                <w:u w:val="single"/>
              </w:rPr>
            </w:pPr>
            <w:r w:rsidRPr="00254BEE">
              <w:rPr>
                <w:rFonts w:ascii="Times New Roman" w:hAnsi="Times New Roman"/>
                <w:b/>
                <w:color w:val="000000" w:themeColor="text1"/>
                <w:u w:val="single"/>
              </w:rPr>
              <w:t>&gt;60–70</w:t>
            </w:r>
          </w:p>
        </w:tc>
        <w:tc>
          <w:tcPr>
            <w:tcW w:w="84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bottom"/>
          </w:tcPr>
          <w:p w14:paraId="00341CFC" w14:textId="77777777" w:rsidR="00433D17" w:rsidRPr="00254BEE" w:rsidRDefault="00433D17" w:rsidP="000913C7">
            <w:pPr>
              <w:pStyle w:val="TableCellCenter"/>
              <w:spacing w:before="0" w:after="0" w:line="240" w:lineRule="auto"/>
              <w:rPr>
                <w:rFonts w:ascii="Times New Roman" w:hAnsi="Times New Roman"/>
                <w:b/>
                <w:color w:val="000000" w:themeColor="text1"/>
                <w:u w:val="single"/>
              </w:rPr>
            </w:pPr>
            <w:r w:rsidRPr="00254BEE">
              <w:rPr>
                <w:rFonts w:ascii="Times New Roman" w:hAnsi="Times New Roman"/>
                <w:b/>
                <w:color w:val="000000" w:themeColor="text1"/>
                <w:u w:val="single"/>
              </w:rPr>
              <w:t>&gt;70–80</w:t>
            </w:r>
          </w:p>
        </w:tc>
        <w:tc>
          <w:tcPr>
            <w:tcW w:w="84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bottom"/>
          </w:tcPr>
          <w:p w14:paraId="6A48A6FE" w14:textId="77777777" w:rsidR="00433D17" w:rsidRPr="00254BEE" w:rsidRDefault="00433D17" w:rsidP="000913C7">
            <w:pPr>
              <w:pStyle w:val="TableCellCenter"/>
              <w:spacing w:before="0" w:after="0" w:line="240" w:lineRule="auto"/>
              <w:rPr>
                <w:rFonts w:ascii="Times New Roman" w:hAnsi="Times New Roman"/>
                <w:b/>
                <w:color w:val="000000" w:themeColor="text1"/>
                <w:u w:val="single"/>
              </w:rPr>
            </w:pPr>
            <w:r w:rsidRPr="00254BEE">
              <w:rPr>
                <w:rFonts w:ascii="Times New Roman" w:hAnsi="Times New Roman"/>
                <w:b/>
                <w:color w:val="000000" w:themeColor="text1"/>
                <w:u w:val="single"/>
              </w:rPr>
              <w:t>&gt;80–90</w:t>
            </w:r>
          </w:p>
        </w:tc>
        <w:tc>
          <w:tcPr>
            <w:tcW w:w="84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bottom"/>
          </w:tcPr>
          <w:p w14:paraId="003B4801" w14:textId="77777777" w:rsidR="00433D17" w:rsidRPr="00254BEE" w:rsidRDefault="00433D17" w:rsidP="000913C7">
            <w:pPr>
              <w:pStyle w:val="TableCellCenter"/>
              <w:spacing w:before="0" w:after="0" w:line="240" w:lineRule="auto"/>
              <w:rPr>
                <w:rFonts w:ascii="Times New Roman" w:hAnsi="Times New Roman"/>
                <w:b/>
                <w:color w:val="000000" w:themeColor="text1"/>
                <w:u w:val="single"/>
              </w:rPr>
            </w:pPr>
            <w:r w:rsidRPr="00254BEE">
              <w:rPr>
                <w:rFonts w:ascii="Times New Roman" w:hAnsi="Times New Roman"/>
                <w:b/>
                <w:color w:val="000000" w:themeColor="text1"/>
                <w:u w:val="single"/>
              </w:rPr>
              <w:t>&gt;90–125</w:t>
            </w:r>
          </w:p>
        </w:tc>
        <w:tc>
          <w:tcPr>
            <w:tcW w:w="960" w:type="dxa"/>
            <w:tcBorders>
              <w:top w:val="single" w:sz="4" w:space="0" w:color="auto"/>
              <w:left w:val="single" w:sz="6" w:space="0" w:color="auto"/>
              <w:bottom w:val="single" w:sz="4" w:space="0" w:color="auto"/>
              <w:right w:val="single" w:sz="8" w:space="0" w:color="auto"/>
            </w:tcBorders>
            <w:shd w:val="clear" w:color="auto" w:fill="D9D9D9" w:themeFill="background1" w:themeFillShade="D9"/>
            <w:vAlign w:val="bottom"/>
          </w:tcPr>
          <w:p w14:paraId="7D45F52C" w14:textId="77777777" w:rsidR="00433D17" w:rsidRPr="00254BEE" w:rsidRDefault="00433D17" w:rsidP="000913C7">
            <w:pPr>
              <w:pStyle w:val="TableCellCenter"/>
              <w:spacing w:before="0" w:after="0" w:line="240" w:lineRule="auto"/>
              <w:rPr>
                <w:rFonts w:ascii="Times New Roman" w:hAnsi="Times New Roman"/>
                <w:b/>
                <w:color w:val="000000" w:themeColor="text1"/>
                <w:u w:val="single"/>
              </w:rPr>
            </w:pPr>
            <w:r w:rsidRPr="00254BEE">
              <w:rPr>
                <w:rFonts w:ascii="Times New Roman" w:hAnsi="Times New Roman"/>
                <w:b/>
                <w:color w:val="000000" w:themeColor="text1"/>
                <w:u w:val="single"/>
              </w:rPr>
              <w:t>&gt;125-150</w:t>
            </w:r>
          </w:p>
        </w:tc>
      </w:tr>
      <w:tr w:rsidR="00433D17" w:rsidRPr="00254BEE" w14:paraId="65AD2388" w14:textId="77777777" w:rsidTr="000913C7">
        <w:trPr>
          <w:cantSplit/>
        </w:trPr>
        <w:tc>
          <w:tcPr>
            <w:tcW w:w="1230" w:type="dxa"/>
            <w:tcBorders>
              <w:top w:val="single" w:sz="4" w:space="0" w:color="auto"/>
              <w:left w:val="single" w:sz="4" w:space="0" w:color="auto"/>
              <w:bottom w:val="single" w:sz="4" w:space="0" w:color="auto"/>
              <w:right w:val="single" w:sz="4" w:space="0" w:color="auto"/>
            </w:tcBorders>
            <w:shd w:val="clear" w:color="auto" w:fill="FFFFFF"/>
          </w:tcPr>
          <w:p w14:paraId="2714E0A0" w14:textId="77777777" w:rsidR="00433D17" w:rsidRPr="00254BEE" w:rsidRDefault="00433D17" w:rsidP="000913C7">
            <w:pPr>
              <w:pStyle w:val="TableCellCenter"/>
              <w:spacing w:before="0" w:after="0" w:line="240" w:lineRule="auto"/>
              <w:rPr>
                <w:rFonts w:ascii="Times New Roman" w:hAnsi="Times New Roman"/>
                <w:b/>
                <w:color w:val="000000" w:themeColor="text1"/>
                <w:u w:val="single"/>
              </w:rPr>
            </w:pPr>
            <w:r w:rsidRPr="00254BEE">
              <w:rPr>
                <w:rFonts w:ascii="Times New Roman" w:hAnsi="Times New Roman"/>
                <w:b/>
                <w:color w:val="000000" w:themeColor="text1"/>
                <w:u w:val="single"/>
              </w:rPr>
              <w:t>&gt;30–100</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FA11A5"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75</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3D7A3"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75</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F442E2"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75</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B6BA8E"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150</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1FCD5A"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150</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15C185"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150</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AE04A1"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150</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F44AF6"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150</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EC9B3B"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300</w:t>
            </w:r>
          </w:p>
        </w:tc>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0BF470"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300</w:t>
            </w:r>
          </w:p>
        </w:tc>
      </w:tr>
      <w:tr w:rsidR="00433D17" w:rsidRPr="00254BEE" w14:paraId="0C685EDC" w14:textId="77777777" w:rsidTr="000913C7">
        <w:trPr>
          <w:cantSplit/>
        </w:trPr>
        <w:tc>
          <w:tcPr>
            <w:tcW w:w="1230" w:type="dxa"/>
            <w:tcBorders>
              <w:top w:val="single" w:sz="4" w:space="0" w:color="auto"/>
              <w:left w:val="single" w:sz="4" w:space="0" w:color="auto"/>
              <w:bottom w:val="single" w:sz="4" w:space="0" w:color="auto"/>
              <w:right w:val="single" w:sz="4" w:space="0" w:color="auto"/>
            </w:tcBorders>
            <w:shd w:val="clear" w:color="auto" w:fill="FFFFFF"/>
          </w:tcPr>
          <w:p w14:paraId="3E39171D" w14:textId="77777777" w:rsidR="00433D17" w:rsidRPr="00254BEE" w:rsidRDefault="00433D17" w:rsidP="000913C7">
            <w:pPr>
              <w:pStyle w:val="TableCellCenter"/>
              <w:spacing w:before="0" w:after="0" w:line="240" w:lineRule="auto"/>
              <w:rPr>
                <w:rFonts w:ascii="Times New Roman" w:hAnsi="Times New Roman"/>
                <w:b/>
                <w:color w:val="000000" w:themeColor="text1"/>
                <w:u w:val="single"/>
              </w:rPr>
            </w:pPr>
            <w:r w:rsidRPr="00254BEE">
              <w:rPr>
                <w:rFonts w:ascii="Times New Roman" w:hAnsi="Times New Roman"/>
                <w:b/>
                <w:color w:val="000000" w:themeColor="text1"/>
                <w:u w:val="single"/>
              </w:rPr>
              <w:t>&gt;100–200</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387A92"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150</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C2EE02"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150</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319AB1"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150</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085B95"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300</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AE3074"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300</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85BD5E"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300</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BE6FDB"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300</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D5DA95"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300</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F5E8C"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450</w:t>
            </w:r>
          </w:p>
        </w:tc>
        <w:tc>
          <w:tcPr>
            <w:tcW w:w="960" w:type="dxa"/>
            <w:tcBorders>
              <w:top w:val="single" w:sz="4" w:space="0" w:color="auto"/>
              <w:left w:val="single" w:sz="4" w:space="0" w:color="auto"/>
              <w:bottom w:val="single" w:sz="24" w:space="0" w:color="auto"/>
              <w:right w:val="single" w:sz="4" w:space="0" w:color="auto"/>
            </w:tcBorders>
            <w:shd w:val="clear" w:color="auto" w:fill="D9D9D9" w:themeFill="background1" w:themeFillShade="D9"/>
          </w:tcPr>
          <w:p w14:paraId="234AECBA"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600</w:t>
            </w:r>
          </w:p>
        </w:tc>
      </w:tr>
      <w:tr w:rsidR="00433D17" w:rsidRPr="00254BEE" w14:paraId="622A0D20" w14:textId="77777777" w:rsidTr="000913C7">
        <w:trPr>
          <w:cantSplit/>
        </w:trPr>
        <w:tc>
          <w:tcPr>
            <w:tcW w:w="1230" w:type="dxa"/>
            <w:tcBorders>
              <w:top w:val="single" w:sz="4" w:space="0" w:color="auto"/>
              <w:left w:val="single" w:sz="4" w:space="0" w:color="auto"/>
              <w:bottom w:val="single" w:sz="4" w:space="0" w:color="auto"/>
              <w:right w:val="single" w:sz="4" w:space="0" w:color="auto"/>
            </w:tcBorders>
            <w:shd w:val="clear" w:color="auto" w:fill="FFFFFF"/>
          </w:tcPr>
          <w:p w14:paraId="1B0BD5BF" w14:textId="77777777" w:rsidR="00433D17" w:rsidRPr="00254BEE" w:rsidRDefault="00433D17" w:rsidP="000913C7">
            <w:pPr>
              <w:pStyle w:val="TableCellCenter"/>
              <w:spacing w:before="0" w:after="0" w:line="240" w:lineRule="auto"/>
              <w:rPr>
                <w:rFonts w:ascii="Times New Roman" w:hAnsi="Times New Roman"/>
                <w:b/>
                <w:color w:val="000000" w:themeColor="text1"/>
                <w:u w:val="single"/>
              </w:rPr>
            </w:pPr>
            <w:r w:rsidRPr="00254BEE">
              <w:rPr>
                <w:rFonts w:ascii="Times New Roman" w:hAnsi="Times New Roman"/>
                <w:b/>
                <w:color w:val="000000" w:themeColor="text1"/>
                <w:u w:val="single"/>
              </w:rPr>
              <w:t>&gt;200–300</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13C03A"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150</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C2419F"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150</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5C2E5B"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225</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6B185F"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300</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92EC79"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300</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86B060"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450</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294B96"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450</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4584E0"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450</w:t>
            </w:r>
          </w:p>
        </w:tc>
        <w:tc>
          <w:tcPr>
            <w:tcW w:w="840" w:type="dxa"/>
            <w:tcBorders>
              <w:top w:val="single" w:sz="4" w:space="0" w:color="auto"/>
              <w:left w:val="single" w:sz="4" w:space="0" w:color="auto"/>
              <w:bottom w:val="single" w:sz="24" w:space="0" w:color="auto"/>
              <w:right w:val="single" w:sz="24" w:space="0" w:color="auto"/>
            </w:tcBorders>
            <w:shd w:val="clear" w:color="auto" w:fill="D9D9D9" w:themeFill="background1" w:themeFillShade="D9"/>
          </w:tcPr>
          <w:p w14:paraId="3F072E83"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600</w:t>
            </w:r>
          </w:p>
        </w:tc>
        <w:tc>
          <w:tcPr>
            <w:tcW w:w="960" w:type="dxa"/>
            <w:tcBorders>
              <w:top w:val="single" w:sz="24" w:space="0" w:color="auto"/>
              <w:left w:val="single" w:sz="24" w:space="0" w:color="auto"/>
              <w:bottom w:val="single" w:sz="2" w:space="0" w:color="auto"/>
              <w:right w:val="single" w:sz="4" w:space="0" w:color="auto"/>
            </w:tcBorders>
          </w:tcPr>
          <w:p w14:paraId="119026B8"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750</w:t>
            </w:r>
          </w:p>
        </w:tc>
      </w:tr>
      <w:tr w:rsidR="00433D17" w:rsidRPr="00254BEE" w14:paraId="044C0CB5" w14:textId="77777777" w:rsidTr="000913C7">
        <w:trPr>
          <w:cantSplit/>
        </w:trPr>
        <w:tc>
          <w:tcPr>
            <w:tcW w:w="1230" w:type="dxa"/>
            <w:tcBorders>
              <w:top w:val="single" w:sz="4" w:space="0" w:color="auto"/>
              <w:left w:val="single" w:sz="4" w:space="0" w:color="auto"/>
              <w:bottom w:val="single" w:sz="4" w:space="0" w:color="auto"/>
              <w:right w:val="single" w:sz="4" w:space="0" w:color="auto"/>
            </w:tcBorders>
            <w:shd w:val="clear" w:color="auto" w:fill="FFFFFF"/>
          </w:tcPr>
          <w:p w14:paraId="02466BE1" w14:textId="77777777" w:rsidR="00433D17" w:rsidRPr="00254BEE" w:rsidRDefault="00433D17" w:rsidP="000913C7">
            <w:pPr>
              <w:pStyle w:val="TableCellCenter"/>
              <w:spacing w:before="0" w:after="0" w:line="240" w:lineRule="auto"/>
              <w:rPr>
                <w:rFonts w:ascii="Times New Roman" w:hAnsi="Times New Roman"/>
                <w:b/>
                <w:color w:val="000000" w:themeColor="text1"/>
                <w:u w:val="single"/>
              </w:rPr>
            </w:pPr>
            <w:r w:rsidRPr="00254BEE">
              <w:rPr>
                <w:rFonts w:ascii="Times New Roman" w:hAnsi="Times New Roman"/>
                <w:b/>
                <w:color w:val="000000" w:themeColor="text1"/>
                <w:u w:val="single"/>
              </w:rPr>
              <w:t>&gt;300–400</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A555C0"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225</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D79DBC"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225</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CB373A"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300</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125E59"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450</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A5199"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450</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D94F8B"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450</w:t>
            </w:r>
          </w:p>
        </w:tc>
        <w:tc>
          <w:tcPr>
            <w:tcW w:w="840" w:type="dxa"/>
            <w:tcBorders>
              <w:top w:val="single" w:sz="4" w:space="0" w:color="auto"/>
              <w:left w:val="single" w:sz="4" w:space="0" w:color="auto"/>
              <w:bottom w:val="single" w:sz="24" w:space="0" w:color="auto"/>
              <w:right w:val="single" w:sz="4" w:space="0" w:color="auto"/>
            </w:tcBorders>
            <w:shd w:val="clear" w:color="auto" w:fill="D9D9D9" w:themeFill="background1" w:themeFillShade="D9"/>
          </w:tcPr>
          <w:p w14:paraId="00CD762B"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600</w:t>
            </w:r>
          </w:p>
        </w:tc>
        <w:tc>
          <w:tcPr>
            <w:tcW w:w="840" w:type="dxa"/>
            <w:tcBorders>
              <w:top w:val="single" w:sz="4" w:space="0" w:color="auto"/>
              <w:left w:val="single" w:sz="4" w:space="0" w:color="auto"/>
              <w:bottom w:val="single" w:sz="24" w:space="0" w:color="auto"/>
              <w:right w:val="single" w:sz="24" w:space="0" w:color="auto"/>
            </w:tcBorders>
            <w:shd w:val="clear" w:color="auto" w:fill="D9D9D9" w:themeFill="background1" w:themeFillShade="D9"/>
          </w:tcPr>
          <w:p w14:paraId="653B0DF6"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600</w:t>
            </w:r>
          </w:p>
        </w:tc>
        <w:tc>
          <w:tcPr>
            <w:tcW w:w="840" w:type="dxa"/>
            <w:vMerge w:val="restart"/>
            <w:tcBorders>
              <w:top w:val="single" w:sz="24" w:space="0" w:color="auto"/>
              <w:left w:val="single" w:sz="24" w:space="0" w:color="auto"/>
            </w:tcBorders>
          </w:tcPr>
          <w:p w14:paraId="25937501"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p>
        </w:tc>
        <w:tc>
          <w:tcPr>
            <w:tcW w:w="960" w:type="dxa"/>
            <w:vMerge w:val="restart"/>
            <w:tcBorders>
              <w:top w:val="single" w:sz="2" w:space="0" w:color="auto"/>
              <w:right w:val="single" w:sz="4" w:space="0" w:color="auto"/>
            </w:tcBorders>
          </w:tcPr>
          <w:p w14:paraId="24FC761D"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p>
        </w:tc>
      </w:tr>
      <w:tr w:rsidR="00433D17" w:rsidRPr="00254BEE" w14:paraId="45FBB53D" w14:textId="77777777" w:rsidTr="000913C7">
        <w:trPr>
          <w:cantSplit/>
        </w:trPr>
        <w:tc>
          <w:tcPr>
            <w:tcW w:w="1230" w:type="dxa"/>
            <w:tcBorders>
              <w:top w:val="single" w:sz="4" w:space="0" w:color="auto"/>
              <w:left w:val="single" w:sz="4" w:space="0" w:color="auto"/>
              <w:bottom w:val="single" w:sz="4" w:space="0" w:color="auto"/>
              <w:right w:val="single" w:sz="4" w:space="0" w:color="auto"/>
            </w:tcBorders>
            <w:shd w:val="clear" w:color="auto" w:fill="FFFFFF"/>
          </w:tcPr>
          <w:p w14:paraId="74902AE2" w14:textId="77777777" w:rsidR="00433D17" w:rsidRPr="00254BEE" w:rsidRDefault="00433D17" w:rsidP="000913C7">
            <w:pPr>
              <w:pStyle w:val="TableCellCenter"/>
              <w:spacing w:before="0" w:after="0" w:line="240" w:lineRule="auto"/>
              <w:rPr>
                <w:rFonts w:ascii="Times New Roman" w:hAnsi="Times New Roman"/>
                <w:b/>
                <w:color w:val="000000" w:themeColor="text1"/>
                <w:u w:val="single"/>
              </w:rPr>
            </w:pPr>
            <w:r w:rsidRPr="00254BEE">
              <w:rPr>
                <w:rFonts w:ascii="Times New Roman" w:hAnsi="Times New Roman"/>
                <w:b/>
                <w:color w:val="000000" w:themeColor="text1"/>
                <w:u w:val="single"/>
              </w:rPr>
              <w:t>&gt;400–500</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CA039B"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225</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F9338A"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300</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3B13FE"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450</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7ACF76"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450</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75DA0D"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600</w:t>
            </w:r>
          </w:p>
        </w:tc>
        <w:tc>
          <w:tcPr>
            <w:tcW w:w="840" w:type="dxa"/>
            <w:tcBorders>
              <w:top w:val="single" w:sz="4" w:space="0" w:color="auto"/>
              <w:left w:val="single" w:sz="4" w:space="0" w:color="auto"/>
              <w:bottom w:val="single" w:sz="24" w:space="0" w:color="auto"/>
              <w:right w:val="single" w:sz="24" w:space="0" w:color="auto"/>
            </w:tcBorders>
            <w:shd w:val="clear" w:color="auto" w:fill="D9D9D9" w:themeFill="background1" w:themeFillShade="D9"/>
          </w:tcPr>
          <w:p w14:paraId="5F3B0C0C"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600</w:t>
            </w:r>
          </w:p>
        </w:tc>
        <w:tc>
          <w:tcPr>
            <w:tcW w:w="840" w:type="dxa"/>
            <w:tcBorders>
              <w:top w:val="single" w:sz="24" w:space="0" w:color="auto"/>
              <w:left w:val="single" w:sz="24" w:space="0" w:color="auto"/>
              <w:bottom w:val="single" w:sz="4" w:space="0" w:color="auto"/>
              <w:right w:val="single" w:sz="4" w:space="0" w:color="auto"/>
            </w:tcBorders>
          </w:tcPr>
          <w:p w14:paraId="774A14B4"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750</w:t>
            </w:r>
          </w:p>
        </w:tc>
        <w:tc>
          <w:tcPr>
            <w:tcW w:w="840" w:type="dxa"/>
            <w:tcBorders>
              <w:top w:val="single" w:sz="24" w:space="0" w:color="auto"/>
              <w:left w:val="single" w:sz="4" w:space="0" w:color="auto"/>
              <w:bottom w:val="single" w:sz="4" w:space="0" w:color="auto"/>
              <w:right w:val="single" w:sz="4" w:space="0" w:color="auto"/>
            </w:tcBorders>
          </w:tcPr>
          <w:p w14:paraId="70093041"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750</w:t>
            </w:r>
          </w:p>
        </w:tc>
        <w:tc>
          <w:tcPr>
            <w:tcW w:w="840" w:type="dxa"/>
            <w:vMerge/>
            <w:tcBorders>
              <w:left w:val="single" w:sz="4" w:space="0" w:color="auto"/>
            </w:tcBorders>
          </w:tcPr>
          <w:p w14:paraId="2B8D18FD"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p>
        </w:tc>
        <w:tc>
          <w:tcPr>
            <w:tcW w:w="960" w:type="dxa"/>
            <w:vMerge/>
            <w:tcBorders>
              <w:right w:val="single" w:sz="4" w:space="0" w:color="auto"/>
            </w:tcBorders>
          </w:tcPr>
          <w:p w14:paraId="5F0460A0"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p>
        </w:tc>
      </w:tr>
      <w:tr w:rsidR="00433D17" w:rsidRPr="00254BEE" w14:paraId="3B67484C" w14:textId="77777777" w:rsidTr="000913C7">
        <w:trPr>
          <w:cantSplit/>
          <w:trHeight w:val="218"/>
        </w:trPr>
        <w:tc>
          <w:tcPr>
            <w:tcW w:w="1230" w:type="dxa"/>
            <w:tcBorders>
              <w:top w:val="single" w:sz="4" w:space="0" w:color="auto"/>
              <w:left w:val="single" w:sz="4" w:space="0" w:color="auto"/>
              <w:bottom w:val="single" w:sz="4" w:space="0" w:color="auto"/>
              <w:right w:val="single" w:sz="4" w:space="0" w:color="auto"/>
            </w:tcBorders>
            <w:shd w:val="clear" w:color="auto" w:fill="FFFFFF"/>
          </w:tcPr>
          <w:p w14:paraId="6464BA34" w14:textId="77777777" w:rsidR="00433D17" w:rsidRPr="00254BEE" w:rsidRDefault="00433D17" w:rsidP="000913C7">
            <w:pPr>
              <w:pStyle w:val="TableCellCenter"/>
              <w:spacing w:before="0" w:after="0" w:line="240" w:lineRule="auto"/>
              <w:rPr>
                <w:rFonts w:ascii="Times New Roman" w:hAnsi="Times New Roman"/>
                <w:b/>
                <w:color w:val="000000" w:themeColor="text1"/>
                <w:u w:val="single"/>
              </w:rPr>
            </w:pPr>
            <w:r w:rsidRPr="00254BEE">
              <w:rPr>
                <w:rFonts w:ascii="Times New Roman" w:hAnsi="Times New Roman"/>
                <w:b/>
                <w:color w:val="000000" w:themeColor="text1"/>
                <w:u w:val="single"/>
              </w:rPr>
              <w:t>&gt;500–600</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483CF4"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300</w:t>
            </w:r>
          </w:p>
        </w:tc>
        <w:tc>
          <w:tcPr>
            <w:tcW w:w="720" w:type="dxa"/>
            <w:tcBorders>
              <w:top w:val="single" w:sz="4" w:space="0" w:color="auto"/>
              <w:left w:val="single" w:sz="4" w:space="0" w:color="auto"/>
              <w:bottom w:val="single" w:sz="24" w:space="0" w:color="auto"/>
              <w:right w:val="single" w:sz="4" w:space="0" w:color="auto"/>
            </w:tcBorders>
            <w:shd w:val="clear" w:color="auto" w:fill="D9D9D9" w:themeFill="background1" w:themeFillShade="D9"/>
          </w:tcPr>
          <w:p w14:paraId="79570ADE"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300</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48E9A0"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450</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376615"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600</w:t>
            </w:r>
          </w:p>
        </w:tc>
        <w:tc>
          <w:tcPr>
            <w:tcW w:w="720" w:type="dxa"/>
            <w:tcBorders>
              <w:top w:val="single" w:sz="4" w:space="0" w:color="auto"/>
              <w:left w:val="single" w:sz="4" w:space="0" w:color="auto"/>
              <w:bottom w:val="single" w:sz="24" w:space="0" w:color="auto"/>
              <w:right w:val="single" w:sz="24" w:space="0" w:color="auto"/>
            </w:tcBorders>
            <w:shd w:val="clear" w:color="auto" w:fill="D9D9D9" w:themeFill="background1" w:themeFillShade="D9"/>
          </w:tcPr>
          <w:p w14:paraId="03540DFF"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600</w:t>
            </w:r>
          </w:p>
        </w:tc>
        <w:tc>
          <w:tcPr>
            <w:tcW w:w="840" w:type="dxa"/>
            <w:tcBorders>
              <w:top w:val="single" w:sz="24" w:space="0" w:color="auto"/>
              <w:left w:val="single" w:sz="24" w:space="0" w:color="auto"/>
              <w:bottom w:val="single" w:sz="4" w:space="0" w:color="auto"/>
              <w:right w:val="single" w:sz="4" w:space="0" w:color="auto"/>
            </w:tcBorders>
          </w:tcPr>
          <w:p w14:paraId="4AA9A55C"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750</w:t>
            </w:r>
          </w:p>
        </w:tc>
        <w:tc>
          <w:tcPr>
            <w:tcW w:w="840" w:type="dxa"/>
            <w:vMerge w:val="restart"/>
            <w:tcBorders>
              <w:top w:val="single" w:sz="4" w:space="0" w:color="auto"/>
              <w:left w:val="single" w:sz="4" w:space="0" w:color="auto"/>
            </w:tcBorders>
          </w:tcPr>
          <w:p w14:paraId="69399D54"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p>
        </w:tc>
        <w:tc>
          <w:tcPr>
            <w:tcW w:w="840" w:type="dxa"/>
            <w:tcBorders>
              <w:top w:val="single" w:sz="4" w:space="0" w:color="auto"/>
            </w:tcBorders>
          </w:tcPr>
          <w:p w14:paraId="6255875D"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p>
        </w:tc>
        <w:tc>
          <w:tcPr>
            <w:tcW w:w="840" w:type="dxa"/>
          </w:tcPr>
          <w:p w14:paraId="0636F18D"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p>
        </w:tc>
        <w:tc>
          <w:tcPr>
            <w:tcW w:w="960" w:type="dxa"/>
            <w:vMerge w:val="restart"/>
            <w:tcBorders>
              <w:right w:val="single" w:sz="4" w:space="0" w:color="auto"/>
            </w:tcBorders>
          </w:tcPr>
          <w:p w14:paraId="04DD5DE2"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p>
        </w:tc>
      </w:tr>
      <w:tr w:rsidR="00433D17" w:rsidRPr="00254BEE" w14:paraId="3B342554" w14:textId="77777777" w:rsidTr="000913C7">
        <w:trPr>
          <w:cantSplit/>
        </w:trPr>
        <w:tc>
          <w:tcPr>
            <w:tcW w:w="1230" w:type="dxa"/>
            <w:tcBorders>
              <w:top w:val="single" w:sz="4" w:space="0" w:color="auto"/>
              <w:left w:val="single" w:sz="4" w:space="0" w:color="auto"/>
              <w:bottom w:val="single" w:sz="24" w:space="0" w:color="auto"/>
              <w:right w:val="single" w:sz="4" w:space="0" w:color="auto"/>
            </w:tcBorders>
            <w:shd w:val="clear" w:color="auto" w:fill="FFFFFF"/>
          </w:tcPr>
          <w:p w14:paraId="044D50FF" w14:textId="77777777" w:rsidR="00433D17" w:rsidRPr="00254BEE" w:rsidRDefault="00433D17" w:rsidP="000913C7">
            <w:pPr>
              <w:pStyle w:val="TableCellCenter"/>
              <w:spacing w:before="0" w:after="0" w:line="240" w:lineRule="auto"/>
              <w:rPr>
                <w:rFonts w:ascii="Times New Roman" w:hAnsi="Times New Roman"/>
                <w:b/>
                <w:color w:val="000000" w:themeColor="text1"/>
                <w:u w:val="single"/>
              </w:rPr>
            </w:pPr>
            <w:r w:rsidRPr="00254BEE">
              <w:rPr>
                <w:rFonts w:ascii="Times New Roman" w:hAnsi="Times New Roman"/>
                <w:b/>
                <w:color w:val="000000" w:themeColor="text1"/>
                <w:u w:val="single"/>
              </w:rPr>
              <w:t>&gt;600–700</w:t>
            </w:r>
          </w:p>
        </w:tc>
        <w:tc>
          <w:tcPr>
            <w:tcW w:w="840" w:type="dxa"/>
            <w:tcBorders>
              <w:top w:val="single" w:sz="4" w:space="0" w:color="auto"/>
              <w:left w:val="single" w:sz="4" w:space="0" w:color="auto"/>
              <w:bottom w:val="single" w:sz="24" w:space="0" w:color="auto"/>
              <w:right w:val="single" w:sz="24" w:space="0" w:color="auto"/>
            </w:tcBorders>
            <w:shd w:val="clear" w:color="auto" w:fill="D9D9D9" w:themeFill="background1" w:themeFillShade="D9"/>
          </w:tcPr>
          <w:p w14:paraId="252901C2"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300</w:t>
            </w:r>
          </w:p>
        </w:tc>
        <w:tc>
          <w:tcPr>
            <w:tcW w:w="720" w:type="dxa"/>
            <w:tcBorders>
              <w:top w:val="single" w:sz="24" w:space="0" w:color="auto"/>
              <w:left w:val="single" w:sz="24" w:space="0" w:color="auto"/>
              <w:bottom w:val="single" w:sz="4" w:space="0" w:color="auto"/>
              <w:right w:val="single" w:sz="24" w:space="0" w:color="auto"/>
            </w:tcBorders>
            <w:shd w:val="clear" w:color="auto" w:fill="FFFFFF"/>
          </w:tcPr>
          <w:p w14:paraId="31352F04"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450</w:t>
            </w:r>
          </w:p>
        </w:tc>
        <w:tc>
          <w:tcPr>
            <w:tcW w:w="840" w:type="dxa"/>
            <w:tcBorders>
              <w:top w:val="single" w:sz="4" w:space="0" w:color="auto"/>
              <w:left w:val="single" w:sz="24" w:space="0" w:color="auto"/>
              <w:bottom w:val="single" w:sz="24" w:space="0" w:color="auto"/>
              <w:right w:val="single" w:sz="4" w:space="0" w:color="auto"/>
            </w:tcBorders>
            <w:shd w:val="clear" w:color="auto" w:fill="D9D9D9" w:themeFill="background1" w:themeFillShade="D9"/>
          </w:tcPr>
          <w:p w14:paraId="6059877D"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450</w:t>
            </w:r>
          </w:p>
        </w:tc>
        <w:tc>
          <w:tcPr>
            <w:tcW w:w="840" w:type="dxa"/>
            <w:tcBorders>
              <w:top w:val="single" w:sz="4" w:space="0" w:color="auto"/>
              <w:left w:val="single" w:sz="4" w:space="0" w:color="auto"/>
              <w:bottom w:val="single" w:sz="24" w:space="0" w:color="auto"/>
              <w:right w:val="single" w:sz="24" w:space="0" w:color="auto"/>
            </w:tcBorders>
            <w:shd w:val="clear" w:color="auto" w:fill="D9D9D9" w:themeFill="background1" w:themeFillShade="D9"/>
            <w:vAlign w:val="bottom"/>
          </w:tcPr>
          <w:p w14:paraId="65AFBAD9"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600</w:t>
            </w:r>
          </w:p>
        </w:tc>
        <w:tc>
          <w:tcPr>
            <w:tcW w:w="720" w:type="dxa"/>
            <w:tcBorders>
              <w:top w:val="single" w:sz="24" w:space="0" w:color="auto"/>
              <w:left w:val="single" w:sz="24" w:space="0" w:color="auto"/>
              <w:bottom w:val="single" w:sz="4" w:space="0" w:color="auto"/>
              <w:right w:val="single" w:sz="4" w:space="0" w:color="auto"/>
            </w:tcBorders>
          </w:tcPr>
          <w:p w14:paraId="219FFB03"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750</w:t>
            </w:r>
          </w:p>
        </w:tc>
        <w:tc>
          <w:tcPr>
            <w:tcW w:w="840" w:type="dxa"/>
            <w:tcBorders>
              <w:top w:val="single" w:sz="4" w:space="0" w:color="auto"/>
              <w:left w:val="single" w:sz="4" w:space="0" w:color="auto"/>
            </w:tcBorders>
          </w:tcPr>
          <w:p w14:paraId="116D7650"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p>
        </w:tc>
        <w:tc>
          <w:tcPr>
            <w:tcW w:w="840" w:type="dxa"/>
            <w:vMerge/>
            <w:tcBorders>
              <w:left w:val="nil"/>
            </w:tcBorders>
          </w:tcPr>
          <w:p w14:paraId="2F6094D5"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p>
        </w:tc>
        <w:tc>
          <w:tcPr>
            <w:tcW w:w="1680" w:type="dxa"/>
            <w:gridSpan w:val="2"/>
          </w:tcPr>
          <w:p w14:paraId="273A8AF1"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p>
        </w:tc>
        <w:tc>
          <w:tcPr>
            <w:tcW w:w="960" w:type="dxa"/>
            <w:vMerge/>
            <w:tcBorders>
              <w:right w:val="single" w:sz="4" w:space="0" w:color="auto"/>
            </w:tcBorders>
          </w:tcPr>
          <w:p w14:paraId="0BF1180B"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p>
        </w:tc>
      </w:tr>
      <w:tr w:rsidR="00433D17" w:rsidRPr="00254BEE" w14:paraId="0B2C1381" w14:textId="77777777" w:rsidTr="000913C7">
        <w:trPr>
          <w:cantSplit/>
        </w:trPr>
        <w:tc>
          <w:tcPr>
            <w:tcW w:w="1230" w:type="dxa"/>
            <w:tcBorders>
              <w:top w:val="single" w:sz="24" w:space="0" w:color="auto"/>
              <w:left w:val="single" w:sz="4" w:space="0" w:color="auto"/>
              <w:bottom w:val="single" w:sz="6" w:space="0" w:color="auto"/>
              <w:right w:val="single" w:sz="6" w:space="0" w:color="auto"/>
            </w:tcBorders>
            <w:shd w:val="clear" w:color="auto" w:fill="FFFFFF"/>
          </w:tcPr>
          <w:p w14:paraId="5A88DE5B" w14:textId="77777777" w:rsidR="00433D17" w:rsidRPr="00254BEE" w:rsidRDefault="00433D17" w:rsidP="000913C7">
            <w:pPr>
              <w:pStyle w:val="TableCellCenter"/>
              <w:spacing w:before="0" w:after="0" w:line="240" w:lineRule="auto"/>
              <w:rPr>
                <w:rFonts w:ascii="Times New Roman" w:hAnsi="Times New Roman"/>
                <w:b/>
                <w:color w:val="000000" w:themeColor="text1"/>
                <w:u w:val="single"/>
              </w:rPr>
            </w:pPr>
            <w:r w:rsidRPr="00254BEE">
              <w:rPr>
                <w:rFonts w:ascii="Times New Roman" w:hAnsi="Times New Roman"/>
                <w:b/>
                <w:color w:val="000000" w:themeColor="text1"/>
                <w:u w:val="single"/>
              </w:rPr>
              <w:t>&gt;700–800</w:t>
            </w:r>
          </w:p>
        </w:tc>
        <w:tc>
          <w:tcPr>
            <w:tcW w:w="840" w:type="dxa"/>
            <w:tcBorders>
              <w:top w:val="single" w:sz="24" w:space="0" w:color="auto"/>
              <w:left w:val="single" w:sz="8" w:space="0" w:color="auto"/>
              <w:bottom w:val="single" w:sz="6" w:space="0" w:color="auto"/>
              <w:right w:val="single" w:sz="6" w:space="0" w:color="auto"/>
            </w:tcBorders>
            <w:shd w:val="clear" w:color="auto" w:fill="FFFFFF"/>
          </w:tcPr>
          <w:p w14:paraId="4FC736E7"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450</w:t>
            </w:r>
          </w:p>
        </w:tc>
        <w:tc>
          <w:tcPr>
            <w:tcW w:w="720" w:type="dxa"/>
            <w:tcBorders>
              <w:top w:val="single" w:sz="4" w:space="0" w:color="auto"/>
              <w:left w:val="single" w:sz="8" w:space="0" w:color="auto"/>
              <w:bottom w:val="single" w:sz="6" w:space="0" w:color="auto"/>
              <w:right w:val="single" w:sz="6" w:space="0" w:color="auto"/>
            </w:tcBorders>
            <w:shd w:val="clear" w:color="auto" w:fill="FFFFFF"/>
          </w:tcPr>
          <w:p w14:paraId="289220B3"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450</w:t>
            </w:r>
          </w:p>
        </w:tc>
        <w:tc>
          <w:tcPr>
            <w:tcW w:w="840" w:type="dxa"/>
            <w:tcBorders>
              <w:top w:val="single" w:sz="24" w:space="0" w:color="auto"/>
              <w:left w:val="single" w:sz="8" w:space="0" w:color="auto"/>
              <w:bottom w:val="single" w:sz="6" w:space="0" w:color="auto"/>
              <w:right w:val="single" w:sz="4" w:space="0" w:color="auto"/>
            </w:tcBorders>
            <w:shd w:val="clear" w:color="auto" w:fill="FFFFFF"/>
          </w:tcPr>
          <w:p w14:paraId="08FD3245"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600</w:t>
            </w:r>
          </w:p>
        </w:tc>
        <w:tc>
          <w:tcPr>
            <w:tcW w:w="840" w:type="dxa"/>
            <w:tcBorders>
              <w:top w:val="single" w:sz="24" w:space="0" w:color="auto"/>
              <w:left w:val="single" w:sz="4" w:space="0" w:color="auto"/>
              <w:bottom w:val="single" w:sz="4" w:space="0" w:color="auto"/>
              <w:right w:val="single" w:sz="4" w:space="0" w:color="auto"/>
            </w:tcBorders>
          </w:tcPr>
          <w:p w14:paraId="747E403A"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750</w:t>
            </w:r>
          </w:p>
        </w:tc>
        <w:tc>
          <w:tcPr>
            <w:tcW w:w="1560" w:type="dxa"/>
            <w:gridSpan w:val="2"/>
            <w:tcBorders>
              <w:top w:val="single" w:sz="4" w:space="0" w:color="auto"/>
              <w:left w:val="single" w:sz="4" w:space="0" w:color="auto"/>
            </w:tcBorders>
          </w:tcPr>
          <w:p w14:paraId="2A72F5FF" w14:textId="77777777" w:rsidR="00433D17" w:rsidRPr="00254BEE" w:rsidRDefault="00433D17" w:rsidP="000913C7">
            <w:pPr>
              <w:pStyle w:val="TableCellLeft"/>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Notes:</w:t>
            </w:r>
          </w:p>
        </w:tc>
        <w:tc>
          <w:tcPr>
            <w:tcW w:w="840" w:type="dxa"/>
          </w:tcPr>
          <w:p w14:paraId="1753F41B" w14:textId="77777777" w:rsidR="00433D17" w:rsidRPr="00254BEE" w:rsidRDefault="00433D17" w:rsidP="000913C7">
            <w:pPr>
              <w:pStyle w:val="TableCellLeft"/>
              <w:spacing w:before="0" w:after="0" w:line="240" w:lineRule="auto"/>
              <w:rPr>
                <w:rFonts w:ascii="Times New Roman" w:hAnsi="Times New Roman"/>
                <w:color w:val="000000" w:themeColor="text1"/>
                <w:u w:val="single"/>
              </w:rPr>
            </w:pPr>
          </w:p>
        </w:tc>
        <w:tc>
          <w:tcPr>
            <w:tcW w:w="1680" w:type="dxa"/>
            <w:gridSpan w:val="2"/>
          </w:tcPr>
          <w:p w14:paraId="0AC879B1" w14:textId="77777777" w:rsidR="00433D17" w:rsidRPr="00254BEE" w:rsidRDefault="00433D17" w:rsidP="000913C7">
            <w:pPr>
              <w:pStyle w:val="TableCellLeft"/>
              <w:spacing w:before="0" w:after="0" w:line="240" w:lineRule="auto"/>
              <w:rPr>
                <w:rFonts w:ascii="Times New Roman" w:hAnsi="Times New Roman"/>
                <w:color w:val="000000" w:themeColor="text1"/>
                <w:u w:val="single"/>
              </w:rPr>
            </w:pPr>
          </w:p>
        </w:tc>
        <w:tc>
          <w:tcPr>
            <w:tcW w:w="960" w:type="dxa"/>
            <w:vMerge/>
            <w:tcBorders>
              <w:right w:val="single" w:sz="4" w:space="0" w:color="auto"/>
            </w:tcBorders>
          </w:tcPr>
          <w:p w14:paraId="47F13286" w14:textId="77777777" w:rsidR="00433D17" w:rsidRPr="00254BEE" w:rsidRDefault="00433D17" w:rsidP="000913C7">
            <w:pPr>
              <w:pStyle w:val="TableCellLeft"/>
              <w:spacing w:before="0" w:after="0" w:line="240" w:lineRule="auto"/>
              <w:rPr>
                <w:rFonts w:ascii="Times New Roman" w:hAnsi="Times New Roman"/>
                <w:color w:val="000000" w:themeColor="text1"/>
                <w:u w:val="single"/>
              </w:rPr>
            </w:pPr>
          </w:p>
        </w:tc>
      </w:tr>
      <w:tr w:rsidR="00433D17" w:rsidRPr="00254BEE" w14:paraId="4A84F978" w14:textId="77777777" w:rsidTr="000913C7">
        <w:trPr>
          <w:cantSplit/>
        </w:trPr>
        <w:tc>
          <w:tcPr>
            <w:tcW w:w="1230" w:type="dxa"/>
            <w:tcBorders>
              <w:top w:val="single" w:sz="6" w:space="0" w:color="auto"/>
              <w:left w:val="single" w:sz="4" w:space="0" w:color="auto"/>
              <w:bottom w:val="single" w:sz="6" w:space="0" w:color="auto"/>
              <w:right w:val="single" w:sz="6" w:space="0" w:color="auto"/>
            </w:tcBorders>
            <w:shd w:val="clear" w:color="auto" w:fill="FFFFFF"/>
          </w:tcPr>
          <w:p w14:paraId="34F4E0A7" w14:textId="77777777" w:rsidR="00433D17" w:rsidRPr="00254BEE" w:rsidRDefault="00433D17" w:rsidP="000913C7">
            <w:pPr>
              <w:pStyle w:val="TableCellCenter"/>
              <w:spacing w:before="0" w:after="0" w:line="240" w:lineRule="auto"/>
              <w:rPr>
                <w:rFonts w:ascii="Times New Roman" w:hAnsi="Times New Roman"/>
                <w:b/>
                <w:color w:val="000000" w:themeColor="text1"/>
                <w:u w:val="single"/>
              </w:rPr>
            </w:pPr>
            <w:r w:rsidRPr="00254BEE">
              <w:rPr>
                <w:rFonts w:ascii="Times New Roman" w:hAnsi="Times New Roman"/>
                <w:b/>
                <w:color w:val="000000" w:themeColor="text1"/>
                <w:u w:val="single"/>
              </w:rPr>
              <w:t>&gt;800–900</w:t>
            </w:r>
          </w:p>
        </w:tc>
        <w:tc>
          <w:tcPr>
            <w:tcW w:w="840" w:type="dxa"/>
            <w:tcBorders>
              <w:top w:val="single" w:sz="6" w:space="0" w:color="auto"/>
              <w:left w:val="single" w:sz="8" w:space="0" w:color="auto"/>
              <w:bottom w:val="single" w:sz="6" w:space="0" w:color="auto"/>
              <w:right w:val="single" w:sz="6" w:space="0" w:color="auto"/>
            </w:tcBorders>
            <w:shd w:val="clear" w:color="auto" w:fill="FFFFFF"/>
          </w:tcPr>
          <w:p w14:paraId="315B47A0"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450</w:t>
            </w:r>
          </w:p>
        </w:tc>
        <w:tc>
          <w:tcPr>
            <w:tcW w:w="720" w:type="dxa"/>
            <w:tcBorders>
              <w:top w:val="single" w:sz="6" w:space="0" w:color="auto"/>
              <w:left w:val="single" w:sz="8" w:space="0" w:color="auto"/>
              <w:bottom w:val="single" w:sz="6" w:space="0" w:color="auto"/>
              <w:right w:val="single" w:sz="6" w:space="0" w:color="auto"/>
            </w:tcBorders>
            <w:shd w:val="clear" w:color="auto" w:fill="FFFFFF"/>
          </w:tcPr>
          <w:p w14:paraId="15D7A09E"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450</w:t>
            </w:r>
          </w:p>
        </w:tc>
        <w:tc>
          <w:tcPr>
            <w:tcW w:w="840" w:type="dxa"/>
            <w:tcBorders>
              <w:top w:val="single" w:sz="6" w:space="0" w:color="auto"/>
              <w:left w:val="single" w:sz="8" w:space="0" w:color="auto"/>
              <w:bottom w:val="single" w:sz="6" w:space="0" w:color="auto"/>
              <w:right w:val="single" w:sz="4" w:space="0" w:color="auto"/>
            </w:tcBorders>
            <w:shd w:val="clear" w:color="auto" w:fill="FFFFFF"/>
          </w:tcPr>
          <w:p w14:paraId="0C397890"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600</w:t>
            </w:r>
          </w:p>
        </w:tc>
        <w:tc>
          <w:tcPr>
            <w:tcW w:w="840" w:type="dxa"/>
            <w:tcBorders>
              <w:top w:val="single" w:sz="4" w:space="0" w:color="auto"/>
              <w:left w:val="single" w:sz="4" w:space="0" w:color="auto"/>
              <w:bottom w:val="single" w:sz="4" w:space="0" w:color="auto"/>
              <w:right w:val="single" w:sz="4" w:space="0" w:color="auto"/>
            </w:tcBorders>
          </w:tcPr>
          <w:p w14:paraId="13D2D168"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750</w:t>
            </w:r>
          </w:p>
        </w:tc>
        <w:tc>
          <w:tcPr>
            <w:tcW w:w="5040" w:type="dxa"/>
            <w:gridSpan w:val="6"/>
            <w:tcBorders>
              <w:left w:val="single" w:sz="4" w:space="0" w:color="auto"/>
              <w:right w:val="single" w:sz="4" w:space="0" w:color="auto"/>
            </w:tcBorders>
          </w:tcPr>
          <w:p w14:paraId="19B832E3" w14:textId="77777777" w:rsidR="00433D17" w:rsidRPr="00254BEE" w:rsidRDefault="00433D17" w:rsidP="000913C7">
            <w:pPr>
              <w:pStyle w:val="NormalWeb"/>
              <w:rPr>
                <w:color w:val="000000" w:themeColor="text1"/>
                <w:sz w:val="20"/>
                <w:szCs w:val="20"/>
              </w:rPr>
            </w:pPr>
            <w:r w:rsidRPr="00254BEE">
              <w:rPr>
                <w:color w:val="000000" w:themeColor="text1"/>
                <w:sz w:val="20"/>
                <w:szCs w:val="20"/>
              </w:rPr>
              <w:t xml:space="preserve">Doses above black line are administered once per 4 weeks. </w:t>
            </w:r>
          </w:p>
        </w:tc>
      </w:tr>
      <w:tr w:rsidR="00433D17" w:rsidRPr="00254BEE" w14:paraId="21E2CF70" w14:textId="77777777" w:rsidTr="000913C7">
        <w:trPr>
          <w:cantSplit/>
        </w:trPr>
        <w:tc>
          <w:tcPr>
            <w:tcW w:w="1230" w:type="dxa"/>
            <w:tcBorders>
              <w:top w:val="single" w:sz="6" w:space="0" w:color="auto"/>
              <w:left w:val="single" w:sz="4" w:space="0" w:color="auto"/>
              <w:bottom w:val="single" w:sz="6" w:space="0" w:color="auto"/>
              <w:right w:val="single" w:sz="6" w:space="0" w:color="auto"/>
            </w:tcBorders>
            <w:shd w:val="clear" w:color="auto" w:fill="FFFFFF"/>
          </w:tcPr>
          <w:p w14:paraId="6A63439D" w14:textId="77777777" w:rsidR="00433D17" w:rsidRPr="00254BEE" w:rsidRDefault="00433D17" w:rsidP="000913C7">
            <w:pPr>
              <w:pStyle w:val="TableCellCenter"/>
              <w:spacing w:before="0" w:after="0" w:line="240" w:lineRule="auto"/>
              <w:rPr>
                <w:rFonts w:ascii="Times New Roman" w:hAnsi="Times New Roman"/>
                <w:b/>
                <w:color w:val="000000" w:themeColor="text1"/>
                <w:u w:val="single"/>
              </w:rPr>
            </w:pPr>
            <w:r w:rsidRPr="00254BEE">
              <w:rPr>
                <w:rFonts w:ascii="Times New Roman" w:hAnsi="Times New Roman"/>
                <w:b/>
                <w:color w:val="000000" w:themeColor="text1"/>
                <w:u w:val="single"/>
              </w:rPr>
              <w:t>&gt;900–1000</w:t>
            </w:r>
          </w:p>
        </w:tc>
        <w:tc>
          <w:tcPr>
            <w:tcW w:w="840" w:type="dxa"/>
            <w:tcBorders>
              <w:top w:val="single" w:sz="6" w:space="0" w:color="auto"/>
              <w:left w:val="single" w:sz="8" w:space="0" w:color="auto"/>
              <w:bottom w:val="single" w:sz="6" w:space="0" w:color="auto"/>
              <w:right w:val="single" w:sz="6" w:space="0" w:color="auto"/>
            </w:tcBorders>
            <w:shd w:val="clear" w:color="auto" w:fill="FFFFFF"/>
          </w:tcPr>
          <w:p w14:paraId="7D25C1C3"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450</w:t>
            </w:r>
          </w:p>
        </w:tc>
        <w:tc>
          <w:tcPr>
            <w:tcW w:w="720" w:type="dxa"/>
            <w:tcBorders>
              <w:top w:val="single" w:sz="6" w:space="0" w:color="auto"/>
              <w:left w:val="single" w:sz="8" w:space="0" w:color="auto"/>
              <w:bottom w:val="single" w:sz="6" w:space="0" w:color="auto"/>
              <w:right w:val="single" w:sz="6" w:space="0" w:color="auto"/>
            </w:tcBorders>
            <w:shd w:val="clear" w:color="auto" w:fill="FFFFFF"/>
          </w:tcPr>
          <w:p w14:paraId="2C874CFA"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600</w:t>
            </w:r>
          </w:p>
        </w:tc>
        <w:tc>
          <w:tcPr>
            <w:tcW w:w="840" w:type="dxa"/>
            <w:tcBorders>
              <w:top w:val="single" w:sz="6" w:space="0" w:color="auto"/>
              <w:left w:val="single" w:sz="8" w:space="0" w:color="auto"/>
              <w:bottom w:val="single" w:sz="6" w:space="0" w:color="auto"/>
              <w:right w:val="single" w:sz="4" w:space="0" w:color="auto"/>
            </w:tcBorders>
            <w:shd w:val="clear" w:color="auto" w:fill="FFFFFF"/>
          </w:tcPr>
          <w:p w14:paraId="5DA0E577"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750</w:t>
            </w:r>
          </w:p>
        </w:tc>
        <w:tc>
          <w:tcPr>
            <w:tcW w:w="840" w:type="dxa"/>
            <w:tcBorders>
              <w:top w:val="single" w:sz="4" w:space="0" w:color="auto"/>
              <w:left w:val="single" w:sz="4" w:space="0" w:color="auto"/>
            </w:tcBorders>
          </w:tcPr>
          <w:p w14:paraId="008FED7C"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p>
        </w:tc>
        <w:tc>
          <w:tcPr>
            <w:tcW w:w="5040" w:type="dxa"/>
            <w:gridSpan w:val="6"/>
            <w:vMerge w:val="restart"/>
            <w:tcBorders>
              <w:right w:val="single" w:sz="4" w:space="0" w:color="auto"/>
            </w:tcBorders>
          </w:tcPr>
          <w:p w14:paraId="2C966D10" w14:textId="77777777" w:rsidR="00433D17" w:rsidRPr="00254BEE" w:rsidRDefault="00433D17" w:rsidP="000913C7">
            <w:pPr>
              <w:pStyle w:val="NormalWeb"/>
              <w:rPr>
                <w:color w:val="000000" w:themeColor="text1"/>
              </w:rPr>
            </w:pPr>
            <w:r w:rsidRPr="00254BEE">
              <w:rPr>
                <w:color w:val="000000" w:themeColor="text1"/>
                <w:sz w:val="20"/>
                <w:szCs w:val="20"/>
              </w:rPr>
              <w:t xml:space="preserve">Doses below black line are split into 2 equal doses administered every 2 weeks (i.e. 450 total = 225 every 2 weeks; 600 mg total = 300 mg every 2 weeks; 750 total = 375 every 2 weeks). </w:t>
            </w:r>
          </w:p>
        </w:tc>
      </w:tr>
      <w:tr w:rsidR="00433D17" w:rsidRPr="00254BEE" w14:paraId="32F6C660" w14:textId="77777777" w:rsidTr="000913C7">
        <w:trPr>
          <w:cantSplit/>
        </w:trPr>
        <w:tc>
          <w:tcPr>
            <w:tcW w:w="1230" w:type="dxa"/>
            <w:tcBorders>
              <w:top w:val="single" w:sz="6" w:space="0" w:color="auto"/>
              <w:left w:val="single" w:sz="4" w:space="0" w:color="auto"/>
              <w:bottom w:val="single" w:sz="6" w:space="0" w:color="auto"/>
              <w:right w:val="single" w:sz="6" w:space="0" w:color="auto"/>
            </w:tcBorders>
            <w:shd w:val="clear" w:color="auto" w:fill="FFFFFF"/>
          </w:tcPr>
          <w:p w14:paraId="153CCBC0" w14:textId="77777777" w:rsidR="00433D17" w:rsidRPr="00254BEE" w:rsidRDefault="00433D17" w:rsidP="000913C7">
            <w:pPr>
              <w:pStyle w:val="TableCellCenter"/>
              <w:spacing w:before="0" w:after="0" w:line="240" w:lineRule="auto"/>
              <w:rPr>
                <w:rFonts w:ascii="Times New Roman" w:hAnsi="Times New Roman"/>
                <w:b/>
                <w:u w:val="single"/>
              </w:rPr>
            </w:pPr>
            <w:r w:rsidRPr="00254BEE">
              <w:rPr>
                <w:rFonts w:ascii="Times New Roman" w:hAnsi="Times New Roman"/>
                <w:b/>
                <w:u w:val="single"/>
              </w:rPr>
              <w:t>&gt;1000–1100</w:t>
            </w:r>
          </w:p>
        </w:tc>
        <w:tc>
          <w:tcPr>
            <w:tcW w:w="840" w:type="dxa"/>
            <w:tcBorders>
              <w:top w:val="single" w:sz="6" w:space="0" w:color="auto"/>
              <w:left w:val="single" w:sz="8" w:space="0" w:color="auto"/>
              <w:bottom w:val="single" w:sz="6" w:space="0" w:color="auto"/>
              <w:right w:val="single" w:sz="6" w:space="0" w:color="auto"/>
            </w:tcBorders>
            <w:shd w:val="clear" w:color="auto" w:fill="FFFFFF"/>
          </w:tcPr>
          <w:p w14:paraId="58614E97"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450</w:t>
            </w:r>
          </w:p>
        </w:tc>
        <w:tc>
          <w:tcPr>
            <w:tcW w:w="720" w:type="dxa"/>
            <w:tcBorders>
              <w:top w:val="single" w:sz="6" w:space="0" w:color="auto"/>
              <w:left w:val="single" w:sz="8" w:space="0" w:color="auto"/>
              <w:bottom w:val="single" w:sz="6" w:space="0" w:color="auto"/>
              <w:right w:val="single" w:sz="6" w:space="0" w:color="auto"/>
            </w:tcBorders>
            <w:shd w:val="clear" w:color="auto" w:fill="FFFFFF"/>
          </w:tcPr>
          <w:p w14:paraId="2810E424"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600</w:t>
            </w:r>
          </w:p>
        </w:tc>
        <w:tc>
          <w:tcPr>
            <w:tcW w:w="840" w:type="dxa"/>
            <w:tcBorders>
              <w:top w:val="single" w:sz="6" w:space="0" w:color="auto"/>
              <w:left w:val="single" w:sz="8" w:space="0" w:color="auto"/>
              <w:bottom w:val="single" w:sz="6" w:space="0" w:color="auto"/>
              <w:right w:val="single" w:sz="4" w:space="0" w:color="auto"/>
            </w:tcBorders>
            <w:shd w:val="clear" w:color="auto" w:fill="FFFFFF"/>
          </w:tcPr>
          <w:p w14:paraId="2B0CFCD1" w14:textId="77777777" w:rsidR="00433D17" w:rsidRPr="00254BEE" w:rsidRDefault="00433D17" w:rsidP="000913C7">
            <w:pPr>
              <w:pStyle w:val="TableCellCenter"/>
              <w:spacing w:before="0" w:after="0" w:line="240" w:lineRule="auto"/>
              <w:rPr>
                <w:rFonts w:ascii="Times New Roman" w:hAnsi="Times New Roman"/>
                <w:u w:val="single"/>
              </w:rPr>
            </w:pPr>
            <w:r w:rsidRPr="00254BEE">
              <w:rPr>
                <w:rFonts w:ascii="Times New Roman" w:hAnsi="Times New Roman"/>
                <w:u w:val="single"/>
              </w:rPr>
              <w:t>750</w:t>
            </w:r>
          </w:p>
        </w:tc>
        <w:tc>
          <w:tcPr>
            <w:tcW w:w="840" w:type="dxa"/>
            <w:tcBorders>
              <w:left w:val="single" w:sz="4" w:space="0" w:color="auto"/>
            </w:tcBorders>
          </w:tcPr>
          <w:p w14:paraId="2C4B9932" w14:textId="77777777" w:rsidR="00433D17" w:rsidRPr="00254BEE" w:rsidRDefault="00433D17" w:rsidP="000913C7">
            <w:pPr>
              <w:pStyle w:val="TableCellCenter"/>
              <w:spacing w:before="0" w:after="0" w:line="240" w:lineRule="auto"/>
              <w:rPr>
                <w:rFonts w:ascii="Times New Roman" w:hAnsi="Times New Roman"/>
                <w:u w:val="single"/>
              </w:rPr>
            </w:pPr>
          </w:p>
        </w:tc>
        <w:tc>
          <w:tcPr>
            <w:tcW w:w="5040" w:type="dxa"/>
            <w:gridSpan w:val="6"/>
            <w:vMerge/>
            <w:tcBorders>
              <w:right w:val="single" w:sz="4" w:space="0" w:color="auto"/>
            </w:tcBorders>
          </w:tcPr>
          <w:p w14:paraId="6B40E0A3" w14:textId="77777777" w:rsidR="00433D17" w:rsidRPr="00254BEE" w:rsidRDefault="00433D17" w:rsidP="000913C7">
            <w:pPr>
              <w:pStyle w:val="TableCellCenter"/>
              <w:spacing w:before="0" w:after="0" w:line="240" w:lineRule="auto"/>
              <w:jc w:val="left"/>
              <w:rPr>
                <w:rFonts w:ascii="Times New Roman" w:hAnsi="Times New Roman"/>
                <w:u w:val="single"/>
              </w:rPr>
            </w:pPr>
          </w:p>
        </w:tc>
      </w:tr>
      <w:tr w:rsidR="00433D17" w:rsidRPr="00254BEE" w14:paraId="78B29DC4" w14:textId="77777777" w:rsidTr="000913C7">
        <w:trPr>
          <w:cantSplit/>
          <w:trHeight w:val="273"/>
        </w:trPr>
        <w:tc>
          <w:tcPr>
            <w:tcW w:w="1230" w:type="dxa"/>
            <w:tcBorders>
              <w:top w:val="single" w:sz="6" w:space="0" w:color="auto"/>
              <w:left w:val="single" w:sz="4" w:space="0" w:color="auto"/>
              <w:right w:val="single" w:sz="6" w:space="0" w:color="auto"/>
            </w:tcBorders>
            <w:shd w:val="clear" w:color="auto" w:fill="FFFFFF"/>
          </w:tcPr>
          <w:p w14:paraId="40251FC6" w14:textId="77777777" w:rsidR="00433D17" w:rsidRPr="00254BEE" w:rsidRDefault="00433D17" w:rsidP="000913C7">
            <w:pPr>
              <w:pStyle w:val="TableCellCenter"/>
              <w:spacing w:before="0" w:after="0" w:line="240" w:lineRule="auto"/>
              <w:rPr>
                <w:rFonts w:ascii="Times New Roman" w:hAnsi="Times New Roman"/>
                <w:b/>
                <w:u w:val="single"/>
              </w:rPr>
            </w:pPr>
            <w:r w:rsidRPr="00254BEE">
              <w:rPr>
                <w:rFonts w:ascii="Times New Roman" w:hAnsi="Times New Roman"/>
                <w:b/>
                <w:u w:val="single"/>
              </w:rPr>
              <w:t>&gt;1100–1200</w:t>
            </w:r>
          </w:p>
        </w:tc>
        <w:tc>
          <w:tcPr>
            <w:tcW w:w="840" w:type="dxa"/>
            <w:tcBorders>
              <w:top w:val="single" w:sz="6" w:space="0" w:color="auto"/>
              <w:left w:val="single" w:sz="8" w:space="0" w:color="auto"/>
              <w:right w:val="single" w:sz="6" w:space="0" w:color="auto"/>
            </w:tcBorders>
            <w:shd w:val="clear" w:color="auto" w:fill="FFFFFF"/>
          </w:tcPr>
          <w:p w14:paraId="6B40D308"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600</w:t>
            </w:r>
          </w:p>
        </w:tc>
        <w:tc>
          <w:tcPr>
            <w:tcW w:w="720" w:type="dxa"/>
            <w:tcBorders>
              <w:top w:val="single" w:sz="6" w:space="0" w:color="auto"/>
              <w:left w:val="single" w:sz="8" w:space="0" w:color="auto"/>
              <w:right w:val="single" w:sz="4" w:space="0" w:color="auto"/>
            </w:tcBorders>
            <w:shd w:val="clear" w:color="auto" w:fill="FFFFFF"/>
          </w:tcPr>
          <w:p w14:paraId="30ECCD86"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600</w:t>
            </w:r>
          </w:p>
        </w:tc>
        <w:tc>
          <w:tcPr>
            <w:tcW w:w="840" w:type="dxa"/>
            <w:tcBorders>
              <w:top w:val="single" w:sz="4" w:space="0" w:color="auto"/>
              <w:left w:val="single" w:sz="4" w:space="0" w:color="auto"/>
            </w:tcBorders>
            <w:shd w:val="clear" w:color="auto" w:fill="FFFFFF"/>
          </w:tcPr>
          <w:p w14:paraId="07954BA6" w14:textId="77777777" w:rsidR="00433D17" w:rsidRPr="00254BEE" w:rsidRDefault="00433D17" w:rsidP="000913C7">
            <w:pPr>
              <w:pStyle w:val="TableCellCenter"/>
              <w:spacing w:before="0" w:after="0" w:line="240" w:lineRule="auto"/>
              <w:rPr>
                <w:rFonts w:ascii="Times New Roman" w:hAnsi="Times New Roman"/>
                <w:u w:val="single"/>
              </w:rPr>
            </w:pPr>
          </w:p>
        </w:tc>
        <w:tc>
          <w:tcPr>
            <w:tcW w:w="840" w:type="dxa"/>
          </w:tcPr>
          <w:p w14:paraId="0583DB1A" w14:textId="77777777" w:rsidR="00433D17" w:rsidRPr="00254BEE" w:rsidRDefault="00433D17" w:rsidP="000913C7">
            <w:pPr>
              <w:pStyle w:val="TableCellCenter"/>
              <w:spacing w:before="0" w:after="0" w:line="240" w:lineRule="auto"/>
              <w:rPr>
                <w:rFonts w:ascii="Times New Roman" w:hAnsi="Times New Roman"/>
                <w:u w:val="single"/>
              </w:rPr>
            </w:pPr>
          </w:p>
        </w:tc>
        <w:tc>
          <w:tcPr>
            <w:tcW w:w="5040" w:type="dxa"/>
            <w:gridSpan w:val="6"/>
            <w:vMerge/>
            <w:tcBorders>
              <w:right w:val="single" w:sz="4" w:space="0" w:color="auto"/>
            </w:tcBorders>
          </w:tcPr>
          <w:p w14:paraId="2E7925F9" w14:textId="77777777" w:rsidR="00433D17" w:rsidRPr="00254BEE" w:rsidRDefault="00433D17" w:rsidP="000913C7">
            <w:pPr>
              <w:pStyle w:val="TableCellCenter"/>
              <w:spacing w:before="0" w:after="0" w:line="240" w:lineRule="auto"/>
              <w:jc w:val="left"/>
              <w:rPr>
                <w:rFonts w:ascii="Times New Roman" w:hAnsi="Times New Roman"/>
                <w:u w:val="single"/>
              </w:rPr>
            </w:pPr>
          </w:p>
        </w:tc>
      </w:tr>
      <w:tr w:rsidR="00433D17" w:rsidRPr="00254BEE" w14:paraId="2C92A340" w14:textId="77777777" w:rsidTr="000913C7">
        <w:trPr>
          <w:cantSplit/>
          <w:trHeight w:val="160"/>
        </w:trPr>
        <w:tc>
          <w:tcPr>
            <w:tcW w:w="1230" w:type="dxa"/>
            <w:tcBorders>
              <w:top w:val="single" w:sz="8" w:space="0" w:color="auto"/>
              <w:left w:val="single" w:sz="4" w:space="0" w:color="auto"/>
              <w:bottom w:val="single" w:sz="4" w:space="0" w:color="auto"/>
              <w:right w:val="single" w:sz="6" w:space="0" w:color="auto"/>
            </w:tcBorders>
            <w:shd w:val="clear" w:color="auto" w:fill="FFFFFF"/>
          </w:tcPr>
          <w:p w14:paraId="775B6003" w14:textId="77777777" w:rsidR="00433D17" w:rsidRPr="00254BEE" w:rsidRDefault="00433D17" w:rsidP="000913C7">
            <w:pPr>
              <w:pStyle w:val="TableCellCenter"/>
              <w:spacing w:before="0" w:after="0" w:line="240" w:lineRule="auto"/>
              <w:rPr>
                <w:rFonts w:ascii="Times New Roman" w:hAnsi="Times New Roman"/>
                <w:b/>
                <w:u w:val="single"/>
              </w:rPr>
            </w:pPr>
            <w:r w:rsidRPr="00254BEE">
              <w:rPr>
                <w:rFonts w:ascii="Times New Roman" w:hAnsi="Times New Roman"/>
                <w:b/>
                <w:u w:val="single"/>
              </w:rPr>
              <w:t>&gt;1200–1300</w:t>
            </w:r>
          </w:p>
        </w:tc>
        <w:tc>
          <w:tcPr>
            <w:tcW w:w="840" w:type="dxa"/>
            <w:tcBorders>
              <w:top w:val="single" w:sz="8" w:space="0" w:color="auto"/>
              <w:left w:val="single" w:sz="6" w:space="0" w:color="auto"/>
              <w:bottom w:val="single" w:sz="4" w:space="0" w:color="auto"/>
              <w:right w:val="single" w:sz="6" w:space="0" w:color="auto"/>
            </w:tcBorders>
            <w:shd w:val="clear" w:color="auto" w:fill="FFFFFF"/>
          </w:tcPr>
          <w:p w14:paraId="077F3E04"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600</w:t>
            </w:r>
          </w:p>
        </w:tc>
        <w:tc>
          <w:tcPr>
            <w:tcW w:w="720" w:type="dxa"/>
            <w:tcBorders>
              <w:top w:val="single" w:sz="8" w:space="0" w:color="auto"/>
              <w:left w:val="single" w:sz="6" w:space="0" w:color="auto"/>
              <w:bottom w:val="single" w:sz="4" w:space="0" w:color="auto"/>
              <w:right w:val="single" w:sz="4" w:space="0" w:color="auto"/>
            </w:tcBorders>
            <w:shd w:val="clear" w:color="auto" w:fill="FFFFFF"/>
          </w:tcPr>
          <w:p w14:paraId="377ADAB9" w14:textId="77777777" w:rsidR="00433D17" w:rsidRPr="00254BEE" w:rsidRDefault="00433D17" w:rsidP="000913C7">
            <w:pPr>
              <w:pStyle w:val="TableCellCenter"/>
              <w:spacing w:before="0" w:after="0" w:line="240" w:lineRule="auto"/>
              <w:rPr>
                <w:rFonts w:ascii="Times New Roman" w:hAnsi="Times New Roman"/>
                <w:color w:val="000000" w:themeColor="text1"/>
                <w:u w:val="single"/>
              </w:rPr>
            </w:pPr>
            <w:r w:rsidRPr="00254BEE">
              <w:rPr>
                <w:rFonts w:ascii="Times New Roman" w:hAnsi="Times New Roman"/>
                <w:color w:val="000000" w:themeColor="text1"/>
                <w:u w:val="single"/>
              </w:rPr>
              <w:t>750</w:t>
            </w:r>
          </w:p>
        </w:tc>
        <w:tc>
          <w:tcPr>
            <w:tcW w:w="840" w:type="dxa"/>
            <w:tcBorders>
              <w:left w:val="single" w:sz="4" w:space="0" w:color="auto"/>
              <w:bottom w:val="single" w:sz="4" w:space="0" w:color="auto"/>
            </w:tcBorders>
            <w:shd w:val="clear" w:color="auto" w:fill="FFFFFF"/>
          </w:tcPr>
          <w:p w14:paraId="7F25B8AE" w14:textId="77777777" w:rsidR="00433D17" w:rsidRPr="00254BEE" w:rsidRDefault="00433D17" w:rsidP="000913C7">
            <w:pPr>
              <w:pStyle w:val="TableCellCenter"/>
              <w:spacing w:before="0" w:after="0" w:line="240" w:lineRule="auto"/>
              <w:rPr>
                <w:rFonts w:ascii="Times New Roman" w:hAnsi="Times New Roman"/>
                <w:u w:val="single"/>
              </w:rPr>
            </w:pPr>
          </w:p>
        </w:tc>
        <w:tc>
          <w:tcPr>
            <w:tcW w:w="840" w:type="dxa"/>
            <w:tcBorders>
              <w:bottom w:val="single" w:sz="4" w:space="0" w:color="auto"/>
            </w:tcBorders>
          </w:tcPr>
          <w:p w14:paraId="652AE45E" w14:textId="77777777" w:rsidR="00433D17" w:rsidRPr="00254BEE" w:rsidRDefault="00433D17" w:rsidP="000913C7">
            <w:pPr>
              <w:pStyle w:val="TableCellCenter"/>
              <w:spacing w:before="0" w:after="0" w:line="240" w:lineRule="auto"/>
              <w:rPr>
                <w:rFonts w:ascii="Times New Roman" w:hAnsi="Times New Roman"/>
                <w:u w:val="single"/>
              </w:rPr>
            </w:pPr>
          </w:p>
        </w:tc>
        <w:tc>
          <w:tcPr>
            <w:tcW w:w="5040" w:type="dxa"/>
            <w:gridSpan w:val="6"/>
            <w:vMerge/>
            <w:tcBorders>
              <w:bottom w:val="single" w:sz="4" w:space="0" w:color="auto"/>
              <w:right w:val="single" w:sz="4" w:space="0" w:color="auto"/>
            </w:tcBorders>
          </w:tcPr>
          <w:p w14:paraId="3987DF69" w14:textId="77777777" w:rsidR="00433D17" w:rsidRPr="00254BEE" w:rsidRDefault="00433D17" w:rsidP="000913C7">
            <w:pPr>
              <w:pStyle w:val="TableCellCenter"/>
              <w:spacing w:before="0" w:after="0" w:line="240" w:lineRule="auto"/>
              <w:jc w:val="left"/>
              <w:rPr>
                <w:rFonts w:ascii="Times New Roman" w:hAnsi="Times New Roman"/>
                <w:u w:val="single"/>
              </w:rPr>
            </w:pPr>
          </w:p>
        </w:tc>
      </w:tr>
    </w:tbl>
    <w:p w14:paraId="108D9B81" w14:textId="77777777" w:rsidR="00433D17" w:rsidRPr="00254BEE" w:rsidRDefault="00433D17" w:rsidP="00286336">
      <w:pPr>
        <w:rPr>
          <w:color w:val="000000" w:themeColor="text1"/>
        </w:rPr>
      </w:pPr>
    </w:p>
    <w:p w14:paraId="239361C2" w14:textId="77777777" w:rsidR="00433D17" w:rsidRPr="00254BEE" w:rsidRDefault="00433D17" w:rsidP="00286336">
      <w:pPr>
        <w:rPr>
          <w:color w:val="000000" w:themeColor="text1"/>
        </w:rPr>
      </w:pPr>
    </w:p>
    <w:p w14:paraId="681A044D" w14:textId="77777777" w:rsidR="00D8347D" w:rsidRPr="00254BEE" w:rsidRDefault="000A76C3" w:rsidP="00433D17">
      <w:pPr>
        <w:rPr>
          <w:color w:val="000000" w:themeColor="text1"/>
        </w:rPr>
      </w:pPr>
      <w:r w:rsidRPr="00254BEE">
        <w:rPr>
          <w:color w:val="000000" w:themeColor="text1"/>
        </w:rPr>
        <w:t xml:space="preserve">Doses greater than 750 mg were not studied in the pivotal clinical studies and are not recommended.  </w:t>
      </w:r>
    </w:p>
    <w:p w14:paraId="4923D9FC" w14:textId="77777777" w:rsidR="00D8347D" w:rsidRPr="00254BEE" w:rsidRDefault="00D8347D" w:rsidP="00E83767">
      <w:pPr>
        <w:rPr>
          <w:color w:val="000000" w:themeColor="text1"/>
        </w:rPr>
      </w:pPr>
    </w:p>
    <w:p w14:paraId="7F6E747B" w14:textId="77777777" w:rsidR="003D4133" w:rsidRPr="00254BEE" w:rsidRDefault="000A76C3" w:rsidP="004D3AE9">
      <w:pPr>
        <w:rPr>
          <w:color w:val="000000" w:themeColor="text1"/>
        </w:rPr>
      </w:pPr>
      <w:r w:rsidRPr="00E0007D">
        <w:rPr>
          <w:color w:val="000000" w:themeColor="text1"/>
          <w:szCs w:val="24"/>
        </w:rPr>
        <w:t xml:space="preserve">Patients with severe asthma and a baseline IgE lower than 76 IU/mL were less likely to experience benefit (see CLINICAL TRIALS). Prescribing physicians should ensure that </w:t>
      </w:r>
      <w:r w:rsidR="00E0007D" w:rsidRPr="00E0007D">
        <w:rPr>
          <w:color w:val="000000"/>
          <w:szCs w:val="24"/>
        </w:rPr>
        <w:t xml:space="preserve">adult and adolescent </w:t>
      </w:r>
      <w:r w:rsidRPr="00E0007D">
        <w:rPr>
          <w:color w:val="000000" w:themeColor="text1"/>
          <w:szCs w:val="24"/>
        </w:rPr>
        <w:t>patients with IgE below 76 IU/ml</w:t>
      </w:r>
      <w:r w:rsidR="00E0007D" w:rsidRPr="00E0007D">
        <w:rPr>
          <w:color w:val="000000" w:themeColor="text1"/>
          <w:szCs w:val="24"/>
        </w:rPr>
        <w:t xml:space="preserve"> </w:t>
      </w:r>
      <w:r w:rsidR="00E0007D" w:rsidRPr="00E0007D">
        <w:rPr>
          <w:color w:val="000000"/>
          <w:szCs w:val="24"/>
        </w:rPr>
        <w:t>and children (6 to &lt; 12 years of age) with IgE below 200 IU/ml</w:t>
      </w:r>
      <w:r w:rsidRPr="00E0007D">
        <w:rPr>
          <w:color w:val="000000" w:themeColor="text1"/>
          <w:szCs w:val="24"/>
        </w:rPr>
        <w:t xml:space="preserve"> have unequivocal in vitro reactivity (RAST) to a perennial allergen before starting therapy</w:t>
      </w:r>
      <w:r w:rsidRPr="00254BEE">
        <w:rPr>
          <w:color w:val="000000" w:themeColor="text1"/>
        </w:rPr>
        <w:t>.</w:t>
      </w:r>
    </w:p>
    <w:p w14:paraId="4B778E04" w14:textId="77777777" w:rsidR="00ED41D0" w:rsidRDefault="00ED41D0" w:rsidP="00ED41D0">
      <w:pPr>
        <w:pStyle w:val="PIParagraph0"/>
        <w:spacing w:after="0" w:line="240" w:lineRule="auto"/>
        <w:jc w:val="left"/>
        <w:rPr>
          <w:rFonts w:ascii="Times New Roman" w:hAnsi="Times New Roman"/>
          <w:color w:val="000000" w:themeColor="text1"/>
        </w:rPr>
      </w:pPr>
    </w:p>
    <w:p w14:paraId="7589E8A2" w14:textId="3A97D0C0" w:rsidR="00BD5A6D" w:rsidRPr="00254BEE" w:rsidRDefault="00EE5F16" w:rsidP="00BD5A6D">
      <w:pPr>
        <w:pStyle w:val="PIParagraph0"/>
        <w:spacing w:after="0" w:line="240" w:lineRule="auto"/>
        <w:jc w:val="left"/>
        <w:rPr>
          <w:rFonts w:ascii="Times New Roman" w:hAnsi="Times New Roman"/>
          <w:b/>
          <w:color w:val="000000" w:themeColor="text1"/>
        </w:rPr>
      </w:pPr>
      <w:r w:rsidRPr="004F75B2">
        <w:rPr>
          <w:color w:val="000000"/>
          <w:szCs w:val="24"/>
        </w:rPr>
        <w:lastRenderedPageBreak/>
        <w:t>The prescribing of Xolair in children with asthma should be done in conjunction with a paediatrician, respiratory physician or immunologist.</w:t>
      </w:r>
      <w:r>
        <w:rPr>
          <w:color w:val="1F497D"/>
        </w:rPr>
        <w:t xml:space="preserve"> </w:t>
      </w:r>
      <w:r w:rsidR="00ED41D0">
        <w:rPr>
          <w:rFonts w:ascii="Bookman Old Style" w:hAnsi="Bookman Old Style"/>
          <w:lang w:val="en-AU"/>
        </w:rPr>
        <w:t xml:space="preserve"> </w:t>
      </w:r>
      <w:r w:rsidR="00ED41D0" w:rsidRPr="00254BEE">
        <w:rPr>
          <w:b/>
          <w:color w:val="000000" w:themeColor="text1"/>
        </w:rPr>
        <w:br w:type="page"/>
      </w:r>
      <w:r w:rsidR="00BD5A6D" w:rsidRPr="00254BEE">
        <w:rPr>
          <w:rFonts w:ascii="Times New Roman" w:hAnsi="Times New Roman"/>
          <w:b/>
          <w:color w:val="000000" w:themeColor="text1"/>
        </w:rPr>
        <w:lastRenderedPageBreak/>
        <w:t>Table 11: Number of injections and total injection volumes.</w:t>
      </w:r>
    </w:p>
    <w:p w14:paraId="46AE8071" w14:textId="77777777" w:rsidR="00BD5A6D" w:rsidRPr="00254BEE" w:rsidRDefault="00BD5A6D" w:rsidP="00BD5A6D">
      <w:pPr>
        <w:pStyle w:val="PIListItem"/>
        <w:spacing w:before="0" w:after="0" w:line="240" w:lineRule="auto"/>
        <w:jc w:val="left"/>
        <w:rPr>
          <w:rFonts w:ascii="Times New Roman" w:hAnsi="Times New Roman"/>
          <w:color w:val="000000" w:themeColor="text1"/>
        </w:rPr>
      </w:pPr>
    </w:p>
    <w:tbl>
      <w:tblPr>
        <w:tblW w:w="9105" w:type="dxa"/>
        <w:jc w:val="center"/>
        <w:tblLayout w:type="fixed"/>
        <w:tblCellMar>
          <w:left w:w="57" w:type="dxa"/>
          <w:right w:w="57" w:type="dxa"/>
        </w:tblCellMar>
        <w:tblLook w:val="0000" w:firstRow="0" w:lastRow="0" w:firstColumn="0" w:lastColumn="0" w:noHBand="0" w:noVBand="0"/>
      </w:tblPr>
      <w:tblGrid>
        <w:gridCol w:w="1494"/>
        <w:gridCol w:w="1268"/>
        <w:gridCol w:w="1269"/>
        <w:gridCol w:w="2537"/>
        <w:gridCol w:w="2537"/>
      </w:tblGrid>
      <w:tr w:rsidR="00BD5A6D" w:rsidRPr="00254BEE" w14:paraId="21A3B636" w14:textId="77777777" w:rsidTr="00F14A42">
        <w:trPr>
          <w:trHeight w:val="320"/>
          <w:jc w:val="center"/>
        </w:trPr>
        <w:tc>
          <w:tcPr>
            <w:tcW w:w="1494" w:type="dxa"/>
            <w:vMerge w:val="restart"/>
            <w:tcBorders>
              <w:top w:val="single" w:sz="8" w:space="0" w:color="auto"/>
              <w:left w:val="single" w:sz="8" w:space="0" w:color="auto"/>
            </w:tcBorders>
            <w:vAlign w:val="bottom"/>
          </w:tcPr>
          <w:p w14:paraId="2F8256FA" w14:textId="77777777" w:rsidR="00BD5A6D" w:rsidRPr="00254BEE" w:rsidRDefault="00BD5A6D" w:rsidP="00F14A42">
            <w:pPr>
              <w:pStyle w:val="TableCellCenter"/>
              <w:spacing w:before="0" w:after="0" w:line="240" w:lineRule="auto"/>
              <w:rPr>
                <w:rFonts w:ascii="Times New Roman" w:hAnsi="Times New Roman"/>
                <w:b/>
                <w:color w:val="000000" w:themeColor="text1"/>
                <w:sz w:val="24"/>
              </w:rPr>
            </w:pPr>
            <w:r w:rsidRPr="00254BEE">
              <w:rPr>
                <w:rFonts w:ascii="Times New Roman" w:hAnsi="Times New Roman"/>
                <w:b/>
                <w:color w:val="000000" w:themeColor="text1"/>
                <w:sz w:val="24"/>
              </w:rPr>
              <w:t>Dose (mg)</w:t>
            </w:r>
          </w:p>
        </w:tc>
        <w:tc>
          <w:tcPr>
            <w:tcW w:w="2537" w:type="dxa"/>
            <w:gridSpan w:val="2"/>
            <w:tcBorders>
              <w:top w:val="single" w:sz="8" w:space="0" w:color="auto"/>
            </w:tcBorders>
            <w:shd w:val="clear" w:color="auto" w:fill="auto"/>
          </w:tcPr>
          <w:p w14:paraId="364F8C30" w14:textId="77777777" w:rsidR="00BD5A6D" w:rsidRPr="00254BEE" w:rsidRDefault="00BD5A6D" w:rsidP="00F14A42">
            <w:pPr>
              <w:pStyle w:val="TableCellCenter"/>
              <w:spacing w:before="0" w:after="0" w:line="240" w:lineRule="auto"/>
              <w:rPr>
                <w:rFonts w:ascii="Times New Roman" w:hAnsi="Times New Roman"/>
                <w:b/>
                <w:color w:val="000000" w:themeColor="text1"/>
                <w:sz w:val="24"/>
              </w:rPr>
            </w:pPr>
            <w:r w:rsidRPr="00254BEE">
              <w:rPr>
                <w:rFonts w:ascii="Times New Roman" w:hAnsi="Times New Roman"/>
                <w:b/>
                <w:color w:val="000000" w:themeColor="text1"/>
                <w:sz w:val="24"/>
              </w:rPr>
              <w:t xml:space="preserve">Number of vials </w:t>
            </w:r>
          </w:p>
        </w:tc>
        <w:tc>
          <w:tcPr>
            <w:tcW w:w="2537" w:type="dxa"/>
            <w:vMerge w:val="restart"/>
            <w:tcBorders>
              <w:top w:val="single" w:sz="8" w:space="0" w:color="auto"/>
            </w:tcBorders>
            <w:vAlign w:val="bottom"/>
          </w:tcPr>
          <w:p w14:paraId="24C1DF56" w14:textId="77777777" w:rsidR="00BD5A6D" w:rsidRPr="00254BEE" w:rsidRDefault="00BD5A6D" w:rsidP="00F14A42">
            <w:pPr>
              <w:pStyle w:val="TableCellCenter"/>
              <w:spacing w:before="0" w:after="0" w:line="240" w:lineRule="auto"/>
              <w:rPr>
                <w:rFonts w:ascii="Times New Roman" w:hAnsi="Times New Roman"/>
                <w:b/>
                <w:color w:val="000000" w:themeColor="text1"/>
                <w:sz w:val="24"/>
              </w:rPr>
            </w:pPr>
            <w:r w:rsidRPr="00254BEE">
              <w:rPr>
                <w:rFonts w:ascii="Times New Roman" w:hAnsi="Times New Roman"/>
                <w:b/>
                <w:color w:val="000000" w:themeColor="text1"/>
                <w:sz w:val="24"/>
              </w:rPr>
              <w:t>Number of injections</w:t>
            </w:r>
            <w:r w:rsidRPr="00254BEE">
              <w:rPr>
                <w:rFonts w:ascii="Times New Roman" w:hAnsi="Times New Roman"/>
                <w:b/>
                <w:color w:val="000000" w:themeColor="text1"/>
                <w:sz w:val="24"/>
              </w:rPr>
              <w:br/>
            </w:r>
          </w:p>
        </w:tc>
        <w:tc>
          <w:tcPr>
            <w:tcW w:w="2537" w:type="dxa"/>
            <w:vMerge w:val="restart"/>
            <w:tcBorders>
              <w:top w:val="single" w:sz="8" w:space="0" w:color="auto"/>
              <w:right w:val="single" w:sz="8" w:space="0" w:color="auto"/>
            </w:tcBorders>
            <w:vAlign w:val="bottom"/>
          </w:tcPr>
          <w:p w14:paraId="3CA1AE2D" w14:textId="77777777" w:rsidR="00BD5A6D" w:rsidRPr="00254BEE" w:rsidRDefault="00BD5A6D" w:rsidP="00F14A42">
            <w:pPr>
              <w:pStyle w:val="TableCellCenter"/>
              <w:spacing w:before="0" w:after="0" w:line="240" w:lineRule="auto"/>
              <w:rPr>
                <w:rFonts w:ascii="Times New Roman" w:hAnsi="Times New Roman"/>
                <w:b/>
                <w:color w:val="000000" w:themeColor="text1"/>
                <w:sz w:val="24"/>
              </w:rPr>
            </w:pPr>
            <w:r w:rsidRPr="00254BEE">
              <w:rPr>
                <w:rFonts w:ascii="Times New Roman" w:hAnsi="Times New Roman"/>
                <w:b/>
                <w:color w:val="000000" w:themeColor="text1"/>
                <w:sz w:val="24"/>
              </w:rPr>
              <w:t>Total volume injected</w:t>
            </w:r>
            <w:r w:rsidRPr="00254BEE">
              <w:rPr>
                <w:rFonts w:ascii="Times New Roman" w:hAnsi="Times New Roman"/>
                <w:b/>
                <w:color w:val="000000" w:themeColor="text1"/>
                <w:sz w:val="24"/>
              </w:rPr>
              <w:br/>
              <w:t>(mL)</w:t>
            </w:r>
            <w:r w:rsidRPr="00254BEE">
              <w:rPr>
                <w:rFonts w:ascii="Times New Roman" w:hAnsi="Times New Roman"/>
                <w:b/>
                <w:color w:val="000000" w:themeColor="text1"/>
                <w:sz w:val="24"/>
                <w:vertAlign w:val="superscript"/>
              </w:rPr>
              <w:t>a</w:t>
            </w:r>
          </w:p>
        </w:tc>
      </w:tr>
      <w:tr w:rsidR="00BD5A6D" w:rsidRPr="00254BEE" w14:paraId="1158F983" w14:textId="77777777" w:rsidTr="00F14A42">
        <w:trPr>
          <w:trHeight w:val="320"/>
          <w:jc w:val="center"/>
        </w:trPr>
        <w:tc>
          <w:tcPr>
            <w:tcW w:w="1494" w:type="dxa"/>
            <w:vMerge/>
            <w:tcBorders>
              <w:left w:val="single" w:sz="8" w:space="0" w:color="auto"/>
              <w:bottom w:val="single" w:sz="8" w:space="0" w:color="auto"/>
            </w:tcBorders>
            <w:vAlign w:val="bottom"/>
          </w:tcPr>
          <w:p w14:paraId="2092027F" w14:textId="77777777" w:rsidR="00BD5A6D" w:rsidRPr="00254BEE" w:rsidRDefault="00BD5A6D" w:rsidP="00F14A42">
            <w:pPr>
              <w:pStyle w:val="TableCellCenter"/>
              <w:spacing w:before="0" w:after="0" w:line="240" w:lineRule="auto"/>
              <w:rPr>
                <w:rFonts w:ascii="Times New Roman" w:hAnsi="Times New Roman"/>
                <w:b/>
                <w:color w:val="000000" w:themeColor="text1"/>
                <w:sz w:val="24"/>
              </w:rPr>
            </w:pPr>
          </w:p>
        </w:tc>
        <w:tc>
          <w:tcPr>
            <w:tcW w:w="1268" w:type="dxa"/>
            <w:tcBorders>
              <w:bottom w:val="single" w:sz="8" w:space="0" w:color="auto"/>
            </w:tcBorders>
            <w:shd w:val="clear" w:color="auto" w:fill="auto"/>
          </w:tcPr>
          <w:p w14:paraId="1C76838D" w14:textId="77777777" w:rsidR="00BD5A6D" w:rsidRPr="00254BEE" w:rsidRDefault="00BD5A6D" w:rsidP="00F14A42">
            <w:pPr>
              <w:pStyle w:val="TableCellCenter"/>
              <w:spacing w:before="0" w:after="0" w:line="240" w:lineRule="auto"/>
              <w:rPr>
                <w:rFonts w:ascii="Times New Roman" w:hAnsi="Times New Roman"/>
                <w:b/>
                <w:color w:val="000000" w:themeColor="text1"/>
                <w:sz w:val="24"/>
              </w:rPr>
            </w:pPr>
            <w:r w:rsidRPr="00254BEE">
              <w:rPr>
                <w:rFonts w:ascii="Times New Roman" w:hAnsi="Times New Roman"/>
                <w:b/>
                <w:color w:val="000000" w:themeColor="text1"/>
                <w:sz w:val="24"/>
              </w:rPr>
              <w:t>75 mg</w:t>
            </w:r>
          </w:p>
        </w:tc>
        <w:tc>
          <w:tcPr>
            <w:tcW w:w="1269" w:type="dxa"/>
            <w:tcBorders>
              <w:bottom w:val="single" w:sz="8" w:space="0" w:color="auto"/>
            </w:tcBorders>
            <w:shd w:val="clear" w:color="auto" w:fill="auto"/>
          </w:tcPr>
          <w:p w14:paraId="09A181A8" w14:textId="77777777" w:rsidR="00BD5A6D" w:rsidRPr="00254BEE" w:rsidRDefault="00BD5A6D" w:rsidP="00F14A42">
            <w:pPr>
              <w:pStyle w:val="TableCellCenter"/>
              <w:spacing w:before="0" w:after="0" w:line="240" w:lineRule="auto"/>
              <w:rPr>
                <w:rFonts w:ascii="Times New Roman" w:hAnsi="Times New Roman"/>
                <w:b/>
                <w:color w:val="000000" w:themeColor="text1"/>
                <w:sz w:val="24"/>
              </w:rPr>
            </w:pPr>
            <w:r w:rsidRPr="00254BEE">
              <w:rPr>
                <w:rFonts w:ascii="Times New Roman" w:hAnsi="Times New Roman"/>
                <w:b/>
                <w:color w:val="000000" w:themeColor="text1"/>
                <w:sz w:val="24"/>
              </w:rPr>
              <w:t>150 mg</w:t>
            </w:r>
          </w:p>
        </w:tc>
        <w:tc>
          <w:tcPr>
            <w:tcW w:w="2537" w:type="dxa"/>
            <w:vMerge/>
            <w:tcBorders>
              <w:bottom w:val="single" w:sz="8" w:space="0" w:color="auto"/>
            </w:tcBorders>
            <w:vAlign w:val="bottom"/>
          </w:tcPr>
          <w:p w14:paraId="13F7BDCF" w14:textId="77777777" w:rsidR="00BD5A6D" w:rsidRPr="00254BEE" w:rsidRDefault="00BD5A6D" w:rsidP="00F14A42">
            <w:pPr>
              <w:pStyle w:val="TableCellCenter"/>
              <w:spacing w:before="0" w:after="0" w:line="240" w:lineRule="auto"/>
              <w:rPr>
                <w:rFonts w:ascii="Times New Roman" w:hAnsi="Times New Roman"/>
                <w:b/>
                <w:color w:val="000000" w:themeColor="text1"/>
                <w:sz w:val="24"/>
              </w:rPr>
            </w:pPr>
          </w:p>
        </w:tc>
        <w:tc>
          <w:tcPr>
            <w:tcW w:w="2537" w:type="dxa"/>
            <w:vMerge/>
            <w:tcBorders>
              <w:bottom w:val="single" w:sz="8" w:space="0" w:color="auto"/>
              <w:right w:val="single" w:sz="8" w:space="0" w:color="auto"/>
            </w:tcBorders>
            <w:vAlign w:val="bottom"/>
          </w:tcPr>
          <w:p w14:paraId="22397562" w14:textId="77777777" w:rsidR="00BD5A6D" w:rsidRPr="00254BEE" w:rsidRDefault="00BD5A6D" w:rsidP="00F14A42">
            <w:pPr>
              <w:pStyle w:val="TableCellCenter"/>
              <w:spacing w:before="0" w:after="0" w:line="240" w:lineRule="auto"/>
              <w:rPr>
                <w:rFonts w:ascii="Times New Roman" w:hAnsi="Times New Roman"/>
                <w:b/>
                <w:color w:val="000000" w:themeColor="text1"/>
                <w:sz w:val="24"/>
              </w:rPr>
            </w:pPr>
          </w:p>
        </w:tc>
      </w:tr>
      <w:tr w:rsidR="00BD5A6D" w:rsidRPr="00254BEE" w14:paraId="06643A61" w14:textId="77777777" w:rsidTr="00F14A42">
        <w:trPr>
          <w:jc w:val="center"/>
        </w:trPr>
        <w:tc>
          <w:tcPr>
            <w:tcW w:w="1494" w:type="dxa"/>
            <w:tcBorders>
              <w:left w:val="single" w:sz="8" w:space="0" w:color="auto"/>
            </w:tcBorders>
          </w:tcPr>
          <w:p w14:paraId="1D68BFF4" w14:textId="77777777" w:rsidR="00BD5A6D" w:rsidRPr="00254BEE" w:rsidRDefault="00BD5A6D" w:rsidP="00F14A42">
            <w:pPr>
              <w:pStyle w:val="TableCellCenter"/>
              <w:spacing w:before="0" w:after="0" w:line="240" w:lineRule="auto"/>
              <w:rPr>
                <w:rFonts w:ascii="Times New Roman" w:hAnsi="Times New Roman"/>
                <w:color w:val="000000" w:themeColor="text1"/>
                <w:sz w:val="24"/>
              </w:rPr>
            </w:pPr>
            <w:r w:rsidRPr="00254BEE">
              <w:rPr>
                <w:rFonts w:ascii="Times New Roman" w:hAnsi="Times New Roman"/>
                <w:color w:val="000000" w:themeColor="text1"/>
                <w:sz w:val="24"/>
              </w:rPr>
              <w:t>75</w:t>
            </w:r>
          </w:p>
        </w:tc>
        <w:tc>
          <w:tcPr>
            <w:tcW w:w="1268" w:type="dxa"/>
            <w:tcBorders>
              <w:top w:val="single" w:sz="8" w:space="0" w:color="auto"/>
            </w:tcBorders>
            <w:shd w:val="clear" w:color="auto" w:fill="auto"/>
          </w:tcPr>
          <w:p w14:paraId="5698B14E" w14:textId="77777777" w:rsidR="00BD5A6D" w:rsidRPr="00254BEE" w:rsidRDefault="00BD5A6D" w:rsidP="00F14A42">
            <w:pPr>
              <w:pStyle w:val="TableCellCenter"/>
              <w:spacing w:before="0" w:after="0" w:line="240" w:lineRule="auto"/>
              <w:rPr>
                <w:rFonts w:ascii="Times New Roman" w:hAnsi="Times New Roman"/>
                <w:color w:val="000000" w:themeColor="text1"/>
                <w:sz w:val="24"/>
              </w:rPr>
            </w:pPr>
            <w:r w:rsidRPr="00254BEE">
              <w:rPr>
                <w:rFonts w:ascii="Times New Roman" w:hAnsi="Times New Roman"/>
                <w:color w:val="000000" w:themeColor="text1"/>
                <w:sz w:val="24"/>
              </w:rPr>
              <w:t>1</w:t>
            </w:r>
          </w:p>
        </w:tc>
        <w:tc>
          <w:tcPr>
            <w:tcW w:w="1269" w:type="dxa"/>
            <w:tcBorders>
              <w:top w:val="single" w:sz="8" w:space="0" w:color="auto"/>
            </w:tcBorders>
            <w:shd w:val="clear" w:color="auto" w:fill="auto"/>
          </w:tcPr>
          <w:p w14:paraId="3AD6E9FC" w14:textId="77777777" w:rsidR="00BD5A6D" w:rsidRPr="00254BEE" w:rsidRDefault="00BD5A6D" w:rsidP="00F14A42">
            <w:pPr>
              <w:pStyle w:val="TableCellCenter"/>
              <w:spacing w:before="0" w:after="0" w:line="240" w:lineRule="auto"/>
              <w:rPr>
                <w:rFonts w:ascii="Times New Roman" w:hAnsi="Times New Roman"/>
                <w:color w:val="000000" w:themeColor="text1"/>
                <w:sz w:val="24"/>
              </w:rPr>
            </w:pPr>
            <w:r w:rsidRPr="00254BEE">
              <w:rPr>
                <w:rFonts w:ascii="Times New Roman" w:hAnsi="Times New Roman"/>
                <w:color w:val="000000" w:themeColor="text1"/>
                <w:sz w:val="24"/>
              </w:rPr>
              <w:t>0</w:t>
            </w:r>
          </w:p>
        </w:tc>
        <w:tc>
          <w:tcPr>
            <w:tcW w:w="2537" w:type="dxa"/>
            <w:tcBorders>
              <w:top w:val="single" w:sz="8" w:space="0" w:color="auto"/>
            </w:tcBorders>
          </w:tcPr>
          <w:p w14:paraId="61DB2A8F" w14:textId="77777777" w:rsidR="00BD5A6D" w:rsidRPr="00254BEE" w:rsidRDefault="00BD5A6D" w:rsidP="00F14A42">
            <w:pPr>
              <w:pStyle w:val="TableCellCenter"/>
              <w:spacing w:before="0" w:after="0" w:line="240" w:lineRule="auto"/>
              <w:rPr>
                <w:rFonts w:ascii="Times New Roman" w:hAnsi="Times New Roman"/>
                <w:color w:val="000000" w:themeColor="text1"/>
                <w:sz w:val="24"/>
              </w:rPr>
            </w:pPr>
            <w:r w:rsidRPr="00254BEE">
              <w:rPr>
                <w:rFonts w:ascii="Times New Roman" w:hAnsi="Times New Roman"/>
                <w:color w:val="000000" w:themeColor="text1"/>
                <w:sz w:val="24"/>
              </w:rPr>
              <w:t>1</w:t>
            </w:r>
          </w:p>
        </w:tc>
        <w:tc>
          <w:tcPr>
            <w:tcW w:w="2537" w:type="dxa"/>
            <w:tcBorders>
              <w:right w:val="single" w:sz="8" w:space="0" w:color="auto"/>
            </w:tcBorders>
          </w:tcPr>
          <w:p w14:paraId="2FFC8AC3" w14:textId="77777777" w:rsidR="00BD5A6D" w:rsidRPr="00254BEE" w:rsidRDefault="00BD5A6D" w:rsidP="00F14A42">
            <w:pPr>
              <w:pStyle w:val="TableCellCenter"/>
              <w:spacing w:before="0" w:after="0" w:line="240" w:lineRule="auto"/>
              <w:rPr>
                <w:rFonts w:ascii="Times New Roman" w:hAnsi="Times New Roman"/>
                <w:color w:val="000000" w:themeColor="text1"/>
                <w:sz w:val="24"/>
              </w:rPr>
            </w:pPr>
            <w:r w:rsidRPr="00254BEE">
              <w:rPr>
                <w:rFonts w:ascii="Times New Roman" w:hAnsi="Times New Roman"/>
                <w:color w:val="000000" w:themeColor="text1"/>
                <w:sz w:val="24"/>
              </w:rPr>
              <w:t>0.6</w:t>
            </w:r>
          </w:p>
        </w:tc>
      </w:tr>
      <w:tr w:rsidR="00BD5A6D" w:rsidRPr="00254BEE" w14:paraId="46F898FA" w14:textId="77777777" w:rsidTr="00F14A42">
        <w:trPr>
          <w:jc w:val="center"/>
        </w:trPr>
        <w:tc>
          <w:tcPr>
            <w:tcW w:w="1494" w:type="dxa"/>
            <w:tcBorders>
              <w:left w:val="single" w:sz="8" w:space="0" w:color="auto"/>
            </w:tcBorders>
          </w:tcPr>
          <w:p w14:paraId="4E203F0E" w14:textId="77777777" w:rsidR="00BD5A6D" w:rsidRPr="00254BEE" w:rsidRDefault="00BD5A6D" w:rsidP="00F14A42">
            <w:pPr>
              <w:pStyle w:val="TableCellCenter"/>
              <w:spacing w:before="0" w:after="0" w:line="240" w:lineRule="auto"/>
              <w:rPr>
                <w:rFonts w:ascii="Times New Roman" w:hAnsi="Times New Roman"/>
                <w:color w:val="000000" w:themeColor="text1"/>
                <w:sz w:val="24"/>
              </w:rPr>
            </w:pPr>
            <w:r w:rsidRPr="00254BEE">
              <w:rPr>
                <w:rFonts w:ascii="Times New Roman" w:hAnsi="Times New Roman"/>
                <w:color w:val="000000" w:themeColor="text1"/>
                <w:sz w:val="24"/>
              </w:rPr>
              <w:t>150</w:t>
            </w:r>
          </w:p>
        </w:tc>
        <w:tc>
          <w:tcPr>
            <w:tcW w:w="1268" w:type="dxa"/>
            <w:shd w:val="clear" w:color="auto" w:fill="auto"/>
          </w:tcPr>
          <w:p w14:paraId="461FCF2E" w14:textId="77777777" w:rsidR="00BD5A6D" w:rsidRPr="00254BEE" w:rsidRDefault="00BD5A6D" w:rsidP="00F14A42">
            <w:pPr>
              <w:pStyle w:val="TableCellCenter"/>
              <w:spacing w:before="0" w:after="0" w:line="240" w:lineRule="auto"/>
              <w:rPr>
                <w:rFonts w:ascii="Times New Roman" w:hAnsi="Times New Roman"/>
                <w:color w:val="000000" w:themeColor="text1"/>
                <w:sz w:val="24"/>
              </w:rPr>
            </w:pPr>
            <w:r w:rsidRPr="00254BEE">
              <w:rPr>
                <w:rFonts w:ascii="Times New Roman" w:hAnsi="Times New Roman"/>
                <w:color w:val="000000" w:themeColor="text1"/>
                <w:sz w:val="24"/>
              </w:rPr>
              <w:t>0</w:t>
            </w:r>
          </w:p>
        </w:tc>
        <w:tc>
          <w:tcPr>
            <w:tcW w:w="1269" w:type="dxa"/>
            <w:shd w:val="clear" w:color="auto" w:fill="auto"/>
          </w:tcPr>
          <w:p w14:paraId="4D5C0269" w14:textId="77777777" w:rsidR="00BD5A6D" w:rsidRPr="00254BEE" w:rsidRDefault="00BD5A6D" w:rsidP="00F14A42">
            <w:pPr>
              <w:pStyle w:val="TableCellCenter"/>
              <w:spacing w:before="0" w:after="0" w:line="240" w:lineRule="auto"/>
              <w:rPr>
                <w:rFonts w:ascii="Times New Roman" w:hAnsi="Times New Roman"/>
                <w:color w:val="000000" w:themeColor="text1"/>
                <w:sz w:val="24"/>
              </w:rPr>
            </w:pPr>
            <w:r w:rsidRPr="00254BEE">
              <w:rPr>
                <w:rFonts w:ascii="Times New Roman" w:hAnsi="Times New Roman"/>
                <w:color w:val="000000" w:themeColor="text1"/>
                <w:sz w:val="24"/>
              </w:rPr>
              <w:t>1</w:t>
            </w:r>
          </w:p>
        </w:tc>
        <w:tc>
          <w:tcPr>
            <w:tcW w:w="2537" w:type="dxa"/>
          </w:tcPr>
          <w:p w14:paraId="5DD542CB" w14:textId="77777777" w:rsidR="00BD5A6D" w:rsidRPr="00254BEE" w:rsidRDefault="00BD5A6D" w:rsidP="00F14A42">
            <w:pPr>
              <w:pStyle w:val="TableCellCenter"/>
              <w:spacing w:before="0" w:after="0" w:line="240" w:lineRule="auto"/>
              <w:rPr>
                <w:rFonts w:ascii="Times New Roman" w:hAnsi="Times New Roman"/>
                <w:color w:val="000000" w:themeColor="text1"/>
                <w:sz w:val="24"/>
              </w:rPr>
            </w:pPr>
            <w:r w:rsidRPr="00254BEE">
              <w:rPr>
                <w:rFonts w:ascii="Times New Roman" w:hAnsi="Times New Roman"/>
                <w:color w:val="000000" w:themeColor="text1"/>
                <w:sz w:val="24"/>
              </w:rPr>
              <w:t>1</w:t>
            </w:r>
          </w:p>
        </w:tc>
        <w:tc>
          <w:tcPr>
            <w:tcW w:w="2537" w:type="dxa"/>
            <w:tcBorders>
              <w:right w:val="single" w:sz="8" w:space="0" w:color="auto"/>
            </w:tcBorders>
          </w:tcPr>
          <w:p w14:paraId="59705EFB" w14:textId="77777777" w:rsidR="00BD5A6D" w:rsidRPr="00254BEE" w:rsidRDefault="00BD5A6D" w:rsidP="00F14A42">
            <w:pPr>
              <w:pStyle w:val="TableCellCenter"/>
              <w:spacing w:before="0" w:after="0" w:line="240" w:lineRule="auto"/>
              <w:rPr>
                <w:rFonts w:ascii="Times New Roman" w:hAnsi="Times New Roman"/>
                <w:color w:val="000000" w:themeColor="text1"/>
                <w:sz w:val="24"/>
              </w:rPr>
            </w:pPr>
            <w:r w:rsidRPr="00254BEE">
              <w:rPr>
                <w:rFonts w:ascii="Times New Roman" w:hAnsi="Times New Roman"/>
                <w:color w:val="000000" w:themeColor="text1"/>
                <w:sz w:val="24"/>
              </w:rPr>
              <w:t>1.2</w:t>
            </w:r>
          </w:p>
        </w:tc>
      </w:tr>
      <w:tr w:rsidR="00BD5A6D" w:rsidRPr="00254BEE" w14:paraId="7F6F955C" w14:textId="77777777" w:rsidTr="00F14A42">
        <w:trPr>
          <w:jc w:val="center"/>
        </w:trPr>
        <w:tc>
          <w:tcPr>
            <w:tcW w:w="1494" w:type="dxa"/>
            <w:tcBorders>
              <w:left w:val="single" w:sz="8" w:space="0" w:color="auto"/>
            </w:tcBorders>
          </w:tcPr>
          <w:p w14:paraId="4A1187D6" w14:textId="77777777" w:rsidR="00BD5A6D" w:rsidRPr="00254BEE" w:rsidRDefault="00BD5A6D" w:rsidP="00F14A42">
            <w:pPr>
              <w:pStyle w:val="TableCellCenter"/>
              <w:spacing w:before="0" w:after="0" w:line="240" w:lineRule="auto"/>
              <w:rPr>
                <w:rFonts w:ascii="Times New Roman" w:hAnsi="Times New Roman"/>
                <w:color w:val="000000" w:themeColor="text1"/>
                <w:sz w:val="24"/>
              </w:rPr>
            </w:pPr>
            <w:r w:rsidRPr="00254BEE">
              <w:rPr>
                <w:rFonts w:ascii="Times New Roman" w:hAnsi="Times New Roman"/>
                <w:color w:val="000000" w:themeColor="text1"/>
                <w:sz w:val="24"/>
              </w:rPr>
              <w:t>225</w:t>
            </w:r>
          </w:p>
        </w:tc>
        <w:tc>
          <w:tcPr>
            <w:tcW w:w="1268" w:type="dxa"/>
            <w:shd w:val="clear" w:color="auto" w:fill="auto"/>
          </w:tcPr>
          <w:p w14:paraId="1D94EE7E" w14:textId="77777777" w:rsidR="00BD5A6D" w:rsidRPr="00254BEE" w:rsidRDefault="00BD5A6D" w:rsidP="00F14A42">
            <w:pPr>
              <w:pStyle w:val="TableCellCenter"/>
              <w:spacing w:before="0" w:after="0" w:line="240" w:lineRule="auto"/>
              <w:rPr>
                <w:rFonts w:ascii="Times New Roman" w:hAnsi="Times New Roman"/>
                <w:color w:val="000000" w:themeColor="text1"/>
                <w:sz w:val="24"/>
              </w:rPr>
            </w:pPr>
            <w:r w:rsidRPr="00254BEE">
              <w:rPr>
                <w:rFonts w:ascii="Times New Roman" w:hAnsi="Times New Roman"/>
                <w:color w:val="000000" w:themeColor="text1"/>
                <w:sz w:val="24"/>
              </w:rPr>
              <w:t>1</w:t>
            </w:r>
          </w:p>
        </w:tc>
        <w:tc>
          <w:tcPr>
            <w:tcW w:w="1269" w:type="dxa"/>
            <w:shd w:val="clear" w:color="auto" w:fill="auto"/>
          </w:tcPr>
          <w:p w14:paraId="758E11C4" w14:textId="77777777" w:rsidR="00BD5A6D" w:rsidRPr="00254BEE" w:rsidRDefault="00BD5A6D" w:rsidP="00F14A42">
            <w:pPr>
              <w:pStyle w:val="TableCellCenter"/>
              <w:spacing w:before="0" w:after="0" w:line="240" w:lineRule="auto"/>
              <w:rPr>
                <w:rFonts w:ascii="Times New Roman" w:hAnsi="Times New Roman"/>
                <w:color w:val="000000" w:themeColor="text1"/>
                <w:sz w:val="24"/>
              </w:rPr>
            </w:pPr>
            <w:r w:rsidRPr="00254BEE">
              <w:rPr>
                <w:rFonts w:ascii="Times New Roman" w:hAnsi="Times New Roman"/>
                <w:color w:val="000000" w:themeColor="text1"/>
                <w:sz w:val="24"/>
              </w:rPr>
              <w:t>1</w:t>
            </w:r>
          </w:p>
        </w:tc>
        <w:tc>
          <w:tcPr>
            <w:tcW w:w="2537" w:type="dxa"/>
          </w:tcPr>
          <w:p w14:paraId="664C7CAB" w14:textId="77777777" w:rsidR="00BD5A6D" w:rsidRPr="00254BEE" w:rsidRDefault="00BD5A6D" w:rsidP="00F14A42">
            <w:pPr>
              <w:pStyle w:val="TableCellCenter"/>
              <w:spacing w:before="0" w:after="0" w:line="240" w:lineRule="auto"/>
              <w:rPr>
                <w:rFonts w:ascii="Times New Roman" w:hAnsi="Times New Roman"/>
                <w:color w:val="000000" w:themeColor="text1"/>
                <w:sz w:val="24"/>
              </w:rPr>
            </w:pPr>
            <w:r w:rsidRPr="00254BEE">
              <w:rPr>
                <w:rFonts w:ascii="Times New Roman" w:hAnsi="Times New Roman"/>
                <w:color w:val="000000" w:themeColor="text1"/>
                <w:sz w:val="24"/>
              </w:rPr>
              <w:t>2</w:t>
            </w:r>
          </w:p>
        </w:tc>
        <w:tc>
          <w:tcPr>
            <w:tcW w:w="2537" w:type="dxa"/>
            <w:tcBorders>
              <w:right w:val="single" w:sz="8" w:space="0" w:color="auto"/>
            </w:tcBorders>
          </w:tcPr>
          <w:p w14:paraId="1F579EB0" w14:textId="77777777" w:rsidR="00BD5A6D" w:rsidRPr="00254BEE" w:rsidRDefault="00BD5A6D" w:rsidP="00F14A42">
            <w:pPr>
              <w:pStyle w:val="TableCellCenter"/>
              <w:spacing w:before="0" w:after="0" w:line="240" w:lineRule="auto"/>
              <w:rPr>
                <w:rFonts w:ascii="Times New Roman" w:hAnsi="Times New Roman"/>
                <w:color w:val="000000" w:themeColor="text1"/>
                <w:sz w:val="24"/>
              </w:rPr>
            </w:pPr>
            <w:r w:rsidRPr="00254BEE">
              <w:rPr>
                <w:rFonts w:ascii="Times New Roman" w:hAnsi="Times New Roman"/>
                <w:color w:val="000000" w:themeColor="text1"/>
                <w:sz w:val="24"/>
              </w:rPr>
              <w:t>1.8</w:t>
            </w:r>
          </w:p>
        </w:tc>
      </w:tr>
      <w:tr w:rsidR="00BD5A6D" w:rsidRPr="00254BEE" w14:paraId="1B9724DC" w14:textId="77777777" w:rsidTr="00F14A42">
        <w:trPr>
          <w:jc w:val="center"/>
        </w:trPr>
        <w:tc>
          <w:tcPr>
            <w:tcW w:w="1494" w:type="dxa"/>
            <w:tcBorders>
              <w:left w:val="single" w:sz="8" w:space="0" w:color="auto"/>
            </w:tcBorders>
          </w:tcPr>
          <w:p w14:paraId="76C1D8F0" w14:textId="77777777" w:rsidR="00BD5A6D" w:rsidRPr="00254BEE" w:rsidRDefault="00BD5A6D" w:rsidP="00F14A42">
            <w:pPr>
              <w:pStyle w:val="TableCellCenter"/>
              <w:spacing w:before="0" w:after="0" w:line="240" w:lineRule="auto"/>
              <w:rPr>
                <w:rFonts w:ascii="Times New Roman" w:hAnsi="Times New Roman"/>
                <w:color w:val="000000" w:themeColor="text1"/>
                <w:sz w:val="24"/>
              </w:rPr>
            </w:pPr>
            <w:r w:rsidRPr="00254BEE">
              <w:rPr>
                <w:rFonts w:ascii="Times New Roman" w:hAnsi="Times New Roman"/>
                <w:color w:val="000000" w:themeColor="text1"/>
                <w:sz w:val="24"/>
              </w:rPr>
              <w:t>300</w:t>
            </w:r>
          </w:p>
        </w:tc>
        <w:tc>
          <w:tcPr>
            <w:tcW w:w="1268" w:type="dxa"/>
            <w:shd w:val="clear" w:color="auto" w:fill="auto"/>
          </w:tcPr>
          <w:p w14:paraId="05AC6C66" w14:textId="77777777" w:rsidR="00BD5A6D" w:rsidRPr="00254BEE" w:rsidRDefault="00BD5A6D" w:rsidP="00F14A42">
            <w:pPr>
              <w:pStyle w:val="TableCellCenter"/>
              <w:spacing w:before="0" w:after="0" w:line="240" w:lineRule="auto"/>
              <w:rPr>
                <w:rFonts w:ascii="Times New Roman" w:hAnsi="Times New Roman"/>
                <w:color w:val="000000" w:themeColor="text1"/>
                <w:sz w:val="24"/>
              </w:rPr>
            </w:pPr>
            <w:r w:rsidRPr="00254BEE">
              <w:rPr>
                <w:rFonts w:ascii="Times New Roman" w:hAnsi="Times New Roman"/>
                <w:color w:val="000000" w:themeColor="text1"/>
                <w:sz w:val="24"/>
              </w:rPr>
              <w:t>0</w:t>
            </w:r>
          </w:p>
        </w:tc>
        <w:tc>
          <w:tcPr>
            <w:tcW w:w="1269" w:type="dxa"/>
            <w:shd w:val="clear" w:color="auto" w:fill="auto"/>
          </w:tcPr>
          <w:p w14:paraId="42C72640" w14:textId="77777777" w:rsidR="00BD5A6D" w:rsidRPr="00254BEE" w:rsidRDefault="00BD5A6D" w:rsidP="00F14A42">
            <w:pPr>
              <w:pStyle w:val="TableCellCenter"/>
              <w:spacing w:before="0" w:after="0" w:line="240" w:lineRule="auto"/>
              <w:rPr>
                <w:rFonts w:ascii="Times New Roman" w:hAnsi="Times New Roman"/>
                <w:color w:val="000000" w:themeColor="text1"/>
                <w:sz w:val="24"/>
              </w:rPr>
            </w:pPr>
            <w:r w:rsidRPr="00254BEE">
              <w:rPr>
                <w:rFonts w:ascii="Times New Roman" w:hAnsi="Times New Roman"/>
                <w:color w:val="000000" w:themeColor="text1"/>
                <w:sz w:val="24"/>
              </w:rPr>
              <w:t>2</w:t>
            </w:r>
          </w:p>
        </w:tc>
        <w:tc>
          <w:tcPr>
            <w:tcW w:w="2537" w:type="dxa"/>
          </w:tcPr>
          <w:p w14:paraId="6D132AA2" w14:textId="77777777" w:rsidR="00BD5A6D" w:rsidRPr="00254BEE" w:rsidRDefault="00BD5A6D" w:rsidP="00F14A42">
            <w:pPr>
              <w:pStyle w:val="TableCellCenter"/>
              <w:spacing w:before="0" w:after="0" w:line="240" w:lineRule="auto"/>
              <w:rPr>
                <w:rFonts w:ascii="Times New Roman" w:hAnsi="Times New Roman"/>
                <w:color w:val="000000" w:themeColor="text1"/>
                <w:sz w:val="24"/>
              </w:rPr>
            </w:pPr>
            <w:r w:rsidRPr="00254BEE">
              <w:rPr>
                <w:rFonts w:ascii="Times New Roman" w:hAnsi="Times New Roman"/>
                <w:color w:val="000000" w:themeColor="text1"/>
                <w:sz w:val="24"/>
              </w:rPr>
              <w:t>2</w:t>
            </w:r>
          </w:p>
        </w:tc>
        <w:tc>
          <w:tcPr>
            <w:tcW w:w="2537" w:type="dxa"/>
            <w:tcBorders>
              <w:right w:val="single" w:sz="8" w:space="0" w:color="auto"/>
            </w:tcBorders>
          </w:tcPr>
          <w:p w14:paraId="13576A56" w14:textId="77777777" w:rsidR="00BD5A6D" w:rsidRPr="00254BEE" w:rsidRDefault="00BD5A6D" w:rsidP="00F14A42">
            <w:pPr>
              <w:pStyle w:val="TableCellCenter"/>
              <w:spacing w:before="0" w:after="0" w:line="240" w:lineRule="auto"/>
              <w:rPr>
                <w:rFonts w:ascii="Times New Roman" w:hAnsi="Times New Roman"/>
                <w:color w:val="000000" w:themeColor="text1"/>
                <w:sz w:val="24"/>
              </w:rPr>
            </w:pPr>
            <w:r w:rsidRPr="00254BEE">
              <w:rPr>
                <w:rFonts w:ascii="Times New Roman" w:hAnsi="Times New Roman"/>
                <w:color w:val="000000" w:themeColor="text1"/>
                <w:sz w:val="24"/>
              </w:rPr>
              <w:t>2.4</w:t>
            </w:r>
          </w:p>
        </w:tc>
      </w:tr>
      <w:tr w:rsidR="00BD5A6D" w:rsidRPr="00254BEE" w14:paraId="7C6396B2" w14:textId="77777777" w:rsidTr="00F14A42">
        <w:trPr>
          <w:jc w:val="center"/>
        </w:trPr>
        <w:tc>
          <w:tcPr>
            <w:tcW w:w="1494" w:type="dxa"/>
            <w:tcBorders>
              <w:left w:val="single" w:sz="8" w:space="0" w:color="auto"/>
              <w:bottom w:val="single" w:sz="8" w:space="0" w:color="auto"/>
            </w:tcBorders>
          </w:tcPr>
          <w:p w14:paraId="106DC791" w14:textId="77777777" w:rsidR="00BD5A6D" w:rsidRPr="00254BEE" w:rsidRDefault="00BD5A6D" w:rsidP="00F14A42">
            <w:pPr>
              <w:pStyle w:val="TableCellCenter"/>
              <w:spacing w:before="0" w:after="0" w:line="240" w:lineRule="auto"/>
              <w:rPr>
                <w:rFonts w:ascii="Times New Roman" w:hAnsi="Times New Roman"/>
                <w:color w:val="000000" w:themeColor="text1"/>
                <w:sz w:val="24"/>
              </w:rPr>
            </w:pPr>
            <w:r w:rsidRPr="00254BEE">
              <w:rPr>
                <w:rFonts w:ascii="Times New Roman" w:hAnsi="Times New Roman"/>
                <w:color w:val="000000" w:themeColor="text1"/>
                <w:sz w:val="24"/>
              </w:rPr>
              <w:t>375</w:t>
            </w:r>
          </w:p>
        </w:tc>
        <w:tc>
          <w:tcPr>
            <w:tcW w:w="1268" w:type="dxa"/>
            <w:tcBorders>
              <w:bottom w:val="single" w:sz="8" w:space="0" w:color="auto"/>
            </w:tcBorders>
            <w:shd w:val="clear" w:color="auto" w:fill="auto"/>
          </w:tcPr>
          <w:p w14:paraId="5E8DCFA1" w14:textId="77777777" w:rsidR="00BD5A6D" w:rsidRPr="00254BEE" w:rsidRDefault="00BD5A6D" w:rsidP="00F14A42">
            <w:pPr>
              <w:pStyle w:val="TableCellCenter"/>
              <w:spacing w:before="0" w:after="0" w:line="240" w:lineRule="auto"/>
              <w:rPr>
                <w:rFonts w:ascii="Times New Roman" w:hAnsi="Times New Roman"/>
                <w:color w:val="000000" w:themeColor="text1"/>
                <w:sz w:val="24"/>
              </w:rPr>
            </w:pPr>
            <w:r w:rsidRPr="00254BEE">
              <w:rPr>
                <w:rFonts w:ascii="Times New Roman" w:hAnsi="Times New Roman"/>
                <w:color w:val="000000" w:themeColor="text1"/>
                <w:sz w:val="24"/>
              </w:rPr>
              <w:t>1</w:t>
            </w:r>
          </w:p>
        </w:tc>
        <w:tc>
          <w:tcPr>
            <w:tcW w:w="1269" w:type="dxa"/>
            <w:tcBorders>
              <w:bottom w:val="single" w:sz="8" w:space="0" w:color="auto"/>
            </w:tcBorders>
            <w:shd w:val="clear" w:color="auto" w:fill="auto"/>
          </w:tcPr>
          <w:p w14:paraId="0163380C" w14:textId="77777777" w:rsidR="00BD5A6D" w:rsidRPr="00254BEE" w:rsidRDefault="00BD5A6D" w:rsidP="00F14A42">
            <w:pPr>
              <w:pStyle w:val="TableCellCenter"/>
              <w:spacing w:before="0" w:after="0" w:line="240" w:lineRule="auto"/>
              <w:rPr>
                <w:rFonts w:ascii="Times New Roman" w:hAnsi="Times New Roman"/>
                <w:color w:val="000000" w:themeColor="text1"/>
                <w:sz w:val="24"/>
              </w:rPr>
            </w:pPr>
            <w:r w:rsidRPr="00254BEE">
              <w:rPr>
                <w:rFonts w:ascii="Times New Roman" w:hAnsi="Times New Roman"/>
                <w:color w:val="000000" w:themeColor="text1"/>
                <w:sz w:val="24"/>
              </w:rPr>
              <w:t>2</w:t>
            </w:r>
          </w:p>
        </w:tc>
        <w:tc>
          <w:tcPr>
            <w:tcW w:w="2537" w:type="dxa"/>
            <w:tcBorders>
              <w:bottom w:val="single" w:sz="8" w:space="0" w:color="auto"/>
            </w:tcBorders>
          </w:tcPr>
          <w:p w14:paraId="5669CEB1" w14:textId="77777777" w:rsidR="00BD5A6D" w:rsidRPr="00254BEE" w:rsidRDefault="00BD5A6D" w:rsidP="00F14A42">
            <w:pPr>
              <w:pStyle w:val="TableCellCenter"/>
              <w:spacing w:before="0" w:after="0" w:line="240" w:lineRule="auto"/>
              <w:rPr>
                <w:rFonts w:ascii="Times New Roman" w:hAnsi="Times New Roman"/>
                <w:color w:val="000000" w:themeColor="text1"/>
                <w:sz w:val="24"/>
              </w:rPr>
            </w:pPr>
            <w:r w:rsidRPr="00254BEE">
              <w:rPr>
                <w:rFonts w:ascii="Times New Roman" w:hAnsi="Times New Roman"/>
                <w:color w:val="000000" w:themeColor="text1"/>
                <w:sz w:val="24"/>
              </w:rPr>
              <w:t>3</w:t>
            </w:r>
          </w:p>
        </w:tc>
        <w:tc>
          <w:tcPr>
            <w:tcW w:w="2537" w:type="dxa"/>
            <w:tcBorders>
              <w:bottom w:val="single" w:sz="8" w:space="0" w:color="auto"/>
              <w:right w:val="single" w:sz="8" w:space="0" w:color="auto"/>
            </w:tcBorders>
          </w:tcPr>
          <w:p w14:paraId="342B4E32" w14:textId="77777777" w:rsidR="00BD5A6D" w:rsidRPr="00254BEE" w:rsidRDefault="00BD5A6D" w:rsidP="00F14A42">
            <w:pPr>
              <w:pStyle w:val="TableCellCenter"/>
              <w:spacing w:before="0" w:after="0" w:line="240" w:lineRule="auto"/>
              <w:rPr>
                <w:rFonts w:ascii="Times New Roman" w:hAnsi="Times New Roman"/>
                <w:color w:val="000000" w:themeColor="text1"/>
                <w:sz w:val="24"/>
              </w:rPr>
            </w:pPr>
            <w:r w:rsidRPr="00254BEE">
              <w:rPr>
                <w:rFonts w:ascii="Times New Roman" w:hAnsi="Times New Roman"/>
                <w:color w:val="000000" w:themeColor="text1"/>
                <w:sz w:val="24"/>
              </w:rPr>
              <w:t>3.0</w:t>
            </w:r>
          </w:p>
        </w:tc>
      </w:tr>
    </w:tbl>
    <w:p w14:paraId="13993642" w14:textId="77777777" w:rsidR="00BD5A6D" w:rsidRPr="00254BEE" w:rsidRDefault="00BD5A6D" w:rsidP="00BD5A6D">
      <w:pPr>
        <w:pStyle w:val="Header"/>
        <w:tabs>
          <w:tab w:val="clear" w:pos="4153"/>
          <w:tab w:val="clear" w:pos="8306"/>
        </w:tabs>
        <w:rPr>
          <w:color w:val="000000" w:themeColor="text1"/>
        </w:rPr>
      </w:pPr>
      <w:r w:rsidRPr="00254BEE">
        <w:rPr>
          <w:color w:val="000000" w:themeColor="text1"/>
        </w:rPr>
        <w:t>1.2 mL = maximum volume delivered per vial.</w:t>
      </w:r>
    </w:p>
    <w:p w14:paraId="77C344BC" w14:textId="77777777" w:rsidR="00443184" w:rsidRPr="00254BEE" w:rsidRDefault="00443184" w:rsidP="00286336">
      <w:pPr>
        <w:pStyle w:val="Header"/>
        <w:tabs>
          <w:tab w:val="clear" w:pos="4153"/>
          <w:tab w:val="clear" w:pos="8306"/>
        </w:tabs>
        <w:rPr>
          <w:color w:val="000000" w:themeColor="text1"/>
        </w:rPr>
      </w:pPr>
    </w:p>
    <w:p w14:paraId="1930DA6F" w14:textId="77777777" w:rsidR="00443184" w:rsidRPr="00254BEE" w:rsidRDefault="00443184" w:rsidP="00286336">
      <w:pPr>
        <w:pStyle w:val="Header"/>
        <w:tabs>
          <w:tab w:val="clear" w:pos="4153"/>
          <w:tab w:val="clear" w:pos="8306"/>
        </w:tabs>
        <w:rPr>
          <w:color w:val="000000" w:themeColor="text1"/>
        </w:rPr>
      </w:pPr>
    </w:p>
    <w:p w14:paraId="02388ACD" w14:textId="77777777" w:rsidR="00443184" w:rsidRPr="00254BEE" w:rsidRDefault="00443184" w:rsidP="00286336">
      <w:pPr>
        <w:pStyle w:val="Header"/>
        <w:tabs>
          <w:tab w:val="clear" w:pos="4153"/>
          <w:tab w:val="clear" w:pos="8306"/>
        </w:tabs>
        <w:rPr>
          <w:color w:val="000000" w:themeColor="text1"/>
        </w:rPr>
      </w:pPr>
    </w:p>
    <w:p w14:paraId="4E318FF9" w14:textId="77777777" w:rsidR="00443184" w:rsidRPr="00254BEE" w:rsidRDefault="00443184" w:rsidP="00443184">
      <w:pPr>
        <w:pStyle w:val="PIParagraph0"/>
        <w:spacing w:after="0" w:line="240" w:lineRule="auto"/>
        <w:jc w:val="left"/>
        <w:rPr>
          <w:rFonts w:ascii="Times New Roman" w:hAnsi="Times New Roman"/>
          <w:b/>
          <w:color w:val="000000" w:themeColor="text1"/>
        </w:rPr>
      </w:pPr>
      <w:r w:rsidRPr="00254BEE">
        <w:rPr>
          <w:rFonts w:ascii="Times New Roman" w:hAnsi="Times New Roman"/>
          <w:b/>
          <w:color w:val="000000" w:themeColor="text1"/>
        </w:rPr>
        <w:t>Table </w:t>
      </w:r>
      <w:r w:rsidR="00B00300" w:rsidRPr="00254BEE">
        <w:rPr>
          <w:rFonts w:ascii="Times New Roman" w:hAnsi="Times New Roman"/>
          <w:b/>
          <w:color w:val="000000" w:themeColor="text1"/>
        </w:rPr>
        <w:t>1</w:t>
      </w:r>
      <w:r w:rsidR="00BC0864" w:rsidRPr="00254BEE">
        <w:rPr>
          <w:rFonts w:ascii="Times New Roman" w:hAnsi="Times New Roman"/>
          <w:b/>
          <w:color w:val="000000" w:themeColor="text1"/>
        </w:rPr>
        <w:t>2</w:t>
      </w:r>
      <w:r w:rsidRPr="00254BEE">
        <w:rPr>
          <w:rFonts w:ascii="Times New Roman" w:hAnsi="Times New Roman"/>
          <w:b/>
          <w:color w:val="000000" w:themeColor="text1"/>
        </w:rPr>
        <w:tab/>
        <w:t>Conversion from dose to number of syringes, number of injections and total injection volume for each administration</w:t>
      </w:r>
    </w:p>
    <w:tbl>
      <w:tblPr>
        <w:tblW w:w="0" w:type="auto"/>
        <w:tblLayout w:type="fixed"/>
        <w:tblCellMar>
          <w:left w:w="57" w:type="dxa"/>
          <w:right w:w="57" w:type="dxa"/>
        </w:tblCellMar>
        <w:tblLook w:val="0000" w:firstRow="0" w:lastRow="0" w:firstColumn="0" w:lastColumn="0" w:noHBand="0" w:noVBand="0"/>
      </w:tblPr>
      <w:tblGrid>
        <w:gridCol w:w="1377"/>
        <w:gridCol w:w="1050"/>
        <w:gridCol w:w="992"/>
        <w:gridCol w:w="2278"/>
        <w:gridCol w:w="2760"/>
      </w:tblGrid>
      <w:tr w:rsidR="00443184" w:rsidRPr="00254BEE" w14:paraId="6AF20FB1" w14:textId="77777777" w:rsidTr="00EE52E0">
        <w:trPr>
          <w:cantSplit/>
        </w:trPr>
        <w:tc>
          <w:tcPr>
            <w:tcW w:w="1377" w:type="dxa"/>
            <w:tcBorders>
              <w:top w:val="single" w:sz="4" w:space="0" w:color="auto"/>
              <w:left w:val="single" w:sz="4" w:space="0" w:color="auto"/>
            </w:tcBorders>
          </w:tcPr>
          <w:p w14:paraId="5E6D1175" w14:textId="77777777" w:rsidR="00443184" w:rsidRPr="00254BEE" w:rsidRDefault="00443184" w:rsidP="00AD5636">
            <w:pPr>
              <w:pStyle w:val="TableCellCenter"/>
              <w:spacing w:before="0" w:after="0" w:line="240" w:lineRule="auto"/>
              <w:rPr>
                <w:rFonts w:ascii="Times New Roman" w:hAnsi="Times New Roman"/>
                <w:b/>
                <w:color w:val="000000" w:themeColor="text1"/>
                <w:sz w:val="24"/>
              </w:rPr>
            </w:pPr>
            <w:r w:rsidRPr="00254BEE">
              <w:rPr>
                <w:rFonts w:ascii="Times New Roman" w:hAnsi="Times New Roman"/>
                <w:b/>
                <w:color w:val="000000" w:themeColor="text1"/>
                <w:sz w:val="24"/>
              </w:rPr>
              <w:t>Dose (mg)</w:t>
            </w:r>
          </w:p>
        </w:tc>
        <w:tc>
          <w:tcPr>
            <w:tcW w:w="2042" w:type="dxa"/>
            <w:gridSpan w:val="2"/>
            <w:tcBorders>
              <w:top w:val="single" w:sz="4" w:space="0" w:color="auto"/>
            </w:tcBorders>
            <w:shd w:val="clear" w:color="auto" w:fill="auto"/>
          </w:tcPr>
          <w:p w14:paraId="1943A9B8" w14:textId="77777777" w:rsidR="00443184" w:rsidRPr="00254BEE" w:rsidRDefault="00443184" w:rsidP="00AD5636">
            <w:pPr>
              <w:pStyle w:val="TableCellCenter"/>
              <w:spacing w:before="0" w:after="0" w:line="240" w:lineRule="auto"/>
              <w:rPr>
                <w:rFonts w:ascii="Times New Roman" w:hAnsi="Times New Roman"/>
                <w:b/>
                <w:color w:val="000000" w:themeColor="text1"/>
                <w:sz w:val="24"/>
              </w:rPr>
            </w:pPr>
            <w:r w:rsidRPr="00254BEE">
              <w:rPr>
                <w:rFonts w:ascii="Times New Roman" w:hAnsi="Times New Roman"/>
                <w:b/>
                <w:color w:val="000000" w:themeColor="text1"/>
                <w:sz w:val="24"/>
              </w:rPr>
              <w:t>Number of syringes</w:t>
            </w:r>
          </w:p>
        </w:tc>
        <w:tc>
          <w:tcPr>
            <w:tcW w:w="2278" w:type="dxa"/>
            <w:tcBorders>
              <w:top w:val="single" w:sz="4" w:space="0" w:color="auto"/>
            </w:tcBorders>
          </w:tcPr>
          <w:p w14:paraId="53D2C71E" w14:textId="77777777" w:rsidR="00443184" w:rsidRPr="00254BEE" w:rsidRDefault="00443184" w:rsidP="00AD5636">
            <w:pPr>
              <w:pStyle w:val="TableCellCenter"/>
              <w:spacing w:before="0" w:after="0" w:line="240" w:lineRule="auto"/>
              <w:rPr>
                <w:rFonts w:ascii="Times New Roman" w:hAnsi="Times New Roman"/>
                <w:b/>
                <w:color w:val="000000" w:themeColor="text1"/>
                <w:sz w:val="24"/>
              </w:rPr>
            </w:pPr>
            <w:r w:rsidRPr="00254BEE">
              <w:rPr>
                <w:rFonts w:ascii="Times New Roman" w:hAnsi="Times New Roman"/>
                <w:b/>
                <w:color w:val="000000" w:themeColor="text1"/>
                <w:sz w:val="24"/>
              </w:rPr>
              <w:t>Number of injections</w:t>
            </w:r>
          </w:p>
        </w:tc>
        <w:tc>
          <w:tcPr>
            <w:tcW w:w="2760" w:type="dxa"/>
            <w:tcBorders>
              <w:top w:val="single" w:sz="4" w:space="0" w:color="auto"/>
              <w:right w:val="single" w:sz="4" w:space="0" w:color="auto"/>
            </w:tcBorders>
          </w:tcPr>
          <w:p w14:paraId="582DAA7B" w14:textId="77777777" w:rsidR="00443184" w:rsidRPr="00254BEE" w:rsidRDefault="00443184" w:rsidP="00AD5636">
            <w:pPr>
              <w:pStyle w:val="TableCellCenter"/>
              <w:spacing w:before="0" w:after="0" w:line="240" w:lineRule="auto"/>
              <w:rPr>
                <w:rFonts w:ascii="Times New Roman" w:hAnsi="Times New Roman"/>
                <w:b/>
                <w:color w:val="000000" w:themeColor="text1"/>
                <w:sz w:val="24"/>
              </w:rPr>
            </w:pPr>
            <w:r w:rsidRPr="00254BEE">
              <w:rPr>
                <w:rFonts w:ascii="Times New Roman" w:hAnsi="Times New Roman"/>
                <w:b/>
                <w:color w:val="000000" w:themeColor="text1"/>
                <w:sz w:val="24"/>
              </w:rPr>
              <w:t>Total injection volume (mL)</w:t>
            </w:r>
          </w:p>
        </w:tc>
      </w:tr>
      <w:tr w:rsidR="00443184" w:rsidRPr="00254BEE" w14:paraId="38D9915C" w14:textId="77777777" w:rsidTr="00EE52E0">
        <w:trPr>
          <w:cantSplit/>
        </w:trPr>
        <w:tc>
          <w:tcPr>
            <w:tcW w:w="1377" w:type="dxa"/>
            <w:tcBorders>
              <w:left w:val="single" w:sz="4" w:space="0" w:color="auto"/>
              <w:bottom w:val="single" w:sz="4" w:space="0" w:color="auto"/>
            </w:tcBorders>
          </w:tcPr>
          <w:p w14:paraId="6350DF6D" w14:textId="77777777" w:rsidR="00443184" w:rsidRPr="00254BEE" w:rsidRDefault="00443184" w:rsidP="00AD5636">
            <w:pPr>
              <w:pStyle w:val="TableCellCenter"/>
              <w:spacing w:before="0" w:after="0" w:line="240" w:lineRule="auto"/>
              <w:rPr>
                <w:rFonts w:ascii="Times New Roman" w:hAnsi="Times New Roman"/>
                <w:b/>
                <w:color w:val="000000" w:themeColor="text1"/>
                <w:sz w:val="24"/>
              </w:rPr>
            </w:pPr>
          </w:p>
        </w:tc>
        <w:tc>
          <w:tcPr>
            <w:tcW w:w="1050" w:type="dxa"/>
            <w:tcBorders>
              <w:bottom w:val="single" w:sz="4" w:space="0" w:color="auto"/>
            </w:tcBorders>
            <w:shd w:val="clear" w:color="auto" w:fill="auto"/>
          </w:tcPr>
          <w:p w14:paraId="3098489E" w14:textId="77777777" w:rsidR="00443184" w:rsidRPr="00254BEE" w:rsidRDefault="00443184" w:rsidP="00AD5636">
            <w:pPr>
              <w:pStyle w:val="TableCellCenter"/>
              <w:spacing w:before="0" w:after="0" w:line="240" w:lineRule="auto"/>
              <w:rPr>
                <w:rFonts w:ascii="Times New Roman" w:hAnsi="Times New Roman"/>
                <w:b/>
                <w:color w:val="000000" w:themeColor="text1"/>
                <w:sz w:val="24"/>
              </w:rPr>
            </w:pPr>
            <w:r w:rsidRPr="00254BEE">
              <w:rPr>
                <w:rFonts w:ascii="Times New Roman" w:hAnsi="Times New Roman"/>
                <w:b/>
                <w:color w:val="000000" w:themeColor="text1"/>
                <w:sz w:val="24"/>
              </w:rPr>
              <w:t xml:space="preserve">75 mg </w:t>
            </w:r>
          </w:p>
        </w:tc>
        <w:tc>
          <w:tcPr>
            <w:tcW w:w="992" w:type="dxa"/>
            <w:tcBorders>
              <w:bottom w:val="single" w:sz="4" w:space="0" w:color="auto"/>
            </w:tcBorders>
            <w:shd w:val="clear" w:color="auto" w:fill="auto"/>
          </w:tcPr>
          <w:p w14:paraId="5D269E14" w14:textId="77777777" w:rsidR="00443184" w:rsidRPr="00254BEE" w:rsidRDefault="00443184" w:rsidP="00AD5636">
            <w:pPr>
              <w:pStyle w:val="TableCellCenter"/>
              <w:spacing w:before="0" w:after="0" w:line="240" w:lineRule="auto"/>
              <w:rPr>
                <w:rFonts w:ascii="Times New Roman" w:hAnsi="Times New Roman"/>
                <w:b/>
                <w:color w:val="000000" w:themeColor="text1"/>
                <w:sz w:val="24"/>
              </w:rPr>
            </w:pPr>
            <w:r w:rsidRPr="00254BEE">
              <w:rPr>
                <w:rFonts w:ascii="Times New Roman" w:hAnsi="Times New Roman"/>
                <w:b/>
                <w:color w:val="000000" w:themeColor="text1"/>
                <w:sz w:val="24"/>
              </w:rPr>
              <w:t xml:space="preserve">150 mg </w:t>
            </w:r>
          </w:p>
        </w:tc>
        <w:tc>
          <w:tcPr>
            <w:tcW w:w="2278" w:type="dxa"/>
            <w:tcBorders>
              <w:bottom w:val="single" w:sz="4" w:space="0" w:color="auto"/>
            </w:tcBorders>
          </w:tcPr>
          <w:p w14:paraId="2D8B4673" w14:textId="77777777" w:rsidR="00443184" w:rsidRPr="00254BEE" w:rsidRDefault="00443184" w:rsidP="00AD5636">
            <w:pPr>
              <w:pStyle w:val="TableCellCenter"/>
              <w:spacing w:before="0" w:after="0" w:line="240" w:lineRule="auto"/>
              <w:rPr>
                <w:rFonts w:ascii="Times New Roman" w:hAnsi="Times New Roman"/>
                <w:b/>
                <w:color w:val="000000" w:themeColor="text1"/>
                <w:sz w:val="24"/>
              </w:rPr>
            </w:pPr>
          </w:p>
        </w:tc>
        <w:tc>
          <w:tcPr>
            <w:tcW w:w="2760" w:type="dxa"/>
            <w:tcBorders>
              <w:bottom w:val="single" w:sz="4" w:space="0" w:color="auto"/>
              <w:right w:val="single" w:sz="4" w:space="0" w:color="auto"/>
            </w:tcBorders>
          </w:tcPr>
          <w:p w14:paraId="531A73CE" w14:textId="77777777" w:rsidR="00443184" w:rsidRPr="00254BEE" w:rsidRDefault="00443184" w:rsidP="00AD5636">
            <w:pPr>
              <w:pStyle w:val="TableCellCenter"/>
              <w:spacing w:before="0" w:after="0" w:line="240" w:lineRule="auto"/>
              <w:rPr>
                <w:rFonts w:ascii="Times New Roman" w:hAnsi="Times New Roman"/>
                <w:b/>
                <w:color w:val="000000" w:themeColor="text1"/>
                <w:sz w:val="24"/>
              </w:rPr>
            </w:pPr>
          </w:p>
        </w:tc>
      </w:tr>
      <w:tr w:rsidR="00443184" w:rsidRPr="00254BEE" w14:paraId="18CF3498" w14:textId="77777777" w:rsidTr="00EE52E0">
        <w:trPr>
          <w:cantSplit/>
        </w:trPr>
        <w:tc>
          <w:tcPr>
            <w:tcW w:w="1377" w:type="dxa"/>
            <w:tcBorders>
              <w:top w:val="single" w:sz="4" w:space="0" w:color="auto"/>
              <w:left w:val="single" w:sz="8" w:space="0" w:color="auto"/>
            </w:tcBorders>
          </w:tcPr>
          <w:p w14:paraId="0DAA4301" w14:textId="77777777" w:rsidR="00443184" w:rsidRPr="00254BEE" w:rsidRDefault="00443184" w:rsidP="00AD5636">
            <w:pPr>
              <w:pStyle w:val="TableCellCenter"/>
              <w:spacing w:before="0" w:after="0" w:line="240" w:lineRule="auto"/>
              <w:rPr>
                <w:rFonts w:ascii="Times New Roman" w:hAnsi="Times New Roman"/>
                <w:color w:val="000000" w:themeColor="text1"/>
                <w:sz w:val="24"/>
              </w:rPr>
            </w:pPr>
            <w:r w:rsidRPr="00254BEE">
              <w:rPr>
                <w:rFonts w:ascii="Times New Roman" w:hAnsi="Times New Roman"/>
                <w:color w:val="000000" w:themeColor="text1"/>
                <w:sz w:val="24"/>
              </w:rPr>
              <w:t>75</w:t>
            </w:r>
          </w:p>
        </w:tc>
        <w:tc>
          <w:tcPr>
            <w:tcW w:w="1050" w:type="dxa"/>
            <w:tcBorders>
              <w:top w:val="single" w:sz="4" w:space="0" w:color="auto"/>
            </w:tcBorders>
            <w:shd w:val="clear" w:color="auto" w:fill="auto"/>
          </w:tcPr>
          <w:p w14:paraId="57D922E7" w14:textId="77777777" w:rsidR="00443184" w:rsidRPr="00254BEE" w:rsidRDefault="00443184" w:rsidP="00AD5636">
            <w:pPr>
              <w:pStyle w:val="TableCellCenter"/>
              <w:spacing w:before="0" w:after="0" w:line="240" w:lineRule="auto"/>
              <w:rPr>
                <w:rFonts w:ascii="Times New Roman" w:hAnsi="Times New Roman"/>
                <w:color w:val="000000" w:themeColor="text1"/>
                <w:sz w:val="24"/>
              </w:rPr>
            </w:pPr>
            <w:r w:rsidRPr="00254BEE">
              <w:rPr>
                <w:rFonts w:ascii="Times New Roman" w:hAnsi="Times New Roman"/>
                <w:color w:val="000000" w:themeColor="text1"/>
                <w:sz w:val="24"/>
              </w:rPr>
              <w:t>1</w:t>
            </w:r>
          </w:p>
        </w:tc>
        <w:tc>
          <w:tcPr>
            <w:tcW w:w="992" w:type="dxa"/>
            <w:tcBorders>
              <w:top w:val="single" w:sz="4" w:space="0" w:color="auto"/>
            </w:tcBorders>
            <w:shd w:val="clear" w:color="auto" w:fill="auto"/>
          </w:tcPr>
          <w:p w14:paraId="401CD1D5" w14:textId="77777777" w:rsidR="00443184" w:rsidRPr="00254BEE" w:rsidRDefault="00443184" w:rsidP="00AD5636">
            <w:pPr>
              <w:pStyle w:val="TableCellCenter"/>
              <w:spacing w:before="0" w:after="0" w:line="240" w:lineRule="auto"/>
              <w:rPr>
                <w:rFonts w:ascii="Times New Roman" w:hAnsi="Times New Roman"/>
                <w:color w:val="000000" w:themeColor="text1"/>
                <w:sz w:val="24"/>
              </w:rPr>
            </w:pPr>
            <w:r w:rsidRPr="00254BEE">
              <w:rPr>
                <w:rFonts w:ascii="Times New Roman" w:hAnsi="Times New Roman"/>
                <w:color w:val="000000" w:themeColor="text1"/>
                <w:sz w:val="24"/>
              </w:rPr>
              <w:t>0</w:t>
            </w:r>
          </w:p>
        </w:tc>
        <w:tc>
          <w:tcPr>
            <w:tcW w:w="2278" w:type="dxa"/>
            <w:tcBorders>
              <w:top w:val="single" w:sz="4" w:space="0" w:color="auto"/>
            </w:tcBorders>
          </w:tcPr>
          <w:p w14:paraId="2CAAB105" w14:textId="77777777" w:rsidR="00443184" w:rsidRPr="00254BEE" w:rsidRDefault="00443184" w:rsidP="00AD5636">
            <w:pPr>
              <w:pStyle w:val="TableCellCenter"/>
              <w:spacing w:before="0" w:after="0" w:line="240" w:lineRule="auto"/>
              <w:rPr>
                <w:rFonts w:ascii="Times New Roman" w:hAnsi="Times New Roman"/>
                <w:color w:val="000000" w:themeColor="text1"/>
                <w:sz w:val="24"/>
              </w:rPr>
            </w:pPr>
            <w:r w:rsidRPr="00254BEE">
              <w:rPr>
                <w:rFonts w:ascii="Times New Roman" w:hAnsi="Times New Roman"/>
                <w:color w:val="000000" w:themeColor="text1"/>
                <w:sz w:val="24"/>
              </w:rPr>
              <w:t>1</w:t>
            </w:r>
          </w:p>
        </w:tc>
        <w:tc>
          <w:tcPr>
            <w:tcW w:w="2760" w:type="dxa"/>
            <w:tcBorders>
              <w:top w:val="single" w:sz="4" w:space="0" w:color="auto"/>
              <w:right w:val="single" w:sz="8" w:space="0" w:color="auto"/>
            </w:tcBorders>
          </w:tcPr>
          <w:p w14:paraId="2B55E216" w14:textId="77777777" w:rsidR="00443184" w:rsidRPr="00254BEE" w:rsidRDefault="00443184" w:rsidP="00AD5636">
            <w:pPr>
              <w:pStyle w:val="TableCellCenter"/>
              <w:spacing w:before="0" w:after="0" w:line="240" w:lineRule="auto"/>
              <w:rPr>
                <w:rFonts w:ascii="Times New Roman" w:hAnsi="Times New Roman"/>
                <w:color w:val="000000" w:themeColor="text1"/>
                <w:sz w:val="24"/>
              </w:rPr>
            </w:pPr>
            <w:r w:rsidRPr="00254BEE">
              <w:rPr>
                <w:rFonts w:ascii="Times New Roman" w:hAnsi="Times New Roman"/>
                <w:color w:val="000000" w:themeColor="text1"/>
                <w:sz w:val="24"/>
              </w:rPr>
              <w:t>0.5</w:t>
            </w:r>
          </w:p>
        </w:tc>
      </w:tr>
      <w:tr w:rsidR="00443184" w:rsidRPr="00254BEE" w14:paraId="1FFA90A9" w14:textId="77777777" w:rsidTr="00EE52E0">
        <w:trPr>
          <w:cantSplit/>
        </w:trPr>
        <w:tc>
          <w:tcPr>
            <w:tcW w:w="1377" w:type="dxa"/>
            <w:tcBorders>
              <w:left w:val="single" w:sz="8" w:space="0" w:color="auto"/>
            </w:tcBorders>
          </w:tcPr>
          <w:p w14:paraId="60217373" w14:textId="77777777" w:rsidR="00443184" w:rsidRPr="00254BEE" w:rsidRDefault="00443184" w:rsidP="00AD5636">
            <w:pPr>
              <w:pStyle w:val="TableCellCenter"/>
              <w:spacing w:before="0" w:after="0" w:line="240" w:lineRule="auto"/>
              <w:rPr>
                <w:rFonts w:ascii="Times New Roman" w:hAnsi="Times New Roman"/>
                <w:color w:val="000000" w:themeColor="text1"/>
                <w:sz w:val="24"/>
              </w:rPr>
            </w:pPr>
            <w:r w:rsidRPr="00254BEE">
              <w:rPr>
                <w:rFonts w:ascii="Times New Roman" w:hAnsi="Times New Roman"/>
                <w:color w:val="000000" w:themeColor="text1"/>
                <w:sz w:val="24"/>
              </w:rPr>
              <w:t>150</w:t>
            </w:r>
          </w:p>
        </w:tc>
        <w:tc>
          <w:tcPr>
            <w:tcW w:w="1050" w:type="dxa"/>
            <w:shd w:val="clear" w:color="auto" w:fill="auto"/>
          </w:tcPr>
          <w:p w14:paraId="7E56E082" w14:textId="77777777" w:rsidR="00443184" w:rsidRPr="00254BEE" w:rsidRDefault="00443184" w:rsidP="00AD5636">
            <w:pPr>
              <w:pStyle w:val="TableCellCenter"/>
              <w:spacing w:before="0" w:after="0" w:line="240" w:lineRule="auto"/>
              <w:rPr>
                <w:rFonts w:ascii="Times New Roman" w:hAnsi="Times New Roman"/>
                <w:color w:val="000000" w:themeColor="text1"/>
                <w:sz w:val="24"/>
              </w:rPr>
            </w:pPr>
            <w:r w:rsidRPr="00254BEE">
              <w:rPr>
                <w:rFonts w:ascii="Times New Roman" w:hAnsi="Times New Roman"/>
                <w:color w:val="000000" w:themeColor="text1"/>
                <w:sz w:val="24"/>
              </w:rPr>
              <w:t>0</w:t>
            </w:r>
          </w:p>
        </w:tc>
        <w:tc>
          <w:tcPr>
            <w:tcW w:w="992" w:type="dxa"/>
            <w:shd w:val="clear" w:color="auto" w:fill="auto"/>
          </w:tcPr>
          <w:p w14:paraId="65EFE458" w14:textId="77777777" w:rsidR="00443184" w:rsidRPr="00254BEE" w:rsidRDefault="00443184" w:rsidP="00AD5636">
            <w:pPr>
              <w:pStyle w:val="TableCellCenter"/>
              <w:spacing w:before="0" w:after="0" w:line="240" w:lineRule="auto"/>
              <w:rPr>
                <w:rFonts w:ascii="Times New Roman" w:hAnsi="Times New Roman"/>
                <w:color w:val="000000" w:themeColor="text1"/>
                <w:sz w:val="24"/>
              </w:rPr>
            </w:pPr>
            <w:r w:rsidRPr="00254BEE">
              <w:rPr>
                <w:rFonts w:ascii="Times New Roman" w:hAnsi="Times New Roman"/>
                <w:color w:val="000000" w:themeColor="text1"/>
                <w:sz w:val="24"/>
              </w:rPr>
              <w:t>1</w:t>
            </w:r>
          </w:p>
        </w:tc>
        <w:tc>
          <w:tcPr>
            <w:tcW w:w="2278" w:type="dxa"/>
          </w:tcPr>
          <w:p w14:paraId="3F17ED65" w14:textId="77777777" w:rsidR="00443184" w:rsidRPr="00254BEE" w:rsidRDefault="00443184" w:rsidP="00AD5636">
            <w:pPr>
              <w:pStyle w:val="TableCellCenter"/>
              <w:spacing w:before="0" w:after="0" w:line="240" w:lineRule="auto"/>
              <w:rPr>
                <w:rFonts w:ascii="Times New Roman" w:hAnsi="Times New Roman"/>
                <w:color w:val="000000" w:themeColor="text1"/>
                <w:sz w:val="24"/>
              </w:rPr>
            </w:pPr>
            <w:r w:rsidRPr="00254BEE">
              <w:rPr>
                <w:rFonts w:ascii="Times New Roman" w:hAnsi="Times New Roman"/>
                <w:color w:val="000000" w:themeColor="text1"/>
                <w:sz w:val="24"/>
              </w:rPr>
              <w:t>1</w:t>
            </w:r>
          </w:p>
        </w:tc>
        <w:tc>
          <w:tcPr>
            <w:tcW w:w="2760" w:type="dxa"/>
            <w:tcBorders>
              <w:right w:val="single" w:sz="8" w:space="0" w:color="auto"/>
            </w:tcBorders>
          </w:tcPr>
          <w:p w14:paraId="13FB04F9" w14:textId="77777777" w:rsidR="00443184" w:rsidRPr="00254BEE" w:rsidRDefault="00443184" w:rsidP="00AD5636">
            <w:pPr>
              <w:pStyle w:val="TableCellCenter"/>
              <w:spacing w:before="0" w:after="0" w:line="240" w:lineRule="auto"/>
              <w:rPr>
                <w:rFonts w:ascii="Times New Roman" w:hAnsi="Times New Roman"/>
                <w:color w:val="000000" w:themeColor="text1"/>
                <w:sz w:val="24"/>
              </w:rPr>
            </w:pPr>
            <w:r w:rsidRPr="00254BEE">
              <w:rPr>
                <w:rFonts w:ascii="Times New Roman" w:hAnsi="Times New Roman"/>
                <w:color w:val="000000" w:themeColor="text1"/>
                <w:sz w:val="24"/>
              </w:rPr>
              <w:t>1.0</w:t>
            </w:r>
          </w:p>
        </w:tc>
      </w:tr>
      <w:tr w:rsidR="00443184" w:rsidRPr="00254BEE" w14:paraId="38A88181" w14:textId="77777777" w:rsidTr="00EE52E0">
        <w:trPr>
          <w:cantSplit/>
        </w:trPr>
        <w:tc>
          <w:tcPr>
            <w:tcW w:w="1377" w:type="dxa"/>
            <w:tcBorders>
              <w:left w:val="single" w:sz="8" w:space="0" w:color="auto"/>
            </w:tcBorders>
          </w:tcPr>
          <w:p w14:paraId="6A8C72D1" w14:textId="77777777" w:rsidR="00443184" w:rsidRPr="00254BEE" w:rsidRDefault="00443184" w:rsidP="00AD5636">
            <w:pPr>
              <w:pStyle w:val="TableCellCenter"/>
              <w:spacing w:before="0" w:after="0" w:line="240" w:lineRule="auto"/>
              <w:rPr>
                <w:rFonts w:ascii="Times New Roman" w:hAnsi="Times New Roman"/>
                <w:color w:val="000000" w:themeColor="text1"/>
                <w:sz w:val="24"/>
              </w:rPr>
            </w:pPr>
            <w:r w:rsidRPr="00254BEE">
              <w:rPr>
                <w:rFonts w:ascii="Times New Roman" w:hAnsi="Times New Roman"/>
                <w:color w:val="000000" w:themeColor="text1"/>
                <w:sz w:val="24"/>
              </w:rPr>
              <w:t>225</w:t>
            </w:r>
          </w:p>
        </w:tc>
        <w:tc>
          <w:tcPr>
            <w:tcW w:w="1050" w:type="dxa"/>
            <w:shd w:val="clear" w:color="auto" w:fill="auto"/>
          </w:tcPr>
          <w:p w14:paraId="291DAA72" w14:textId="77777777" w:rsidR="00443184" w:rsidRPr="00254BEE" w:rsidRDefault="00443184" w:rsidP="00AD5636">
            <w:pPr>
              <w:pStyle w:val="TableCellCenter"/>
              <w:spacing w:before="0" w:after="0" w:line="240" w:lineRule="auto"/>
              <w:rPr>
                <w:rFonts w:ascii="Times New Roman" w:hAnsi="Times New Roman"/>
                <w:color w:val="000000" w:themeColor="text1"/>
                <w:sz w:val="24"/>
              </w:rPr>
            </w:pPr>
            <w:r w:rsidRPr="00254BEE">
              <w:rPr>
                <w:rFonts w:ascii="Times New Roman" w:hAnsi="Times New Roman"/>
                <w:color w:val="000000" w:themeColor="text1"/>
                <w:sz w:val="24"/>
              </w:rPr>
              <w:t>1</w:t>
            </w:r>
          </w:p>
        </w:tc>
        <w:tc>
          <w:tcPr>
            <w:tcW w:w="992" w:type="dxa"/>
            <w:shd w:val="clear" w:color="auto" w:fill="auto"/>
          </w:tcPr>
          <w:p w14:paraId="7220AE2E" w14:textId="77777777" w:rsidR="00443184" w:rsidRPr="00254BEE" w:rsidRDefault="00443184" w:rsidP="00AD5636">
            <w:pPr>
              <w:pStyle w:val="TableCellCenter"/>
              <w:spacing w:before="0" w:after="0" w:line="240" w:lineRule="auto"/>
              <w:rPr>
                <w:rFonts w:ascii="Times New Roman" w:hAnsi="Times New Roman"/>
                <w:color w:val="000000" w:themeColor="text1"/>
                <w:sz w:val="24"/>
              </w:rPr>
            </w:pPr>
            <w:r w:rsidRPr="00254BEE">
              <w:rPr>
                <w:rFonts w:ascii="Times New Roman" w:hAnsi="Times New Roman"/>
                <w:color w:val="000000" w:themeColor="text1"/>
                <w:sz w:val="24"/>
              </w:rPr>
              <w:t>1</w:t>
            </w:r>
          </w:p>
        </w:tc>
        <w:tc>
          <w:tcPr>
            <w:tcW w:w="2278" w:type="dxa"/>
          </w:tcPr>
          <w:p w14:paraId="6AC70196" w14:textId="77777777" w:rsidR="00443184" w:rsidRPr="00254BEE" w:rsidRDefault="00443184" w:rsidP="00AD5636">
            <w:pPr>
              <w:pStyle w:val="TableCellCenter"/>
              <w:spacing w:before="0" w:after="0" w:line="240" w:lineRule="auto"/>
              <w:rPr>
                <w:rFonts w:ascii="Times New Roman" w:hAnsi="Times New Roman"/>
                <w:color w:val="000000" w:themeColor="text1"/>
                <w:sz w:val="24"/>
              </w:rPr>
            </w:pPr>
            <w:r w:rsidRPr="00254BEE">
              <w:rPr>
                <w:rFonts w:ascii="Times New Roman" w:hAnsi="Times New Roman"/>
                <w:color w:val="000000" w:themeColor="text1"/>
                <w:sz w:val="24"/>
              </w:rPr>
              <w:t>2</w:t>
            </w:r>
          </w:p>
        </w:tc>
        <w:tc>
          <w:tcPr>
            <w:tcW w:w="2760" w:type="dxa"/>
            <w:tcBorders>
              <w:right w:val="single" w:sz="8" w:space="0" w:color="auto"/>
            </w:tcBorders>
          </w:tcPr>
          <w:p w14:paraId="6F94C077" w14:textId="77777777" w:rsidR="00443184" w:rsidRPr="00254BEE" w:rsidRDefault="00443184" w:rsidP="00AD5636">
            <w:pPr>
              <w:pStyle w:val="TableCellCenter"/>
              <w:spacing w:before="0" w:after="0" w:line="240" w:lineRule="auto"/>
              <w:rPr>
                <w:rFonts w:ascii="Times New Roman" w:hAnsi="Times New Roman"/>
                <w:color w:val="000000" w:themeColor="text1"/>
                <w:sz w:val="24"/>
              </w:rPr>
            </w:pPr>
            <w:r w:rsidRPr="00254BEE">
              <w:rPr>
                <w:rFonts w:ascii="Times New Roman" w:hAnsi="Times New Roman"/>
                <w:color w:val="000000" w:themeColor="text1"/>
                <w:sz w:val="24"/>
              </w:rPr>
              <w:t>1.5</w:t>
            </w:r>
          </w:p>
        </w:tc>
      </w:tr>
      <w:tr w:rsidR="00443184" w:rsidRPr="00254BEE" w14:paraId="293569E8" w14:textId="77777777" w:rsidTr="00EE52E0">
        <w:trPr>
          <w:cantSplit/>
        </w:trPr>
        <w:tc>
          <w:tcPr>
            <w:tcW w:w="1377" w:type="dxa"/>
            <w:tcBorders>
              <w:left w:val="single" w:sz="8" w:space="0" w:color="auto"/>
            </w:tcBorders>
          </w:tcPr>
          <w:p w14:paraId="337CF779" w14:textId="77777777" w:rsidR="00443184" w:rsidRPr="00254BEE" w:rsidRDefault="00443184" w:rsidP="00AD5636">
            <w:pPr>
              <w:pStyle w:val="TableCellCenter"/>
              <w:spacing w:before="0" w:after="0" w:line="240" w:lineRule="auto"/>
              <w:rPr>
                <w:rFonts w:ascii="Times New Roman" w:hAnsi="Times New Roman"/>
                <w:color w:val="000000" w:themeColor="text1"/>
                <w:sz w:val="24"/>
              </w:rPr>
            </w:pPr>
            <w:r w:rsidRPr="00254BEE">
              <w:rPr>
                <w:rFonts w:ascii="Times New Roman" w:hAnsi="Times New Roman"/>
                <w:color w:val="000000" w:themeColor="text1"/>
                <w:sz w:val="24"/>
              </w:rPr>
              <w:t>300</w:t>
            </w:r>
          </w:p>
        </w:tc>
        <w:tc>
          <w:tcPr>
            <w:tcW w:w="1050" w:type="dxa"/>
            <w:shd w:val="clear" w:color="auto" w:fill="auto"/>
          </w:tcPr>
          <w:p w14:paraId="5C2EACFB" w14:textId="77777777" w:rsidR="00443184" w:rsidRPr="00254BEE" w:rsidRDefault="00443184" w:rsidP="00AD5636">
            <w:pPr>
              <w:pStyle w:val="TableCellCenter"/>
              <w:spacing w:before="0" w:after="0" w:line="240" w:lineRule="auto"/>
              <w:rPr>
                <w:rFonts w:ascii="Times New Roman" w:hAnsi="Times New Roman"/>
                <w:color w:val="000000" w:themeColor="text1"/>
                <w:sz w:val="24"/>
              </w:rPr>
            </w:pPr>
            <w:r w:rsidRPr="00254BEE">
              <w:rPr>
                <w:rFonts w:ascii="Times New Roman" w:hAnsi="Times New Roman"/>
                <w:color w:val="000000" w:themeColor="text1"/>
                <w:sz w:val="24"/>
              </w:rPr>
              <w:t>0</w:t>
            </w:r>
          </w:p>
        </w:tc>
        <w:tc>
          <w:tcPr>
            <w:tcW w:w="992" w:type="dxa"/>
            <w:shd w:val="clear" w:color="auto" w:fill="auto"/>
          </w:tcPr>
          <w:p w14:paraId="05AEF2BA" w14:textId="77777777" w:rsidR="00443184" w:rsidRPr="00254BEE" w:rsidRDefault="00443184" w:rsidP="00AD5636">
            <w:pPr>
              <w:pStyle w:val="TableCellCenter"/>
              <w:spacing w:before="0" w:after="0" w:line="240" w:lineRule="auto"/>
              <w:rPr>
                <w:rFonts w:ascii="Times New Roman" w:hAnsi="Times New Roman"/>
                <w:color w:val="000000" w:themeColor="text1"/>
                <w:sz w:val="24"/>
              </w:rPr>
            </w:pPr>
            <w:r w:rsidRPr="00254BEE">
              <w:rPr>
                <w:rFonts w:ascii="Times New Roman" w:hAnsi="Times New Roman"/>
                <w:color w:val="000000" w:themeColor="text1"/>
                <w:sz w:val="24"/>
              </w:rPr>
              <w:t>2</w:t>
            </w:r>
          </w:p>
        </w:tc>
        <w:tc>
          <w:tcPr>
            <w:tcW w:w="2278" w:type="dxa"/>
          </w:tcPr>
          <w:p w14:paraId="23A27F5F" w14:textId="77777777" w:rsidR="00443184" w:rsidRPr="00254BEE" w:rsidRDefault="00443184" w:rsidP="00AD5636">
            <w:pPr>
              <w:pStyle w:val="TableCellCenter"/>
              <w:spacing w:before="0" w:after="0" w:line="240" w:lineRule="auto"/>
              <w:rPr>
                <w:rFonts w:ascii="Times New Roman" w:hAnsi="Times New Roman"/>
                <w:color w:val="000000" w:themeColor="text1"/>
                <w:sz w:val="24"/>
              </w:rPr>
            </w:pPr>
            <w:r w:rsidRPr="00254BEE">
              <w:rPr>
                <w:rFonts w:ascii="Times New Roman" w:hAnsi="Times New Roman"/>
                <w:color w:val="000000" w:themeColor="text1"/>
                <w:sz w:val="24"/>
              </w:rPr>
              <w:t>2</w:t>
            </w:r>
          </w:p>
        </w:tc>
        <w:tc>
          <w:tcPr>
            <w:tcW w:w="2760" w:type="dxa"/>
            <w:tcBorders>
              <w:right w:val="single" w:sz="8" w:space="0" w:color="auto"/>
            </w:tcBorders>
          </w:tcPr>
          <w:p w14:paraId="2BFD2306" w14:textId="77777777" w:rsidR="00443184" w:rsidRPr="00254BEE" w:rsidRDefault="00443184" w:rsidP="00AD5636">
            <w:pPr>
              <w:pStyle w:val="TableCellCenter"/>
              <w:spacing w:before="0" w:after="0" w:line="240" w:lineRule="auto"/>
              <w:rPr>
                <w:rFonts w:ascii="Times New Roman" w:hAnsi="Times New Roman"/>
                <w:color w:val="000000" w:themeColor="text1"/>
                <w:sz w:val="24"/>
              </w:rPr>
            </w:pPr>
            <w:r w:rsidRPr="00254BEE">
              <w:rPr>
                <w:rFonts w:ascii="Times New Roman" w:hAnsi="Times New Roman"/>
                <w:color w:val="000000" w:themeColor="text1"/>
                <w:sz w:val="24"/>
              </w:rPr>
              <w:t>2.0</w:t>
            </w:r>
          </w:p>
        </w:tc>
      </w:tr>
      <w:tr w:rsidR="00443184" w:rsidRPr="00254BEE" w14:paraId="70634ADA" w14:textId="77777777" w:rsidTr="00EE52E0">
        <w:trPr>
          <w:cantSplit/>
        </w:trPr>
        <w:tc>
          <w:tcPr>
            <w:tcW w:w="1377" w:type="dxa"/>
            <w:tcBorders>
              <w:left w:val="single" w:sz="8" w:space="0" w:color="auto"/>
              <w:bottom w:val="single" w:sz="4" w:space="0" w:color="auto"/>
            </w:tcBorders>
          </w:tcPr>
          <w:p w14:paraId="012CC320" w14:textId="77777777" w:rsidR="00443184" w:rsidRPr="00254BEE" w:rsidRDefault="00443184" w:rsidP="00AD5636">
            <w:pPr>
              <w:pStyle w:val="TableCellCenter"/>
              <w:spacing w:before="0" w:after="0" w:line="240" w:lineRule="auto"/>
              <w:rPr>
                <w:rFonts w:ascii="Times New Roman" w:hAnsi="Times New Roman"/>
                <w:color w:val="000000" w:themeColor="text1"/>
                <w:sz w:val="24"/>
              </w:rPr>
            </w:pPr>
            <w:r w:rsidRPr="00254BEE">
              <w:rPr>
                <w:rFonts w:ascii="Times New Roman" w:hAnsi="Times New Roman"/>
                <w:color w:val="000000" w:themeColor="text1"/>
                <w:sz w:val="24"/>
              </w:rPr>
              <w:t>375</w:t>
            </w:r>
          </w:p>
        </w:tc>
        <w:tc>
          <w:tcPr>
            <w:tcW w:w="1050" w:type="dxa"/>
            <w:tcBorders>
              <w:bottom w:val="single" w:sz="4" w:space="0" w:color="auto"/>
            </w:tcBorders>
            <w:shd w:val="clear" w:color="auto" w:fill="auto"/>
          </w:tcPr>
          <w:p w14:paraId="2D464DEF" w14:textId="77777777" w:rsidR="00443184" w:rsidRPr="00254BEE" w:rsidRDefault="00443184" w:rsidP="00AD5636">
            <w:pPr>
              <w:pStyle w:val="TableCellCenter"/>
              <w:spacing w:before="0" w:after="0" w:line="240" w:lineRule="auto"/>
              <w:rPr>
                <w:rFonts w:ascii="Times New Roman" w:hAnsi="Times New Roman"/>
                <w:color w:val="000000" w:themeColor="text1"/>
                <w:sz w:val="24"/>
              </w:rPr>
            </w:pPr>
            <w:r w:rsidRPr="00254BEE">
              <w:rPr>
                <w:rFonts w:ascii="Times New Roman" w:hAnsi="Times New Roman"/>
                <w:color w:val="000000" w:themeColor="text1"/>
                <w:sz w:val="24"/>
              </w:rPr>
              <w:t>1</w:t>
            </w:r>
          </w:p>
        </w:tc>
        <w:tc>
          <w:tcPr>
            <w:tcW w:w="992" w:type="dxa"/>
            <w:tcBorders>
              <w:bottom w:val="single" w:sz="4" w:space="0" w:color="auto"/>
            </w:tcBorders>
            <w:shd w:val="clear" w:color="auto" w:fill="auto"/>
          </w:tcPr>
          <w:p w14:paraId="7D28A336" w14:textId="77777777" w:rsidR="00443184" w:rsidRPr="00254BEE" w:rsidRDefault="00443184" w:rsidP="00AD5636">
            <w:pPr>
              <w:pStyle w:val="TableCellCenter"/>
              <w:spacing w:before="0" w:after="0" w:line="240" w:lineRule="auto"/>
              <w:rPr>
                <w:rFonts w:ascii="Times New Roman" w:hAnsi="Times New Roman"/>
                <w:color w:val="000000" w:themeColor="text1"/>
                <w:sz w:val="24"/>
              </w:rPr>
            </w:pPr>
            <w:r w:rsidRPr="00254BEE">
              <w:rPr>
                <w:rFonts w:ascii="Times New Roman" w:hAnsi="Times New Roman"/>
                <w:color w:val="000000" w:themeColor="text1"/>
                <w:sz w:val="24"/>
              </w:rPr>
              <w:t>2</w:t>
            </w:r>
          </w:p>
        </w:tc>
        <w:tc>
          <w:tcPr>
            <w:tcW w:w="2278" w:type="dxa"/>
            <w:tcBorders>
              <w:bottom w:val="single" w:sz="4" w:space="0" w:color="auto"/>
            </w:tcBorders>
          </w:tcPr>
          <w:p w14:paraId="1B0A4EB6" w14:textId="77777777" w:rsidR="00443184" w:rsidRPr="00254BEE" w:rsidRDefault="00443184" w:rsidP="00AD5636">
            <w:pPr>
              <w:pStyle w:val="TableCellCenter"/>
              <w:spacing w:before="0" w:after="0" w:line="240" w:lineRule="auto"/>
              <w:rPr>
                <w:rFonts w:ascii="Times New Roman" w:hAnsi="Times New Roman"/>
                <w:color w:val="000000" w:themeColor="text1"/>
                <w:sz w:val="24"/>
              </w:rPr>
            </w:pPr>
            <w:r w:rsidRPr="00254BEE">
              <w:rPr>
                <w:rFonts w:ascii="Times New Roman" w:hAnsi="Times New Roman"/>
                <w:color w:val="000000" w:themeColor="text1"/>
                <w:sz w:val="24"/>
              </w:rPr>
              <w:t>3</w:t>
            </w:r>
          </w:p>
        </w:tc>
        <w:tc>
          <w:tcPr>
            <w:tcW w:w="2760" w:type="dxa"/>
            <w:tcBorders>
              <w:bottom w:val="single" w:sz="4" w:space="0" w:color="auto"/>
              <w:right w:val="single" w:sz="8" w:space="0" w:color="auto"/>
            </w:tcBorders>
          </w:tcPr>
          <w:p w14:paraId="757A5030" w14:textId="77777777" w:rsidR="00443184" w:rsidRPr="00254BEE" w:rsidRDefault="00443184" w:rsidP="00AD5636">
            <w:pPr>
              <w:pStyle w:val="TableCellCenter"/>
              <w:spacing w:before="0" w:after="0" w:line="240" w:lineRule="auto"/>
              <w:rPr>
                <w:rFonts w:ascii="Times New Roman" w:hAnsi="Times New Roman"/>
                <w:color w:val="000000" w:themeColor="text1"/>
                <w:sz w:val="24"/>
              </w:rPr>
            </w:pPr>
            <w:r w:rsidRPr="00254BEE">
              <w:rPr>
                <w:rFonts w:ascii="Times New Roman" w:hAnsi="Times New Roman"/>
                <w:color w:val="000000" w:themeColor="text1"/>
                <w:sz w:val="24"/>
              </w:rPr>
              <w:t>2.5</w:t>
            </w:r>
          </w:p>
        </w:tc>
      </w:tr>
    </w:tbl>
    <w:p w14:paraId="2C3B927F" w14:textId="77777777" w:rsidR="00443184" w:rsidRPr="00254BEE" w:rsidRDefault="00443184" w:rsidP="00443184">
      <w:pPr>
        <w:pStyle w:val="Header"/>
        <w:tabs>
          <w:tab w:val="clear" w:pos="4153"/>
          <w:tab w:val="clear" w:pos="8306"/>
        </w:tabs>
        <w:rPr>
          <w:color w:val="000000" w:themeColor="text1"/>
        </w:rPr>
      </w:pPr>
    </w:p>
    <w:p w14:paraId="046FCB03" w14:textId="77777777" w:rsidR="00443184" w:rsidRPr="00254BEE" w:rsidRDefault="00443184" w:rsidP="00286336">
      <w:pPr>
        <w:pStyle w:val="Header"/>
        <w:tabs>
          <w:tab w:val="clear" w:pos="4153"/>
          <w:tab w:val="clear" w:pos="8306"/>
        </w:tabs>
        <w:rPr>
          <w:color w:val="000000" w:themeColor="text1"/>
        </w:rPr>
      </w:pPr>
      <w:r w:rsidRPr="00254BEE">
        <w:rPr>
          <w:color w:val="000000" w:themeColor="text1"/>
        </w:rPr>
        <w:t xml:space="preserve">For doses of 225 or 375 mg. Xolair 150 mg should be used in combination with Xolair 75 mg. </w:t>
      </w:r>
    </w:p>
    <w:p w14:paraId="4FCBE065" w14:textId="77777777" w:rsidR="00622F37" w:rsidRPr="00254BEE" w:rsidRDefault="00622F37" w:rsidP="00286336">
      <w:pPr>
        <w:pStyle w:val="Header"/>
        <w:tabs>
          <w:tab w:val="clear" w:pos="4153"/>
          <w:tab w:val="clear" w:pos="8306"/>
        </w:tabs>
        <w:rPr>
          <w:color w:val="000000" w:themeColor="text1"/>
        </w:rPr>
      </w:pPr>
    </w:p>
    <w:p w14:paraId="5B6C6645" w14:textId="77777777" w:rsidR="00D8347D" w:rsidRPr="00254BEE" w:rsidRDefault="00DA372F" w:rsidP="00286336">
      <w:pPr>
        <w:rPr>
          <w:b/>
          <w:color w:val="000000" w:themeColor="text1"/>
        </w:rPr>
      </w:pPr>
      <w:r w:rsidRPr="00254BEE">
        <w:rPr>
          <w:b/>
          <w:color w:val="000000" w:themeColor="text1"/>
        </w:rPr>
        <w:t>Measurement of serum IgE levels:</w:t>
      </w:r>
    </w:p>
    <w:p w14:paraId="689C4E43" w14:textId="77777777" w:rsidR="00604B4E" w:rsidRPr="00254BEE" w:rsidRDefault="00604B4E" w:rsidP="00286336">
      <w:pPr>
        <w:rPr>
          <w:b/>
          <w:color w:val="000000" w:themeColor="text1"/>
        </w:rPr>
      </w:pPr>
    </w:p>
    <w:p w14:paraId="4F736171" w14:textId="77777777" w:rsidR="00D8347D" w:rsidRPr="00254BEE" w:rsidRDefault="00DA372F" w:rsidP="00286336">
      <w:pPr>
        <w:rPr>
          <w:color w:val="000000" w:themeColor="text1"/>
        </w:rPr>
      </w:pPr>
      <w:r w:rsidRPr="00254BEE">
        <w:rPr>
          <w:color w:val="000000" w:themeColor="text1"/>
        </w:rPr>
        <w:t xml:space="preserve">Any commercial serum total IgE assay may be used for determination of serum total IgE for initial dose assignment. However, Xolair can interfere with accurate quantitation of serum IgE levels. The total IgE levels while on active treatment of Xolair increased an average of </w:t>
      </w:r>
    </w:p>
    <w:p w14:paraId="186E049E" w14:textId="77777777" w:rsidR="00D8347D" w:rsidRPr="00254BEE" w:rsidRDefault="00DA372F" w:rsidP="00286336">
      <w:pPr>
        <w:rPr>
          <w:color w:val="000000" w:themeColor="text1"/>
        </w:rPr>
      </w:pPr>
      <w:r w:rsidRPr="00254BEE">
        <w:rPr>
          <w:color w:val="000000" w:themeColor="text1"/>
        </w:rPr>
        <w:t>4-fold post-dose as a result of omalizumab-IgE binding.  If it is necessary to measure serum total IgE in subjects currently on Xolair treatment or who have discontinued within the last 12 months, the Abbott IMX assay has been shown to demonstrate reliable serum total IgE measurements.</w:t>
      </w:r>
    </w:p>
    <w:p w14:paraId="4FB3EFB3" w14:textId="77777777" w:rsidR="00885BE4" w:rsidRPr="00254BEE" w:rsidRDefault="00885BE4" w:rsidP="0080000A">
      <w:pPr>
        <w:rPr>
          <w:b/>
          <w:color w:val="000000" w:themeColor="text1"/>
        </w:rPr>
      </w:pPr>
    </w:p>
    <w:p w14:paraId="44FF78C0" w14:textId="77777777" w:rsidR="00D8347D" w:rsidRPr="00254BEE" w:rsidRDefault="00DA372F" w:rsidP="00550F1B">
      <w:pPr>
        <w:rPr>
          <w:b/>
          <w:color w:val="000000" w:themeColor="text1"/>
        </w:rPr>
      </w:pPr>
      <w:r w:rsidRPr="00254BEE">
        <w:rPr>
          <w:b/>
          <w:color w:val="000000" w:themeColor="text1"/>
        </w:rPr>
        <w:t>Treatment duration, monitoring and dose adjustments:</w:t>
      </w:r>
    </w:p>
    <w:p w14:paraId="17C8259C" w14:textId="77777777" w:rsidR="00604B4E" w:rsidRPr="00254BEE" w:rsidRDefault="00604B4E" w:rsidP="00550F1B">
      <w:pPr>
        <w:rPr>
          <w:b/>
          <w:color w:val="000000" w:themeColor="text1"/>
        </w:rPr>
      </w:pPr>
    </w:p>
    <w:p w14:paraId="74578C90" w14:textId="77777777" w:rsidR="00D8347D" w:rsidRPr="00254BEE" w:rsidRDefault="00DA372F" w:rsidP="00550F1B">
      <w:pPr>
        <w:rPr>
          <w:color w:val="000000" w:themeColor="text1"/>
        </w:rPr>
      </w:pPr>
      <w:r w:rsidRPr="00254BEE">
        <w:rPr>
          <w:color w:val="000000" w:themeColor="text1"/>
        </w:rPr>
        <w:t>Doses do not need to be adjusted for variations in serum IgE over time.  Data from clinical studies suggest that, in the absence of omalizumab treatment, there is no significant temporal variation in serum total IgE levels.</w:t>
      </w:r>
    </w:p>
    <w:p w14:paraId="5DB867AC" w14:textId="77777777" w:rsidR="00D8347D" w:rsidRPr="00254BEE" w:rsidRDefault="00D8347D" w:rsidP="00550F1B">
      <w:pPr>
        <w:rPr>
          <w:color w:val="000000" w:themeColor="text1"/>
        </w:rPr>
      </w:pPr>
    </w:p>
    <w:p w14:paraId="066E18F7" w14:textId="77777777" w:rsidR="00D8347D" w:rsidRPr="00254BEE" w:rsidRDefault="00DA372F" w:rsidP="00550F1B">
      <w:pPr>
        <w:rPr>
          <w:color w:val="000000" w:themeColor="text1"/>
        </w:rPr>
      </w:pPr>
      <w:r w:rsidRPr="00254BEE">
        <w:rPr>
          <w:color w:val="000000" w:themeColor="text1"/>
        </w:rPr>
        <w:t xml:space="preserve">Dose assignment after treatment interruptions or discontinuations should be based on serum IgE levels obtained at initial dose assignment. Serum IgE should only be re-determined for dose assignment if treatment has been </w:t>
      </w:r>
      <w:r w:rsidR="00820AFA" w:rsidRPr="00254BEE">
        <w:rPr>
          <w:color w:val="000000" w:themeColor="text1"/>
        </w:rPr>
        <w:t>discontinued for one year</w:t>
      </w:r>
      <w:r w:rsidRPr="00254BEE">
        <w:rPr>
          <w:color w:val="000000" w:themeColor="text1"/>
        </w:rPr>
        <w:t xml:space="preserve"> or more.</w:t>
      </w:r>
    </w:p>
    <w:p w14:paraId="48C06949" w14:textId="77777777" w:rsidR="00D8347D" w:rsidRPr="00254BEE" w:rsidRDefault="00D8347D" w:rsidP="00550F1B">
      <w:pPr>
        <w:pStyle w:val="Text"/>
        <w:spacing w:before="0"/>
        <w:jc w:val="left"/>
        <w:rPr>
          <w:color w:val="000000" w:themeColor="text1"/>
        </w:rPr>
      </w:pPr>
    </w:p>
    <w:p w14:paraId="18940025" w14:textId="77777777" w:rsidR="00D8347D" w:rsidRPr="00254BEE" w:rsidRDefault="00DA372F" w:rsidP="00550F1B">
      <w:pPr>
        <w:rPr>
          <w:color w:val="000000" w:themeColor="text1"/>
        </w:rPr>
      </w:pPr>
      <w:r w:rsidRPr="00254BEE">
        <w:rPr>
          <w:color w:val="000000" w:themeColor="text1"/>
        </w:rPr>
        <w:t>Doses will need to be increased for body weight gains. No data are currently available to support dose adjustments based on changes in serum total IgE with increasing age.</w:t>
      </w:r>
    </w:p>
    <w:p w14:paraId="00D65121" w14:textId="77777777" w:rsidR="00D8347D" w:rsidRPr="00254BEE" w:rsidRDefault="00D8347D" w:rsidP="00550F1B">
      <w:pPr>
        <w:rPr>
          <w:color w:val="000000" w:themeColor="text1"/>
        </w:rPr>
      </w:pPr>
    </w:p>
    <w:p w14:paraId="38F30F9E" w14:textId="77777777" w:rsidR="005D12E2" w:rsidRPr="00254BEE" w:rsidRDefault="00DA372F" w:rsidP="00550F1B">
      <w:pPr>
        <w:rPr>
          <w:color w:val="000000" w:themeColor="text1"/>
        </w:rPr>
      </w:pPr>
      <w:r w:rsidRPr="00254BEE">
        <w:rPr>
          <w:color w:val="000000" w:themeColor="text1"/>
        </w:rPr>
        <w:t>Discontinuation of Xolair treatment generally results in a return to elevated free IgE levels and associated symptoms.</w:t>
      </w:r>
    </w:p>
    <w:p w14:paraId="5FAAF5D1" w14:textId="77777777" w:rsidR="005D12E2" w:rsidRPr="00254BEE" w:rsidRDefault="005D12E2" w:rsidP="00550F1B">
      <w:pPr>
        <w:rPr>
          <w:color w:val="000000" w:themeColor="text1"/>
        </w:rPr>
      </w:pPr>
    </w:p>
    <w:p w14:paraId="3CA53AED" w14:textId="77777777" w:rsidR="005C09D9" w:rsidRPr="00254BEE" w:rsidRDefault="00DA372F" w:rsidP="00550F1B">
      <w:pPr>
        <w:rPr>
          <w:color w:val="000000" w:themeColor="text1"/>
        </w:rPr>
      </w:pPr>
      <w:r w:rsidRPr="00254BEE">
        <w:rPr>
          <w:color w:val="000000" w:themeColor="text1"/>
        </w:rPr>
        <w:t xml:space="preserve">At 16 weeks after commencing Xolair therapy patients should be assessed by their physician for treatment effectiveness before further injections are administered. The decision to continue Xolair should be based on whether a marked improvement in overall asthma control is seen (see CLINICAL TRIAL). </w:t>
      </w:r>
    </w:p>
    <w:p w14:paraId="29D2746F" w14:textId="77777777" w:rsidR="005C09D9" w:rsidRPr="00254BEE" w:rsidRDefault="005C09D9" w:rsidP="00550F1B">
      <w:pPr>
        <w:rPr>
          <w:color w:val="000000" w:themeColor="text1"/>
        </w:rPr>
      </w:pPr>
    </w:p>
    <w:p w14:paraId="09C9941A" w14:textId="77777777" w:rsidR="003D4133" w:rsidRPr="00254BEE" w:rsidRDefault="00DA372F" w:rsidP="00550F1B">
      <w:pPr>
        <w:rPr>
          <w:color w:val="000000" w:themeColor="text1"/>
        </w:rPr>
      </w:pPr>
      <w:r w:rsidRPr="00254BEE">
        <w:rPr>
          <w:color w:val="000000" w:themeColor="text1"/>
        </w:rPr>
        <w:t>Reduction of inhaled corticosteroids may be attempted after 16 weeks of treatment with Xolair in patients with stable, well-controlled asthma.  The dose of corticosteroid should be reduced gradually under medical supervision.  In some patients, inhaled corticosteroids can be tapered off completely. Xolair should not be abruptly substituted for inhaled corticosteroids.</w:t>
      </w:r>
    </w:p>
    <w:p w14:paraId="154371C1" w14:textId="77777777" w:rsidR="005D12E2" w:rsidRPr="00254BEE" w:rsidRDefault="005D12E2" w:rsidP="00550F1B">
      <w:pPr>
        <w:rPr>
          <w:color w:val="000000" w:themeColor="text1"/>
        </w:rPr>
      </w:pPr>
    </w:p>
    <w:p w14:paraId="576FB774" w14:textId="77777777" w:rsidR="005D12E2" w:rsidRPr="00254BEE" w:rsidRDefault="00DA372F" w:rsidP="00550F1B">
      <w:pPr>
        <w:rPr>
          <w:color w:val="000000" w:themeColor="text1"/>
        </w:rPr>
      </w:pPr>
      <w:r w:rsidRPr="00254BEE">
        <w:rPr>
          <w:color w:val="000000" w:themeColor="text1"/>
        </w:rPr>
        <w:t>Total IgE levels are elevated during treatment and remain elevated for up to one year after the discontinuation of treatment. Therefore, re-testing of IgE levels during Xolair treatment cannot be used as a guide for dose determination. Dose determination after treatment interruptions lasting less than one year should be based on serum IgE levels obtained at the initial dose determination. Total serum IgE levels may be re-tested for dose determination if treatment with Xolair has been interrupted for one year or more.</w:t>
      </w:r>
    </w:p>
    <w:p w14:paraId="73DDBBC6" w14:textId="77777777" w:rsidR="005D12E2" w:rsidRPr="00254BEE" w:rsidRDefault="005D12E2" w:rsidP="00550F1B">
      <w:pPr>
        <w:rPr>
          <w:b/>
          <w:color w:val="000000" w:themeColor="text1"/>
        </w:rPr>
      </w:pPr>
    </w:p>
    <w:p w14:paraId="1C798495" w14:textId="6A3D20F1" w:rsidR="006C657A" w:rsidRPr="00254BEE" w:rsidRDefault="006C657A" w:rsidP="006C657A">
      <w:pPr>
        <w:pStyle w:val="Heading5"/>
        <w:spacing w:line="240" w:lineRule="auto"/>
        <w:rPr>
          <w:color w:val="000000" w:themeColor="text1"/>
          <w:sz w:val="24"/>
          <w:szCs w:val="24"/>
        </w:rPr>
      </w:pPr>
      <w:r w:rsidRPr="00254BEE">
        <w:rPr>
          <w:color w:val="000000" w:themeColor="text1"/>
          <w:sz w:val="24"/>
          <w:szCs w:val="24"/>
        </w:rPr>
        <w:t xml:space="preserve">Dosage for </w:t>
      </w:r>
      <w:r w:rsidR="00EE52E0" w:rsidRPr="00254BEE">
        <w:rPr>
          <w:color w:val="000000" w:themeColor="text1"/>
          <w:sz w:val="24"/>
          <w:szCs w:val="24"/>
        </w:rPr>
        <w:t xml:space="preserve">Chronic </w:t>
      </w:r>
      <w:r w:rsidR="00690BA9">
        <w:rPr>
          <w:color w:val="000000" w:themeColor="text1"/>
          <w:sz w:val="24"/>
          <w:szCs w:val="24"/>
        </w:rPr>
        <w:t>Spontaneous</w:t>
      </w:r>
      <w:r w:rsidR="00EE52E0" w:rsidRPr="00254BEE">
        <w:rPr>
          <w:color w:val="000000" w:themeColor="text1"/>
          <w:sz w:val="24"/>
          <w:szCs w:val="24"/>
        </w:rPr>
        <w:t xml:space="preserve"> Urticaria</w:t>
      </w:r>
      <w:r w:rsidRPr="00254BEE">
        <w:rPr>
          <w:color w:val="000000" w:themeColor="text1"/>
          <w:sz w:val="24"/>
          <w:szCs w:val="24"/>
        </w:rPr>
        <w:t xml:space="preserve"> (</w:t>
      </w:r>
      <w:r w:rsidR="00690BA9">
        <w:rPr>
          <w:color w:val="000000" w:themeColor="text1"/>
          <w:sz w:val="24"/>
          <w:szCs w:val="24"/>
        </w:rPr>
        <w:t>CSU</w:t>
      </w:r>
      <w:r w:rsidRPr="00254BEE">
        <w:rPr>
          <w:color w:val="000000" w:themeColor="text1"/>
          <w:sz w:val="24"/>
          <w:szCs w:val="24"/>
        </w:rPr>
        <w:t>)</w:t>
      </w:r>
      <w:bookmarkStart w:id="39" w:name="_810172Dosage_for_Chronic_Spontane"/>
      <w:bookmarkEnd w:id="39"/>
    </w:p>
    <w:p w14:paraId="7CE00019" w14:textId="77777777" w:rsidR="006C657A" w:rsidRPr="00254BEE" w:rsidRDefault="006C657A" w:rsidP="006C657A">
      <w:pPr>
        <w:pStyle w:val="Text"/>
      </w:pPr>
      <w:r w:rsidRPr="00254BEE">
        <w:rPr>
          <w:lang w:val="x-none"/>
        </w:rPr>
        <w:t xml:space="preserve">The recommended dose is 300 mg </w:t>
      </w:r>
      <w:r w:rsidRPr="00254BEE">
        <w:t xml:space="preserve">by subcutaneous injection every four weeks. </w:t>
      </w:r>
      <w:r w:rsidRPr="00254BEE">
        <w:rPr>
          <w:iCs/>
        </w:rPr>
        <w:t>S</w:t>
      </w:r>
      <w:r w:rsidRPr="00254BEE">
        <w:rPr>
          <w:iCs/>
          <w:lang w:val="x-none"/>
        </w:rPr>
        <w:t>ome</w:t>
      </w:r>
      <w:r w:rsidRPr="00254BEE">
        <w:rPr>
          <w:lang w:val="x-none"/>
        </w:rPr>
        <w:t xml:space="preserve"> patients may achieve control of their symptoms with </w:t>
      </w:r>
      <w:r w:rsidRPr="00254BEE">
        <w:t>a dose of</w:t>
      </w:r>
      <w:r w:rsidRPr="00254BEE">
        <w:rPr>
          <w:lang w:val="x-none"/>
        </w:rPr>
        <w:t xml:space="preserve"> 150 mg</w:t>
      </w:r>
      <w:r w:rsidRPr="00254BEE">
        <w:t xml:space="preserve"> every four weeks.</w:t>
      </w:r>
    </w:p>
    <w:p w14:paraId="3870B339" w14:textId="77777777" w:rsidR="006C657A" w:rsidRPr="00254BEE" w:rsidRDefault="006C657A" w:rsidP="006C657A">
      <w:pPr>
        <w:pStyle w:val="Text"/>
      </w:pPr>
      <w:r w:rsidRPr="00254BEE">
        <w:rPr>
          <w:iCs/>
        </w:rPr>
        <w:t>Prescribers are advised to periodically reassess the need for continued therapy</w:t>
      </w:r>
      <w:r w:rsidRPr="00254BEE">
        <w:t>.</w:t>
      </w:r>
    </w:p>
    <w:p w14:paraId="56985A29" w14:textId="77777777" w:rsidR="00B637DF" w:rsidRPr="00254BEE" w:rsidRDefault="00B637DF" w:rsidP="00B637DF">
      <w:pPr>
        <w:pStyle w:val="Text"/>
        <w:spacing w:before="0"/>
        <w:jc w:val="left"/>
      </w:pPr>
    </w:p>
    <w:p w14:paraId="2DC7C989" w14:textId="77777777" w:rsidR="00B637DF" w:rsidRPr="00254BEE" w:rsidRDefault="00B637DF" w:rsidP="00B637DF">
      <w:pPr>
        <w:pStyle w:val="Text"/>
        <w:spacing w:before="0"/>
        <w:jc w:val="left"/>
        <w:rPr>
          <w:sz w:val="22"/>
          <w:szCs w:val="12"/>
        </w:rPr>
      </w:pPr>
      <w:r w:rsidRPr="00254BEE">
        <w:rPr>
          <w:sz w:val="22"/>
          <w:szCs w:val="12"/>
        </w:rPr>
        <w:t>Clinical trial experience of long-term treatment beyond 6 months in this indication is limited.</w:t>
      </w:r>
    </w:p>
    <w:p w14:paraId="648B6329" w14:textId="77777777" w:rsidR="00B637DF" w:rsidRPr="00254BEE" w:rsidRDefault="00B637DF" w:rsidP="00B637DF">
      <w:pPr>
        <w:pStyle w:val="Text"/>
      </w:pPr>
      <w:r w:rsidRPr="00254BEE">
        <w:rPr>
          <w:iCs/>
        </w:rPr>
        <w:t>Xolair should be used as add-on therapy to H1 antihistamine treatment</w:t>
      </w:r>
      <w:r w:rsidRPr="00254BEE">
        <w:rPr>
          <w:iCs/>
          <w:sz w:val="22"/>
          <w:szCs w:val="22"/>
        </w:rPr>
        <w:t>.</w:t>
      </w:r>
    </w:p>
    <w:p w14:paraId="5268064B" w14:textId="77777777" w:rsidR="006C657A" w:rsidRPr="00254BEE" w:rsidRDefault="006C657A" w:rsidP="00550F1B">
      <w:pPr>
        <w:rPr>
          <w:b/>
          <w:color w:val="000000" w:themeColor="text1"/>
        </w:rPr>
      </w:pPr>
    </w:p>
    <w:p w14:paraId="7BC64262" w14:textId="77777777" w:rsidR="00D8347D" w:rsidRPr="00254BEE" w:rsidRDefault="00DA372F" w:rsidP="00286336">
      <w:pPr>
        <w:pStyle w:val="Heading7"/>
        <w:spacing w:line="240" w:lineRule="auto"/>
        <w:rPr>
          <w:color w:val="000000" w:themeColor="text1"/>
        </w:rPr>
      </w:pPr>
      <w:r w:rsidRPr="00254BEE">
        <w:rPr>
          <w:color w:val="000000" w:themeColor="text1"/>
        </w:rPr>
        <w:t>Administration of Xolair</w:t>
      </w:r>
    </w:p>
    <w:p w14:paraId="7FEDB351" w14:textId="77777777" w:rsidR="00D8347D" w:rsidRPr="00254BEE" w:rsidRDefault="00D8347D" w:rsidP="00286336">
      <w:pPr>
        <w:rPr>
          <w:b/>
          <w:color w:val="000000" w:themeColor="text1"/>
          <w:u w:val="single"/>
        </w:rPr>
      </w:pPr>
    </w:p>
    <w:p w14:paraId="5D05253B" w14:textId="77777777" w:rsidR="00D8347D" w:rsidRPr="00254BEE" w:rsidRDefault="00DA372F" w:rsidP="00286336">
      <w:pPr>
        <w:pStyle w:val="PIListParagraph"/>
        <w:spacing w:after="0" w:line="240" w:lineRule="auto"/>
        <w:jc w:val="left"/>
        <w:rPr>
          <w:rFonts w:ascii="Times New Roman" w:hAnsi="Times New Roman"/>
          <w:b/>
          <w:color w:val="000000" w:themeColor="text1"/>
        </w:rPr>
      </w:pPr>
      <w:r w:rsidRPr="00254BEE">
        <w:rPr>
          <w:rFonts w:ascii="Times New Roman" w:hAnsi="Times New Roman"/>
          <w:b/>
          <w:color w:val="000000" w:themeColor="text1"/>
        </w:rPr>
        <w:t>To prepare Xolair for subcutaneous administration, please follow the following instructions:</w:t>
      </w:r>
    </w:p>
    <w:p w14:paraId="29723D8C" w14:textId="77777777" w:rsidR="002B3EFC" w:rsidRPr="00254BEE" w:rsidRDefault="002B3EFC" w:rsidP="00286336">
      <w:pPr>
        <w:rPr>
          <w:color w:val="000000" w:themeColor="text1"/>
          <w:lang w:val="en-US"/>
        </w:rPr>
      </w:pPr>
    </w:p>
    <w:p w14:paraId="1EAFFA07" w14:textId="77777777" w:rsidR="002324A8" w:rsidRPr="00254BEE" w:rsidRDefault="002324A8" w:rsidP="002324A8">
      <w:pPr>
        <w:pStyle w:val="Text"/>
        <w:rPr>
          <w:b/>
          <w:u w:val="single"/>
        </w:rPr>
      </w:pPr>
      <w:r w:rsidRPr="00254BEE">
        <w:rPr>
          <w:b/>
          <w:u w:val="single"/>
        </w:rPr>
        <w:t>Xolair powder vial and solvent for solution for injection</w:t>
      </w:r>
    </w:p>
    <w:p w14:paraId="6017B409" w14:textId="77777777" w:rsidR="00A64209" w:rsidRPr="00254BEE" w:rsidRDefault="00A64209" w:rsidP="002324A8">
      <w:pPr>
        <w:pStyle w:val="Text"/>
      </w:pPr>
      <w:r w:rsidRPr="00254BEE">
        <w:t>Xolair is for single use in one patient only and contains no antimicrobial agent.</w:t>
      </w:r>
    </w:p>
    <w:p w14:paraId="0862A0C7" w14:textId="77777777" w:rsidR="002324A8" w:rsidRPr="00254BEE" w:rsidRDefault="002324A8" w:rsidP="00286336">
      <w:pPr>
        <w:rPr>
          <w:color w:val="000000" w:themeColor="text1"/>
          <w:u w:val="single"/>
          <w:lang w:val="en-US"/>
        </w:rPr>
      </w:pPr>
    </w:p>
    <w:p w14:paraId="4ABEAE29" w14:textId="77777777" w:rsidR="002B3EFC" w:rsidRPr="00254BEE" w:rsidRDefault="00DA372F" w:rsidP="00286336">
      <w:pPr>
        <w:rPr>
          <w:color w:val="000000" w:themeColor="text1"/>
          <w:u w:val="single"/>
          <w:lang w:val="en-US"/>
        </w:rPr>
      </w:pPr>
      <w:r w:rsidRPr="00254BEE">
        <w:rPr>
          <w:color w:val="000000" w:themeColor="text1"/>
          <w:u w:val="single"/>
          <w:lang w:val="en-US"/>
        </w:rPr>
        <w:t>For Xolair 75 mg vials:</w:t>
      </w:r>
    </w:p>
    <w:p w14:paraId="102C39C2" w14:textId="77777777" w:rsidR="002B3EFC" w:rsidRPr="00254BEE" w:rsidRDefault="002B3EFC" w:rsidP="00286336">
      <w:pPr>
        <w:rPr>
          <w:color w:val="000000" w:themeColor="text1"/>
          <w:lang w:val="en-US"/>
        </w:rPr>
      </w:pPr>
    </w:p>
    <w:p w14:paraId="0BB0794F" w14:textId="77777777" w:rsidR="002B3EFC" w:rsidRPr="00254BEE" w:rsidRDefault="00DA372F" w:rsidP="00286336">
      <w:pPr>
        <w:pStyle w:val="PIListNumbered"/>
        <w:numPr>
          <w:ilvl w:val="0"/>
          <w:numId w:val="0"/>
        </w:numPr>
        <w:spacing w:before="0" w:after="0" w:line="240" w:lineRule="auto"/>
        <w:ind w:left="284" w:hanging="284"/>
        <w:jc w:val="left"/>
        <w:rPr>
          <w:rFonts w:ascii="Times New Roman" w:hAnsi="Times New Roman"/>
          <w:color w:val="000000" w:themeColor="text1"/>
        </w:rPr>
      </w:pPr>
      <w:r w:rsidRPr="00254BEE">
        <w:rPr>
          <w:rFonts w:ascii="Times New Roman" w:hAnsi="Times New Roman"/>
          <w:color w:val="000000" w:themeColor="text1"/>
        </w:rPr>
        <w:t>1.</w:t>
      </w:r>
      <w:r w:rsidRPr="00254BEE">
        <w:rPr>
          <w:rFonts w:ascii="Times New Roman" w:hAnsi="Times New Roman"/>
          <w:color w:val="000000" w:themeColor="text1"/>
        </w:rPr>
        <w:tab/>
        <w:t>Draw 0.9 mL of water for injections from the ampoule into a 3 mL syringe equipped with a 1</w:t>
      </w:r>
      <w:r w:rsidRPr="00254BEE">
        <w:rPr>
          <w:rFonts w:ascii="Times New Roman" w:hAnsi="Times New Roman"/>
          <w:color w:val="000000" w:themeColor="text1"/>
        </w:rPr>
        <w:noBreakHyphen/>
        <w:t>inch, large</w:t>
      </w:r>
      <w:r w:rsidRPr="00254BEE">
        <w:rPr>
          <w:rFonts w:ascii="Times New Roman" w:hAnsi="Times New Roman"/>
          <w:color w:val="000000" w:themeColor="text1"/>
        </w:rPr>
        <w:noBreakHyphen/>
        <w:t>bore 18</w:t>
      </w:r>
      <w:r w:rsidRPr="00254BEE">
        <w:rPr>
          <w:rFonts w:ascii="Times New Roman" w:hAnsi="Times New Roman"/>
          <w:color w:val="000000" w:themeColor="text1"/>
        </w:rPr>
        <w:noBreakHyphen/>
        <w:t>gauge needle.</w:t>
      </w:r>
    </w:p>
    <w:p w14:paraId="0C2A7729" w14:textId="77777777" w:rsidR="002B3EFC" w:rsidRPr="00254BEE" w:rsidRDefault="00DA372F" w:rsidP="00286336">
      <w:pPr>
        <w:pStyle w:val="PIListNumbered"/>
        <w:numPr>
          <w:ilvl w:val="0"/>
          <w:numId w:val="0"/>
        </w:numPr>
        <w:spacing w:before="0" w:after="0" w:line="240" w:lineRule="auto"/>
        <w:ind w:left="284" w:hanging="284"/>
        <w:jc w:val="left"/>
        <w:rPr>
          <w:rFonts w:ascii="Times New Roman" w:hAnsi="Times New Roman"/>
          <w:color w:val="000000" w:themeColor="text1"/>
        </w:rPr>
      </w:pPr>
      <w:r w:rsidRPr="00254BEE">
        <w:rPr>
          <w:rFonts w:ascii="Times New Roman" w:hAnsi="Times New Roman"/>
          <w:color w:val="000000" w:themeColor="text1"/>
        </w:rPr>
        <w:t>2.</w:t>
      </w:r>
      <w:r w:rsidRPr="00254BEE">
        <w:rPr>
          <w:rFonts w:ascii="Times New Roman" w:hAnsi="Times New Roman"/>
          <w:color w:val="000000" w:themeColor="text1"/>
        </w:rPr>
        <w:tab/>
        <w:t xml:space="preserve">With the vial placed upright on a flat surface, insert the needle and transfer the water for injections into the omalizumab vial using standard aseptic techniques, </w:t>
      </w:r>
      <w:r w:rsidRPr="00254BEE">
        <w:rPr>
          <w:rFonts w:ascii="Times New Roman" w:hAnsi="Times New Roman"/>
          <w:color w:val="000000" w:themeColor="text1"/>
          <w:u w:val="single"/>
        </w:rPr>
        <w:t xml:space="preserve">directing the water for injections directly onto the powder. </w:t>
      </w:r>
    </w:p>
    <w:p w14:paraId="542A20DB" w14:textId="77777777" w:rsidR="002B3EFC" w:rsidRPr="00254BEE" w:rsidRDefault="00DA372F" w:rsidP="00286336">
      <w:pPr>
        <w:pStyle w:val="PIListNumbered"/>
        <w:numPr>
          <w:ilvl w:val="0"/>
          <w:numId w:val="0"/>
        </w:numPr>
        <w:spacing w:before="0" w:after="0" w:line="240" w:lineRule="auto"/>
        <w:ind w:left="284" w:hanging="284"/>
        <w:jc w:val="left"/>
        <w:rPr>
          <w:rFonts w:ascii="Times New Roman" w:hAnsi="Times New Roman"/>
          <w:color w:val="000000" w:themeColor="text1"/>
        </w:rPr>
      </w:pPr>
      <w:r w:rsidRPr="00254BEE">
        <w:rPr>
          <w:rFonts w:ascii="Times New Roman" w:hAnsi="Times New Roman"/>
          <w:color w:val="000000" w:themeColor="text1"/>
        </w:rPr>
        <w:t>3.</w:t>
      </w:r>
      <w:r w:rsidRPr="00254BEE">
        <w:rPr>
          <w:rFonts w:ascii="Times New Roman" w:hAnsi="Times New Roman"/>
          <w:color w:val="000000" w:themeColor="text1"/>
        </w:rPr>
        <w:tab/>
        <w:t xml:space="preserve">Keeping the vial in the upright position, vigorously swirl the vial (do not shake) for approximately 1 minute to evenly wet the powder. </w:t>
      </w:r>
    </w:p>
    <w:p w14:paraId="6F3B5DE7" w14:textId="77777777" w:rsidR="002B3EFC" w:rsidRPr="00254BEE" w:rsidRDefault="00DA372F" w:rsidP="00286336">
      <w:pPr>
        <w:ind w:left="284" w:hanging="284"/>
        <w:rPr>
          <w:color w:val="000000" w:themeColor="text1"/>
        </w:rPr>
      </w:pPr>
      <w:r w:rsidRPr="00254BEE">
        <w:rPr>
          <w:color w:val="000000" w:themeColor="text1"/>
        </w:rPr>
        <w:lastRenderedPageBreak/>
        <w:t>4.</w:t>
      </w:r>
      <w:r w:rsidRPr="00254BEE">
        <w:rPr>
          <w:color w:val="000000" w:themeColor="text1"/>
        </w:rPr>
        <w:tab/>
        <w:t xml:space="preserve">To aid dissolution, continue to swirl the upright vial for 5 </w:t>
      </w:r>
      <w:r w:rsidR="00401EED" w:rsidRPr="00254BEE">
        <w:rPr>
          <w:color w:val="000000" w:themeColor="text1"/>
        </w:rPr>
        <w:t xml:space="preserve">to </w:t>
      </w:r>
      <w:r w:rsidRPr="00254BEE">
        <w:rPr>
          <w:color w:val="000000" w:themeColor="text1"/>
        </w:rPr>
        <w:t>10 seconds approximately every 5 minutes</w:t>
      </w:r>
      <w:r w:rsidRPr="00254BEE">
        <w:rPr>
          <w:snapToGrid w:val="0"/>
          <w:color w:val="000000" w:themeColor="text1"/>
        </w:rPr>
        <w:t xml:space="preserve"> in order to dissolve any remaining solids</w:t>
      </w:r>
      <w:r w:rsidRPr="00254BEE">
        <w:rPr>
          <w:color w:val="000000" w:themeColor="text1"/>
        </w:rPr>
        <w:t xml:space="preserve">.  The powder typically takes </w:t>
      </w:r>
      <w:r w:rsidRPr="00254BEE">
        <w:rPr>
          <w:b/>
          <w:color w:val="000000" w:themeColor="text1"/>
        </w:rPr>
        <w:t>15 to 30 minutes</w:t>
      </w:r>
      <w:r w:rsidRPr="00254BEE">
        <w:rPr>
          <w:color w:val="000000" w:themeColor="text1"/>
        </w:rPr>
        <w:t xml:space="preserve"> to dissolve completely, although it may take longer.  When the product is fully dissolved, there should be no visible gel</w:t>
      </w:r>
      <w:r w:rsidRPr="00254BEE">
        <w:rPr>
          <w:color w:val="000000" w:themeColor="text1"/>
        </w:rPr>
        <w:noBreakHyphen/>
        <w:t xml:space="preserve">like particles in the solution.  It is safe and acceptable to have small bubbles or foam around the edge of the vial.  The reconstituted product will appear clear or slightly opaque.  Do not use if foreign particles are present. </w:t>
      </w:r>
    </w:p>
    <w:p w14:paraId="538E59C8" w14:textId="77777777" w:rsidR="002B3EFC" w:rsidRPr="00254BEE" w:rsidRDefault="00DA372F" w:rsidP="00286336">
      <w:pPr>
        <w:ind w:left="284" w:hanging="284"/>
        <w:rPr>
          <w:snapToGrid w:val="0"/>
          <w:color w:val="000000" w:themeColor="text1"/>
        </w:rPr>
      </w:pPr>
      <w:r w:rsidRPr="00254BEE">
        <w:rPr>
          <w:color w:val="000000" w:themeColor="text1"/>
        </w:rPr>
        <w:t>5.</w:t>
      </w:r>
      <w:r w:rsidRPr="00254BEE">
        <w:rPr>
          <w:color w:val="000000" w:themeColor="text1"/>
        </w:rPr>
        <w:tab/>
        <w:t>Invert the vial for 15 seconds in order to allow the solution to drain towards the stopper.  Using a new 3 mL syringe equipped with a 1</w:t>
      </w:r>
      <w:r w:rsidRPr="00254BEE">
        <w:rPr>
          <w:color w:val="000000" w:themeColor="text1"/>
        </w:rPr>
        <w:noBreakHyphen/>
        <w:t>inch, large</w:t>
      </w:r>
      <w:r w:rsidRPr="00254BEE">
        <w:rPr>
          <w:color w:val="000000" w:themeColor="text1"/>
        </w:rPr>
        <w:noBreakHyphen/>
        <w:t>bore, 18</w:t>
      </w:r>
      <w:r w:rsidRPr="00254BEE">
        <w:rPr>
          <w:color w:val="000000" w:themeColor="text1"/>
        </w:rPr>
        <w:noBreakHyphen/>
        <w:t xml:space="preserve">gauge needle, insert the needle </w:t>
      </w:r>
      <w:r w:rsidRPr="00254BEE">
        <w:rPr>
          <w:snapToGrid w:val="0"/>
          <w:color w:val="000000" w:themeColor="text1"/>
        </w:rPr>
        <w:t xml:space="preserve">into the inverted vial.  Position the needle tip at the very bottom of the solution in the vial stopper when drawing the solution into the syringe.  Before removing the needle from the vial, pull the plunger all the way back to the end of the syringe barrel in order to </w:t>
      </w:r>
      <w:r w:rsidRPr="00254BEE">
        <w:rPr>
          <w:b/>
          <w:snapToGrid w:val="0"/>
          <w:color w:val="000000" w:themeColor="text1"/>
        </w:rPr>
        <w:t>remove all of the solution</w:t>
      </w:r>
      <w:r w:rsidRPr="00254BEE">
        <w:rPr>
          <w:snapToGrid w:val="0"/>
          <w:color w:val="000000" w:themeColor="text1"/>
        </w:rPr>
        <w:t xml:space="preserve"> from the inverted vial.</w:t>
      </w:r>
    </w:p>
    <w:p w14:paraId="17173908" w14:textId="77777777" w:rsidR="002B3EFC" w:rsidRPr="00254BEE" w:rsidRDefault="00DA372F" w:rsidP="004D3AE9">
      <w:pPr>
        <w:ind w:left="284"/>
        <w:rPr>
          <w:snapToGrid w:val="0"/>
          <w:color w:val="000000" w:themeColor="text1"/>
        </w:rPr>
      </w:pPr>
      <w:r w:rsidRPr="00254BEE">
        <w:rPr>
          <w:color w:val="000000" w:themeColor="text1"/>
          <w:u w:val="single"/>
        </w:rPr>
        <w:t>Note</w:t>
      </w:r>
      <w:r w:rsidRPr="00254BEE">
        <w:rPr>
          <w:color w:val="000000" w:themeColor="text1"/>
        </w:rPr>
        <w:t>: As</w:t>
      </w:r>
      <w:r w:rsidRPr="00254BEE">
        <w:rPr>
          <w:snapToGrid w:val="0"/>
          <w:color w:val="000000" w:themeColor="text1"/>
        </w:rPr>
        <w:t xml:space="preserve"> the reconstituted product is somewhat viscous, care must be taken to </w:t>
      </w:r>
      <w:r w:rsidRPr="00254BEE">
        <w:rPr>
          <w:b/>
          <w:snapToGrid w:val="0"/>
          <w:color w:val="000000" w:themeColor="text1"/>
        </w:rPr>
        <w:t xml:space="preserve">withdraw all of the product </w:t>
      </w:r>
      <w:r w:rsidRPr="00254BEE">
        <w:rPr>
          <w:snapToGrid w:val="0"/>
          <w:color w:val="000000" w:themeColor="text1"/>
        </w:rPr>
        <w:t xml:space="preserve">from the vial before expelling any air or excess solution from the syringe in order to obtain the full </w:t>
      </w:r>
      <w:r w:rsidRPr="00254BEE">
        <w:rPr>
          <w:snapToGrid w:val="0"/>
          <w:color w:val="000000" w:themeColor="text1"/>
          <w:u w:val="single"/>
        </w:rPr>
        <w:t>0.6</w:t>
      </w:r>
      <w:r w:rsidRPr="00254BEE">
        <w:rPr>
          <w:snapToGrid w:val="0"/>
          <w:color w:val="000000" w:themeColor="text1"/>
        </w:rPr>
        <w:t xml:space="preserve"> mL dose.</w:t>
      </w:r>
    </w:p>
    <w:p w14:paraId="70F3A68B" w14:textId="77777777" w:rsidR="002B3EFC" w:rsidRPr="00254BEE" w:rsidRDefault="00DA372F" w:rsidP="004D3AE9">
      <w:pPr>
        <w:pStyle w:val="BodyTextIndent3"/>
        <w:rPr>
          <w:color w:val="000000" w:themeColor="text1"/>
        </w:rPr>
      </w:pPr>
      <w:r w:rsidRPr="00254BEE">
        <w:rPr>
          <w:color w:val="000000" w:themeColor="text1"/>
        </w:rPr>
        <w:t>6.</w:t>
      </w:r>
      <w:r w:rsidRPr="00254BEE">
        <w:rPr>
          <w:color w:val="000000" w:themeColor="text1"/>
        </w:rPr>
        <w:tab/>
        <w:t>Replace the 18</w:t>
      </w:r>
      <w:r w:rsidRPr="00254BEE">
        <w:rPr>
          <w:color w:val="000000" w:themeColor="text1"/>
        </w:rPr>
        <w:noBreakHyphen/>
        <w:t>gauge needle with a 25</w:t>
      </w:r>
      <w:r w:rsidRPr="00254BEE">
        <w:rPr>
          <w:color w:val="000000" w:themeColor="text1"/>
        </w:rPr>
        <w:noBreakHyphen/>
        <w:t>gauge needle for subcutaneous injection.  The usual site of administration is the deltoid region of the arm or the thigh.  However, any anatomical site suitable for subcutaneous injection may be used.</w:t>
      </w:r>
    </w:p>
    <w:p w14:paraId="4E491D01" w14:textId="77777777" w:rsidR="002B3EFC" w:rsidRPr="00254BEE" w:rsidRDefault="00DA372F" w:rsidP="004D3AE9">
      <w:pPr>
        <w:pStyle w:val="BodyTextIndent3"/>
        <w:rPr>
          <w:color w:val="000000" w:themeColor="text1"/>
        </w:rPr>
      </w:pPr>
      <w:r w:rsidRPr="00254BEE">
        <w:rPr>
          <w:color w:val="000000" w:themeColor="text1"/>
        </w:rPr>
        <w:t>7.</w:t>
      </w:r>
      <w:r w:rsidRPr="00254BEE">
        <w:rPr>
          <w:color w:val="000000" w:themeColor="text1"/>
        </w:rPr>
        <w:tab/>
        <w:t>Expel air, large bubbles and any excess solution in order to obtain the required 0.6 mL dose.  A thin layer of small bubbles may remain at the top of the solution in the syringe.  Because the solution is slightly viscous, the injection may take 5</w:t>
      </w:r>
      <w:r w:rsidRPr="00254BEE">
        <w:rPr>
          <w:color w:val="000000" w:themeColor="text1"/>
        </w:rPr>
        <w:noBreakHyphen/>
        <w:t>10 seconds to administer.</w:t>
      </w:r>
    </w:p>
    <w:p w14:paraId="65EA889A" w14:textId="77777777" w:rsidR="00401EED" w:rsidRPr="00254BEE" w:rsidRDefault="00401EED" w:rsidP="00401EED">
      <w:pPr>
        <w:pStyle w:val="Listlevel1"/>
        <w:numPr>
          <w:ilvl w:val="0"/>
          <w:numId w:val="14"/>
        </w:numPr>
        <w:jc w:val="both"/>
      </w:pPr>
      <w:r w:rsidRPr="00254BEE">
        <w:t xml:space="preserve">The injections are administered subcutaneously in the deltoid region of the arm or the thigh, avoiding urticarial lesions. </w:t>
      </w:r>
    </w:p>
    <w:p w14:paraId="71876298" w14:textId="77777777" w:rsidR="00401EED" w:rsidRPr="00254BEE" w:rsidRDefault="00401EED" w:rsidP="004D3AE9">
      <w:pPr>
        <w:pStyle w:val="BodyTextIndent3"/>
        <w:rPr>
          <w:color w:val="000000" w:themeColor="text1"/>
          <w:lang w:val="en-US"/>
        </w:rPr>
      </w:pPr>
    </w:p>
    <w:p w14:paraId="71DE5B93" w14:textId="77777777" w:rsidR="002B3EFC" w:rsidRPr="00254BEE" w:rsidRDefault="002B3EFC" w:rsidP="00286336">
      <w:pPr>
        <w:pStyle w:val="ListItem"/>
        <w:spacing w:before="0" w:after="0" w:line="240" w:lineRule="auto"/>
        <w:rPr>
          <w:rFonts w:ascii="Times New Roman" w:hAnsi="Times New Roman"/>
          <w:color w:val="000000" w:themeColor="text1"/>
        </w:rPr>
      </w:pPr>
    </w:p>
    <w:p w14:paraId="7A6C0811" w14:textId="77777777" w:rsidR="002B3EFC" w:rsidRPr="00254BEE" w:rsidRDefault="00DA372F" w:rsidP="00286336">
      <w:pPr>
        <w:pStyle w:val="ListItem"/>
        <w:spacing w:before="0" w:after="0" w:line="240" w:lineRule="auto"/>
        <w:rPr>
          <w:rFonts w:ascii="Times New Roman" w:hAnsi="Times New Roman"/>
          <w:color w:val="000000" w:themeColor="text1"/>
        </w:rPr>
      </w:pPr>
      <w:r w:rsidRPr="00254BEE">
        <w:rPr>
          <w:rFonts w:ascii="Times New Roman" w:hAnsi="Times New Roman"/>
          <w:color w:val="000000" w:themeColor="text1"/>
        </w:rPr>
        <w:t>The vial delivers 0.6 mL (75 mg) of omalizumab.</w:t>
      </w:r>
    </w:p>
    <w:p w14:paraId="1D7E6326" w14:textId="77777777" w:rsidR="00F47B49" w:rsidRPr="00254BEE" w:rsidRDefault="00F47B49" w:rsidP="00286336">
      <w:pPr>
        <w:rPr>
          <w:color w:val="000000" w:themeColor="text1"/>
          <w:u w:val="single"/>
          <w:lang w:val="en-US"/>
        </w:rPr>
      </w:pPr>
    </w:p>
    <w:p w14:paraId="14AE5CBC" w14:textId="77777777" w:rsidR="002B3EFC" w:rsidRPr="00254BEE" w:rsidRDefault="00DA372F" w:rsidP="00286336">
      <w:pPr>
        <w:rPr>
          <w:color w:val="000000" w:themeColor="text1"/>
          <w:u w:val="single"/>
          <w:lang w:val="en-US"/>
        </w:rPr>
      </w:pPr>
      <w:r w:rsidRPr="00254BEE">
        <w:rPr>
          <w:color w:val="000000" w:themeColor="text1"/>
          <w:u w:val="single"/>
          <w:lang w:val="en-US"/>
        </w:rPr>
        <w:t>For Xolair 150 mg:</w:t>
      </w:r>
    </w:p>
    <w:p w14:paraId="0028470E" w14:textId="77777777" w:rsidR="002B3EFC" w:rsidRPr="00254BEE" w:rsidRDefault="002B3EFC" w:rsidP="00286336">
      <w:pPr>
        <w:rPr>
          <w:color w:val="000000" w:themeColor="text1"/>
          <w:u w:val="single"/>
          <w:lang w:val="en-US"/>
        </w:rPr>
      </w:pPr>
    </w:p>
    <w:p w14:paraId="243AA4C0" w14:textId="77777777" w:rsidR="00D8347D" w:rsidRPr="00254BEE" w:rsidRDefault="00DA372F" w:rsidP="00286336">
      <w:pPr>
        <w:pStyle w:val="PIListNumbered"/>
        <w:numPr>
          <w:ilvl w:val="0"/>
          <w:numId w:val="0"/>
        </w:numPr>
        <w:spacing w:before="0" w:after="0" w:line="240" w:lineRule="auto"/>
        <w:ind w:left="284" w:hanging="284"/>
        <w:jc w:val="left"/>
        <w:rPr>
          <w:rFonts w:ascii="Times New Roman" w:hAnsi="Times New Roman"/>
          <w:color w:val="000000" w:themeColor="text1"/>
        </w:rPr>
      </w:pPr>
      <w:r w:rsidRPr="00254BEE">
        <w:rPr>
          <w:rFonts w:ascii="Times New Roman" w:hAnsi="Times New Roman"/>
          <w:color w:val="000000" w:themeColor="text1"/>
        </w:rPr>
        <w:t>1.</w:t>
      </w:r>
      <w:r w:rsidRPr="00254BEE">
        <w:rPr>
          <w:rFonts w:ascii="Times New Roman" w:hAnsi="Times New Roman"/>
          <w:color w:val="000000" w:themeColor="text1"/>
        </w:rPr>
        <w:tab/>
        <w:t>Draw</w:t>
      </w:r>
      <w:r w:rsidRPr="00254BEE">
        <w:rPr>
          <w:rFonts w:ascii="Times New Roman" w:hAnsi="Times New Roman"/>
          <w:b/>
          <w:color w:val="000000" w:themeColor="text1"/>
        </w:rPr>
        <w:t xml:space="preserve"> </w:t>
      </w:r>
      <w:r w:rsidRPr="00254BEE">
        <w:rPr>
          <w:rFonts w:ascii="Times New Roman" w:hAnsi="Times New Roman"/>
          <w:color w:val="000000" w:themeColor="text1"/>
        </w:rPr>
        <w:t>1.4 mL</w:t>
      </w:r>
      <w:r w:rsidRPr="00254BEE">
        <w:rPr>
          <w:rFonts w:ascii="Times New Roman" w:hAnsi="Times New Roman"/>
          <w:b/>
          <w:color w:val="000000" w:themeColor="text1"/>
        </w:rPr>
        <w:t xml:space="preserve"> </w:t>
      </w:r>
      <w:r w:rsidRPr="00254BEE">
        <w:rPr>
          <w:rFonts w:ascii="Times New Roman" w:hAnsi="Times New Roman"/>
          <w:color w:val="000000" w:themeColor="text1"/>
        </w:rPr>
        <w:t>of water for injections from the ampoule into a 3 mL syringe equipped with a 1</w:t>
      </w:r>
      <w:r w:rsidRPr="00254BEE">
        <w:rPr>
          <w:rFonts w:ascii="Times New Roman" w:hAnsi="Times New Roman"/>
          <w:color w:val="000000" w:themeColor="text1"/>
        </w:rPr>
        <w:noBreakHyphen/>
        <w:t>inch, large</w:t>
      </w:r>
      <w:r w:rsidRPr="00254BEE">
        <w:rPr>
          <w:rFonts w:ascii="Times New Roman" w:hAnsi="Times New Roman"/>
          <w:color w:val="000000" w:themeColor="text1"/>
        </w:rPr>
        <w:noBreakHyphen/>
        <w:t>bore 18</w:t>
      </w:r>
      <w:r w:rsidRPr="00254BEE">
        <w:rPr>
          <w:rFonts w:ascii="Times New Roman" w:hAnsi="Times New Roman"/>
          <w:color w:val="000000" w:themeColor="text1"/>
        </w:rPr>
        <w:noBreakHyphen/>
        <w:t>gauge needle.</w:t>
      </w:r>
    </w:p>
    <w:p w14:paraId="78CF2A39" w14:textId="77777777" w:rsidR="00D8347D" w:rsidRPr="00254BEE" w:rsidRDefault="00DA372F" w:rsidP="00286336">
      <w:pPr>
        <w:pStyle w:val="PIListNumbered"/>
        <w:numPr>
          <w:ilvl w:val="0"/>
          <w:numId w:val="0"/>
        </w:numPr>
        <w:spacing w:before="0" w:after="0" w:line="240" w:lineRule="auto"/>
        <w:ind w:left="284" w:hanging="284"/>
        <w:jc w:val="left"/>
        <w:rPr>
          <w:rFonts w:ascii="Times New Roman" w:hAnsi="Times New Roman"/>
          <w:color w:val="000000" w:themeColor="text1"/>
        </w:rPr>
      </w:pPr>
      <w:r w:rsidRPr="00254BEE">
        <w:rPr>
          <w:rFonts w:ascii="Times New Roman" w:hAnsi="Times New Roman"/>
          <w:color w:val="000000" w:themeColor="text1"/>
        </w:rPr>
        <w:t>2.</w:t>
      </w:r>
      <w:r w:rsidRPr="00254BEE">
        <w:rPr>
          <w:rFonts w:ascii="Times New Roman" w:hAnsi="Times New Roman"/>
          <w:color w:val="000000" w:themeColor="text1"/>
        </w:rPr>
        <w:tab/>
        <w:t xml:space="preserve">With the vial placed upright on a flat surface, insert the needle and transfer the water for injections into the omalizumab vial using standard aseptic techniques, </w:t>
      </w:r>
      <w:r w:rsidRPr="00254BEE">
        <w:rPr>
          <w:rFonts w:ascii="Times New Roman" w:hAnsi="Times New Roman"/>
          <w:color w:val="000000" w:themeColor="text1"/>
          <w:u w:val="single"/>
        </w:rPr>
        <w:t xml:space="preserve">directing the water for injections directly onto the powder. </w:t>
      </w:r>
    </w:p>
    <w:p w14:paraId="3E93B814" w14:textId="77777777" w:rsidR="00D8347D" w:rsidRPr="00254BEE" w:rsidRDefault="00DA372F" w:rsidP="00286336">
      <w:pPr>
        <w:pStyle w:val="PIListNumbered"/>
        <w:numPr>
          <w:ilvl w:val="0"/>
          <w:numId w:val="0"/>
        </w:numPr>
        <w:spacing w:before="0" w:after="0" w:line="240" w:lineRule="auto"/>
        <w:ind w:left="284" w:hanging="284"/>
        <w:jc w:val="left"/>
        <w:rPr>
          <w:rFonts w:ascii="Times New Roman" w:hAnsi="Times New Roman"/>
          <w:color w:val="000000" w:themeColor="text1"/>
        </w:rPr>
      </w:pPr>
      <w:r w:rsidRPr="00254BEE">
        <w:rPr>
          <w:rFonts w:ascii="Times New Roman" w:hAnsi="Times New Roman"/>
          <w:color w:val="000000" w:themeColor="text1"/>
        </w:rPr>
        <w:t>3.</w:t>
      </w:r>
      <w:r w:rsidRPr="00254BEE">
        <w:rPr>
          <w:rFonts w:ascii="Times New Roman" w:hAnsi="Times New Roman"/>
          <w:color w:val="000000" w:themeColor="text1"/>
        </w:rPr>
        <w:tab/>
        <w:t xml:space="preserve">Keeping the vial in the upright position, vigorously swirl the vial (do not shake) for approximately 1 minute to evenly wet the powder. </w:t>
      </w:r>
    </w:p>
    <w:p w14:paraId="4409BC58" w14:textId="77777777" w:rsidR="00D8347D" w:rsidRPr="00254BEE" w:rsidRDefault="00DA372F" w:rsidP="00286336">
      <w:pPr>
        <w:ind w:left="284" w:hanging="284"/>
        <w:rPr>
          <w:color w:val="000000" w:themeColor="text1"/>
        </w:rPr>
      </w:pPr>
      <w:r w:rsidRPr="00254BEE">
        <w:rPr>
          <w:color w:val="000000" w:themeColor="text1"/>
        </w:rPr>
        <w:t>4.</w:t>
      </w:r>
      <w:r w:rsidRPr="00254BEE">
        <w:rPr>
          <w:color w:val="000000" w:themeColor="text1"/>
        </w:rPr>
        <w:tab/>
        <w:t xml:space="preserve">To aid dissolution, continue to swirl the upright vial for 5 – 10 seconds approximately every 5 minutes in order to dissolve any remaining solids.  The powder typically takes </w:t>
      </w:r>
      <w:r w:rsidRPr="00254BEE">
        <w:rPr>
          <w:b/>
          <w:color w:val="000000" w:themeColor="text1"/>
        </w:rPr>
        <w:t>15 to 30 minutes</w:t>
      </w:r>
      <w:r w:rsidRPr="00254BEE">
        <w:rPr>
          <w:color w:val="000000" w:themeColor="text1"/>
        </w:rPr>
        <w:t xml:space="preserve"> to dissolve completely, although it may take longer.  When the product is fully dissolved, there should be no visible gel</w:t>
      </w:r>
      <w:r w:rsidRPr="00254BEE">
        <w:rPr>
          <w:color w:val="000000" w:themeColor="text1"/>
        </w:rPr>
        <w:noBreakHyphen/>
        <w:t xml:space="preserve">like particles in the solution.  It is safe and acceptable to have small bubbles or foam around the edge of the vial.  The reconstituted product will appear clear or slightly opaque.  Do not use if foreign particles are present. </w:t>
      </w:r>
    </w:p>
    <w:p w14:paraId="448B5715" w14:textId="77777777" w:rsidR="00D8347D" w:rsidRPr="00254BEE" w:rsidRDefault="00DA372F" w:rsidP="00286336">
      <w:pPr>
        <w:ind w:left="284" w:hanging="284"/>
        <w:rPr>
          <w:color w:val="000000" w:themeColor="text1"/>
        </w:rPr>
      </w:pPr>
      <w:r w:rsidRPr="00254BEE">
        <w:rPr>
          <w:color w:val="000000" w:themeColor="text1"/>
        </w:rPr>
        <w:t>5.</w:t>
      </w:r>
      <w:r w:rsidRPr="00254BEE">
        <w:rPr>
          <w:color w:val="000000" w:themeColor="text1"/>
        </w:rPr>
        <w:tab/>
        <w:t>Invert the vial for 15 seconds in order to allow the solution to drain towards the stopper.  Using a new 3 mL syringe equipped with a 1</w:t>
      </w:r>
      <w:r w:rsidRPr="00254BEE">
        <w:rPr>
          <w:color w:val="000000" w:themeColor="text1"/>
        </w:rPr>
        <w:noBreakHyphen/>
        <w:t>inch, large</w:t>
      </w:r>
      <w:r w:rsidRPr="00254BEE">
        <w:rPr>
          <w:color w:val="000000" w:themeColor="text1"/>
        </w:rPr>
        <w:noBreakHyphen/>
        <w:t>bore, 18</w:t>
      </w:r>
      <w:r w:rsidRPr="00254BEE">
        <w:rPr>
          <w:color w:val="000000" w:themeColor="text1"/>
        </w:rPr>
        <w:noBreakHyphen/>
        <w:t xml:space="preserve">gauge needle, insert the needle into the inverted vial.  Position the needle tip at the very bottom of the solution in the vial stopper when drawing the solution into the syringe.  Before removing the needle from the vial, pull the plunger all the way back to the end of the syringe barrel in order to </w:t>
      </w:r>
      <w:r w:rsidRPr="00254BEE">
        <w:rPr>
          <w:b/>
          <w:color w:val="000000" w:themeColor="text1"/>
        </w:rPr>
        <w:t>remove all of the solution</w:t>
      </w:r>
      <w:r w:rsidRPr="00254BEE">
        <w:rPr>
          <w:color w:val="000000" w:themeColor="text1"/>
        </w:rPr>
        <w:t xml:space="preserve"> from the inverted vial.</w:t>
      </w:r>
    </w:p>
    <w:p w14:paraId="309895AC" w14:textId="77777777" w:rsidR="00D8347D" w:rsidRPr="00254BEE" w:rsidRDefault="00DA372F" w:rsidP="00286336">
      <w:pPr>
        <w:ind w:left="284"/>
        <w:rPr>
          <w:color w:val="000000" w:themeColor="text1"/>
        </w:rPr>
      </w:pPr>
      <w:r w:rsidRPr="00254BEE">
        <w:rPr>
          <w:color w:val="000000" w:themeColor="text1"/>
          <w:u w:val="single"/>
        </w:rPr>
        <w:lastRenderedPageBreak/>
        <w:t>Note</w:t>
      </w:r>
      <w:r w:rsidRPr="00254BEE">
        <w:rPr>
          <w:color w:val="000000" w:themeColor="text1"/>
        </w:rPr>
        <w:t xml:space="preserve">: As the reconstituted product is somewhat viscous, care must be taken to </w:t>
      </w:r>
      <w:r w:rsidRPr="00254BEE">
        <w:rPr>
          <w:b/>
          <w:color w:val="000000" w:themeColor="text1"/>
        </w:rPr>
        <w:t xml:space="preserve">withdraw all of the product </w:t>
      </w:r>
      <w:r w:rsidRPr="00254BEE">
        <w:rPr>
          <w:color w:val="000000" w:themeColor="text1"/>
        </w:rPr>
        <w:t>from the vial before expelling any air or excess solution from the syringe in order to obtain the full 1.2 mL dose.</w:t>
      </w:r>
    </w:p>
    <w:p w14:paraId="68B2C78A" w14:textId="77777777" w:rsidR="00D8347D" w:rsidRPr="00254BEE" w:rsidRDefault="00DA372F" w:rsidP="00286336">
      <w:pPr>
        <w:pStyle w:val="BodyTextIndent3"/>
        <w:rPr>
          <w:color w:val="000000" w:themeColor="text1"/>
        </w:rPr>
      </w:pPr>
      <w:r w:rsidRPr="00254BEE">
        <w:rPr>
          <w:color w:val="000000" w:themeColor="text1"/>
        </w:rPr>
        <w:t>6.</w:t>
      </w:r>
      <w:r w:rsidRPr="00254BEE">
        <w:rPr>
          <w:color w:val="000000" w:themeColor="text1"/>
        </w:rPr>
        <w:tab/>
        <w:t>Replace the 18</w:t>
      </w:r>
      <w:r w:rsidRPr="00254BEE">
        <w:rPr>
          <w:color w:val="000000" w:themeColor="text1"/>
        </w:rPr>
        <w:noBreakHyphen/>
        <w:t>gauge needle with a 25</w:t>
      </w:r>
      <w:r w:rsidRPr="00254BEE">
        <w:rPr>
          <w:color w:val="000000" w:themeColor="text1"/>
        </w:rPr>
        <w:noBreakHyphen/>
        <w:t>gauge needle for subcutaneous injection.  The usual site of administration is the deltoid region of the arm or the thigh.  However, any anatomical site suitable for subcutaneous injection may be used.</w:t>
      </w:r>
    </w:p>
    <w:p w14:paraId="2D9DF417" w14:textId="77777777" w:rsidR="00D8347D" w:rsidRPr="00254BEE" w:rsidRDefault="00DA372F" w:rsidP="00286336">
      <w:pPr>
        <w:pStyle w:val="BodyTextIndent3"/>
        <w:rPr>
          <w:color w:val="000000" w:themeColor="text1"/>
        </w:rPr>
      </w:pPr>
      <w:r w:rsidRPr="00254BEE">
        <w:rPr>
          <w:color w:val="000000" w:themeColor="text1"/>
        </w:rPr>
        <w:t>7.</w:t>
      </w:r>
      <w:r w:rsidRPr="00254BEE">
        <w:rPr>
          <w:color w:val="000000" w:themeColor="text1"/>
        </w:rPr>
        <w:tab/>
        <w:t>Expel air, large bubbles and any excess solution in order to obtain the required 1.2 mL dose.  A thin layer of small bubbles may remain at the top of the solution in the syringe.  Because the solution is slightly viscous, the injection may take 5</w:t>
      </w:r>
      <w:r w:rsidRPr="00254BEE">
        <w:rPr>
          <w:color w:val="000000" w:themeColor="text1"/>
        </w:rPr>
        <w:noBreakHyphen/>
        <w:t>10 seconds to administer.</w:t>
      </w:r>
    </w:p>
    <w:p w14:paraId="1FA9F2F8" w14:textId="77777777" w:rsidR="00401EED" w:rsidRPr="00254BEE" w:rsidRDefault="00401EED" w:rsidP="00D357B5">
      <w:pPr>
        <w:pStyle w:val="Listlevel1"/>
        <w:numPr>
          <w:ilvl w:val="0"/>
          <w:numId w:val="15"/>
        </w:numPr>
        <w:jc w:val="both"/>
      </w:pPr>
      <w:r w:rsidRPr="00254BEE">
        <w:t xml:space="preserve">The injections are administered subcutaneously in the deltoid region of the arm or the thigh, avoiding urticarial lesions. </w:t>
      </w:r>
    </w:p>
    <w:p w14:paraId="55DADB0D" w14:textId="77777777" w:rsidR="00401EED" w:rsidRPr="00254BEE" w:rsidRDefault="00401EED" w:rsidP="00286336">
      <w:pPr>
        <w:pStyle w:val="BodyTextIndent3"/>
        <w:rPr>
          <w:color w:val="000000" w:themeColor="text1"/>
          <w:lang w:val="en-US"/>
        </w:rPr>
      </w:pPr>
    </w:p>
    <w:p w14:paraId="48125C16" w14:textId="77777777" w:rsidR="00D8347D" w:rsidRPr="00254BEE" w:rsidRDefault="00D8347D" w:rsidP="00286336">
      <w:pPr>
        <w:pStyle w:val="ListItem"/>
        <w:spacing w:before="0" w:after="0" w:line="240" w:lineRule="auto"/>
        <w:rPr>
          <w:rFonts w:ascii="Times New Roman" w:hAnsi="Times New Roman"/>
          <w:color w:val="000000" w:themeColor="text1"/>
        </w:rPr>
      </w:pPr>
    </w:p>
    <w:p w14:paraId="03639415" w14:textId="77777777" w:rsidR="00D8347D" w:rsidRPr="00254BEE" w:rsidRDefault="00DA372F" w:rsidP="00286336">
      <w:pPr>
        <w:pStyle w:val="Header"/>
        <w:tabs>
          <w:tab w:val="clear" w:pos="4153"/>
          <w:tab w:val="clear" w:pos="8306"/>
        </w:tabs>
        <w:rPr>
          <w:color w:val="000000" w:themeColor="text1"/>
        </w:rPr>
      </w:pPr>
      <w:r w:rsidRPr="00254BEE">
        <w:rPr>
          <w:color w:val="000000" w:themeColor="text1"/>
        </w:rPr>
        <w:t xml:space="preserve">The vial delivers 1.2 mL (150 mg) of omalizumab. </w:t>
      </w:r>
    </w:p>
    <w:p w14:paraId="1E34A62C" w14:textId="77777777" w:rsidR="002B3EFC" w:rsidRPr="00254BEE" w:rsidRDefault="002B3EFC" w:rsidP="00286336">
      <w:pPr>
        <w:pStyle w:val="Header"/>
        <w:tabs>
          <w:tab w:val="clear" w:pos="4153"/>
          <w:tab w:val="clear" w:pos="8306"/>
        </w:tabs>
        <w:rPr>
          <w:color w:val="000000" w:themeColor="text1"/>
        </w:rPr>
      </w:pPr>
    </w:p>
    <w:p w14:paraId="64D7B6D5" w14:textId="77777777" w:rsidR="00604B4E" w:rsidRPr="00254BEE" w:rsidRDefault="00DA372F" w:rsidP="00286336">
      <w:pPr>
        <w:pStyle w:val="PIListItem"/>
        <w:spacing w:before="0" w:after="0" w:line="240" w:lineRule="auto"/>
        <w:jc w:val="left"/>
        <w:rPr>
          <w:rFonts w:ascii="Times New Roman" w:hAnsi="Times New Roman"/>
          <w:b/>
          <w:color w:val="000000" w:themeColor="text1"/>
        </w:rPr>
      </w:pPr>
      <w:r w:rsidRPr="00254BEE">
        <w:rPr>
          <w:rFonts w:ascii="Times New Roman" w:hAnsi="Times New Roman"/>
          <w:b/>
          <w:color w:val="000000" w:themeColor="text1"/>
        </w:rPr>
        <w:t>Stability after reconstitution:</w:t>
      </w:r>
    </w:p>
    <w:p w14:paraId="428DE2D8" w14:textId="77777777" w:rsidR="00D8347D" w:rsidRPr="00254BEE" w:rsidRDefault="00DA372F" w:rsidP="00286336">
      <w:pPr>
        <w:pStyle w:val="PIListItem"/>
        <w:spacing w:before="0" w:after="0" w:line="240" w:lineRule="auto"/>
        <w:jc w:val="left"/>
        <w:rPr>
          <w:rFonts w:ascii="Times New Roman" w:hAnsi="Times New Roman"/>
          <w:color w:val="000000" w:themeColor="text1"/>
        </w:rPr>
      </w:pPr>
      <w:r w:rsidRPr="00254BEE">
        <w:rPr>
          <w:rFonts w:ascii="Times New Roman" w:hAnsi="Times New Roman"/>
          <w:color w:val="000000" w:themeColor="text1"/>
        </w:rPr>
        <w:t>Xolair is for single use in one patient only and contains no antimicrobial agent. To reduce microbiological hazard, use as soon as practicable after reconstitution. Discard any residue.  If storage is necessary, store at 2° to 8°C for not more than 8 hours.</w:t>
      </w:r>
    </w:p>
    <w:p w14:paraId="58444DA9" w14:textId="77777777" w:rsidR="002324A8" w:rsidRPr="00254BEE" w:rsidRDefault="002324A8" w:rsidP="002324A8">
      <w:pPr>
        <w:rPr>
          <w:b/>
          <w:color w:val="000000" w:themeColor="text1"/>
          <w:u w:val="single"/>
        </w:rPr>
      </w:pPr>
    </w:p>
    <w:p w14:paraId="4F643A63" w14:textId="77777777" w:rsidR="00443184" w:rsidRPr="00254BEE" w:rsidRDefault="00443184" w:rsidP="002324A8">
      <w:pPr>
        <w:rPr>
          <w:b/>
          <w:color w:val="000000" w:themeColor="text1"/>
          <w:u w:val="single"/>
        </w:rPr>
      </w:pPr>
    </w:p>
    <w:p w14:paraId="5320DAAE" w14:textId="77777777" w:rsidR="00443184" w:rsidRPr="00254BEE" w:rsidRDefault="00443184" w:rsidP="00AD5636">
      <w:pPr>
        <w:pStyle w:val="Text"/>
        <w:rPr>
          <w:b/>
          <w:u w:val="single"/>
        </w:rPr>
      </w:pPr>
      <w:r w:rsidRPr="00254BEE">
        <w:rPr>
          <w:b/>
          <w:u w:val="single"/>
        </w:rPr>
        <w:t>Xolair pre-filled syringe</w:t>
      </w:r>
    </w:p>
    <w:p w14:paraId="2E722293" w14:textId="77777777" w:rsidR="00443184" w:rsidRPr="00254BEE" w:rsidRDefault="00443184" w:rsidP="00443184">
      <w:pPr>
        <w:pStyle w:val="Text"/>
      </w:pPr>
      <w:r w:rsidRPr="00254BEE">
        <w:t>The following information is intended for medical or healthcare professionals only.</w:t>
      </w:r>
    </w:p>
    <w:p w14:paraId="6BA52150" w14:textId="77777777" w:rsidR="00443184" w:rsidRPr="00254BEE" w:rsidRDefault="00443184" w:rsidP="00443184">
      <w:pPr>
        <w:pStyle w:val="Text"/>
      </w:pPr>
      <w:r w:rsidRPr="00254BEE">
        <w:t>Before using the syringe, please read the following information carefully.</w:t>
      </w:r>
    </w:p>
    <w:p w14:paraId="38FBF7F1" w14:textId="77777777" w:rsidR="00443184" w:rsidRPr="00254BEE" w:rsidRDefault="00443184" w:rsidP="00443184">
      <w:pPr>
        <w:pStyle w:val="Text"/>
      </w:pPr>
      <w:r w:rsidRPr="00254BEE">
        <w:t>Each Xolair pack contains a pre-filled syringe individually sealed in a plastic wrapper.</w:t>
      </w:r>
    </w:p>
    <w:p w14:paraId="3563B863" w14:textId="77777777" w:rsidR="00443184" w:rsidRPr="00254BEE" w:rsidRDefault="00443184" w:rsidP="00443184">
      <w:pPr>
        <w:pStyle w:val="Text"/>
      </w:pPr>
      <w:r w:rsidRPr="00254BEE">
        <w:t>Xolair is for single use in one patient only and contains no antimicrobial agent.</w:t>
      </w:r>
    </w:p>
    <w:p w14:paraId="4DA56DA7" w14:textId="77777777" w:rsidR="00443184" w:rsidRPr="00254BEE" w:rsidRDefault="00443184" w:rsidP="00443184">
      <w:pPr>
        <w:pStyle w:val="Text"/>
        <w:keepNext/>
        <w:keepLines/>
        <w:rPr>
          <w:b/>
        </w:rPr>
      </w:pPr>
      <w:r w:rsidRPr="00254BEE">
        <w:rPr>
          <w:noProof/>
          <w:lang w:val="en-AU" w:eastAsia="en-AU"/>
        </w:rPr>
        <mc:AlternateContent>
          <mc:Choice Requires="wps">
            <w:drawing>
              <wp:anchor distT="0" distB="0" distL="114300" distR="114300" simplePos="0" relativeHeight="251725824" behindDoc="0" locked="0" layoutInCell="1" allowOverlap="1" wp14:anchorId="089090BF" wp14:editId="2D0DB585">
                <wp:simplePos x="0" y="0"/>
                <wp:positionH relativeFrom="column">
                  <wp:posOffset>762635</wp:posOffset>
                </wp:positionH>
                <wp:positionV relativeFrom="paragraph">
                  <wp:posOffset>166370</wp:posOffset>
                </wp:positionV>
                <wp:extent cx="990600" cy="342900"/>
                <wp:effectExtent l="0" t="0" r="0" b="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F001F" w14:textId="77777777" w:rsidR="00A26E77" w:rsidRPr="008C757C" w:rsidRDefault="00A26E77" w:rsidP="00443184">
                            <w:pPr>
                              <w:rPr>
                                <w:rFonts w:ascii="Arial" w:hAnsi="Arial"/>
                                <w:b/>
                                <w:sz w:val="18"/>
                                <w:szCs w:val="18"/>
                                <w:lang w:val="de-CH"/>
                              </w:rPr>
                            </w:pPr>
                            <w:r w:rsidRPr="000A76C3">
                              <w:rPr>
                                <w:rFonts w:ascii="Arial" w:hAnsi="Arial"/>
                                <w:b/>
                                <w:sz w:val="18"/>
                                <w:szCs w:val="18"/>
                                <w:lang w:val="de-CH"/>
                              </w:rPr>
                              <w:t>Needle guard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6" type="#_x0000_t202" style="position:absolute;left:0;text-align:left;margin-left:60.05pt;margin-top:13.1pt;width:78pt;height:2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eVPtQIAAME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" filled="f" stroked="f">
                <v:textbox>
                  <w:txbxContent>
                    <w:p w14:paraId="613F001F" w14:textId="77777777" w:rsidR="00A26E77" w:rsidRPr="008C757C" w:rsidRDefault="00A26E77" w:rsidP="00443184">
                      <w:pPr>
                        <w:rPr>
                          <w:rFonts w:ascii="Arial" w:hAnsi="Arial"/>
                          <w:b/>
                          <w:sz w:val="18"/>
                          <w:szCs w:val="18"/>
                          <w:lang w:val="de-CH"/>
                        </w:rPr>
                      </w:pPr>
                      <w:r w:rsidRPr="000A76C3">
                        <w:rPr>
                          <w:rFonts w:ascii="Arial" w:hAnsi="Arial"/>
                          <w:b/>
                          <w:sz w:val="18"/>
                          <w:szCs w:val="18"/>
                          <w:lang w:val="de-CH"/>
                        </w:rPr>
                        <w:t>Needle guard</w:t>
                      </w:r>
                    </w:p>
                  </w:txbxContent>
                </v:textbox>
              </v:shape>
            </w:pict>
          </mc:Fallback>
        </mc:AlternateContent>
      </w:r>
      <w:r w:rsidRPr="00254BEE">
        <w:rPr>
          <w:b/>
        </w:rPr>
        <w:t>Parts of the pre-filled syringe</w:t>
      </w:r>
    </w:p>
    <w:p w14:paraId="5E6C88A4" w14:textId="77777777" w:rsidR="00443184" w:rsidRPr="00254BEE" w:rsidRDefault="00443184" w:rsidP="00443184">
      <w:pPr>
        <w:keepNext/>
        <w:keepLines/>
      </w:pPr>
      <w:r w:rsidRPr="00254BEE">
        <w:rPr>
          <w:noProof/>
          <w:lang w:val="en-AU" w:eastAsia="en-AU"/>
        </w:rPr>
        <mc:AlternateContent>
          <mc:Choice Requires="wps">
            <w:drawing>
              <wp:anchor distT="0" distB="0" distL="114300" distR="114300" simplePos="0" relativeHeight="251726848" behindDoc="0" locked="0" layoutInCell="1" allowOverlap="1" wp14:anchorId="01F989C2" wp14:editId="5D26942B">
                <wp:simplePos x="0" y="0"/>
                <wp:positionH relativeFrom="column">
                  <wp:posOffset>-75565</wp:posOffset>
                </wp:positionH>
                <wp:positionV relativeFrom="paragraph">
                  <wp:posOffset>100330</wp:posOffset>
                </wp:positionV>
                <wp:extent cx="914400" cy="228600"/>
                <wp:effectExtent l="0" t="0" r="0" b="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076AE" w14:textId="77777777" w:rsidR="00A26E77" w:rsidRPr="008C757C" w:rsidRDefault="00A26E77" w:rsidP="00443184">
                            <w:pPr>
                              <w:rPr>
                                <w:rFonts w:ascii="Arial" w:hAnsi="Arial"/>
                                <w:b/>
                                <w:sz w:val="18"/>
                                <w:szCs w:val="18"/>
                                <w:lang w:val="de-CH"/>
                              </w:rPr>
                            </w:pPr>
                            <w:r w:rsidRPr="000A76C3">
                              <w:rPr>
                                <w:rFonts w:ascii="Arial" w:hAnsi="Arial"/>
                                <w:b/>
                                <w:sz w:val="18"/>
                                <w:szCs w:val="18"/>
                                <w:lang w:val="de-CH"/>
                              </w:rPr>
                              <w:t>Needle cap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7" type="#_x0000_t202" style="position:absolute;margin-left:-5.95pt;margin-top:7.9pt;width:1in;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KhtAIAAME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" filled="f" stroked="f">
                <v:textbox>
                  <w:txbxContent>
                    <w:p w14:paraId="69D076AE" w14:textId="77777777" w:rsidR="00A26E77" w:rsidRPr="008C757C" w:rsidRDefault="00A26E77" w:rsidP="00443184">
                      <w:pPr>
                        <w:rPr>
                          <w:rFonts w:ascii="Arial" w:hAnsi="Arial"/>
                          <w:b/>
                          <w:sz w:val="18"/>
                          <w:szCs w:val="18"/>
                          <w:lang w:val="de-CH"/>
                        </w:rPr>
                      </w:pPr>
                      <w:r w:rsidRPr="000A76C3">
                        <w:rPr>
                          <w:rFonts w:ascii="Arial" w:hAnsi="Arial"/>
                          <w:b/>
                          <w:sz w:val="18"/>
                          <w:szCs w:val="18"/>
                          <w:lang w:val="de-CH"/>
                        </w:rPr>
                        <w:t>Needle cap</w:t>
                      </w:r>
                    </w:p>
                  </w:txbxContent>
                </v:textbox>
              </v:shape>
            </w:pict>
          </mc:Fallback>
        </mc:AlternateContent>
      </w:r>
      <w:r w:rsidRPr="00254BEE">
        <w:rPr>
          <w:noProof/>
          <w:lang w:val="en-AU" w:eastAsia="en-AU"/>
        </w:rPr>
        <mc:AlternateContent>
          <mc:Choice Requires="wps">
            <w:drawing>
              <wp:anchor distT="0" distB="0" distL="114300" distR="114300" simplePos="0" relativeHeight="251721728" behindDoc="0" locked="0" layoutInCell="1" allowOverlap="1" wp14:anchorId="2C0F1469" wp14:editId="598EC201">
                <wp:simplePos x="0" y="0"/>
                <wp:positionH relativeFrom="column">
                  <wp:posOffset>2628900</wp:posOffset>
                </wp:positionH>
                <wp:positionV relativeFrom="paragraph">
                  <wp:posOffset>45720</wp:posOffset>
                </wp:positionV>
                <wp:extent cx="914400" cy="342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BDEAA" w14:textId="77777777" w:rsidR="00A26E77" w:rsidRPr="008C757C" w:rsidRDefault="00A26E77" w:rsidP="00443184">
                            <w:pPr>
                              <w:rPr>
                                <w:rFonts w:ascii="Arial" w:hAnsi="Arial"/>
                                <w:b/>
                                <w:sz w:val="18"/>
                                <w:szCs w:val="18"/>
                                <w:lang w:val="de-CH"/>
                              </w:rPr>
                            </w:pPr>
                            <w:r w:rsidRPr="000A76C3">
                              <w:rPr>
                                <w:rFonts w:ascii="Arial" w:hAnsi="Arial"/>
                                <w:b/>
                                <w:sz w:val="18"/>
                                <w:szCs w:val="18"/>
                                <w:lang w:val="de-CH"/>
                              </w:rPr>
                              <w:t>Finger flange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8" type="#_x0000_t202" style="position:absolute;margin-left:207pt;margin-top:3.6pt;width:1in;height:2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2AtAIAAMA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" filled="f" stroked="f">
                <v:textbox>
                  <w:txbxContent>
                    <w:p w14:paraId="485BDEAA" w14:textId="77777777" w:rsidR="00A26E77" w:rsidRPr="008C757C" w:rsidRDefault="00A26E77" w:rsidP="00443184">
                      <w:pPr>
                        <w:rPr>
                          <w:rFonts w:ascii="Arial" w:hAnsi="Arial"/>
                          <w:b/>
                          <w:sz w:val="18"/>
                          <w:szCs w:val="18"/>
                          <w:lang w:val="de-CH"/>
                        </w:rPr>
                      </w:pPr>
                      <w:r w:rsidRPr="000A76C3">
                        <w:rPr>
                          <w:rFonts w:ascii="Arial" w:hAnsi="Arial"/>
                          <w:b/>
                          <w:sz w:val="18"/>
                          <w:szCs w:val="18"/>
                          <w:lang w:val="de-CH"/>
                        </w:rPr>
                        <w:t>Finger flange</w:t>
                      </w:r>
                    </w:p>
                  </w:txbxContent>
                </v:textbox>
              </v:shape>
            </w:pict>
          </mc:Fallback>
        </mc:AlternateContent>
      </w:r>
    </w:p>
    <w:p w14:paraId="04C2E7C7" w14:textId="77777777" w:rsidR="00443184" w:rsidRPr="00254BEE" w:rsidRDefault="00443184" w:rsidP="00443184">
      <w:r w:rsidRPr="00254BEE">
        <w:rPr>
          <w:noProof/>
          <w:lang w:val="en-AU" w:eastAsia="en-AU"/>
        </w:rPr>
        <mc:AlternateContent>
          <mc:Choice Requires="wps">
            <w:drawing>
              <wp:anchor distT="0" distB="0" distL="114300" distR="114300" simplePos="0" relativeHeight="251724800" behindDoc="0" locked="0" layoutInCell="1" allowOverlap="1" wp14:anchorId="54B5939A" wp14:editId="54EC62B8">
                <wp:simplePos x="0" y="0"/>
                <wp:positionH relativeFrom="column">
                  <wp:posOffset>2591435</wp:posOffset>
                </wp:positionH>
                <wp:positionV relativeFrom="paragraph">
                  <wp:posOffset>1978025</wp:posOffset>
                </wp:positionV>
                <wp:extent cx="685800" cy="34290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2142E" w14:textId="77777777" w:rsidR="00A26E77" w:rsidRPr="008C757C" w:rsidRDefault="00A26E77" w:rsidP="00443184">
                            <w:pPr>
                              <w:rPr>
                                <w:rFonts w:ascii="Arial" w:hAnsi="Arial"/>
                                <w:b/>
                                <w:sz w:val="18"/>
                                <w:szCs w:val="18"/>
                                <w:lang w:val="de-CH"/>
                              </w:rPr>
                            </w:pPr>
                            <w:r w:rsidRPr="000A76C3">
                              <w:rPr>
                                <w:rFonts w:ascii="Arial" w:hAnsi="Arial"/>
                                <w:b/>
                                <w:sz w:val="18"/>
                                <w:szCs w:val="18"/>
                                <w:lang w:val="de-CH"/>
                              </w:rPr>
                              <w:t>Fill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9" type="#_x0000_t202" style="position:absolute;margin-left:204.05pt;margin-top:155.75pt;width:54pt;height: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" filled="f" stroked="f">
                <v:textbox>
                  <w:txbxContent>
                    <w:p w14:paraId="7032142E" w14:textId="77777777" w:rsidR="00A26E77" w:rsidRPr="008C757C" w:rsidRDefault="00A26E77" w:rsidP="00443184">
                      <w:pPr>
                        <w:rPr>
                          <w:rFonts w:ascii="Arial" w:hAnsi="Arial"/>
                          <w:b/>
                          <w:sz w:val="18"/>
                          <w:szCs w:val="18"/>
                          <w:lang w:val="de-CH"/>
                        </w:rPr>
                      </w:pPr>
                      <w:r w:rsidRPr="000A76C3">
                        <w:rPr>
                          <w:rFonts w:ascii="Arial" w:hAnsi="Arial"/>
                          <w:b/>
                          <w:sz w:val="18"/>
                          <w:szCs w:val="18"/>
                          <w:lang w:val="de-CH"/>
                        </w:rPr>
                        <w:t>Fill line</w:t>
                      </w:r>
                    </w:p>
                  </w:txbxContent>
                </v:textbox>
              </v:shape>
            </w:pict>
          </mc:Fallback>
        </mc:AlternateContent>
      </w:r>
      <w:r w:rsidRPr="00254BEE">
        <w:rPr>
          <w:noProof/>
          <w:lang w:val="en-AU" w:eastAsia="en-AU"/>
        </w:rPr>
        <mc:AlternateContent>
          <mc:Choice Requires="wps">
            <w:drawing>
              <wp:anchor distT="0" distB="0" distL="114300" distR="114300" simplePos="0" relativeHeight="251722752" behindDoc="0" locked="0" layoutInCell="1" allowOverlap="1" wp14:anchorId="0B941CA4" wp14:editId="4C1B735A">
                <wp:simplePos x="0" y="0"/>
                <wp:positionH relativeFrom="column">
                  <wp:posOffset>1371600</wp:posOffset>
                </wp:positionH>
                <wp:positionV relativeFrom="paragraph">
                  <wp:posOffset>213360</wp:posOffset>
                </wp:positionV>
                <wp:extent cx="1600200" cy="56388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755F3" w14:textId="77777777" w:rsidR="00A26E77" w:rsidRPr="008C757C" w:rsidRDefault="00A26E77" w:rsidP="00443184">
                            <w:pPr>
                              <w:rPr>
                                <w:rFonts w:ascii="Arial" w:hAnsi="Arial"/>
                                <w:b/>
                                <w:sz w:val="18"/>
                                <w:szCs w:val="18"/>
                              </w:rPr>
                            </w:pPr>
                            <w:r w:rsidRPr="000A76C3">
                              <w:rPr>
                                <w:rFonts w:ascii="Arial" w:hAnsi="Arial"/>
                                <w:b/>
                                <w:sz w:val="18"/>
                                <w:szCs w:val="18"/>
                              </w:rPr>
                              <w:t xml:space="preserve">Viewing window </w:t>
                            </w:r>
                          </w:p>
                          <w:p w14:paraId="11C926FE" w14:textId="77777777" w:rsidR="00A26E77" w:rsidRPr="008C757C" w:rsidRDefault="00A26E77" w:rsidP="00443184">
                            <w:pPr>
                              <w:rPr>
                                <w:rFonts w:ascii="Arial" w:hAnsi="Arial"/>
                                <w:b/>
                                <w:sz w:val="18"/>
                                <w:szCs w:val="18"/>
                              </w:rPr>
                            </w:pPr>
                            <w:r w:rsidRPr="000A76C3">
                              <w:rPr>
                                <w:rFonts w:ascii="Arial" w:hAnsi="Arial"/>
                                <w:b/>
                                <w:sz w:val="18"/>
                                <w:szCs w:val="18"/>
                              </w:rPr>
                              <w:t>Label and expiration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0" type="#_x0000_t202" style="position:absolute;margin-left:108pt;margin-top:16.8pt;width:126pt;height:44.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" filled="f" stroked="f">
                <v:textbox>
                  <w:txbxContent>
                    <w:p w14:paraId="5D9755F3" w14:textId="77777777" w:rsidR="00A26E77" w:rsidRPr="008C757C" w:rsidRDefault="00A26E77" w:rsidP="00443184">
                      <w:pPr>
                        <w:rPr>
                          <w:rFonts w:ascii="Arial" w:hAnsi="Arial"/>
                          <w:b/>
                          <w:sz w:val="18"/>
                          <w:szCs w:val="18"/>
                        </w:rPr>
                      </w:pPr>
                      <w:r w:rsidRPr="000A76C3">
                        <w:rPr>
                          <w:rFonts w:ascii="Arial" w:hAnsi="Arial"/>
                          <w:b/>
                          <w:sz w:val="18"/>
                          <w:szCs w:val="18"/>
                        </w:rPr>
                        <w:t xml:space="preserve">Viewing window </w:t>
                      </w:r>
                    </w:p>
                    <w:p w14:paraId="11C926FE" w14:textId="77777777" w:rsidR="00A26E77" w:rsidRPr="008C757C" w:rsidRDefault="00A26E77" w:rsidP="00443184">
                      <w:pPr>
                        <w:rPr>
                          <w:rFonts w:ascii="Arial" w:hAnsi="Arial"/>
                          <w:b/>
                          <w:sz w:val="18"/>
                          <w:szCs w:val="18"/>
                        </w:rPr>
                      </w:pPr>
                      <w:r w:rsidRPr="000A76C3">
                        <w:rPr>
                          <w:rFonts w:ascii="Arial" w:hAnsi="Arial"/>
                          <w:b/>
                          <w:sz w:val="18"/>
                          <w:szCs w:val="18"/>
                        </w:rPr>
                        <w:t>Label and expiration date</w:t>
                      </w:r>
                    </w:p>
                  </w:txbxContent>
                </v:textbox>
              </v:shape>
            </w:pict>
          </mc:Fallback>
        </mc:AlternateContent>
      </w:r>
      <w:r w:rsidRPr="00254BEE">
        <w:rPr>
          <w:noProof/>
          <w:lang w:val="en-AU" w:eastAsia="en-AU"/>
        </w:rPr>
        <mc:AlternateContent>
          <mc:Choice Requires="wps">
            <w:drawing>
              <wp:anchor distT="0" distB="0" distL="114300" distR="114300" simplePos="0" relativeHeight="251720704" behindDoc="0" locked="0" layoutInCell="1" allowOverlap="1" wp14:anchorId="5425313D" wp14:editId="31DEE06E">
                <wp:simplePos x="0" y="0"/>
                <wp:positionH relativeFrom="column">
                  <wp:posOffset>3314700</wp:posOffset>
                </wp:positionH>
                <wp:positionV relativeFrom="paragraph">
                  <wp:posOffset>99060</wp:posOffset>
                </wp:positionV>
                <wp:extent cx="1028700" cy="3429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C2EB2" w14:textId="77777777" w:rsidR="00A26E77" w:rsidRPr="008C757C" w:rsidRDefault="00A26E77" w:rsidP="00443184">
                            <w:pPr>
                              <w:rPr>
                                <w:rFonts w:ascii="Arial" w:hAnsi="Arial"/>
                                <w:b/>
                                <w:sz w:val="18"/>
                                <w:szCs w:val="18"/>
                                <w:lang w:val="de-CH"/>
                              </w:rPr>
                            </w:pPr>
                            <w:r w:rsidRPr="000A76C3">
                              <w:rPr>
                                <w:rFonts w:ascii="Arial" w:hAnsi="Arial"/>
                                <w:b/>
                                <w:sz w:val="18"/>
                                <w:szCs w:val="18"/>
                                <w:lang w:val="de-CH"/>
                              </w:rPr>
                              <w:t>Activation clips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1" type="#_x0000_t202" style="position:absolute;margin-left:261pt;margin-top:7.8pt;width:81pt;height:2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Z3Utw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" filled="f" stroked="f">
                <v:textbox>
                  <w:txbxContent>
                    <w:p w14:paraId="596C2EB2" w14:textId="77777777" w:rsidR="00A26E77" w:rsidRPr="008C757C" w:rsidRDefault="00A26E77" w:rsidP="00443184">
                      <w:pPr>
                        <w:rPr>
                          <w:rFonts w:ascii="Arial" w:hAnsi="Arial"/>
                          <w:b/>
                          <w:sz w:val="18"/>
                          <w:szCs w:val="18"/>
                          <w:lang w:val="de-CH"/>
                        </w:rPr>
                      </w:pPr>
                      <w:r w:rsidRPr="000A76C3">
                        <w:rPr>
                          <w:rFonts w:ascii="Arial" w:hAnsi="Arial"/>
                          <w:b/>
                          <w:sz w:val="18"/>
                          <w:szCs w:val="18"/>
                          <w:lang w:val="de-CH"/>
                        </w:rPr>
                        <w:t>Activation clips</w:t>
                      </w:r>
                    </w:p>
                  </w:txbxContent>
                </v:textbox>
              </v:shape>
            </w:pict>
          </mc:Fallback>
        </mc:AlternateContent>
      </w:r>
      <w:r w:rsidRPr="00254BEE">
        <w:rPr>
          <w:noProof/>
          <w:lang w:val="en-AU" w:eastAsia="en-AU"/>
        </w:rPr>
        <mc:AlternateContent>
          <mc:Choice Requires="wps">
            <w:drawing>
              <wp:anchor distT="0" distB="0" distL="114300" distR="114300" simplePos="0" relativeHeight="251723776" behindDoc="0" locked="0" layoutInCell="1" allowOverlap="1" wp14:anchorId="4E54ABAF" wp14:editId="214B3C9B">
                <wp:simplePos x="0" y="0"/>
                <wp:positionH relativeFrom="column">
                  <wp:posOffset>4572000</wp:posOffset>
                </wp:positionH>
                <wp:positionV relativeFrom="paragraph">
                  <wp:posOffset>99060</wp:posOffset>
                </wp:positionV>
                <wp:extent cx="914400" cy="3429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57628" w14:textId="77777777" w:rsidR="00A26E77" w:rsidRPr="008C757C" w:rsidRDefault="00A26E77" w:rsidP="00443184">
                            <w:pPr>
                              <w:rPr>
                                <w:rFonts w:ascii="Arial" w:hAnsi="Arial"/>
                                <w:b/>
                                <w:sz w:val="18"/>
                                <w:szCs w:val="18"/>
                                <w:lang w:val="de-CH"/>
                              </w:rPr>
                            </w:pPr>
                            <w:r w:rsidRPr="000A76C3">
                              <w:rPr>
                                <w:rFonts w:ascii="Arial" w:hAnsi="Arial"/>
                                <w:b/>
                                <w:sz w:val="18"/>
                                <w:szCs w:val="18"/>
                                <w:lang w:val="de-CH"/>
                              </w:rPr>
                              <w:t>Plunger rod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2" type="#_x0000_t202" style="position:absolute;margin-left:5in;margin-top:7.8pt;width:1in;height:2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5hOtQIAAMA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" filled="f" stroked="f">
                <v:textbox>
                  <w:txbxContent>
                    <w:p w14:paraId="3BF57628" w14:textId="77777777" w:rsidR="00A26E77" w:rsidRPr="008C757C" w:rsidRDefault="00A26E77" w:rsidP="00443184">
                      <w:pPr>
                        <w:rPr>
                          <w:rFonts w:ascii="Arial" w:hAnsi="Arial"/>
                          <w:b/>
                          <w:sz w:val="18"/>
                          <w:szCs w:val="18"/>
                          <w:lang w:val="de-CH"/>
                        </w:rPr>
                      </w:pPr>
                      <w:r w:rsidRPr="000A76C3">
                        <w:rPr>
                          <w:rFonts w:ascii="Arial" w:hAnsi="Arial"/>
                          <w:b/>
                          <w:sz w:val="18"/>
                          <w:szCs w:val="18"/>
                          <w:lang w:val="de-CH"/>
                        </w:rPr>
                        <w:t>Plunger rod</w:t>
                      </w:r>
                    </w:p>
                  </w:txbxContent>
                </v:textbox>
              </v:shape>
            </w:pict>
          </mc:Fallback>
        </mc:AlternateContent>
      </w:r>
      <w:r w:rsidRPr="00254BEE">
        <w:object w:dxaOrig="9045" w:dyaOrig="3450" w14:anchorId="5E60CC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172.85pt" o:ole="">
            <v:imagedata r:id="rId16" o:title=""/>
          </v:shape>
          <o:OLEObject Type="Embed" ProgID="MSPhotoEd.3" ShapeID="_x0000_i1025" DrawAspect="Content" ObjectID="_1528282472" r:id="rId17"/>
        </w:object>
      </w:r>
    </w:p>
    <w:p w14:paraId="44427BDC" w14:textId="77777777" w:rsidR="00443184" w:rsidRPr="00254BEE" w:rsidRDefault="00443184" w:rsidP="00443184">
      <w:pPr>
        <w:pStyle w:val="Nottoc-headings"/>
        <w:rPr>
          <w:rFonts w:ascii="Times New Roman" w:hAnsi="Times New Roman"/>
        </w:rPr>
      </w:pPr>
      <w:r w:rsidRPr="00254BEE">
        <w:rPr>
          <w:rFonts w:ascii="Times New Roman" w:hAnsi="Times New Roman"/>
        </w:rPr>
        <w:t>Important Safety Information</w:t>
      </w:r>
    </w:p>
    <w:p w14:paraId="45967419" w14:textId="77777777" w:rsidR="00443184" w:rsidRPr="00254BEE" w:rsidRDefault="00443184" w:rsidP="00443184">
      <w:pPr>
        <w:pStyle w:val="Text"/>
        <w:rPr>
          <w:b/>
        </w:rPr>
      </w:pPr>
      <w:r w:rsidRPr="00254BEE">
        <w:rPr>
          <w:b/>
        </w:rPr>
        <w:t>Caution: Keep the syringe out of the reach of children.</w:t>
      </w:r>
    </w:p>
    <w:p w14:paraId="37F0C05E" w14:textId="77777777" w:rsidR="003026C1" w:rsidRPr="00254BEE" w:rsidRDefault="003026C1" w:rsidP="003026C1">
      <w:pPr>
        <w:pStyle w:val="Listlevel1"/>
        <w:keepLines/>
        <w:numPr>
          <w:ilvl w:val="0"/>
          <w:numId w:val="11"/>
        </w:numPr>
        <w:spacing w:after="0"/>
        <w:jc w:val="both"/>
      </w:pPr>
      <w:r w:rsidRPr="00254BEE">
        <w:t>The needle cap of the syringe may contain dry rubber (latex), which should not be handled by persons sensitive to this substance.</w:t>
      </w:r>
    </w:p>
    <w:p w14:paraId="2A10B575" w14:textId="77777777" w:rsidR="00443184" w:rsidRPr="00254BEE" w:rsidRDefault="00443184" w:rsidP="00443184">
      <w:pPr>
        <w:pStyle w:val="Listlevel1"/>
        <w:numPr>
          <w:ilvl w:val="0"/>
          <w:numId w:val="11"/>
        </w:numPr>
      </w:pPr>
      <w:r w:rsidRPr="00254BEE">
        <w:lastRenderedPageBreak/>
        <w:t>Do not open the sealed outer box until you are ready to use the syringe.</w:t>
      </w:r>
    </w:p>
    <w:p w14:paraId="5E0E2524" w14:textId="77777777" w:rsidR="00443184" w:rsidRPr="00254BEE" w:rsidRDefault="00443184" w:rsidP="00443184">
      <w:pPr>
        <w:pStyle w:val="Listlevel1"/>
        <w:numPr>
          <w:ilvl w:val="0"/>
          <w:numId w:val="11"/>
        </w:numPr>
      </w:pPr>
      <w:r w:rsidRPr="00254BEE">
        <w:t>Do not use the syringe if either the seal on the outer box or the plastic wrapper is broken, as it may be not safe for you to use.</w:t>
      </w:r>
    </w:p>
    <w:p w14:paraId="5FB3B589" w14:textId="77777777" w:rsidR="00443184" w:rsidRPr="00254BEE" w:rsidRDefault="00443184" w:rsidP="00443184">
      <w:pPr>
        <w:pStyle w:val="Listlevel1"/>
        <w:numPr>
          <w:ilvl w:val="0"/>
          <w:numId w:val="11"/>
        </w:numPr>
      </w:pPr>
      <w:r w:rsidRPr="00254BEE">
        <w:t>Never leave the syringe where others might tamper with it.</w:t>
      </w:r>
    </w:p>
    <w:p w14:paraId="0C483259" w14:textId="77777777" w:rsidR="00443184" w:rsidRPr="00254BEE" w:rsidRDefault="00443184" w:rsidP="00443184">
      <w:pPr>
        <w:pStyle w:val="Listlevel1"/>
        <w:numPr>
          <w:ilvl w:val="0"/>
          <w:numId w:val="11"/>
        </w:numPr>
      </w:pPr>
      <w:r w:rsidRPr="00254BEE">
        <w:t>Be careful not to touch the device activation clips (see first illustration) at any time. By touching them, the safety device may self-activate.</w:t>
      </w:r>
    </w:p>
    <w:p w14:paraId="48C0312F" w14:textId="77777777" w:rsidR="00443184" w:rsidRPr="00254BEE" w:rsidRDefault="00443184" w:rsidP="00443184">
      <w:pPr>
        <w:pStyle w:val="Listlevel1"/>
        <w:numPr>
          <w:ilvl w:val="0"/>
          <w:numId w:val="11"/>
        </w:numPr>
      </w:pPr>
      <w:r w:rsidRPr="00254BEE">
        <w:t>Do not remove the needle cap until just before you give the injection.</w:t>
      </w:r>
    </w:p>
    <w:p w14:paraId="102BC267" w14:textId="77777777" w:rsidR="00443184" w:rsidRPr="00254BEE" w:rsidRDefault="00443184" w:rsidP="00443184">
      <w:pPr>
        <w:pStyle w:val="Listlevel1"/>
        <w:numPr>
          <w:ilvl w:val="0"/>
          <w:numId w:val="11"/>
        </w:numPr>
      </w:pPr>
      <w:r w:rsidRPr="00254BEE">
        <w:t>The syringe cannot be re-used. Dispose of the used syringe immediately after use.</w:t>
      </w:r>
    </w:p>
    <w:p w14:paraId="79CD933A" w14:textId="77777777" w:rsidR="00443184" w:rsidRPr="00254BEE" w:rsidRDefault="00443184" w:rsidP="00443184">
      <w:pPr>
        <w:pStyle w:val="Nottoc-headings"/>
        <w:rPr>
          <w:rFonts w:ascii="Times New Roman" w:hAnsi="Times New Roman"/>
        </w:rPr>
      </w:pPr>
      <w:r w:rsidRPr="00254BEE">
        <w:rPr>
          <w:rFonts w:ascii="Times New Roman" w:hAnsi="Times New Roman"/>
        </w:rPr>
        <w:t>Storage of the pre-filled syringe</w:t>
      </w:r>
    </w:p>
    <w:p w14:paraId="5E95FF8B" w14:textId="77777777" w:rsidR="00443184" w:rsidRPr="00254BEE" w:rsidRDefault="00443184" w:rsidP="00443184">
      <w:pPr>
        <w:pStyle w:val="Listlevel1"/>
        <w:numPr>
          <w:ilvl w:val="0"/>
          <w:numId w:val="12"/>
        </w:numPr>
      </w:pPr>
      <w:r w:rsidRPr="00254BEE">
        <w:t>Store the syringe sealed in its outer box in the refrigerator between 2°C and 8°C (36°F and 46°F). DO NOT FREEZE.</w:t>
      </w:r>
    </w:p>
    <w:p w14:paraId="3B7971DB" w14:textId="77777777" w:rsidR="00443184" w:rsidRPr="00254BEE" w:rsidRDefault="00443184" w:rsidP="00443184">
      <w:pPr>
        <w:pStyle w:val="Listlevel1"/>
        <w:numPr>
          <w:ilvl w:val="0"/>
          <w:numId w:val="12"/>
        </w:numPr>
      </w:pPr>
      <w:r w:rsidRPr="00254BEE">
        <w:t>Take the syringe out of the refrigerator and allow it to reach room temperature before preparing it for injection (about 20 minutes).</w:t>
      </w:r>
    </w:p>
    <w:p w14:paraId="3D11A9C9" w14:textId="77777777" w:rsidR="00443184" w:rsidRPr="00254BEE" w:rsidRDefault="00443184" w:rsidP="00443184">
      <w:pPr>
        <w:pStyle w:val="Listlevel1"/>
        <w:numPr>
          <w:ilvl w:val="0"/>
          <w:numId w:val="12"/>
        </w:numPr>
      </w:pPr>
      <w:r w:rsidRPr="00254BEE">
        <w:t>Do not use the syringe after the expiration date shown on the outer box or syringe label. If it has expired, return the entire pack to the pharmacy.</w:t>
      </w:r>
    </w:p>
    <w:p w14:paraId="69AB6BF1" w14:textId="77777777" w:rsidR="00443184" w:rsidRPr="00254BEE" w:rsidRDefault="00443184" w:rsidP="00443184">
      <w:pPr>
        <w:pStyle w:val="Nottoc-headings"/>
        <w:rPr>
          <w:rFonts w:ascii="Times New Roman" w:hAnsi="Times New Roman"/>
        </w:rPr>
      </w:pPr>
      <w:r w:rsidRPr="00254BEE">
        <w:rPr>
          <w:rFonts w:ascii="Times New Roman" w:hAnsi="Times New Roman"/>
        </w:rPr>
        <w:t>The Injection Site</w:t>
      </w:r>
    </w:p>
    <w:p w14:paraId="7058FA47" w14:textId="77777777" w:rsidR="00B637DF" w:rsidRPr="00254BEE" w:rsidRDefault="00443184" w:rsidP="00B637DF">
      <w:pPr>
        <w:pStyle w:val="Text"/>
        <w:spacing w:before="0"/>
        <w:jc w:val="left"/>
      </w:pPr>
      <w:r w:rsidRPr="00254BEE">
        <w:t xml:space="preserve">The injection site is the place on the body where you are going to use the syringe. Xolair can be injected in either the upper outer thigh or the upper outer arm. If you need more than one injection at a time, repeat the injection in </w:t>
      </w:r>
      <w:r w:rsidR="00B637DF" w:rsidRPr="00254BEE">
        <w:t>another location (e.g. the opposite thigh or arm).</w:t>
      </w:r>
    </w:p>
    <w:p w14:paraId="20866E0E" w14:textId="77777777" w:rsidR="00443184" w:rsidRPr="00254BEE" w:rsidRDefault="00443184" w:rsidP="00443184">
      <w:pPr>
        <w:pStyle w:val="Text"/>
      </w:pPr>
    </w:p>
    <w:p w14:paraId="6038D717" w14:textId="77777777" w:rsidR="00443184" w:rsidRPr="00254BEE" w:rsidRDefault="00443184" w:rsidP="00443184">
      <w:pPr>
        <w:pStyle w:val="Nottoc-headings"/>
        <w:rPr>
          <w:rFonts w:ascii="Times New Roman" w:hAnsi="Times New Roman"/>
        </w:rPr>
      </w:pPr>
      <w:r w:rsidRPr="00254BEE">
        <w:rPr>
          <w:rFonts w:ascii="Times New Roman" w:hAnsi="Times New Roman"/>
        </w:rPr>
        <w:t>Preparing the syringe for use</w:t>
      </w:r>
    </w:p>
    <w:p w14:paraId="7FA07C8C" w14:textId="77777777" w:rsidR="00443184" w:rsidRPr="00254BEE" w:rsidRDefault="00443184" w:rsidP="00443184">
      <w:pPr>
        <w:pStyle w:val="Text"/>
        <w:rPr>
          <w:b/>
        </w:rPr>
      </w:pPr>
      <w:r w:rsidRPr="00254BEE">
        <w:rPr>
          <w:b/>
        </w:rPr>
        <w:t>Warning: Prior to completion of the injection, avoid contact with the device activation clips (see first illustration) to keep from prematurely covering the needle with the needle guard.</w:t>
      </w:r>
    </w:p>
    <w:p w14:paraId="4AD6F5FA" w14:textId="77777777" w:rsidR="00443184" w:rsidRPr="00254BEE" w:rsidRDefault="00443184" w:rsidP="00443184">
      <w:pPr>
        <w:pStyle w:val="Listlevel1"/>
        <w:numPr>
          <w:ilvl w:val="0"/>
          <w:numId w:val="10"/>
        </w:numPr>
      </w:pPr>
      <w:r w:rsidRPr="00254BEE">
        <w:t xml:space="preserve">Take the box containing the syringe out of the refrigerator and leave it </w:t>
      </w:r>
      <w:r w:rsidRPr="00254BEE">
        <w:rPr>
          <w:u w:val="single"/>
        </w:rPr>
        <w:t>unopened</w:t>
      </w:r>
      <w:r w:rsidRPr="00254BEE">
        <w:t xml:space="preserve"> for about 20 minutes so that it reaches room temperature.</w:t>
      </w:r>
    </w:p>
    <w:p w14:paraId="33A7600C" w14:textId="77777777" w:rsidR="00443184" w:rsidRPr="00254BEE" w:rsidRDefault="00443184" w:rsidP="00443184">
      <w:pPr>
        <w:pStyle w:val="Listlevel1"/>
        <w:numPr>
          <w:ilvl w:val="0"/>
          <w:numId w:val="10"/>
        </w:numPr>
      </w:pPr>
      <w:r w:rsidRPr="00254BEE">
        <w:t>If necessary, the syringe can be returned to the refrigerator for use at a later time, but this must not be done more than once. The cumulative time during which the syringe is kept at room temperature must not exceed 4 hours.</w:t>
      </w:r>
    </w:p>
    <w:p w14:paraId="371C793D" w14:textId="77777777" w:rsidR="00443184" w:rsidRPr="00254BEE" w:rsidRDefault="00443184" w:rsidP="00443184">
      <w:pPr>
        <w:pStyle w:val="Listlevel1"/>
        <w:numPr>
          <w:ilvl w:val="0"/>
          <w:numId w:val="10"/>
        </w:numPr>
      </w:pPr>
      <w:r w:rsidRPr="00254BEE">
        <w:t>When you are ready to use the syringe, wash your hands thoroughly with soap and water.</w:t>
      </w:r>
    </w:p>
    <w:p w14:paraId="5A63DA92" w14:textId="77777777" w:rsidR="00443184" w:rsidRPr="00254BEE" w:rsidRDefault="00443184" w:rsidP="00443184">
      <w:pPr>
        <w:pStyle w:val="Listlevel1"/>
        <w:numPr>
          <w:ilvl w:val="0"/>
          <w:numId w:val="10"/>
        </w:numPr>
      </w:pPr>
      <w:r w:rsidRPr="00254BEE">
        <w:t>Clean the injection site.</w:t>
      </w:r>
    </w:p>
    <w:p w14:paraId="43C502D5" w14:textId="77777777" w:rsidR="00443184" w:rsidRPr="00254BEE" w:rsidRDefault="00443184" w:rsidP="00443184">
      <w:pPr>
        <w:pStyle w:val="Listlevel1"/>
        <w:numPr>
          <w:ilvl w:val="0"/>
          <w:numId w:val="10"/>
        </w:numPr>
      </w:pPr>
      <w:r w:rsidRPr="00254BEE">
        <w:t>Remove the plastic tray from the box, peel back the paper cover, and remove the syringe.</w:t>
      </w:r>
    </w:p>
    <w:p w14:paraId="780A7F84" w14:textId="77777777" w:rsidR="00443184" w:rsidRPr="00254BEE" w:rsidRDefault="00443184" w:rsidP="00443184">
      <w:pPr>
        <w:pStyle w:val="Listlevel1"/>
        <w:numPr>
          <w:ilvl w:val="0"/>
          <w:numId w:val="10"/>
        </w:numPr>
      </w:pPr>
      <w:r w:rsidRPr="00254BEE">
        <w:t>Inspect the syringe. DO NOT USE if it is broken or if the liquid looks cloudy or contains particles. In all these cases, return the entire product pack to the pharmacy.</w:t>
      </w:r>
    </w:p>
    <w:p w14:paraId="45CAD880" w14:textId="77777777" w:rsidR="00443184" w:rsidRPr="00254BEE" w:rsidRDefault="00443184" w:rsidP="00443184">
      <w:pPr>
        <w:pStyle w:val="Listlevel1"/>
        <w:numPr>
          <w:ilvl w:val="0"/>
          <w:numId w:val="10"/>
        </w:numPr>
      </w:pPr>
      <w:r w:rsidRPr="00254BEE">
        <w:t>Hold the syringe horizontally as shown below, look into the viewing window to check the dose (75 mg or 150 mg) of medicine and the expiration date printed on the label. Note: Rotate the internal syringe as shown below so the label can be read in the viewing window.</w:t>
      </w:r>
      <w:bookmarkStart w:id="40" w:name="OLE_LINK1"/>
    </w:p>
    <w:p w14:paraId="11E06F8F" w14:textId="77777777" w:rsidR="00443184" w:rsidRPr="00254BEE" w:rsidRDefault="00443184" w:rsidP="00443184">
      <w:pPr>
        <w:pStyle w:val="Listlevel1"/>
        <w:ind w:left="0" w:firstLine="0"/>
      </w:pPr>
    </w:p>
    <w:tbl>
      <w:tblPr>
        <w:tblW w:w="0" w:type="auto"/>
        <w:tblLayout w:type="fixed"/>
        <w:tblLook w:val="0000" w:firstRow="0" w:lastRow="0" w:firstColumn="0" w:lastColumn="0" w:noHBand="0" w:noVBand="0"/>
      </w:tblPr>
      <w:tblGrid>
        <w:gridCol w:w="4649"/>
        <w:gridCol w:w="4650"/>
      </w:tblGrid>
      <w:tr w:rsidR="00443184" w:rsidRPr="00254BEE" w14:paraId="1DE3A413" w14:textId="77777777" w:rsidTr="00EE52E0">
        <w:trPr>
          <w:tblHeader/>
        </w:trPr>
        <w:tc>
          <w:tcPr>
            <w:tcW w:w="4649" w:type="dxa"/>
            <w:shd w:val="clear" w:color="auto" w:fill="auto"/>
          </w:tcPr>
          <w:p w14:paraId="6A24783E" w14:textId="77777777" w:rsidR="00443184" w:rsidRPr="00254BEE" w:rsidRDefault="00443184" w:rsidP="00EE52E0">
            <w:pPr>
              <w:pStyle w:val="Text"/>
            </w:pPr>
            <w:r w:rsidRPr="00254BEE">
              <w:rPr>
                <w:noProof/>
                <w:lang w:val="en-AU" w:eastAsia="en-AU"/>
              </w:rPr>
              <w:lastRenderedPageBreak/>
              <mc:AlternateContent>
                <mc:Choice Requires="wps">
                  <w:drawing>
                    <wp:anchor distT="0" distB="0" distL="114300" distR="114300" simplePos="0" relativeHeight="251727872" behindDoc="0" locked="0" layoutInCell="1" allowOverlap="1" wp14:anchorId="4295A53B" wp14:editId="01F0A340">
                      <wp:simplePos x="0" y="0"/>
                      <wp:positionH relativeFrom="column">
                        <wp:posOffset>1296035</wp:posOffset>
                      </wp:positionH>
                      <wp:positionV relativeFrom="paragraph">
                        <wp:posOffset>412750</wp:posOffset>
                      </wp:positionV>
                      <wp:extent cx="685800" cy="34290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56C72" w14:textId="77777777" w:rsidR="00A26E77" w:rsidRPr="00A65D14" w:rsidRDefault="00A26E77" w:rsidP="00443184">
                                  <w:pPr>
                                    <w:rPr>
                                      <w:rFonts w:ascii="Arial" w:hAnsi="Arial"/>
                                      <w:b/>
                                      <w:sz w:val="18"/>
                                      <w:szCs w:val="18"/>
                                      <w:lang w:val="de-CH"/>
                                    </w:rPr>
                                  </w:pPr>
                                  <w:r w:rsidRPr="00A65D14">
                                    <w:rPr>
                                      <w:rFonts w:ascii="Arial" w:hAnsi="Arial"/>
                                      <w:b/>
                                      <w:sz w:val="18"/>
                                      <w:szCs w:val="18"/>
                                      <w:lang w:val="de-CH"/>
                                    </w:rPr>
                                    <w:t>Viewing window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3" type="#_x0000_t202" style="position:absolute;left:0;text-align:left;margin-left:102.05pt;margin-top:32.5pt;width:54pt;height:2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vtwIAAMA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" filled="f" stroked="f">
                      <v:textbox>
                        <w:txbxContent>
                          <w:p w14:paraId="12D56C72" w14:textId="77777777" w:rsidR="00A26E77" w:rsidRPr="00A65D14" w:rsidRDefault="00A26E77" w:rsidP="00443184">
                            <w:pPr>
                              <w:rPr>
                                <w:rFonts w:ascii="Arial" w:hAnsi="Arial"/>
                                <w:b/>
                                <w:sz w:val="18"/>
                                <w:szCs w:val="18"/>
                                <w:lang w:val="de-CH"/>
                              </w:rPr>
                            </w:pPr>
                            <w:r w:rsidRPr="00A65D14">
                              <w:rPr>
                                <w:rFonts w:ascii="Arial" w:hAnsi="Arial"/>
                                <w:b/>
                                <w:sz w:val="18"/>
                                <w:szCs w:val="18"/>
                                <w:lang w:val="de-CH"/>
                              </w:rPr>
                              <w:t>Viewing window</w:t>
                            </w:r>
                          </w:p>
                        </w:txbxContent>
                      </v:textbox>
                    </v:shape>
                  </w:pict>
                </mc:Fallback>
              </mc:AlternateContent>
            </w:r>
            <w:r w:rsidRPr="00254BEE">
              <w:rPr>
                <w:noProof/>
                <w:lang w:val="en-AU" w:eastAsia="en-AU"/>
              </w:rPr>
              <w:drawing>
                <wp:inline distT="0" distB="0" distL="0" distR="0" wp14:anchorId="07B3876D" wp14:editId="0D5F046B">
                  <wp:extent cx="2743200" cy="1714500"/>
                  <wp:effectExtent l="19050" t="19050" r="19050"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43200" cy="1714500"/>
                          </a:xfrm>
                          <a:prstGeom prst="rect">
                            <a:avLst/>
                          </a:prstGeom>
                          <a:noFill/>
                          <a:ln w="6350" cmpd="sng">
                            <a:solidFill>
                              <a:srgbClr val="000000"/>
                            </a:solidFill>
                            <a:miter lim="800000"/>
                            <a:headEnd/>
                            <a:tailEnd/>
                          </a:ln>
                          <a:effectLst/>
                        </pic:spPr>
                      </pic:pic>
                    </a:graphicData>
                  </a:graphic>
                </wp:inline>
              </w:drawing>
            </w:r>
          </w:p>
          <w:p w14:paraId="1425E4AD" w14:textId="77777777" w:rsidR="00443184" w:rsidRPr="00254BEE" w:rsidRDefault="00443184" w:rsidP="00EE52E0">
            <w:pPr>
              <w:pStyle w:val="Text"/>
              <w:rPr>
                <w:noProof/>
              </w:rPr>
            </w:pPr>
          </w:p>
        </w:tc>
        <w:tc>
          <w:tcPr>
            <w:tcW w:w="4650" w:type="dxa"/>
            <w:shd w:val="clear" w:color="auto" w:fill="auto"/>
          </w:tcPr>
          <w:p w14:paraId="0CC287E2" w14:textId="77777777" w:rsidR="00443184" w:rsidRPr="00254BEE" w:rsidRDefault="00443184" w:rsidP="00EE52E0">
            <w:pPr>
              <w:pStyle w:val="Text"/>
            </w:pPr>
            <w:r w:rsidRPr="00254BEE">
              <w:t>DO NOT USE if the product has expired or if the dose is incorrect. In either case, return the entire product pack to the pharmacy.</w:t>
            </w:r>
          </w:p>
        </w:tc>
      </w:tr>
    </w:tbl>
    <w:bookmarkEnd w:id="40"/>
    <w:p w14:paraId="411A1E81" w14:textId="77777777" w:rsidR="00443184" w:rsidRPr="00254BEE" w:rsidRDefault="00443184" w:rsidP="00443184">
      <w:pPr>
        <w:pStyle w:val="Listlevel1"/>
        <w:numPr>
          <w:ilvl w:val="0"/>
          <w:numId w:val="10"/>
        </w:numPr>
      </w:pPr>
      <w:r w:rsidRPr="00254BEE">
        <w:t>Hold the syringe vertically with the plunger uppermost and tap the side of the syringe against your finger to allow the air bubble to rise.</w:t>
      </w:r>
    </w:p>
    <w:p w14:paraId="22111E25" w14:textId="77777777" w:rsidR="00443184" w:rsidRPr="00254BEE" w:rsidRDefault="00443184" w:rsidP="00443184">
      <w:pPr>
        <w:pStyle w:val="Listlevel1"/>
        <w:pageBreakBefore/>
        <w:numPr>
          <w:ilvl w:val="0"/>
          <w:numId w:val="10"/>
        </w:numPr>
      </w:pPr>
      <w:r w:rsidRPr="00254BEE">
        <w:lastRenderedPageBreak/>
        <w:t>Check to see if the liquid level is at or above the minimum fill line. If the liquid is below the fill line, return the entire pack to the pharmacy.</w:t>
      </w:r>
    </w:p>
    <w:p w14:paraId="05BE3EC5" w14:textId="77777777" w:rsidR="00443184" w:rsidRPr="00254BEE" w:rsidRDefault="00443184" w:rsidP="00443184">
      <w:pPr>
        <w:pStyle w:val="Text"/>
        <w:jc w:val="center"/>
      </w:pPr>
      <w:r w:rsidRPr="00254BEE">
        <w:rPr>
          <w:noProof/>
          <w:lang w:val="en-AU" w:eastAsia="en-AU"/>
        </w:rPr>
        <w:drawing>
          <wp:inline distT="0" distB="0" distL="0" distR="0" wp14:anchorId="1139409A" wp14:editId="5C6FFFF7">
            <wp:extent cx="1895475" cy="1504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95475" cy="1504950"/>
                    </a:xfrm>
                    <a:prstGeom prst="rect">
                      <a:avLst/>
                    </a:prstGeom>
                    <a:noFill/>
                    <a:ln>
                      <a:noFill/>
                    </a:ln>
                  </pic:spPr>
                </pic:pic>
              </a:graphicData>
            </a:graphic>
          </wp:inline>
        </w:drawing>
      </w:r>
    </w:p>
    <w:p w14:paraId="6E7AD06C" w14:textId="77777777" w:rsidR="00443184" w:rsidRPr="00254BEE" w:rsidRDefault="00443184" w:rsidP="00443184">
      <w:pPr>
        <w:pStyle w:val="Nottoc-headings"/>
        <w:rPr>
          <w:rFonts w:ascii="Times New Roman" w:hAnsi="Times New Roman"/>
          <w:color w:val="000000" w:themeColor="text1"/>
        </w:rPr>
      </w:pPr>
      <w:r w:rsidRPr="00254BEE">
        <w:rPr>
          <w:rFonts w:ascii="Times New Roman" w:hAnsi="Times New Roman"/>
          <w:color w:val="000000" w:themeColor="text1"/>
        </w:rPr>
        <w:t>How to use the syringe</w:t>
      </w:r>
    </w:p>
    <w:p w14:paraId="789ABCA9" w14:textId="77777777" w:rsidR="00443184" w:rsidRPr="00254BEE" w:rsidRDefault="00443184" w:rsidP="00443184">
      <w:pPr>
        <w:pStyle w:val="Text"/>
        <w:tabs>
          <w:tab w:val="left" w:pos="720"/>
        </w:tabs>
        <w:rPr>
          <w:color w:val="000000" w:themeColor="text1"/>
        </w:rPr>
      </w:pPr>
      <w:r w:rsidRPr="00254BEE">
        <w:rPr>
          <w:color w:val="000000" w:themeColor="text1"/>
        </w:rPr>
        <w:t>Step 1:</w:t>
      </w:r>
      <w:r w:rsidRPr="00254BEE">
        <w:rPr>
          <w:color w:val="000000" w:themeColor="text1"/>
        </w:rPr>
        <w:tab/>
      </w:r>
      <w:r w:rsidRPr="00254BEE">
        <w:rPr>
          <w:color w:val="000000" w:themeColor="text1"/>
          <w:szCs w:val="24"/>
        </w:rPr>
        <w:t>Holding the syringe with the needle pointing up, carefully pull off the needle cap from the syringe and discard it. Do not touch the exposed needle. Then, gently tap the syringe with your finger until the air bubble rises to the top of the syringe. Slowly push the plunger up to force the air bubble out of the syringe without inadvertently expelling solution</w:t>
      </w:r>
      <w:r w:rsidRPr="00254BEE">
        <w:rPr>
          <w:color w:val="000000" w:themeColor="text1"/>
        </w:rPr>
        <w:t>.</w:t>
      </w:r>
    </w:p>
    <w:p w14:paraId="6344A24B" w14:textId="77777777" w:rsidR="00443184" w:rsidRPr="00254BEE" w:rsidRDefault="00443184" w:rsidP="00443184">
      <w:pPr>
        <w:pStyle w:val="Text"/>
      </w:pPr>
      <w:r w:rsidRPr="00254BEE">
        <w:rPr>
          <w:noProof/>
          <w:lang w:val="en-AU" w:eastAsia="en-AU"/>
        </w:rPr>
        <w:drawing>
          <wp:inline distT="0" distB="0" distL="0" distR="0" wp14:anchorId="4FBB88C6" wp14:editId="687AF496">
            <wp:extent cx="1809750" cy="26765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0" cy="2676525"/>
                    </a:xfrm>
                    <a:prstGeom prst="rect">
                      <a:avLst/>
                    </a:prstGeom>
                    <a:noFill/>
                    <a:ln>
                      <a:noFill/>
                    </a:ln>
                  </pic:spPr>
                </pic:pic>
              </a:graphicData>
            </a:graphic>
          </wp:inline>
        </w:drawing>
      </w:r>
    </w:p>
    <w:p w14:paraId="5B12FDAC" w14:textId="77777777" w:rsidR="00443184" w:rsidRPr="00254BEE" w:rsidRDefault="00443184" w:rsidP="00443184">
      <w:pPr>
        <w:pStyle w:val="Text"/>
        <w:tabs>
          <w:tab w:val="left" w:pos="720"/>
        </w:tabs>
      </w:pPr>
      <w:r w:rsidRPr="00254BEE">
        <w:t>Step 2:</w:t>
      </w:r>
      <w:r w:rsidRPr="00254BEE">
        <w:tab/>
        <w:t>Gently pinch the skin at the injection site. Insert the needle into the skin fold.</w:t>
      </w:r>
    </w:p>
    <w:p w14:paraId="029A94F1" w14:textId="77777777" w:rsidR="00443184" w:rsidRPr="00254BEE" w:rsidRDefault="00443184" w:rsidP="00443184">
      <w:pPr>
        <w:pStyle w:val="Text"/>
      </w:pPr>
      <w:r w:rsidRPr="00254BEE">
        <w:rPr>
          <w:noProof/>
          <w:lang w:val="en-AU" w:eastAsia="en-AU"/>
        </w:rPr>
        <w:drawing>
          <wp:inline distT="0" distB="0" distL="0" distR="0" wp14:anchorId="50060478" wp14:editId="11E6519A">
            <wp:extent cx="2590800" cy="17621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90800" cy="1762125"/>
                    </a:xfrm>
                    <a:prstGeom prst="rect">
                      <a:avLst/>
                    </a:prstGeom>
                    <a:noFill/>
                    <a:ln>
                      <a:noFill/>
                    </a:ln>
                  </pic:spPr>
                </pic:pic>
              </a:graphicData>
            </a:graphic>
          </wp:inline>
        </w:drawing>
      </w:r>
    </w:p>
    <w:p w14:paraId="7F5092C6" w14:textId="77777777" w:rsidR="00443184" w:rsidRPr="00254BEE" w:rsidRDefault="00443184" w:rsidP="00443184">
      <w:pPr>
        <w:pStyle w:val="Text"/>
        <w:tabs>
          <w:tab w:val="left" w:pos="720"/>
        </w:tabs>
      </w:pPr>
      <w:r w:rsidRPr="00254BEE">
        <w:t>Step 3:</w:t>
      </w:r>
      <w:r w:rsidRPr="00254BEE">
        <w:tab/>
        <w:t>Holding onto the finger flange, slowly press the plunger all the way down until all the solution is injected.</w:t>
      </w:r>
    </w:p>
    <w:p w14:paraId="511BC319" w14:textId="77777777" w:rsidR="00443184" w:rsidRPr="00254BEE" w:rsidRDefault="00443184" w:rsidP="00443184">
      <w:pPr>
        <w:pStyle w:val="Text"/>
      </w:pPr>
      <w:r w:rsidRPr="00254BEE">
        <w:rPr>
          <w:noProof/>
          <w:lang w:val="en-AU" w:eastAsia="en-AU"/>
        </w:rPr>
        <w:lastRenderedPageBreak/>
        <w:drawing>
          <wp:inline distT="0" distB="0" distL="0" distR="0" wp14:anchorId="4BD54AE6" wp14:editId="50A73E1C">
            <wp:extent cx="2676525" cy="16764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76525" cy="1676400"/>
                    </a:xfrm>
                    <a:prstGeom prst="rect">
                      <a:avLst/>
                    </a:prstGeom>
                    <a:noFill/>
                    <a:ln>
                      <a:noFill/>
                    </a:ln>
                  </pic:spPr>
                </pic:pic>
              </a:graphicData>
            </a:graphic>
          </wp:inline>
        </w:drawing>
      </w:r>
    </w:p>
    <w:p w14:paraId="311868BB" w14:textId="77777777" w:rsidR="00443184" w:rsidRPr="00254BEE" w:rsidRDefault="00443184" w:rsidP="00443184">
      <w:pPr>
        <w:pStyle w:val="Text"/>
      </w:pPr>
      <w:r w:rsidRPr="00254BEE">
        <w:t>Step 4:</w:t>
      </w:r>
      <w:r w:rsidRPr="00254BEE">
        <w:tab/>
        <w:t>After the complete dose is given, remove the needle from the skin while holding the plunger down.</w:t>
      </w:r>
    </w:p>
    <w:p w14:paraId="10768ED3" w14:textId="77777777" w:rsidR="00443184" w:rsidRPr="00254BEE" w:rsidRDefault="00443184" w:rsidP="00443184">
      <w:pPr>
        <w:pStyle w:val="Text"/>
      </w:pPr>
      <w:r w:rsidRPr="00254BEE">
        <w:rPr>
          <w:noProof/>
          <w:lang w:val="en-AU" w:eastAsia="en-AU"/>
        </w:rPr>
        <w:drawing>
          <wp:inline distT="0" distB="0" distL="0" distR="0" wp14:anchorId="3B0688DF" wp14:editId="04BD9E8B">
            <wp:extent cx="2743200" cy="1866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43200" cy="1866900"/>
                    </a:xfrm>
                    <a:prstGeom prst="rect">
                      <a:avLst/>
                    </a:prstGeom>
                    <a:noFill/>
                    <a:ln>
                      <a:noFill/>
                    </a:ln>
                  </pic:spPr>
                </pic:pic>
              </a:graphicData>
            </a:graphic>
          </wp:inline>
        </w:drawing>
      </w:r>
    </w:p>
    <w:p w14:paraId="2F51F3AB" w14:textId="77777777" w:rsidR="00443184" w:rsidRPr="00254BEE" w:rsidRDefault="00443184" w:rsidP="00443184">
      <w:pPr>
        <w:pStyle w:val="Text"/>
        <w:tabs>
          <w:tab w:val="left" w:pos="720"/>
        </w:tabs>
      </w:pPr>
      <w:r w:rsidRPr="00254BEE">
        <w:t>Step 5:</w:t>
      </w:r>
      <w:r w:rsidRPr="00254BEE">
        <w:tab/>
        <w:t>Slowly release the plunger and allow the needle guard to automatically cover the</w:t>
      </w:r>
      <w:r w:rsidRPr="00254BEE">
        <w:br/>
        <w:t>exposed needle.</w:t>
      </w:r>
    </w:p>
    <w:p w14:paraId="75FDB7BE" w14:textId="77777777" w:rsidR="00443184" w:rsidRPr="00254BEE" w:rsidRDefault="00443184" w:rsidP="00443184">
      <w:pPr>
        <w:pStyle w:val="Text"/>
        <w:tabs>
          <w:tab w:val="left" w:pos="720"/>
        </w:tabs>
      </w:pPr>
      <w:r w:rsidRPr="00254BEE">
        <w:rPr>
          <w:noProof/>
          <w:lang w:val="en-AU" w:eastAsia="en-AU"/>
        </w:rPr>
        <w:drawing>
          <wp:inline distT="0" distB="0" distL="0" distR="0" wp14:anchorId="7977F191" wp14:editId="097B34ED">
            <wp:extent cx="2733675" cy="18478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33675" cy="1847850"/>
                    </a:xfrm>
                    <a:prstGeom prst="rect">
                      <a:avLst/>
                    </a:prstGeom>
                    <a:noFill/>
                    <a:ln>
                      <a:noFill/>
                    </a:ln>
                  </pic:spPr>
                </pic:pic>
              </a:graphicData>
            </a:graphic>
          </wp:inline>
        </w:drawing>
      </w:r>
    </w:p>
    <w:p w14:paraId="217EDEF3" w14:textId="77777777" w:rsidR="00443184" w:rsidRPr="00254BEE" w:rsidRDefault="00443184" w:rsidP="00443184">
      <w:pPr>
        <w:pStyle w:val="Text"/>
        <w:tabs>
          <w:tab w:val="left" w:pos="720"/>
        </w:tabs>
      </w:pPr>
      <w:r w:rsidRPr="00254BEE">
        <w:t>NOTE: If the needle guard does not extend automatically, firmly push on the plunger. Then release the plunger and allow the guard to cover the needle.</w:t>
      </w:r>
    </w:p>
    <w:p w14:paraId="1B3BCB8C" w14:textId="77777777" w:rsidR="00443184" w:rsidRPr="00254BEE" w:rsidRDefault="00443184" w:rsidP="00443184">
      <w:pPr>
        <w:pStyle w:val="Text"/>
        <w:tabs>
          <w:tab w:val="num" w:pos="360"/>
        </w:tabs>
      </w:pPr>
      <w:r w:rsidRPr="00254BEE">
        <w:t>Step 6: Dispose the used syringe immediately in a sharps container.</w:t>
      </w:r>
    </w:p>
    <w:p w14:paraId="5FFC8755" w14:textId="77777777" w:rsidR="00443184" w:rsidRPr="00254BEE" w:rsidRDefault="00443184" w:rsidP="00443184">
      <w:pPr>
        <w:pStyle w:val="Text"/>
        <w:tabs>
          <w:tab w:val="num" w:pos="360"/>
        </w:tabs>
      </w:pPr>
    </w:p>
    <w:p w14:paraId="75E0C109" w14:textId="77777777" w:rsidR="00443184" w:rsidRPr="00254BEE" w:rsidRDefault="00443184" w:rsidP="00443184">
      <w:pPr>
        <w:rPr>
          <w:b/>
          <w:color w:val="000000" w:themeColor="text1"/>
          <w:u w:val="single"/>
        </w:rPr>
      </w:pPr>
      <w:r w:rsidRPr="00254BEE">
        <w:br w:type="page"/>
      </w:r>
    </w:p>
    <w:p w14:paraId="4A5A6B75" w14:textId="77777777" w:rsidR="00443184" w:rsidRPr="00254BEE" w:rsidRDefault="00443184" w:rsidP="002324A8">
      <w:pPr>
        <w:rPr>
          <w:b/>
          <w:color w:val="000000" w:themeColor="text1"/>
          <w:u w:val="single"/>
        </w:rPr>
      </w:pPr>
    </w:p>
    <w:p w14:paraId="09D944A5" w14:textId="77777777" w:rsidR="00D8347D" w:rsidRPr="00254BEE" w:rsidRDefault="00DA372F" w:rsidP="00286336">
      <w:pPr>
        <w:pStyle w:val="Level4"/>
        <w:keepNext w:val="0"/>
        <w:keepLines w:val="0"/>
        <w:spacing w:before="0" w:after="0" w:line="240" w:lineRule="auto"/>
        <w:rPr>
          <w:rFonts w:ascii="Times New Roman" w:hAnsi="Times New Roman"/>
          <w:color w:val="000000" w:themeColor="text1"/>
          <w:lang w:val="en-GB"/>
        </w:rPr>
      </w:pPr>
      <w:r w:rsidRPr="00254BEE">
        <w:rPr>
          <w:rFonts w:ascii="Times New Roman" w:hAnsi="Times New Roman"/>
          <w:color w:val="000000" w:themeColor="text1"/>
          <w:lang w:val="en-GB"/>
        </w:rPr>
        <w:t>Incompatibilities:</w:t>
      </w:r>
    </w:p>
    <w:p w14:paraId="6F2B18F3" w14:textId="77777777" w:rsidR="00D8347D" w:rsidRPr="00254BEE" w:rsidRDefault="00443184" w:rsidP="00286336">
      <w:pPr>
        <w:pStyle w:val="EndnoteText"/>
        <w:rPr>
          <w:color w:val="000000" w:themeColor="text1"/>
          <w:sz w:val="24"/>
        </w:rPr>
      </w:pPr>
      <w:r w:rsidRPr="00254BEE">
        <w:rPr>
          <w:b/>
          <w:u w:val="single"/>
        </w:rPr>
        <w:t>Powder vial and solvent for solution for injection</w:t>
      </w:r>
      <w:r w:rsidRPr="00254BEE">
        <w:rPr>
          <w:b/>
          <w:bCs/>
        </w:rPr>
        <w:t>:</w:t>
      </w:r>
      <w:r w:rsidRPr="00254BEE">
        <w:t xml:space="preserve"> </w:t>
      </w:r>
      <w:r w:rsidR="00DA372F" w:rsidRPr="00254BEE">
        <w:rPr>
          <w:color w:val="000000" w:themeColor="text1"/>
          <w:sz w:val="24"/>
        </w:rPr>
        <w:t>Xolair should not be mixed with any other medicinal product or diluent other than water for injections.</w:t>
      </w:r>
    </w:p>
    <w:p w14:paraId="63690628" w14:textId="77777777" w:rsidR="00443184" w:rsidRPr="00254BEE" w:rsidRDefault="00443184" w:rsidP="00286336">
      <w:pPr>
        <w:pStyle w:val="EndnoteText"/>
        <w:rPr>
          <w:color w:val="000000" w:themeColor="text1"/>
          <w:sz w:val="24"/>
        </w:rPr>
      </w:pPr>
    </w:p>
    <w:p w14:paraId="4F1E0B51" w14:textId="77777777" w:rsidR="00443184" w:rsidRPr="00254BEE" w:rsidRDefault="00443184" w:rsidP="00443184">
      <w:pPr>
        <w:pStyle w:val="Text"/>
      </w:pPr>
      <w:r w:rsidRPr="00254BEE">
        <w:rPr>
          <w:b/>
          <w:u w:val="single"/>
        </w:rPr>
        <w:t>Solution for injection in pre-filled syringe</w:t>
      </w:r>
      <w:r w:rsidRPr="00254BEE">
        <w:rPr>
          <w:b/>
          <w:bCs/>
        </w:rPr>
        <w:t>:</w:t>
      </w:r>
      <w:r w:rsidRPr="00254BEE">
        <w:t xml:space="preserve"> This medicinal product must not be mixed with other medicinal products.</w:t>
      </w:r>
    </w:p>
    <w:p w14:paraId="4EA4F3A6" w14:textId="77777777" w:rsidR="002324A8" w:rsidRPr="00254BEE" w:rsidRDefault="002324A8" w:rsidP="00286336">
      <w:pPr>
        <w:pStyle w:val="EndnoteText"/>
        <w:rPr>
          <w:color w:val="000000" w:themeColor="text1"/>
          <w:sz w:val="24"/>
        </w:rPr>
      </w:pPr>
    </w:p>
    <w:p w14:paraId="2923FD40" w14:textId="77777777" w:rsidR="00D8347D" w:rsidRPr="00254BEE" w:rsidRDefault="00DA372F" w:rsidP="00604B4E">
      <w:pPr>
        <w:pStyle w:val="Heading5"/>
        <w:spacing w:before="240" w:after="240" w:line="240" w:lineRule="auto"/>
        <w:rPr>
          <w:color w:val="000000" w:themeColor="text1"/>
        </w:rPr>
      </w:pPr>
      <w:r w:rsidRPr="00254BEE">
        <w:rPr>
          <w:color w:val="000000" w:themeColor="text1"/>
        </w:rPr>
        <w:t>OVERDOSAGE</w:t>
      </w:r>
    </w:p>
    <w:p w14:paraId="64B740D6" w14:textId="77777777" w:rsidR="00D8347D" w:rsidRPr="00254BEE" w:rsidRDefault="00DA372F" w:rsidP="00286336">
      <w:pPr>
        <w:pStyle w:val="Text"/>
        <w:spacing w:before="0"/>
        <w:jc w:val="left"/>
        <w:rPr>
          <w:color w:val="000000" w:themeColor="text1"/>
        </w:rPr>
      </w:pPr>
      <w:r w:rsidRPr="00254BEE">
        <w:rPr>
          <w:color w:val="000000" w:themeColor="text1"/>
        </w:rPr>
        <w:t>No cases of overdose have been reported. A maximum tolerated dose of Xolair has not been determined. Single intravenous doses up to 4000 mg have been administered to patients without evidence of dose-limiting toxicities. The highest cumulative dose administered to patients was 44,000 mg over a 20-week period and this dose did not result in any untoward acute effects.</w:t>
      </w:r>
    </w:p>
    <w:p w14:paraId="653F419C" w14:textId="77777777" w:rsidR="004D1201" w:rsidRPr="00254BEE" w:rsidRDefault="004D1201" w:rsidP="00286336">
      <w:pPr>
        <w:pStyle w:val="Text"/>
        <w:spacing w:before="0"/>
        <w:jc w:val="left"/>
        <w:rPr>
          <w:color w:val="000000" w:themeColor="text1"/>
        </w:rPr>
      </w:pPr>
    </w:p>
    <w:p w14:paraId="46C4DEC7" w14:textId="77777777" w:rsidR="004D1201" w:rsidRPr="00254BEE" w:rsidRDefault="004D1201" w:rsidP="004D1201">
      <w:r w:rsidRPr="00254BEE">
        <w:t>Contact the Poisons Information Centre on 13 11 26 for advice on management.</w:t>
      </w:r>
    </w:p>
    <w:p w14:paraId="09A361B9" w14:textId="77777777" w:rsidR="004D1201" w:rsidRPr="00254BEE" w:rsidRDefault="004D1201" w:rsidP="00604B4E">
      <w:pPr>
        <w:pStyle w:val="Text"/>
        <w:spacing w:before="240" w:after="240"/>
        <w:jc w:val="left"/>
        <w:rPr>
          <w:b/>
          <w:color w:val="000000" w:themeColor="text1"/>
          <w:sz w:val="30"/>
          <w:u w:val="single"/>
        </w:rPr>
      </w:pPr>
    </w:p>
    <w:p w14:paraId="5BE8991F" w14:textId="77777777" w:rsidR="00D8347D" w:rsidRPr="00254BEE" w:rsidRDefault="00DA372F" w:rsidP="00604B4E">
      <w:pPr>
        <w:pStyle w:val="Text"/>
        <w:spacing w:before="240" w:after="240"/>
        <w:jc w:val="left"/>
        <w:rPr>
          <w:b/>
          <w:color w:val="000000" w:themeColor="text1"/>
          <w:sz w:val="30"/>
          <w:u w:val="single"/>
        </w:rPr>
      </w:pPr>
      <w:r w:rsidRPr="00254BEE">
        <w:rPr>
          <w:b/>
          <w:color w:val="000000" w:themeColor="text1"/>
          <w:sz w:val="30"/>
          <w:u w:val="single"/>
        </w:rPr>
        <w:t>PRESENTATION</w:t>
      </w:r>
      <w:r w:rsidR="00FC1D98" w:rsidRPr="00254BEE">
        <w:rPr>
          <w:b/>
          <w:color w:val="000000" w:themeColor="text1"/>
          <w:sz w:val="30"/>
          <w:szCs w:val="30"/>
          <w:u w:val="single"/>
        </w:rPr>
        <w:t xml:space="preserve"> AND STORAGE CONDITIONS</w:t>
      </w:r>
    </w:p>
    <w:p w14:paraId="05472CD5" w14:textId="77777777" w:rsidR="00D8347D" w:rsidRPr="00254BEE" w:rsidRDefault="00443184" w:rsidP="00286336">
      <w:pPr>
        <w:pStyle w:val="EndnoteText"/>
        <w:rPr>
          <w:color w:val="000000" w:themeColor="text1"/>
          <w:sz w:val="24"/>
        </w:rPr>
      </w:pPr>
      <w:r w:rsidRPr="00254BEE">
        <w:rPr>
          <w:b/>
          <w:sz w:val="24"/>
          <w:u w:val="single"/>
        </w:rPr>
        <w:t>Powder vial and solvent for solution for injection:</w:t>
      </w:r>
      <w:r w:rsidRPr="00254BEE">
        <w:t xml:space="preserve"> </w:t>
      </w:r>
      <w:r w:rsidR="00DA372F" w:rsidRPr="00254BEE">
        <w:rPr>
          <w:color w:val="000000" w:themeColor="text1"/>
          <w:sz w:val="24"/>
        </w:rPr>
        <w:t>Xolair is supplied as a pack containing 1 single-use vial of either 75 mg or 150 mg sterile, lyophilised powder and 1 ampoule of water for injections for use as diluent.  Upon reconstitution, both Xolair</w:t>
      </w:r>
      <w:r w:rsidR="00DA372F" w:rsidRPr="00254BEE">
        <w:rPr>
          <w:color w:val="000000" w:themeColor="text1"/>
          <w:sz w:val="24"/>
          <w:szCs w:val="24"/>
        </w:rPr>
        <w:t xml:space="preserve"> </w:t>
      </w:r>
      <w:r w:rsidR="00DA372F" w:rsidRPr="00254BEE">
        <w:rPr>
          <w:color w:val="000000" w:themeColor="text1"/>
        </w:rPr>
        <w:t xml:space="preserve">75 mg and </w:t>
      </w:r>
      <w:r w:rsidR="00DA372F" w:rsidRPr="00254BEE">
        <w:rPr>
          <w:color w:val="000000" w:themeColor="text1"/>
          <w:sz w:val="24"/>
        </w:rPr>
        <w:t>150 mg contain 150 mg omalizumab per 1.2 mL (125 mg/mL of omalizumab).</w:t>
      </w:r>
    </w:p>
    <w:p w14:paraId="168F9071" w14:textId="77777777" w:rsidR="00DB61A4" w:rsidRPr="00254BEE" w:rsidRDefault="00DB61A4" w:rsidP="00AD5636">
      <w:pPr>
        <w:autoSpaceDE w:val="0"/>
        <w:autoSpaceDN w:val="0"/>
        <w:adjustRightInd w:val="0"/>
        <w:rPr>
          <w:b/>
          <w:u w:val="single"/>
        </w:rPr>
      </w:pPr>
    </w:p>
    <w:p w14:paraId="1CA50736" w14:textId="77777777" w:rsidR="00C17CF1" w:rsidRPr="00254BEE" w:rsidRDefault="00443184" w:rsidP="00443184">
      <w:pPr>
        <w:autoSpaceDE w:val="0"/>
        <w:autoSpaceDN w:val="0"/>
        <w:adjustRightInd w:val="0"/>
        <w:rPr>
          <w:color w:val="000000" w:themeColor="text1"/>
          <w:szCs w:val="24"/>
        </w:rPr>
      </w:pPr>
      <w:r w:rsidRPr="00254BEE">
        <w:rPr>
          <w:b/>
          <w:u w:val="single"/>
        </w:rPr>
        <w:t>Solution for injection in pre-filled syringe</w:t>
      </w:r>
      <w:r w:rsidRPr="00254BEE">
        <w:rPr>
          <w:b/>
          <w:bCs/>
        </w:rPr>
        <w:t>:</w:t>
      </w:r>
      <w:r w:rsidRPr="00254BEE">
        <w:t xml:space="preserve"> Pre-filled syringe comprising a type I glass </w:t>
      </w:r>
      <w:r w:rsidRPr="00254BEE">
        <w:rPr>
          <w:color w:val="000000" w:themeColor="text1"/>
        </w:rPr>
        <w:t xml:space="preserve">syringe barrel with staked needle (stainless steel), rubber plunger stopper, and rigid needle shield composed of a rubber needle shield covered by a rigid shell. Each pre-filled syringe is mounted with a plastic safety device (needle guard) to prevent from needle stick injury.  </w:t>
      </w:r>
      <w:r w:rsidRPr="00254BEE">
        <w:t>Each pre-filled syringe of 0.5 mL contains 75 mg of omalizumab. Each pre-filled syringe of 1 mL contains 150 mg of omalizumab.</w:t>
      </w:r>
      <w:r w:rsidR="005A7378" w:rsidRPr="00254BEE">
        <w:t xml:space="preserve"> </w:t>
      </w:r>
      <w:r w:rsidRPr="00254BEE">
        <w:rPr>
          <w:color w:val="000000" w:themeColor="text1"/>
          <w:szCs w:val="24"/>
        </w:rPr>
        <w:t xml:space="preserve">Available as a single packaged pre-filled syringe and in multipacks containing either 4 or 10 individually packaged pre-filled syringes. </w:t>
      </w:r>
    </w:p>
    <w:p w14:paraId="02125306" w14:textId="77777777" w:rsidR="00C17CF1" w:rsidRPr="00254BEE" w:rsidRDefault="00C17CF1" w:rsidP="00443184">
      <w:pPr>
        <w:autoSpaceDE w:val="0"/>
        <w:autoSpaceDN w:val="0"/>
        <w:adjustRightInd w:val="0"/>
        <w:rPr>
          <w:color w:val="000000" w:themeColor="text1"/>
          <w:szCs w:val="24"/>
        </w:rPr>
      </w:pPr>
    </w:p>
    <w:p w14:paraId="1407CDB2" w14:textId="77777777" w:rsidR="00443184" w:rsidRPr="00254BEE" w:rsidRDefault="00443184" w:rsidP="00443184">
      <w:pPr>
        <w:autoSpaceDE w:val="0"/>
        <w:autoSpaceDN w:val="0"/>
        <w:adjustRightInd w:val="0"/>
        <w:rPr>
          <w:color w:val="000000" w:themeColor="text1"/>
        </w:rPr>
      </w:pPr>
      <w:r w:rsidRPr="00254BEE">
        <w:rPr>
          <w:color w:val="000000" w:themeColor="text1"/>
          <w:szCs w:val="24"/>
        </w:rPr>
        <w:t>Not all pack sizes</w:t>
      </w:r>
      <w:r w:rsidR="00C17CF1" w:rsidRPr="00254BEE">
        <w:rPr>
          <w:color w:val="000000" w:themeColor="text1"/>
          <w:szCs w:val="24"/>
        </w:rPr>
        <w:t xml:space="preserve"> and presentations</w:t>
      </w:r>
      <w:r w:rsidRPr="00254BEE">
        <w:rPr>
          <w:color w:val="000000" w:themeColor="text1"/>
          <w:szCs w:val="24"/>
        </w:rPr>
        <w:t xml:space="preserve"> may be marketed.</w:t>
      </w:r>
    </w:p>
    <w:p w14:paraId="0A6AE835" w14:textId="77777777" w:rsidR="00AE7F2E" w:rsidRPr="00254BEE" w:rsidRDefault="00AE7F2E" w:rsidP="00286336">
      <w:pPr>
        <w:pStyle w:val="EndnoteText"/>
        <w:rPr>
          <w:color w:val="000000" w:themeColor="text1"/>
          <w:sz w:val="24"/>
          <w:lang w:val="en-US"/>
        </w:rPr>
      </w:pPr>
    </w:p>
    <w:p w14:paraId="425AE8C2" w14:textId="77777777" w:rsidR="008743E2" w:rsidRPr="00254BEE" w:rsidRDefault="00DA372F" w:rsidP="00AD5636">
      <w:pPr>
        <w:pStyle w:val="Text"/>
        <w:rPr>
          <w:color w:val="000000" w:themeColor="text1"/>
        </w:rPr>
      </w:pPr>
      <w:r w:rsidRPr="00254BEE">
        <w:rPr>
          <w:color w:val="000000" w:themeColor="text1"/>
        </w:rPr>
        <w:t xml:space="preserve">Storage: </w:t>
      </w:r>
    </w:p>
    <w:p w14:paraId="34A03A76" w14:textId="77777777" w:rsidR="00D8347D" w:rsidRPr="00254BEE" w:rsidRDefault="00443184" w:rsidP="00AD5636">
      <w:pPr>
        <w:pStyle w:val="Text"/>
        <w:rPr>
          <w:color w:val="000000" w:themeColor="text1"/>
        </w:rPr>
      </w:pPr>
      <w:r w:rsidRPr="00254BEE">
        <w:rPr>
          <w:b/>
          <w:szCs w:val="24"/>
          <w:u w:val="single"/>
        </w:rPr>
        <w:t>Powder vial and solvent for solution for injection</w:t>
      </w:r>
      <w:r w:rsidRPr="00254BEE">
        <w:rPr>
          <w:b/>
          <w:u w:val="single"/>
        </w:rPr>
        <w:t>:</w:t>
      </w:r>
      <w:r w:rsidRPr="00254BEE">
        <w:rPr>
          <w:color w:val="000000" w:themeColor="text1"/>
        </w:rPr>
        <w:t xml:space="preserve"> </w:t>
      </w:r>
      <w:r w:rsidR="00DA372F" w:rsidRPr="00254BEE">
        <w:rPr>
          <w:color w:val="000000" w:themeColor="text1"/>
        </w:rPr>
        <w:t>Store at 2</w:t>
      </w:r>
      <w:r w:rsidR="00DA372F" w:rsidRPr="00254BEE">
        <w:rPr>
          <w:color w:val="000000" w:themeColor="text1"/>
        </w:rPr>
        <w:sym w:font="Symbol" w:char="F0B0"/>
      </w:r>
      <w:r w:rsidR="00DA372F" w:rsidRPr="00254BEE">
        <w:rPr>
          <w:color w:val="000000" w:themeColor="text1"/>
        </w:rPr>
        <w:t xml:space="preserve"> to 8</w:t>
      </w:r>
      <w:r w:rsidR="00DA372F" w:rsidRPr="00254BEE">
        <w:rPr>
          <w:color w:val="000000" w:themeColor="text1"/>
        </w:rPr>
        <w:sym w:font="Symbol" w:char="F0B0"/>
      </w:r>
      <w:r w:rsidR="00DA372F" w:rsidRPr="00254BEE">
        <w:rPr>
          <w:color w:val="000000" w:themeColor="text1"/>
        </w:rPr>
        <w:t>C.  Do not freeze. Store in the original package. Medicines should be kept out of the reach of children.</w:t>
      </w:r>
    </w:p>
    <w:p w14:paraId="01EF8E7F" w14:textId="77777777" w:rsidR="00443184" w:rsidRPr="00254BEE" w:rsidRDefault="00443184" w:rsidP="00AD5636">
      <w:pPr>
        <w:pStyle w:val="Text"/>
        <w:rPr>
          <w:color w:val="000000" w:themeColor="text1"/>
        </w:rPr>
      </w:pPr>
    </w:p>
    <w:p w14:paraId="5E3A5881" w14:textId="77777777" w:rsidR="00443184" w:rsidRDefault="00443184" w:rsidP="00AD5636">
      <w:pPr>
        <w:pStyle w:val="Text"/>
        <w:rPr>
          <w:color w:val="000000" w:themeColor="text1"/>
        </w:rPr>
      </w:pPr>
      <w:r w:rsidRPr="00254BEE">
        <w:rPr>
          <w:b/>
          <w:szCs w:val="24"/>
          <w:u w:val="single"/>
        </w:rPr>
        <w:t>Solution for injection in pre-filled syringe</w:t>
      </w:r>
      <w:r w:rsidRPr="00254BEE">
        <w:rPr>
          <w:b/>
          <w:u w:val="single"/>
        </w:rPr>
        <w:t>:</w:t>
      </w:r>
      <w:r w:rsidRPr="00254BEE">
        <w:rPr>
          <w:color w:val="000000" w:themeColor="text1"/>
        </w:rPr>
        <w:t xml:space="preserve"> Store at 2</w:t>
      </w:r>
      <w:r w:rsidRPr="00254BEE">
        <w:rPr>
          <w:color w:val="000000" w:themeColor="text1"/>
        </w:rPr>
        <w:sym w:font="Symbol" w:char="F0B0"/>
      </w:r>
      <w:r w:rsidRPr="00254BEE">
        <w:rPr>
          <w:color w:val="000000" w:themeColor="text1"/>
        </w:rPr>
        <w:t xml:space="preserve"> to 8</w:t>
      </w:r>
      <w:r w:rsidRPr="00254BEE">
        <w:rPr>
          <w:color w:val="000000" w:themeColor="text1"/>
        </w:rPr>
        <w:sym w:font="Symbol" w:char="F0B0"/>
      </w:r>
      <w:r w:rsidRPr="00254BEE">
        <w:rPr>
          <w:color w:val="000000" w:themeColor="text1"/>
        </w:rPr>
        <w:t>C.  Do not freeze. Store in the original package. The product may be kept for a total of 4 hours at 25</w:t>
      </w:r>
      <w:r w:rsidRPr="00254BEE">
        <w:rPr>
          <w:color w:val="000000" w:themeColor="text1"/>
        </w:rPr>
        <w:sym w:font="Symbol" w:char="F0B0"/>
      </w:r>
      <w:r w:rsidRPr="00254BEE">
        <w:rPr>
          <w:color w:val="000000" w:themeColor="text1"/>
        </w:rPr>
        <w:t>C. If necessary, the product may be returned to the refrigerator for later use, but this must not be done more than once. Medicines should be kept out of the reach of children.</w:t>
      </w:r>
    </w:p>
    <w:p w14:paraId="73FB2880" w14:textId="77777777" w:rsidR="00A14902" w:rsidRPr="00254BEE" w:rsidRDefault="00A14902" w:rsidP="00AD5636">
      <w:pPr>
        <w:pStyle w:val="Text"/>
        <w:rPr>
          <w:color w:val="000000" w:themeColor="text1"/>
          <w:szCs w:val="24"/>
        </w:rPr>
      </w:pPr>
    </w:p>
    <w:p w14:paraId="7F6239CF" w14:textId="77777777" w:rsidR="00443184" w:rsidRPr="00254BEE" w:rsidRDefault="00443184" w:rsidP="00443184">
      <w:pPr>
        <w:spacing w:before="240" w:after="240"/>
        <w:rPr>
          <w:color w:val="000000" w:themeColor="text1"/>
          <w:sz w:val="30"/>
          <w:szCs w:val="30"/>
        </w:rPr>
      </w:pPr>
      <w:r w:rsidRPr="00254BEE">
        <w:rPr>
          <w:b/>
          <w:color w:val="000000" w:themeColor="text1"/>
          <w:sz w:val="30"/>
          <w:szCs w:val="30"/>
          <w:u w:val="single"/>
        </w:rPr>
        <w:lastRenderedPageBreak/>
        <w:t>NAME AND ADDRESS OF THE SPONSOR</w:t>
      </w:r>
    </w:p>
    <w:p w14:paraId="7650AF16" w14:textId="77777777" w:rsidR="00443184" w:rsidRPr="00254BEE" w:rsidRDefault="00443184" w:rsidP="00443184">
      <w:pPr>
        <w:rPr>
          <w:color w:val="000000" w:themeColor="text1"/>
        </w:rPr>
      </w:pPr>
      <w:r w:rsidRPr="00254BEE">
        <w:rPr>
          <w:color w:val="000000" w:themeColor="text1"/>
        </w:rPr>
        <w:t xml:space="preserve">NOVARTIS Pharmaceuticals Australia Pty Limited  </w:t>
      </w:r>
    </w:p>
    <w:p w14:paraId="1059C69F" w14:textId="77777777" w:rsidR="00443184" w:rsidRPr="00254BEE" w:rsidRDefault="00443184" w:rsidP="00443184">
      <w:pPr>
        <w:rPr>
          <w:color w:val="000000" w:themeColor="text1"/>
        </w:rPr>
      </w:pPr>
      <w:smartTag w:uri="urn:schemas-microsoft-com:office:smarttags" w:element="stockticker">
        <w:r w:rsidRPr="00254BEE">
          <w:rPr>
            <w:color w:val="000000" w:themeColor="text1"/>
          </w:rPr>
          <w:t>ABN</w:t>
        </w:r>
      </w:smartTag>
      <w:r w:rsidRPr="00254BEE">
        <w:rPr>
          <w:color w:val="000000" w:themeColor="text1"/>
        </w:rPr>
        <w:t xml:space="preserve"> 18 004 244 160</w:t>
      </w:r>
    </w:p>
    <w:p w14:paraId="5F257D54" w14:textId="77777777" w:rsidR="00443184" w:rsidRPr="00254BEE" w:rsidRDefault="00443184" w:rsidP="00443184">
      <w:pPr>
        <w:rPr>
          <w:color w:val="000000" w:themeColor="text1"/>
        </w:rPr>
      </w:pPr>
      <w:r w:rsidRPr="00254BEE">
        <w:rPr>
          <w:color w:val="000000" w:themeColor="text1"/>
        </w:rPr>
        <w:t>54 Waterloo Road</w:t>
      </w:r>
    </w:p>
    <w:p w14:paraId="3C45E8DE" w14:textId="77777777" w:rsidR="00443184" w:rsidRPr="00254BEE" w:rsidRDefault="00443184" w:rsidP="00443184">
      <w:pPr>
        <w:rPr>
          <w:color w:val="000000" w:themeColor="text1"/>
        </w:rPr>
      </w:pPr>
      <w:r w:rsidRPr="00254BEE">
        <w:rPr>
          <w:color w:val="000000" w:themeColor="text1"/>
        </w:rPr>
        <w:t>NORTH RYDE  NSW  2113</w:t>
      </w:r>
    </w:p>
    <w:p w14:paraId="61034EF5" w14:textId="77777777" w:rsidR="00443184" w:rsidRPr="00254BEE" w:rsidRDefault="00443184" w:rsidP="00443184">
      <w:pPr>
        <w:rPr>
          <w:color w:val="000000" w:themeColor="text1"/>
        </w:rPr>
      </w:pPr>
      <w:r w:rsidRPr="00254BEE">
        <w:rPr>
          <w:color w:val="000000" w:themeColor="text1"/>
        </w:rPr>
        <w:sym w:font="Symbol" w:char="F0D2"/>
      </w:r>
      <w:r w:rsidRPr="00254BEE">
        <w:rPr>
          <w:color w:val="000000" w:themeColor="text1"/>
        </w:rPr>
        <w:t>= Registered Trademark</w:t>
      </w:r>
    </w:p>
    <w:p w14:paraId="56F903B0" w14:textId="77777777" w:rsidR="00443184" w:rsidRPr="00254BEE" w:rsidRDefault="00443184" w:rsidP="00443184">
      <w:pPr>
        <w:rPr>
          <w:color w:val="000000" w:themeColor="text1"/>
        </w:rPr>
      </w:pPr>
    </w:p>
    <w:p w14:paraId="2A0F6C5A" w14:textId="77777777" w:rsidR="00443184" w:rsidRPr="00254BEE" w:rsidRDefault="00443184" w:rsidP="00443184">
      <w:pPr>
        <w:spacing w:before="240" w:after="240"/>
        <w:rPr>
          <w:color w:val="000000" w:themeColor="text1"/>
          <w:sz w:val="30"/>
          <w:szCs w:val="30"/>
          <w:u w:val="single"/>
        </w:rPr>
      </w:pPr>
      <w:r w:rsidRPr="00254BEE">
        <w:rPr>
          <w:b/>
          <w:color w:val="000000" w:themeColor="text1"/>
          <w:sz w:val="30"/>
          <w:szCs w:val="30"/>
          <w:u w:val="single"/>
        </w:rPr>
        <w:t>POISON SCHEDULE OF THE MEDICINE</w:t>
      </w:r>
    </w:p>
    <w:p w14:paraId="2CBC8460" w14:textId="77777777" w:rsidR="00443184" w:rsidRPr="00254BEE" w:rsidRDefault="00443184" w:rsidP="00443184">
      <w:pPr>
        <w:rPr>
          <w:color w:val="000000" w:themeColor="text1"/>
        </w:rPr>
      </w:pPr>
    </w:p>
    <w:p w14:paraId="572F1BE2" w14:textId="77777777" w:rsidR="00443184" w:rsidRPr="00254BEE" w:rsidRDefault="00443184" w:rsidP="00443184">
      <w:pPr>
        <w:rPr>
          <w:color w:val="000000" w:themeColor="text1"/>
        </w:rPr>
      </w:pPr>
      <w:r w:rsidRPr="00254BEE">
        <w:rPr>
          <w:color w:val="000000" w:themeColor="text1"/>
          <w:u w:val="single"/>
        </w:rPr>
        <w:t>Poison schedule</w:t>
      </w:r>
      <w:r w:rsidRPr="00254BEE">
        <w:rPr>
          <w:color w:val="000000" w:themeColor="text1"/>
        </w:rPr>
        <w:t>:</w:t>
      </w:r>
      <w:r w:rsidRPr="00254BEE">
        <w:rPr>
          <w:b/>
          <w:color w:val="000000" w:themeColor="text1"/>
        </w:rPr>
        <w:t xml:space="preserve">  </w:t>
      </w:r>
      <w:r w:rsidRPr="00254BEE">
        <w:rPr>
          <w:color w:val="000000" w:themeColor="text1"/>
        </w:rPr>
        <w:t>4</w:t>
      </w:r>
    </w:p>
    <w:p w14:paraId="454D921B" w14:textId="77777777" w:rsidR="00443184" w:rsidRPr="00254BEE" w:rsidRDefault="00443184" w:rsidP="00443184">
      <w:pPr>
        <w:rPr>
          <w:color w:val="000000" w:themeColor="text1"/>
        </w:rPr>
      </w:pPr>
    </w:p>
    <w:p w14:paraId="4BEAE9F4" w14:textId="77777777" w:rsidR="0070796F" w:rsidRPr="00254BEE" w:rsidRDefault="00443184" w:rsidP="00443184">
      <w:pPr>
        <w:spacing w:before="240" w:after="240"/>
        <w:rPr>
          <w:b/>
          <w:color w:val="000000" w:themeColor="text1"/>
          <w:sz w:val="30"/>
          <w:szCs w:val="30"/>
          <w:u w:val="single"/>
        </w:rPr>
      </w:pPr>
      <w:r w:rsidRPr="00254BEE">
        <w:rPr>
          <w:b/>
          <w:color w:val="000000" w:themeColor="text1"/>
          <w:sz w:val="30"/>
          <w:szCs w:val="30"/>
          <w:u w:val="single"/>
        </w:rPr>
        <w:t xml:space="preserve">DATE OF FIRST INCLUSION IN THE AUSTRALIAN REGISTER OF THERAPEUTIC GOODS: </w:t>
      </w:r>
    </w:p>
    <w:p w14:paraId="0E1E0ECF" w14:textId="77777777" w:rsidR="00443184" w:rsidRPr="00254BEE" w:rsidRDefault="00443184" w:rsidP="00443184">
      <w:pPr>
        <w:spacing w:before="240" w:after="240"/>
        <w:rPr>
          <w:color w:val="000000" w:themeColor="text1"/>
          <w:sz w:val="30"/>
          <w:szCs w:val="30"/>
        </w:rPr>
      </w:pPr>
      <w:r w:rsidRPr="00254BEE">
        <w:rPr>
          <w:color w:val="000000" w:themeColor="text1"/>
          <w:sz w:val="30"/>
          <w:szCs w:val="30"/>
        </w:rPr>
        <w:t>13 June 2003</w:t>
      </w:r>
    </w:p>
    <w:p w14:paraId="322AD485" w14:textId="77777777" w:rsidR="00443184" w:rsidRPr="00254BEE" w:rsidRDefault="00443184" w:rsidP="00443184">
      <w:pPr>
        <w:rPr>
          <w:color w:val="000000" w:themeColor="text1"/>
        </w:rPr>
      </w:pPr>
    </w:p>
    <w:p w14:paraId="3027CA6F" w14:textId="77777777" w:rsidR="00443184" w:rsidRPr="00254BEE" w:rsidRDefault="00443184" w:rsidP="00443184">
      <w:pPr>
        <w:spacing w:before="240" w:after="240"/>
        <w:rPr>
          <w:color w:val="000000" w:themeColor="text1"/>
          <w:sz w:val="30"/>
          <w:szCs w:val="30"/>
          <w:u w:val="single"/>
        </w:rPr>
      </w:pPr>
      <w:r w:rsidRPr="00254BEE">
        <w:rPr>
          <w:b/>
          <w:color w:val="000000" w:themeColor="text1"/>
          <w:sz w:val="30"/>
          <w:szCs w:val="30"/>
          <w:u w:val="single"/>
        </w:rPr>
        <w:t xml:space="preserve">DATE OF MOST RECENT AMENDMENT: </w:t>
      </w:r>
    </w:p>
    <w:p w14:paraId="018DCF2F" w14:textId="664EB178" w:rsidR="00D8347D" w:rsidRPr="00254BEE" w:rsidRDefault="00C96B2E" w:rsidP="00E96065">
      <w:pPr>
        <w:rPr>
          <w:color w:val="000000" w:themeColor="text1"/>
        </w:rPr>
      </w:pPr>
      <w:r>
        <w:rPr>
          <w:color w:val="000000" w:themeColor="text1"/>
        </w:rPr>
        <w:t>2 February</w:t>
      </w:r>
      <w:r w:rsidR="00A14902">
        <w:rPr>
          <w:color w:val="000000" w:themeColor="text1"/>
        </w:rPr>
        <w:t xml:space="preserve"> 2016</w:t>
      </w:r>
    </w:p>
    <w:p w14:paraId="3851DCCC" w14:textId="77777777" w:rsidR="00155C24" w:rsidRDefault="00155C24" w:rsidP="00E96065">
      <w:pPr>
        <w:rPr>
          <w:color w:val="000000" w:themeColor="text1"/>
        </w:rPr>
      </w:pPr>
    </w:p>
    <w:p w14:paraId="379043B8" w14:textId="77777777" w:rsidR="00C63E55" w:rsidRPr="002A1CBE" w:rsidRDefault="00C63E55" w:rsidP="00C63E55">
      <w:pPr>
        <w:pBdr>
          <w:bottom w:val="single" w:sz="12" w:space="1" w:color="auto"/>
        </w:pBdr>
        <w:tabs>
          <w:tab w:val="center" w:pos="5812"/>
          <w:tab w:val="center" w:pos="6805"/>
        </w:tabs>
        <w:spacing w:before="120" w:after="120"/>
        <w:rPr>
          <w:sz w:val="22"/>
          <w:szCs w:val="22"/>
        </w:rPr>
      </w:pPr>
    </w:p>
    <w:p w14:paraId="3482C555" w14:textId="63F19776" w:rsidR="008F3F44" w:rsidRPr="000753C8" w:rsidRDefault="005F0959" w:rsidP="008F3F44">
      <w:pPr>
        <w:tabs>
          <w:tab w:val="center" w:pos="5812"/>
          <w:tab w:val="center" w:pos="6805"/>
        </w:tabs>
      </w:pPr>
      <w:r>
        <w:t>Internal Document Code</w:t>
      </w:r>
    </w:p>
    <w:p w14:paraId="17D91F67" w14:textId="69C15DC0" w:rsidR="008F3F44" w:rsidRPr="000753C8" w:rsidRDefault="007B1E93" w:rsidP="008F3F44">
      <w:pPr>
        <w:tabs>
          <w:tab w:val="center" w:pos="5812"/>
          <w:tab w:val="center" w:pos="6805"/>
        </w:tabs>
      </w:pPr>
      <w:r>
        <w:t>x</w:t>
      </w:r>
      <w:r w:rsidR="008F3F44" w:rsidRPr="000753C8">
        <w:t>ol</w:t>
      </w:r>
      <w:r>
        <w:t>280116</w:t>
      </w:r>
      <w:r w:rsidR="008F3F44">
        <w:t>i</w:t>
      </w:r>
      <w:r w:rsidR="008F3F44" w:rsidRPr="000753C8">
        <w:t xml:space="preserve"> based on the CDS dated 16-Aug-2012 and 22-July-2015</w:t>
      </w:r>
    </w:p>
    <w:p w14:paraId="4B67AA7B" w14:textId="5ABE3E77" w:rsidR="00C63E55" w:rsidRPr="002A1CBE" w:rsidRDefault="00C63E55" w:rsidP="00C63E55">
      <w:pPr>
        <w:tabs>
          <w:tab w:val="center" w:pos="5812"/>
          <w:tab w:val="center" w:pos="6805"/>
        </w:tabs>
      </w:pPr>
    </w:p>
    <w:p w14:paraId="6303FBD6" w14:textId="77777777" w:rsidR="00C63E55" w:rsidRPr="00254BEE" w:rsidRDefault="00C63E55" w:rsidP="00E96065">
      <w:pPr>
        <w:rPr>
          <w:color w:val="000000" w:themeColor="text1"/>
        </w:rPr>
      </w:pPr>
    </w:p>
    <w:sectPr w:rsidR="00C63E55" w:rsidRPr="00254BEE" w:rsidSect="00406717">
      <w:headerReference w:type="even" r:id="rId25"/>
      <w:headerReference w:type="default" r:id="rId26"/>
      <w:footerReference w:type="default" r:id="rId27"/>
      <w:pgSz w:w="11909" w:h="16834" w:code="9"/>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95B76E" w14:textId="77777777" w:rsidR="0091271F" w:rsidRDefault="0091271F">
      <w:r>
        <w:separator/>
      </w:r>
    </w:p>
  </w:endnote>
  <w:endnote w:type="continuationSeparator" w:id="0">
    <w:p w14:paraId="2B80EC83" w14:textId="77777777" w:rsidR="0091271F" w:rsidRDefault="0091271F">
      <w:r>
        <w:continuationSeparator/>
      </w:r>
    </w:p>
  </w:endnote>
  <w:endnote w:type="continuationNotice" w:id="1">
    <w:p w14:paraId="2E45FAD0" w14:textId="77777777" w:rsidR="0091271F" w:rsidRDefault="009127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0CCEE" w14:textId="77777777" w:rsidR="00A26E77" w:rsidRPr="0080000A" w:rsidRDefault="00A26E77" w:rsidP="0080000A">
    <w:pPr>
      <w:pStyle w:val="Footer"/>
    </w:pPr>
    <w:r w:rsidRPr="00604B4E">
      <w:rPr>
        <w:rFonts w:ascii="Arial" w:hAnsi="Arial" w:cs="Arial"/>
        <w:sz w:val="16"/>
        <w:szCs w:val="16"/>
      </w:rPr>
      <w:t xml:space="preserve">Page </w:t>
    </w:r>
    <w:r w:rsidRPr="00604B4E">
      <w:rPr>
        <w:rFonts w:ascii="Arial" w:hAnsi="Arial" w:cs="Arial"/>
        <w:sz w:val="16"/>
        <w:szCs w:val="16"/>
      </w:rPr>
      <w:fldChar w:fldCharType="begin"/>
    </w:r>
    <w:r w:rsidRPr="00604B4E">
      <w:rPr>
        <w:rFonts w:ascii="Arial" w:hAnsi="Arial" w:cs="Arial"/>
        <w:sz w:val="16"/>
        <w:szCs w:val="16"/>
      </w:rPr>
      <w:instrText xml:space="preserve"> PAGE </w:instrText>
    </w:r>
    <w:r w:rsidRPr="00604B4E">
      <w:rPr>
        <w:rFonts w:ascii="Arial" w:hAnsi="Arial" w:cs="Arial"/>
        <w:sz w:val="16"/>
        <w:szCs w:val="16"/>
      </w:rPr>
      <w:fldChar w:fldCharType="separate"/>
    </w:r>
    <w:r w:rsidR="00EA0BD8">
      <w:rPr>
        <w:rFonts w:ascii="Arial" w:hAnsi="Arial" w:cs="Arial"/>
        <w:noProof/>
        <w:sz w:val="16"/>
        <w:szCs w:val="16"/>
      </w:rPr>
      <w:t>18</w:t>
    </w:r>
    <w:r w:rsidRPr="00604B4E">
      <w:rPr>
        <w:rFonts w:ascii="Arial" w:hAnsi="Arial" w:cs="Arial"/>
        <w:sz w:val="16"/>
        <w:szCs w:val="16"/>
      </w:rPr>
      <w:fldChar w:fldCharType="end"/>
    </w:r>
    <w:r w:rsidRPr="00604B4E">
      <w:rPr>
        <w:rFonts w:ascii="Arial" w:hAnsi="Arial" w:cs="Arial"/>
        <w:sz w:val="16"/>
        <w:szCs w:val="16"/>
      </w:rPr>
      <w:t xml:space="preserve"> of </w:t>
    </w:r>
    <w:r w:rsidRPr="00604B4E">
      <w:rPr>
        <w:rFonts w:ascii="Arial" w:hAnsi="Arial" w:cs="Arial"/>
        <w:sz w:val="16"/>
        <w:szCs w:val="16"/>
      </w:rPr>
      <w:fldChar w:fldCharType="begin"/>
    </w:r>
    <w:r w:rsidRPr="00604B4E">
      <w:rPr>
        <w:rFonts w:ascii="Arial" w:hAnsi="Arial" w:cs="Arial"/>
        <w:sz w:val="16"/>
        <w:szCs w:val="16"/>
      </w:rPr>
      <w:instrText xml:space="preserve"> NUMPAGES </w:instrText>
    </w:r>
    <w:r w:rsidRPr="00604B4E">
      <w:rPr>
        <w:rFonts w:ascii="Arial" w:hAnsi="Arial" w:cs="Arial"/>
        <w:sz w:val="16"/>
        <w:szCs w:val="16"/>
      </w:rPr>
      <w:fldChar w:fldCharType="separate"/>
    </w:r>
    <w:r w:rsidR="00EA0BD8">
      <w:rPr>
        <w:rFonts w:ascii="Arial" w:hAnsi="Arial" w:cs="Arial"/>
        <w:noProof/>
        <w:sz w:val="16"/>
        <w:szCs w:val="16"/>
      </w:rPr>
      <w:t>36</w:t>
    </w:r>
    <w:r w:rsidRPr="00604B4E">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12D4DC" w14:textId="77777777" w:rsidR="0091271F" w:rsidRDefault="0091271F">
      <w:r>
        <w:separator/>
      </w:r>
    </w:p>
  </w:footnote>
  <w:footnote w:type="continuationSeparator" w:id="0">
    <w:p w14:paraId="3C6EFE1D" w14:textId="77777777" w:rsidR="0091271F" w:rsidRDefault="0091271F">
      <w:r>
        <w:continuationSeparator/>
      </w:r>
    </w:p>
  </w:footnote>
  <w:footnote w:type="continuationNotice" w:id="1">
    <w:p w14:paraId="6102341E" w14:textId="77777777" w:rsidR="0091271F" w:rsidRDefault="009127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2B214" w14:textId="77777777" w:rsidR="00A26E77" w:rsidRDefault="00A26E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266656" w14:textId="77777777" w:rsidR="00A26E77" w:rsidRDefault="00A26E7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2960F" w14:textId="77777777" w:rsidR="00A26E77" w:rsidRDefault="00A26E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0BD8">
      <w:rPr>
        <w:rStyle w:val="PageNumber"/>
        <w:noProof/>
      </w:rPr>
      <w:t>18</w:t>
    </w:r>
    <w:r>
      <w:rPr>
        <w:rStyle w:val="PageNumber"/>
      </w:rPr>
      <w:fldChar w:fldCharType="end"/>
    </w:r>
  </w:p>
  <w:tbl>
    <w:tblPr>
      <w:tblStyle w:val="TableGrid"/>
      <w:tblW w:w="0" w:type="auto"/>
      <w:shd w:val="clear" w:color="auto" w:fill="E4F2E0"/>
      <w:tblLook w:val="04A0" w:firstRow="1" w:lastRow="0" w:firstColumn="1" w:lastColumn="0" w:noHBand="0" w:noVBand="1"/>
    </w:tblPr>
    <w:tblGrid>
      <w:gridCol w:w="8720"/>
    </w:tblGrid>
    <w:tr w:rsidR="00EA0BD8" w:rsidRPr="005F370E" w14:paraId="223302AD" w14:textId="77777777" w:rsidTr="00A833BD">
      <w:tc>
        <w:tcPr>
          <w:tcW w:w="8720" w:type="dxa"/>
          <w:shd w:val="clear" w:color="auto" w:fill="E4F2E0"/>
        </w:tcPr>
        <w:p w14:paraId="30D97A3B" w14:textId="77777777" w:rsidR="00EA0BD8" w:rsidRPr="00EA0BD8" w:rsidRDefault="00EA0BD8" w:rsidP="00A833BD">
          <w:pPr>
            <w:spacing w:before="40" w:after="40"/>
            <w:rPr>
              <w:rFonts w:ascii="Cambria" w:hAnsi="Cambria"/>
              <w:b/>
              <w:sz w:val="20"/>
            </w:rPr>
          </w:pPr>
          <w:r w:rsidRPr="00EA0BD8">
            <w:rPr>
              <w:rFonts w:ascii="Cambria" w:hAnsi="Cambria"/>
              <w:b/>
              <w:sz w:val="20"/>
            </w:rPr>
            <w:t>Attachment 1: Product information for AusPAR Xolair Omalizumab Novartis Pharmaceuticals Australia Pty Ltd PM-2014-03868-1-5 Final 22 June 2016. This Product Information was approved at the time this AusPAR was published.</w:t>
          </w:r>
        </w:p>
      </w:tc>
    </w:tr>
  </w:tbl>
  <w:p w14:paraId="5A239544" w14:textId="77777777" w:rsidR="00A26E77" w:rsidRPr="00F21876" w:rsidRDefault="00A26E77" w:rsidP="00EA0BD8">
    <w:pPr>
      <w:pStyle w:val="Header"/>
      <w:tabs>
        <w:tab w:val="clear" w:pos="8306"/>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2D9C1C66"/>
    <w:lvl w:ilvl="0">
      <w:start w:val="1"/>
      <w:numFmt w:val="decimal"/>
      <w:pStyle w:val="ListNumber2"/>
      <w:lvlText w:val="%1."/>
      <w:lvlJc w:val="left"/>
      <w:pPr>
        <w:tabs>
          <w:tab w:val="num" w:pos="720"/>
        </w:tabs>
        <w:ind w:left="720" w:hanging="360"/>
      </w:pPr>
    </w:lvl>
  </w:abstractNum>
  <w:abstractNum w:abstractNumId="1">
    <w:nsid w:val="FFFFFF82"/>
    <w:multiLevelType w:val="singleLevel"/>
    <w:tmpl w:val="6ECAA18E"/>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0C7C2879"/>
    <w:multiLevelType w:val="singleLevel"/>
    <w:tmpl w:val="987C62E4"/>
    <w:lvl w:ilvl="0">
      <w:start w:val="8"/>
      <w:numFmt w:val="decimal"/>
      <w:lvlText w:val="%1."/>
      <w:lvlJc w:val="left"/>
      <w:pPr>
        <w:tabs>
          <w:tab w:val="num" w:pos="357"/>
        </w:tabs>
        <w:ind w:left="357" w:hanging="357"/>
      </w:pPr>
      <w:rPr>
        <w:rFonts w:hint="default"/>
      </w:rPr>
    </w:lvl>
  </w:abstractNum>
  <w:abstractNum w:abstractNumId="3">
    <w:nsid w:val="11F22C28"/>
    <w:multiLevelType w:val="singleLevel"/>
    <w:tmpl w:val="1BA6F43C"/>
    <w:lvl w:ilvl="0">
      <w:start w:val="1"/>
      <w:numFmt w:val="upperLetter"/>
      <w:pStyle w:val="PIParagraph"/>
      <w:lvlText w:val="%1."/>
      <w:lvlJc w:val="left"/>
      <w:pPr>
        <w:tabs>
          <w:tab w:val="num" w:pos="432"/>
        </w:tabs>
        <w:ind w:left="432" w:hanging="432"/>
      </w:pPr>
      <w:rPr>
        <w:rFonts w:ascii="Helvetica" w:hAnsi="Helvetica"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4426011"/>
    <w:multiLevelType w:val="singleLevel"/>
    <w:tmpl w:val="B8F6583A"/>
    <w:lvl w:ilvl="0">
      <w:start w:val="1"/>
      <w:numFmt w:val="decimal"/>
      <w:lvlText w:val="%1."/>
      <w:lvlJc w:val="left"/>
      <w:pPr>
        <w:tabs>
          <w:tab w:val="num" w:pos="357"/>
        </w:tabs>
        <w:ind w:left="357" w:hanging="357"/>
      </w:pPr>
    </w:lvl>
  </w:abstractNum>
  <w:abstractNum w:abstractNumId="5">
    <w:nsid w:val="168B111C"/>
    <w:multiLevelType w:val="singleLevel"/>
    <w:tmpl w:val="B29238B2"/>
    <w:lvl w:ilvl="0">
      <w:start w:val="1"/>
      <w:numFmt w:val="decimal"/>
      <w:lvlText w:val="%1."/>
      <w:lvlJc w:val="left"/>
      <w:pPr>
        <w:tabs>
          <w:tab w:val="num" w:pos="357"/>
        </w:tabs>
        <w:ind w:left="357" w:hanging="357"/>
      </w:pPr>
      <w:rPr>
        <w:rFonts w:hint="default"/>
      </w:rPr>
    </w:lvl>
  </w:abstractNum>
  <w:abstractNum w:abstractNumId="6">
    <w:nsid w:val="19D53BA6"/>
    <w:multiLevelType w:val="singleLevel"/>
    <w:tmpl w:val="724AE5B0"/>
    <w:lvl w:ilvl="0">
      <w:start w:val="1"/>
      <w:numFmt w:val="decimal"/>
      <w:pStyle w:val="ListNumbered"/>
      <w:lvlText w:val="%1."/>
      <w:lvlJc w:val="left"/>
      <w:pPr>
        <w:tabs>
          <w:tab w:val="num" w:pos="432"/>
        </w:tabs>
        <w:ind w:left="432" w:hanging="432"/>
      </w:pPr>
      <w:rPr>
        <w:rFonts w:ascii="Helvetica" w:hAnsi="Helvetica"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232C1ACE"/>
    <w:multiLevelType w:val="hybridMultilevel"/>
    <w:tmpl w:val="3E083694"/>
    <w:lvl w:ilvl="0" w:tplc="8EB89248">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nsid w:val="28B5658C"/>
    <w:multiLevelType w:val="hybridMultilevel"/>
    <w:tmpl w:val="EBF49C70"/>
    <w:lvl w:ilvl="0" w:tplc="041E76E6">
      <w:start w:val="1"/>
      <w:numFmt w:val="bullet"/>
      <w:lvlText w:val="-"/>
      <w:lvlJc w:val="left"/>
      <w:pPr>
        <w:ind w:left="1080" w:hanging="360"/>
      </w:pPr>
      <w:rPr>
        <w:rFonts w:ascii="Bookman Old Style" w:eastAsia="BatangChe" w:hAnsi="Bookman Old Style"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9">
    <w:nsid w:val="3DCA3EA9"/>
    <w:multiLevelType w:val="singleLevel"/>
    <w:tmpl w:val="1670065C"/>
    <w:lvl w:ilvl="0">
      <w:start w:val="1"/>
      <w:numFmt w:val="decimal"/>
      <w:pStyle w:val="PIListNumbered"/>
      <w:lvlText w:val="%1."/>
      <w:lvlJc w:val="left"/>
      <w:pPr>
        <w:tabs>
          <w:tab w:val="num" w:pos="432"/>
        </w:tabs>
        <w:ind w:left="432" w:hanging="432"/>
      </w:pPr>
      <w:rPr>
        <w:rFonts w:ascii="Helvetica" w:hAnsi="Helvetica"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3F1E32D1"/>
    <w:multiLevelType w:val="singleLevel"/>
    <w:tmpl w:val="B29238B2"/>
    <w:lvl w:ilvl="0">
      <w:start w:val="1"/>
      <w:numFmt w:val="decimal"/>
      <w:lvlText w:val="%1."/>
      <w:lvlJc w:val="left"/>
      <w:pPr>
        <w:tabs>
          <w:tab w:val="num" w:pos="357"/>
        </w:tabs>
        <w:ind w:left="357" w:hanging="357"/>
      </w:pPr>
    </w:lvl>
  </w:abstractNum>
  <w:abstractNum w:abstractNumId="11">
    <w:nsid w:val="3F7F338C"/>
    <w:multiLevelType w:val="singleLevel"/>
    <w:tmpl w:val="256ACBF2"/>
    <w:lvl w:ilvl="0">
      <w:start w:val="1"/>
      <w:numFmt w:val="lowerLetter"/>
      <w:pStyle w:val="ListNumbered0"/>
      <w:lvlText w:val="%1."/>
      <w:lvlJc w:val="left"/>
      <w:pPr>
        <w:tabs>
          <w:tab w:val="num" w:pos="432"/>
        </w:tabs>
        <w:ind w:left="432" w:hanging="432"/>
      </w:pPr>
      <w:rPr>
        <w:rFonts w:ascii="Helvetica" w:hAnsi="Helvetica"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475A0F00"/>
    <w:multiLevelType w:val="singleLevel"/>
    <w:tmpl w:val="7354E4FE"/>
    <w:lvl w:ilvl="0">
      <w:start w:val="1"/>
      <w:numFmt w:val="bullet"/>
      <w:pStyle w:val="ListBulleted"/>
      <w:lvlText w:val=""/>
      <w:lvlJc w:val="left"/>
      <w:pPr>
        <w:tabs>
          <w:tab w:val="num" w:pos="432"/>
        </w:tabs>
        <w:ind w:left="432" w:hanging="432"/>
      </w:pPr>
      <w:rPr>
        <w:rFonts w:ascii="Symbol" w:hAnsi="Symbo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4C0A54E4"/>
    <w:multiLevelType w:val="hybridMultilevel"/>
    <w:tmpl w:val="C69CC4B0"/>
    <w:lvl w:ilvl="0" w:tplc="0E9CE97C">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1C832DC"/>
    <w:multiLevelType w:val="singleLevel"/>
    <w:tmpl w:val="262E11FE"/>
    <w:lvl w:ilvl="0">
      <w:start w:val="1"/>
      <w:numFmt w:val="lowerLetter"/>
      <w:pStyle w:val="PIListNumbered0"/>
      <w:lvlText w:val="%1."/>
      <w:lvlJc w:val="left"/>
      <w:pPr>
        <w:tabs>
          <w:tab w:val="num" w:pos="432"/>
        </w:tabs>
        <w:ind w:left="432" w:hanging="432"/>
      </w:pPr>
      <w:rPr>
        <w:rFonts w:ascii="Helvetica" w:hAnsi="Helvetica"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67E934A2"/>
    <w:multiLevelType w:val="singleLevel"/>
    <w:tmpl w:val="B8644D3E"/>
    <w:lvl w:ilvl="0">
      <w:start w:val="1"/>
      <w:numFmt w:val="decimal"/>
      <w:pStyle w:val="Reference"/>
      <w:lvlText w:val="%1."/>
      <w:lvlJc w:val="right"/>
      <w:pPr>
        <w:tabs>
          <w:tab w:val="num" w:pos="648"/>
        </w:tabs>
        <w:ind w:left="648" w:hanging="202"/>
      </w:pPr>
      <w:rPr>
        <w:rFonts w:ascii="Helvetica" w:hAnsi="Helvetica"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6FB65AF2"/>
    <w:multiLevelType w:val="singleLevel"/>
    <w:tmpl w:val="40A6770E"/>
    <w:lvl w:ilvl="0">
      <w:start w:val="1"/>
      <w:numFmt w:val="bullet"/>
      <w:pStyle w:val="PIListBulleted"/>
      <w:lvlText w:val=""/>
      <w:lvlJc w:val="left"/>
      <w:pPr>
        <w:tabs>
          <w:tab w:val="num" w:pos="432"/>
        </w:tabs>
        <w:ind w:left="432" w:hanging="432"/>
      </w:pPr>
      <w:rPr>
        <w:rFonts w:ascii="Symbol" w:hAnsi="Symbol"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704014B9"/>
    <w:multiLevelType w:val="singleLevel"/>
    <w:tmpl w:val="167AB804"/>
    <w:lvl w:ilvl="0">
      <w:start w:val="1"/>
      <w:numFmt w:val="decimal"/>
      <w:lvlText w:val="%1."/>
      <w:lvlJc w:val="left"/>
      <w:pPr>
        <w:tabs>
          <w:tab w:val="num" w:pos="357"/>
        </w:tabs>
        <w:ind w:left="357" w:hanging="357"/>
      </w:pPr>
    </w:lvl>
  </w:abstractNum>
  <w:abstractNum w:abstractNumId="18">
    <w:nsid w:val="706776EA"/>
    <w:multiLevelType w:val="singleLevel"/>
    <w:tmpl w:val="9DF0AF70"/>
    <w:lvl w:ilvl="0">
      <w:start w:val="1"/>
      <w:numFmt w:val="decimal"/>
      <w:lvlText w:val="%1."/>
      <w:lvlJc w:val="left"/>
      <w:pPr>
        <w:tabs>
          <w:tab w:val="num" w:pos="357"/>
        </w:tabs>
        <w:ind w:left="357" w:hanging="357"/>
      </w:pPr>
    </w:lvl>
  </w:abstractNum>
  <w:num w:numId="1">
    <w:abstractNumId w:val="9"/>
  </w:num>
  <w:num w:numId="2">
    <w:abstractNumId w:val="15"/>
  </w:num>
  <w:num w:numId="3">
    <w:abstractNumId w:val="16"/>
  </w:num>
  <w:num w:numId="4">
    <w:abstractNumId w:val="3"/>
  </w:num>
  <w:num w:numId="5">
    <w:abstractNumId w:val="6"/>
  </w:num>
  <w:num w:numId="6">
    <w:abstractNumId w:val="12"/>
  </w:num>
  <w:num w:numId="7">
    <w:abstractNumId w:val="11"/>
  </w:num>
  <w:num w:numId="8">
    <w:abstractNumId w:val="14"/>
  </w:num>
  <w:num w:numId="9">
    <w:abstractNumId w:val="1"/>
  </w:num>
  <w:num w:numId="10">
    <w:abstractNumId w:val="18"/>
  </w:num>
  <w:num w:numId="11">
    <w:abstractNumId w:val="4"/>
  </w:num>
  <w:num w:numId="12">
    <w:abstractNumId w:val="17"/>
  </w:num>
  <w:num w:numId="13">
    <w:abstractNumId w:val="5"/>
  </w:num>
  <w:num w:numId="14">
    <w:abstractNumId w:val="2"/>
  </w:num>
  <w:num w:numId="15">
    <w:abstractNumId w:val="13"/>
  </w:num>
  <w:num w:numId="16">
    <w:abstractNumId w:val="7"/>
  </w:num>
  <w:num w:numId="17">
    <w:abstractNumId w:val="10"/>
    <w:lvlOverride w:ilvl="0">
      <w:startOverride w:val="1"/>
    </w:lvlOverride>
  </w:num>
  <w:num w:numId="18">
    <w:abstractNumId w:val="8"/>
  </w:num>
  <w:num w:numId="1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2A4"/>
    <w:rsid w:val="00000496"/>
    <w:rsid w:val="00004DAA"/>
    <w:rsid w:val="00005D64"/>
    <w:rsid w:val="00006009"/>
    <w:rsid w:val="00010F61"/>
    <w:rsid w:val="0001432B"/>
    <w:rsid w:val="00015801"/>
    <w:rsid w:val="00022537"/>
    <w:rsid w:val="00022903"/>
    <w:rsid w:val="00027453"/>
    <w:rsid w:val="000314E7"/>
    <w:rsid w:val="0003318E"/>
    <w:rsid w:val="000356F2"/>
    <w:rsid w:val="00035A63"/>
    <w:rsid w:val="000367E4"/>
    <w:rsid w:val="0004092B"/>
    <w:rsid w:val="000428FB"/>
    <w:rsid w:val="00044BBD"/>
    <w:rsid w:val="00045291"/>
    <w:rsid w:val="000455D5"/>
    <w:rsid w:val="00047964"/>
    <w:rsid w:val="000505CE"/>
    <w:rsid w:val="00051D6E"/>
    <w:rsid w:val="000521CF"/>
    <w:rsid w:val="000525E6"/>
    <w:rsid w:val="000552AD"/>
    <w:rsid w:val="00060F3C"/>
    <w:rsid w:val="00061F4C"/>
    <w:rsid w:val="000636F4"/>
    <w:rsid w:val="00065539"/>
    <w:rsid w:val="00070242"/>
    <w:rsid w:val="000762D3"/>
    <w:rsid w:val="00085AC1"/>
    <w:rsid w:val="0009130E"/>
    <w:rsid w:val="000913C7"/>
    <w:rsid w:val="00092B6F"/>
    <w:rsid w:val="0009306B"/>
    <w:rsid w:val="0009712E"/>
    <w:rsid w:val="000A0608"/>
    <w:rsid w:val="000A2329"/>
    <w:rsid w:val="000A7221"/>
    <w:rsid w:val="000A76C3"/>
    <w:rsid w:val="000B2AAC"/>
    <w:rsid w:val="000B4489"/>
    <w:rsid w:val="000C1519"/>
    <w:rsid w:val="000C4F51"/>
    <w:rsid w:val="000D067B"/>
    <w:rsid w:val="000D3A1E"/>
    <w:rsid w:val="000D3E5E"/>
    <w:rsid w:val="000D4D0A"/>
    <w:rsid w:val="000D58E2"/>
    <w:rsid w:val="000E0E0D"/>
    <w:rsid w:val="000E2A5B"/>
    <w:rsid w:val="000F4FD9"/>
    <w:rsid w:val="000F6205"/>
    <w:rsid w:val="000F62F3"/>
    <w:rsid w:val="00100692"/>
    <w:rsid w:val="00101959"/>
    <w:rsid w:val="00105B0B"/>
    <w:rsid w:val="00106A67"/>
    <w:rsid w:val="00113BFD"/>
    <w:rsid w:val="001162D5"/>
    <w:rsid w:val="001222BE"/>
    <w:rsid w:val="00123C0E"/>
    <w:rsid w:val="00125E7B"/>
    <w:rsid w:val="00127D2B"/>
    <w:rsid w:val="00131D01"/>
    <w:rsid w:val="00133ED7"/>
    <w:rsid w:val="001344B6"/>
    <w:rsid w:val="00137961"/>
    <w:rsid w:val="00155C24"/>
    <w:rsid w:val="00161AE0"/>
    <w:rsid w:val="00162F0D"/>
    <w:rsid w:val="001633FB"/>
    <w:rsid w:val="00166654"/>
    <w:rsid w:val="001671F7"/>
    <w:rsid w:val="0017361B"/>
    <w:rsid w:val="00175953"/>
    <w:rsid w:val="0018233F"/>
    <w:rsid w:val="001911C6"/>
    <w:rsid w:val="00191B1C"/>
    <w:rsid w:val="00191C8C"/>
    <w:rsid w:val="00193D2A"/>
    <w:rsid w:val="00194F5E"/>
    <w:rsid w:val="001955D6"/>
    <w:rsid w:val="00195F31"/>
    <w:rsid w:val="001A10C8"/>
    <w:rsid w:val="001A123D"/>
    <w:rsid w:val="001A12B7"/>
    <w:rsid w:val="001A1379"/>
    <w:rsid w:val="001A176A"/>
    <w:rsid w:val="001A1C0E"/>
    <w:rsid w:val="001A2320"/>
    <w:rsid w:val="001A316C"/>
    <w:rsid w:val="001B16D5"/>
    <w:rsid w:val="001B189D"/>
    <w:rsid w:val="001B7A2C"/>
    <w:rsid w:val="001C0715"/>
    <w:rsid w:val="001C3E38"/>
    <w:rsid w:val="001C49B5"/>
    <w:rsid w:val="001D6312"/>
    <w:rsid w:val="001E237C"/>
    <w:rsid w:val="001E44B0"/>
    <w:rsid w:val="001E6850"/>
    <w:rsid w:val="001F11E2"/>
    <w:rsid w:val="001F1D99"/>
    <w:rsid w:val="00203ABA"/>
    <w:rsid w:val="00203AE5"/>
    <w:rsid w:val="00210022"/>
    <w:rsid w:val="00210BFF"/>
    <w:rsid w:val="002159A4"/>
    <w:rsid w:val="002160E0"/>
    <w:rsid w:val="0022179B"/>
    <w:rsid w:val="00225488"/>
    <w:rsid w:val="00231D9C"/>
    <w:rsid w:val="002324A8"/>
    <w:rsid w:val="002338EA"/>
    <w:rsid w:val="002360B0"/>
    <w:rsid w:val="00237E7C"/>
    <w:rsid w:val="00241986"/>
    <w:rsid w:val="00251122"/>
    <w:rsid w:val="002517F6"/>
    <w:rsid w:val="00252BE1"/>
    <w:rsid w:val="00253D2E"/>
    <w:rsid w:val="002543BF"/>
    <w:rsid w:val="00254BEE"/>
    <w:rsid w:val="002714FB"/>
    <w:rsid w:val="002750FB"/>
    <w:rsid w:val="00283A30"/>
    <w:rsid w:val="00286336"/>
    <w:rsid w:val="00293A5E"/>
    <w:rsid w:val="00296F01"/>
    <w:rsid w:val="00297C3E"/>
    <w:rsid w:val="002A7077"/>
    <w:rsid w:val="002B14FE"/>
    <w:rsid w:val="002B1F9C"/>
    <w:rsid w:val="002B3EFC"/>
    <w:rsid w:val="002B4A0B"/>
    <w:rsid w:val="002B7C17"/>
    <w:rsid w:val="002C1A04"/>
    <w:rsid w:val="002C3A89"/>
    <w:rsid w:val="002C601C"/>
    <w:rsid w:val="002C7EFF"/>
    <w:rsid w:val="002D02B0"/>
    <w:rsid w:val="002D3DD4"/>
    <w:rsid w:val="002D5237"/>
    <w:rsid w:val="002D6E04"/>
    <w:rsid w:val="002D7794"/>
    <w:rsid w:val="002E5585"/>
    <w:rsid w:val="002E77F0"/>
    <w:rsid w:val="002E78DB"/>
    <w:rsid w:val="002F16D2"/>
    <w:rsid w:val="002F4990"/>
    <w:rsid w:val="002F6806"/>
    <w:rsid w:val="002F6C9E"/>
    <w:rsid w:val="00301BEC"/>
    <w:rsid w:val="003026C1"/>
    <w:rsid w:val="00304C91"/>
    <w:rsid w:val="003103F5"/>
    <w:rsid w:val="00311943"/>
    <w:rsid w:val="00313004"/>
    <w:rsid w:val="00317DD3"/>
    <w:rsid w:val="00317E1E"/>
    <w:rsid w:val="0032054D"/>
    <w:rsid w:val="00321518"/>
    <w:rsid w:val="00322C87"/>
    <w:rsid w:val="00326526"/>
    <w:rsid w:val="00326707"/>
    <w:rsid w:val="00326BE8"/>
    <w:rsid w:val="00330CFF"/>
    <w:rsid w:val="0033334C"/>
    <w:rsid w:val="00334EB3"/>
    <w:rsid w:val="003356BB"/>
    <w:rsid w:val="00337C9C"/>
    <w:rsid w:val="00341886"/>
    <w:rsid w:val="00353855"/>
    <w:rsid w:val="00354DE7"/>
    <w:rsid w:val="00357302"/>
    <w:rsid w:val="00363F3D"/>
    <w:rsid w:val="00363F4B"/>
    <w:rsid w:val="0036540A"/>
    <w:rsid w:val="0036592D"/>
    <w:rsid w:val="003719E7"/>
    <w:rsid w:val="00372A6B"/>
    <w:rsid w:val="00376A48"/>
    <w:rsid w:val="003967A8"/>
    <w:rsid w:val="00396C99"/>
    <w:rsid w:val="00396D2D"/>
    <w:rsid w:val="00397FBA"/>
    <w:rsid w:val="003A5C58"/>
    <w:rsid w:val="003B1D99"/>
    <w:rsid w:val="003B3173"/>
    <w:rsid w:val="003B6A47"/>
    <w:rsid w:val="003C1D39"/>
    <w:rsid w:val="003C1DBA"/>
    <w:rsid w:val="003C6B09"/>
    <w:rsid w:val="003C70F1"/>
    <w:rsid w:val="003D2D01"/>
    <w:rsid w:val="003D4133"/>
    <w:rsid w:val="003D4451"/>
    <w:rsid w:val="003D4D8F"/>
    <w:rsid w:val="003D5BA7"/>
    <w:rsid w:val="003D6BFF"/>
    <w:rsid w:val="003D7E93"/>
    <w:rsid w:val="003E2029"/>
    <w:rsid w:val="003E3C24"/>
    <w:rsid w:val="003E4B39"/>
    <w:rsid w:val="003E4BDD"/>
    <w:rsid w:val="003E74D3"/>
    <w:rsid w:val="003F367A"/>
    <w:rsid w:val="003F4539"/>
    <w:rsid w:val="00401EED"/>
    <w:rsid w:val="00404007"/>
    <w:rsid w:val="00406717"/>
    <w:rsid w:val="0041453C"/>
    <w:rsid w:val="00417780"/>
    <w:rsid w:val="004238F2"/>
    <w:rsid w:val="00426006"/>
    <w:rsid w:val="00427DF3"/>
    <w:rsid w:val="00433D17"/>
    <w:rsid w:val="00436969"/>
    <w:rsid w:val="00440A3A"/>
    <w:rsid w:val="00443184"/>
    <w:rsid w:val="004457EE"/>
    <w:rsid w:val="00450A8D"/>
    <w:rsid w:val="004515D4"/>
    <w:rsid w:val="00453A1E"/>
    <w:rsid w:val="00455AFB"/>
    <w:rsid w:val="00460C60"/>
    <w:rsid w:val="0047099A"/>
    <w:rsid w:val="00472B0F"/>
    <w:rsid w:val="00480891"/>
    <w:rsid w:val="004875E1"/>
    <w:rsid w:val="0049247C"/>
    <w:rsid w:val="004B31E0"/>
    <w:rsid w:val="004B381B"/>
    <w:rsid w:val="004B7A4F"/>
    <w:rsid w:val="004C0E83"/>
    <w:rsid w:val="004C27B9"/>
    <w:rsid w:val="004C5DF0"/>
    <w:rsid w:val="004C6E1E"/>
    <w:rsid w:val="004C77BF"/>
    <w:rsid w:val="004C7BBE"/>
    <w:rsid w:val="004D0A92"/>
    <w:rsid w:val="004D1201"/>
    <w:rsid w:val="004D3AE9"/>
    <w:rsid w:val="004D457A"/>
    <w:rsid w:val="004D4B98"/>
    <w:rsid w:val="004D7968"/>
    <w:rsid w:val="004E0432"/>
    <w:rsid w:val="004F004D"/>
    <w:rsid w:val="004F54EB"/>
    <w:rsid w:val="004F5BE4"/>
    <w:rsid w:val="004F75B2"/>
    <w:rsid w:val="0050511D"/>
    <w:rsid w:val="005052A4"/>
    <w:rsid w:val="00505E54"/>
    <w:rsid w:val="00506DD7"/>
    <w:rsid w:val="005072B6"/>
    <w:rsid w:val="00507B21"/>
    <w:rsid w:val="005106B3"/>
    <w:rsid w:val="005119CD"/>
    <w:rsid w:val="005156D8"/>
    <w:rsid w:val="00520376"/>
    <w:rsid w:val="00523014"/>
    <w:rsid w:val="005307D6"/>
    <w:rsid w:val="00531D4C"/>
    <w:rsid w:val="00542ACB"/>
    <w:rsid w:val="00545506"/>
    <w:rsid w:val="00550F1B"/>
    <w:rsid w:val="005521E3"/>
    <w:rsid w:val="00556F67"/>
    <w:rsid w:val="0056507D"/>
    <w:rsid w:val="00566BBE"/>
    <w:rsid w:val="005713D9"/>
    <w:rsid w:val="00571411"/>
    <w:rsid w:val="00571871"/>
    <w:rsid w:val="0057194F"/>
    <w:rsid w:val="00584298"/>
    <w:rsid w:val="00585B04"/>
    <w:rsid w:val="005877BC"/>
    <w:rsid w:val="00597564"/>
    <w:rsid w:val="005A7378"/>
    <w:rsid w:val="005B73AA"/>
    <w:rsid w:val="005C05B5"/>
    <w:rsid w:val="005C09D9"/>
    <w:rsid w:val="005C11B0"/>
    <w:rsid w:val="005C48F8"/>
    <w:rsid w:val="005C7AB5"/>
    <w:rsid w:val="005D12E2"/>
    <w:rsid w:val="005D2C38"/>
    <w:rsid w:val="005D3EF5"/>
    <w:rsid w:val="005D7358"/>
    <w:rsid w:val="005D7D32"/>
    <w:rsid w:val="005E366F"/>
    <w:rsid w:val="005E4D5D"/>
    <w:rsid w:val="005E5B7D"/>
    <w:rsid w:val="005F0959"/>
    <w:rsid w:val="005F5A61"/>
    <w:rsid w:val="005F5C0B"/>
    <w:rsid w:val="005F5D4D"/>
    <w:rsid w:val="00604B4E"/>
    <w:rsid w:val="00607C40"/>
    <w:rsid w:val="00612835"/>
    <w:rsid w:val="00622F37"/>
    <w:rsid w:val="00627F3A"/>
    <w:rsid w:val="00642877"/>
    <w:rsid w:val="006431F8"/>
    <w:rsid w:val="00646CE7"/>
    <w:rsid w:val="00650A98"/>
    <w:rsid w:val="00654868"/>
    <w:rsid w:val="00654E6B"/>
    <w:rsid w:val="00660321"/>
    <w:rsid w:val="00661E53"/>
    <w:rsid w:val="00662DC0"/>
    <w:rsid w:val="00665B2C"/>
    <w:rsid w:val="00670294"/>
    <w:rsid w:val="00671059"/>
    <w:rsid w:val="0067230F"/>
    <w:rsid w:val="00673FB3"/>
    <w:rsid w:val="00675653"/>
    <w:rsid w:val="00682F70"/>
    <w:rsid w:val="006830F9"/>
    <w:rsid w:val="006857A0"/>
    <w:rsid w:val="00690BA9"/>
    <w:rsid w:val="00695345"/>
    <w:rsid w:val="006976F4"/>
    <w:rsid w:val="006A3CBF"/>
    <w:rsid w:val="006B1F48"/>
    <w:rsid w:val="006B5DBB"/>
    <w:rsid w:val="006B7B3B"/>
    <w:rsid w:val="006C160F"/>
    <w:rsid w:val="006C1AA6"/>
    <w:rsid w:val="006C2DF7"/>
    <w:rsid w:val="006C31D2"/>
    <w:rsid w:val="006C4BC2"/>
    <w:rsid w:val="006C657A"/>
    <w:rsid w:val="006C7583"/>
    <w:rsid w:val="006D2CD6"/>
    <w:rsid w:val="006D438A"/>
    <w:rsid w:val="006D50B1"/>
    <w:rsid w:val="006E057B"/>
    <w:rsid w:val="006E16CD"/>
    <w:rsid w:val="006E525A"/>
    <w:rsid w:val="006F6632"/>
    <w:rsid w:val="00704183"/>
    <w:rsid w:val="00705D1E"/>
    <w:rsid w:val="0070796F"/>
    <w:rsid w:val="00711E86"/>
    <w:rsid w:val="007122F7"/>
    <w:rsid w:val="0071625B"/>
    <w:rsid w:val="00720B1D"/>
    <w:rsid w:val="00722351"/>
    <w:rsid w:val="00723318"/>
    <w:rsid w:val="007258C9"/>
    <w:rsid w:val="00726CDF"/>
    <w:rsid w:val="00727AF5"/>
    <w:rsid w:val="00731C8A"/>
    <w:rsid w:val="00731E5F"/>
    <w:rsid w:val="007336CC"/>
    <w:rsid w:val="0073436D"/>
    <w:rsid w:val="0073465A"/>
    <w:rsid w:val="00735967"/>
    <w:rsid w:val="00737457"/>
    <w:rsid w:val="007406AD"/>
    <w:rsid w:val="00743E4B"/>
    <w:rsid w:val="007455B1"/>
    <w:rsid w:val="00754D4B"/>
    <w:rsid w:val="00757378"/>
    <w:rsid w:val="007600D4"/>
    <w:rsid w:val="00763B9D"/>
    <w:rsid w:val="007643B7"/>
    <w:rsid w:val="007668CD"/>
    <w:rsid w:val="007728C3"/>
    <w:rsid w:val="007746A0"/>
    <w:rsid w:val="0077616A"/>
    <w:rsid w:val="00782416"/>
    <w:rsid w:val="007848F8"/>
    <w:rsid w:val="007906D7"/>
    <w:rsid w:val="00791873"/>
    <w:rsid w:val="00792861"/>
    <w:rsid w:val="00793F63"/>
    <w:rsid w:val="007965F7"/>
    <w:rsid w:val="00796656"/>
    <w:rsid w:val="007A1D2A"/>
    <w:rsid w:val="007A3A30"/>
    <w:rsid w:val="007B1E93"/>
    <w:rsid w:val="007B3A79"/>
    <w:rsid w:val="007B73BA"/>
    <w:rsid w:val="007D4CCF"/>
    <w:rsid w:val="007D641E"/>
    <w:rsid w:val="007E0E62"/>
    <w:rsid w:val="007E2587"/>
    <w:rsid w:val="007E3309"/>
    <w:rsid w:val="007E37E3"/>
    <w:rsid w:val="007E5E9B"/>
    <w:rsid w:val="007F11B6"/>
    <w:rsid w:val="007F1EA6"/>
    <w:rsid w:val="007F2D76"/>
    <w:rsid w:val="007F35C2"/>
    <w:rsid w:val="007F657E"/>
    <w:rsid w:val="0080000A"/>
    <w:rsid w:val="00820AFA"/>
    <w:rsid w:val="00822E36"/>
    <w:rsid w:val="00823075"/>
    <w:rsid w:val="008238B0"/>
    <w:rsid w:val="008351D7"/>
    <w:rsid w:val="00835EF0"/>
    <w:rsid w:val="00843397"/>
    <w:rsid w:val="00846FFC"/>
    <w:rsid w:val="008504DD"/>
    <w:rsid w:val="00851736"/>
    <w:rsid w:val="00854BB7"/>
    <w:rsid w:val="00861ACD"/>
    <w:rsid w:val="008628F0"/>
    <w:rsid w:val="008636EA"/>
    <w:rsid w:val="00865F6D"/>
    <w:rsid w:val="00867C4A"/>
    <w:rsid w:val="00871091"/>
    <w:rsid w:val="008743E2"/>
    <w:rsid w:val="00874A95"/>
    <w:rsid w:val="00885BE4"/>
    <w:rsid w:val="00895D26"/>
    <w:rsid w:val="008B5EFA"/>
    <w:rsid w:val="008C64EE"/>
    <w:rsid w:val="008D4452"/>
    <w:rsid w:val="008D4C3A"/>
    <w:rsid w:val="008E36E3"/>
    <w:rsid w:val="008E414F"/>
    <w:rsid w:val="008F0AFF"/>
    <w:rsid w:val="008F2774"/>
    <w:rsid w:val="008F3A5D"/>
    <w:rsid w:val="008F3F44"/>
    <w:rsid w:val="008F728B"/>
    <w:rsid w:val="009047A1"/>
    <w:rsid w:val="00904ED8"/>
    <w:rsid w:val="00906185"/>
    <w:rsid w:val="00907A64"/>
    <w:rsid w:val="00910DB6"/>
    <w:rsid w:val="0091271F"/>
    <w:rsid w:val="00913C99"/>
    <w:rsid w:val="00915E0C"/>
    <w:rsid w:val="00935E15"/>
    <w:rsid w:val="00936F16"/>
    <w:rsid w:val="00937F83"/>
    <w:rsid w:val="009430F6"/>
    <w:rsid w:val="00943111"/>
    <w:rsid w:val="009441A3"/>
    <w:rsid w:val="009451B5"/>
    <w:rsid w:val="00945F73"/>
    <w:rsid w:val="00951024"/>
    <w:rsid w:val="0095148C"/>
    <w:rsid w:val="009546C8"/>
    <w:rsid w:val="00954910"/>
    <w:rsid w:val="00956435"/>
    <w:rsid w:val="0096016F"/>
    <w:rsid w:val="00962F76"/>
    <w:rsid w:val="00967DCA"/>
    <w:rsid w:val="00975113"/>
    <w:rsid w:val="00976F3A"/>
    <w:rsid w:val="00984A0A"/>
    <w:rsid w:val="0099147E"/>
    <w:rsid w:val="0099192C"/>
    <w:rsid w:val="00992CF4"/>
    <w:rsid w:val="0099479E"/>
    <w:rsid w:val="00996A6D"/>
    <w:rsid w:val="009A40B0"/>
    <w:rsid w:val="009A5663"/>
    <w:rsid w:val="009B03A7"/>
    <w:rsid w:val="009C4B73"/>
    <w:rsid w:val="009D1B66"/>
    <w:rsid w:val="009D3E98"/>
    <w:rsid w:val="009E1A3E"/>
    <w:rsid w:val="009E3554"/>
    <w:rsid w:val="009E36BE"/>
    <w:rsid w:val="009F2705"/>
    <w:rsid w:val="009F29A1"/>
    <w:rsid w:val="009F3B38"/>
    <w:rsid w:val="009F506A"/>
    <w:rsid w:val="009F5341"/>
    <w:rsid w:val="00A01B9B"/>
    <w:rsid w:val="00A0228E"/>
    <w:rsid w:val="00A03D2E"/>
    <w:rsid w:val="00A0520E"/>
    <w:rsid w:val="00A06894"/>
    <w:rsid w:val="00A06B06"/>
    <w:rsid w:val="00A14902"/>
    <w:rsid w:val="00A17B1F"/>
    <w:rsid w:val="00A22464"/>
    <w:rsid w:val="00A2380F"/>
    <w:rsid w:val="00A26E77"/>
    <w:rsid w:val="00A31C4B"/>
    <w:rsid w:val="00A36B06"/>
    <w:rsid w:val="00A40222"/>
    <w:rsid w:val="00A4276D"/>
    <w:rsid w:val="00A440F1"/>
    <w:rsid w:val="00A46B79"/>
    <w:rsid w:val="00A5212D"/>
    <w:rsid w:val="00A5657E"/>
    <w:rsid w:val="00A64209"/>
    <w:rsid w:val="00A67D62"/>
    <w:rsid w:val="00A67ECF"/>
    <w:rsid w:val="00A72530"/>
    <w:rsid w:val="00A72841"/>
    <w:rsid w:val="00A742B5"/>
    <w:rsid w:val="00A75BA4"/>
    <w:rsid w:val="00A77382"/>
    <w:rsid w:val="00A857E9"/>
    <w:rsid w:val="00A86F41"/>
    <w:rsid w:val="00A872F6"/>
    <w:rsid w:val="00A879EC"/>
    <w:rsid w:val="00A9085A"/>
    <w:rsid w:val="00A914CD"/>
    <w:rsid w:val="00A94FF8"/>
    <w:rsid w:val="00AA103F"/>
    <w:rsid w:val="00AA7D0E"/>
    <w:rsid w:val="00AB121A"/>
    <w:rsid w:val="00AB4EBD"/>
    <w:rsid w:val="00AB51F6"/>
    <w:rsid w:val="00AB677F"/>
    <w:rsid w:val="00AC1E41"/>
    <w:rsid w:val="00AC337B"/>
    <w:rsid w:val="00AC6DC5"/>
    <w:rsid w:val="00AC7DC6"/>
    <w:rsid w:val="00AD19C1"/>
    <w:rsid w:val="00AD1BCC"/>
    <w:rsid w:val="00AD1F20"/>
    <w:rsid w:val="00AD5636"/>
    <w:rsid w:val="00AE3972"/>
    <w:rsid w:val="00AE4B5E"/>
    <w:rsid w:val="00AE7F2E"/>
    <w:rsid w:val="00AF29BE"/>
    <w:rsid w:val="00AF4561"/>
    <w:rsid w:val="00AF7467"/>
    <w:rsid w:val="00B00300"/>
    <w:rsid w:val="00B05DAD"/>
    <w:rsid w:val="00B06FA1"/>
    <w:rsid w:val="00B12E94"/>
    <w:rsid w:val="00B20BCA"/>
    <w:rsid w:val="00B214E3"/>
    <w:rsid w:val="00B244F1"/>
    <w:rsid w:val="00B2482D"/>
    <w:rsid w:val="00B27325"/>
    <w:rsid w:val="00B30D4A"/>
    <w:rsid w:val="00B32A9A"/>
    <w:rsid w:val="00B35C88"/>
    <w:rsid w:val="00B36C84"/>
    <w:rsid w:val="00B37726"/>
    <w:rsid w:val="00B40A5A"/>
    <w:rsid w:val="00B41490"/>
    <w:rsid w:val="00B51BE9"/>
    <w:rsid w:val="00B52224"/>
    <w:rsid w:val="00B543E2"/>
    <w:rsid w:val="00B60C48"/>
    <w:rsid w:val="00B62046"/>
    <w:rsid w:val="00B628F1"/>
    <w:rsid w:val="00B6296B"/>
    <w:rsid w:val="00B637DF"/>
    <w:rsid w:val="00B65408"/>
    <w:rsid w:val="00B714E2"/>
    <w:rsid w:val="00B7554E"/>
    <w:rsid w:val="00B76057"/>
    <w:rsid w:val="00B76C4E"/>
    <w:rsid w:val="00B82C58"/>
    <w:rsid w:val="00B8463E"/>
    <w:rsid w:val="00B84CA7"/>
    <w:rsid w:val="00B85070"/>
    <w:rsid w:val="00B87493"/>
    <w:rsid w:val="00B87E8D"/>
    <w:rsid w:val="00B922D5"/>
    <w:rsid w:val="00B92DD7"/>
    <w:rsid w:val="00B9339E"/>
    <w:rsid w:val="00B93E31"/>
    <w:rsid w:val="00B94FD7"/>
    <w:rsid w:val="00B96F4D"/>
    <w:rsid w:val="00B97346"/>
    <w:rsid w:val="00BA03EF"/>
    <w:rsid w:val="00BA7E5D"/>
    <w:rsid w:val="00BB04AA"/>
    <w:rsid w:val="00BB10BF"/>
    <w:rsid w:val="00BB273E"/>
    <w:rsid w:val="00BB317C"/>
    <w:rsid w:val="00BB47F2"/>
    <w:rsid w:val="00BB74C0"/>
    <w:rsid w:val="00BC0864"/>
    <w:rsid w:val="00BC35E9"/>
    <w:rsid w:val="00BD3A94"/>
    <w:rsid w:val="00BD5A6D"/>
    <w:rsid w:val="00BD6555"/>
    <w:rsid w:val="00BD6595"/>
    <w:rsid w:val="00BD758A"/>
    <w:rsid w:val="00BE0135"/>
    <w:rsid w:val="00BE35BE"/>
    <w:rsid w:val="00BE6C9F"/>
    <w:rsid w:val="00BE6EF6"/>
    <w:rsid w:val="00BF7DA5"/>
    <w:rsid w:val="00C0336C"/>
    <w:rsid w:val="00C10F28"/>
    <w:rsid w:val="00C11304"/>
    <w:rsid w:val="00C1460A"/>
    <w:rsid w:val="00C1629C"/>
    <w:rsid w:val="00C17CF1"/>
    <w:rsid w:val="00C20746"/>
    <w:rsid w:val="00C260C6"/>
    <w:rsid w:val="00C2798B"/>
    <w:rsid w:val="00C3344A"/>
    <w:rsid w:val="00C410CA"/>
    <w:rsid w:val="00C47E0D"/>
    <w:rsid w:val="00C53775"/>
    <w:rsid w:val="00C55479"/>
    <w:rsid w:val="00C5792F"/>
    <w:rsid w:val="00C63B66"/>
    <w:rsid w:val="00C63E55"/>
    <w:rsid w:val="00C71DE3"/>
    <w:rsid w:val="00C720AC"/>
    <w:rsid w:val="00C76AB2"/>
    <w:rsid w:val="00C823B9"/>
    <w:rsid w:val="00C84C59"/>
    <w:rsid w:val="00C852CC"/>
    <w:rsid w:val="00C856CF"/>
    <w:rsid w:val="00C85FEF"/>
    <w:rsid w:val="00C901CB"/>
    <w:rsid w:val="00C9059D"/>
    <w:rsid w:val="00C90BDE"/>
    <w:rsid w:val="00C940E8"/>
    <w:rsid w:val="00C94117"/>
    <w:rsid w:val="00C95B7F"/>
    <w:rsid w:val="00C96B2E"/>
    <w:rsid w:val="00CA2E0D"/>
    <w:rsid w:val="00CA7D2C"/>
    <w:rsid w:val="00CB1382"/>
    <w:rsid w:val="00CB76E0"/>
    <w:rsid w:val="00CB7EB9"/>
    <w:rsid w:val="00CC17E1"/>
    <w:rsid w:val="00CC1EBE"/>
    <w:rsid w:val="00CC52E1"/>
    <w:rsid w:val="00CC5CFD"/>
    <w:rsid w:val="00CC659E"/>
    <w:rsid w:val="00CC6DFA"/>
    <w:rsid w:val="00CC720E"/>
    <w:rsid w:val="00CD483E"/>
    <w:rsid w:val="00CD5B16"/>
    <w:rsid w:val="00CD5E84"/>
    <w:rsid w:val="00CD760F"/>
    <w:rsid w:val="00CE6AAC"/>
    <w:rsid w:val="00CF4C3A"/>
    <w:rsid w:val="00CF5250"/>
    <w:rsid w:val="00D0049D"/>
    <w:rsid w:val="00D10AF4"/>
    <w:rsid w:val="00D1114F"/>
    <w:rsid w:val="00D149C2"/>
    <w:rsid w:val="00D20B60"/>
    <w:rsid w:val="00D23818"/>
    <w:rsid w:val="00D30044"/>
    <w:rsid w:val="00D307A7"/>
    <w:rsid w:val="00D32249"/>
    <w:rsid w:val="00D357B5"/>
    <w:rsid w:val="00D40635"/>
    <w:rsid w:val="00D40D22"/>
    <w:rsid w:val="00D439F4"/>
    <w:rsid w:val="00D505D5"/>
    <w:rsid w:val="00D6146F"/>
    <w:rsid w:val="00D63DDD"/>
    <w:rsid w:val="00D669CE"/>
    <w:rsid w:val="00D71EB9"/>
    <w:rsid w:val="00D721C3"/>
    <w:rsid w:val="00D76D41"/>
    <w:rsid w:val="00D82CA5"/>
    <w:rsid w:val="00D8318E"/>
    <w:rsid w:val="00D8347D"/>
    <w:rsid w:val="00D83C71"/>
    <w:rsid w:val="00D854FA"/>
    <w:rsid w:val="00D85A03"/>
    <w:rsid w:val="00D921FA"/>
    <w:rsid w:val="00DA13B8"/>
    <w:rsid w:val="00DA372F"/>
    <w:rsid w:val="00DB61A4"/>
    <w:rsid w:val="00DB71A4"/>
    <w:rsid w:val="00DB7452"/>
    <w:rsid w:val="00DC4E5F"/>
    <w:rsid w:val="00DC7540"/>
    <w:rsid w:val="00DD0FDE"/>
    <w:rsid w:val="00DE095F"/>
    <w:rsid w:val="00DE0AAB"/>
    <w:rsid w:val="00DE4DAC"/>
    <w:rsid w:val="00DE63CB"/>
    <w:rsid w:val="00DE6696"/>
    <w:rsid w:val="00DF32E4"/>
    <w:rsid w:val="00DF3502"/>
    <w:rsid w:val="00DF3EF6"/>
    <w:rsid w:val="00DF5EC4"/>
    <w:rsid w:val="00E0007D"/>
    <w:rsid w:val="00E05237"/>
    <w:rsid w:val="00E107C5"/>
    <w:rsid w:val="00E25175"/>
    <w:rsid w:val="00E31E21"/>
    <w:rsid w:val="00E32562"/>
    <w:rsid w:val="00E32FB5"/>
    <w:rsid w:val="00E33BE8"/>
    <w:rsid w:val="00E34646"/>
    <w:rsid w:val="00E348C5"/>
    <w:rsid w:val="00E411F2"/>
    <w:rsid w:val="00E443DB"/>
    <w:rsid w:val="00E4487D"/>
    <w:rsid w:val="00E56350"/>
    <w:rsid w:val="00E62269"/>
    <w:rsid w:val="00E64D17"/>
    <w:rsid w:val="00E65C32"/>
    <w:rsid w:val="00E66914"/>
    <w:rsid w:val="00E70BA8"/>
    <w:rsid w:val="00E740CC"/>
    <w:rsid w:val="00E762D1"/>
    <w:rsid w:val="00E8127E"/>
    <w:rsid w:val="00E825E6"/>
    <w:rsid w:val="00E83767"/>
    <w:rsid w:val="00E86642"/>
    <w:rsid w:val="00E86D5F"/>
    <w:rsid w:val="00E86E7C"/>
    <w:rsid w:val="00E87EF5"/>
    <w:rsid w:val="00E96065"/>
    <w:rsid w:val="00EA0670"/>
    <w:rsid w:val="00EA0BD8"/>
    <w:rsid w:val="00EA5FDD"/>
    <w:rsid w:val="00EB3CC7"/>
    <w:rsid w:val="00EB63A1"/>
    <w:rsid w:val="00EB7005"/>
    <w:rsid w:val="00EC6409"/>
    <w:rsid w:val="00EC673F"/>
    <w:rsid w:val="00EC70C2"/>
    <w:rsid w:val="00ED39A5"/>
    <w:rsid w:val="00ED3AFA"/>
    <w:rsid w:val="00ED41D0"/>
    <w:rsid w:val="00ED45AC"/>
    <w:rsid w:val="00EE0D68"/>
    <w:rsid w:val="00EE2D0A"/>
    <w:rsid w:val="00EE52E0"/>
    <w:rsid w:val="00EE5F16"/>
    <w:rsid w:val="00EE7201"/>
    <w:rsid w:val="00EF0919"/>
    <w:rsid w:val="00EF3D6F"/>
    <w:rsid w:val="00EF6755"/>
    <w:rsid w:val="00F01763"/>
    <w:rsid w:val="00F02782"/>
    <w:rsid w:val="00F060D7"/>
    <w:rsid w:val="00F06AA6"/>
    <w:rsid w:val="00F14A42"/>
    <w:rsid w:val="00F20415"/>
    <w:rsid w:val="00F21876"/>
    <w:rsid w:val="00F32C41"/>
    <w:rsid w:val="00F35650"/>
    <w:rsid w:val="00F35D10"/>
    <w:rsid w:val="00F427F6"/>
    <w:rsid w:val="00F4347A"/>
    <w:rsid w:val="00F43F0C"/>
    <w:rsid w:val="00F47B49"/>
    <w:rsid w:val="00F53A48"/>
    <w:rsid w:val="00F648C2"/>
    <w:rsid w:val="00F651A8"/>
    <w:rsid w:val="00F73A5A"/>
    <w:rsid w:val="00F73FAA"/>
    <w:rsid w:val="00F74194"/>
    <w:rsid w:val="00F81DC7"/>
    <w:rsid w:val="00F820A5"/>
    <w:rsid w:val="00F84F4A"/>
    <w:rsid w:val="00F85A10"/>
    <w:rsid w:val="00F901F3"/>
    <w:rsid w:val="00F94395"/>
    <w:rsid w:val="00F95BBF"/>
    <w:rsid w:val="00FA0B8B"/>
    <w:rsid w:val="00FA2943"/>
    <w:rsid w:val="00FA7544"/>
    <w:rsid w:val="00FB4B66"/>
    <w:rsid w:val="00FC1D98"/>
    <w:rsid w:val="00FC3A53"/>
    <w:rsid w:val="00FC5A01"/>
    <w:rsid w:val="00FD36EA"/>
    <w:rsid w:val="00FD6EE4"/>
    <w:rsid w:val="00FE15DF"/>
    <w:rsid w:val="00FE4CB0"/>
    <w:rsid w:val="00FF11D2"/>
    <w:rsid w:val="00FF1564"/>
    <w:rsid w:val="00FF1BF6"/>
    <w:rsid w:val="00FF7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7"/>
    <o:shapelayout v:ext="edit">
      <o:idmap v:ext="edit" data="1"/>
    </o:shapelayout>
  </w:shapeDefaults>
  <w:decimalSymbol w:val="."/>
  <w:listSeparator w:val=","/>
  <w14:docId w14:val="7C520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text" w:uiPriority="0"/>
    <w:lsdException w:name="List Bullet 3"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7E3"/>
    <w:rPr>
      <w:sz w:val="24"/>
      <w:lang w:val="en-GB"/>
    </w:rPr>
  </w:style>
  <w:style w:type="paragraph" w:styleId="Heading1">
    <w:name w:val="heading 1"/>
    <w:basedOn w:val="Normal"/>
    <w:next w:val="Text"/>
    <w:qFormat/>
    <w:rsid w:val="007E37E3"/>
    <w:pPr>
      <w:keepNext/>
      <w:keepLines/>
      <w:spacing w:before="360"/>
      <w:ind w:left="851" w:hanging="851"/>
      <w:outlineLvl w:val="0"/>
    </w:pPr>
    <w:rPr>
      <w:rFonts w:ascii="Arial" w:hAnsi="Arial"/>
      <w:b/>
      <w:sz w:val="28"/>
      <w:lang w:val="en-US"/>
    </w:rPr>
  </w:style>
  <w:style w:type="paragraph" w:styleId="Heading2">
    <w:name w:val="heading 2"/>
    <w:basedOn w:val="Normal"/>
    <w:next w:val="Text"/>
    <w:qFormat/>
    <w:rsid w:val="007E37E3"/>
    <w:pPr>
      <w:keepNext/>
      <w:keepLines/>
      <w:spacing w:before="240"/>
      <w:ind w:left="851" w:hanging="851"/>
      <w:outlineLvl w:val="1"/>
    </w:pPr>
    <w:rPr>
      <w:rFonts w:ascii="Arial" w:hAnsi="Arial"/>
      <w:b/>
      <w:sz w:val="26"/>
    </w:rPr>
  </w:style>
  <w:style w:type="paragraph" w:styleId="Heading3">
    <w:name w:val="heading 3"/>
    <w:basedOn w:val="Normal"/>
    <w:next w:val="Text"/>
    <w:qFormat/>
    <w:rsid w:val="007E37E3"/>
    <w:pPr>
      <w:keepNext/>
      <w:keepLines/>
      <w:spacing w:before="240"/>
      <w:ind w:left="851" w:hanging="851"/>
      <w:outlineLvl w:val="2"/>
    </w:pPr>
    <w:rPr>
      <w:rFonts w:ascii="Arial" w:hAnsi="Arial"/>
      <w:b/>
    </w:rPr>
  </w:style>
  <w:style w:type="paragraph" w:styleId="Heading4">
    <w:name w:val="heading 4"/>
    <w:basedOn w:val="Normal"/>
    <w:next w:val="Text"/>
    <w:qFormat/>
    <w:rsid w:val="007E37E3"/>
    <w:pPr>
      <w:keepNext/>
      <w:keepLines/>
      <w:spacing w:before="240"/>
      <w:outlineLvl w:val="3"/>
    </w:pPr>
    <w:rPr>
      <w:rFonts w:ascii="Arial" w:hAnsi="Arial"/>
      <w:b/>
      <w:sz w:val="22"/>
    </w:rPr>
  </w:style>
  <w:style w:type="paragraph" w:styleId="Heading5">
    <w:name w:val="heading 5"/>
    <w:basedOn w:val="Normal"/>
    <w:next w:val="Normal"/>
    <w:qFormat/>
    <w:rsid w:val="007E37E3"/>
    <w:pPr>
      <w:keepNext/>
      <w:spacing w:line="320" w:lineRule="atLeast"/>
      <w:outlineLvl w:val="4"/>
    </w:pPr>
    <w:rPr>
      <w:b/>
      <w:sz w:val="30"/>
      <w:u w:val="single"/>
    </w:rPr>
  </w:style>
  <w:style w:type="paragraph" w:styleId="Heading6">
    <w:name w:val="heading 6"/>
    <w:basedOn w:val="Normal"/>
    <w:next w:val="Normal"/>
    <w:qFormat/>
    <w:rsid w:val="007E37E3"/>
    <w:pPr>
      <w:keepNext/>
      <w:tabs>
        <w:tab w:val="left" w:pos="-720"/>
        <w:tab w:val="left" w:pos="567"/>
        <w:tab w:val="left" w:pos="4536"/>
      </w:tabs>
      <w:suppressAutoHyphens/>
      <w:spacing w:line="260" w:lineRule="exact"/>
      <w:outlineLvl w:val="5"/>
    </w:pPr>
    <w:rPr>
      <w:i/>
      <w:sz w:val="22"/>
    </w:rPr>
  </w:style>
  <w:style w:type="paragraph" w:styleId="Heading7">
    <w:name w:val="heading 7"/>
    <w:basedOn w:val="Normal"/>
    <w:next w:val="Normal"/>
    <w:qFormat/>
    <w:rsid w:val="007E37E3"/>
    <w:pPr>
      <w:keepNext/>
      <w:spacing w:line="320" w:lineRule="atLeast"/>
      <w:outlineLvl w:val="6"/>
    </w:pPr>
    <w:rPr>
      <w:b/>
      <w:u w:val="single"/>
    </w:rPr>
  </w:style>
  <w:style w:type="paragraph" w:styleId="Heading8">
    <w:name w:val="heading 8"/>
    <w:basedOn w:val="Normal"/>
    <w:next w:val="Normal"/>
    <w:qFormat/>
    <w:rsid w:val="007E37E3"/>
    <w:pPr>
      <w:keepNext/>
      <w:outlineLvl w:val="7"/>
    </w:pPr>
    <w:rPr>
      <w:sz w:val="36"/>
      <w:lang w:val="en-US"/>
    </w:rPr>
  </w:style>
  <w:style w:type="paragraph" w:styleId="Heading9">
    <w:name w:val="heading 9"/>
    <w:basedOn w:val="Normal"/>
    <w:next w:val="Normal"/>
    <w:qFormat/>
    <w:rsid w:val="007E37E3"/>
    <w:pPr>
      <w:keepNext/>
      <w:outlineLvl w:val="8"/>
    </w:pPr>
    <w:rPr>
      <w:b/>
      <w:sz w:val="4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aliases w:val="Graphic,Graphic Char Char,Graphic Char Char Char Char Char,Graphic Char Char Char Char Char Char Char C"/>
    <w:basedOn w:val="Normal"/>
    <w:link w:val="TextChar"/>
    <w:qFormat/>
    <w:rsid w:val="00AD5636"/>
    <w:pPr>
      <w:spacing w:before="120"/>
      <w:jc w:val="both"/>
    </w:pPr>
  </w:style>
  <w:style w:type="paragraph" w:styleId="Header">
    <w:name w:val="header"/>
    <w:basedOn w:val="Normal"/>
    <w:rsid w:val="007E37E3"/>
    <w:pPr>
      <w:tabs>
        <w:tab w:val="center" w:pos="4153"/>
        <w:tab w:val="right" w:pos="8306"/>
      </w:tabs>
    </w:pPr>
  </w:style>
  <w:style w:type="paragraph" w:styleId="Footer">
    <w:name w:val="footer"/>
    <w:basedOn w:val="Normal"/>
    <w:rsid w:val="007E37E3"/>
    <w:pPr>
      <w:tabs>
        <w:tab w:val="center" w:pos="4153"/>
        <w:tab w:val="right" w:pos="8306"/>
      </w:tabs>
    </w:pPr>
  </w:style>
  <w:style w:type="character" w:styleId="PageNumber">
    <w:name w:val="page number"/>
    <w:basedOn w:val="DefaultParagraphFont"/>
    <w:rsid w:val="007E37E3"/>
  </w:style>
  <w:style w:type="paragraph" w:customStyle="1" w:styleId="paragraph">
    <w:name w:val="paragraph"/>
    <w:basedOn w:val="Normal"/>
    <w:rsid w:val="007E37E3"/>
    <w:pPr>
      <w:spacing w:before="120"/>
      <w:jc w:val="both"/>
    </w:pPr>
  </w:style>
  <w:style w:type="paragraph" w:customStyle="1" w:styleId="Propertystatement">
    <w:name w:val="Propertystatement"/>
    <w:basedOn w:val="Normal"/>
    <w:rsid w:val="007E37E3"/>
    <w:pPr>
      <w:spacing w:before="1200"/>
      <w:jc w:val="center"/>
    </w:pPr>
    <w:rPr>
      <w:rFonts w:ascii="Arial" w:hAnsi="Arial"/>
      <w:sz w:val="20"/>
      <w:lang w:val="en-US"/>
    </w:rPr>
  </w:style>
  <w:style w:type="paragraph" w:customStyle="1" w:styleId="c7">
    <w:name w:val="c7"/>
    <w:basedOn w:val="Normal"/>
    <w:rsid w:val="007E37E3"/>
    <w:pPr>
      <w:widowControl w:val="0"/>
      <w:jc w:val="center"/>
    </w:pPr>
    <w:rPr>
      <w:rFonts w:ascii="Courier" w:hAnsi="Courier"/>
      <w:snapToGrid w:val="0"/>
      <w:lang w:val="en-US"/>
    </w:rPr>
  </w:style>
  <w:style w:type="paragraph" w:customStyle="1" w:styleId="p17">
    <w:name w:val="p17"/>
    <w:basedOn w:val="Normal"/>
    <w:rsid w:val="007E37E3"/>
    <w:pPr>
      <w:widowControl w:val="0"/>
      <w:tabs>
        <w:tab w:val="left" w:pos="0"/>
        <w:tab w:val="left" w:pos="199"/>
      </w:tabs>
      <w:ind w:left="199"/>
    </w:pPr>
    <w:rPr>
      <w:rFonts w:ascii="Courier" w:hAnsi="Courier"/>
      <w:snapToGrid w:val="0"/>
      <w:lang w:val="en-US"/>
    </w:rPr>
  </w:style>
  <w:style w:type="paragraph" w:customStyle="1" w:styleId="p67">
    <w:name w:val="p67"/>
    <w:basedOn w:val="Normal"/>
    <w:rsid w:val="007E37E3"/>
    <w:pPr>
      <w:widowControl w:val="0"/>
      <w:tabs>
        <w:tab w:val="left" w:pos="0"/>
        <w:tab w:val="left" w:pos="199"/>
      </w:tabs>
      <w:spacing w:line="240" w:lineRule="exact"/>
      <w:ind w:left="199"/>
    </w:pPr>
    <w:rPr>
      <w:rFonts w:ascii="Courier" w:hAnsi="Courier"/>
      <w:snapToGrid w:val="0"/>
      <w:lang w:val="en-US"/>
    </w:rPr>
  </w:style>
  <w:style w:type="paragraph" w:customStyle="1" w:styleId="p82">
    <w:name w:val="p82"/>
    <w:basedOn w:val="Normal"/>
    <w:rsid w:val="007E37E3"/>
    <w:pPr>
      <w:widowControl w:val="0"/>
      <w:tabs>
        <w:tab w:val="left" w:pos="0"/>
        <w:tab w:val="left" w:pos="619"/>
      </w:tabs>
      <w:spacing w:line="300" w:lineRule="exact"/>
      <w:ind w:left="619"/>
    </w:pPr>
    <w:rPr>
      <w:rFonts w:ascii="Courier" w:hAnsi="Courier"/>
      <w:snapToGrid w:val="0"/>
      <w:lang w:val="en-US"/>
    </w:rPr>
  </w:style>
  <w:style w:type="paragraph" w:customStyle="1" w:styleId="t79">
    <w:name w:val="t79"/>
    <w:basedOn w:val="Normal"/>
    <w:rsid w:val="007E37E3"/>
    <w:pPr>
      <w:widowControl w:val="0"/>
    </w:pPr>
    <w:rPr>
      <w:rFonts w:ascii="Courier" w:hAnsi="Courier"/>
      <w:snapToGrid w:val="0"/>
      <w:lang w:val="en-US"/>
    </w:rPr>
  </w:style>
  <w:style w:type="paragraph" w:customStyle="1" w:styleId="t81">
    <w:name w:val="t81"/>
    <w:basedOn w:val="Normal"/>
    <w:rsid w:val="007E37E3"/>
    <w:pPr>
      <w:widowControl w:val="0"/>
      <w:spacing w:line="319" w:lineRule="exact"/>
    </w:pPr>
    <w:rPr>
      <w:rFonts w:ascii="Courier" w:hAnsi="Courier"/>
      <w:snapToGrid w:val="0"/>
      <w:lang w:val="en-US"/>
    </w:rPr>
  </w:style>
  <w:style w:type="paragraph" w:styleId="EndnoteText">
    <w:name w:val="endnote text"/>
    <w:basedOn w:val="Normal"/>
    <w:semiHidden/>
    <w:rsid w:val="007E37E3"/>
    <w:pPr>
      <w:tabs>
        <w:tab w:val="left" w:pos="567"/>
      </w:tabs>
    </w:pPr>
    <w:rPr>
      <w:sz w:val="22"/>
    </w:rPr>
  </w:style>
  <w:style w:type="paragraph" w:customStyle="1" w:styleId="PIParagraph0">
    <w:name w:val="PI Paragraph"/>
    <w:basedOn w:val="paragraph"/>
    <w:rsid w:val="007E37E3"/>
    <w:pPr>
      <w:spacing w:before="0" w:after="300" w:line="380" w:lineRule="exact"/>
    </w:pPr>
    <w:rPr>
      <w:rFonts w:ascii="Arial" w:hAnsi="Arial"/>
      <w:lang w:val="en-US"/>
    </w:rPr>
  </w:style>
  <w:style w:type="paragraph" w:customStyle="1" w:styleId="PIListNumbered">
    <w:name w:val="PI List Numbered #"/>
    <w:basedOn w:val="Paragraph0"/>
    <w:rsid w:val="007E37E3"/>
    <w:pPr>
      <w:numPr>
        <w:numId w:val="1"/>
      </w:numPr>
      <w:tabs>
        <w:tab w:val="left" w:pos="432"/>
      </w:tabs>
      <w:spacing w:before="40" w:after="120" w:line="300" w:lineRule="exact"/>
      <w:jc w:val="both"/>
    </w:pPr>
  </w:style>
  <w:style w:type="paragraph" w:customStyle="1" w:styleId="Paragraph0">
    <w:name w:val="Paragraph"/>
    <w:basedOn w:val="Normal"/>
    <w:rsid w:val="007E37E3"/>
    <w:pPr>
      <w:spacing w:after="300" w:line="380" w:lineRule="exact"/>
    </w:pPr>
    <w:rPr>
      <w:rFonts w:ascii="Arial" w:hAnsi="Arial"/>
      <w:lang w:val="en-US"/>
    </w:rPr>
  </w:style>
  <w:style w:type="paragraph" w:customStyle="1" w:styleId="Table">
    <w:name w:val="Table"/>
    <w:aliases w:val="10 pt  Bold,9 pt,10 pt,Normal + Courier New"/>
    <w:basedOn w:val="Normal"/>
    <w:link w:val="TableChar"/>
    <w:rsid w:val="007E37E3"/>
    <w:pPr>
      <w:keepNext/>
      <w:keepLines/>
      <w:tabs>
        <w:tab w:val="left" w:pos="284"/>
      </w:tabs>
      <w:spacing w:before="40" w:after="20"/>
    </w:pPr>
    <w:rPr>
      <w:rFonts w:ascii="Arial" w:hAnsi="Arial"/>
      <w:sz w:val="18"/>
      <w:lang w:val="en-US"/>
    </w:rPr>
  </w:style>
  <w:style w:type="paragraph" w:customStyle="1" w:styleId="Reference">
    <w:name w:val="Reference"/>
    <w:basedOn w:val="Paragraph0"/>
    <w:rsid w:val="007E37E3"/>
    <w:pPr>
      <w:numPr>
        <w:numId w:val="2"/>
      </w:numPr>
      <w:spacing w:after="180" w:line="300" w:lineRule="exact"/>
    </w:pPr>
  </w:style>
  <w:style w:type="paragraph" w:customStyle="1" w:styleId="ListNumbered">
    <w:name w:val="List Numbered #"/>
    <w:basedOn w:val="Paragraph0"/>
    <w:rsid w:val="007E37E3"/>
    <w:pPr>
      <w:numPr>
        <w:numId w:val="5"/>
      </w:numPr>
      <w:spacing w:before="40" w:after="120" w:line="300" w:lineRule="exact"/>
    </w:pPr>
  </w:style>
  <w:style w:type="paragraph" w:customStyle="1" w:styleId="ListBulleted">
    <w:name w:val="List Bulleted"/>
    <w:basedOn w:val="Paragraph0"/>
    <w:rsid w:val="007E37E3"/>
    <w:pPr>
      <w:numPr>
        <w:numId w:val="6"/>
      </w:numPr>
      <w:spacing w:before="40" w:after="120" w:line="300" w:lineRule="exact"/>
    </w:pPr>
  </w:style>
  <w:style w:type="paragraph" w:customStyle="1" w:styleId="ListNumbered0">
    <w:name w:val="List Numbered @"/>
    <w:basedOn w:val="Paragraph0"/>
    <w:rsid w:val="007E37E3"/>
    <w:pPr>
      <w:numPr>
        <w:numId w:val="7"/>
      </w:numPr>
      <w:spacing w:before="40" w:after="120" w:line="300" w:lineRule="exact"/>
    </w:pPr>
  </w:style>
  <w:style w:type="paragraph" w:customStyle="1" w:styleId="PIListBulleted">
    <w:name w:val="PI List Bulleted"/>
    <w:basedOn w:val="Paragraph0"/>
    <w:rsid w:val="007E37E3"/>
    <w:pPr>
      <w:numPr>
        <w:numId w:val="3"/>
      </w:numPr>
      <w:spacing w:before="40" w:after="120" w:line="300" w:lineRule="exact"/>
      <w:jc w:val="both"/>
    </w:pPr>
  </w:style>
  <w:style w:type="paragraph" w:customStyle="1" w:styleId="PIParagraph">
    <w:name w:val="PI Paragraph @"/>
    <w:basedOn w:val="Paragraph0"/>
    <w:rsid w:val="007E37E3"/>
    <w:pPr>
      <w:numPr>
        <w:numId w:val="4"/>
      </w:numPr>
      <w:jc w:val="both"/>
    </w:pPr>
  </w:style>
  <w:style w:type="paragraph" w:customStyle="1" w:styleId="PIListNumbered0">
    <w:name w:val="PI List Numbered @"/>
    <w:basedOn w:val="Paragraph0"/>
    <w:rsid w:val="007E37E3"/>
    <w:pPr>
      <w:numPr>
        <w:numId w:val="8"/>
      </w:numPr>
      <w:spacing w:before="40" w:after="120" w:line="300" w:lineRule="exact"/>
      <w:jc w:val="both"/>
    </w:pPr>
  </w:style>
  <w:style w:type="paragraph" w:customStyle="1" w:styleId="TableTitle">
    <w:name w:val="Table Title"/>
    <w:basedOn w:val="Paragraph0"/>
    <w:rsid w:val="007E37E3"/>
    <w:pPr>
      <w:keepNext/>
      <w:keepLines/>
      <w:spacing w:before="40" w:after="240" w:line="300" w:lineRule="exact"/>
      <w:jc w:val="center"/>
    </w:pPr>
  </w:style>
  <w:style w:type="paragraph" w:customStyle="1" w:styleId="TableCellCenter">
    <w:name w:val="Table Cell Center"/>
    <w:basedOn w:val="Paragraph0"/>
    <w:rsid w:val="007E37E3"/>
    <w:pPr>
      <w:keepNext/>
      <w:keepLines/>
      <w:spacing w:before="50" w:after="50" w:line="240" w:lineRule="exact"/>
      <w:jc w:val="center"/>
    </w:pPr>
    <w:rPr>
      <w:sz w:val="20"/>
    </w:rPr>
  </w:style>
  <w:style w:type="paragraph" w:customStyle="1" w:styleId="TableFooter">
    <w:name w:val="Table Footer"/>
    <w:basedOn w:val="Paragraph0"/>
    <w:rsid w:val="007E37E3"/>
    <w:pPr>
      <w:keepNext/>
      <w:keepLines/>
      <w:tabs>
        <w:tab w:val="right" w:pos="144"/>
      </w:tabs>
      <w:spacing w:before="60" w:after="0" w:line="240" w:lineRule="exact"/>
      <w:ind w:left="216" w:hanging="216"/>
    </w:pPr>
    <w:rPr>
      <w:sz w:val="20"/>
    </w:rPr>
  </w:style>
  <w:style w:type="paragraph" w:customStyle="1" w:styleId="PIListParagraph">
    <w:name w:val="PI List Paragraph"/>
    <w:basedOn w:val="Paragraph0"/>
    <w:next w:val="Normal"/>
    <w:rsid w:val="007E37E3"/>
    <w:pPr>
      <w:keepNext/>
      <w:spacing w:after="120"/>
      <w:jc w:val="both"/>
    </w:pPr>
  </w:style>
  <w:style w:type="paragraph" w:customStyle="1" w:styleId="PIListItem">
    <w:name w:val="PI List Item"/>
    <w:basedOn w:val="Paragraph0"/>
    <w:rsid w:val="007E37E3"/>
    <w:pPr>
      <w:spacing w:before="40" w:after="120" w:line="300" w:lineRule="exact"/>
      <w:jc w:val="both"/>
    </w:pPr>
  </w:style>
  <w:style w:type="paragraph" w:customStyle="1" w:styleId="Level4">
    <w:name w:val="Level 4"/>
    <w:basedOn w:val="Paragraph0"/>
    <w:next w:val="Paragraph0"/>
    <w:rsid w:val="007E37E3"/>
    <w:pPr>
      <w:keepNext/>
      <w:keepLines/>
      <w:spacing w:before="60" w:after="20" w:line="300" w:lineRule="exact"/>
    </w:pPr>
    <w:rPr>
      <w:b/>
    </w:rPr>
  </w:style>
  <w:style w:type="paragraph" w:customStyle="1" w:styleId="TableCellLeft">
    <w:name w:val="Table Cell Left"/>
    <w:basedOn w:val="Paragraph0"/>
    <w:rsid w:val="007E37E3"/>
    <w:pPr>
      <w:keepNext/>
      <w:keepLines/>
      <w:spacing w:before="50" w:after="50" w:line="240" w:lineRule="exact"/>
    </w:pPr>
    <w:rPr>
      <w:sz w:val="20"/>
    </w:rPr>
  </w:style>
  <w:style w:type="paragraph" w:customStyle="1" w:styleId="TableFigureSpace">
    <w:name w:val="Table/Figure Space"/>
    <w:basedOn w:val="Paragraph0"/>
    <w:next w:val="Paragraph0"/>
    <w:rsid w:val="007E37E3"/>
    <w:pPr>
      <w:spacing w:after="40" w:line="240" w:lineRule="exact"/>
    </w:pPr>
  </w:style>
  <w:style w:type="paragraph" w:customStyle="1" w:styleId="Listlevel2">
    <w:name w:val="List level 2"/>
    <w:basedOn w:val="Normal"/>
    <w:rsid w:val="007E37E3"/>
    <w:pPr>
      <w:spacing w:before="40" w:after="20"/>
      <w:ind w:left="850" w:hanging="425"/>
    </w:pPr>
  </w:style>
  <w:style w:type="paragraph" w:customStyle="1" w:styleId="PIAnnotation">
    <w:name w:val="PI Annotation"/>
    <w:basedOn w:val="Paragraph0"/>
    <w:rsid w:val="007E37E3"/>
    <w:pPr>
      <w:framePr w:w="2304" w:hSpace="187" w:vSpace="187" w:wrap="notBeside" w:vAnchor="text" w:hAnchor="page" w:x="9361" w:y="73" w:anchorLock="1"/>
      <w:tabs>
        <w:tab w:val="left" w:pos="662"/>
        <w:tab w:val="left" w:pos="936"/>
        <w:tab w:val="left" w:pos="1411"/>
      </w:tabs>
      <w:spacing w:after="60" w:line="240" w:lineRule="exact"/>
    </w:pPr>
    <w:rPr>
      <w:rFonts w:ascii="Palatino" w:hAnsi="Palatino"/>
      <w:sz w:val="18"/>
    </w:rPr>
  </w:style>
  <w:style w:type="paragraph" w:customStyle="1" w:styleId="TableCellHead">
    <w:name w:val="Table Cell Head"/>
    <w:basedOn w:val="Paragraph0"/>
    <w:next w:val="TableCellLeft"/>
    <w:rsid w:val="007E37E3"/>
    <w:pPr>
      <w:keepNext/>
      <w:keepLines/>
      <w:spacing w:before="100" w:after="0" w:line="240" w:lineRule="exact"/>
    </w:pPr>
    <w:rPr>
      <w:rFonts w:ascii="Times New Roman" w:hAnsi="Times New Roman"/>
      <w:sz w:val="20"/>
      <w:u w:val="single"/>
    </w:rPr>
  </w:style>
  <w:style w:type="paragraph" w:styleId="BodyTextIndent">
    <w:name w:val="Body Text Indent"/>
    <w:basedOn w:val="Normal"/>
    <w:rsid w:val="007E37E3"/>
    <w:pPr>
      <w:spacing w:line="320" w:lineRule="atLeast"/>
      <w:ind w:left="720"/>
    </w:pPr>
  </w:style>
  <w:style w:type="paragraph" w:customStyle="1" w:styleId="Nottoc-headings">
    <w:name w:val="Not toc-headings"/>
    <w:basedOn w:val="Normal"/>
    <w:next w:val="Text"/>
    <w:link w:val="Nottoc-headingsChar"/>
    <w:rsid w:val="007E37E3"/>
    <w:pPr>
      <w:keepNext/>
      <w:keepLines/>
      <w:spacing w:before="240" w:after="60"/>
      <w:ind w:left="1701" w:hanging="1701"/>
    </w:pPr>
    <w:rPr>
      <w:rFonts w:ascii="Arial" w:hAnsi="Arial"/>
      <w:b/>
      <w:sz w:val="22"/>
      <w:lang w:val="en-US"/>
    </w:rPr>
  </w:style>
  <w:style w:type="paragraph" w:styleId="BodyText">
    <w:name w:val="Body Text"/>
    <w:basedOn w:val="Normal"/>
    <w:rsid w:val="007E37E3"/>
    <w:pPr>
      <w:spacing w:line="320" w:lineRule="atLeast"/>
    </w:pPr>
    <w:rPr>
      <w:color w:val="0000FF"/>
      <w:u w:val="single"/>
    </w:rPr>
  </w:style>
  <w:style w:type="paragraph" w:styleId="BodyText2">
    <w:name w:val="Body Text 2"/>
    <w:basedOn w:val="Normal"/>
    <w:rsid w:val="007E37E3"/>
    <w:pPr>
      <w:spacing w:line="320" w:lineRule="atLeast"/>
      <w:jc w:val="both"/>
    </w:pPr>
    <w:rPr>
      <w:color w:val="0000FF"/>
      <w:u w:val="single"/>
    </w:rPr>
  </w:style>
  <w:style w:type="paragraph" w:customStyle="1" w:styleId="ListItem">
    <w:name w:val="List Item"/>
    <w:basedOn w:val="Paragraph0"/>
    <w:rsid w:val="007E37E3"/>
    <w:pPr>
      <w:spacing w:before="40" w:after="120" w:line="300" w:lineRule="exact"/>
    </w:pPr>
  </w:style>
  <w:style w:type="paragraph" w:styleId="BodyTextIndent2">
    <w:name w:val="Body Text Indent 2"/>
    <w:basedOn w:val="Normal"/>
    <w:rsid w:val="007E37E3"/>
    <w:pPr>
      <w:ind w:left="284"/>
    </w:pPr>
  </w:style>
  <w:style w:type="paragraph" w:styleId="BodyTextIndent3">
    <w:name w:val="Body Text Indent 3"/>
    <w:basedOn w:val="Normal"/>
    <w:rsid w:val="007E37E3"/>
    <w:pPr>
      <w:ind w:left="284" w:hanging="284"/>
    </w:pPr>
  </w:style>
  <w:style w:type="paragraph" w:styleId="BalloonText">
    <w:name w:val="Balloon Text"/>
    <w:basedOn w:val="Normal"/>
    <w:semiHidden/>
    <w:rsid w:val="00D85A03"/>
    <w:rPr>
      <w:rFonts w:ascii="Tahoma" w:hAnsi="Tahoma" w:cs="Tahoma"/>
      <w:sz w:val="16"/>
      <w:szCs w:val="16"/>
    </w:rPr>
  </w:style>
  <w:style w:type="table" w:styleId="TableGrid">
    <w:name w:val="Table Grid"/>
    <w:basedOn w:val="TableNormal"/>
    <w:uiPriority w:val="59"/>
    <w:rsid w:val="009E36BE"/>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Char">
    <w:name w:val="Text Char"/>
    <w:basedOn w:val="DefaultParagraphFont"/>
    <w:link w:val="Text"/>
    <w:rsid w:val="00E83767"/>
    <w:rPr>
      <w:sz w:val="24"/>
      <w:lang w:val="en-GB"/>
    </w:rPr>
  </w:style>
  <w:style w:type="character" w:customStyle="1" w:styleId="TableChar">
    <w:name w:val="Table Char"/>
    <w:aliases w:val="10 pt  Bold Char,9 pt Char,10 pt Char"/>
    <w:basedOn w:val="DefaultParagraphFont"/>
    <w:link w:val="Table"/>
    <w:rsid w:val="005C09D9"/>
    <w:rPr>
      <w:rFonts w:ascii="Arial" w:hAnsi="Arial"/>
      <w:sz w:val="18"/>
      <w:lang w:val="en-US" w:eastAsia="en-US" w:bidi="ar-SA"/>
    </w:rPr>
  </w:style>
  <w:style w:type="character" w:styleId="CommentReference">
    <w:name w:val="annotation reference"/>
    <w:rsid w:val="00AD5636"/>
    <w:rPr>
      <w:sz w:val="16"/>
      <w:szCs w:val="16"/>
    </w:rPr>
  </w:style>
  <w:style w:type="paragraph" w:styleId="CommentText">
    <w:name w:val="annotation text"/>
    <w:basedOn w:val="Normal"/>
    <w:link w:val="CommentTextChar"/>
    <w:semiHidden/>
    <w:rsid w:val="00406717"/>
    <w:rPr>
      <w:sz w:val="20"/>
    </w:rPr>
  </w:style>
  <w:style w:type="paragraph" w:styleId="ListBullet3">
    <w:name w:val="List Bullet 3"/>
    <w:basedOn w:val="Normal"/>
    <w:autoRedefine/>
    <w:semiHidden/>
    <w:rsid w:val="00B52224"/>
    <w:pPr>
      <w:numPr>
        <w:numId w:val="9"/>
      </w:numPr>
    </w:pPr>
    <w:rPr>
      <w:rFonts w:eastAsia="MS Mincho"/>
      <w:lang w:val="en-US"/>
    </w:rPr>
  </w:style>
  <w:style w:type="paragraph" w:styleId="CommentSubject">
    <w:name w:val="annotation subject"/>
    <w:basedOn w:val="CommentText"/>
    <w:next w:val="CommentText"/>
    <w:link w:val="CommentSubjectChar"/>
    <w:uiPriority w:val="99"/>
    <w:semiHidden/>
    <w:unhideWhenUsed/>
    <w:rsid w:val="002324A8"/>
    <w:rPr>
      <w:b/>
      <w:bCs/>
    </w:rPr>
  </w:style>
  <w:style w:type="character" w:customStyle="1" w:styleId="CommentTextChar">
    <w:name w:val="Comment Text Char"/>
    <w:basedOn w:val="DefaultParagraphFont"/>
    <w:link w:val="CommentText"/>
    <w:semiHidden/>
    <w:rsid w:val="002324A8"/>
    <w:rPr>
      <w:lang w:val="en-GB"/>
    </w:rPr>
  </w:style>
  <w:style w:type="character" w:customStyle="1" w:styleId="CommentSubjectChar">
    <w:name w:val="Comment Subject Char"/>
    <w:basedOn w:val="CommentTextChar"/>
    <w:link w:val="CommentSubject"/>
    <w:rsid w:val="002324A8"/>
    <w:rPr>
      <w:lang w:val="en-GB"/>
    </w:rPr>
  </w:style>
  <w:style w:type="paragraph" w:customStyle="1" w:styleId="Listlevel1">
    <w:name w:val="List level 1"/>
    <w:basedOn w:val="Normal"/>
    <w:link w:val="Listlevel1Char"/>
    <w:rsid w:val="002324A8"/>
    <w:pPr>
      <w:spacing w:before="40" w:after="20"/>
      <w:ind w:left="425" w:hanging="425"/>
    </w:pPr>
    <w:rPr>
      <w:rFonts w:eastAsia="MS Mincho"/>
      <w:lang w:val="en-US"/>
    </w:rPr>
  </w:style>
  <w:style w:type="character" w:customStyle="1" w:styleId="Nottoc-headingsChar">
    <w:name w:val="Not toc-headings Char"/>
    <w:basedOn w:val="DefaultParagraphFont"/>
    <w:link w:val="Nottoc-headings"/>
    <w:rsid w:val="002324A8"/>
    <w:rPr>
      <w:rFonts w:ascii="Arial" w:hAnsi="Arial"/>
      <w:b/>
      <w:sz w:val="22"/>
    </w:rPr>
  </w:style>
  <w:style w:type="paragraph" w:customStyle="1" w:styleId="Default">
    <w:name w:val="Default"/>
    <w:rsid w:val="00A31C4B"/>
    <w:pPr>
      <w:autoSpaceDE w:val="0"/>
      <w:autoSpaceDN w:val="0"/>
      <w:adjustRightInd w:val="0"/>
    </w:pPr>
    <w:rPr>
      <w:color w:val="000000"/>
      <w:sz w:val="24"/>
      <w:szCs w:val="24"/>
    </w:rPr>
  </w:style>
  <w:style w:type="character" w:customStyle="1" w:styleId="st">
    <w:name w:val="st"/>
    <w:basedOn w:val="DefaultParagraphFont"/>
    <w:rsid w:val="003F4539"/>
  </w:style>
  <w:style w:type="paragraph" w:customStyle="1" w:styleId="Non-proportional">
    <w:name w:val="Non-proportional"/>
    <w:basedOn w:val="Normal"/>
    <w:rsid w:val="006C657A"/>
    <w:pPr>
      <w:spacing w:line="240" w:lineRule="atLeast"/>
      <w:jc w:val="both"/>
    </w:pPr>
    <w:rPr>
      <w:rFonts w:ascii="Courier New" w:eastAsia="MS Mincho" w:hAnsi="Courier New"/>
      <w:spacing w:val="-10"/>
      <w:sz w:val="18"/>
      <w:lang w:val="en-US" w:eastAsia="ja-JP"/>
    </w:rPr>
  </w:style>
  <w:style w:type="paragraph" w:customStyle="1" w:styleId="Legend">
    <w:name w:val="Legend"/>
    <w:basedOn w:val="Table"/>
    <w:rsid w:val="003E4BDD"/>
    <w:pPr>
      <w:keepNext w:val="0"/>
    </w:pPr>
    <w:rPr>
      <w:rFonts w:eastAsia="MS Mincho"/>
      <w:sz w:val="20"/>
      <w:szCs w:val="24"/>
      <w:lang w:eastAsia="ja-JP"/>
    </w:rPr>
  </w:style>
  <w:style w:type="paragraph" w:styleId="NormalWeb">
    <w:name w:val="Normal (Web)"/>
    <w:basedOn w:val="Normal"/>
    <w:uiPriority w:val="99"/>
    <w:rsid w:val="003E4BDD"/>
    <w:rPr>
      <w:rFonts w:eastAsia="MS Mincho"/>
      <w:szCs w:val="24"/>
      <w:lang w:val="en-US" w:eastAsia="ja-JP"/>
    </w:rPr>
  </w:style>
  <w:style w:type="character" w:customStyle="1" w:styleId="Listlevel1Char">
    <w:name w:val="List level 1 Char"/>
    <w:link w:val="Listlevel1"/>
    <w:rsid w:val="00401EED"/>
    <w:rPr>
      <w:rFonts w:eastAsia="MS Mincho"/>
      <w:sz w:val="24"/>
    </w:rPr>
  </w:style>
  <w:style w:type="paragraph" w:styleId="Revision">
    <w:name w:val="Revision"/>
    <w:hidden/>
    <w:uiPriority w:val="99"/>
    <w:semiHidden/>
    <w:rsid w:val="00A879EC"/>
    <w:rPr>
      <w:sz w:val="24"/>
      <w:lang w:val="en-GB"/>
    </w:rPr>
  </w:style>
  <w:style w:type="paragraph" w:styleId="ListParagraph">
    <w:name w:val="List Paragraph"/>
    <w:basedOn w:val="Normal"/>
    <w:uiPriority w:val="34"/>
    <w:qFormat/>
    <w:rsid w:val="00FC5A01"/>
    <w:pPr>
      <w:ind w:left="720"/>
    </w:pPr>
    <w:rPr>
      <w:rFonts w:ascii="Calibri" w:eastAsiaTheme="minorHAnsi" w:hAnsi="Calibri"/>
      <w:sz w:val="22"/>
      <w:szCs w:val="22"/>
      <w:lang w:val="en-US"/>
    </w:rPr>
  </w:style>
  <w:style w:type="paragraph" w:styleId="ListNumber2">
    <w:name w:val="List Number 2"/>
    <w:basedOn w:val="Normal"/>
    <w:semiHidden/>
    <w:rsid w:val="00A872F6"/>
    <w:pPr>
      <w:numPr>
        <w:numId w:val="19"/>
      </w:numPr>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text" w:uiPriority="0"/>
    <w:lsdException w:name="List Bullet 3"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7E3"/>
    <w:rPr>
      <w:sz w:val="24"/>
      <w:lang w:val="en-GB"/>
    </w:rPr>
  </w:style>
  <w:style w:type="paragraph" w:styleId="Heading1">
    <w:name w:val="heading 1"/>
    <w:basedOn w:val="Normal"/>
    <w:next w:val="Text"/>
    <w:qFormat/>
    <w:rsid w:val="007E37E3"/>
    <w:pPr>
      <w:keepNext/>
      <w:keepLines/>
      <w:spacing w:before="360"/>
      <w:ind w:left="851" w:hanging="851"/>
      <w:outlineLvl w:val="0"/>
    </w:pPr>
    <w:rPr>
      <w:rFonts w:ascii="Arial" w:hAnsi="Arial"/>
      <w:b/>
      <w:sz w:val="28"/>
      <w:lang w:val="en-US"/>
    </w:rPr>
  </w:style>
  <w:style w:type="paragraph" w:styleId="Heading2">
    <w:name w:val="heading 2"/>
    <w:basedOn w:val="Normal"/>
    <w:next w:val="Text"/>
    <w:qFormat/>
    <w:rsid w:val="007E37E3"/>
    <w:pPr>
      <w:keepNext/>
      <w:keepLines/>
      <w:spacing w:before="240"/>
      <w:ind w:left="851" w:hanging="851"/>
      <w:outlineLvl w:val="1"/>
    </w:pPr>
    <w:rPr>
      <w:rFonts w:ascii="Arial" w:hAnsi="Arial"/>
      <w:b/>
      <w:sz w:val="26"/>
    </w:rPr>
  </w:style>
  <w:style w:type="paragraph" w:styleId="Heading3">
    <w:name w:val="heading 3"/>
    <w:basedOn w:val="Normal"/>
    <w:next w:val="Text"/>
    <w:qFormat/>
    <w:rsid w:val="007E37E3"/>
    <w:pPr>
      <w:keepNext/>
      <w:keepLines/>
      <w:spacing w:before="240"/>
      <w:ind w:left="851" w:hanging="851"/>
      <w:outlineLvl w:val="2"/>
    </w:pPr>
    <w:rPr>
      <w:rFonts w:ascii="Arial" w:hAnsi="Arial"/>
      <w:b/>
    </w:rPr>
  </w:style>
  <w:style w:type="paragraph" w:styleId="Heading4">
    <w:name w:val="heading 4"/>
    <w:basedOn w:val="Normal"/>
    <w:next w:val="Text"/>
    <w:qFormat/>
    <w:rsid w:val="007E37E3"/>
    <w:pPr>
      <w:keepNext/>
      <w:keepLines/>
      <w:spacing w:before="240"/>
      <w:outlineLvl w:val="3"/>
    </w:pPr>
    <w:rPr>
      <w:rFonts w:ascii="Arial" w:hAnsi="Arial"/>
      <w:b/>
      <w:sz w:val="22"/>
    </w:rPr>
  </w:style>
  <w:style w:type="paragraph" w:styleId="Heading5">
    <w:name w:val="heading 5"/>
    <w:basedOn w:val="Normal"/>
    <w:next w:val="Normal"/>
    <w:qFormat/>
    <w:rsid w:val="007E37E3"/>
    <w:pPr>
      <w:keepNext/>
      <w:spacing w:line="320" w:lineRule="atLeast"/>
      <w:outlineLvl w:val="4"/>
    </w:pPr>
    <w:rPr>
      <w:b/>
      <w:sz w:val="30"/>
      <w:u w:val="single"/>
    </w:rPr>
  </w:style>
  <w:style w:type="paragraph" w:styleId="Heading6">
    <w:name w:val="heading 6"/>
    <w:basedOn w:val="Normal"/>
    <w:next w:val="Normal"/>
    <w:qFormat/>
    <w:rsid w:val="007E37E3"/>
    <w:pPr>
      <w:keepNext/>
      <w:tabs>
        <w:tab w:val="left" w:pos="-720"/>
        <w:tab w:val="left" w:pos="567"/>
        <w:tab w:val="left" w:pos="4536"/>
      </w:tabs>
      <w:suppressAutoHyphens/>
      <w:spacing w:line="260" w:lineRule="exact"/>
      <w:outlineLvl w:val="5"/>
    </w:pPr>
    <w:rPr>
      <w:i/>
      <w:sz w:val="22"/>
    </w:rPr>
  </w:style>
  <w:style w:type="paragraph" w:styleId="Heading7">
    <w:name w:val="heading 7"/>
    <w:basedOn w:val="Normal"/>
    <w:next w:val="Normal"/>
    <w:qFormat/>
    <w:rsid w:val="007E37E3"/>
    <w:pPr>
      <w:keepNext/>
      <w:spacing w:line="320" w:lineRule="atLeast"/>
      <w:outlineLvl w:val="6"/>
    </w:pPr>
    <w:rPr>
      <w:b/>
      <w:u w:val="single"/>
    </w:rPr>
  </w:style>
  <w:style w:type="paragraph" w:styleId="Heading8">
    <w:name w:val="heading 8"/>
    <w:basedOn w:val="Normal"/>
    <w:next w:val="Normal"/>
    <w:qFormat/>
    <w:rsid w:val="007E37E3"/>
    <w:pPr>
      <w:keepNext/>
      <w:outlineLvl w:val="7"/>
    </w:pPr>
    <w:rPr>
      <w:sz w:val="36"/>
      <w:lang w:val="en-US"/>
    </w:rPr>
  </w:style>
  <w:style w:type="paragraph" w:styleId="Heading9">
    <w:name w:val="heading 9"/>
    <w:basedOn w:val="Normal"/>
    <w:next w:val="Normal"/>
    <w:qFormat/>
    <w:rsid w:val="007E37E3"/>
    <w:pPr>
      <w:keepNext/>
      <w:outlineLvl w:val="8"/>
    </w:pPr>
    <w:rPr>
      <w:b/>
      <w:sz w:val="4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aliases w:val="Graphic,Graphic Char Char,Graphic Char Char Char Char Char,Graphic Char Char Char Char Char Char Char C"/>
    <w:basedOn w:val="Normal"/>
    <w:link w:val="TextChar"/>
    <w:qFormat/>
    <w:rsid w:val="00AD5636"/>
    <w:pPr>
      <w:spacing w:before="120"/>
      <w:jc w:val="both"/>
    </w:pPr>
  </w:style>
  <w:style w:type="paragraph" w:styleId="Header">
    <w:name w:val="header"/>
    <w:basedOn w:val="Normal"/>
    <w:rsid w:val="007E37E3"/>
    <w:pPr>
      <w:tabs>
        <w:tab w:val="center" w:pos="4153"/>
        <w:tab w:val="right" w:pos="8306"/>
      </w:tabs>
    </w:pPr>
  </w:style>
  <w:style w:type="paragraph" w:styleId="Footer">
    <w:name w:val="footer"/>
    <w:basedOn w:val="Normal"/>
    <w:rsid w:val="007E37E3"/>
    <w:pPr>
      <w:tabs>
        <w:tab w:val="center" w:pos="4153"/>
        <w:tab w:val="right" w:pos="8306"/>
      </w:tabs>
    </w:pPr>
  </w:style>
  <w:style w:type="character" w:styleId="PageNumber">
    <w:name w:val="page number"/>
    <w:basedOn w:val="DefaultParagraphFont"/>
    <w:rsid w:val="007E37E3"/>
  </w:style>
  <w:style w:type="paragraph" w:customStyle="1" w:styleId="paragraph">
    <w:name w:val="paragraph"/>
    <w:basedOn w:val="Normal"/>
    <w:rsid w:val="007E37E3"/>
    <w:pPr>
      <w:spacing w:before="120"/>
      <w:jc w:val="both"/>
    </w:pPr>
  </w:style>
  <w:style w:type="paragraph" w:customStyle="1" w:styleId="Propertystatement">
    <w:name w:val="Propertystatement"/>
    <w:basedOn w:val="Normal"/>
    <w:rsid w:val="007E37E3"/>
    <w:pPr>
      <w:spacing w:before="1200"/>
      <w:jc w:val="center"/>
    </w:pPr>
    <w:rPr>
      <w:rFonts w:ascii="Arial" w:hAnsi="Arial"/>
      <w:sz w:val="20"/>
      <w:lang w:val="en-US"/>
    </w:rPr>
  </w:style>
  <w:style w:type="paragraph" w:customStyle="1" w:styleId="c7">
    <w:name w:val="c7"/>
    <w:basedOn w:val="Normal"/>
    <w:rsid w:val="007E37E3"/>
    <w:pPr>
      <w:widowControl w:val="0"/>
      <w:jc w:val="center"/>
    </w:pPr>
    <w:rPr>
      <w:rFonts w:ascii="Courier" w:hAnsi="Courier"/>
      <w:snapToGrid w:val="0"/>
      <w:lang w:val="en-US"/>
    </w:rPr>
  </w:style>
  <w:style w:type="paragraph" w:customStyle="1" w:styleId="p17">
    <w:name w:val="p17"/>
    <w:basedOn w:val="Normal"/>
    <w:rsid w:val="007E37E3"/>
    <w:pPr>
      <w:widowControl w:val="0"/>
      <w:tabs>
        <w:tab w:val="left" w:pos="0"/>
        <w:tab w:val="left" w:pos="199"/>
      </w:tabs>
      <w:ind w:left="199"/>
    </w:pPr>
    <w:rPr>
      <w:rFonts w:ascii="Courier" w:hAnsi="Courier"/>
      <w:snapToGrid w:val="0"/>
      <w:lang w:val="en-US"/>
    </w:rPr>
  </w:style>
  <w:style w:type="paragraph" w:customStyle="1" w:styleId="p67">
    <w:name w:val="p67"/>
    <w:basedOn w:val="Normal"/>
    <w:rsid w:val="007E37E3"/>
    <w:pPr>
      <w:widowControl w:val="0"/>
      <w:tabs>
        <w:tab w:val="left" w:pos="0"/>
        <w:tab w:val="left" w:pos="199"/>
      </w:tabs>
      <w:spacing w:line="240" w:lineRule="exact"/>
      <w:ind w:left="199"/>
    </w:pPr>
    <w:rPr>
      <w:rFonts w:ascii="Courier" w:hAnsi="Courier"/>
      <w:snapToGrid w:val="0"/>
      <w:lang w:val="en-US"/>
    </w:rPr>
  </w:style>
  <w:style w:type="paragraph" w:customStyle="1" w:styleId="p82">
    <w:name w:val="p82"/>
    <w:basedOn w:val="Normal"/>
    <w:rsid w:val="007E37E3"/>
    <w:pPr>
      <w:widowControl w:val="0"/>
      <w:tabs>
        <w:tab w:val="left" w:pos="0"/>
        <w:tab w:val="left" w:pos="619"/>
      </w:tabs>
      <w:spacing w:line="300" w:lineRule="exact"/>
      <w:ind w:left="619"/>
    </w:pPr>
    <w:rPr>
      <w:rFonts w:ascii="Courier" w:hAnsi="Courier"/>
      <w:snapToGrid w:val="0"/>
      <w:lang w:val="en-US"/>
    </w:rPr>
  </w:style>
  <w:style w:type="paragraph" w:customStyle="1" w:styleId="t79">
    <w:name w:val="t79"/>
    <w:basedOn w:val="Normal"/>
    <w:rsid w:val="007E37E3"/>
    <w:pPr>
      <w:widowControl w:val="0"/>
    </w:pPr>
    <w:rPr>
      <w:rFonts w:ascii="Courier" w:hAnsi="Courier"/>
      <w:snapToGrid w:val="0"/>
      <w:lang w:val="en-US"/>
    </w:rPr>
  </w:style>
  <w:style w:type="paragraph" w:customStyle="1" w:styleId="t81">
    <w:name w:val="t81"/>
    <w:basedOn w:val="Normal"/>
    <w:rsid w:val="007E37E3"/>
    <w:pPr>
      <w:widowControl w:val="0"/>
      <w:spacing w:line="319" w:lineRule="exact"/>
    </w:pPr>
    <w:rPr>
      <w:rFonts w:ascii="Courier" w:hAnsi="Courier"/>
      <w:snapToGrid w:val="0"/>
      <w:lang w:val="en-US"/>
    </w:rPr>
  </w:style>
  <w:style w:type="paragraph" w:styleId="EndnoteText">
    <w:name w:val="endnote text"/>
    <w:basedOn w:val="Normal"/>
    <w:semiHidden/>
    <w:rsid w:val="007E37E3"/>
    <w:pPr>
      <w:tabs>
        <w:tab w:val="left" w:pos="567"/>
      </w:tabs>
    </w:pPr>
    <w:rPr>
      <w:sz w:val="22"/>
    </w:rPr>
  </w:style>
  <w:style w:type="paragraph" w:customStyle="1" w:styleId="PIParagraph0">
    <w:name w:val="PI Paragraph"/>
    <w:basedOn w:val="paragraph"/>
    <w:rsid w:val="007E37E3"/>
    <w:pPr>
      <w:spacing w:before="0" w:after="300" w:line="380" w:lineRule="exact"/>
    </w:pPr>
    <w:rPr>
      <w:rFonts w:ascii="Arial" w:hAnsi="Arial"/>
      <w:lang w:val="en-US"/>
    </w:rPr>
  </w:style>
  <w:style w:type="paragraph" w:customStyle="1" w:styleId="PIListNumbered">
    <w:name w:val="PI List Numbered #"/>
    <w:basedOn w:val="Paragraph0"/>
    <w:rsid w:val="007E37E3"/>
    <w:pPr>
      <w:numPr>
        <w:numId w:val="1"/>
      </w:numPr>
      <w:tabs>
        <w:tab w:val="left" w:pos="432"/>
      </w:tabs>
      <w:spacing w:before="40" w:after="120" w:line="300" w:lineRule="exact"/>
      <w:jc w:val="both"/>
    </w:pPr>
  </w:style>
  <w:style w:type="paragraph" w:customStyle="1" w:styleId="Paragraph0">
    <w:name w:val="Paragraph"/>
    <w:basedOn w:val="Normal"/>
    <w:rsid w:val="007E37E3"/>
    <w:pPr>
      <w:spacing w:after="300" w:line="380" w:lineRule="exact"/>
    </w:pPr>
    <w:rPr>
      <w:rFonts w:ascii="Arial" w:hAnsi="Arial"/>
      <w:lang w:val="en-US"/>
    </w:rPr>
  </w:style>
  <w:style w:type="paragraph" w:customStyle="1" w:styleId="Table">
    <w:name w:val="Table"/>
    <w:aliases w:val="10 pt  Bold,9 pt,10 pt,Normal + Courier New"/>
    <w:basedOn w:val="Normal"/>
    <w:link w:val="TableChar"/>
    <w:rsid w:val="007E37E3"/>
    <w:pPr>
      <w:keepNext/>
      <w:keepLines/>
      <w:tabs>
        <w:tab w:val="left" w:pos="284"/>
      </w:tabs>
      <w:spacing w:before="40" w:after="20"/>
    </w:pPr>
    <w:rPr>
      <w:rFonts w:ascii="Arial" w:hAnsi="Arial"/>
      <w:sz w:val="18"/>
      <w:lang w:val="en-US"/>
    </w:rPr>
  </w:style>
  <w:style w:type="paragraph" w:customStyle="1" w:styleId="Reference">
    <w:name w:val="Reference"/>
    <w:basedOn w:val="Paragraph0"/>
    <w:rsid w:val="007E37E3"/>
    <w:pPr>
      <w:numPr>
        <w:numId w:val="2"/>
      </w:numPr>
      <w:spacing w:after="180" w:line="300" w:lineRule="exact"/>
    </w:pPr>
  </w:style>
  <w:style w:type="paragraph" w:customStyle="1" w:styleId="ListNumbered">
    <w:name w:val="List Numbered #"/>
    <w:basedOn w:val="Paragraph0"/>
    <w:rsid w:val="007E37E3"/>
    <w:pPr>
      <w:numPr>
        <w:numId w:val="5"/>
      </w:numPr>
      <w:spacing w:before="40" w:after="120" w:line="300" w:lineRule="exact"/>
    </w:pPr>
  </w:style>
  <w:style w:type="paragraph" w:customStyle="1" w:styleId="ListBulleted">
    <w:name w:val="List Bulleted"/>
    <w:basedOn w:val="Paragraph0"/>
    <w:rsid w:val="007E37E3"/>
    <w:pPr>
      <w:numPr>
        <w:numId w:val="6"/>
      </w:numPr>
      <w:spacing w:before="40" w:after="120" w:line="300" w:lineRule="exact"/>
    </w:pPr>
  </w:style>
  <w:style w:type="paragraph" w:customStyle="1" w:styleId="ListNumbered0">
    <w:name w:val="List Numbered @"/>
    <w:basedOn w:val="Paragraph0"/>
    <w:rsid w:val="007E37E3"/>
    <w:pPr>
      <w:numPr>
        <w:numId w:val="7"/>
      </w:numPr>
      <w:spacing w:before="40" w:after="120" w:line="300" w:lineRule="exact"/>
    </w:pPr>
  </w:style>
  <w:style w:type="paragraph" w:customStyle="1" w:styleId="PIListBulleted">
    <w:name w:val="PI List Bulleted"/>
    <w:basedOn w:val="Paragraph0"/>
    <w:rsid w:val="007E37E3"/>
    <w:pPr>
      <w:numPr>
        <w:numId w:val="3"/>
      </w:numPr>
      <w:spacing w:before="40" w:after="120" w:line="300" w:lineRule="exact"/>
      <w:jc w:val="both"/>
    </w:pPr>
  </w:style>
  <w:style w:type="paragraph" w:customStyle="1" w:styleId="PIParagraph">
    <w:name w:val="PI Paragraph @"/>
    <w:basedOn w:val="Paragraph0"/>
    <w:rsid w:val="007E37E3"/>
    <w:pPr>
      <w:numPr>
        <w:numId w:val="4"/>
      </w:numPr>
      <w:jc w:val="both"/>
    </w:pPr>
  </w:style>
  <w:style w:type="paragraph" w:customStyle="1" w:styleId="PIListNumbered0">
    <w:name w:val="PI List Numbered @"/>
    <w:basedOn w:val="Paragraph0"/>
    <w:rsid w:val="007E37E3"/>
    <w:pPr>
      <w:numPr>
        <w:numId w:val="8"/>
      </w:numPr>
      <w:spacing w:before="40" w:after="120" w:line="300" w:lineRule="exact"/>
      <w:jc w:val="both"/>
    </w:pPr>
  </w:style>
  <w:style w:type="paragraph" w:customStyle="1" w:styleId="TableTitle">
    <w:name w:val="Table Title"/>
    <w:basedOn w:val="Paragraph0"/>
    <w:rsid w:val="007E37E3"/>
    <w:pPr>
      <w:keepNext/>
      <w:keepLines/>
      <w:spacing w:before="40" w:after="240" w:line="300" w:lineRule="exact"/>
      <w:jc w:val="center"/>
    </w:pPr>
  </w:style>
  <w:style w:type="paragraph" w:customStyle="1" w:styleId="TableCellCenter">
    <w:name w:val="Table Cell Center"/>
    <w:basedOn w:val="Paragraph0"/>
    <w:rsid w:val="007E37E3"/>
    <w:pPr>
      <w:keepNext/>
      <w:keepLines/>
      <w:spacing w:before="50" w:after="50" w:line="240" w:lineRule="exact"/>
      <w:jc w:val="center"/>
    </w:pPr>
    <w:rPr>
      <w:sz w:val="20"/>
    </w:rPr>
  </w:style>
  <w:style w:type="paragraph" w:customStyle="1" w:styleId="TableFooter">
    <w:name w:val="Table Footer"/>
    <w:basedOn w:val="Paragraph0"/>
    <w:rsid w:val="007E37E3"/>
    <w:pPr>
      <w:keepNext/>
      <w:keepLines/>
      <w:tabs>
        <w:tab w:val="right" w:pos="144"/>
      </w:tabs>
      <w:spacing w:before="60" w:after="0" w:line="240" w:lineRule="exact"/>
      <w:ind w:left="216" w:hanging="216"/>
    </w:pPr>
    <w:rPr>
      <w:sz w:val="20"/>
    </w:rPr>
  </w:style>
  <w:style w:type="paragraph" w:customStyle="1" w:styleId="PIListParagraph">
    <w:name w:val="PI List Paragraph"/>
    <w:basedOn w:val="Paragraph0"/>
    <w:next w:val="Normal"/>
    <w:rsid w:val="007E37E3"/>
    <w:pPr>
      <w:keepNext/>
      <w:spacing w:after="120"/>
      <w:jc w:val="both"/>
    </w:pPr>
  </w:style>
  <w:style w:type="paragraph" w:customStyle="1" w:styleId="PIListItem">
    <w:name w:val="PI List Item"/>
    <w:basedOn w:val="Paragraph0"/>
    <w:rsid w:val="007E37E3"/>
    <w:pPr>
      <w:spacing w:before="40" w:after="120" w:line="300" w:lineRule="exact"/>
      <w:jc w:val="both"/>
    </w:pPr>
  </w:style>
  <w:style w:type="paragraph" w:customStyle="1" w:styleId="Level4">
    <w:name w:val="Level 4"/>
    <w:basedOn w:val="Paragraph0"/>
    <w:next w:val="Paragraph0"/>
    <w:rsid w:val="007E37E3"/>
    <w:pPr>
      <w:keepNext/>
      <w:keepLines/>
      <w:spacing w:before="60" w:after="20" w:line="300" w:lineRule="exact"/>
    </w:pPr>
    <w:rPr>
      <w:b/>
    </w:rPr>
  </w:style>
  <w:style w:type="paragraph" w:customStyle="1" w:styleId="TableCellLeft">
    <w:name w:val="Table Cell Left"/>
    <w:basedOn w:val="Paragraph0"/>
    <w:rsid w:val="007E37E3"/>
    <w:pPr>
      <w:keepNext/>
      <w:keepLines/>
      <w:spacing w:before="50" w:after="50" w:line="240" w:lineRule="exact"/>
    </w:pPr>
    <w:rPr>
      <w:sz w:val="20"/>
    </w:rPr>
  </w:style>
  <w:style w:type="paragraph" w:customStyle="1" w:styleId="TableFigureSpace">
    <w:name w:val="Table/Figure Space"/>
    <w:basedOn w:val="Paragraph0"/>
    <w:next w:val="Paragraph0"/>
    <w:rsid w:val="007E37E3"/>
    <w:pPr>
      <w:spacing w:after="40" w:line="240" w:lineRule="exact"/>
    </w:pPr>
  </w:style>
  <w:style w:type="paragraph" w:customStyle="1" w:styleId="Listlevel2">
    <w:name w:val="List level 2"/>
    <w:basedOn w:val="Normal"/>
    <w:rsid w:val="007E37E3"/>
    <w:pPr>
      <w:spacing w:before="40" w:after="20"/>
      <w:ind w:left="850" w:hanging="425"/>
    </w:pPr>
  </w:style>
  <w:style w:type="paragraph" w:customStyle="1" w:styleId="PIAnnotation">
    <w:name w:val="PI Annotation"/>
    <w:basedOn w:val="Paragraph0"/>
    <w:rsid w:val="007E37E3"/>
    <w:pPr>
      <w:framePr w:w="2304" w:hSpace="187" w:vSpace="187" w:wrap="notBeside" w:vAnchor="text" w:hAnchor="page" w:x="9361" w:y="73" w:anchorLock="1"/>
      <w:tabs>
        <w:tab w:val="left" w:pos="662"/>
        <w:tab w:val="left" w:pos="936"/>
        <w:tab w:val="left" w:pos="1411"/>
      </w:tabs>
      <w:spacing w:after="60" w:line="240" w:lineRule="exact"/>
    </w:pPr>
    <w:rPr>
      <w:rFonts w:ascii="Palatino" w:hAnsi="Palatino"/>
      <w:sz w:val="18"/>
    </w:rPr>
  </w:style>
  <w:style w:type="paragraph" w:customStyle="1" w:styleId="TableCellHead">
    <w:name w:val="Table Cell Head"/>
    <w:basedOn w:val="Paragraph0"/>
    <w:next w:val="TableCellLeft"/>
    <w:rsid w:val="007E37E3"/>
    <w:pPr>
      <w:keepNext/>
      <w:keepLines/>
      <w:spacing w:before="100" w:after="0" w:line="240" w:lineRule="exact"/>
    </w:pPr>
    <w:rPr>
      <w:rFonts w:ascii="Times New Roman" w:hAnsi="Times New Roman"/>
      <w:sz w:val="20"/>
      <w:u w:val="single"/>
    </w:rPr>
  </w:style>
  <w:style w:type="paragraph" w:styleId="BodyTextIndent">
    <w:name w:val="Body Text Indent"/>
    <w:basedOn w:val="Normal"/>
    <w:rsid w:val="007E37E3"/>
    <w:pPr>
      <w:spacing w:line="320" w:lineRule="atLeast"/>
      <w:ind w:left="720"/>
    </w:pPr>
  </w:style>
  <w:style w:type="paragraph" w:customStyle="1" w:styleId="Nottoc-headings">
    <w:name w:val="Not toc-headings"/>
    <w:basedOn w:val="Normal"/>
    <w:next w:val="Text"/>
    <w:link w:val="Nottoc-headingsChar"/>
    <w:rsid w:val="007E37E3"/>
    <w:pPr>
      <w:keepNext/>
      <w:keepLines/>
      <w:spacing w:before="240" w:after="60"/>
      <w:ind w:left="1701" w:hanging="1701"/>
    </w:pPr>
    <w:rPr>
      <w:rFonts w:ascii="Arial" w:hAnsi="Arial"/>
      <w:b/>
      <w:sz w:val="22"/>
      <w:lang w:val="en-US"/>
    </w:rPr>
  </w:style>
  <w:style w:type="paragraph" w:styleId="BodyText">
    <w:name w:val="Body Text"/>
    <w:basedOn w:val="Normal"/>
    <w:rsid w:val="007E37E3"/>
    <w:pPr>
      <w:spacing w:line="320" w:lineRule="atLeast"/>
    </w:pPr>
    <w:rPr>
      <w:color w:val="0000FF"/>
      <w:u w:val="single"/>
    </w:rPr>
  </w:style>
  <w:style w:type="paragraph" w:styleId="BodyText2">
    <w:name w:val="Body Text 2"/>
    <w:basedOn w:val="Normal"/>
    <w:rsid w:val="007E37E3"/>
    <w:pPr>
      <w:spacing w:line="320" w:lineRule="atLeast"/>
      <w:jc w:val="both"/>
    </w:pPr>
    <w:rPr>
      <w:color w:val="0000FF"/>
      <w:u w:val="single"/>
    </w:rPr>
  </w:style>
  <w:style w:type="paragraph" w:customStyle="1" w:styleId="ListItem">
    <w:name w:val="List Item"/>
    <w:basedOn w:val="Paragraph0"/>
    <w:rsid w:val="007E37E3"/>
    <w:pPr>
      <w:spacing w:before="40" w:after="120" w:line="300" w:lineRule="exact"/>
    </w:pPr>
  </w:style>
  <w:style w:type="paragraph" w:styleId="BodyTextIndent2">
    <w:name w:val="Body Text Indent 2"/>
    <w:basedOn w:val="Normal"/>
    <w:rsid w:val="007E37E3"/>
    <w:pPr>
      <w:ind w:left="284"/>
    </w:pPr>
  </w:style>
  <w:style w:type="paragraph" w:styleId="BodyTextIndent3">
    <w:name w:val="Body Text Indent 3"/>
    <w:basedOn w:val="Normal"/>
    <w:rsid w:val="007E37E3"/>
    <w:pPr>
      <w:ind w:left="284" w:hanging="284"/>
    </w:pPr>
  </w:style>
  <w:style w:type="paragraph" w:styleId="BalloonText">
    <w:name w:val="Balloon Text"/>
    <w:basedOn w:val="Normal"/>
    <w:semiHidden/>
    <w:rsid w:val="00D85A03"/>
    <w:rPr>
      <w:rFonts w:ascii="Tahoma" w:hAnsi="Tahoma" w:cs="Tahoma"/>
      <w:sz w:val="16"/>
      <w:szCs w:val="16"/>
    </w:rPr>
  </w:style>
  <w:style w:type="table" w:styleId="TableGrid">
    <w:name w:val="Table Grid"/>
    <w:basedOn w:val="TableNormal"/>
    <w:uiPriority w:val="59"/>
    <w:rsid w:val="009E36BE"/>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Char">
    <w:name w:val="Text Char"/>
    <w:basedOn w:val="DefaultParagraphFont"/>
    <w:link w:val="Text"/>
    <w:rsid w:val="00E83767"/>
    <w:rPr>
      <w:sz w:val="24"/>
      <w:lang w:val="en-GB"/>
    </w:rPr>
  </w:style>
  <w:style w:type="character" w:customStyle="1" w:styleId="TableChar">
    <w:name w:val="Table Char"/>
    <w:aliases w:val="10 pt  Bold Char,9 pt Char,10 pt Char"/>
    <w:basedOn w:val="DefaultParagraphFont"/>
    <w:link w:val="Table"/>
    <w:rsid w:val="005C09D9"/>
    <w:rPr>
      <w:rFonts w:ascii="Arial" w:hAnsi="Arial"/>
      <w:sz w:val="18"/>
      <w:lang w:val="en-US" w:eastAsia="en-US" w:bidi="ar-SA"/>
    </w:rPr>
  </w:style>
  <w:style w:type="character" w:styleId="CommentReference">
    <w:name w:val="annotation reference"/>
    <w:rsid w:val="00AD5636"/>
    <w:rPr>
      <w:sz w:val="16"/>
      <w:szCs w:val="16"/>
    </w:rPr>
  </w:style>
  <w:style w:type="paragraph" w:styleId="CommentText">
    <w:name w:val="annotation text"/>
    <w:basedOn w:val="Normal"/>
    <w:link w:val="CommentTextChar"/>
    <w:semiHidden/>
    <w:rsid w:val="00406717"/>
    <w:rPr>
      <w:sz w:val="20"/>
    </w:rPr>
  </w:style>
  <w:style w:type="paragraph" w:styleId="ListBullet3">
    <w:name w:val="List Bullet 3"/>
    <w:basedOn w:val="Normal"/>
    <w:autoRedefine/>
    <w:semiHidden/>
    <w:rsid w:val="00B52224"/>
    <w:pPr>
      <w:numPr>
        <w:numId w:val="9"/>
      </w:numPr>
    </w:pPr>
    <w:rPr>
      <w:rFonts w:eastAsia="MS Mincho"/>
      <w:lang w:val="en-US"/>
    </w:rPr>
  </w:style>
  <w:style w:type="paragraph" w:styleId="CommentSubject">
    <w:name w:val="annotation subject"/>
    <w:basedOn w:val="CommentText"/>
    <w:next w:val="CommentText"/>
    <w:link w:val="CommentSubjectChar"/>
    <w:uiPriority w:val="99"/>
    <w:semiHidden/>
    <w:unhideWhenUsed/>
    <w:rsid w:val="002324A8"/>
    <w:rPr>
      <w:b/>
      <w:bCs/>
    </w:rPr>
  </w:style>
  <w:style w:type="character" w:customStyle="1" w:styleId="CommentTextChar">
    <w:name w:val="Comment Text Char"/>
    <w:basedOn w:val="DefaultParagraphFont"/>
    <w:link w:val="CommentText"/>
    <w:semiHidden/>
    <w:rsid w:val="002324A8"/>
    <w:rPr>
      <w:lang w:val="en-GB"/>
    </w:rPr>
  </w:style>
  <w:style w:type="character" w:customStyle="1" w:styleId="CommentSubjectChar">
    <w:name w:val="Comment Subject Char"/>
    <w:basedOn w:val="CommentTextChar"/>
    <w:link w:val="CommentSubject"/>
    <w:rsid w:val="002324A8"/>
    <w:rPr>
      <w:lang w:val="en-GB"/>
    </w:rPr>
  </w:style>
  <w:style w:type="paragraph" w:customStyle="1" w:styleId="Listlevel1">
    <w:name w:val="List level 1"/>
    <w:basedOn w:val="Normal"/>
    <w:link w:val="Listlevel1Char"/>
    <w:rsid w:val="002324A8"/>
    <w:pPr>
      <w:spacing w:before="40" w:after="20"/>
      <w:ind w:left="425" w:hanging="425"/>
    </w:pPr>
    <w:rPr>
      <w:rFonts w:eastAsia="MS Mincho"/>
      <w:lang w:val="en-US"/>
    </w:rPr>
  </w:style>
  <w:style w:type="character" w:customStyle="1" w:styleId="Nottoc-headingsChar">
    <w:name w:val="Not toc-headings Char"/>
    <w:basedOn w:val="DefaultParagraphFont"/>
    <w:link w:val="Nottoc-headings"/>
    <w:rsid w:val="002324A8"/>
    <w:rPr>
      <w:rFonts w:ascii="Arial" w:hAnsi="Arial"/>
      <w:b/>
      <w:sz w:val="22"/>
    </w:rPr>
  </w:style>
  <w:style w:type="paragraph" w:customStyle="1" w:styleId="Default">
    <w:name w:val="Default"/>
    <w:rsid w:val="00A31C4B"/>
    <w:pPr>
      <w:autoSpaceDE w:val="0"/>
      <w:autoSpaceDN w:val="0"/>
      <w:adjustRightInd w:val="0"/>
    </w:pPr>
    <w:rPr>
      <w:color w:val="000000"/>
      <w:sz w:val="24"/>
      <w:szCs w:val="24"/>
    </w:rPr>
  </w:style>
  <w:style w:type="character" w:customStyle="1" w:styleId="st">
    <w:name w:val="st"/>
    <w:basedOn w:val="DefaultParagraphFont"/>
    <w:rsid w:val="003F4539"/>
  </w:style>
  <w:style w:type="paragraph" w:customStyle="1" w:styleId="Non-proportional">
    <w:name w:val="Non-proportional"/>
    <w:basedOn w:val="Normal"/>
    <w:rsid w:val="006C657A"/>
    <w:pPr>
      <w:spacing w:line="240" w:lineRule="atLeast"/>
      <w:jc w:val="both"/>
    </w:pPr>
    <w:rPr>
      <w:rFonts w:ascii="Courier New" w:eastAsia="MS Mincho" w:hAnsi="Courier New"/>
      <w:spacing w:val="-10"/>
      <w:sz w:val="18"/>
      <w:lang w:val="en-US" w:eastAsia="ja-JP"/>
    </w:rPr>
  </w:style>
  <w:style w:type="paragraph" w:customStyle="1" w:styleId="Legend">
    <w:name w:val="Legend"/>
    <w:basedOn w:val="Table"/>
    <w:rsid w:val="003E4BDD"/>
    <w:pPr>
      <w:keepNext w:val="0"/>
    </w:pPr>
    <w:rPr>
      <w:rFonts w:eastAsia="MS Mincho"/>
      <w:sz w:val="20"/>
      <w:szCs w:val="24"/>
      <w:lang w:eastAsia="ja-JP"/>
    </w:rPr>
  </w:style>
  <w:style w:type="paragraph" w:styleId="NormalWeb">
    <w:name w:val="Normal (Web)"/>
    <w:basedOn w:val="Normal"/>
    <w:uiPriority w:val="99"/>
    <w:rsid w:val="003E4BDD"/>
    <w:rPr>
      <w:rFonts w:eastAsia="MS Mincho"/>
      <w:szCs w:val="24"/>
      <w:lang w:val="en-US" w:eastAsia="ja-JP"/>
    </w:rPr>
  </w:style>
  <w:style w:type="character" w:customStyle="1" w:styleId="Listlevel1Char">
    <w:name w:val="List level 1 Char"/>
    <w:link w:val="Listlevel1"/>
    <w:rsid w:val="00401EED"/>
    <w:rPr>
      <w:rFonts w:eastAsia="MS Mincho"/>
      <w:sz w:val="24"/>
    </w:rPr>
  </w:style>
  <w:style w:type="paragraph" w:styleId="Revision">
    <w:name w:val="Revision"/>
    <w:hidden/>
    <w:uiPriority w:val="99"/>
    <w:semiHidden/>
    <w:rsid w:val="00A879EC"/>
    <w:rPr>
      <w:sz w:val="24"/>
      <w:lang w:val="en-GB"/>
    </w:rPr>
  </w:style>
  <w:style w:type="paragraph" w:styleId="ListParagraph">
    <w:name w:val="List Paragraph"/>
    <w:basedOn w:val="Normal"/>
    <w:uiPriority w:val="34"/>
    <w:qFormat/>
    <w:rsid w:val="00FC5A01"/>
    <w:pPr>
      <w:ind w:left="720"/>
    </w:pPr>
    <w:rPr>
      <w:rFonts w:ascii="Calibri" w:eastAsiaTheme="minorHAnsi" w:hAnsi="Calibri"/>
      <w:sz w:val="22"/>
      <w:szCs w:val="22"/>
      <w:lang w:val="en-US"/>
    </w:rPr>
  </w:style>
  <w:style w:type="paragraph" w:styleId="ListNumber2">
    <w:name w:val="List Number 2"/>
    <w:basedOn w:val="Normal"/>
    <w:semiHidden/>
    <w:rsid w:val="00A872F6"/>
    <w:pPr>
      <w:numPr>
        <w:numId w:val="19"/>
      </w:numPr>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296172">
      <w:bodyDiv w:val="1"/>
      <w:marLeft w:val="0"/>
      <w:marRight w:val="0"/>
      <w:marTop w:val="0"/>
      <w:marBottom w:val="0"/>
      <w:divBdr>
        <w:top w:val="none" w:sz="0" w:space="0" w:color="auto"/>
        <w:left w:val="none" w:sz="0" w:space="0" w:color="auto"/>
        <w:bottom w:val="none" w:sz="0" w:space="0" w:color="auto"/>
        <w:right w:val="none" w:sz="0" w:space="0" w:color="auto"/>
      </w:divBdr>
    </w:div>
    <w:div w:id="476993138">
      <w:bodyDiv w:val="1"/>
      <w:marLeft w:val="0"/>
      <w:marRight w:val="0"/>
      <w:marTop w:val="0"/>
      <w:marBottom w:val="0"/>
      <w:divBdr>
        <w:top w:val="none" w:sz="0" w:space="0" w:color="auto"/>
        <w:left w:val="none" w:sz="0" w:space="0" w:color="auto"/>
        <w:bottom w:val="none" w:sz="0" w:space="0" w:color="auto"/>
        <w:right w:val="none" w:sz="0" w:space="0" w:color="auto"/>
      </w:divBdr>
    </w:div>
    <w:div w:id="512106746">
      <w:bodyDiv w:val="1"/>
      <w:marLeft w:val="0"/>
      <w:marRight w:val="0"/>
      <w:marTop w:val="0"/>
      <w:marBottom w:val="0"/>
      <w:divBdr>
        <w:top w:val="none" w:sz="0" w:space="0" w:color="auto"/>
        <w:left w:val="none" w:sz="0" w:space="0" w:color="auto"/>
        <w:bottom w:val="none" w:sz="0" w:space="0" w:color="auto"/>
        <w:right w:val="none" w:sz="0" w:space="0" w:color="auto"/>
      </w:divBdr>
    </w:div>
    <w:div w:id="689180175">
      <w:bodyDiv w:val="1"/>
      <w:marLeft w:val="0"/>
      <w:marRight w:val="0"/>
      <w:marTop w:val="0"/>
      <w:marBottom w:val="0"/>
      <w:divBdr>
        <w:top w:val="none" w:sz="0" w:space="0" w:color="auto"/>
        <w:left w:val="none" w:sz="0" w:space="0" w:color="auto"/>
        <w:bottom w:val="none" w:sz="0" w:space="0" w:color="auto"/>
        <w:right w:val="none" w:sz="0" w:space="0" w:color="auto"/>
      </w:divBdr>
    </w:div>
    <w:div w:id="786856263">
      <w:bodyDiv w:val="1"/>
      <w:marLeft w:val="0"/>
      <w:marRight w:val="0"/>
      <w:marTop w:val="0"/>
      <w:marBottom w:val="0"/>
      <w:divBdr>
        <w:top w:val="none" w:sz="0" w:space="0" w:color="auto"/>
        <w:left w:val="none" w:sz="0" w:space="0" w:color="auto"/>
        <w:bottom w:val="none" w:sz="0" w:space="0" w:color="auto"/>
        <w:right w:val="none" w:sz="0" w:space="0" w:color="auto"/>
      </w:divBdr>
    </w:div>
    <w:div w:id="1075322559">
      <w:bodyDiv w:val="1"/>
      <w:marLeft w:val="0"/>
      <w:marRight w:val="0"/>
      <w:marTop w:val="0"/>
      <w:marBottom w:val="0"/>
      <w:divBdr>
        <w:top w:val="none" w:sz="0" w:space="0" w:color="auto"/>
        <w:left w:val="none" w:sz="0" w:space="0" w:color="auto"/>
        <w:bottom w:val="none" w:sz="0" w:space="0" w:color="auto"/>
        <w:right w:val="none" w:sz="0" w:space="0" w:color="auto"/>
      </w:divBdr>
    </w:div>
    <w:div w:id="1079912837">
      <w:bodyDiv w:val="1"/>
      <w:marLeft w:val="0"/>
      <w:marRight w:val="0"/>
      <w:marTop w:val="0"/>
      <w:marBottom w:val="0"/>
      <w:divBdr>
        <w:top w:val="none" w:sz="0" w:space="0" w:color="auto"/>
        <w:left w:val="none" w:sz="0" w:space="0" w:color="auto"/>
        <w:bottom w:val="none" w:sz="0" w:space="0" w:color="auto"/>
        <w:right w:val="none" w:sz="0" w:space="0" w:color="auto"/>
      </w:divBdr>
    </w:div>
    <w:div w:id="1287156068">
      <w:bodyDiv w:val="1"/>
      <w:marLeft w:val="0"/>
      <w:marRight w:val="0"/>
      <w:marTop w:val="0"/>
      <w:marBottom w:val="0"/>
      <w:divBdr>
        <w:top w:val="none" w:sz="0" w:space="0" w:color="auto"/>
        <w:left w:val="none" w:sz="0" w:space="0" w:color="auto"/>
        <w:bottom w:val="none" w:sz="0" w:space="0" w:color="auto"/>
        <w:right w:val="none" w:sz="0" w:space="0" w:color="auto"/>
      </w:divBdr>
    </w:div>
    <w:div w:id="1354502371">
      <w:bodyDiv w:val="1"/>
      <w:marLeft w:val="0"/>
      <w:marRight w:val="0"/>
      <w:marTop w:val="0"/>
      <w:marBottom w:val="0"/>
      <w:divBdr>
        <w:top w:val="none" w:sz="0" w:space="0" w:color="auto"/>
        <w:left w:val="none" w:sz="0" w:space="0" w:color="auto"/>
        <w:bottom w:val="none" w:sz="0" w:space="0" w:color="auto"/>
        <w:right w:val="none" w:sz="0" w:space="0" w:color="auto"/>
      </w:divBdr>
    </w:div>
    <w:div w:id="1654597549">
      <w:bodyDiv w:val="1"/>
      <w:marLeft w:val="0"/>
      <w:marRight w:val="0"/>
      <w:marTop w:val="0"/>
      <w:marBottom w:val="0"/>
      <w:divBdr>
        <w:top w:val="none" w:sz="0" w:space="0" w:color="auto"/>
        <w:left w:val="none" w:sz="0" w:space="0" w:color="auto"/>
        <w:bottom w:val="none" w:sz="0" w:space="0" w:color="auto"/>
        <w:right w:val="none" w:sz="0" w:space="0" w:color="auto"/>
      </w:divBdr>
    </w:div>
    <w:div w:id="1996374537">
      <w:bodyDiv w:val="1"/>
      <w:marLeft w:val="0"/>
      <w:marRight w:val="0"/>
      <w:marTop w:val="0"/>
      <w:marBottom w:val="0"/>
      <w:divBdr>
        <w:top w:val="none" w:sz="0" w:space="0" w:color="auto"/>
        <w:left w:val="none" w:sz="0" w:space="0" w:color="auto"/>
        <w:bottom w:val="none" w:sz="0" w:space="0" w:color="auto"/>
        <w:right w:val="none" w:sz="0" w:space="0" w:color="auto"/>
      </w:divBdr>
    </w:div>
    <w:div w:id="201590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9.wmf"/><Relationship Id="rId5" Type="http://schemas.openxmlformats.org/officeDocument/2006/relationships/customXml" Target="../customXml/item5.xml"/><Relationship Id="rId15" Type="http://schemas.openxmlformats.org/officeDocument/2006/relationships/chart" Target="charts/chart2.xml"/><Relationship Id="rId23" Type="http://schemas.openxmlformats.org/officeDocument/2006/relationships/image" Target="media/image8.wmf"/><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1.xml"/><Relationship Id="rId22" Type="http://schemas.openxmlformats.org/officeDocument/2006/relationships/image" Target="media/image7.png"/><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691232784706178E-2"/>
          <c:y val="0.23868995303189855"/>
          <c:w val="0.90061909370920501"/>
          <c:h val="0.61193840358643192"/>
        </c:manualLayout>
      </c:layout>
      <c:scatterChart>
        <c:scatterStyle val="lineMarker"/>
        <c:varyColors val="0"/>
        <c:ser>
          <c:idx val="0"/>
          <c:order val="0"/>
          <c:tx>
            <c:strRef>
              <c:f>Sheet1!$B$1</c:f>
              <c:strCache>
                <c:ptCount val="1"/>
                <c:pt idx="0">
                  <c:v>Placebo</c:v>
                </c:pt>
              </c:strCache>
            </c:strRef>
          </c:tx>
          <c:spPr>
            <a:ln w="18997" cmpd="sng">
              <a:solidFill>
                <a:schemeClr val="tx1"/>
              </a:solidFill>
              <a:prstDash val="solid"/>
            </a:ln>
            <a:effectLst/>
          </c:spPr>
          <c:marker>
            <c:symbol val="circle"/>
            <c:size val="4"/>
            <c:spPr>
              <a:solidFill>
                <a:schemeClr val="tx1"/>
              </a:solidFill>
              <a:ln>
                <a:solidFill>
                  <a:prstClr val="black"/>
                </a:solidFill>
                <a:prstDash val="solid"/>
              </a:ln>
            </c:spPr>
          </c:marker>
          <c:xVal>
            <c:numRef>
              <c:f>Sheet1!$A$2:$A$42</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xVal>
          <c:yVal>
            <c:numRef>
              <c:f>Sheet1!$B$2:$B$42</c:f>
              <c:numCache>
                <c:formatCode>General</c:formatCode>
                <c:ptCount val="41"/>
                <c:pt idx="0">
                  <c:v>14.36875</c:v>
                </c:pt>
                <c:pt idx="1">
                  <c:v>12.343854166666667</c:v>
                </c:pt>
                <c:pt idx="2">
                  <c:v>11.220833333333333</c:v>
                </c:pt>
                <c:pt idx="3">
                  <c:v>10.576458333333335</c:v>
                </c:pt>
                <c:pt idx="4">
                  <c:v>11.173854166666667</c:v>
                </c:pt>
                <c:pt idx="5">
                  <c:v>10.008125</c:v>
                </c:pt>
                <c:pt idx="6">
                  <c:v>9.9401041666666679</c:v>
                </c:pt>
                <c:pt idx="7">
                  <c:v>10.266145833333335</c:v>
                </c:pt>
                <c:pt idx="8">
                  <c:v>10.521249999999998</c:v>
                </c:pt>
                <c:pt idx="9">
                  <c:v>10.622499999999999</c:v>
                </c:pt>
                <c:pt idx="10">
                  <c:v>10.372916666666667</c:v>
                </c:pt>
                <c:pt idx="11">
                  <c:v>10.509375</c:v>
                </c:pt>
                <c:pt idx="12">
                  <c:v>10.7346875</c:v>
                </c:pt>
                <c:pt idx="13">
                  <c:v>10.908541666666668</c:v>
                </c:pt>
                <c:pt idx="14">
                  <c:v>9.9770833333333329</c:v>
                </c:pt>
                <c:pt idx="15">
                  <c:v>9.9312500000000004</c:v>
                </c:pt>
                <c:pt idx="16">
                  <c:v>10.025</c:v>
                </c:pt>
                <c:pt idx="17">
                  <c:v>9.4447916666666671</c:v>
                </c:pt>
                <c:pt idx="18">
                  <c:v>9.640625</c:v>
                </c:pt>
                <c:pt idx="19">
                  <c:v>9.6724999999999994</c:v>
                </c:pt>
                <c:pt idx="20">
                  <c:v>9.4709375000000016</c:v>
                </c:pt>
                <c:pt idx="21">
                  <c:v>9.3506249999999991</c:v>
                </c:pt>
                <c:pt idx="22">
                  <c:v>9.0341666666666676</c:v>
                </c:pt>
                <c:pt idx="23">
                  <c:v>9.1203125000000007</c:v>
                </c:pt>
                <c:pt idx="24">
                  <c:v>8.9635416666666679</c:v>
                </c:pt>
                <c:pt idx="25">
                  <c:v>9.5695833333333322</c:v>
                </c:pt>
                <c:pt idx="26">
                  <c:v>9.716666666666665</c:v>
                </c:pt>
                <c:pt idx="27">
                  <c:v>9.7525000000000013</c:v>
                </c:pt>
                <c:pt idx="28">
                  <c:v>9.6645833333333329</c:v>
                </c:pt>
                <c:pt idx="29">
                  <c:v>9.7718749999999996</c:v>
                </c:pt>
                <c:pt idx="30">
                  <c:v>9.8583333333333343</c:v>
                </c:pt>
                <c:pt idx="31">
                  <c:v>10.24375</c:v>
                </c:pt>
                <c:pt idx="32">
                  <c:v>10.270833333333332</c:v>
                </c:pt>
                <c:pt idx="33">
                  <c:v>10.136458333333334</c:v>
                </c:pt>
                <c:pt idx="34">
                  <c:v>9.9052083333333343</c:v>
                </c:pt>
                <c:pt idx="35">
                  <c:v>10.060208333333332</c:v>
                </c:pt>
                <c:pt idx="36">
                  <c:v>9.8547916666666673</c:v>
                </c:pt>
                <c:pt idx="37">
                  <c:v>10.111666666666668</c:v>
                </c:pt>
                <c:pt idx="38">
                  <c:v>9.9572916666666664</c:v>
                </c:pt>
                <c:pt idx="39">
                  <c:v>10.098333333333333</c:v>
                </c:pt>
                <c:pt idx="40">
                  <c:v>10.4590625</c:v>
                </c:pt>
              </c:numCache>
            </c:numRef>
          </c:yVal>
          <c:smooth val="0"/>
        </c:ser>
        <c:ser>
          <c:idx val="1"/>
          <c:order val="1"/>
          <c:tx>
            <c:strRef>
              <c:f>Sheet1!$C$1</c:f>
              <c:strCache>
                <c:ptCount val="1"/>
                <c:pt idx="0">
                  <c:v>Omalizumab 150 mg</c:v>
                </c:pt>
              </c:strCache>
            </c:strRef>
          </c:tx>
          <c:spPr>
            <a:ln w="18997" cmpd="sng">
              <a:solidFill>
                <a:srgbClr val="00B050"/>
              </a:solidFill>
              <a:prstDash val="sysDot"/>
            </a:ln>
          </c:spPr>
          <c:marker>
            <c:symbol val="triangle"/>
            <c:size val="4"/>
            <c:spPr>
              <a:solidFill>
                <a:srgbClr val="00B050"/>
              </a:solidFill>
              <a:ln>
                <a:solidFill>
                  <a:srgbClr val="00B050"/>
                </a:solidFill>
              </a:ln>
            </c:spPr>
          </c:marker>
          <c:xVal>
            <c:numRef>
              <c:f>Sheet1!$A$2:$A$42</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xVal>
          <c:yVal>
            <c:numRef>
              <c:f>Sheet1!$C$2:$C$42</c:f>
              <c:numCache>
                <c:formatCode>General</c:formatCode>
                <c:ptCount val="41"/>
                <c:pt idx="0">
                  <c:v>14.09375</c:v>
                </c:pt>
                <c:pt idx="1">
                  <c:v>10.851041666666665</c:v>
                </c:pt>
                <c:pt idx="2">
                  <c:v>9.051874999999999</c:v>
                </c:pt>
                <c:pt idx="3">
                  <c:v>8.7177083333333343</c:v>
                </c:pt>
                <c:pt idx="4">
                  <c:v>9.3842708333333338</c:v>
                </c:pt>
                <c:pt idx="5">
                  <c:v>8.8843750000000004</c:v>
                </c:pt>
                <c:pt idx="6">
                  <c:v>7.9609375000000018</c:v>
                </c:pt>
                <c:pt idx="7">
                  <c:v>7.2078125000000002</c:v>
                </c:pt>
                <c:pt idx="8">
                  <c:v>7.4022916666666676</c:v>
                </c:pt>
                <c:pt idx="9">
                  <c:v>7.1932291666666659</c:v>
                </c:pt>
                <c:pt idx="10">
                  <c:v>6.7489583333333325</c:v>
                </c:pt>
                <c:pt idx="11">
                  <c:v>6.5666666666666655</c:v>
                </c:pt>
                <c:pt idx="12">
                  <c:v>7.4387500000000006</c:v>
                </c:pt>
                <c:pt idx="13">
                  <c:v>7.5544791666666651</c:v>
                </c:pt>
                <c:pt idx="14">
                  <c:v>6.8583333333333325</c:v>
                </c:pt>
                <c:pt idx="15">
                  <c:v>7.1599999999999993</c:v>
                </c:pt>
                <c:pt idx="16">
                  <c:v>7.3997916666666654</c:v>
                </c:pt>
                <c:pt idx="17">
                  <c:v>7.3833333333333346</c:v>
                </c:pt>
                <c:pt idx="18">
                  <c:v>6.5812499999999998</c:v>
                </c:pt>
                <c:pt idx="19">
                  <c:v>6.5531249999999996</c:v>
                </c:pt>
                <c:pt idx="20">
                  <c:v>6.7390625000000002</c:v>
                </c:pt>
                <c:pt idx="21">
                  <c:v>7.9353125000000002</c:v>
                </c:pt>
                <c:pt idx="22">
                  <c:v>7.5556250000000009</c:v>
                </c:pt>
                <c:pt idx="23">
                  <c:v>7.4</c:v>
                </c:pt>
                <c:pt idx="24">
                  <c:v>7.6268750000000001</c:v>
                </c:pt>
                <c:pt idx="25">
                  <c:v>8.2614583333333336</c:v>
                </c:pt>
                <c:pt idx="26">
                  <c:v>9.3583333333333325</c:v>
                </c:pt>
                <c:pt idx="27">
                  <c:v>9.5610416666666662</c:v>
                </c:pt>
                <c:pt idx="28">
                  <c:v>9.9970833333333324</c:v>
                </c:pt>
                <c:pt idx="29">
                  <c:v>9.9848958333333329</c:v>
                </c:pt>
                <c:pt idx="30">
                  <c:v>9.85</c:v>
                </c:pt>
                <c:pt idx="31">
                  <c:v>10.025000000000002</c:v>
                </c:pt>
                <c:pt idx="32">
                  <c:v>9.7554166666666671</c:v>
                </c:pt>
                <c:pt idx="33">
                  <c:v>10.315520833333334</c:v>
                </c:pt>
                <c:pt idx="34">
                  <c:v>10.041666666666668</c:v>
                </c:pt>
                <c:pt idx="35">
                  <c:v>9.9054166666666674</c:v>
                </c:pt>
                <c:pt idx="36">
                  <c:v>10.134895833333335</c:v>
                </c:pt>
                <c:pt idx="37">
                  <c:v>10.074999999999999</c:v>
                </c:pt>
                <c:pt idx="38">
                  <c:v>10.030416666666667</c:v>
                </c:pt>
                <c:pt idx="39">
                  <c:v>10.139999999999999</c:v>
                </c:pt>
                <c:pt idx="40">
                  <c:v>10.115416666666667</c:v>
                </c:pt>
              </c:numCache>
            </c:numRef>
          </c:yVal>
          <c:smooth val="0"/>
        </c:ser>
        <c:ser>
          <c:idx val="2"/>
          <c:order val="2"/>
          <c:tx>
            <c:strRef>
              <c:f>Sheet1!$D$1</c:f>
              <c:strCache>
                <c:ptCount val="1"/>
                <c:pt idx="0">
                  <c:v>Omalizumab 300 mg</c:v>
                </c:pt>
              </c:strCache>
            </c:strRef>
          </c:tx>
          <c:spPr>
            <a:ln w="18997">
              <a:solidFill>
                <a:srgbClr val="0070C0"/>
              </a:solidFill>
              <a:prstDash val="dashDot"/>
            </a:ln>
          </c:spPr>
          <c:marker>
            <c:symbol val="circle"/>
            <c:size val="4"/>
            <c:spPr>
              <a:solidFill>
                <a:srgbClr val="0070C0"/>
              </a:solidFill>
              <a:ln>
                <a:solidFill>
                  <a:srgbClr val="0070C0"/>
                </a:solidFill>
              </a:ln>
            </c:spPr>
          </c:marker>
          <c:xVal>
            <c:numRef>
              <c:f>Sheet1!$A$2:$A$42</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xVal>
          <c:yVal>
            <c:numRef>
              <c:f>Sheet1!$D$2:$D$42</c:f>
              <c:numCache>
                <c:formatCode>General</c:formatCode>
                <c:ptCount val="41"/>
                <c:pt idx="0">
                  <c:v>14.197530864197532</c:v>
                </c:pt>
                <c:pt idx="1">
                  <c:v>8.8600823045267489</c:v>
                </c:pt>
                <c:pt idx="2">
                  <c:v>6.4907407407407405</c:v>
                </c:pt>
                <c:pt idx="3">
                  <c:v>6.1358024691358022</c:v>
                </c:pt>
                <c:pt idx="4">
                  <c:v>6.4304526748971194</c:v>
                </c:pt>
                <c:pt idx="5">
                  <c:v>5.9286008230452678</c:v>
                </c:pt>
                <c:pt idx="6">
                  <c:v>5.2798353909465021</c:v>
                </c:pt>
                <c:pt idx="7">
                  <c:v>5.1827160493827158</c:v>
                </c:pt>
                <c:pt idx="8">
                  <c:v>5.7521604938271613</c:v>
                </c:pt>
                <c:pt idx="9">
                  <c:v>5.8437242798353912</c:v>
                </c:pt>
                <c:pt idx="10">
                  <c:v>5.0244855967078195</c:v>
                </c:pt>
                <c:pt idx="11">
                  <c:v>4.7700617283950617</c:v>
                </c:pt>
                <c:pt idx="12">
                  <c:v>4.8006172839506167</c:v>
                </c:pt>
                <c:pt idx="13">
                  <c:v>5.5209876543209866</c:v>
                </c:pt>
                <c:pt idx="14">
                  <c:v>5.1028806584362147</c:v>
                </c:pt>
                <c:pt idx="15">
                  <c:v>5.4192386831275714</c:v>
                </c:pt>
                <c:pt idx="16">
                  <c:v>5.2783950617283955</c:v>
                </c:pt>
                <c:pt idx="17">
                  <c:v>5.5943415637860072</c:v>
                </c:pt>
                <c:pt idx="18">
                  <c:v>4.5730452674897117</c:v>
                </c:pt>
                <c:pt idx="19">
                  <c:v>4.2748971193415635</c:v>
                </c:pt>
                <c:pt idx="20">
                  <c:v>4.7020576131687246</c:v>
                </c:pt>
                <c:pt idx="21">
                  <c:v>4.5000000000000009</c:v>
                </c:pt>
                <c:pt idx="22">
                  <c:v>4.151851851851851</c:v>
                </c:pt>
                <c:pt idx="23">
                  <c:v>4.0257201646090541</c:v>
                </c:pt>
                <c:pt idx="24">
                  <c:v>4.3611111111111107</c:v>
                </c:pt>
                <c:pt idx="25">
                  <c:v>4.9310699588477371</c:v>
                </c:pt>
                <c:pt idx="26">
                  <c:v>5.4300411522633754</c:v>
                </c:pt>
                <c:pt idx="27">
                  <c:v>6.2932098765432096</c:v>
                </c:pt>
                <c:pt idx="28">
                  <c:v>6.8626543209876543</c:v>
                </c:pt>
                <c:pt idx="29">
                  <c:v>7.6584362139917701</c:v>
                </c:pt>
                <c:pt idx="30">
                  <c:v>8.50761316872428</c:v>
                </c:pt>
                <c:pt idx="31">
                  <c:v>9.007201646090536</c:v>
                </c:pt>
                <c:pt idx="32">
                  <c:v>9.6275720164609044</c:v>
                </c:pt>
                <c:pt idx="33">
                  <c:v>10.037037037037036</c:v>
                </c:pt>
                <c:pt idx="34">
                  <c:v>10.348765432098766</c:v>
                </c:pt>
                <c:pt idx="35">
                  <c:v>10.152263374485596</c:v>
                </c:pt>
                <c:pt idx="36">
                  <c:v>10.016666666666667</c:v>
                </c:pt>
                <c:pt idx="37">
                  <c:v>10.753703703703703</c:v>
                </c:pt>
                <c:pt idx="38">
                  <c:v>10.789094650205762</c:v>
                </c:pt>
                <c:pt idx="39">
                  <c:v>10.61522633744856</c:v>
                </c:pt>
                <c:pt idx="40">
                  <c:v>10.985390946502058</c:v>
                </c:pt>
              </c:numCache>
            </c:numRef>
          </c:yVal>
          <c:smooth val="0"/>
        </c:ser>
        <c:dLbls>
          <c:showLegendKey val="0"/>
          <c:showVal val="0"/>
          <c:showCatName val="0"/>
          <c:showSerName val="0"/>
          <c:showPercent val="0"/>
          <c:showBubbleSize val="0"/>
        </c:dLbls>
        <c:axId val="257838080"/>
        <c:axId val="485492992"/>
      </c:scatterChart>
      <c:valAx>
        <c:axId val="257838080"/>
        <c:scaling>
          <c:orientation val="minMax"/>
          <c:max val="40"/>
          <c:min val="0"/>
        </c:scaling>
        <c:delete val="0"/>
        <c:axPos val="b"/>
        <c:numFmt formatCode="General" sourceLinked="1"/>
        <c:majorTickMark val="out"/>
        <c:minorTickMark val="none"/>
        <c:tickLblPos val="nextTo"/>
        <c:txPr>
          <a:bodyPr rot="0" vert="horz"/>
          <a:lstStyle/>
          <a:p>
            <a:pPr>
              <a:defRPr sz="1097" b="0" i="0" u="none" strike="noStrike" baseline="0">
                <a:solidFill>
                  <a:srgbClr val="000000"/>
                </a:solidFill>
                <a:latin typeface="Times New Roman"/>
                <a:ea typeface="Times New Roman"/>
                <a:cs typeface="Times New Roman"/>
              </a:defRPr>
            </a:pPr>
            <a:endParaRPr lang="en-US"/>
          </a:p>
        </c:txPr>
        <c:crossAx val="485492992"/>
        <c:crossesAt val="-25"/>
        <c:crossBetween val="midCat"/>
        <c:majorUnit val="4"/>
      </c:valAx>
      <c:valAx>
        <c:axId val="485492992"/>
        <c:scaling>
          <c:orientation val="minMax"/>
          <c:max val="15"/>
          <c:min val="0"/>
        </c:scaling>
        <c:delete val="0"/>
        <c:axPos val="l"/>
        <c:numFmt formatCode="General" sourceLinked="1"/>
        <c:majorTickMark val="out"/>
        <c:minorTickMark val="none"/>
        <c:tickLblPos val="nextTo"/>
        <c:txPr>
          <a:bodyPr/>
          <a:lstStyle/>
          <a:p>
            <a:pPr>
              <a:defRPr sz="1097">
                <a:latin typeface="Times New Roman" pitchFamily="18" charset="0"/>
                <a:cs typeface="Times New Roman" pitchFamily="18" charset="0"/>
              </a:defRPr>
            </a:pPr>
            <a:endParaRPr lang="en-US"/>
          </a:p>
        </c:txPr>
        <c:crossAx val="257838080"/>
        <c:crosses val="autoZero"/>
        <c:crossBetween val="midCat"/>
        <c:majorUnit val="5"/>
      </c:valAx>
    </c:plotArea>
    <c:plotVisOnly val="1"/>
    <c:dispBlanksAs val="gap"/>
    <c:showDLblsOverMax val="0"/>
  </c:chart>
  <c:spPr>
    <a:ln>
      <a:noFill/>
    </a:ln>
  </c:spPr>
  <c:txPr>
    <a:bodyPr/>
    <a:lstStyle/>
    <a:p>
      <a:pPr>
        <a:defRPr sz="1795"/>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2422729932299854E-2"/>
          <c:y val="0.24345116155285512"/>
          <c:w val="0.90061909370920501"/>
          <c:h val="0.61193840358643103"/>
        </c:manualLayout>
      </c:layout>
      <c:scatterChart>
        <c:scatterStyle val="lineMarker"/>
        <c:varyColors val="0"/>
        <c:ser>
          <c:idx val="0"/>
          <c:order val="0"/>
          <c:tx>
            <c:strRef>
              <c:f>Sheet1!$B$1</c:f>
              <c:strCache>
                <c:ptCount val="1"/>
                <c:pt idx="0">
                  <c:v>Placebo</c:v>
                </c:pt>
              </c:strCache>
            </c:strRef>
          </c:tx>
          <c:spPr>
            <a:ln w="18997" cmpd="sng">
              <a:solidFill>
                <a:schemeClr val="tx1"/>
              </a:solidFill>
              <a:prstDash val="solid"/>
            </a:ln>
            <a:effectLst/>
          </c:spPr>
          <c:marker>
            <c:symbol val="circle"/>
            <c:size val="4"/>
            <c:spPr>
              <a:solidFill>
                <a:schemeClr val="tx1"/>
              </a:solidFill>
              <a:ln>
                <a:solidFill>
                  <a:prstClr val="black"/>
                </a:solidFill>
                <a:prstDash val="solid"/>
              </a:ln>
            </c:spPr>
          </c:marker>
          <c:xVal>
            <c:numRef>
              <c:f>Sheet1!$A$2:$A$42</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xVal>
          <c:yVal>
            <c:numRef>
              <c:f>Sheet1!$B$2:$B$42</c:f>
              <c:numCache>
                <c:formatCode>General</c:formatCode>
                <c:ptCount val="41"/>
                <c:pt idx="0">
                  <c:v>31.1</c:v>
                </c:pt>
                <c:pt idx="1">
                  <c:v>27.071979166666665</c:v>
                </c:pt>
                <c:pt idx="2">
                  <c:v>24.78125</c:v>
                </c:pt>
                <c:pt idx="3">
                  <c:v>23.505937499999998</c:v>
                </c:pt>
                <c:pt idx="4">
                  <c:v>24.656354166666667</c:v>
                </c:pt>
                <c:pt idx="5">
                  <c:v>22.506875000000001</c:v>
                </c:pt>
                <c:pt idx="6">
                  <c:v>22.022916666666667</c:v>
                </c:pt>
                <c:pt idx="7">
                  <c:v>22.734895833333333</c:v>
                </c:pt>
                <c:pt idx="8">
                  <c:v>23.313333333333329</c:v>
                </c:pt>
                <c:pt idx="9">
                  <c:v>22.960833333333333</c:v>
                </c:pt>
                <c:pt idx="10">
                  <c:v>22.857500000000002</c:v>
                </c:pt>
                <c:pt idx="11">
                  <c:v>22.953125</c:v>
                </c:pt>
                <c:pt idx="12">
                  <c:v>23.094687499999999</c:v>
                </c:pt>
                <c:pt idx="13">
                  <c:v>23.583437500000002</c:v>
                </c:pt>
                <c:pt idx="14">
                  <c:v>21.347916666666666</c:v>
                </c:pt>
                <c:pt idx="15">
                  <c:v>21.201041666666665</c:v>
                </c:pt>
                <c:pt idx="16">
                  <c:v>21.314583333333335</c:v>
                </c:pt>
                <c:pt idx="17">
                  <c:v>20.285208333333333</c:v>
                </c:pt>
                <c:pt idx="18">
                  <c:v>20.855208333333334</c:v>
                </c:pt>
                <c:pt idx="19">
                  <c:v>21.042291666666667</c:v>
                </c:pt>
                <c:pt idx="20">
                  <c:v>20.56208333333333</c:v>
                </c:pt>
                <c:pt idx="21">
                  <c:v>20.238958333333333</c:v>
                </c:pt>
                <c:pt idx="22">
                  <c:v>19.532291666666669</c:v>
                </c:pt>
                <c:pt idx="23">
                  <c:v>19.80885416666667</c:v>
                </c:pt>
                <c:pt idx="24">
                  <c:v>19.372395833333336</c:v>
                </c:pt>
                <c:pt idx="25">
                  <c:v>20.499375000000001</c:v>
                </c:pt>
                <c:pt idx="26">
                  <c:v>20.959375000000001</c:v>
                </c:pt>
                <c:pt idx="27">
                  <c:v>21.193541666666665</c:v>
                </c:pt>
                <c:pt idx="28">
                  <c:v>20.596875000000001</c:v>
                </c:pt>
                <c:pt idx="29">
                  <c:v>20.891666666666666</c:v>
                </c:pt>
                <c:pt idx="30">
                  <c:v>20.998958333333334</c:v>
                </c:pt>
                <c:pt idx="31">
                  <c:v>21.892500000000002</c:v>
                </c:pt>
                <c:pt idx="32">
                  <c:v>22.13645833333333</c:v>
                </c:pt>
                <c:pt idx="33">
                  <c:v>21.621874999999996</c:v>
                </c:pt>
                <c:pt idx="34">
                  <c:v>21.173437499999999</c:v>
                </c:pt>
                <c:pt idx="35">
                  <c:v>21.963750000000001</c:v>
                </c:pt>
                <c:pt idx="36">
                  <c:v>21.113958333333333</c:v>
                </c:pt>
                <c:pt idx="37">
                  <c:v>21.577500000000001</c:v>
                </c:pt>
                <c:pt idx="38">
                  <c:v>21.188541666666669</c:v>
                </c:pt>
                <c:pt idx="39">
                  <c:v>21.582916666666666</c:v>
                </c:pt>
                <c:pt idx="40">
                  <c:v>22.073749999999997</c:v>
                </c:pt>
              </c:numCache>
            </c:numRef>
          </c:yVal>
          <c:smooth val="0"/>
        </c:ser>
        <c:ser>
          <c:idx val="1"/>
          <c:order val="1"/>
          <c:tx>
            <c:strRef>
              <c:f>Sheet1!$C$1</c:f>
              <c:strCache>
                <c:ptCount val="1"/>
                <c:pt idx="0">
                  <c:v>Omalizumab 150 mg</c:v>
                </c:pt>
              </c:strCache>
            </c:strRef>
          </c:tx>
          <c:spPr>
            <a:ln w="18997" cmpd="sng">
              <a:solidFill>
                <a:srgbClr val="00B050"/>
              </a:solidFill>
              <a:prstDash val="sysDot"/>
            </a:ln>
          </c:spPr>
          <c:marker>
            <c:symbol val="triangle"/>
            <c:size val="4"/>
            <c:spPr>
              <a:solidFill>
                <a:srgbClr val="00B050"/>
              </a:solidFill>
              <a:ln>
                <a:solidFill>
                  <a:srgbClr val="00B050"/>
                </a:solidFill>
              </a:ln>
            </c:spPr>
          </c:marker>
          <c:xVal>
            <c:numRef>
              <c:f>Sheet1!$A$2:$A$42</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xVal>
          <c:yVal>
            <c:numRef>
              <c:f>Sheet1!$C$2:$C$42</c:f>
              <c:numCache>
                <c:formatCode>General</c:formatCode>
                <c:ptCount val="41"/>
                <c:pt idx="0">
                  <c:v>30.262499999999999</c:v>
                </c:pt>
                <c:pt idx="1">
                  <c:v>24.001041666666669</c:v>
                </c:pt>
                <c:pt idx="2">
                  <c:v>19.696041666666666</c:v>
                </c:pt>
                <c:pt idx="3">
                  <c:v>18.944791666666667</c:v>
                </c:pt>
                <c:pt idx="4">
                  <c:v>20.750208333333333</c:v>
                </c:pt>
                <c:pt idx="5">
                  <c:v>19.091562500000002</c:v>
                </c:pt>
                <c:pt idx="6">
                  <c:v>17.21510416666667</c:v>
                </c:pt>
                <c:pt idx="7">
                  <c:v>15.375624999999999</c:v>
                </c:pt>
                <c:pt idx="8">
                  <c:v>16.148125</c:v>
                </c:pt>
                <c:pt idx="9">
                  <c:v>15.749895833333332</c:v>
                </c:pt>
                <c:pt idx="10">
                  <c:v>14.360416666666666</c:v>
                </c:pt>
                <c:pt idx="11">
                  <c:v>14.009166666666664</c:v>
                </c:pt>
                <c:pt idx="12">
                  <c:v>15.827500000000001</c:v>
                </c:pt>
                <c:pt idx="13">
                  <c:v>15.990729166666664</c:v>
                </c:pt>
                <c:pt idx="14">
                  <c:v>14.316666666666666</c:v>
                </c:pt>
                <c:pt idx="15">
                  <c:v>14.955833333333331</c:v>
                </c:pt>
                <c:pt idx="16">
                  <c:v>15.723125</c:v>
                </c:pt>
                <c:pt idx="17">
                  <c:v>15.729374999999999</c:v>
                </c:pt>
                <c:pt idx="18">
                  <c:v>14.128958333333333</c:v>
                </c:pt>
                <c:pt idx="19">
                  <c:v>14.178125</c:v>
                </c:pt>
                <c:pt idx="20">
                  <c:v>14.567187499999999</c:v>
                </c:pt>
                <c:pt idx="21">
                  <c:v>16.732083333333332</c:v>
                </c:pt>
                <c:pt idx="22">
                  <c:v>16.241041666666668</c:v>
                </c:pt>
                <c:pt idx="23">
                  <c:v>15.639583333333334</c:v>
                </c:pt>
                <c:pt idx="24">
                  <c:v>16.050625</c:v>
                </c:pt>
                <c:pt idx="25">
                  <c:v>17.604583333333334</c:v>
                </c:pt>
                <c:pt idx="26">
                  <c:v>20.037499999999998</c:v>
                </c:pt>
                <c:pt idx="27">
                  <c:v>20.473958333333336</c:v>
                </c:pt>
                <c:pt idx="28">
                  <c:v>21.343958333333333</c:v>
                </c:pt>
                <c:pt idx="29">
                  <c:v>21.629166666666666</c:v>
                </c:pt>
                <c:pt idx="30">
                  <c:v>21.263541666666665</c:v>
                </c:pt>
                <c:pt idx="31">
                  <c:v>21.474479166666669</c:v>
                </c:pt>
                <c:pt idx="32">
                  <c:v>21.262083333333333</c:v>
                </c:pt>
                <c:pt idx="33">
                  <c:v>22.155104166666668</c:v>
                </c:pt>
                <c:pt idx="34">
                  <c:v>21.953750000000003</c:v>
                </c:pt>
                <c:pt idx="35">
                  <c:v>21.773541666666667</c:v>
                </c:pt>
                <c:pt idx="36">
                  <c:v>21.853645833333331</c:v>
                </c:pt>
                <c:pt idx="37">
                  <c:v>21.704166666666669</c:v>
                </c:pt>
                <c:pt idx="38">
                  <c:v>21.598333333333333</c:v>
                </c:pt>
                <c:pt idx="39">
                  <c:v>21.988750000000003</c:v>
                </c:pt>
                <c:pt idx="40">
                  <c:v>21.869583333333335</c:v>
                </c:pt>
              </c:numCache>
            </c:numRef>
          </c:yVal>
          <c:smooth val="0"/>
        </c:ser>
        <c:ser>
          <c:idx val="2"/>
          <c:order val="2"/>
          <c:tx>
            <c:strRef>
              <c:f>Sheet1!$D$1</c:f>
              <c:strCache>
                <c:ptCount val="1"/>
                <c:pt idx="0">
                  <c:v>Omalizumab 300 mg</c:v>
                </c:pt>
              </c:strCache>
            </c:strRef>
          </c:tx>
          <c:spPr>
            <a:ln w="18997">
              <a:solidFill>
                <a:srgbClr val="0070C0"/>
              </a:solidFill>
              <a:prstDash val="dashDot"/>
            </a:ln>
          </c:spPr>
          <c:marker>
            <c:symbol val="circle"/>
            <c:size val="4"/>
            <c:spPr>
              <a:solidFill>
                <a:srgbClr val="0070C0"/>
              </a:solidFill>
              <a:ln>
                <a:solidFill>
                  <a:srgbClr val="0070C0"/>
                </a:solidFill>
              </a:ln>
            </c:spPr>
          </c:marker>
          <c:xVal>
            <c:numRef>
              <c:f>Sheet1!$A$2:$A$42</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xVal>
          <c:yVal>
            <c:numRef>
              <c:f>Sheet1!$D$2:$D$42</c:f>
              <c:numCache>
                <c:formatCode>General</c:formatCode>
                <c:ptCount val="41"/>
                <c:pt idx="0">
                  <c:v>31.320987654320987</c:v>
                </c:pt>
                <c:pt idx="1">
                  <c:v>20.172839506172838</c:v>
                </c:pt>
                <c:pt idx="2">
                  <c:v>14.24074074074074</c:v>
                </c:pt>
                <c:pt idx="3">
                  <c:v>13.594650205761315</c:v>
                </c:pt>
                <c:pt idx="4">
                  <c:v>14.290123456790123</c:v>
                </c:pt>
                <c:pt idx="5">
                  <c:v>13.012757201646091</c:v>
                </c:pt>
                <c:pt idx="6">
                  <c:v>11.65843621399177</c:v>
                </c:pt>
                <c:pt idx="7">
                  <c:v>11.467901234567901</c:v>
                </c:pt>
                <c:pt idx="8">
                  <c:v>12.19969135802469</c:v>
                </c:pt>
                <c:pt idx="9">
                  <c:v>12.692695473251026</c:v>
                </c:pt>
                <c:pt idx="10">
                  <c:v>10.707201646090535</c:v>
                </c:pt>
                <c:pt idx="11">
                  <c:v>10.350823045267491</c:v>
                </c:pt>
                <c:pt idx="12">
                  <c:v>10.571399176954733</c:v>
                </c:pt>
                <c:pt idx="13">
                  <c:v>11.848765432098766</c:v>
                </c:pt>
                <c:pt idx="14">
                  <c:v>10.767489711934157</c:v>
                </c:pt>
                <c:pt idx="15">
                  <c:v>11.415123456790123</c:v>
                </c:pt>
                <c:pt idx="16">
                  <c:v>11.110288065843621</c:v>
                </c:pt>
                <c:pt idx="17">
                  <c:v>11.666152263374485</c:v>
                </c:pt>
                <c:pt idx="18">
                  <c:v>9.5380658436213981</c:v>
                </c:pt>
                <c:pt idx="19">
                  <c:v>8.7872427983539101</c:v>
                </c:pt>
                <c:pt idx="20">
                  <c:v>9.7636831275720173</c:v>
                </c:pt>
                <c:pt idx="21">
                  <c:v>9.5329218106995874</c:v>
                </c:pt>
                <c:pt idx="22">
                  <c:v>8.5716049382716051</c:v>
                </c:pt>
                <c:pt idx="23">
                  <c:v>8.2746913580246915</c:v>
                </c:pt>
                <c:pt idx="24">
                  <c:v>9.2067901234567895</c:v>
                </c:pt>
                <c:pt idx="25">
                  <c:v>10.157407407407407</c:v>
                </c:pt>
                <c:pt idx="26">
                  <c:v>11.313786008230451</c:v>
                </c:pt>
                <c:pt idx="27">
                  <c:v>13.047325102880661</c:v>
                </c:pt>
                <c:pt idx="28">
                  <c:v>14.528292181069958</c:v>
                </c:pt>
                <c:pt idx="29">
                  <c:v>16.344855967078189</c:v>
                </c:pt>
                <c:pt idx="30">
                  <c:v>18.63261316872428</c:v>
                </c:pt>
                <c:pt idx="31">
                  <c:v>19.468106995884774</c:v>
                </c:pt>
                <c:pt idx="32">
                  <c:v>20.695473251028805</c:v>
                </c:pt>
                <c:pt idx="33">
                  <c:v>21.546913580246915</c:v>
                </c:pt>
                <c:pt idx="34">
                  <c:v>22.260288065843621</c:v>
                </c:pt>
                <c:pt idx="35">
                  <c:v>22.405349794238685</c:v>
                </c:pt>
                <c:pt idx="36">
                  <c:v>21.904938271604937</c:v>
                </c:pt>
                <c:pt idx="37">
                  <c:v>23.435390946502057</c:v>
                </c:pt>
                <c:pt idx="38">
                  <c:v>23.390946502057613</c:v>
                </c:pt>
                <c:pt idx="39">
                  <c:v>23.055555555555557</c:v>
                </c:pt>
                <c:pt idx="40">
                  <c:v>23.871193415637865</c:v>
                </c:pt>
              </c:numCache>
            </c:numRef>
          </c:yVal>
          <c:smooth val="0"/>
        </c:ser>
        <c:ser>
          <c:idx val="3"/>
          <c:order val="3"/>
          <c:tx>
            <c:strRef>
              <c:f>Sheet1!$E$1</c:f>
              <c:strCache>
                <c:ptCount val="1"/>
              </c:strCache>
            </c:strRef>
          </c:tx>
          <c:spPr>
            <a:ln w="18997">
              <a:solidFill>
                <a:srgbClr val="0070C0"/>
              </a:solidFill>
              <a:prstDash val="dashDot"/>
            </a:ln>
          </c:spPr>
          <c:marker>
            <c:symbol val="circle"/>
            <c:size val="4"/>
            <c:spPr>
              <a:solidFill>
                <a:srgbClr val="0070C0"/>
              </a:solidFill>
              <a:ln>
                <a:solidFill>
                  <a:srgbClr val="0070C0"/>
                </a:solidFill>
              </a:ln>
            </c:spPr>
          </c:marker>
          <c:xVal>
            <c:numRef>
              <c:f>Sheet1!$A$2:$A$42</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xVal>
          <c:yVal>
            <c:numRef>
              <c:f>Sheet1!$E$2:$E$42</c:f>
              <c:numCache>
                <c:formatCode>General</c:formatCode>
                <c:ptCount val="41"/>
              </c:numCache>
            </c:numRef>
          </c:yVal>
          <c:smooth val="0"/>
        </c:ser>
        <c:dLbls>
          <c:showLegendKey val="0"/>
          <c:showVal val="0"/>
          <c:showCatName val="0"/>
          <c:showSerName val="0"/>
          <c:showPercent val="0"/>
          <c:showBubbleSize val="0"/>
        </c:dLbls>
        <c:axId val="250699136"/>
        <c:axId val="251541760"/>
      </c:scatterChart>
      <c:valAx>
        <c:axId val="250699136"/>
        <c:scaling>
          <c:orientation val="minMax"/>
          <c:max val="40"/>
          <c:min val="0"/>
        </c:scaling>
        <c:delete val="0"/>
        <c:axPos val="b"/>
        <c:numFmt formatCode="General" sourceLinked="1"/>
        <c:majorTickMark val="out"/>
        <c:minorTickMark val="none"/>
        <c:tickLblPos val="nextTo"/>
        <c:txPr>
          <a:bodyPr rot="0" vert="horz"/>
          <a:lstStyle/>
          <a:p>
            <a:pPr>
              <a:defRPr sz="1097" b="0" i="0" u="none" strike="noStrike" baseline="0">
                <a:solidFill>
                  <a:srgbClr val="000000"/>
                </a:solidFill>
                <a:latin typeface="Times New Roman"/>
                <a:ea typeface="Times New Roman"/>
                <a:cs typeface="Times New Roman"/>
              </a:defRPr>
            </a:pPr>
            <a:endParaRPr lang="en-US"/>
          </a:p>
        </c:txPr>
        <c:crossAx val="251541760"/>
        <c:crossesAt val="-25"/>
        <c:crossBetween val="midCat"/>
        <c:majorUnit val="4"/>
      </c:valAx>
      <c:valAx>
        <c:axId val="251541760"/>
        <c:scaling>
          <c:orientation val="minMax"/>
          <c:min val="0"/>
        </c:scaling>
        <c:delete val="0"/>
        <c:axPos val="l"/>
        <c:numFmt formatCode="General" sourceLinked="1"/>
        <c:majorTickMark val="out"/>
        <c:minorTickMark val="none"/>
        <c:tickLblPos val="nextTo"/>
        <c:txPr>
          <a:bodyPr/>
          <a:lstStyle/>
          <a:p>
            <a:pPr>
              <a:defRPr sz="1097">
                <a:latin typeface="Times New Roman" pitchFamily="18" charset="0"/>
                <a:cs typeface="Times New Roman" pitchFamily="18" charset="0"/>
              </a:defRPr>
            </a:pPr>
            <a:endParaRPr lang="en-US"/>
          </a:p>
        </c:txPr>
        <c:crossAx val="250699136"/>
        <c:crosses val="autoZero"/>
        <c:crossBetween val="midCat"/>
        <c:majorUnit val="5"/>
      </c:valAx>
    </c:plotArea>
    <c:plotVisOnly val="1"/>
    <c:dispBlanksAs val="gap"/>
    <c:showDLblsOverMax val="0"/>
  </c:chart>
  <c:spPr>
    <a:ln>
      <a:noFill/>
    </a:ln>
  </c:spPr>
  <c:txPr>
    <a:bodyPr/>
    <a:lstStyle/>
    <a:p>
      <a:pPr>
        <a:defRPr sz="1795"/>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I Document" ma:contentTypeID="0x01010039983CF8680F544899597C3CF673966A006681E399D2676A4494415B5C34D2395C" ma:contentTypeVersion="8" ma:contentTypeDescription="PI Document Content Type" ma:contentTypeScope="" ma:versionID="ae6d61bf51b5e52cace6de957ed8ea97">
  <xsd:schema xmlns:xsd="http://www.w3.org/2001/XMLSchema" xmlns:p="http://schemas.microsoft.com/office/2006/metadata/properties" xmlns:ns2="17bb8c82-f074-452f-b484-641a2ea4a283" xmlns:ns3="4b8f162b-5636-4821-85da-331af8dff062" targetNamespace="http://schemas.microsoft.com/office/2006/metadata/properties" ma:root="true" ma:fieldsID="b2c203a00581eb0ba9fafbd06b2443a5" ns2:_="" ns3:_="">
    <xsd:import namespace="17bb8c82-f074-452f-b484-641a2ea4a283"/>
    <xsd:import namespace="4b8f162b-5636-4821-85da-331af8dff062"/>
    <xsd:element name="properties">
      <xsd:complexType>
        <xsd:sequence>
          <xsd:element name="documentManagement">
            <xsd:complexType>
              <xsd:all>
                <xsd:element ref="ns2:Revision_x0020_Flag" minOccurs="0"/>
                <xsd:element ref="ns2:Brand_x0020_Name" minOccurs="0"/>
                <xsd:element ref="ns2:Generic_x0020_Name" minOccurs="0"/>
                <xsd:element ref="ns2:PI_x0020_Date" minOccurs="0"/>
                <xsd:element ref="ns2:Dosage_x0020_Form" minOccurs="0"/>
                <xsd:element ref="ns3:Image" minOccurs="0"/>
                <xsd:element ref="ns3:Marketed" minOccurs="0"/>
              </xsd:all>
            </xsd:complexType>
          </xsd:element>
        </xsd:sequence>
      </xsd:complexType>
    </xsd:element>
  </xsd:schema>
  <xsd:schema xmlns:xsd="http://www.w3.org/2001/XMLSchema" xmlns:dms="http://schemas.microsoft.com/office/2006/documentManagement/types" targetNamespace="17bb8c82-f074-452f-b484-641a2ea4a283" elementFormDefault="qualified">
    <xsd:import namespace="http://schemas.microsoft.com/office/2006/documentManagement/types"/>
    <xsd:element name="Revision_x0020_Flag" ma:index="8" nillable="true" ma:displayName="Revision Flag" ma:default="" ma:format="Dropdown" ma:internalName="Revision_x0020_Flag">
      <xsd:simpleType>
        <xsd:restriction base="dms:Choice">
          <xsd:enumeration value="-"/>
          <xsd:enumeration value="Under Revision"/>
        </xsd:restriction>
      </xsd:simpleType>
    </xsd:element>
    <xsd:element name="Brand_x0020_Name" ma:index="9" nillable="true" ma:displayName="Brand" ma:default="Aclasta" ma:format="Dropdown" ma:internalName="Brand_x0020_Name">
      <xsd:simpleType>
        <xsd:union memberTypes="dms:Text">
          <xsd:simpleType>
            <xsd:restriction base="dms:Choice">
              <xsd:enumeration value="Aclasta"/>
              <xsd:enumeration value="Albuferon"/>
              <xsd:enumeration value="Aliskiren Portfolio"/>
              <xsd:enumeration value="Certican"/>
              <xsd:enumeration value="Cubicin"/>
              <xsd:enumeration value="Exelon"/>
              <xsd:enumeration value="Famvir"/>
              <xsd:enumeration value="Galvus"/>
              <xsd:enumeration value="Lescol XL"/>
              <xsd:enumeration value="Lucentis"/>
              <xsd:enumeration value="MS Portfolio"/>
              <xsd:enumeration value="Other CVM Pipeline Products"/>
              <xsd:enumeration value="Respiratory Portfolio"/>
              <xsd:enumeration value="Sebivo"/>
              <xsd:enumeration value="Stalevo"/>
              <xsd:enumeration value="Valsartan Portfolio"/>
            </xsd:restriction>
          </xsd:simpleType>
        </xsd:union>
      </xsd:simpleType>
    </xsd:element>
    <xsd:element name="Generic_x0020_Name" ma:index="10" nillable="true" ma:displayName="Generic Name" ma:internalName="Generic_x0020_Name">
      <xsd:simpleType>
        <xsd:restriction base="dms:Text">
          <xsd:maxLength value="255"/>
        </xsd:restriction>
      </xsd:simpleType>
    </xsd:element>
    <xsd:element name="PI_x0020_Date" ma:index="11" nillable="true" ma:displayName="PI Date" ma:format="DateOnly" ma:internalName="PI_x0020_Date">
      <xsd:simpleType>
        <xsd:restriction base="dms:DateTime"/>
      </xsd:simpleType>
    </xsd:element>
    <xsd:element name="Dosage_x0020_Form" ma:index="12" nillable="true" ma:displayName="Dosage Form" ma:default="Capsule, enteric" ma:format="Dropdown" ma:internalName="Dosage_x0020_Form">
      <xsd:simpleType>
        <xsd:union memberTypes="dms:Text">
          <xsd:simpleType>
            <xsd:restriction base="dms:Choice">
              <xsd:enumeration value="Capsule, enteric"/>
              <xsd:enumeration value="Capsule, hard"/>
              <xsd:enumeration value="Capsule, modified release"/>
              <xsd:enumeration value="Capsule, soft"/>
              <xsd:enumeration value="Capsule, other"/>
              <xsd:enumeration value="Cosmetic"/>
              <xsd:enumeration value="Cream"/>
              <xsd:enumeration value="Drug delivery system, transdermal"/>
              <xsd:enumeration value="Eye Drops"/>
              <xsd:enumeration value="Eye Drops, solution"/>
              <xsd:enumeration value="Eye Drops, suspension"/>
              <xsd:enumeration value="Gel, eye"/>
              <xsd:enumeration value="Gel"/>
              <xsd:enumeration value="Inhalation, powder for"/>
              <xsd:enumeration value="Inhalation, pressurised"/>
              <xsd:enumeration value="Inhalation"/>
              <xsd:enumeration value="Injection, concentrated"/>
              <xsd:enumeration value="Injection, diluent for"/>
              <xsd:enumeration value="Injection, powder for"/>
              <xsd:enumeration value="Injection, solution"/>
              <xsd:enumeration value="Injection, solvent for"/>
              <xsd:enumeration value="Injection"/>
              <xsd:enumeration value="Liquids"/>
              <xsd:enumeration value="Spray, nasal"/>
              <xsd:enumeration value="Nasal Drops"/>
              <xsd:enumeration value="Oral Liquid, powder for"/>
              <xsd:enumeration value="Oral Liquid, solution"/>
              <xsd:enumeration value="Oral Liquid, suspension"/>
              <xsd:enumeration value="Oral Liquid, syrup"/>
              <xsd:enumeration value="Oral Liquid"/>
              <xsd:enumeration value="Powder, oral"/>
              <xsd:enumeration value="Powder"/>
              <xsd:enumeration value="Solution, powder for irrigation"/>
              <xsd:enumeration value="Solution, powder for"/>
              <xsd:enumeration value="Solution"/>
              <xsd:enumeration value="Spray"/>
              <xsd:enumeration value="Suppository"/>
              <xsd:enumeration value="Tablet, dispersible"/>
              <xsd:enumeration value="Tablet, effervescent"/>
              <xsd:enumeration value="Tablet, enteric coated"/>
              <xsd:enumeration value="Tablet, film coated"/>
              <xsd:enumeration value="Tablet, modified release"/>
              <xsd:enumeration value="Tablet, sugar coated"/>
              <xsd:enumeration value="Tablet, uncoated"/>
            </xsd:restriction>
          </xsd:simpleType>
        </xsd:union>
      </xsd:simpleType>
    </xsd:element>
  </xsd:schema>
  <xsd:schema xmlns:xsd="http://www.w3.org/2001/XMLSchema" xmlns:dms="http://schemas.microsoft.com/office/2006/documentManagement/types" targetNamespace="4b8f162b-5636-4821-85da-331af8dff062" elementFormDefault="qualified">
    <xsd:import namespace="http://schemas.microsoft.com/office/2006/documentManagement/types"/>
    <xsd:element name="Image" ma:index="13" nillable="true" ma:displayName="-" ma:default=""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arketed" ma:index="14" nillable="true" ma:displayName="Marketed" ma:default="0" ma:internalName="Marke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mage xmlns="4b8f162b-5636-4821-85da-331af8dff062">
      <Url xsi:nil="true"/>
      <Description xsi:nil="true"/>
    </Image>
    <Generic_x0020_Name xmlns="17bb8c82-f074-452f-b484-641a2ea4a283">omalizumab</Generic_x0020_Name>
    <PI_x0020_Date xmlns="17bb8c82-f074-452f-b484-641a2ea4a283">2016-02-01T13:00:00+00:00</PI_x0020_Date>
    <Revision_x0020_Flag xmlns="17bb8c82-f074-452f-b484-641a2ea4a283" xsi:nil="true"/>
    <Dosage_x0020_Form xmlns="17bb8c82-f074-452f-b484-641a2ea4a283">Solution for injection &amp; PFS</Dosage_x0020_Form>
    <Marketed xmlns="4b8f162b-5636-4821-85da-331af8dff062">true</Marketed>
    <Brand_x0020_Name xmlns="17bb8c82-f074-452f-b484-641a2ea4a283">Xolair</Brand_x0020_Nam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A13EE-440B-41CB-90AE-4D3A9CCE7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b8c82-f074-452f-b484-641a2ea4a283"/>
    <ds:schemaRef ds:uri="4b8f162b-5636-4821-85da-331af8dff06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D8248B0-2FAA-4A65-A2AA-CF74DA39694D}">
  <ds:schemaRefs>
    <ds:schemaRef ds:uri="http://schemas.microsoft.com/sharepoint/v3/contenttype/forms"/>
  </ds:schemaRefs>
</ds:datastoreItem>
</file>

<file path=customXml/itemProps3.xml><?xml version="1.0" encoding="utf-8"?>
<ds:datastoreItem xmlns:ds="http://schemas.openxmlformats.org/officeDocument/2006/customXml" ds:itemID="{A42DA745-17B8-4167-B70A-24167B1A7555}">
  <ds:schemaRefs>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2006/metadata/properties"/>
    <ds:schemaRef ds:uri="http://purl.org/dc/elements/1.1/"/>
    <ds:schemaRef ds:uri="4b8f162b-5636-4821-85da-331af8dff062"/>
    <ds:schemaRef ds:uri="17bb8c82-f074-452f-b484-641a2ea4a283"/>
    <ds:schemaRef ds:uri="http://purl.org/dc/dcmitype/"/>
  </ds:schemaRefs>
</ds:datastoreItem>
</file>

<file path=customXml/itemProps4.xml><?xml version="1.0" encoding="utf-8"?>
<ds:datastoreItem xmlns:ds="http://schemas.openxmlformats.org/officeDocument/2006/customXml" ds:itemID="{D9CC76FA-C28D-492E-BBEA-111F1310C501}">
  <ds:schemaRefs>
    <ds:schemaRef ds:uri="http://schemas.openxmlformats.org/officeDocument/2006/bibliography"/>
  </ds:schemaRefs>
</ds:datastoreItem>
</file>

<file path=customXml/itemProps5.xml><?xml version="1.0" encoding="utf-8"?>
<ds:datastoreItem xmlns:ds="http://schemas.openxmlformats.org/officeDocument/2006/customXml" ds:itemID="{35E13941-145C-46EA-BEF3-325848F8D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11560</Words>
  <Characters>64734</Characters>
  <Application>Microsoft Office Word</Application>
  <DocSecurity>0</DocSecurity>
  <Lines>1244</Lines>
  <Paragraphs>596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Xolair PI of 31.05.02</vt:lpstr>
      <vt:lpstr>Xolair PI of 31.05.02</vt:lpstr>
    </vt:vector>
  </TitlesOfParts>
  <Company>Novartis</Company>
  <LinksUpToDate>false</LinksUpToDate>
  <CharactersWithSpaces>75698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Product Information: Omalizumab (rch)</dc:title>
  <dc:subject>prescription medicines</dc:subject>
  <dc:creator>Conrad Schmidt</dc:creator>
  <cp:keywords>AusPARs</cp:keywords>
  <cp:lastModifiedBy>Lack, Janet</cp:lastModifiedBy>
  <cp:revision>3</cp:revision>
  <cp:lastPrinted>2016-03-29T00:41:00Z</cp:lastPrinted>
  <dcterms:created xsi:type="dcterms:W3CDTF">2016-06-23T01:41:00Z</dcterms:created>
  <dcterms:modified xsi:type="dcterms:W3CDTF">2016-06-24T04:07:00Z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0x01010039983CF8680F544899597C3CF673966A006681E399D2676A4494415B5C34D2395C</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Generic Name">
    <vt:lpwstr>omalizumab</vt:lpwstr>
  </property>
  <property fmtid="{D5CDD505-2E9C-101B-9397-08002B2CF9AE}" pid="7" name="PI Date">
    <vt:lpwstr>2011-07-26T14:00:00+00:00</vt:lpwstr>
  </property>
  <property fmtid="{D5CDD505-2E9C-101B-9397-08002B2CF9AE}" pid="8" name="Dosage Form">
    <vt:lpwstr>Injection, powder for</vt:lpwstr>
  </property>
  <property fmtid="{D5CDD505-2E9C-101B-9397-08002B2CF9AE}" pid="9" name="Brand Name">
    <vt:lpwstr>Xolair</vt:lpwstr>
  </property>
  <property fmtid="{D5CDD505-2E9C-101B-9397-08002B2CF9AE}" pid="10" name="Marketed">
    <vt:lpwstr>true</vt:lpwstr>
  </property>
  <property fmtid="{D5CDD505-2E9C-101B-9397-08002B2CF9AE}" pid="11" name="Image">
    <vt:lpwstr/>
  </property>
</Properties>
</file>