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91BE" w14:textId="13EB1C5F" w:rsidR="0004637A" w:rsidRPr="00CE03FD" w:rsidRDefault="0004637A" w:rsidP="00EE35F8">
      <w:pPr>
        <w:spacing w:after="480"/>
        <w:jc w:val="both"/>
        <w:rPr>
          <w:rFonts w:ascii="Cambria" w:hAnsi="Cambria"/>
        </w:rPr>
      </w:pPr>
      <w:r w:rsidRPr="00CE03FD">
        <w:rPr>
          <w:rFonts w:ascii="Cambria" w:hAnsi="Cambria"/>
          <w:lang w:eastAsia="en-AU"/>
        </w:rPr>
        <mc:AlternateContent>
          <mc:Choice Requires="wps">
            <w:drawing>
              <wp:inline distT="0" distB="0" distL="0" distR="0" wp14:anchorId="56C0EA0A" wp14:editId="41DF6151">
                <wp:extent cx="252095" cy="252095"/>
                <wp:effectExtent l="0" t="0" r="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7A8177" w14:textId="77777777" w:rsidR="006D7674" w:rsidRDefault="006D7674" w:rsidP="0004637A">
                            <w:pPr>
                              <w:spacing w:after="0"/>
                              <w:rPr>
                                <w:rFonts w:ascii="Wingdings 3" w:hAnsi="Wingdings 3"/>
                              </w:rPr>
                            </w:pPr>
                            <w:r>
                              <w:rPr>
                                <w:rFonts w:ascii="SimSun" w:eastAsia="SimSun" w:hAnsi="SimSun" w:cs="Arial" w:hint="eastAsia"/>
                                <w:sz w:val="40"/>
                                <w:lang w:val="en-US"/>
                              </w:rPr>
                              <w:t>▼</w:t>
                            </w:r>
                          </w:p>
                        </w:txbxContent>
                      </wps:txbx>
                      <wps:bodyPr rot="0" vert="horz" wrap="square" lIns="0" tIns="0" rIns="0" bIns="0" anchor="t" anchorCtr="0" upright="1">
                        <a:noAutofit/>
                      </wps:bodyPr>
                    </wps:wsp>
                  </a:graphicData>
                </a:graphic>
              </wp:inline>
            </w:drawing>
          </mc:Choice>
          <mc:Fallback>
            <w:pict>
              <v:shapetype w14:anchorId="56C0EA0A" id="_x0000_t202" coordsize="21600,21600" o:spt="202" path="m,l,21600r21600,l21600,xe">
                <v:stroke joinstyle="miter"/>
                <v:path gradientshapeok="t" o:connecttype="rect"/>
              </v:shapetype>
              <v:shape id="Text Box 15"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DWdQIAAAAFAAAOAAAAZHJzL2Uyb0RvYy54bWysVF1v2yAUfZ+0/4B4T/0hp42tOlWbLNOk&#10;7kNq9wMI4BgNAwMSu5v633fBcdp1mzRNy4NzDZfDufec68uroZPowK0TWtU4O0sx4opqJtSuxp/v&#10;N7MFRs4TxYjUitf4gTt8tXz96rI3Fc91qyXjFgGIclVvatx6b6okcbTlHXFn2nAFm422HfHwancJ&#10;s6QH9E4meZqeJ722zFhNuXOwuh438TLiNw2n/mPTOO6RrDFw8/Fp43MbnsnyklQ7S0wr6JEG+QcW&#10;HREKLj1BrYknaG/FL1CdoFY73fgzqrtEN42gPNYA1WTpi2ruWmJ4rAWa48ypTe7/wdIPh08WCQba&#10;zTFSpAON7vng0Y0eECxBf3rjKki7M5DoB1iH3FirM7eafnFI6VVL1I5fW6v7lhMG/LJwMnl2dMRx&#10;AWTbv9cM7iF7ryPQ0NguNA/agQAddHo4aRO4UFjM53laAkUKW8c43ECq6bCxzr/lukMhqLEF6SM4&#10;Odw6P6ZOKeEup6VgGyFlfLG77UpadCBgk038Rf4v0qQKyUqHYyPiuAIc4Y6wF9hG2b+XWV6kN3k5&#10;25wvLmbFppjPyot0MUuz8qY8T4uyWG8eA8GsqFrBGFe3QvHJglnxdxIfh2E0TzQh6mtczvP5qNAf&#10;i0zj73dFdsLDRErR1XhxSiJV0PWNYlA2qTwRcoyTn+lHQaAH03/sSnRBEH60gB+2A6AEa2w1ewA/&#10;WA16gejwGYGg1fYbRj2MZI3d1z2xHCP5ToGnwvxOgZ2C7RQQReFojT1GY7jy45zvjRW7FpBH1yp9&#10;Db5rRPTEE4ujW2HMIvnjJyHM8fP3mPX04Vr+AAAA//8DAFBLAwQUAAYACAAAACEAY/VODNkAAAAD&#10;AQAADwAAAGRycy9kb3ducmV2LnhtbEyPQU/CQBCF7yb8h82QeDGwFROU2i1B0JscQMJ56I5tQ3e2&#10;2d3S8u9d9aCXeZm8yXvfZMvBNOJCzteWFdxPExDEhdU1lwoOH2+TJxA+IGtsLJOCK3lY5qObDFNt&#10;e97RZR9KEUPYp6igCqFNpfRFRQb91LbE0fu0zmCIqyuldtjHcNPIWZLMpcGaY0OFLa0rKs77ziiY&#10;b1zX73h9tzm8vuO2LWfHl+tRqdvxsHoGEWgIf8fwjR/RIY9MJ9ux9qJREB8JPzN6D4tHEKdflXkm&#10;/7PnXwAAAP//AwBQSwECLQAUAAYACAAAACEAtoM4kv4AAADhAQAAEwAAAAAAAAAAAAAAAAAAAAAA&#10;W0NvbnRlbnRfVHlwZXNdLnhtbFBLAQItABQABgAIAAAAIQA4/SH/1gAAAJQBAAALAAAAAAAAAAAA&#10;AAAAAC8BAABfcmVscy8ucmVsc1BLAQItABQABgAIAAAAIQDcU2DWdQIAAAAFAAAOAAAAAAAAAAAA&#10;AAAAAC4CAABkcnMvZTJvRG9jLnhtbFBLAQItABQABgAIAAAAIQBj9U4M2QAAAAMBAAAPAAAAAAAA&#10;AAAAAAAAAM8EAABkcnMvZG93bnJldi54bWxQSwUGAAAAAAQABADzAAAA1QUAAAAA&#10;" stroked="f">
                <v:textbox inset="0,0,0,0">
                  <w:txbxContent>
                    <w:p w14:paraId="247A8177" w14:textId="77777777" w:rsidR="006D7674" w:rsidRDefault="006D7674" w:rsidP="0004637A">
                      <w:pPr>
                        <w:spacing w:after="0"/>
                        <w:rPr>
                          <w:rFonts w:ascii="Wingdings 3" w:hAnsi="Wingdings 3"/>
                        </w:rPr>
                      </w:pPr>
                      <w:r>
                        <w:rPr>
                          <w:rFonts w:ascii="SimSun" w:eastAsia="SimSun" w:hAnsi="SimSun" w:cs="Arial" w:hint="eastAsia"/>
                          <w:sz w:val="40"/>
                          <w:lang w:val="en-US"/>
                        </w:rPr>
                        <w:t>▼</w:t>
                      </w:r>
                    </w:p>
                  </w:txbxContent>
                </v:textbox>
                <w10:anchorlock/>
              </v:shape>
            </w:pict>
          </mc:Fallback>
        </mc:AlternateContent>
      </w:r>
      <w:r w:rsidRPr="00CE03FD">
        <w:rPr>
          <w:rFonts w:ascii="Cambria" w:hAnsi="Cambria"/>
        </w:rPr>
        <w:t xml:space="preserve">This medicinal product is subject to additional monitoring in Australia. This will allow quick identification of new safety information. </w:t>
      </w:r>
      <w:r w:rsidR="00A204D0">
        <w:rPr>
          <w:rFonts w:ascii="Cambria" w:hAnsi="Cambria"/>
        </w:rPr>
        <w:t xml:space="preserve"> </w:t>
      </w:r>
      <w:r w:rsidRPr="00CE03FD">
        <w:rPr>
          <w:rFonts w:ascii="Cambria" w:hAnsi="Cambria"/>
        </w:rPr>
        <w:t xml:space="preserve">Healthcare professionals are asked to report any suspected adverse events at </w:t>
      </w:r>
      <w:hyperlink r:id="rId8" w:history="1">
        <w:r w:rsidRPr="00CE03FD">
          <w:rPr>
            <w:rStyle w:val="Hyperlink"/>
            <w:rFonts w:ascii="Cambria" w:hAnsi="Cambria"/>
          </w:rPr>
          <w:t>www.tga.gov.au/reporting-problems</w:t>
        </w:r>
      </w:hyperlink>
      <w:r w:rsidRPr="00CE03FD">
        <w:rPr>
          <w:rFonts w:ascii="Cambria" w:hAnsi="Cambria"/>
        </w:rPr>
        <w:t>.</w:t>
      </w:r>
    </w:p>
    <w:p w14:paraId="753A97BB" w14:textId="55A07890" w:rsidR="00CE03FD" w:rsidRDefault="00085328" w:rsidP="00EE35F8">
      <w:pPr>
        <w:pStyle w:val="Title1"/>
        <w:rPr>
          <w:rFonts w:eastAsia="SimSun" w:cstheme="minorHAnsi"/>
          <w:bCs/>
          <w:caps/>
        </w:rPr>
      </w:pPr>
      <w:r w:rsidRPr="00EE35F8">
        <w:rPr>
          <w:rFonts w:eastAsia="SimSun" w:cstheme="minorHAnsi"/>
          <w:bCs/>
          <w:caps/>
        </w:rPr>
        <w:t>AUSTRALIAN PRODUCT INFORMATION –</w:t>
      </w:r>
      <w:r w:rsidR="00590069" w:rsidRPr="00EE35F8">
        <w:rPr>
          <w:rFonts w:eastAsia="SimSun" w:cstheme="minorHAnsi"/>
          <w:bCs/>
          <w:caps/>
        </w:rPr>
        <w:t xml:space="preserve"> </w:t>
      </w:r>
      <w:r w:rsidR="00CE03FD" w:rsidRPr="00EE35F8">
        <w:rPr>
          <w:rFonts w:eastAsia="SimSun" w:cstheme="minorHAnsi"/>
          <w:bCs/>
          <w:caps/>
        </w:rPr>
        <w:t>ZOLGENSMA</w:t>
      </w:r>
      <w:r w:rsidR="00590069" w:rsidRPr="00EE35F8">
        <w:rPr>
          <w:rFonts w:eastAsia="SimSun" w:cstheme="minorHAnsi"/>
          <w:bCs/>
          <w:caps/>
        </w:rPr>
        <w:t xml:space="preserve">® </w:t>
      </w:r>
      <w:r w:rsidR="00F42A5C">
        <w:rPr>
          <w:rFonts w:eastAsia="SimSun" w:cstheme="minorHAnsi"/>
          <w:bCs/>
          <w:caps/>
        </w:rPr>
        <w:t>(onasemnogene abeparvovec</w:t>
      </w:r>
      <w:r w:rsidR="00CE03FD" w:rsidRPr="00EE35F8">
        <w:rPr>
          <w:rFonts w:eastAsia="SimSun" w:cstheme="minorHAnsi"/>
          <w:bCs/>
          <w:caps/>
        </w:rPr>
        <w:t xml:space="preserve">) </w:t>
      </w:r>
      <w:r w:rsidR="00EA63AE" w:rsidRPr="00EE35F8">
        <w:rPr>
          <w:rFonts w:eastAsia="SimSun" w:cstheme="minorHAnsi"/>
          <w:bCs/>
          <w:caps/>
        </w:rPr>
        <w:t xml:space="preserve">for </w:t>
      </w:r>
      <w:r w:rsidR="00CE03FD" w:rsidRPr="00EE35F8">
        <w:rPr>
          <w:rFonts w:eastAsia="SimSun" w:cstheme="minorHAnsi"/>
          <w:bCs/>
          <w:caps/>
        </w:rPr>
        <w:t xml:space="preserve">single-dose intravenous infusion only </w:t>
      </w:r>
    </w:p>
    <w:p w14:paraId="55F557F6" w14:textId="77777777" w:rsidR="00EE35F8" w:rsidRPr="00EE35F8" w:rsidRDefault="00EE35F8" w:rsidP="00EE35F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0"/>
      </w:tblGrid>
      <w:tr w:rsidR="00CE03FD" w:rsidRPr="00CE03FD" w14:paraId="5CF25414" w14:textId="77777777" w:rsidTr="00590069">
        <w:trPr>
          <w:trHeight w:val="3983"/>
        </w:trPr>
        <w:tc>
          <w:tcPr>
            <w:tcW w:w="8856" w:type="dxa"/>
          </w:tcPr>
          <w:p w14:paraId="75AF80E2" w14:textId="77777777" w:rsidR="00CE03FD" w:rsidRPr="00CE03FD" w:rsidRDefault="00CE03FD" w:rsidP="005D3793">
            <w:pPr>
              <w:pStyle w:val="C-Heading1nopagebreak"/>
              <w:ind w:left="0" w:firstLine="0"/>
              <w:jc w:val="both"/>
              <w:rPr>
                <w:rFonts w:ascii="Cambria" w:eastAsiaTheme="minorHAnsi" w:hAnsi="Cambria" w:cstheme="minorBidi"/>
                <w:caps w:val="0"/>
                <w:sz w:val="24"/>
                <w:szCs w:val="22"/>
                <w:lang w:val="en-AU"/>
              </w:rPr>
            </w:pPr>
            <w:bookmarkStart w:id="0" w:name="_Toc9425433"/>
            <w:bookmarkStart w:id="1" w:name="_SP_QA_2012_07_11_15_51_23_0046"/>
            <w:r w:rsidRPr="00CE03FD">
              <w:rPr>
                <w:rFonts w:ascii="Cambria" w:eastAsiaTheme="minorHAnsi" w:hAnsi="Cambria" w:cstheme="minorBidi"/>
                <w:caps w:val="0"/>
                <w:sz w:val="24"/>
                <w:szCs w:val="22"/>
                <w:lang w:val="en-AU"/>
              </w:rPr>
              <w:t>WARNING:  ACUTE SERIOUS LIVER INJURY</w:t>
            </w:r>
            <w:bookmarkEnd w:id="0"/>
          </w:p>
          <w:p w14:paraId="68F06173" w14:textId="3943FED9" w:rsidR="00CE03FD" w:rsidRPr="00FE7CA6" w:rsidRDefault="00CE03FD" w:rsidP="006D7674">
            <w:pPr>
              <w:pStyle w:val="C-Bullet"/>
              <w:rPr>
                <w:rFonts w:ascii="Cambria" w:eastAsiaTheme="minorHAnsi" w:hAnsi="Cambria" w:cstheme="minorBidi"/>
                <w:szCs w:val="22"/>
                <w:lang w:val="en-AU"/>
              </w:rPr>
            </w:pPr>
            <w:r w:rsidRPr="00FE7CA6">
              <w:rPr>
                <w:rFonts w:ascii="Cambria" w:eastAsiaTheme="minorHAnsi" w:hAnsi="Cambria" w:cstheme="minorBidi"/>
                <w:szCs w:val="22"/>
                <w:lang w:val="en-AU"/>
              </w:rPr>
              <w:t>Acute serious liver injury and elevated aminotransfe</w:t>
            </w:r>
            <w:r w:rsidR="00C53075" w:rsidRPr="00FE7CA6">
              <w:rPr>
                <w:rFonts w:ascii="Cambria" w:eastAsiaTheme="minorHAnsi" w:hAnsi="Cambria" w:cstheme="minorBidi"/>
                <w:szCs w:val="22"/>
                <w:lang w:val="en-AU"/>
              </w:rPr>
              <w:t xml:space="preserve">rases can occur with ZOLGENSMA (see </w:t>
            </w:r>
            <w:r w:rsidR="00FE7CA6" w:rsidRPr="00FE7CA6">
              <w:rPr>
                <w:rFonts w:ascii="Cambria" w:eastAsiaTheme="minorHAnsi" w:hAnsi="Cambria" w:cstheme="minorBidi"/>
                <w:szCs w:val="22"/>
                <w:lang w:val="en-AU"/>
              </w:rPr>
              <w:t xml:space="preserve">4.4 </w:t>
            </w:r>
            <w:r w:rsidR="00C53075" w:rsidRPr="00FE7CA6">
              <w:rPr>
                <w:rFonts w:ascii="Cambria" w:eastAsiaTheme="minorHAnsi" w:hAnsi="Cambria" w:cstheme="minorBidi"/>
                <w:szCs w:val="22"/>
                <w:lang w:val="en-AU"/>
              </w:rPr>
              <w:t>Special warnings and precautions</w:t>
            </w:r>
            <w:r w:rsidR="001A2544">
              <w:rPr>
                <w:rFonts w:ascii="Cambria" w:eastAsiaTheme="minorHAnsi" w:hAnsi="Cambria" w:cstheme="minorBidi"/>
                <w:szCs w:val="22"/>
                <w:lang w:val="en-AU"/>
              </w:rPr>
              <w:t xml:space="preserve"> for use</w:t>
            </w:r>
            <w:r w:rsidR="00C53075" w:rsidRPr="00FE7CA6">
              <w:rPr>
                <w:rFonts w:ascii="Cambria" w:eastAsiaTheme="minorHAnsi" w:hAnsi="Cambria" w:cstheme="minorBidi"/>
                <w:szCs w:val="22"/>
                <w:lang w:val="en-AU"/>
              </w:rPr>
              <w:t>).</w:t>
            </w:r>
          </w:p>
          <w:p w14:paraId="68D762A6" w14:textId="42A05960" w:rsidR="00CE03FD" w:rsidRPr="00FE7CA6" w:rsidRDefault="00CE03FD" w:rsidP="006D7674">
            <w:pPr>
              <w:pStyle w:val="C-Bullet"/>
              <w:rPr>
                <w:rFonts w:ascii="Cambria" w:eastAsiaTheme="minorHAnsi" w:hAnsi="Cambria" w:cstheme="minorBidi"/>
                <w:szCs w:val="22"/>
                <w:lang w:val="en-AU"/>
              </w:rPr>
            </w:pPr>
            <w:r w:rsidRPr="00FE7CA6">
              <w:rPr>
                <w:rFonts w:ascii="Cambria" w:eastAsiaTheme="minorHAnsi" w:hAnsi="Cambria" w:cstheme="minorBidi"/>
                <w:szCs w:val="22"/>
                <w:lang w:val="en-AU"/>
              </w:rPr>
              <w:t>Patients with pre-existing liver impairment ma</w:t>
            </w:r>
            <w:r w:rsidR="00C53075" w:rsidRPr="00FE7CA6">
              <w:rPr>
                <w:rFonts w:ascii="Cambria" w:eastAsiaTheme="minorHAnsi" w:hAnsi="Cambria" w:cstheme="minorBidi"/>
                <w:szCs w:val="22"/>
                <w:lang w:val="en-AU"/>
              </w:rPr>
              <w:t>y be at higher risk. (see 4.4 Special warnings and precautions</w:t>
            </w:r>
            <w:r w:rsidR="001A2544">
              <w:rPr>
                <w:rFonts w:ascii="Cambria" w:eastAsiaTheme="minorHAnsi" w:hAnsi="Cambria" w:cstheme="minorBidi"/>
                <w:szCs w:val="22"/>
                <w:lang w:val="en-AU"/>
              </w:rPr>
              <w:t xml:space="preserve"> for use</w:t>
            </w:r>
            <w:r w:rsidRPr="00FE7CA6">
              <w:rPr>
                <w:rFonts w:ascii="Cambria" w:eastAsiaTheme="minorHAnsi" w:hAnsi="Cambria" w:cstheme="minorBidi"/>
                <w:szCs w:val="22"/>
                <w:lang w:val="en-AU"/>
              </w:rPr>
              <w:t>)</w:t>
            </w:r>
          </w:p>
          <w:p w14:paraId="07A19589" w14:textId="45E68457" w:rsidR="00FE7CA6" w:rsidRPr="00CE03FD" w:rsidRDefault="00CE03FD" w:rsidP="006D7674">
            <w:pPr>
              <w:pStyle w:val="C-Bullet"/>
              <w:rPr>
                <w:rFonts w:ascii="Cambria" w:eastAsiaTheme="minorHAnsi" w:hAnsi="Cambria" w:cstheme="minorBidi"/>
                <w:szCs w:val="22"/>
                <w:lang w:val="en-AU"/>
              </w:rPr>
            </w:pPr>
            <w:r w:rsidRPr="00FE7CA6">
              <w:rPr>
                <w:rFonts w:ascii="Cambria" w:eastAsiaTheme="minorHAnsi" w:hAnsi="Cambria" w:cstheme="minorBidi"/>
                <w:szCs w:val="22"/>
                <w:lang w:val="en-AU"/>
              </w:rPr>
              <w:t xml:space="preserve">Prior to infusion, assess liver function of all patients by clinical examination and laboratory testing (e.g., hepatic aminotransferases [aspartate aminotransferase (AST) and alanine aminotransferase (ALT)], total bilirubin, and prothrombin time). </w:t>
            </w:r>
            <w:r w:rsidR="00C53075" w:rsidRPr="00FE7CA6">
              <w:rPr>
                <w:rFonts w:ascii="Cambria" w:eastAsiaTheme="minorHAnsi" w:hAnsi="Cambria" w:cstheme="minorBidi"/>
                <w:szCs w:val="22"/>
                <w:lang w:val="en-AU"/>
              </w:rPr>
              <w:t xml:space="preserve"> </w:t>
            </w:r>
            <w:r w:rsidRPr="00FE7CA6">
              <w:rPr>
                <w:rFonts w:ascii="Cambria" w:eastAsiaTheme="minorHAnsi" w:hAnsi="Cambria" w:cstheme="minorBidi"/>
                <w:szCs w:val="22"/>
                <w:lang w:val="en-AU"/>
              </w:rPr>
              <w:t xml:space="preserve">Administer systemic corticosteroid to all patients before and after ZOLGENSMA infusion. </w:t>
            </w:r>
            <w:r w:rsidR="00A204D0" w:rsidRPr="00FE7CA6">
              <w:rPr>
                <w:rFonts w:ascii="Cambria" w:eastAsiaTheme="minorHAnsi" w:hAnsi="Cambria" w:cstheme="minorBidi"/>
                <w:szCs w:val="22"/>
                <w:lang w:val="en-AU"/>
              </w:rPr>
              <w:t xml:space="preserve"> </w:t>
            </w:r>
            <w:r w:rsidRPr="00FE7CA6">
              <w:rPr>
                <w:rFonts w:ascii="Cambria" w:eastAsiaTheme="minorHAnsi" w:hAnsi="Cambria" w:cstheme="minorBidi"/>
                <w:szCs w:val="22"/>
                <w:lang w:val="en-AU"/>
              </w:rPr>
              <w:t>Continue to monitor liver function for at least 3 months after infusion (</w:t>
            </w:r>
            <w:r w:rsidR="00C53075" w:rsidRPr="00FE7CA6">
              <w:rPr>
                <w:rFonts w:ascii="Cambria" w:hAnsi="Cambria"/>
              </w:rPr>
              <w:t>see 4.2 Dosage and method of administration</w:t>
            </w:r>
            <w:r w:rsidR="00FE7CA6" w:rsidRPr="00FE7CA6">
              <w:rPr>
                <w:rFonts w:ascii="Cambria" w:hAnsi="Cambria"/>
              </w:rPr>
              <w:t xml:space="preserve">, </w:t>
            </w:r>
            <w:r w:rsidR="001A2544">
              <w:rPr>
                <w:rFonts w:ascii="Cambria" w:hAnsi="Cambria"/>
              </w:rPr>
              <w:t xml:space="preserve">subheading </w:t>
            </w:r>
            <w:r w:rsidR="00FE7CA6" w:rsidRPr="00FE7CA6">
              <w:rPr>
                <w:rFonts w:ascii="Cambria" w:hAnsi="Cambria"/>
              </w:rPr>
              <w:t>Laboratory testing and monitoring to assess safety).</w:t>
            </w:r>
          </w:p>
        </w:tc>
      </w:tr>
      <w:bookmarkEnd w:id="1"/>
    </w:tbl>
    <w:p w14:paraId="21D18EC1" w14:textId="77777777" w:rsidR="00335010" w:rsidRPr="00CE03FD" w:rsidRDefault="00335010" w:rsidP="00EE35F8">
      <w:pPr>
        <w:jc w:val="both"/>
        <w:rPr>
          <w:rFonts w:ascii="Cambria" w:hAnsi="Cambria"/>
        </w:rPr>
      </w:pPr>
    </w:p>
    <w:p w14:paraId="1C066D5C" w14:textId="10BC51D9" w:rsidR="0004637A" w:rsidRPr="00CE03FD" w:rsidRDefault="00D11CDE" w:rsidP="00EE35F8">
      <w:pPr>
        <w:pStyle w:val="Heading1"/>
        <w:jc w:val="both"/>
      </w:pPr>
      <w:r w:rsidRPr="00CE03FD">
        <w:t xml:space="preserve">NAME OF THE MEDICINE </w:t>
      </w:r>
    </w:p>
    <w:p w14:paraId="76C10090" w14:textId="36C40A77" w:rsidR="008252ED" w:rsidRPr="00FB3212" w:rsidRDefault="00E1052C" w:rsidP="008252ED">
      <w:pPr>
        <w:pStyle w:val="NormalAgency"/>
        <w:rPr>
          <w:noProof/>
        </w:rPr>
      </w:pPr>
      <w:proofErr w:type="spellStart"/>
      <w:r>
        <w:rPr>
          <w:rFonts w:ascii="Cambria" w:eastAsiaTheme="minorHAnsi" w:hAnsi="Cambria" w:cstheme="minorBidi"/>
          <w:sz w:val="24"/>
          <w:szCs w:val="22"/>
          <w:lang w:val="en-AU"/>
        </w:rPr>
        <w:t>O</w:t>
      </w:r>
      <w:r w:rsidR="00A6058E">
        <w:rPr>
          <w:rFonts w:ascii="Cambria" w:eastAsiaTheme="minorHAnsi" w:hAnsi="Cambria" w:cstheme="minorBidi"/>
          <w:sz w:val="24"/>
          <w:szCs w:val="22"/>
          <w:lang w:val="en-AU"/>
        </w:rPr>
        <w:t>nasemnogene</w:t>
      </w:r>
      <w:proofErr w:type="spellEnd"/>
      <w:r w:rsidR="00A6058E">
        <w:rPr>
          <w:rFonts w:ascii="Cambria" w:eastAsiaTheme="minorHAnsi" w:hAnsi="Cambria" w:cstheme="minorBidi"/>
          <w:sz w:val="24"/>
          <w:szCs w:val="22"/>
          <w:lang w:val="en-AU"/>
        </w:rPr>
        <w:t xml:space="preserve"> </w:t>
      </w:r>
      <w:proofErr w:type="spellStart"/>
      <w:r w:rsidR="00A6058E">
        <w:rPr>
          <w:rFonts w:ascii="Cambria" w:eastAsiaTheme="minorHAnsi" w:hAnsi="Cambria" w:cstheme="minorBidi"/>
          <w:sz w:val="24"/>
          <w:szCs w:val="22"/>
          <w:lang w:val="en-AU"/>
        </w:rPr>
        <w:t>abeparvovec</w:t>
      </w:r>
      <w:proofErr w:type="spellEnd"/>
    </w:p>
    <w:p w14:paraId="5FCC9CD6" w14:textId="77777777" w:rsidR="00CE03FD" w:rsidRPr="00CE03FD" w:rsidRDefault="00CE03FD" w:rsidP="00EE35F8">
      <w:pPr>
        <w:pStyle w:val="C-PLR-BodyText"/>
        <w:jc w:val="both"/>
        <w:rPr>
          <w:rFonts w:ascii="Cambria" w:eastAsiaTheme="minorHAnsi" w:hAnsi="Cambria" w:cstheme="minorBidi"/>
          <w:sz w:val="24"/>
          <w:szCs w:val="22"/>
          <w:lang w:val="en-AU"/>
        </w:rPr>
      </w:pPr>
    </w:p>
    <w:p w14:paraId="18A49644" w14:textId="77777777" w:rsidR="00D11CDE" w:rsidRPr="00CE03FD" w:rsidRDefault="005A2EDD" w:rsidP="00EE35F8">
      <w:pPr>
        <w:pStyle w:val="Heading1"/>
        <w:jc w:val="both"/>
      </w:pPr>
      <w:r w:rsidRPr="00CE03FD">
        <w:t>QUALITITAVE AND QUANTITATIVE COMPOSITION</w:t>
      </w:r>
    </w:p>
    <w:p w14:paraId="770E37B3" w14:textId="1B239725" w:rsidR="008252ED" w:rsidRPr="008252ED" w:rsidRDefault="008252ED" w:rsidP="006D7674">
      <w:pPr>
        <w:rPr>
          <w:rFonts w:ascii="Cambria" w:hAnsi="Cambria"/>
        </w:rPr>
      </w:pPr>
      <w:r w:rsidRPr="008252ED">
        <w:rPr>
          <w:rFonts w:ascii="Cambria" w:hAnsi="Cambria"/>
        </w:rPr>
        <w:t>Onasemnogene abeparvovec is a gene therapy medicinal product that expresses the human survival motor neuron (SMN) protein.  It is a non</w:t>
      </w:r>
      <w:r w:rsidRPr="008252ED">
        <w:rPr>
          <w:rFonts w:ascii="Cambria" w:hAnsi="Cambria"/>
        </w:rPr>
        <w:noBreakHyphen/>
        <w:t>replicating recombinant adeno</w:t>
      </w:r>
      <w:r w:rsidRPr="008252ED">
        <w:rPr>
          <w:rFonts w:ascii="Cambria" w:hAnsi="Cambria"/>
        </w:rPr>
        <w:noBreakHyphen/>
        <w:t>associated vector serotype 9 (AAV9) containing the cDNA of the human SMN gene under the control of the cytomegalovirus enhancer/chicken-β-actin-hybrid promoter.</w:t>
      </w:r>
    </w:p>
    <w:p w14:paraId="63B4BE67" w14:textId="7E750E8B" w:rsidR="008252ED" w:rsidRDefault="008252ED" w:rsidP="006D7674">
      <w:pPr>
        <w:rPr>
          <w:rFonts w:ascii="Cambria" w:hAnsi="Cambria"/>
        </w:rPr>
      </w:pPr>
      <w:r w:rsidRPr="008252ED">
        <w:rPr>
          <w:rFonts w:ascii="Cambria" w:hAnsi="Cambria"/>
        </w:rPr>
        <w:t>Onasemnogene abeparvovec is produced in human embryonic kidney cells by recombinant DNA technology.</w:t>
      </w:r>
    </w:p>
    <w:p w14:paraId="6BBBD830" w14:textId="5C2D6523" w:rsidR="006B0912" w:rsidRDefault="006B0912" w:rsidP="006D7674">
      <w:pPr>
        <w:rPr>
          <w:rFonts w:ascii="Cambria" w:hAnsi="Cambria"/>
        </w:rPr>
      </w:pPr>
      <w:r w:rsidRPr="006B0912">
        <w:rPr>
          <w:rFonts w:ascii="Cambria" w:hAnsi="Cambria"/>
        </w:rPr>
        <w:t>Each mL contains onasemnogene abeparvovec with a nominal concentration of 2 × 10</w:t>
      </w:r>
      <w:r w:rsidRPr="00D34758">
        <w:rPr>
          <w:rFonts w:ascii="Cambria" w:hAnsi="Cambria"/>
          <w:vertAlign w:val="superscript"/>
        </w:rPr>
        <w:t>13</w:t>
      </w:r>
      <w:r w:rsidRPr="006B0912">
        <w:rPr>
          <w:rFonts w:ascii="Cambria" w:hAnsi="Cambria"/>
        </w:rPr>
        <w:t xml:space="preserve"> vector genomes (vg).</w:t>
      </w:r>
      <w:r w:rsidR="006A1A12">
        <w:rPr>
          <w:rFonts w:ascii="Cambria" w:hAnsi="Cambria"/>
        </w:rPr>
        <w:t xml:space="preserve"> </w:t>
      </w:r>
      <w:r w:rsidR="006A1A12" w:rsidRPr="006A1A12">
        <w:rPr>
          <w:rFonts w:ascii="Cambria" w:hAnsi="Cambria"/>
        </w:rPr>
        <w:t>Vials will contain an extractable volume of not less than either 5.5 mL or 8.3 mL.</w:t>
      </w:r>
      <w:r w:rsidR="006A1A12">
        <w:rPr>
          <w:rFonts w:ascii="Cambria" w:hAnsi="Cambria"/>
        </w:rPr>
        <w:t xml:space="preserve"> </w:t>
      </w:r>
      <w:r w:rsidR="006A1A12" w:rsidRPr="006A1A12">
        <w:rPr>
          <w:rFonts w:ascii="Cambria" w:hAnsi="Cambria"/>
        </w:rPr>
        <w:t>The total number of vials and combination of fill volumes in each finished pack will be</w:t>
      </w:r>
      <w:r w:rsidR="006A1A12">
        <w:rPr>
          <w:rFonts w:ascii="Cambria" w:hAnsi="Cambria"/>
        </w:rPr>
        <w:t xml:space="preserve"> </w:t>
      </w:r>
      <w:r w:rsidR="00F2410F">
        <w:rPr>
          <w:rFonts w:ascii="Cambria" w:hAnsi="Cambria"/>
        </w:rPr>
        <w:t>customis</w:t>
      </w:r>
      <w:r w:rsidR="006A1A12" w:rsidRPr="006A1A12">
        <w:rPr>
          <w:rFonts w:ascii="Cambria" w:hAnsi="Cambria"/>
        </w:rPr>
        <w:t>ed to meet dosing requirements for individual patients depending on their weight</w:t>
      </w:r>
      <w:r w:rsidR="006A1A12">
        <w:rPr>
          <w:rFonts w:ascii="Cambria" w:hAnsi="Cambria"/>
        </w:rPr>
        <w:t xml:space="preserve"> (see </w:t>
      </w:r>
      <w:r w:rsidR="001829F3">
        <w:rPr>
          <w:rFonts w:ascii="Cambria" w:hAnsi="Cambria"/>
        </w:rPr>
        <w:t xml:space="preserve">4.2 Dosage and Method of Administration and </w:t>
      </w:r>
      <w:r w:rsidR="006A1A12">
        <w:rPr>
          <w:rFonts w:ascii="Cambria" w:hAnsi="Cambria"/>
        </w:rPr>
        <w:t xml:space="preserve">6.5 Nature and contents of </w:t>
      </w:r>
      <w:r w:rsidR="006A1A12">
        <w:rPr>
          <w:rFonts w:ascii="Cambria" w:hAnsi="Cambria"/>
        </w:rPr>
        <w:lastRenderedPageBreak/>
        <w:t>container).</w:t>
      </w:r>
    </w:p>
    <w:p w14:paraId="160E8668" w14:textId="77777777" w:rsidR="008252ED" w:rsidRPr="008252ED" w:rsidRDefault="008252ED" w:rsidP="008252ED">
      <w:pPr>
        <w:jc w:val="both"/>
        <w:rPr>
          <w:rFonts w:ascii="Cambria" w:hAnsi="Cambria"/>
          <w:u w:val="single"/>
        </w:rPr>
      </w:pPr>
      <w:r w:rsidRPr="008252ED">
        <w:rPr>
          <w:rFonts w:ascii="Cambria" w:hAnsi="Cambria"/>
          <w:u w:val="single"/>
        </w:rPr>
        <w:t>Excipient with known effect</w:t>
      </w:r>
    </w:p>
    <w:p w14:paraId="6768788B" w14:textId="3ABD08DF" w:rsidR="00FE7CA6" w:rsidRDefault="008252ED" w:rsidP="008252ED">
      <w:pPr>
        <w:jc w:val="both"/>
        <w:rPr>
          <w:rFonts w:ascii="Cambria" w:hAnsi="Cambria"/>
        </w:rPr>
      </w:pPr>
      <w:r w:rsidRPr="008252ED">
        <w:rPr>
          <w:rFonts w:ascii="Cambria" w:hAnsi="Cambria"/>
        </w:rPr>
        <w:t>This medicinal product contains 0.2 mmol sodium per mL</w:t>
      </w:r>
      <w:r w:rsidR="00223E4B">
        <w:rPr>
          <w:rFonts w:ascii="Cambria" w:hAnsi="Cambria"/>
        </w:rPr>
        <w:t>.</w:t>
      </w:r>
    </w:p>
    <w:p w14:paraId="09C7FD2D" w14:textId="679CDD95" w:rsidR="009E6DC1" w:rsidRPr="00CE03FD" w:rsidRDefault="009E6DC1" w:rsidP="00EE35F8">
      <w:pPr>
        <w:jc w:val="both"/>
        <w:rPr>
          <w:rFonts w:ascii="Cambria" w:hAnsi="Cambria"/>
        </w:rPr>
      </w:pPr>
      <w:r w:rsidRPr="00CE03FD">
        <w:rPr>
          <w:rFonts w:ascii="Cambria" w:hAnsi="Cambria"/>
        </w:rPr>
        <w:t>For the full list of the excipients, see Section 6.1</w:t>
      </w:r>
      <w:r w:rsidR="00223E4B">
        <w:rPr>
          <w:rFonts w:ascii="Cambria" w:hAnsi="Cambria"/>
        </w:rPr>
        <w:t xml:space="preserve"> List of excipients</w:t>
      </w:r>
      <w:r w:rsidRPr="00CE03FD">
        <w:rPr>
          <w:rFonts w:ascii="Cambria" w:hAnsi="Cambria"/>
        </w:rPr>
        <w:t>.</w:t>
      </w:r>
    </w:p>
    <w:p w14:paraId="584852E1" w14:textId="77777777" w:rsidR="009E6DC1" w:rsidRPr="00CE03FD" w:rsidRDefault="009E6DC1" w:rsidP="00EE35F8">
      <w:pPr>
        <w:pStyle w:val="Heading1"/>
        <w:jc w:val="both"/>
      </w:pPr>
      <w:r w:rsidRPr="00CE03FD">
        <w:t>PHARMACEUTICAL FORM</w:t>
      </w:r>
    </w:p>
    <w:p w14:paraId="661C337E" w14:textId="778B7F5C" w:rsidR="00211546" w:rsidRPr="00C434B6" w:rsidRDefault="00211546" w:rsidP="00C434B6">
      <w:pPr>
        <w:jc w:val="both"/>
        <w:rPr>
          <w:rFonts w:ascii="Cambria" w:hAnsi="Cambria"/>
        </w:rPr>
      </w:pPr>
      <w:bookmarkStart w:id="2" w:name="_SP_QA_2012_07_11_15_51_23_0033"/>
      <w:r w:rsidRPr="00C434B6">
        <w:rPr>
          <w:rFonts w:ascii="Cambria" w:hAnsi="Cambria"/>
        </w:rPr>
        <w:t>Injection for intravenous infusion.</w:t>
      </w:r>
    </w:p>
    <w:p w14:paraId="36D94B77" w14:textId="77777777" w:rsidR="00211546" w:rsidRPr="00C434B6" w:rsidRDefault="00211546" w:rsidP="00C434B6">
      <w:pPr>
        <w:jc w:val="both"/>
        <w:rPr>
          <w:rFonts w:ascii="Cambria" w:hAnsi="Cambria"/>
        </w:rPr>
      </w:pPr>
      <w:r w:rsidRPr="00C434B6">
        <w:rPr>
          <w:rFonts w:ascii="Cambria" w:hAnsi="Cambria"/>
        </w:rPr>
        <w:t>When thawed, it is a clear to slightly opaque, colourless to faint white solution.</w:t>
      </w:r>
    </w:p>
    <w:bookmarkEnd w:id="2"/>
    <w:p w14:paraId="40EDD99C" w14:textId="70CC7B0B" w:rsidR="00B75121" w:rsidRPr="00CE03FD" w:rsidRDefault="009E6DC1" w:rsidP="00EE35F8">
      <w:pPr>
        <w:pStyle w:val="Heading1"/>
        <w:jc w:val="both"/>
      </w:pPr>
      <w:r w:rsidRPr="00CE03FD">
        <w:t>CLINICAL PARTICULARS</w:t>
      </w:r>
    </w:p>
    <w:p w14:paraId="3C44917B" w14:textId="7C98111C" w:rsidR="0085661E" w:rsidRPr="00D2508D" w:rsidRDefault="0085661E" w:rsidP="00EE35F8">
      <w:pPr>
        <w:pStyle w:val="Heading2"/>
        <w:jc w:val="both"/>
        <w:rPr>
          <w:rFonts w:cstheme="minorHAnsi"/>
        </w:rPr>
      </w:pPr>
      <w:r w:rsidRPr="00D2508D">
        <w:rPr>
          <w:rFonts w:cstheme="minorHAnsi"/>
        </w:rPr>
        <w:t>Therapeutic Indications</w:t>
      </w:r>
    </w:p>
    <w:p w14:paraId="12DD4C52" w14:textId="71DF829D" w:rsidR="00296FEB" w:rsidRPr="00DC0036" w:rsidRDefault="00296FEB" w:rsidP="006D7674">
      <w:pPr>
        <w:pStyle w:val="C-BodyText"/>
        <w:rPr>
          <w:rFonts w:ascii="Cambria" w:hAnsi="Cambria" w:cstheme="minorHAnsi"/>
        </w:rPr>
      </w:pPr>
      <w:bookmarkStart w:id="3" w:name="_SP_QA_2012_07_11_15_51_23_0016"/>
      <w:r w:rsidRPr="00296FEB">
        <w:rPr>
          <w:rFonts w:ascii="Cambria" w:hAnsi="Cambria" w:cstheme="minorHAnsi"/>
        </w:rPr>
        <w:t>ZOLGENSMA (</w:t>
      </w:r>
      <w:proofErr w:type="spellStart"/>
      <w:r w:rsidRPr="00296FEB">
        <w:rPr>
          <w:rFonts w:ascii="Cambria" w:hAnsi="Cambria" w:cstheme="minorHAnsi"/>
        </w:rPr>
        <w:t>onasemnogene</w:t>
      </w:r>
      <w:proofErr w:type="spellEnd"/>
      <w:r w:rsidRPr="00296FEB">
        <w:rPr>
          <w:rFonts w:ascii="Cambria" w:hAnsi="Cambria" w:cstheme="minorHAnsi"/>
        </w:rPr>
        <w:t xml:space="preserve"> </w:t>
      </w:r>
      <w:proofErr w:type="spellStart"/>
      <w:r w:rsidRPr="00296FEB">
        <w:rPr>
          <w:rFonts w:ascii="Cambria" w:hAnsi="Cambria" w:cstheme="minorHAnsi"/>
        </w:rPr>
        <w:t>abeparvovec</w:t>
      </w:r>
      <w:proofErr w:type="spellEnd"/>
      <w:r w:rsidRPr="00296FEB">
        <w:rPr>
          <w:rFonts w:ascii="Cambria" w:hAnsi="Cambria" w:cstheme="minorHAnsi"/>
        </w:rPr>
        <w:t xml:space="preserve">) is indicated for the treatment of </w:t>
      </w:r>
      <w:proofErr w:type="spellStart"/>
      <w:r w:rsidRPr="00296FEB">
        <w:rPr>
          <w:rFonts w:ascii="Cambria" w:hAnsi="Cambria" w:cstheme="minorHAnsi"/>
        </w:rPr>
        <w:t>paediatric</w:t>
      </w:r>
      <w:proofErr w:type="spellEnd"/>
      <w:r w:rsidRPr="00296FEB">
        <w:rPr>
          <w:rFonts w:ascii="Cambria" w:hAnsi="Cambria" w:cstheme="minorHAnsi"/>
        </w:rPr>
        <w:t xml:space="preserve"> patients less than 9 months of age with symptomatic or pre-symptomatic spinal muscular atrophy with bi-allelic mutations in the </w:t>
      </w:r>
      <w:r w:rsidRPr="00296FEB">
        <w:rPr>
          <w:rFonts w:ascii="Cambria" w:hAnsi="Cambria" w:cstheme="minorHAnsi"/>
          <w:i/>
        </w:rPr>
        <w:t>survival motor neuron 1 (SMN1)</w:t>
      </w:r>
      <w:r w:rsidRPr="00296FEB">
        <w:rPr>
          <w:rFonts w:ascii="Cambria" w:hAnsi="Cambria" w:cstheme="minorHAnsi"/>
        </w:rPr>
        <w:t xml:space="preserve"> gene and 1 to 3 copies of the SMN2 gene.</w:t>
      </w:r>
    </w:p>
    <w:bookmarkEnd w:id="3"/>
    <w:p w14:paraId="71B9A659" w14:textId="4E00C75A" w:rsidR="006F0415" w:rsidRDefault="006F0415" w:rsidP="00EE35F8">
      <w:pPr>
        <w:pStyle w:val="Heading2"/>
        <w:jc w:val="both"/>
      </w:pPr>
      <w:r w:rsidRPr="00CE03FD">
        <w:t>Dosage and Method of Administration</w:t>
      </w:r>
    </w:p>
    <w:p w14:paraId="19757BEA" w14:textId="0EA72A8E" w:rsidR="00D467A8" w:rsidRPr="00E86FB5" w:rsidRDefault="00D467A8" w:rsidP="00E86FB5">
      <w:pPr>
        <w:pStyle w:val="Heading3"/>
        <w:rPr>
          <w:szCs w:val="24"/>
        </w:rPr>
      </w:pPr>
      <w:bookmarkStart w:id="4" w:name="LabTestingMonitoring"/>
      <w:r w:rsidRPr="00E86FB5">
        <w:rPr>
          <w:rStyle w:val="Heading3Char"/>
          <w:b/>
          <w:sz w:val="24"/>
          <w:szCs w:val="24"/>
        </w:rPr>
        <w:t>Dosage</w:t>
      </w:r>
      <w:r w:rsidRPr="00E86FB5">
        <w:rPr>
          <w:szCs w:val="24"/>
        </w:rPr>
        <w:t xml:space="preserve"> </w:t>
      </w:r>
    </w:p>
    <w:p w14:paraId="4B1F8817" w14:textId="77777777" w:rsidR="00D467A8" w:rsidRDefault="00D467A8" w:rsidP="00D467A8">
      <w:pPr>
        <w:pStyle w:val="C-BodyText"/>
        <w:jc w:val="both"/>
        <w:rPr>
          <w:rFonts w:ascii="Cambria" w:hAnsi="Cambria"/>
          <w:b/>
        </w:rPr>
      </w:pPr>
      <w:r w:rsidRPr="00A204D0">
        <w:rPr>
          <w:rFonts w:ascii="Cambria" w:hAnsi="Cambria"/>
          <w:b/>
        </w:rPr>
        <w:t>For single-dose intravenous infusion only.</w:t>
      </w:r>
    </w:p>
    <w:p w14:paraId="43D1EFF9" w14:textId="77777777" w:rsidR="006073C5" w:rsidRPr="006073C5" w:rsidRDefault="00D467A8" w:rsidP="006D7674">
      <w:pPr>
        <w:pStyle w:val="C-BodyText"/>
        <w:rPr>
          <w:rFonts w:ascii="Cambria" w:hAnsi="Cambria" w:cstheme="minorHAnsi"/>
        </w:rPr>
      </w:pPr>
      <w:r w:rsidRPr="006073C5">
        <w:rPr>
          <w:rFonts w:ascii="Cambria" w:hAnsi="Cambria" w:cstheme="minorHAnsi"/>
        </w:rPr>
        <w:t xml:space="preserve">Treatment with ZOLGENSMA should be supervised by a physician experienced in the management of patients with SMA. </w:t>
      </w:r>
    </w:p>
    <w:p w14:paraId="1BA20911" w14:textId="18D87A21" w:rsidR="006073C5" w:rsidRPr="006073C5" w:rsidRDefault="006073C5" w:rsidP="006D7674">
      <w:pPr>
        <w:pStyle w:val="C-BodyText"/>
        <w:rPr>
          <w:rFonts w:ascii="Cambria" w:hAnsi="Cambria" w:cstheme="minorHAnsi"/>
        </w:rPr>
      </w:pPr>
      <w:r w:rsidRPr="006073C5">
        <w:rPr>
          <w:rFonts w:ascii="Cambria" w:hAnsi="Cambria" w:cstheme="minorHAnsi"/>
        </w:rPr>
        <w:t>In order to improve the traceability of biological medicinal products, the name and the batch number of the administered product should be clearly recorded.</w:t>
      </w:r>
    </w:p>
    <w:p w14:paraId="32429A3B" w14:textId="1980A3CE" w:rsidR="006073C5" w:rsidRPr="006073C5" w:rsidRDefault="006073C5" w:rsidP="006D7674">
      <w:pPr>
        <w:pStyle w:val="C-BodyText"/>
        <w:rPr>
          <w:rFonts w:ascii="Cambria" w:hAnsi="Cambria" w:cstheme="minorHAnsi"/>
        </w:rPr>
      </w:pPr>
      <w:r w:rsidRPr="006073C5">
        <w:rPr>
          <w:rFonts w:ascii="Cambria" w:hAnsi="Cambria" w:cstheme="minorHAnsi"/>
        </w:rPr>
        <w:t xml:space="preserve">An immune response to the adeno-associated viral vector serotype 9 (AAV9) capsid will occur after infusion of </w:t>
      </w:r>
      <w:r w:rsidR="00A15EF7" w:rsidRPr="009A2533">
        <w:rPr>
          <w:rFonts w:ascii="Cambria" w:hAnsi="Cambria"/>
          <w:szCs w:val="24"/>
        </w:rPr>
        <w:t>Z</w:t>
      </w:r>
      <w:r w:rsidR="00A15EF7">
        <w:rPr>
          <w:rFonts w:ascii="Cambria" w:hAnsi="Cambria"/>
          <w:szCs w:val="24"/>
        </w:rPr>
        <w:t>OLGENSMA</w:t>
      </w:r>
      <w:r w:rsidRPr="006073C5">
        <w:rPr>
          <w:rFonts w:ascii="Cambria" w:hAnsi="Cambria" w:cstheme="minorHAnsi"/>
        </w:rPr>
        <w:t xml:space="preserve">, thus patients should not be re-dosed with </w:t>
      </w:r>
      <w:r w:rsidR="00A15EF7" w:rsidRPr="009A2533">
        <w:rPr>
          <w:rFonts w:ascii="Cambria" w:hAnsi="Cambria"/>
          <w:szCs w:val="24"/>
        </w:rPr>
        <w:t>Z</w:t>
      </w:r>
      <w:r w:rsidR="00A15EF7">
        <w:rPr>
          <w:rFonts w:ascii="Cambria" w:hAnsi="Cambria"/>
          <w:szCs w:val="24"/>
        </w:rPr>
        <w:t>OLGENSMA</w:t>
      </w:r>
      <w:r w:rsidRPr="006073C5">
        <w:rPr>
          <w:rFonts w:ascii="Cambria" w:hAnsi="Cambria" w:cstheme="minorHAnsi"/>
        </w:rPr>
        <w:t>.</w:t>
      </w:r>
    </w:p>
    <w:p w14:paraId="13B4AA28" w14:textId="162ECC77" w:rsidR="00D467A8" w:rsidRPr="00682825" w:rsidRDefault="00A15EF7" w:rsidP="006D7674">
      <w:pPr>
        <w:pStyle w:val="C-BodyText"/>
        <w:rPr>
          <w:rFonts w:ascii="Cambria" w:hAnsi="Cambria" w:cstheme="minorHAnsi"/>
        </w:rPr>
      </w:pPr>
      <w:r w:rsidRPr="009A2533">
        <w:rPr>
          <w:rFonts w:ascii="Cambria" w:hAnsi="Cambria"/>
          <w:szCs w:val="24"/>
        </w:rPr>
        <w:t>Z</w:t>
      </w:r>
      <w:r>
        <w:rPr>
          <w:rFonts w:ascii="Cambria" w:hAnsi="Cambria"/>
          <w:szCs w:val="24"/>
        </w:rPr>
        <w:t>OLGENSMA</w:t>
      </w:r>
      <w:r w:rsidR="006073C5" w:rsidRPr="006073C5">
        <w:rPr>
          <w:rFonts w:ascii="Cambria" w:hAnsi="Cambria" w:cstheme="minorHAnsi"/>
        </w:rPr>
        <w:t xml:space="preserve"> is for a single treatment only.</w:t>
      </w:r>
    </w:p>
    <w:p w14:paraId="7988D0A3" w14:textId="332C7789" w:rsidR="006073C5" w:rsidRDefault="00D467A8" w:rsidP="006D7674">
      <w:pPr>
        <w:pStyle w:val="C-BodyText"/>
        <w:rPr>
          <w:rFonts w:ascii="Cambria" w:hAnsi="Cambria"/>
        </w:rPr>
      </w:pPr>
      <w:r w:rsidRPr="00A204D0">
        <w:rPr>
          <w:rFonts w:ascii="Cambria" w:hAnsi="Cambria"/>
        </w:rPr>
        <w:t>The recommended dose of ZOLGENSMA is 1.1 × 10</w:t>
      </w:r>
      <w:r w:rsidRPr="00A204D0">
        <w:rPr>
          <w:rFonts w:ascii="Cambria" w:hAnsi="Cambria"/>
          <w:vertAlign w:val="superscript"/>
        </w:rPr>
        <w:t>14</w:t>
      </w:r>
      <w:r w:rsidRPr="00A204D0">
        <w:rPr>
          <w:rFonts w:ascii="Cambria" w:hAnsi="Cambria"/>
        </w:rPr>
        <w:t xml:space="preserve"> vector genomes per </w:t>
      </w:r>
      <w:r>
        <w:rPr>
          <w:rFonts w:ascii="Cambria" w:hAnsi="Cambria"/>
        </w:rPr>
        <w:t xml:space="preserve">kilogram (vg/kg) of body weight (see Table 1). </w:t>
      </w:r>
    </w:p>
    <w:p w14:paraId="6A3184C8" w14:textId="121008BA" w:rsidR="00D467A8" w:rsidRPr="00711FEF" w:rsidRDefault="00D467A8" w:rsidP="006D7674">
      <w:pPr>
        <w:pStyle w:val="C-BodyText"/>
        <w:pageBreakBefore/>
        <w:jc w:val="both"/>
        <w:rPr>
          <w:rFonts w:ascii="Cambria" w:hAnsi="Cambria"/>
          <w:b/>
        </w:rPr>
      </w:pPr>
      <w:r w:rsidRPr="00711FEF">
        <w:rPr>
          <w:rFonts w:ascii="Cambria" w:hAnsi="Cambria"/>
          <w:b/>
        </w:rPr>
        <w:t>Table </w:t>
      </w:r>
      <w:r w:rsidRPr="00711FEF">
        <w:rPr>
          <w:rFonts w:ascii="Cambria" w:hAnsi="Cambria"/>
          <w:b/>
          <w:noProof/>
        </w:rPr>
        <w:fldChar w:fldCharType="begin"/>
      </w:r>
      <w:r w:rsidRPr="00711FEF">
        <w:rPr>
          <w:rFonts w:ascii="Cambria" w:hAnsi="Cambria"/>
          <w:b/>
          <w:noProof/>
        </w:rPr>
        <w:instrText xml:space="preserve"> SEQ Table \* ARABIC \* MERGEFORMAT </w:instrText>
      </w:r>
      <w:r w:rsidRPr="00711FEF">
        <w:rPr>
          <w:rFonts w:ascii="Cambria" w:hAnsi="Cambria"/>
          <w:b/>
          <w:noProof/>
        </w:rPr>
        <w:fldChar w:fldCharType="separate"/>
      </w:r>
      <w:r w:rsidRPr="00711FEF">
        <w:rPr>
          <w:rFonts w:ascii="Cambria" w:hAnsi="Cambria"/>
          <w:b/>
          <w:noProof/>
        </w:rPr>
        <w:t>1</w:t>
      </w:r>
      <w:r w:rsidRPr="00711FEF">
        <w:rPr>
          <w:rFonts w:ascii="Cambria" w:hAnsi="Cambria"/>
          <w:b/>
          <w:noProof/>
        </w:rPr>
        <w:fldChar w:fldCharType="end"/>
      </w:r>
      <w:r w:rsidRPr="00711FEF">
        <w:rPr>
          <w:rFonts w:ascii="Cambria" w:hAnsi="Cambria"/>
          <w:b/>
        </w:rPr>
        <w:tab/>
        <w:t>Dosing</w:t>
      </w:r>
    </w:p>
    <w:tbl>
      <w:tblPr>
        <w:tblStyle w:val="C-Table"/>
        <w:tblW w:w="5000" w:type="pct"/>
        <w:tblLook w:val="04A0" w:firstRow="1" w:lastRow="0" w:firstColumn="1" w:lastColumn="0" w:noHBand="0" w:noVBand="1"/>
      </w:tblPr>
      <w:tblGrid>
        <w:gridCol w:w="5298"/>
        <w:gridCol w:w="4046"/>
      </w:tblGrid>
      <w:tr w:rsidR="00D467A8" w:rsidRPr="008E6700" w14:paraId="167079D5" w14:textId="77777777" w:rsidTr="00712207">
        <w:trPr>
          <w:cantSplit w:val="0"/>
          <w:trHeight w:val="53"/>
          <w:tblHeader/>
        </w:trPr>
        <w:tc>
          <w:tcPr>
            <w:tcW w:w="2835" w:type="pct"/>
          </w:tcPr>
          <w:p w14:paraId="08BFD569" w14:textId="77777777" w:rsidR="00D467A8" w:rsidRPr="008E6700" w:rsidRDefault="00D467A8" w:rsidP="00712207">
            <w:pPr>
              <w:pStyle w:val="C-TableHeader"/>
              <w:jc w:val="both"/>
              <w:rPr>
                <w:rFonts w:ascii="Cambria" w:hAnsi="Cambria"/>
                <w:szCs w:val="22"/>
              </w:rPr>
            </w:pPr>
            <w:r w:rsidRPr="008E6700">
              <w:rPr>
                <w:rFonts w:ascii="Cambria" w:hAnsi="Cambria"/>
                <w:szCs w:val="22"/>
              </w:rPr>
              <w:t>Patient Weight Range (kg)</w:t>
            </w:r>
          </w:p>
        </w:tc>
        <w:tc>
          <w:tcPr>
            <w:tcW w:w="2165" w:type="pct"/>
          </w:tcPr>
          <w:p w14:paraId="426ACE13" w14:textId="4C90414C" w:rsidR="00D467A8" w:rsidRPr="008E6700" w:rsidRDefault="004E7BAB" w:rsidP="00712207">
            <w:pPr>
              <w:pStyle w:val="C-TableHeader"/>
              <w:jc w:val="both"/>
              <w:rPr>
                <w:rFonts w:ascii="Cambria" w:hAnsi="Cambria"/>
                <w:szCs w:val="22"/>
              </w:rPr>
            </w:pPr>
            <w:r>
              <w:rPr>
                <w:rFonts w:ascii="Cambria" w:hAnsi="Cambria"/>
                <w:szCs w:val="22"/>
              </w:rPr>
              <w:t xml:space="preserve">Total </w:t>
            </w:r>
            <w:r w:rsidR="00D467A8" w:rsidRPr="008E6700">
              <w:rPr>
                <w:rFonts w:ascii="Cambria" w:hAnsi="Cambria"/>
                <w:szCs w:val="22"/>
              </w:rPr>
              <w:t>Dose Volume</w:t>
            </w:r>
            <w:r w:rsidR="00D467A8" w:rsidRPr="008E6700">
              <w:rPr>
                <w:rStyle w:val="C-TableCallout"/>
                <w:rFonts w:ascii="Cambria" w:hAnsi="Cambria"/>
                <w:b w:val="0"/>
              </w:rPr>
              <w:fldChar w:fldCharType="begin"/>
            </w:r>
            <w:r w:rsidR="00D467A8" w:rsidRPr="008E6700">
              <w:rPr>
                <w:rStyle w:val="C-TableCallout"/>
                <w:rFonts w:ascii="Cambria" w:hAnsi="Cambria"/>
                <w:b w:val="0"/>
              </w:rPr>
              <w:instrText xml:space="preserve"> SEQ SeqTableNote \* alphabetic \* MERGEFORMAT \r1</w:instrText>
            </w:r>
            <w:r w:rsidR="00D467A8" w:rsidRPr="008E6700">
              <w:rPr>
                <w:rStyle w:val="C-TableCallout"/>
                <w:rFonts w:ascii="Cambria" w:hAnsi="Cambria"/>
                <w:b w:val="0"/>
              </w:rPr>
              <w:fldChar w:fldCharType="separate"/>
            </w:r>
            <w:r w:rsidR="00D467A8" w:rsidRPr="008E6700">
              <w:rPr>
                <w:rStyle w:val="C-TableCallout"/>
                <w:rFonts w:ascii="Cambria" w:hAnsi="Cambria"/>
                <w:b w:val="0"/>
                <w:noProof/>
              </w:rPr>
              <w:t>a</w:t>
            </w:r>
            <w:r w:rsidR="00D467A8" w:rsidRPr="008E6700">
              <w:rPr>
                <w:rStyle w:val="C-TableCallout"/>
                <w:rFonts w:ascii="Cambria" w:hAnsi="Cambria"/>
                <w:b w:val="0"/>
              </w:rPr>
              <w:fldChar w:fldCharType="end"/>
            </w:r>
            <w:r w:rsidR="00D467A8" w:rsidRPr="008E6700">
              <w:rPr>
                <w:rFonts w:ascii="Cambria" w:hAnsi="Cambria"/>
                <w:szCs w:val="22"/>
              </w:rPr>
              <w:t xml:space="preserve"> (mL)</w:t>
            </w:r>
          </w:p>
        </w:tc>
      </w:tr>
      <w:tr w:rsidR="00D467A8" w:rsidRPr="008E6700" w14:paraId="3D7BFF1C" w14:textId="77777777" w:rsidTr="00712207">
        <w:trPr>
          <w:cantSplit w:val="0"/>
          <w:trHeight w:val="53"/>
        </w:trPr>
        <w:tc>
          <w:tcPr>
            <w:tcW w:w="2835" w:type="pct"/>
          </w:tcPr>
          <w:p w14:paraId="73FEAC6E" w14:textId="77777777" w:rsidR="00D467A8" w:rsidRPr="008E6700" w:rsidRDefault="00D467A8" w:rsidP="00712207">
            <w:pPr>
              <w:pStyle w:val="C-TableText"/>
              <w:jc w:val="both"/>
              <w:rPr>
                <w:rFonts w:ascii="Cambria" w:hAnsi="Cambria"/>
                <w:szCs w:val="22"/>
              </w:rPr>
            </w:pPr>
            <w:r w:rsidRPr="008E6700">
              <w:rPr>
                <w:rFonts w:ascii="Cambria" w:hAnsi="Cambria"/>
                <w:szCs w:val="22"/>
              </w:rPr>
              <w:t>2.6 – 3.0</w:t>
            </w:r>
          </w:p>
        </w:tc>
        <w:tc>
          <w:tcPr>
            <w:tcW w:w="2165" w:type="pct"/>
            <w:noWrap/>
          </w:tcPr>
          <w:p w14:paraId="0C29DFD1" w14:textId="77777777" w:rsidR="00D467A8" w:rsidRPr="007E28A2" w:rsidRDefault="00D467A8" w:rsidP="00712207">
            <w:pPr>
              <w:pStyle w:val="C-TableText"/>
              <w:jc w:val="both"/>
              <w:rPr>
                <w:rFonts w:ascii="Cambria" w:hAnsi="Cambria"/>
                <w:szCs w:val="22"/>
              </w:rPr>
            </w:pPr>
            <w:r w:rsidRPr="007E28A2">
              <w:rPr>
                <w:rFonts w:ascii="Cambria" w:hAnsi="Cambria"/>
                <w:szCs w:val="22"/>
              </w:rPr>
              <w:t>16.5</w:t>
            </w:r>
          </w:p>
        </w:tc>
      </w:tr>
      <w:tr w:rsidR="00D467A8" w:rsidRPr="008E6700" w14:paraId="18180479" w14:textId="77777777" w:rsidTr="00712207">
        <w:trPr>
          <w:cantSplit w:val="0"/>
          <w:trHeight w:val="53"/>
        </w:trPr>
        <w:tc>
          <w:tcPr>
            <w:tcW w:w="2835" w:type="pct"/>
          </w:tcPr>
          <w:p w14:paraId="58F6B920" w14:textId="77777777" w:rsidR="00D467A8" w:rsidRPr="008E6700" w:rsidRDefault="00D467A8" w:rsidP="00712207">
            <w:pPr>
              <w:pStyle w:val="C-TableText"/>
              <w:jc w:val="both"/>
              <w:rPr>
                <w:rFonts w:ascii="Cambria" w:hAnsi="Cambria"/>
                <w:szCs w:val="22"/>
              </w:rPr>
            </w:pPr>
            <w:r w:rsidRPr="008E6700">
              <w:rPr>
                <w:rFonts w:ascii="Cambria" w:hAnsi="Cambria"/>
                <w:szCs w:val="22"/>
              </w:rPr>
              <w:t>3.1 – 3.5</w:t>
            </w:r>
          </w:p>
        </w:tc>
        <w:tc>
          <w:tcPr>
            <w:tcW w:w="2165" w:type="pct"/>
            <w:noWrap/>
          </w:tcPr>
          <w:p w14:paraId="0C28E64E" w14:textId="77777777" w:rsidR="00D467A8" w:rsidRPr="007E28A2" w:rsidRDefault="00D467A8" w:rsidP="00712207">
            <w:pPr>
              <w:pStyle w:val="C-TableText"/>
              <w:jc w:val="both"/>
              <w:rPr>
                <w:rFonts w:ascii="Cambria" w:hAnsi="Cambria"/>
                <w:szCs w:val="22"/>
              </w:rPr>
            </w:pPr>
            <w:r w:rsidRPr="007E28A2">
              <w:rPr>
                <w:rFonts w:ascii="Cambria" w:hAnsi="Cambria"/>
                <w:szCs w:val="22"/>
              </w:rPr>
              <w:t>19.3</w:t>
            </w:r>
          </w:p>
        </w:tc>
      </w:tr>
      <w:tr w:rsidR="00D467A8" w:rsidRPr="008E6700" w14:paraId="4739774D" w14:textId="77777777" w:rsidTr="00712207">
        <w:trPr>
          <w:cantSplit w:val="0"/>
          <w:trHeight w:val="53"/>
        </w:trPr>
        <w:tc>
          <w:tcPr>
            <w:tcW w:w="2835" w:type="pct"/>
          </w:tcPr>
          <w:p w14:paraId="6C704A08" w14:textId="77777777" w:rsidR="00D467A8" w:rsidRPr="008E6700" w:rsidRDefault="00D467A8" w:rsidP="00712207">
            <w:pPr>
              <w:pStyle w:val="C-TableText"/>
              <w:jc w:val="both"/>
              <w:rPr>
                <w:rFonts w:ascii="Cambria" w:hAnsi="Cambria"/>
                <w:szCs w:val="22"/>
              </w:rPr>
            </w:pPr>
            <w:r w:rsidRPr="008E6700">
              <w:rPr>
                <w:rFonts w:ascii="Cambria" w:hAnsi="Cambria"/>
                <w:szCs w:val="22"/>
              </w:rPr>
              <w:t>3.6 – 4.0</w:t>
            </w:r>
          </w:p>
        </w:tc>
        <w:tc>
          <w:tcPr>
            <w:tcW w:w="2165" w:type="pct"/>
            <w:noWrap/>
          </w:tcPr>
          <w:p w14:paraId="2AD4F7F7" w14:textId="77777777" w:rsidR="00D467A8" w:rsidRPr="007E28A2" w:rsidRDefault="00D467A8" w:rsidP="00712207">
            <w:pPr>
              <w:pStyle w:val="C-TableText"/>
              <w:jc w:val="both"/>
              <w:rPr>
                <w:rFonts w:ascii="Cambria" w:hAnsi="Cambria"/>
                <w:szCs w:val="22"/>
              </w:rPr>
            </w:pPr>
            <w:r w:rsidRPr="007E28A2">
              <w:rPr>
                <w:rFonts w:ascii="Cambria" w:hAnsi="Cambria"/>
                <w:szCs w:val="22"/>
              </w:rPr>
              <w:t>22.0</w:t>
            </w:r>
          </w:p>
        </w:tc>
      </w:tr>
      <w:tr w:rsidR="00D467A8" w:rsidRPr="008E6700" w14:paraId="197A2C6E" w14:textId="77777777" w:rsidTr="00712207">
        <w:trPr>
          <w:cantSplit w:val="0"/>
          <w:trHeight w:val="53"/>
        </w:trPr>
        <w:tc>
          <w:tcPr>
            <w:tcW w:w="2835" w:type="pct"/>
          </w:tcPr>
          <w:p w14:paraId="02A2A423" w14:textId="77777777" w:rsidR="00D467A8" w:rsidRPr="008E6700" w:rsidRDefault="00D467A8" w:rsidP="00712207">
            <w:pPr>
              <w:pStyle w:val="C-TableText"/>
              <w:jc w:val="both"/>
              <w:rPr>
                <w:rFonts w:ascii="Cambria" w:hAnsi="Cambria"/>
                <w:szCs w:val="22"/>
              </w:rPr>
            </w:pPr>
            <w:r w:rsidRPr="008E6700">
              <w:rPr>
                <w:rFonts w:ascii="Cambria" w:hAnsi="Cambria"/>
                <w:szCs w:val="22"/>
              </w:rPr>
              <w:t>4.1 – 4.5</w:t>
            </w:r>
          </w:p>
        </w:tc>
        <w:tc>
          <w:tcPr>
            <w:tcW w:w="2165" w:type="pct"/>
            <w:noWrap/>
          </w:tcPr>
          <w:p w14:paraId="347F7A0E" w14:textId="77777777" w:rsidR="00D467A8" w:rsidRPr="007E28A2" w:rsidRDefault="00D467A8" w:rsidP="00712207">
            <w:pPr>
              <w:pStyle w:val="C-TableText"/>
              <w:jc w:val="both"/>
              <w:rPr>
                <w:rFonts w:ascii="Cambria" w:hAnsi="Cambria"/>
                <w:szCs w:val="22"/>
              </w:rPr>
            </w:pPr>
            <w:r w:rsidRPr="007E28A2">
              <w:rPr>
                <w:rFonts w:ascii="Cambria" w:hAnsi="Cambria"/>
                <w:szCs w:val="22"/>
              </w:rPr>
              <w:t>24.8</w:t>
            </w:r>
          </w:p>
        </w:tc>
      </w:tr>
      <w:tr w:rsidR="00D467A8" w:rsidRPr="008E6700" w14:paraId="4EB7466F" w14:textId="77777777" w:rsidTr="00712207">
        <w:trPr>
          <w:cantSplit w:val="0"/>
          <w:trHeight w:val="53"/>
        </w:trPr>
        <w:tc>
          <w:tcPr>
            <w:tcW w:w="2835" w:type="pct"/>
          </w:tcPr>
          <w:p w14:paraId="7F072B0F" w14:textId="77777777" w:rsidR="00D467A8" w:rsidRPr="008E6700" w:rsidRDefault="00D467A8" w:rsidP="00712207">
            <w:pPr>
              <w:pStyle w:val="C-TableText"/>
              <w:jc w:val="both"/>
              <w:rPr>
                <w:rFonts w:ascii="Cambria" w:hAnsi="Cambria"/>
                <w:szCs w:val="22"/>
              </w:rPr>
            </w:pPr>
            <w:r w:rsidRPr="008E6700">
              <w:rPr>
                <w:rFonts w:ascii="Cambria" w:hAnsi="Cambria"/>
                <w:szCs w:val="22"/>
              </w:rPr>
              <w:lastRenderedPageBreak/>
              <w:t>4.6 – 5.0</w:t>
            </w:r>
          </w:p>
        </w:tc>
        <w:tc>
          <w:tcPr>
            <w:tcW w:w="2165" w:type="pct"/>
            <w:noWrap/>
          </w:tcPr>
          <w:p w14:paraId="510BDA01" w14:textId="77777777" w:rsidR="00D467A8" w:rsidRPr="007E28A2" w:rsidRDefault="00D467A8" w:rsidP="00712207">
            <w:pPr>
              <w:pStyle w:val="C-TableText"/>
              <w:jc w:val="both"/>
              <w:rPr>
                <w:rFonts w:ascii="Cambria" w:hAnsi="Cambria"/>
                <w:szCs w:val="22"/>
              </w:rPr>
            </w:pPr>
            <w:r w:rsidRPr="007E28A2">
              <w:rPr>
                <w:rFonts w:ascii="Cambria" w:hAnsi="Cambria"/>
                <w:szCs w:val="22"/>
              </w:rPr>
              <w:t>27.5</w:t>
            </w:r>
          </w:p>
        </w:tc>
      </w:tr>
      <w:tr w:rsidR="00D467A8" w:rsidRPr="008E6700" w14:paraId="4A526D5D" w14:textId="77777777" w:rsidTr="00712207">
        <w:trPr>
          <w:cantSplit w:val="0"/>
          <w:trHeight w:val="53"/>
        </w:trPr>
        <w:tc>
          <w:tcPr>
            <w:tcW w:w="2835" w:type="pct"/>
          </w:tcPr>
          <w:p w14:paraId="6815E3A4" w14:textId="77777777" w:rsidR="00D467A8" w:rsidRPr="008E6700" w:rsidRDefault="00D467A8" w:rsidP="00712207">
            <w:pPr>
              <w:pStyle w:val="C-TableText"/>
              <w:jc w:val="both"/>
              <w:rPr>
                <w:rFonts w:ascii="Cambria" w:hAnsi="Cambria"/>
                <w:szCs w:val="22"/>
              </w:rPr>
            </w:pPr>
            <w:r w:rsidRPr="008E6700">
              <w:rPr>
                <w:rFonts w:ascii="Cambria" w:hAnsi="Cambria"/>
                <w:szCs w:val="22"/>
              </w:rPr>
              <w:t>5.1 – 5.5</w:t>
            </w:r>
          </w:p>
        </w:tc>
        <w:tc>
          <w:tcPr>
            <w:tcW w:w="2165" w:type="pct"/>
            <w:noWrap/>
          </w:tcPr>
          <w:p w14:paraId="2ACB0A2F" w14:textId="77777777" w:rsidR="00D467A8" w:rsidRPr="007E28A2" w:rsidRDefault="00D467A8" w:rsidP="00712207">
            <w:pPr>
              <w:pStyle w:val="C-TableText"/>
              <w:jc w:val="both"/>
              <w:rPr>
                <w:rFonts w:ascii="Cambria" w:hAnsi="Cambria"/>
                <w:szCs w:val="22"/>
              </w:rPr>
            </w:pPr>
            <w:r w:rsidRPr="007E28A2">
              <w:rPr>
                <w:rFonts w:ascii="Cambria" w:hAnsi="Cambria"/>
                <w:szCs w:val="22"/>
              </w:rPr>
              <w:t>30.3</w:t>
            </w:r>
          </w:p>
        </w:tc>
      </w:tr>
      <w:tr w:rsidR="00D467A8" w:rsidRPr="008E6700" w14:paraId="0967D908" w14:textId="77777777" w:rsidTr="00712207">
        <w:trPr>
          <w:cantSplit w:val="0"/>
          <w:trHeight w:val="53"/>
        </w:trPr>
        <w:tc>
          <w:tcPr>
            <w:tcW w:w="2835" w:type="pct"/>
          </w:tcPr>
          <w:p w14:paraId="573A5CC7" w14:textId="77777777" w:rsidR="00D467A8" w:rsidRPr="008E6700" w:rsidRDefault="00D467A8" w:rsidP="00712207">
            <w:pPr>
              <w:pStyle w:val="C-TableText"/>
              <w:jc w:val="both"/>
              <w:rPr>
                <w:rFonts w:ascii="Cambria" w:hAnsi="Cambria"/>
                <w:szCs w:val="22"/>
              </w:rPr>
            </w:pPr>
            <w:r w:rsidRPr="008E6700">
              <w:rPr>
                <w:rFonts w:ascii="Cambria" w:hAnsi="Cambria"/>
                <w:szCs w:val="22"/>
              </w:rPr>
              <w:t>5.6 – 6.0</w:t>
            </w:r>
          </w:p>
        </w:tc>
        <w:tc>
          <w:tcPr>
            <w:tcW w:w="2165" w:type="pct"/>
            <w:noWrap/>
          </w:tcPr>
          <w:p w14:paraId="75062FE2" w14:textId="77777777" w:rsidR="00D467A8" w:rsidRPr="007E28A2" w:rsidRDefault="00D467A8" w:rsidP="00712207">
            <w:pPr>
              <w:pStyle w:val="C-TableText"/>
              <w:jc w:val="both"/>
              <w:rPr>
                <w:rFonts w:ascii="Cambria" w:hAnsi="Cambria"/>
                <w:szCs w:val="22"/>
              </w:rPr>
            </w:pPr>
            <w:r w:rsidRPr="007E28A2">
              <w:rPr>
                <w:rFonts w:ascii="Cambria" w:hAnsi="Cambria"/>
                <w:szCs w:val="22"/>
              </w:rPr>
              <w:t>33.0</w:t>
            </w:r>
          </w:p>
        </w:tc>
      </w:tr>
      <w:tr w:rsidR="00D467A8" w:rsidRPr="008E6700" w14:paraId="06B4CA79" w14:textId="77777777" w:rsidTr="00712207">
        <w:trPr>
          <w:cantSplit w:val="0"/>
          <w:trHeight w:val="53"/>
        </w:trPr>
        <w:tc>
          <w:tcPr>
            <w:tcW w:w="2835" w:type="pct"/>
          </w:tcPr>
          <w:p w14:paraId="6FFDB8FB" w14:textId="77777777" w:rsidR="00D467A8" w:rsidRPr="008E6700" w:rsidRDefault="00D467A8" w:rsidP="00712207">
            <w:pPr>
              <w:pStyle w:val="C-TableText"/>
              <w:jc w:val="both"/>
              <w:rPr>
                <w:rFonts w:ascii="Cambria" w:hAnsi="Cambria"/>
                <w:szCs w:val="22"/>
              </w:rPr>
            </w:pPr>
            <w:r w:rsidRPr="008E6700">
              <w:rPr>
                <w:rFonts w:ascii="Cambria" w:hAnsi="Cambria"/>
                <w:szCs w:val="22"/>
              </w:rPr>
              <w:t>6.1 – 6.5</w:t>
            </w:r>
          </w:p>
        </w:tc>
        <w:tc>
          <w:tcPr>
            <w:tcW w:w="2165" w:type="pct"/>
            <w:noWrap/>
          </w:tcPr>
          <w:p w14:paraId="73AE7469" w14:textId="77777777" w:rsidR="00D467A8" w:rsidRPr="007E28A2" w:rsidRDefault="00D467A8" w:rsidP="00712207">
            <w:pPr>
              <w:pStyle w:val="C-TableText"/>
              <w:jc w:val="both"/>
              <w:rPr>
                <w:rFonts w:ascii="Cambria" w:hAnsi="Cambria"/>
                <w:szCs w:val="22"/>
              </w:rPr>
            </w:pPr>
            <w:r w:rsidRPr="007E28A2">
              <w:rPr>
                <w:rFonts w:ascii="Cambria" w:hAnsi="Cambria"/>
                <w:szCs w:val="22"/>
              </w:rPr>
              <w:t>35.8</w:t>
            </w:r>
          </w:p>
        </w:tc>
      </w:tr>
      <w:tr w:rsidR="00D467A8" w:rsidRPr="008E6700" w14:paraId="07911406" w14:textId="77777777" w:rsidTr="00712207">
        <w:trPr>
          <w:cantSplit w:val="0"/>
          <w:trHeight w:val="134"/>
        </w:trPr>
        <w:tc>
          <w:tcPr>
            <w:tcW w:w="2835" w:type="pct"/>
          </w:tcPr>
          <w:p w14:paraId="60C82DD7" w14:textId="77777777" w:rsidR="00D467A8" w:rsidRPr="008E6700" w:rsidRDefault="00D467A8" w:rsidP="00712207">
            <w:pPr>
              <w:pStyle w:val="C-TableText"/>
              <w:jc w:val="both"/>
              <w:rPr>
                <w:rFonts w:ascii="Cambria" w:hAnsi="Cambria"/>
                <w:szCs w:val="22"/>
              </w:rPr>
            </w:pPr>
            <w:r w:rsidRPr="008E6700">
              <w:rPr>
                <w:rFonts w:ascii="Cambria" w:hAnsi="Cambria"/>
                <w:szCs w:val="22"/>
              </w:rPr>
              <w:t>6.6 – 7.0</w:t>
            </w:r>
          </w:p>
        </w:tc>
        <w:tc>
          <w:tcPr>
            <w:tcW w:w="2165" w:type="pct"/>
            <w:noWrap/>
          </w:tcPr>
          <w:p w14:paraId="7A937F8C" w14:textId="77777777" w:rsidR="00D467A8" w:rsidRPr="007E28A2" w:rsidRDefault="00D467A8" w:rsidP="00712207">
            <w:pPr>
              <w:pStyle w:val="C-TableText"/>
              <w:jc w:val="both"/>
              <w:rPr>
                <w:rFonts w:ascii="Cambria" w:hAnsi="Cambria"/>
                <w:szCs w:val="22"/>
              </w:rPr>
            </w:pPr>
            <w:r w:rsidRPr="007E28A2">
              <w:rPr>
                <w:rFonts w:ascii="Cambria" w:hAnsi="Cambria"/>
                <w:szCs w:val="22"/>
              </w:rPr>
              <w:t>38.5</w:t>
            </w:r>
          </w:p>
        </w:tc>
      </w:tr>
      <w:tr w:rsidR="00D467A8" w:rsidRPr="008E6700" w14:paraId="1703C0A3" w14:textId="77777777" w:rsidTr="00712207">
        <w:trPr>
          <w:cantSplit w:val="0"/>
          <w:trHeight w:val="116"/>
        </w:trPr>
        <w:tc>
          <w:tcPr>
            <w:tcW w:w="2835" w:type="pct"/>
          </w:tcPr>
          <w:p w14:paraId="63B9EEE3" w14:textId="77777777" w:rsidR="00D467A8" w:rsidRPr="008E6700" w:rsidRDefault="00D467A8" w:rsidP="00712207">
            <w:pPr>
              <w:pStyle w:val="C-TableText"/>
              <w:jc w:val="both"/>
              <w:rPr>
                <w:rFonts w:ascii="Cambria" w:hAnsi="Cambria"/>
                <w:szCs w:val="22"/>
              </w:rPr>
            </w:pPr>
            <w:r w:rsidRPr="008E6700">
              <w:rPr>
                <w:rFonts w:ascii="Cambria" w:hAnsi="Cambria"/>
                <w:szCs w:val="22"/>
              </w:rPr>
              <w:t>7.1 – 7.5</w:t>
            </w:r>
          </w:p>
        </w:tc>
        <w:tc>
          <w:tcPr>
            <w:tcW w:w="2165" w:type="pct"/>
            <w:noWrap/>
          </w:tcPr>
          <w:p w14:paraId="6F0E69F5" w14:textId="77777777" w:rsidR="00D467A8" w:rsidRPr="007E28A2" w:rsidRDefault="00D467A8" w:rsidP="00712207">
            <w:pPr>
              <w:pStyle w:val="C-TableText"/>
              <w:jc w:val="both"/>
              <w:rPr>
                <w:rFonts w:ascii="Cambria" w:hAnsi="Cambria"/>
                <w:szCs w:val="22"/>
              </w:rPr>
            </w:pPr>
            <w:r w:rsidRPr="007E28A2">
              <w:rPr>
                <w:rFonts w:ascii="Cambria" w:hAnsi="Cambria"/>
                <w:szCs w:val="22"/>
              </w:rPr>
              <w:t>41.3</w:t>
            </w:r>
          </w:p>
        </w:tc>
      </w:tr>
      <w:tr w:rsidR="00D467A8" w:rsidRPr="008E6700" w14:paraId="798C0FE8" w14:textId="77777777" w:rsidTr="00712207">
        <w:trPr>
          <w:cantSplit w:val="0"/>
          <w:trHeight w:val="53"/>
        </w:trPr>
        <w:tc>
          <w:tcPr>
            <w:tcW w:w="2835" w:type="pct"/>
          </w:tcPr>
          <w:p w14:paraId="0601DE99" w14:textId="77777777" w:rsidR="00D467A8" w:rsidRPr="008E6700" w:rsidRDefault="00D467A8" w:rsidP="00712207">
            <w:pPr>
              <w:pStyle w:val="C-TableText"/>
              <w:jc w:val="both"/>
              <w:rPr>
                <w:rFonts w:ascii="Cambria" w:hAnsi="Cambria"/>
                <w:szCs w:val="22"/>
              </w:rPr>
            </w:pPr>
            <w:r w:rsidRPr="008E6700">
              <w:rPr>
                <w:rFonts w:ascii="Cambria" w:hAnsi="Cambria"/>
                <w:szCs w:val="22"/>
              </w:rPr>
              <w:t>7.6 – 8.0</w:t>
            </w:r>
          </w:p>
        </w:tc>
        <w:tc>
          <w:tcPr>
            <w:tcW w:w="2165" w:type="pct"/>
            <w:noWrap/>
          </w:tcPr>
          <w:p w14:paraId="10C53B99" w14:textId="77777777" w:rsidR="00D467A8" w:rsidRPr="007E28A2" w:rsidRDefault="00D467A8" w:rsidP="00712207">
            <w:pPr>
              <w:pStyle w:val="C-TableText"/>
              <w:jc w:val="both"/>
              <w:rPr>
                <w:rFonts w:ascii="Cambria" w:hAnsi="Cambria"/>
                <w:szCs w:val="22"/>
              </w:rPr>
            </w:pPr>
            <w:r w:rsidRPr="007E28A2">
              <w:rPr>
                <w:rFonts w:ascii="Cambria" w:hAnsi="Cambria"/>
                <w:szCs w:val="22"/>
              </w:rPr>
              <w:t>44.0</w:t>
            </w:r>
          </w:p>
        </w:tc>
      </w:tr>
      <w:tr w:rsidR="00D467A8" w:rsidRPr="008E6700" w14:paraId="0C39A37E" w14:textId="77777777" w:rsidTr="00712207">
        <w:trPr>
          <w:cantSplit w:val="0"/>
          <w:trHeight w:val="53"/>
        </w:trPr>
        <w:tc>
          <w:tcPr>
            <w:tcW w:w="2835" w:type="pct"/>
          </w:tcPr>
          <w:p w14:paraId="0D4B2162" w14:textId="77777777" w:rsidR="00D467A8" w:rsidRPr="008E6700" w:rsidRDefault="00D467A8" w:rsidP="00712207">
            <w:pPr>
              <w:pStyle w:val="C-TableText"/>
              <w:jc w:val="both"/>
              <w:rPr>
                <w:rFonts w:ascii="Cambria" w:hAnsi="Cambria"/>
                <w:szCs w:val="22"/>
              </w:rPr>
            </w:pPr>
            <w:r w:rsidRPr="008E6700">
              <w:rPr>
                <w:rFonts w:ascii="Cambria" w:hAnsi="Cambria"/>
                <w:szCs w:val="22"/>
              </w:rPr>
              <w:t>8.1 – 8.5</w:t>
            </w:r>
          </w:p>
        </w:tc>
        <w:tc>
          <w:tcPr>
            <w:tcW w:w="2165" w:type="pct"/>
            <w:noWrap/>
          </w:tcPr>
          <w:p w14:paraId="164C67DF" w14:textId="77777777" w:rsidR="00D467A8" w:rsidRPr="007E28A2" w:rsidRDefault="00D467A8" w:rsidP="00712207">
            <w:pPr>
              <w:pStyle w:val="C-TableText"/>
              <w:jc w:val="both"/>
              <w:rPr>
                <w:rFonts w:ascii="Cambria" w:hAnsi="Cambria"/>
                <w:szCs w:val="22"/>
              </w:rPr>
            </w:pPr>
            <w:r w:rsidRPr="007E28A2">
              <w:rPr>
                <w:rFonts w:ascii="Cambria" w:hAnsi="Cambria"/>
                <w:szCs w:val="22"/>
              </w:rPr>
              <w:t>46.8</w:t>
            </w:r>
          </w:p>
        </w:tc>
      </w:tr>
      <w:tr w:rsidR="00D467A8" w:rsidRPr="008E6700" w14:paraId="2D2E4967" w14:textId="77777777" w:rsidTr="00712207">
        <w:trPr>
          <w:cantSplit w:val="0"/>
          <w:trHeight w:val="53"/>
        </w:trPr>
        <w:tc>
          <w:tcPr>
            <w:tcW w:w="2835" w:type="pct"/>
          </w:tcPr>
          <w:p w14:paraId="1A41C535" w14:textId="77777777" w:rsidR="00D467A8" w:rsidRPr="008E6700" w:rsidRDefault="00D467A8" w:rsidP="00712207">
            <w:pPr>
              <w:pStyle w:val="C-TableText"/>
              <w:jc w:val="both"/>
              <w:rPr>
                <w:rFonts w:ascii="Cambria" w:hAnsi="Cambria"/>
                <w:szCs w:val="22"/>
              </w:rPr>
            </w:pPr>
            <w:r w:rsidRPr="008E6700">
              <w:rPr>
                <w:rFonts w:ascii="Cambria" w:hAnsi="Cambria"/>
                <w:szCs w:val="22"/>
              </w:rPr>
              <w:t>8.6 – 9.0</w:t>
            </w:r>
          </w:p>
        </w:tc>
        <w:tc>
          <w:tcPr>
            <w:tcW w:w="2165" w:type="pct"/>
            <w:noWrap/>
          </w:tcPr>
          <w:p w14:paraId="68375114" w14:textId="77777777" w:rsidR="00D467A8" w:rsidRPr="007E28A2" w:rsidRDefault="00D467A8" w:rsidP="00712207">
            <w:pPr>
              <w:pStyle w:val="C-TableText"/>
              <w:jc w:val="both"/>
              <w:rPr>
                <w:rFonts w:ascii="Cambria" w:hAnsi="Cambria"/>
                <w:szCs w:val="22"/>
              </w:rPr>
            </w:pPr>
            <w:r w:rsidRPr="007E28A2">
              <w:rPr>
                <w:rFonts w:ascii="Cambria" w:hAnsi="Cambria"/>
                <w:szCs w:val="22"/>
              </w:rPr>
              <w:t>49.5</w:t>
            </w:r>
          </w:p>
        </w:tc>
      </w:tr>
      <w:tr w:rsidR="00D467A8" w:rsidRPr="008E6700" w14:paraId="7C387B0C" w14:textId="77777777" w:rsidTr="00712207">
        <w:trPr>
          <w:cantSplit w:val="0"/>
          <w:trHeight w:val="53"/>
        </w:trPr>
        <w:tc>
          <w:tcPr>
            <w:tcW w:w="2835" w:type="pct"/>
          </w:tcPr>
          <w:p w14:paraId="63C2C5CA" w14:textId="77777777" w:rsidR="00D467A8" w:rsidRPr="008E6700" w:rsidRDefault="00D467A8" w:rsidP="00712207">
            <w:pPr>
              <w:pStyle w:val="C-TableText"/>
              <w:jc w:val="both"/>
              <w:rPr>
                <w:rFonts w:ascii="Cambria" w:hAnsi="Cambria"/>
                <w:szCs w:val="22"/>
              </w:rPr>
            </w:pPr>
            <w:r w:rsidRPr="008E6700">
              <w:rPr>
                <w:rFonts w:ascii="Cambria" w:hAnsi="Cambria"/>
                <w:szCs w:val="22"/>
              </w:rPr>
              <w:t>9.1 – 9.5</w:t>
            </w:r>
          </w:p>
        </w:tc>
        <w:tc>
          <w:tcPr>
            <w:tcW w:w="2165" w:type="pct"/>
            <w:noWrap/>
          </w:tcPr>
          <w:p w14:paraId="422ABA43" w14:textId="77777777" w:rsidR="00D467A8" w:rsidRPr="007E28A2" w:rsidRDefault="00D467A8" w:rsidP="00712207">
            <w:pPr>
              <w:pStyle w:val="C-TableText"/>
              <w:jc w:val="both"/>
              <w:rPr>
                <w:rFonts w:ascii="Cambria" w:hAnsi="Cambria"/>
                <w:szCs w:val="22"/>
              </w:rPr>
            </w:pPr>
            <w:r w:rsidRPr="007E28A2">
              <w:rPr>
                <w:rFonts w:ascii="Cambria" w:hAnsi="Cambria"/>
                <w:szCs w:val="22"/>
              </w:rPr>
              <w:t>52.3</w:t>
            </w:r>
          </w:p>
        </w:tc>
      </w:tr>
      <w:tr w:rsidR="00D467A8" w:rsidRPr="008E6700" w14:paraId="45E8B78D" w14:textId="77777777" w:rsidTr="00712207">
        <w:trPr>
          <w:cantSplit w:val="0"/>
          <w:trHeight w:val="71"/>
        </w:trPr>
        <w:tc>
          <w:tcPr>
            <w:tcW w:w="2835" w:type="pct"/>
          </w:tcPr>
          <w:p w14:paraId="1DD56BFB" w14:textId="77777777" w:rsidR="00D467A8" w:rsidRPr="008E6700" w:rsidRDefault="00D467A8" w:rsidP="00712207">
            <w:pPr>
              <w:pStyle w:val="C-TableText"/>
              <w:jc w:val="both"/>
              <w:rPr>
                <w:rFonts w:ascii="Cambria" w:hAnsi="Cambria"/>
                <w:szCs w:val="22"/>
              </w:rPr>
            </w:pPr>
            <w:r w:rsidRPr="008E6700">
              <w:rPr>
                <w:rFonts w:ascii="Cambria" w:hAnsi="Cambria"/>
                <w:szCs w:val="22"/>
              </w:rPr>
              <w:t>9.6 – 10.0</w:t>
            </w:r>
          </w:p>
        </w:tc>
        <w:tc>
          <w:tcPr>
            <w:tcW w:w="2165" w:type="pct"/>
            <w:noWrap/>
          </w:tcPr>
          <w:p w14:paraId="1F9C2FF6" w14:textId="77777777" w:rsidR="00D467A8" w:rsidRPr="007E28A2" w:rsidRDefault="00D467A8" w:rsidP="00712207">
            <w:pPr>
              <w:pStyle w:val="C-TableText"/>
              <w:jc w:val="both"/>
              <w:rPr>
                <w:rFonts w:ascii="Cambria" w:hAnsi="Cambria"/>
                <w:szCs w:val="22"/>
              </w:rPr>
            </w:pPr>
            <w:r w:rsidRPr="007E28A2">
              <w:rPr>
                <w:rFonts w:ascii="Cambria" w:hAnsi="Cambria"/>
                <w:szCs w:val="22"/>
              </w:rPr>
              <w:t>55.0</w:t>
            </w:r>
          </w:p>
        </w:tc>
      </w:tr>
      <w:tr w:rsidR="00D467A8" w:rsidRPr="008E6700" w14:paraId="02279427" w14:textId="77777777" w:rsidTr="00712207">
        <w:trPr>
          <w:cantSplit w:val="0"/>
          <w:trHeight w:val="53"/>
        </w:trPr>
        <w:tc>
          <w:tcPr>
            <w:tcW w:w="2835" w:type="pct"/>
          </w:tcPr>
          <w:p w14:paraId="0BD66522" w14:textId="77777777" w:rsidR="00D467A8" w:rsidRPr="008E6700" w:rsidRDefault="00D467A8" w:rsidP="00712207">
            <w:pPr>
              <w:pStyle w:val="C-TableText"/>
              <w:jc w:val="both"/>
              <w:rPr>
                <w:rFonts w:ascii="Cambria" w:hAnsi="Cambria"/>
                <w:szCs w:val="22"/>
              </w:rPr>
            </w:pPr>
            <w:r w:rsidRPr="008E6700">
              <w:rPr>
                <w:rFonts w:ascii="Cambria" w:hAnsi="Cambria"/>
                <w:szCs w:val="22"/>
              </w:rPr>
              <w:t>10.1 – 10.5</w:t>
            </w:r>
          </w:p>
        </w:tc>
        <w:tc>
          <w:tcPr>
            <w:tcW w:w="2165" w:type="pct"/>
            <w:noWrap/>
          </w:tcPr>
          <w:p w14:paraId="3AF272B6" w14:textId="77777777" w:rsidR="00D467A8" w:rsidRPr="007E28A2" w:rsidRDefault="00D467A8" w:rsidP="00712207">
            <w:pPr>
              <w:pStyle w:val="C-TableText"/>
              <w:jc w:val="both"/>
              <w:rPr>
                <w:rFonts w:ascii="Cambria" w:hAnsi="Cambria"/>
                <w:szCs w:val="22"/>
              </w:rPr>
            </w:pPr>
            <w:r w:rsidRPr="007E28A2">
              <w:rPr>
                <w:rFonts w:ascii="Cambria" w:hAnsi="Cambria"/>
                <w:szCs w:val="22"/>
              </w:rPr>
              <w:t>57.8</w:t>
            </w:r>
          </w:p>
        </w:tc>
      </w:tr>
      <w:tr w:rsidR="00D467A8" w:rsidRPr="008E6700" w14:paraId="363407F7" w14:textId="77777777" w:rsidTr="00712207">
        <w:trPr>
          <w:cantSplit w:val="0"/>
          <w:trHeight w:val="53"/>
        </w:trPr>
        <w:tc>
          <w:tcPr>
            <w:tcW w:w="2835" w:type="pct"/>
          </w:tcPr>
          <w:p w14:paraId="436B3C16" w14:textId="77777777" w:rsidR="00D467A8" w:rsidRPr="008E6700" w:rsidRDefault="00D467A8" w:rsidP="00712207">
            <w:pPr>
              <w:pStyle w:val="C-TableText"/>
              <w:jc w:val="both"/>
              <w:rPr>
                <w:rFonts w:ascii="Cambria" w:hAnsi="Cambria"/>
                <w:szCs w:val="22"/>
              </w:rPr>
            </w:pPr>
            <w:r w:rsidRPr="008E6700">
              <w:rPr>
                <w:rFonts w:ascii="Cambria" w:hAnsi="Cambria"/>
                <w:szCs w:val="22"/>
              </w:rPr>
              <w:t>10.6 – 11.0</w:t>
            </w:r>
          </w:p>
        </w:tc>
        <w:tc>
          <w:tcPr>
            <w:tcW w:w="2165" w:type="pct"/>
            <w:noWrap/>
          </w:tcPr>
          <w:p w14:paraId="03ED0060" w14:textId="77777777" w:rsidR="00D467A8" w:rsidRPr="007E28A2" w:rsidRDefault="00D467A8" w:rsidP="00712207">
            <w:pPr>
              <w:pStyle w:val="C-TableText"/>
              <w:jc w:val="both"/>
              <w:rPr>
                <w:rFonts w:ascii="Cambria" w:hAnsi="Cambria"/>
                <w:szCs w:val="22"/>
              </w:rPr>
            </w:pPr>
            <w:r w:rsidRPr="007E28A2">
              <w:rPr>
                <w:rFonts w:ascii="Cambria" w:hAnsi="Cambria"/>
                <w:szCs w:val="22"/>
              </w:rPr>
              <w:t>60.5</w:t>
            </w:r>
          </w:p>
        </w:tc>
      </w:tr>
      <w:tr w:rsidR="00D467A8" w:rsidRPr="008E6700" w14:paraId="4199D46D" w14:textId="77777777" w:rsidTr="00712207">
        <w:trPr>
          <w:cantSplit w:val="0"/>
          <w:trHeight w:val="53"/>
        </w:trPr>
        <w:tc>
          <w:tcPr>
            <w:tcW w:w="2835" w:type="pct"/>
          </w:tcPr>
          <w:p w14:paraId="05226534" w14:textId="77777777" w:rsidR="00D467A8" w:rsidRPr="008E6700" w:rsidRDefault="00D467A8" w:rsidP="00712207">
            <w:pPr>
              <w:pStyle w:val="C-TableText"/>
              <w:jc w:val="both"/>
              <w:rPr>
                <w:rFonts w:ascii="Cambria" w:hAnsi="Cambria"/>
                <w:szCs w:val="22"/>
              </w:rPr>
            </w:pPr>
            <w:r w:rsidRPr="008E6700">
              <w:rPr>
                <w:rFonts w:ascii="Cambria" w:hAnsi="Cambria"/>
                <w:szCs w:val="22"/>
              </w:rPr>
              <w:t>11.1 – 11.5</w:t>
            </w:r>
          </w:p>
        </w:tc>
        <w:tc>
          <w:tcPr>
            <w:tcW w:w="2165" w:type="pct"/>
            <w:noWrap/>
          </w:tcPr>
          <w:p w14:paraId="13912089" w14:textId="77777777" w:rsidR="00D467A8" w:rsidRPr="007E28A2" w:rsidRDefault="00D467A8" w:rsidP="00712207">
            <w:pPr>
              <w:pStyle w:val="C-TableText"/>
              <w:jc w:val="both"/>
              <w:rPr>
                <w:rFonts w:ascii="Cambria" w:hAnsi="Cambria"/>
                <w:szCs w:val="22"/>
              </w:rPr>
            </w:pPr>
            <w:r w:rsidRPr="007E28A2">
              <w:rPr>
                <w:rFonts w:ascii="Cambria" w:hAnsi="Cambria"/>
                <w:szCs w:val="22"/>
              </w:rPr>
              <w:t>63.3</w:t>
            </w:r>
          </w:p>
        </w:tc>
      </w:tr>
      <w:tr w:rsidR="00D467A8" w:rsidRPr="008E6700" w14:paraId="4E443961" w14:textId="77777777" w:rsidTr="00712207">
        <w:trPr>
          <w:cantSplit w:val="0"/>
          <w:trHeight w:val="71"/>
        </w:trPr>
        <w:tc>
          <w:tcPr>
            <w:tcW w:w="2835" w:type="pct"/>
          </w:tcPr>
          <w:p w14:paraId="45773D54" w14:textId="77777777" w:rsidR="00D467A8" w:rsidRPr="008E6700" w:rsidRDefault="00D467A8" w:rsidP="00712207">
            <w:pPr>
              <w:pStyle w:val="C-TableText"/>
              <w:jc w:val="both"/>
              <w:rPr>
                <w:rFonts w:ascii="Cambria" w:hAnsi="Cambria"/>
                <w:szCs w:val="22"/>
              </w:rPr>
            </w:pPr>
            <w:r w:rsidRPr="008E6700">
              <w:rPr>
                <w:rFonts w:ascii="Cambria" w:hAnsi="Cambria"/>
                <w:szCs w:val="22"/>
              </w:rPr>
              <w:t>11.6 – 12.0</w:t>
            </w:r>
          </w:p>
        </w:tc>
        <w:tc>
          <w:tcPr>
            <w:tcW w:w="2165" w:type="pct"/>
            <w:noWrap/>
          </w:tcPr>
          <w:p w14:paraId="0A78904B" w14:textId="77777777" w:rsidR="00D467A8" w:rsidRPr="007E28A2" w:rsidRDefault="00D467A8" w:rsidP="00712207">
            <w:pPr>
              <w:pStyle w:val="C-TableText"/>
              <w:jc w:val="both"/>
              <w:rPr>
                <w:rFonts w:ascii="Cambria" w:hAnsi="Cambria"/>
                <w:szCs w:val="22"/>
              </w:rPr>
            </w:pPr>
            <w:r w:rsidRPr="007E28A2">
              <w:rPr>
                <w:rFonts w:ascii="Cambria" w:hAnsi="Cambria"/>
                <w:szCs w:val="22"/>
              </w:rPr>
              <w:t>66.0</w:t>
            </w:r>
          </w:p>
        </w:tc>
      </w:tr>
      <w:tr w:rsidR="00D467A8" w:rsidRPr="008E6700" w14:paraId="71575357" w14:textId="77777777" w:rsidTr="00712207">
        <w:trPr>
          <w:cantSplit w:val="0"/>
          <w:trHeight w:val="53"/>
        </w:trPr>
        <w:tc>
          <w:tcPr>
            <w:tcW w:w="2835" w:type="pct"/>
          </w:tcPr>
          <w:p w14:paraId="2A5A178E" w14:textId="77777777" w:rsidR="00D467A8" w:rsidRPr="008E6700" w:rsidRDefault="00D467A8" w:rsidP="00712207">
            <w:pPr>
              <w:pStyle w:val="C-TableText"/>
              <w:jc w:val="both"/>
              <w:rPr>
                <w:rFonts w:ascii="Cambria" w:hAnsi="Cambria"/>
                <w:szCs w:val="22"/>
              </w:rPr>
            </w:pPr>
            <w:r w:rsidRPr="008E6700">
              <w:rPr>
                <w:rFonts w:ascii="Cambria" w:hAnsi="Cambria"/>
                <w:szCs w:val="22"/>
              </w:rPr>
              <w:t>12.1 – 12.5</w:t>
            </w:r>
          </w:p>
        </w:tc>
        <w:tc>
          <w:tcPr>
            <w:tcW w:w="2165" w:type="pct"/>
            <w:noWrap/>
          </w:tcPr>
          <w:p w14:paraId="5D4669D7" w14:textId="77777777" w:rsidR="00D467A8" w:rsidRPr="007E28A2" w:rsidRDefault="00D467A8" w:rsidP="00712207">
            <w:pPr>
              <w:pStyle w:val="C-TableText"/>
              <w:jc w:val="both"/>
              <w:rPr>
                <w:rFonts w:ascii="Cambria" w:hAnsi="Cambria"/>
                <w:szCs w:val="22"/>
              </w:rPr>
            </w:pPr>
            <w:r w:rsidRPr="007E28A2">
              <w:rPr>
                <w:rFonts w:ascii="Cambria" w:hAnsi="Cambria"/>
                <w:szCs w:val="22"/>
              </w:rPr>
              <w:t>68.8</w:t>
            </w:r>
          </w:p>
        </w:tc>
      </w:tr>
      <w:tr w:rsidR="00D467A8" w:rsidRPr="008E6700" w14:paraId="3341FB0C" w14:textId="77777777" w:rsidTr="00712207">
        <w:trPr>
          <w:cantSplit w:val="0"/>
          <w:trHeight w:val="53"/>
        </w:trPr>
        <w:tc>
          <w:tcPr>
            <w:tcW w:w="2835" w:type="pct"/>
          </w:tcPr>
          <w:p w14:paraId="3E252292" w14:textId="77777777" w:rsidR="00D467A8" w:rsidRPr="008E6700" w:rsidRDefault="00D467A8" w:rsidP="00712207">
            <w:pPr>
              <w:pStyle w:val="C-TableText"/>
              <w:jc w:val="both"/>
              <w:rPr>
                <w:rFonts w:ascii="Cambria" w:hAnsi="Cambria"/>
                <w:szCs w:val="22"/>
              </w:rPr>
            </w:pPr>
            <w:r w:rsidRPr="008E6700">
              <w:rPr>
                <w:rFonts w:ascii="Cambria" w:hAnsi="Cambria"/>
                <w:szCs w:val="22"/>
              </w:rPr>
              <w:t>12.6 – 13.0</w:t>
            </w:r>
          </w:p>
        </w:tc>
        <w:tc>
          <w:tcPr>
            <w:tcW w:w="2165" w:type="pct"/>
            <w:noWrap/>
          </w:tcPr>
          <w:p w14:paraId="31AC1F85" w14:textId="77777777" w:rsidR="00D467A8" w:rsidRPr="007E28A2" w:rsidRDefault="00D467A8" w:rsidP="00712207">
            <w:pPr>
              <w:pStyle w:val="C-TableText"/>
              <w:jc w:val="both"/>
              <w:rPr>
                <w:rFonts w:ascii="Cambria" w:hAnsi="Cambria"/>
                <w:szCs w:val="22"/>
              </w:rPr>
            </w:pPr>
            <w:r w:rsidRPr="007E28A2">
              <w:rPr>
                <w:rFonts w:ascii="Cambria" w:hAnsi="Cambria"/>
                <w:szCs w:val="22"/>
              </w:rPr>
              <w:t>71.5</w:t>
            </w:r>
          </w:p>
        </w:tc>
      </w:tr>
      <w:tr w:rsidR="00D467A8" w:rsidRPr="008E6700" w14:paraId="3C0F57CA" w14:textId="77777777" w:rsidTr="00712207">
        <w:trPr>
          <w:cantSplit w:val="0"/>
          <w:trHeight w:val="53"/>
        </w:trPr>
        <w:tc>
          <w:tcPr>
            <w:tcW w:w="2835" w:type="pct"/>
          </w:tcPr>
          <w:p w14:paraId="0548CB03" w14:textId="1E9FB9CB" w:rsidR="00D467A8" w:rsidRPr="008E6700" w:rsidRDefault="00D467A8" w:rsidP="004E7BAB">
            <w:pPr>
              <w:pStyle w:val="C-TableText"/>
              <w:jc w:val="both"/>
              <w:rPr>
                <w:rFonts w:ascii="Cambria" w:hAnsi="Cambria"/>
                <w:szCs w:val="22"/>
              </w:rPr>
            </w:pPr>
            <w:r w:rsidRPr="008E6700">
              <w:rPr>
                <w:rFonts w:ascii="Cambria" w:hAnsi="Cambria"/>
                <w:szCs w:val="22"/>
              </w:rPr>
              <w:t>13.1 – 13.5</w:t>
            </w:r>
          </w:p>
        </w:tc>
        <w:tc>
          <w:tcPr>
            <w:tcW w:w="2165" w:type="pct"/>
            <w:noWrap/>
          </w:tcPr>
          <w:p w14:paraId="54A0E8C9" w14:textId="77777777" w:rsidR="00D467A8" w:rsidRPr="007E28A2" w:rsidRDefault="00D467A8" w:rsidP="00712207">
            <w:pPr>
              <w:pStyle w:val="C-TableText"/>
              <w:jc w:val="both"/>
              <w:rPr>
                <w:rFonts w:ascii="Cambria" w:hAnsi="Cambria"/>
                <w:szCs w:val="22"/>
              </w:rPr>
            </w:pPr>
            <w:r w:rsidRPr="007E28A2">
              <w:rPr>
                <w:rFonts w:ascii="Cambria" w:hAnsi="Cambria"/>
                <w:szCs w:val="22"/>
              </w:rPr>
              <w:t>74.3</w:t>
            </w:r>
          </w:p>
        </w:tc>
      </w:tr>
    </w:tbl>
    <w:p w14:paraId="33A7A205" w14:textId="45E19254" w:rsidR="00D467A8" w:rsidRPr="00A204D0" w:rsidRDefault="00D467A8" w:rsidP="00D467A8">
      <w:pPr>
        <w:pStyle w:val="C-TableFootnote"/>
        <w:jc w:val="both"/>
        <w:rPr>
          <w:rFonts w:ascii="Cambria" w:hAnsi="Cambria"/>
          <w:vertAlign w:val="superscript"/>
        </w:rPr>
      </w:pPr>
      <w:r w:rsidRPr="00A204D0">
        <w:rPr>
          <w:rFonts w:ascii="Cambria" w:hAnsi="Cambria"/>
          <w:vertAlign w:val="superscript"/>
        </w:rPr>
        <w:fldChar w:fldCharType="begin"/>
      </w:r>
      <w:r w:rsidRPr="00A204D0">
        <w:rPr>
          <w:rFonts w:ascii="Cambria" w:hAnsi="Cambria"/>
          <w:vertAlign w:val="superscript"/>
        </w:rPr>
        <w:instrText xml:space="preserve"> REF _TNCF656744689674FC0966AF8904B8BE918  \* MERGEFORMAT </w:instrText>
      </w:r>
      <w:r w:rsidRPr="00A204D0">
        <w:rPr>
          <w:rFonts w:ascii="Cambria" w:hAnsi="Cambria"/>
          <w:vertAlign w:val="superscript"/>
        </w:rPr>
        <w:fldChar w:fldCharType="separate"/>
      </w:r>
      <w:r w:rsidRPr="005273EA">
        <w:rPr>
          <w:rStyle w:val="C-TableCallout"/>
          <w:rFonts w:ascii="Cambria" w:hAnsi="Cambria"/>
        </w:rPr>
        <w:t>a</w:t>
      </w:r>
      <w:r w:rsidRPr="00A204D0">
        <w:rPr>
          <w:rFonts w:ascii="Cambria" w:hAnsi="Cambria"/>
          <w:vertAlign w:val="superscript"/>
        </w:rPr>
        <w:fldChar w:fldCharType="end"/>
      </w:r>
      <w:r w:rsidRPr="00A204D0">
        <w:rPr>
          <w:rFonts w:ascii="Cambria" w:hAnsi="Cambria"/>
          <w:vertAlign w:val="superscript"/>
        </w:rPr>
        <w:tab/>
      </w:r>
      <w:r w:rsidRPr="00A204D0">
        <w:rPr>
          <w:rFonts w:ascii="Cambria" w:hAnsi="Cambria"/>
        </w:rPr>
        <w:t>Dose volume is calculated using the upper limit of the patient weight range</w:t>
      </w:r>
      <w:r w:rsidR="004E7BAB">
        <w:rPr>
          <w:rFonts w:ascii="Cambria" w:hAnsi="Cambria"/>
        </w:rPr>
        <w:t>.</w:t>
      </w:r>
    </w:p>
    <w:p w14:paraId="4C5630F5" w14:textId="77777777" w:rsidR="00EE35F8" w:rsidRPr="00EE35F8" w:rsidRDefault="00EE35F8" w:rsidP="003E50D5">
      <w:pPr>
        <w:pStyle w:val="Heading3"/>
      </w:pPr>
      <w:r w:rsidRPr="00EE35F8">
        <w:t>Laboratory Testing and Monitoring to Assess Safety</w:t>
      </w:r>
      <w:bookmarkEnd w:id="4"/>
    </w:p>
    <w:p w14:paraId="21A0FB13" w14:textId="7F54EE3B" w:rsidR="00EE35F8" w:rsidRPr="00EE35F8" w:rsidRDefault="00EE35F8" w:rsidP="006D7674">
      <w:pPr>
        <w:pStyle w:val="C-BodyText"/>
        <w:rPr>
          <w:rFonts w:ascii="Cambria" w:hAnsi="Cambria"/>
          <w:bCs/>
          <w:szCs w:val="24"/>
        </w:rPr>
      </w:pPr>
      <w:r w:rsidRPr="00EE35F8">
        <w:rPr>
          <w:rFonts w:ascii="Cambria" w:hAnsi="Cambria"/>
          <w:szCs w:val="24"/>
        </w:rPr>
        <w:t>Perform baseline anti-AAV9 antibody testing prior to ZOLGENSMA infusion</w:t>
      </w:r>
      <w:r w:rsidRPr="00EE35F8">
        <w:rPr>
          <w:rFonts w:ascii="Cambria" w:hAnsi="Cambria"/>
          <w:bCs/>
          <w:szCs w:val="24"/>
        </w:rPr>
        <w:t xml:space="preserve">. </w:t>
      </w:r>
      <w:r>
        <w:rPr>
          <w:rFonts w:ascii="Cambria" w:hAnsi="Cambria"/>
          <w:bCs/>
          <w:szCs w:val="24"/>
        </w:rPr>
        <w:t xml:space="preserve"> </w:t>
      </w:r>
      <w:r w:rsidRPr="00EE35F8">
        <w:rPr>
          <w:rFonts w:ascii="Cambria" w:hAnsi="Cambria"/>
          <w:szCs w:val="24"/>
        </w:rPr>
        <w:t xml:space="preserve">Retesting may be performed </w:t>
      </w:r>
      <w:r w:rsidRPr="00EE35F8">
        <w:rPr>
          <w:rFonts w:ascii="Cambria" w:hAnsi="Cambria"/>
          <w:bCs/>
          <w:szCs w:val="24"/>
        </w:rPr>
        <w:t xml:space="preserve">if </w:t>
      </w:r>
      <w:r w:rsidRPr="00EE35F8">
        <w:rPr>
          <w:rFonts w:ascii="Cambria" w:hAnsi="Cambria"/>
          <w:szCs w:val="24"/>
        </w:rPr>
        <w:t xml:space="preserve">anti-AAV9 antibody </w:t>
      </w:r>
      <w:proofErr w:type="spellStart"/>
      <w:r w:rsidRPr="00EE35F8">
        <w:rPr>
          <w:rFonts w:ascii="Cambria" w:hAnsi="Cambria"/>
          <w:szCs w:val="24"/>
        </w:rPr>
        <w:t>tit</w:t>
      </w:r>
      <w:r w:rsidR="002B5A16">
        <w:rPr>
          <w:rFonts w:ascii="Cambria" w:hAnsi="Cambria"/>
          <w:szCs w:val="24"/>
        </w:rPr>
        <w:t>res</w:t>
      </w:r>
      <w:proofErr w:type="spellEnd"/>
      <w:r w:rsidRPr="00EE35F8">
        <w:rPr>
          <w:rFonts w:ascii="Cambria" w:hAnsi="Cambria"/>
          <w:szCs w:val="24"/>
        </w:rPr>
        <w:t xml:space="preserve"> are reported as &gt;1:50</w:t>
      </w:r>
      <w:r w:rsidR="00D44330">
        <w:rPr>
          <w:rFonts w:ascii="Cambria" w:hAnsi="Cambria"/>
          <w:szCs w:val="24"/>
        </w:rPr>
        <w:t>.</w:t>
      </w:r>
    </w:p>
    <w:p w14:paraId="37CCDA19" w14:textId="26D09733" w:rsidR="00EE35F8" w:rsidRPr="00EE35F8" w:rsidRDefault="00EE35F8" w:rsidP="006D7674">
      <w:pPr>
        <w:pStyle w:val="C-BodyText"/>
        <w:rPr>
          <w:rFonts w:ascii="Cambria" w:hAnsi="Cambria"/>
          <w:szCs w:val="24"/>
        </w:rPr>
      </w:pPr>
      <w:r w:rsidRPr="00EE35F8">
        <w:rPr>
          <w:rFonts w:ascii="Cambria" w:hAnsi="Cambria"/>
          <w:szCs w:val="24"/>
        </w:rPr>
        <w:t xml:space="preserve">Conduct the following tests at baseline and as directed below </w:t>
      </w:r>
      <w:r w:rsidR="00001CDB">
        <w:rPr>
          <w:rFonts w:ascii="Cambria" w:hAnsi="Cambria"/>
          <w:szCs w:val="24"/>
        </w:rPr>
        <w:t xml:space="preserve">(see 4.4. Special warnings and precautions for use, </w:t>
      </w:r>
      <w:r w:rsidR="00223E4B">
        <w:rPr>
          <w:rFonts w:ascii="Cambria" w:hAnsi="Cambria"/>
          <w:szCs w:val="24"/>
        </w:rPr>
        <w:t xml:space="preserve">subheadings </w:t>
      </w:r>
      <w:r w:rsidR="00001CDB">
        <w:rPr>
          <w:rFonts w:ascii="Cambria" w:hAnsi="Cambria"/>
          <w:szCs w:val="24"/>
        </w:rPr>
        <w:t>Acute serious liver injury and elevated amino transferases, Thrombocytopenia</w:t>
      </w:r>
      <w:r w:rsidR="00223E4B">
        <w:rPr>
          <w:rFonts w:ascii="Cambria" w:hAnsi="Cambria"/>
          <w:szCs w:val="24"/>
        </w:rPr>
        <w:t xml:space="preserve"> and</w:t>
      </w:r>
      <w:r w:rsidR="00001CDB">
        <w:rPr>
          <w:rFonts w:ascii="Cambria" w:hAnsi="Cambria"/>
          <w:szCs w:val="24"/>
        </w:rPr>
        <w:t xml:space="preserve"> Elevated Troponin-1):</w:t>
      </w:r>
    </w:p>
    <w:p w14:paraId="48D7D4E3" w14:textId="1F0CD309" w:rsidR="00EE35F8" w:rsidRPr="00223E4B" w:rsidRDefault="00EE35F8" w:rsidP="006D7674">
      <w:pPr>
        <w:pStyle w:val="C-Bullet"/>
      </w:pPr>
      <w:r w:rsidRPr="00223E4B">
        <w:t xml:space="preserve">Liver function (clinical exam, </w:t>
      </w:r>
      <w:r w:rsidR="00635384" w:rsidRPr="00AC77F9">
        <w:rPr>
          <w:rFonts w:ascii="Cambria" w:hAnsi="Cambria"/>
          <w:szCs w:val="24"/>
        </w:rPr>
        <w:t xml:space="preserve">aspartate aminotransferase </w:t>
      </w:r>
      <w:r w:rsidR="00635384">
        <w:rPr>
          <w:rFonts w:ascii="Cambria" w:hAnsi="Cambria"/>
          <w:szCs w:val="24"/>
        </w:rPr>
        <w:t>(</w:t>
      </w:r>
      <w:r w:rsidRPr="00223E4B">
        <w:t>AST</w:t>
      </w:r>
      <w:r w:rsidR="00635384">
        <w:t>)</w:t>
      </w:r>
      <w:r w:rsidRPr="00223E4B">
        <w:t xml:space="preserve">, </w:t>
      </w:r>
      <w:r w:rsidR="00635384" w:rsidRPr="00AC77F9">
        <w:rPr>
          <w:rFonts w:ascii="Cambria" w:hAnsi="Cambria"/>
          <w:szCs w:val="24"/>
        </w:rPr>
        <w:t xml:space="preserve">alanine aminotransferase </w:t>
      </w:r>
      <w:r w:rsidR="00635384">
        <w:rPr>
          <w:rFonts w:ascii="Cambria" w:hAnsi="Cambria"/>
          <w:szCs w:val="24"/>
        </w:rPr>
        <w:t>(</w:t>
      </w:r>
      <w:r w:rsidRPr="00223E4B">
        <w:t>ALT</w:t>
      </w:r>
      <w:r w:rsidR="00635384">
        <w:t>)</w:t>
      </w:r>
      <w:r w:rsidRPr="00223E4B">
        <w:t>, total bilirubin, prothrombin time) weekly for the first month; every other week for the second and third months, until results are unremarkable (</w:t>
      </w:r>
      <w:r w:rsidRPr="00223E4B">
        <w:rPr>
          <w:bCs/>
        </w:rPr>
        <w:t xml:space="preserve">normal clinical exam, total </w:t>
      </w:r>
      <w:r w:rsidRPr="00223E4B">
        <w:t>bilirubin, and prothrombin results, and</w:t>
      </w:r>
      <w:r w:rsidRPr="00223E4B">
        <w:rPr>
          <w:bCs/>
        </w:rPr>
        <w:t xml:space="preserve"> ALT and AST levels below 2 × </w:t>
      </w:r>
      <w:r w:rsidR="00B52BF4" w:rsidRPr="00B52BF4">
        <w:t xml:space="preserve"> </w:t>
      </w:r>
      <w:r w:rsidR="00635384">
        <w:t xml:space="preserve">the </w:t>
      </w:r>
      <w:r w:rsidR="00B52BF4" w:rsidRPr="00B52BF4">
        <w:rPr>
          <w:rFonts w:ascii="Cambria" w:hAnsi="Cambria"/>
          <w:bCs/>
        </w:rPr>
        <w:t>upper limit of normal</w:t>
      </w:r>
      <w:r w:rsidR="00635384">
        <w:rPr>
          <w:rFonts w:ascii="Cambria" w:hAnsi="Cambria"/>
          <w:bCs/>
        </w:rPr>
        <w:t xml:space="preserve"> (ULN)</w:t>
      </w:r>
      <w:r w:rsidRPr="00223E4B">
        <w:rPr>
          <w:bCs/>
        </w:rPr>
        <w:t>)</w:t>
      </w:r>
      <w:r w:rsidRPr="00223E4B">
        <w:t>.</w:t>
      </w:r>
    </w:p>
    <w:p w14:paraId="1B0EE035" w14:textId="77777777" w:rsidR="00EE35F8" w:rsidRPr="00223E4B" w:rsidRDefault="00EE35F8" w:rsidP="006D7674">
      <w:pPr>
        <w:pStyle w:val="C-Bullet"/>
        <w:rPr>
          <w:rFonts w:ascii="Cambria" w:hAnsi="Cambria"/>
        </w:rPr>
      </w:pPr>
      <w:r w:rsidRPr="00223E4B">
        <w:rPr>
          <w:rFonts w:ascii="Cambria" w:hAnsi="Cambria"/>
        </w:rPr>
        <w:t>Platelet counts weekly for the first month, and then every other week for the second and third months, until platelet counts return to baseline.</w:t>
      </w:r>
    </w:p>
    <w:p w14:paraId="24BC1FA2" w14:textId="6D6F94A2" w:rsidR="00EE35F8" w:rsidRPr="00223E4B" w:rsidRDefault="00EE35F8" w:rsidP="006D7674">
      <w:pPr>
        <w:pStyle w:val="C-Bullet"/>
        <w:rPr>
          <w:rFonts w:ascii="Cambria" w:hAnsi="Cambria"/>
        </w:rPr>
      </w:pPr>
      <w:r w:rsidRPr="00223E4B">
        <w:rPr>
          <w:rFonts w:ascii="Cambria" w:hAnsi="Cambria"/>
        </w:rPr>
        <w:t>Troponin</w:t>
      </w:r>
      <w:r w:rsidRPr="00223E4B">
        <w:rPr>
          <w:rFonts w:ascii="Cambria" w:hAnsi="Cambria"/>
        </w:rPr>
        <w:noBreakHyphen/>
        <w:t>I weekly for the first month, and then monthly for the second and third months, until troponin-I level returns to baseline.</w:t>
      </w:r>
    </w:p>
    <w:p w14:paraId="6CA60F06" w14:textId="7CB8B0C8" w:rsidR="00AC77F9" w:rsidRDefault="00AC77F9" w:rsidP="006D7674">
      <w:pPr>
        <w:pStyle w:val="C-BodyText"/>
        <w:rPr>
          <w:rFonts w:ascii="Cambria" w:hAnsi="Cambria"/>
          <w:szCs w:val="24"/>
        </w:rPr>
      </w:pPr>
      <w:r w:rsidRPr="00AC77F9">
        <w:rPr>
          <w:rFonts w:ascii="Cambria" w:hAnsi="Cambria"/>
          <w:szCs w:val="24"/>
        </w:rPr>
        <w:t xml:space="preserve">Patients with ALT, AST or total bilirubin greater than 2 times ULN should not be dosed with </w:t>
      </w:r>
      <w:r w:rsidR="00A15EF7" w:rsidRPr="009A2533">
        <w:rPr>
          <w:rFonts w:ascii="Cambria" w:hAnsi="Cambria"/>
          <w:szCs w:val="24"/>
        </w:rPr>
        <w:t>Z</w:t>
      </w:r>
      <w:r w:rsidR="00A15EF7">
        <w:rPr>
          <w:rFonts w:ascii="Cambria" w:hAnsi="Cambria"/>
          <w:szCs w:val="24"/>
        </w:rPr>
        <w:t>OLGENSMA</w:t>
      </w:r>
      <w:r w:rsidRPr="00AC77F9">
        <w:rPr>
          <w:rFonts w:ascii="Cambria" w:hAnsi="Cambria"/>
          <w:szCs w:val="24"/>
        </w:rPr>
        <w:t>. The exception is when the elevated total bilirubin is due to neonatal jaundice.</w:t>
      </w:r>
    </w:p>
    <w:p w14:paraId="35E2DF6D" w14:textId="4E4913DE" w:rsidR="009A2533" w:rsidRPr="009A2533" w:rsidRDefault="009A2533" w:rsidP="003E50D5">
      <w:pPr>
        <w:pStyle w:val="Heading3"/>
      </w:pPr>
      <w:r w:rsidRPr="009A2533">
        <w:t>Prednisolone Treatment Pre- and Post-Z</w:t>
      </w:r>
      <w:r w:rsidR="003D6187">
        <w:t>OLGENSMA</w:t>
      </w:r>
      <w:r w:rsidRPr="009A2533">
        <w:t xml:space="preserve"> Infusion</w:t>
      </w:r>
    </w:p>
    <w:p w14:paraId="701DBCB0" w14:textId="1472CF6D" w:rsidR="009A2533" w:rsidRPr="009A2533" w:rsidRDefault="00487F43" w:rsidP="006D7674">
      <w:pPr>
        <w:pStyle w:val="C-BodyText"/>
        <w:rPr>
          <w:rFonts w:ascii="Cambria" w:hAnsi="Cambria"/>
          <w:szCs w:val="24"/>
        </w:rPr>
      </w:pPr>
      <w:r>
        <w:rPr>
          <w:rFonts w:ascii="Cambria" w:hAnsi="Cambria"/>
          <w:szCs w:val="24"/>
        </w:rPr>
        <w:t>To manage</w:t>
      </w:r>
      <w:r w:rsidR="009A2533" w:rsidRPr="009A2533">
        <w:rPr>
          <w:rFonts w:ascii="Cambria" w:hAnsi="Cambria"/>
          <w:szCs w:val="24"/>
        </w:rPr>
        <w:t xml:space="preserve"> possible </w:t>
      </w:r>
      <w:r w:rsidR="005A3EE5">
        <w:rPr>
          <w:rFonts w:ascii="Cambria" w:hAnsi="Cambria"/>
          <w:szCs w:val="24"/>
        </w:rPr>
        <w:t>liver function abnormalities</w:t>
      </w:r>
      <w:r w:rsidR="009A2533" w:rsidRPr="009A2533">
        <w:rPr>
          <w:rFonts w:ascii="Cambria" w:hAnsi="Cambria"/>
          <w:szCs w:val="24"/>
        </w:rPr>
        <w:t>, all patients should receive prednisolone given orally before and after dosing</w:t>
      </w:r>
      <w:r w:rsidR="009A2533">
        <w:rPr>
          <w:rFonts w:ascii="Cambria" w:hAnsi="Cambria"/>
          <w:szCs w:val="24"/>
        </w:rPr>
        <w:t xml:space="preserve"> </w:t>
      </w:r>
      <w:r w:rsidR="00A15EF7" w:rsidRPr="009A2533">
        <w:rPr>
          <w:rFonts w:ascii="Cambria" w:hAnsi="Cambria"/>
          <w:szCs w:val="24"/>
        </w:rPr>
        <w:t>Z</w:t>
      </w:r>
      <w:r w:rsidR="00A15EF7">
        <w:rPr>
          <w:rFonts w:ascii="Cambria" w:hAnsi="Cambria"/>
          <w:szCs w:val="24"/>
        </w:rPr>
        <w:t>OLGENSMA</w:t>
      </w:r>
      <w:r w:rsidR="009A2533" w:rsidRPr="00A15EF7">
        <w:rPr>
          <w:rFonts w:ascii="Cambria" w:hAnsi="Cambria"/>
          <w:szCs w:val="24"/>
        </w:rPr>
        <w:t xml:space="preserve"> (</w:t>
      </w:r>
      <w:r w:rsidR="00A15EF7" w:rsidRPr="00A15EF7">
        <w:rPr>
          <w:rFonts w:ascii="Cambria" w:hAnsi="Cambria"/>
          <w:szCs w:val="24"/>
        </w:rPr>
        <w:t>see 4.4</w:t>
      </w:r>
      <w:r w:rsidR="009A2533" w:rsidRPr="00A15EF7">
        <w:rPr>
          <w:rFonts w:ascii="Cambria" w:hAnsi="Cambria"/>
          <w:szCs w:val="24"/>
        </w:rPr>
        <w:t xml:space="preserve"> </w:t>
      </w:r>
      <w:r w:rsidR="00A15EF7" w:rsidRPr="00A15EF7">
        <w:rPr>
          <w:rFonts w:ascii="Cambria" w:hAnsi="Cambria"/>
          <w:szCs w:val="24"/>
        </w:rPr>
        <w:t>Special w</w:t>
      </w:r>
      <w:r w:rsidR="009A2533" w:rsidRPr="00A15EF7">
        <w:rPr>
          <w:rFonts w:ascii="Cambria" w:hAnsi="Cambria"/>
          <w:szCs w:val="24"/>
        </w:rPr>
        <w:t>arnings and precautions</w:t>
      </w:r>
      <w:r w:rsidR="00A15EF7">
        <w:rPr>
          <w:rFonts w:ascii="Cambria" w:hAnsi="Cambria"/>
          <w:szCs w:val="24"/>
        </w:rPr>
        <w:t xml:space="preserve"> for use subheading </w:t>
      </w:r>
      <w:r w:rsidR="00A15EF7" w:rsidRPr="00A15EF7">
        <w:rPr>
          <w:rFonts w:ascii="Cambria" w:hAnsi="Cambria"/>
          <w:szCs w:val="24"/>
        </w:rPr>
        <w:t>Acute Serious Liver Injury and Elevated Aminotransferases</w:t>
      </w:r>
      <w:r w:rsidR="009A2533" w:rsidRPr="009A2533">
        <w:rPr>
          <w:rFonts w:ascii="Cambria" w:hAnsi="Cambria"/>
          <w:szCs w:val="24"/>
        </w:rPr>
        <w:t>).</w:t>
      </w:r>
    </w:p>
    <w:p w14:paraId="3FDCB090" w14:textId="2FAD6241" w:rsidR="009A2533" w:rsidRPr="00A15EF7" w:rsidRDefault="009A2533" w:rsidP="006D7674">
      <w:pPr>
        <w:pStyle w:val="C-BodyText"/>
        <w:rPr>
          <w:rFonts w:ascii="Cambria" w:hAnsi="Cambria"/>
          <w:i/>
          <w:szCs w:val="24"/>
        </w:rPr>
      </w:pPr>
      <w:r w:rsidRPr="00A15EF7">
        <w:rPr>
          <w:rFonts w:ascii="Cambria" w:hAnsi="Cambria"/>
          <w:i/>
          <w:szCs w:val="24"/>
        </w:rPr>
        <w:t xml:space="preserve">Treatment with Prednisolone Prior to </w:t>
      </w:r>
      <w:r w:rsidR="00A15EF7" w:rsidRPr="00A15EF7">
        <w:rPr>
          <w:rFonts w:ascii="Cambria" w:hAnsi="Cambria"/>
          <w:i/>
          <w:szCs w:val="24"/>
        </w:rPr>
        <w:t>ZOLGENSMA</w:t>
      </w:r>
      <w:r w:rsidRPr="00A15EF7">
        <w:rPr>
          <w:rFonts w:ascii="Cambria" w:hAnsi="Cambria"/>
          <w:i/>
          <w:szCs w:val="24"/>
        </w:rPr>
        <w:t xml:space="preserve"> Infusion</w:t>
      </w:r>
    </w:p>
    <w:p w14:paraId="20AD18CA" w14:textId="47039FEC" w:rsidR="009A2533" w:rsidRDefault="009A2533" w:rsidP="006D7674">
      <w:pPr>
        <w:pStyle w:val="C-BodyText"/>
        <w:rPr>
          <w:rFonts w:ascii="Cambria" w:hAnsi="Cambria"/>
          <w:szCs w:val="24"/>
        </w:rPr>
      </w:pPr>
      <w:r w:rsidRPr="009A2533">
        <w:rPr>
          <w:rFonts w:ascii="Cambria" w:hAnsi="Cambria"/>
          <w:szCs w:val="24"/>
        </w:rPr>
        <w:t xml:space="preserve">One day prior to </w:t>
      </w:r>
      <w:r w:rsidR="00A15EF7" w:rsidRPr="009A2533">
        <w:rPr>
          <w:rFonts w:ascii="Cambria" w:hAnsi="Cambria"/>
          <w:szCs w:val="24"/>
        </w:rPr>
        <w:t>Z</w:t>
      </w:r>
      <w:r w:rsidR="00A15EF7">
        <w:rPr>
          <w:rFonts w:ascii="Cambria" w:hAnsi="Cambria"/>
          <w:szCs w:val="24"/>
        </w:rPr>
        <w:t>OLGENSMA</w:t>
      </w:r>
      <w:r w:rsidRPr="009A2533">
        <w:rPr>
          <w:rFonts w:ascii="Cambria" w:hAnsi="Cambria"/>
          <w:szCs w:val="24"/>
        </w:rPr>
        <w:t xml:space="preserve"> infusion, pre-treat with oral prednisolone at a dose of 1</w:t>
      </w:r>
      <w:r>
        <w:rPr>
          <w:rFonts w:ascii="Cambria" w:hAnsi="Cambria"/>
          <w:szCs w:val="24"/>
        </w:rPr>
        <w:t> </w:t>
      </w:r>
      <w:r w:rsidRPr="009A2533">
        <w:rPr>
          <w:rFonts w:ascii="Cambria" w:hAnsi="Cambria"/>
          <w:szCs w:val="24"/>
        </w:rPr>
        <w:t>mg/kg/day</w:t>
      </w:r>
      <w:r>
        <w:rPr>
          <w:rFonts w:ascii="Cambria" w:hAnsi="Cambria"/>
          <w:szCs w:val="24"/>
        </w:rPr>
        <w:t xml:space="preserve"> </w:t>
      </w:r>
      <w:r w:rsidRPr="009A2533">
        <w:rPr>
          <w:rFonts w:ascii="Cambria" w:hAnsi="Cambria"/>
          <w:szCs w:val="24"/>
        </w:rPr>
        <w:t>(or equivalent).</w:t>
      </w:r>
    </w:p>
    <w:p w14:paraId="6E04711B" w14:textId="4C212171" w:rsidR="009A2533" w:rsidRPr="009A54A5" w:rsidRDefault="009A2533" w:rsidP="006D7674">
      <w:pPr>
        <w:pStyle w:val="C-BodyText"/>
        <w:rPr>
          <w:rFonts w:ascii="Cambria" w:hAnsi="Cambria"/>
          <w:i/>
          <w:szCs w:val="24"/>
        </w:rPr>
      </w:pPr>
      <w:r w:rsidRPr="009A54A5">
        <w:rPr>
          <w:rFonts w:ascii="Cambria" w:hAnsi="Cambria"/>
          <w:i/>
          <w:szCs w:val="24"/>
        </w:rPr>
        <w:t xml:space="preserve">Continued Treatment with Prednisolone Following </w:t>
      </w:r>
      <w:r w:rsidR="00A15EF7" w:rsidRPr="009A54A5">
        <w:rPr>
          <w:rFonts w:ascii="Cambria" w:hAnsi="Cambria"/>
          <w:i/>
          <w:szCs w:val="24"/>
        </w:rPr>
        <w:t>ZOLGENSMA</w:t>
      </w:r>
      <w:r w:rsidRPr="009A54A5">
        <w:rPr>
          <w:rFonts w:ascii="Cambria" w:hAnsi="Cambria"/>
          <w:i/>
          <w:szCs w:val="24"/>
        </w:rPr>
        <w:t xml:space="preserve"> Infusion</w:t>
      </w:r>
    </w:p>
    <w:p w14:paraId="6B784D4E" w14:textId="08FA413F" w:rsidR="009A2533" w:rsidRPr="009A54A5" w:rsidRDefault="009A2533" w:rsidP="006D7674">
      <w:pPr>
        <w:pStyle w:val="C-BodyText"/>
        <w:numPr>
          <w:ilvl w:val="0"/>
          <w:numId w:val="30"/>
        </w:numPr>
        <w:rPr>
          <w:rFonts w:ascii="Cambria" w:hAnsi="Cambria"/>
          <w:szCs w:val="24"/>
        </w:rPr>
      </w:pPr>
      <w:r w:rsidRPr="009A54A5">
        <w:rPr>
          <w:rFonts w:ascii="Cambria" w:hAnsi="Cambria"/>
          <w:szCs w:val="24"/>
        </w:rPr>
        <w:t xml:space="preserve">Prednisolone should be administered daily at 1 mg/kg/day (or equivalent) for 30 days following infusion with </w:t>
      </w:r>
      <w:r w:rsidR="00A15EF7" w:rsidRPr="009A54A5">
        <w:rPr>
          <w:rFonts w:ascii="Cambria" w:hAnsi="Cambria"/>
          <w:szCs w:val="24"/>
        </w:rPr>
        <w:t>ZOLGENSMA</w:t>
      </w:r>
      <w:r w:rsidRPr="009A54A5">
        <w:rPr>
          <w:rFonts w:ascii="Cambria" w:hAnsi="Cambria"/>
          <w:szCs w:val="24"/>
        </w:rPr>
        <w:t>.</w:t>
      </w:r>
    </w:p>
    <w:p w14:paraId="6F10953A" w14:textId="77777777" w:rsidR="00CB4E6C" w:rsidRPr="009A54A5" w:rsidRDefault="00CB4E6C" w:rsidP="006D7674">
      <w:pPr>
        <w:pStyle w:val="C-BulletIndented"/>
        <w:numPr>
          <w:ilvl w:val="0"/>
          <w:numId w:val="30"/>
        </w:numPr>
        <w:rPr>
          <w:rFonts w:ascii="Cambria" w:hAnsi="Cambria"/>
          <w:szCs w:val="24"/>
        </w:rPr>
      </w:pPr>
      <w:r w:rsidRPr="009A54A5">
        <w:rPr>
          <w:rFonts w:ascii="Cambria" w:hAnsi="Cambria"/>
          <w:szCs w:val="24"/>
        </w:rPr>
        <w:t>At the end of the 30-day period of systemic corticosteroid treatment, check liver status clinically and by assessing ALT, AST, total bilirubin, and prothrombin time.</w:t>
      </w:r>
    </w:p>
    <w:p w14:paraId="6A26A7B9" w14:textId="489EFCC6" w:rsidR="00CB4E6C" w:rsidRPr="009A54A5" w:rsidRDefault="00CB4E6C" w:rsidP="006D7674">
      <w:pPr>
        <w:pStyle w:val="C-BulletIndented"/>
        <w:numPr>
          <w:ilvl w:val="0"/>
          <w:numId w:val="30"/>
        </w:numPr>
        <w:rPr>
          <w:rFonts w:ascii="Cambria" w:hAnsi="Cambria"/>
          <w:szCs w:val="24"/>
        </w:rPr>
      </w:pPr>
      <w:r w:rsidRPr="009A54A5">
        <w:rPr>
          <w:rFonts w:ascii="Cambria" w:hAnsi="Cambria"/>
          <w:szCs w:val="24"/>
        </w:rPr>
        <w:t xml:space="preserve">For patients with unremarkable findings (normal clinical exam, total bilirubin, and prothrombin time, and ALT and AST levels below 2 × ULN), taper the corticosteroid dose over the next 28 days (see 4.4. Special warnings and precautions for use, </w:t>
      </w:r>
      <w:r w:rsidR="001A4B59">
        <w:rPr>
          <w:rFonts w:ascii="Cambria" w:hAnsi="Cambria"/>
          <w:szCs w:val="24"/>
        </w:rPr>
        <w:t xml:space="preserve">subheading </w:t>
      </w:r>
      <w:r w:rsidRPr="009A54A5">
        <w:rPr>
          <w:rFonts w:ascii="Cambria" w:hAnsi="Cambria"/>
          <w:szCs w:val="24"/>
        </w:rPr>
        <w:t>Acute serious liver injury and elevated aminotransferases).</w:t>
      </w:r>
    </w:p>
    <w:p w14:paraId="0436FED9" w14:textId="01F10F7E" w:rsidR="00046FCF" w:rsidRPr="009A54A5" w:rsidRDefault="00046FCF" w:rsidP="006D7674">
      <w:pPr>
        <w:pStyle w:val="C-BulletIndented"/>
        <w:numPr>
          <w:ilvl w:val="0"/>
          <w:numId w:val="30"/>
        </w:numPr>
        <w:rPr>
          <w:rFonts w:ascii="Cambria" w:hAnsi="Cambria"/>
          <w:szCs w:val="24"/>
        </w:rPr>
      </w:pPr>
      <w:r w:rsidRPr="009A54A5">
        <w:rPr>
          <w:rFonts w:ascii="Cambria" w:hAnsi="Cambria"/>
          <w:szCs w:val="24"/>
        </w:rPr>
        <w:t>If liver function abnormalities persist, continue systemic corticosteroids (equivalent to oral prednisolone at 1 mg/kg/day) until AST and ALT values are both below 2 ×ULN and all other assessments return to normal range, and then taper the corticosteroid dose over the next 28 days.</w:t>
      </w:r>
    </w:p>
    <w:p w14:paraId="2C910ADC" w14:textId="4083B112" w:rsidR="00C75044" w:rsidRPr="009A54A5" w:rsidRDefault="00C75044" w:rsidP="006D7674">
      <w:pPr>
        <w:pStyle w:val="C-BulletIndented"/>
        <w:numPr>
          <w:ilvl w:val="0"/>
          <w:numId w:val="30"/>
        </w:numPr>
        <w:rPr>
          <w:rFonts w:ascii="Cambria" w:hAnsi="Cambria"/>
          <w:szCs w:val="24"/>
        </w:rPr>
      </w:pPr>
      <w:r w:rsidRPr="009A54A5">
        <w:rPr>
          <w:rFonts w:ascii="Cambria" w:hAnsi="Cambria"/>
          <w:szCs w:val="24"/>
        </w:rPr>
        <w:t>Continue to monitor liver function for at least 3 months after infusion.</w:t>
      </w:r>
    </w:p>
    <w:p w14:paraId="6A8E9A6F" w14:textId="3A1A6DAF" w:rsidR="00046FCF" w:rsidRPr="009A54A5" w:rsidRDefault="00C75044" w:rsidP="006D7674">
      <w:pPr>
        <w:pStyle w:val="C-BulletIndented"/>
        <w:numPr>
          <w:ilvl w:val="0"/>
          <w:numId w:val="30"/>
        </w:numPr>
        <w:rPr>
          <w:rFonts w:ascii="Cambria" w:hAnsi="Cambria"/>
          <w:szCs w:val="24"/>
        </w:rPr>
      </w:pPr>
      <w:r w:rsidRPr="009A54A5">
        <w:rPr>
          <w:rFonts w:ascii="Cambria" w:hAnsi="Cambria"/>
          <w:szCs w:val="24"/>
        </w:rPr>
        <w:t>Consider c</w:t>
      </w:r>
      <w:r w:rsidR="00046FCF" w:rsidRPr="009A54A5">
        <w:rPr>
          <w:rFonts w:ascii="Cambria" w:hAnsi="Cambria"/>
          <w:szCs w:val="24"/>
        </w:rPr>
        <w:t>onsult</w:t>
      </w:r>
      <w:r w:rsidRPr="009A54A5">
        <w:rPr>
          <w:rFonts w:ascii="Cambria" w:hAnsi="Cambria"/>
          <w:szCs w:val="24"/>
        </w:rPr>
        <w:t>ing</w:t>
      </w:r>
      <w:r w:rsidR="00046FCF" w:rsidRPr="009A54A5">
        <w:rPr>
          <w:rFonts w:ascii="Cambria" w:hAnsi="Cambria"/>
          <w:szCs w:val="24"/>
        </w:rPr>
        <w:t xml:space="preserve"> expert(s) if patients do not respond adequately to the equivalent of 1 mg/kg/day oral prednisolone.</w:t>
      </w:r>
    </w:p>
    <w:p w14:paraId="7A51AEA4" w14:textId="6C6AF998" w:rsidR="00A137A0" w:rsidRPr="00A137A0" w:rsidRDefault="00A137A0" w:rsidP="006D7674">
      <w:pPr>
        <w:pStyle w:val="C-BodyText"/>
        <w:rPr>
          <w:rFonts w:ascii="Cambria" w:hAnsi="Cambria"/>
          <w:szCs w:val="24"/>
        </w:rPr>
      </w:pPr>
      <w:r w:rsidRPr="00A137A0">
        <w:rPr>
          <w:rFonts w:ascii="Cambria" w:hAnsi="Cambria"/>
          <w:szCs w:val="24"/>
        </w:rPr>
        <w:t>Variance from these recommendations is at the discretion of the treating physician. If another</w:t>
      </w:r>
      <w:r>
        <w:rPr>
          <w:rFonts w:ascii="Cambria" w:hAnsi="Cambria"/>
          <w:szCs w:val="24"/>
        </w:rPr>
        <w:t xml:space="preserve"> </w:t>
      </w:r>
      <w:r w:rsidRPr="00A137A0">
        <w:rPr>
          <w:rFonts w:ascii="Cambria" w:hAnsi="Cambria"/>
          <w:szCs w:val="24"/>
        </w:rPr>
        <w:t>corticosteroid is used by the physician in place of prednisolone, similar considerations and</w:t>
      </w:r>
      <w:r>
        <w:rPr>
          <w:rFonts w:ascii="Cambria" w:hAnsi="Cambria"/>
          <w:szCs w:val="24"/>
        </w:rPr>
        <w:t xml:space="preserve"> </w:t>
      </w:r>
      <w:r w:rsidRPr="00A137A0">
        <w:rPr>
          <w:rFonts w:ascii="Cambria" w:hAnsi="Cambria"/>
          <w:szCs w:val="24"/>
        </w:rPr>
        <w:t xml:space="preserve">approach to taper the corticosteroid dose after 30 days following infusion with </w:t>
      </w:r>
      <w:r w:rsidR="00871851" w:rsidRPr="009A2533">
        <w:rPr>
          <w:rFonts w:ascii="Cambria" w:hAnsi="Cambria"/>
          <w:szCs w:val="24"/>
        </w:rPr>
        <w:t>Z</w:t>
      </w:r>
      <w:r w:rsidR="00871851">
        <w:rPr>
          <w:rFonts w:ascii="Cambria" w:hAnsi="Cambria"/>
          <w:szCs w:val="24"/>
        </w:rPr>
        <w:t>OLGENSMA</w:t>
      </w:r>
      <w:r>
        <w:rPr>
          <w:rFonts w:ascii="Cambria" w:hAnsi="Cambria"/>
          <w:szCs w:val="24"/>
        </w:rPr>
        <w:t xml:space="preserve"> </w:t>
      </w:r>
      <w:r w:rsidRPr="00A137A0">
        <w:rPr>
          <w:rFonts w:ascii="Cambria" w:hAnsi="Cambria"/>
          <w:szCs w:val="24"/>
        </w:rPr>
        <w:t>should be taken as appropriate.</w:t>
      </w:r>
    </w:p>
    <w:p w14:paraId="686F1199" w14:textId="182F09E9" w:rsidR="009A2533" w:rsidRPr="009A2533" w:rsidRDefault="00A137A0" w:rsidP="006D7674">
      <w:pPr>
        <w:pStyle w:val="C-BodyText"/>
        <w:rPr>
          <w:rFonts w:ascii="Cambria" w:hAnsi="Cambria"/>
          <w:szCs w:val="24"/>
        </w:rPr>
      </w:pPr>
      <w:r w:rsidRPr="00A137A0">
        <w:rPr>
          <w:rFonts w:ascii="Cambria" w:hAnsi="Cambria"/>
          <w:szCs w:val="24"/>
        </w:rPr>
        <w:t>Where feasible, the patient’s vaccination schedule should be adjusted to accommodate</w:t>
      </w:r>
      <w:r>
        <w:rPr>
          <w:rFonts w:ascii="Cambria" w:hAnsi="Cambria"/>
          <w:szCs w:val="24"/>
        </w:rPr>
        <w:t xml:space="preserve"> </w:t>
      </w:r>
      <w:r w:rsidRPr="00A137A0">
        <w:rPr>
          <w:rFonts w:ascii="Cambria" w:hAnsi="Cambria"/>
          <w:szCs w:val="24"/>
        </w:rPr>
        <w:t xml:space="preserve">concomitant corticosteroid administration prior to and following </w:t>
      </w:r>
      <w:r w:rsidR="00871851" w:rsidRPr="009A2533">
        <w:rPr>
          <w:rFonts w:ascii="Cambria" w:hAnsi="Cambria"/>
          <w:szCs w:val="24"/>
        </w:rPr>
        <w:t>Z</w:t>
      </w:r>
      <w:r w:rsidR="00871851">
        <w:rPr>
          <w:rFonts w:ascii="Cambria" w:hAnsi="Cambria"/>
          <w:szCs w:val="24"/>
        </w:rPr>
        <w:t>OLGENSMA</w:t>
      </w:r>
      <w:r w:rsidRPr="00A137A0">
        <w:rPr>
          <w:rFonts w:ascii="Cambria" w:hAnsi="Cambria"/>
          <w:szCs w:val="24"/>
        </w:rPr>
        <w:t xml:space="preserve"> infusion (</w:t>
      </w:r>
      <w:r w:rsidRPr="0043751D">
        <w:rPr>
          <w:rFonts w:ascii="Cambria" w:hAnsi="Cambria"/>
          <w:szCs w:val="24"/>
        </w:rPr>
        <w:t xml:space="preserve">see sections </w:t>
      </w:r>
      <w:r w:rsidR="0043751D">
        <w:rPr>
          <w:rFonts w:ascii="Cambria" w:hAnsi="Cambria"/>
          <w:szCs w:val="24"/>
        </w:rPr>
        <w:t>4.4 Special w</w:t>
      </w:r>
      <w:r w:rsidRPr="0043751D">
        <w:rPr>
          <w:rFonts w:ascii="Cambria" w:hAnsi="Cambria"/>
          <w:szCs w:val="24"/>
        </w:rPr>
        <w:t xml:space="preserve">arnings and </w:t>
      </w:r>
      <w:r w:rsidRPr="001A4B59">
        <w:rPr>
          <w:rFonts w:ascii="Cambria" w:hAnsi="Cambria"/>
          <w:szCs w:val="24"/>
        </w:rPr>
        <w:t xml:space="preserve">precautions </w:t>
      </w:r>
      <w:r w:rsidR="0043751D" w:rsidRPr="001A4B59">
        <w:rPr>
          <w:rFonts w:ascii="Cambria" w:hAnsi="Cambria"/>
          <w:szCs w:val="24"/>
        </w:rPr>
        <w:t xml:space="preserve">for use </w:t>
      </w:r>
      <w:r w:rsidRPr="001A4B59">
        <w:rPr>
          <w:rFonts w:ascii="Cambria" w:hAnsi="Cambria"/>
          <w:szCs w:val="24"/>
        </w:rPr>
        <w:t xml:space="preserve">and </w:t>
      </w:r>
      <w:r w:rsidR="0043751D" w:rsidRPr="001A4B59">
        <w:rPr>
          <w:rFonts w:ascii="Cambria" w:hAnsi="Cambria"/>
          <w:szCs w:val="24"/>
        </w:rPr>
        <w:t>4.5</w:t>
      </w:r>
      <w:r w:rsidR="0043751D" w:rsidRPr="001A4B59">
        <w:rPr>
          <w:rFonts w:ascii="Cambria" w:hAnsi="Cambria"/>
        </w:rPr>
        <w:t xml:space="preserve"> Interactions with other medicines and other forms of interactions</w:t>
      </w:r>
      <w:r w:rsidRPr="001A4B59">
        <w:rPr>
          <w:rFonts w:ascii="Cambria" w:hAnsi="Cambria"/>
          <w:szCs w:val="24"/>
        </w:rPr>
        <w:t>).</w:t>
      </w:r>
    </w:p>
    <w:p w14:paraId="7939BF20" w14:textId="06565C24" w:rsidR="002222C3" w:rsidRPr="002222C3" w:rsidRDefault="002222C3" w:rsidP="006D7674">
      <w:pPr>
        <w:pStyle w:val="Heading3"/>
      </w:pPr>
      <w:r w:rsidRPr="002222C3">
        <w:t>Requirements for a genetically-modified organism</w:t>
      </w:r>
    </w:p>
    <w:p w14:paraId="5639D73F" w14:textId="7503BB18" w:rsidR="00C73F76" w:rsidRDefault="002222C3" w:rsidP="006D7674">
      <w:pPr>
        <w:pStyle w:val="C-BodyText"/>
        <w:rPr>
          <w:rFonts w:ascii="Cambria" w:hAnsi="Cambria"/>
          <w:szCs w:val="24"/>
        </w:rPr>
      </w:pPr>
      <w:r w:rsidRPr="002222C3">
        <w:rPr>
          <w:rFonts w:ascii="Cambria" w:hAnsi="Cambria"/>
          <w:szCs w:val="24"/>
        </w:rPr>
        <w:t xml:space="preserve">ZOLGENSMA </w:t>
      </w:r>
      <w:r>
        <w:rPr>
          <w:rFonts w:ascii="Cambria" w:hAnsi="Cambria"/>
          <w:szCs w:val="24"/>
        </w:rPr>
        <w:t>contains a genetically-</w:t>
      </w:r>
      <w:r w:rsidR="00C73F76" w:rsidRPr="002222C3">
        <w:rPr>
          <w:rFonts w:ascii="Cambria" w:hAnsi="Cambria"/>
          <w:szCs w:val="24"/>
        </w:rPr>
        <w:t>modified organism.  Follow local institutional guidelines for storage, handling, administration and disposal of medicinal products containing geneticall</w:t>
      </w:r>
      <w:r>
        <w:rPr>
          <w:rFonts w:ascii="Cambria" w:hAnsi="Cambria"/>
          <w:szCs w:val="24"/>
        </w:rPr>
        <w:t>y</w:t>
      </w:r>
      <w:r w:rsidR="00C73F76" w:rsidRPr="002222C3">
        <w:rPr>
          <w:rFonts w:ascii="Cambria" w:hAnsi="Cambria"/>
          <w:szCs w:val="24"/>
        </w:rPr>
        <w:t>-modified organisms.</w:t>
      </w:r>
    </w:p>
    <w:p w14:paraId="6DEBB576" w14:textId="7BCBA1B8" w:rsidR="001B22BF" w:rsidRPr="001B22BF" w:rsidRDefault="001B22BF" w:rsidP="006D7674">
      <w:pPr>
        <w:pStyle w:val="C-BodyText"/>
        <w:rPr>
          <w:rFonts w:ascii="Cambria" w:hAnsi="Cambria"/>
          <w:szCs w:val="24"/>
        </w:rPr>
      </w:pPr>
      <w:r w:rsidRPr="001B22BF">
        <w:rPr>
          <w:rFonts w:ascii="Cambria" w:hAnsi="Cambria"/>
          <w:szCs w:val="24"/>
        </w:rPr>
        <w:t>•</w:t>
      </w:r>
      <w:r w:rsidRPr="001B22BF">
        <w:rPr>
          <w:rFonts w:ascii="Cambria" w:hAnsi="Cambria"/>
          <w:szCs w:val="24"/>
        </w:rPr>
        <w:tab/>
        <w:t xml:space="preserve">The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xml:space="preserve"> syringe should be prepared aseptically</w:t>
      </w:r>
      <w:r w:rsidR="009C5FCA">
        <w:rPr>
          <w:rFonts w:ascii="Cambria" w:hAnsi="Cambria"/>
          <w:szCs w:val="24"/>
        </w:rPr>
        <w:t xml:space="preserve"> under sterile conditions</w:t>
      </w:r>
      <w:r w:rsidRPr="001B22BF">
        <w:rPr>
          <w:rFonts w:ascii="Cambria" w:hAnsi="Cambria"/>
          <w:szCs w:val="24"/>
        </w:rPr>
        <w:t xml:space="preserve">. </w:t>
      </w:r>
    </w:p>
    <w:p w14:paraId="069D5626" w14:textId="77777777" w:rsidR="001B22BF" w:rsidRPr="001B22BF" w:rsidRDefault="001B22BF" w:rsidP="006D7674">
      <w:pPr>
        <w:pStyle w:val="C-BodyText"/>
        <w:rPr>
          <w:rFonts w:ascii="Cambria" w:hAnsi="Cambria"/>
          <w:szCs w:val="24"/>
        </w:rPr>
      </w:pPr>
      <w:r w:rsidRPr="001B22BF">
        <w:rPr>
          <w:rFonts w:ascii="Cambria" w:hAnsi="Cambria"/>
          <w:szCs w:val="24"/>
        </w:rPr>
        <w:t>•</w:t>
      </w:r>
      <w:r w:rsidRPr="001B22BF">
        <w:rPr>
          <w:rFonts w:ascii="Cambria" w:hAnsi="Cambria"/>
          <w:szCs w:val="24"/>
        </w:rPr>
        <w:tab/>
        <w:t xml:space="preserve">Personal protective equipment (to include gloves, safety goggles, laboratory coat and sleeves) should be worn while preparing or administering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xml:space="preserve">. Personnel should not work with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xml:space="preserve"> if skin is cut or scratched.</w:t>
      </w:r>
    </w:p>
    <w:p w14:paraId="5CFEA108" w14:textId="018F8ADB" w:rsidR="001B22BF" w:rsidRPr="001B22BF" w:rsidRDefault="001B22BF" w:rsidP="006D7674">
      <w:pPr>
        <w:pStyle w:val="C-BodyText"/>
        <w:rPr>
          <w:rFonts w:ascii="Cambria" w:hAnsi="Cambria"/>
          <w:szCs w:val="24"/>
        </w:rPr>
      </w:pPr>
      <w:r w:rsidRPr="001B22BF">
        <w:rPr>
          <w:rFonts w:ascii="Cambria" w:hAnsi="Cambria"/>
          <w:szCs w:val="24"/>
        </w:rPr>
        <w:t>•</w:t>
      </w:r>
      <w:r w:rsidRPr="001B22BF">
        <w:rPr>
          <w:rFonts w:ascii="Cambria" w:hAnsi="Cambria"/>
          <w:szCs w:val="24"/>
        </w:rPr>
        <w:tab/>
        <w:t xml:space="preserve">All spills of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xml:space="preserve"> must be wiped with absorbent gauze pad and the spill area must be disinfected using a bleach solution followed by alcohol wipes. All clean up materials must be double </w:t>
      </w:r>
      <w:r w:rsidRPr="005628F8">
        <w:rPr>
          <w:rFonts w:ascii="Cambria" w:hAnsi="Cambria"/>
          <w:szCs w:val="24"/>
          <w:lang w:val="en-AU"/>
        </w:rPr>
        <w:t>bagged</w:t>
      </w:r>
      <w:r w:rsidRPr="001B22BF">
        <w:rPr>
          <w:rFonts w:ascii="Cambria" w:hAnsi="Cambria"/>
          <w:szCs w:val="24"/>
        </w:rPr>
        <w:t xml:space="preserve"> and disposed of per institutional guidelines for biohazard waste.</w:t>
      </w:r>
    </w:p>
    <w:p w14:paraId="2F7496B6" w14:textId="226BFB3C" w:rsidR="001B22BF" w:rsidRPr="001B22BF" w:rsidRDefault="001B22BF" w:rsidP="006D7674">
      <w:pPr>
        <w:pStyle w:val="C-BodyText"/>
        <w:rPr>
          <w:rFonts w:ascii="Cambria" w:hAnsi="Cambria"/>
          <w:szCs w:val="24"/>
        </w:rPr>
      </w:pPr>
      <w:r w:rsidRPr="001B22BF">
        <w:rPr>
          <w:rFonts w:ascii="Cambria" w:hAnsi="Cambria"/>
          <w:szCs w:val="24"/>
        </w:rPr>
        <w:t>•</w:t>
      </w:r>
      <w:r w:rsidRPr="001B22BF">
        <w:rPr>
          <w:rFonts w:ascii="Cambria" w:hAnsi="Cambria"/>
          <w:szCs w:val="24"/>
        </w:rPr>
        <w:tab/>
        <w:t xml:space="preserve">All materials that may have come in contact with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xml:space="preserve"> (e.g. vial, all materials used for injection, including sterile drapes and needles) must be disposed of in accordance with local </w:t>
      </w:r>
      <w:r w:rsidR="00D467A8">
        <w:rPr>
          <w:rFonts w:ascii="Cambria" w:hAnsi="Cambria"/>
          <w:szCs w:val="24"/>
        </w:rPr>
        <w:t xml:space="preserve">institutional </w:t>
      </w:r>
      <w:r w:rsidRPr="001B22BF">
        <w:rPr>
          <w:rFonts w:ascii="Cambria" w:hAnsi="Cambria"/>
          <w:szCs w:val="24"/>
        </w:rPr>
        <w:t>biosafety guidelines.</w:t>
      </w:r>
    </w:p>
    <w:p w14:paraId="2B2D8839" w14:textId="599A7E1C" w:rsidR="001B22BF" w:rsidRDefault="001B22BF" w:rsidP="006D7674">
      <w:pPr>
        <w:pStyle w:val="C-BodyText"/>
        <w:rPr>
          <w:rFonts w:ascii="Cambria" w:hAnsi="Cambria"/>
          <w:szCs w:val="24"/>
        </w:rPr>
      </w:pPr>
      <w:r w:rsidRPr="001B22BF">
        <w:rPr>
          <w:rFonts w:ascii="Cambria" w:hAnsi="Cambria"/>
          <w:szCs w:val="24"/>
        </w:rPr>
        <w:t>•</w:t>
      </w:r>
      <w:r w:rsidRPr="001B22BF">
        <w:rPr>
          <w:rFonts w:ascii="Cambria" w:hAnsi="Cambria"/>
          <w:szCs w:val="24"/>
        </w:rPr>
        <w:tab/>
      </w:r>
      <w:r w:rsidR="001022D8">
        <w:rPr>
          <w:rFonts w:ascii="Cambria" w:hAnsi="Cambria"/>
          <w:szCs w:val="24"/>
        </w:rPr>
        <w:t>Take precautions to avoid a</w:t>
      </w:r>
      <w:r w:rsidRPr="001B22BF">
        <w:rPr>
          <w:rFonts w:ascii="Cambria" w:hAnsi="Cambria"/>
          <w:szCs w:val="24"/>
        </w:rPr>
        <w:t xml:space="preserve">ccidental exposure to </w:t>
      </w:r>
      <w:proofErr w:type="spellStart"/>
      <w:r w:rsidRPr="001B22BF">
        <w:rPr>
          <w:rFonts w:ascii="Cambria" w:hAnsi="Cambria"/>
          <w:szCs w:val="24"/>
        </w:rPr>
        <w:t>onasemnogene</w:t>
      </w:r>
      <w:proofErr w:type="spellEnd"/>
      <w:r w:rsidRPr="001B22BF">
        <w:rPr>
          <w:rFonts w:ascii="Cambria" w:hAnsi="Cambria"/>
          <w:szCs w:val="24"/>
        </w:rPr>
        <w:t xml:space="preserve"> </w:t>
      </w:r>
      <w:proofErr w:type="spellStart"/>
      <w:r w:rsidRPr="001B22BF">
        <w:rPr>
          <w:rFonts w:ascii="Cambria" w:hAnsi="Cambria"/>
          <w:szCs w:val="24"/>
        </w:rPr>
        <w:t>abeparvovec</w:t>
      </w:r>
      <w:proofErr w:type="spellEnd"/>
      <w:r w:rsidRPr="001B22BF">
        <w:rPr>
          <w:rFonts w:ascii="Cambria" w:hAnsi="Cambria"/>
          <w:szCs w:val="24"/>
        </w:rPr>
        <w:t>.  In the event of exposure to skin, the affected area must be thoroughly cleaned with soap and water for at least 15 minutes. In the event of exposure to eyes, the affected area must be thoroughly flushed with water for at least 15 minutes.</w:t>
      </w:r>
    </w:p>
    <w:p w14:paraId="5B3F5D14" w14:textId="28CB10DF" w:rsidR="005540AB" w:rsidRPr="002B1522" w:rsidRDefault="005540AB" w:rsidP="006D7674">
      <w:pPr>
        <w:pStyle w:val="Heading3"/>
      </w:pPr>
      <w:bookmarkStart w:id="5" w:name="_Toc259706848"/>
      <w:bookmarkStart w:id="6" w:name="_Toc259707079"/>
      <w:bookmarkStart w:id="7" w:name="_Toc259707142"/>
      <w:bookmarkStart w:id="8" w:name="_Toc259712875"/>
      <w:bookmarkStart w:id="9" w:name="_Toc259712971"/>
      <w:bookmarkStart w:id="10" w:name="_Toc259713083"/>
      <w:bookmarkEnd w:id="5"/>
      <w:bookmarkEnd w:id="6"/>
      <w:bookmarkEnd w:id="7"/>
      <w:bookmarkEnd w:id="8"/>
      <w:bookmarkEnd w:id="9"/>
      <w:bookmarkEnd w:id="10"/>
      <w:r w:rsidRPr="002B1522">
        <w:t>Method of administration</w:t>
      </w:r>
    </w:p>
    <w:p w14:paraId="2ABE97A3" w14:textId="226AE430" w:rsidR="00B101B6" w:rsidRDefault="00B101B6" w:rsidP="006D7674">
      <w:pPr>
        <w:pStyle w:val="C-Bullet"/>
        <w:numPr>
          <w:ilvl w:val="0"/>
          <w:numId w:val="0"/>
        </w:numPr>
        <w:rPr>
          <w:rFonts w:ascii="Cambria" w:hAnsi="Cambria"/>
        </w:rPr>
      </w:pPr>
      <w:r w:rsidRPr="00C73F76">
        <w:rPr>
          <w:rFonts w:ascii="Cambria" w:hAnsi="Cambria"/>
        </w:rPr>
        <w:t>Administer ZOLGENSMA as a single</w:t>
      </w:r>
      <w:r w:rsidRPr="00C73F76">
        <w:rPr>
          <w:rFonts w:ascii="Cambria" w:hAnsi="Cambria"/>
        </w:rPr>
        <w:noBreakHyphen/>
        <w:t>dose intravenous infusion through a venous catheter.</w:t>
      </w:r>
    </w:p>
    <w:p w14:paraId="79C0CA12" w14:textId="2A1A7F25" w:rsidR="000F014C" w:rsidRDefault="000F014C" w:rsidP="006D7674">
      <w:pPr>
        <w:pStyle w:val="C-Bullet"/>
        <w:numPr>
          <w:ilvl w:val="0"/>
          <w:numId w:val="0"/>
        </w:numPr>
        <w:rPr>
          <w:rFonts w:ascii="Cambria" w:hAnsi="Cambria"/>
        </w:rPr>
      </w:pPr>
      <w:r>
        <w:rPr>
          <w:rFonts w:ascii="Cambria" w:hAnsi="Cambria"/>
        </w:rPr>
        <w:t>ZOLGENS</w:t>
      </w:r>
      <w:r w:rsidR="00605248">
        <w:rPr>
          <w:rFonts w:ascii="Cambria" w:hAnsi="Cambria"/>
        </w:rPr>
        <w:t>M</w:t>
      </w:r>
      <w:r>
        <w:rPr>
          <w:rFonts w:ascii="Cambria" w:hAnsi="Cambria"/>
        </w:rPr>
        <w:t>A is for single use in one patient only. Discard any residue.</w:t>
      </w:r>
    </w:p>
    <w:p w14:paraId="784A85F1" w14:textId="77777777" w:rsidR="007E6749" w:rsidRPr="003E50D5" w:rsidRDefault="007E6749" w:rsidP="006D7674">
      <w:pPr>
        <w:rPr>
          <w:rFonts w:ascii="Cambria" w:hAnsi="Cambria"/>
          <w:b/>
          <w:szCs w:val="24"/>
        </w:rPr>
      </w:pPr>
      <w:r w:rsidRPr="003E50D5">
        <w:rPr>
          <w:rFonts w:ascii="Cambria" w:hAnsi="Cambria"/>
          <w:b/>
          <w:szCs w:val="24"/>
        </w:rPr>
        <w:t>Preparation</w:t>
      </w:r>
    </w:p>
    <w:p w14:paraId="6D7261B6" w14:textId="011A3991" w:rsidR="007E6749" w:rsidRPr="007E6749" w:rsidRDefault="007E6749" w:rsidP="006D7674">
      <w:pPr>
        <w:pStyle w:val="C-Bullet"/>
        <w:rPr>
          <w:rFonts w:ascii="Cambria" w:hAnsi="Cambria"/>
          <w:color w:val="000000" w:themeColor="text1"/>
        </w:rPr>
      </w:pPr>
      <w:r>
        <w:rPr>
          <w:rFonts w:ascii="Cambria" w:hAnsi="Cambria"/>
          <w:color w:val="000000" w:themeColor="text1"/>
        </w:rPr>
        <w:t>Z</w:t>
      </w:r>
      <w:r w:rsidR="00191847">
        <w:rPr>
          <w:rFonts w:ascii="Cambria" w:hAnsi="Cambria"/>
          <w:color w:val="000000" w:themeColor="text1"/>
        </w:rPr>
        <w:t>OLGENSMA</w:t>
      </w:r>
      <w:r>
        <w:rPr>
          <w:rFonts w:ascii="Cambria" w:hAnsi="Cambria"/>
          <w:color w:val="000000" w:themeColor="text1"/>
        </w:rPr>
        <w:t xml:space="preserve"> should be prepared aseptically</w:t>
      </w:r>
      <w:r w:rsidR="009C5FCA">
        <w:rPr>
          <w:rFonts w:ascii="Cambria" w:hAnsi="Cambria"/>
          <w:color w:val="000000" w:themeColor="text1"/>
        </w:rPr>
        <w:t xml:space="preserve"> under sterile conditions</w:t>
      </w:r>
      <w:r>
        <w:rPr>
          <w:rFonts w:ascii="Cambria" w:hAnsi="Cambria"/>
          <w:color w:val="000000" w:themeColor="text1"/>
        </w:rPr>
        <w:t>.</w:t>
      </w:r>
    </w:p>
    <w:p w14:paraId="70CEAAEC" w14:textId="266083BB" w:rsidR="00623208" w:rsidRDefault="007E6749" w:rsidP="006D7674">
      <w:pPr>
        <w:pStyle w:val="C-Bullet"/>
        <w:rPr>
          <w:rFonts w:ascii="Cambria" w:hAnsi="Cambria"/>
          <w:color w:val="000000" w:themeColor="text1"/>
        </w:rPr>
      </w:pPr>
      <w:r w:rsidRPr="00C73F76">
        <w:rPr>
          <w:rFonts w:ascii="Cambria" w:hAnsi="Cambria"/>
        </w:rPr>
        <w:t xml:space="preserve">Thaw ZOLGENSMA before use.  The contents of the ZOLGENSMA </w:t>
      </w:r>
      <w:r>
        <w:rPr>
          <w:rFonts w:ascii="Cambria" w:hAnsi="Cambria"/>
        </w:rPr>
        <w:t>pack</w:t>
      </w:r>
      <w:r w:rsidRPr="00C73F76">
        <w:rPr>
          <w:rFonts w:ascii="Cambria" w:hAnsi="Cambria"/>
        </w:rPr>
        <w:t xml:space="preserve"> will thaw in approximately 12 hours </w:t>
      </w:r>
      <w:r w:rsidR="007E28A2">
        <w:rPr>
          <w:rFonts w:ascii="Cambria" w:hAnsi="Cambria"/>
        </w:rPr>
        <w:t xml:space="preserve">when </w:t>
      </w:r>
      <w:r w:rsidRPr="00C73F76">
        <w:rPr>
          <w:rFonts w:ascii="Cambria" w:hAnsi="Cambria"/>
        </w:rPr>
        <w:t>placed in a refrigerator</w:t>
      </w:r>
      <w:r w:rsidR="00623208">
        <w:rPr>
          <w:rFonts w:ascii="Cambria" w:hAnsi="Cambria"/>
        </w:rPr>
        <w:t xml:space="preserve"> (2°C – 8°C)</w:t>
      </w:r>
      <w:r w:rsidRPr="00C73F76">
        <w:rPr>
          <w:rFonts w:ascii="Cambria" w:hAnsi="Cambria"/>
        </w:rPr>
        <w:t>, or in approximately 4 hours if placed at room temperature</w:t>
      </w:r>
      <w:r w:rsidR="00623208">
        <w:rPr>
          <w:rFonts w:ascii="Cambria" w:hAnsi="Cambria"/>
        </w:rPr>
        <w:t xml:space="preserve"> (20°C - 25°C)</w:t>
      </w:r>
      <w:r w:rsidRPr="00C73F76">
        <w:rPr>
          <w:rFonts w:ascii="Cambria" w:hAnsi="Cambria"/>
        </w:rPr>
        <w:t>.</w:t>
      </w:r>
      <w:r w:rsidRPr="00C73F76">
        <w:rPr>
          <w:rFonts w:ascii="Cambria" w:hAnsi="Cambria"/>
          <w:color w:val="000000" w:themeColor="text1"/>
        </w:rPr>
        <w:t xml:space="preserve">  </w:t>
      </w:r>
    </w:p>
    <w:p w14:paraId="5E015487" w14:textId="67F9AF80" w:rsidR="007E6749" w:rsidRPr="00C73F76" w:rsidRDefault="007E6749" w:rsidP="006D7674">
      <w:pPr>
        <w:pStyle w:val="C-Bullet"/>
        <w:rPr>
          <w:rFonts w:ascii="Cambria" w:hAnsi="Cambria"/>
          <w:color w:val="000000" w:themeColor="text1"/>
        </w:rPr>
      </w:pPr>
      <w:r w:rsidRPr="00C73F76">
        <w:rPr>
          <w:rFonts w:ascii="Cambria" w:hAnsi="Cambria"/>
          <w:color w:val="000000" w:themeColor="text1"/>
        </w:rPr>
        <w:t>If thawed in a refrigerator, remove from refrigerator on day of dosing.</w:t>
      </w:r>
    </w:p>
    <w:p w14:paraId="7414A11F" w14:textId="5CD9BAA1" w:rsidR="007E6749" w:rsidRPr="00C73F76" w:rsidRDefault="007E6749" w:rsidP="006D7674">
      <w:pPr>
        <w:pStyle w:val="C-Bullet"/>
        <w:rPr>
          <w:rFonts w:ascii="Cambria" w:hAnsi="Cambria"/>
        </w:rPr>
      </w:pPr>
      <w:r w:rsidRPr="00C73F76">
        <w:rPr>
          <w:rFonts w:ascii="Cambria" w:hAnsi="Cambria"/>
        </w:rPr>
        <w:t>When thawed, ZOLGENSMA is a clear to slightly opaque, colo</w:t>
      </w:r>
      <w:r w:rsidR="00416500">
        <w:rPr>
          <w:rFonts w:ascii="Cambria" w:hAnsi="Cambria"/>
        </w:rPr>
        <w:t>u</w:t>
      </w:r>
      <w:r w:rsidRPr="00C73F76">
        <w:rPr>
          <w:rFonts w:ascii="Cambria" w:hAnsi="Cambria"/>
        </w:rPr>
        <w:t xml:space="preserve">rless to faint white liquid, free of particles.  Visually inspect vials for particulate matter and </w:t>
      </w:r>
      <w:proofErr w:type="spellStart"/>
      <w:r w:rsidRPr="00C73F76">
        <w:rPr>
          <w:rFonts w:ascii="Cambria" w:hAnsi="Cambria"/>
        </w:rPr>
        <w:t>discolo</w:t>
      </w:r>
      <w:r w:rsidR="00416500">
        <w:rPr>
          <w:rFonts w:ascii="Cambria" w:hAnsi="Cambria"/>
        </w:rPr>
        <w:t>u</w:t>
      </w:r>
      <w:r w:rsidRPr="00C73F76">
        <w:rPr>
          <w:rFonts w:ascii="Cambria" w:hAnsi="Cambria"/>
        </w:rPr>
        <w:t>ration</w:t>
      </w:r>
      <w:proofErr w:type="spellEnd"/>
      <w:r w:rsidRPr="00C73F76">
        <w:rPr>
          <w:rFonts w:ascii="Cambria" w:hAnsi="Cambria"/>
        </w:rPr>
        <w:t xml:space="preserve"> prior to infusion.  Do not use vials if particulates or </w:t>
      </w:r>
      <w:proofErr w:type="spellStart"/>
      <w:r w:rsidRPr="00C73F76">
        <w:rPr>
          <w:rFonts w:ascii="Cambria" w:hAnsi="Cambria"/>
        </w:rPr>
        <w:t>discolo</w:t>
      </w:r>
      <w:r w:rsidR="00416500">
        <w:rPr>
          <w:rFonts w:ascii="Cambria" w:hAnsi="Cambria"/>
        </w:rPr>
        <w:t>u</w:t>
      </w:r>
      <w:r w:rsidRPr="00C73F76">
        <w:rPr>
          <w:rFonts w:ascii="Cambria" w:hAnsi="Cambria"/>
        </w:rPr>
        <w:t>ration</w:t>
      </w:r>
      <w:proofErr w:type="spellEnd"/>
      <w:r w:rsidRPr="00C73F76">
        <w:rPr>
          <w:rFonts w:ascii="Cambria" w:hAnsi="Cambria"/>
        </w:rPr>
        <w:t xml:space="preserve"> are present.</w:t>
      </w:r>
    </w:p>
    <w:p w14:paraId="5676198C" w14:textId="77777777" w:rsidR="007E6749" w:rsidRPr="00C73F76" w:rsidRDefault="007E6749" w:rsidP="006D7674">
      <w:pPr>
        <w:pStyle w:val="C-Bullet"/>
        <w:rPr>
          <w:rFonts w:ascii="Cambria" w:hAnsi="Cambria"/>
        </w:rPr>
      </w:pPr>
      <w:r w:rsidRPr="00C73F76">
        <w:rPr>
          <w:rFonts w:ascii="Cambria" w:hAnsi="Cambria"/>
        </w:rPr>
        <w:t>DO NOT SHAKE.</w:t>
      </w:r>
    </w:p>
    <w:p w14:paraId="0BBEF04C" w14:textId="0F7CDDF1" w:rsidR="007E6749" w:rsidRPr="009A54A5" w:rsidRDefault="00191847" w:rsidP="006D7674">
      <w:pPr>
        <w:pStyle w:val="C-Bullet"/>
        <w:rPr>
          <w:rFonts w:ascii="Cambria" w:hAnsi="Cambria"/>
          <w:szCs w:val="24"/>
        </w:rPr>
      </w:pPr>
      <w:r w:rsidRPr="009A54A5">
        <w:rPr>
          <w:rFonts w:ascii="Cambria" w:hAnsi="Cambria"/>
          <w:bCs/>
          <w:szCs w:val="24"/>
        </w:rPr>
        <w:t>Prior to dosing d</w:t>
      </w:r>
      <w:r w:rsidR="007E6749" w:rsidRPr="009A54A5">
        <w:rPr>
          <w:rFonts w:ascii="Cambria" w:hAnsi="Cambria"/>
          <w:bCs/>
          <w:szCs w:val="24"/>
        </w:rPr>
        <w:t>raw the appropriate dose volu</w:t>
      </w:r>
      <w:r w:rsidR="007E6749" w:rsidRPr="009A54A5">
        <w:rPr>
          <w:rFonts w:ascii="Cambria" w:hAnsi="Cambria"/>
          <w:szCs w:val="24"/>
        </w:rPr>
        <w:t xml:space="preserve">me from all vials into a syringe, remove air from the syringe, cap the syringe, and deliver the syringe at room temperature to the patient infusion location.  </w:t>
      </w:r>
      <w:r w:rsidR="0058013C" w:rsidRPr="009A54A5">
        <w:rPr>
          <w:rFonts w:ascii="Cambria" w:hAnsi="Cambria"/>
          <w:szCs w:val="24"/>
        </w:rPr>
        <w:t>D</w:t>
      </w:r>
      <w:r w:rsidR="0058013C" w:rsidRPr="009A54A5">
        <w:rPr>
          <w:rFonts w:ascii="Cambria" w:hAnsi="Cambria"/>
          <w:color w:val="000000" w:themeColor="text1"/>
          <w:szCs w:val="24"/>
        </w:rPr>
        <w:t>ispose of vials in accordance with local institutional biosafety guidelines.</w:t>
      </w:r>
    </w:p>
    <w:p w14:paraId="73EAAB9D" w14:textId="47515872" w:rsidR="0058013C" w:rsidRPr="009A54A5" w:rsidRDefault="007E6749" w:rsidP="006D7674">
      <w:pPr>
        <w:pStyle w:val="C-Bullet"/>
        <w:rPr>
          <w:rFonts w:ascii="Cambria" w:hAnsi="Cambria"/>
          <w:szCs w:val="24"/>
        </w:rPr>
      </w:pPr>
      <w:r w:rsidRPr="009A54A5">
        <w:rPr>
          <w:rFonts w:ascii="Cambria" w:hAnsi="Cambria"/>
          <w:szCs w:val="24"/>
        </w:rPr>
        <w:t xml:space="preserve">Use ZOLGENSMA within </w:t>
      </w:r>
      <w:r w:rsidR="00066A6E">
        <w:rPr>
          <w:rFonts w:ascii="Cambria" w:hAnsi="Cambria"/>
          <w:szCs w:val="24"/>
        </w:rPr>
        <w:t>6</w:t>
      </w:r>
      <w:r w:rsidRPr="009A54A5">
        <w:rPr>
          <w:rFonts w:ascii="Cambria" w:hAnsi="Cambria"/>
          <w:szCs w:val="24"/>
        </w:rPr>
        <w:t xml:space="preserve"> hours of drawing into syringe.  Discard the vector-containing syringe</w:t>
      </w:r>
      <w:r w:rsidR="0058013C" w:rsidRPr="009A54A5">
        <w:rPr>
          <w:rFonts w:ascii="Cambria" w:hAnsi="Cambria"/>
          <w:szCs w:val="24"/>
        </w:rPr>
        <w:t xml:space="preserve"> </w:t>
      </w:r>
      <w:r w:rsidRPr="009A54A5">
        <w:rPr>
          <w:rFonts w:ascii="Cambria" w:hAnsi="Cambria"/>
          <w:szCs w:val="24"/>
        </w:rPr>
        <w:t xml:space="preserve">if the drug is not infused within the </w:t>
      </w:r>
      <w:r w:rsidR="001A4B59">
        <w:rPr>
          <w:rFonts w:ascii="Cambria" w:hAnsi="Cambria"/>
          <w:szCs w:val="24"/>
        </w:rPr>
        <w:t>6</w:t>
      </w:r>
      <w:r w:rsidRPr="009A54A5">
        <w:rPr>
          <w:rFonts w:ascii="Cambria" w:hAnsi="Cambria"/>
          <w:szCs w:val="24"/>
        </w:rPr>
        <w:noBreakHyphen/>
        <w:t xml:space="preserve">hour timeframe. </w:t>
      </w:r>
      <w:r w:rsidR="0058013C" w:rsidRPr="009A54A5">
        <w:rPr>
          <w:rFonts w:ascii="Cambria" w:hAnsi="Cambria"/>
          <w:szCs w:val="24"/>
        </w:rPr>
        <w:t>Dispose of the syringe in accordance with local institutional biosafety guidelines.</w:t>
      </w:r>
    </w:p>
    <w:p w14:paraId="450497CC" w14:textId="77777777" w:rsidR="007E6749" w:rsidRPr="009A54A5" w:rsidRDefault="007E6749" w:rsidP="006D7674">
      <w:pPr>
        <w:pStyle w:val="C-Bullet"/>
        <w:rPr>
          <w:rFonts w:ascii="Cambria" w:hAnsi="Cambria"/>
          <w:szCs w:val="24"/>
        </w:rPr>
      </w:pPr>
      <w:r w:rsidRPr="009A54A5">
        <w:rPr>
          <w:rFonts w:ascii="Cambria" w:hAnsi="Cambria"/>
          <w:szCs w:val="24"/>
        </w:rPr>
        <w:t>DO NOT REFREEZE.</w:t>
      </w:r>
    </w:p>
    <w:p w14:paraId="5AE22AFE" w14:textId="77777777" w:rsidR="00B101B6" w:rsidRPr="003E50D5" w:rsidRDefault="00B101B6" w:rsidP="003E50D5">
      <w:pPr>
        <w:rPr>
          <w:rFonts w:ascii="Cambria" w:hAnsi="Cambria" w:cs="Times New Roman"/>
          <w:b/>
        </w:rPr>
      </w:pPr>
      <w:r w:rsidRPr="003E50D5">
        <w:rPr>
          <w:rFonts w:ascii="Cambria" w:hAnsi="Cambria" w:cs="Times New Roman"/>
          <w:b/>
        </w:rPr>
        <w:t>Follow the steps below for infusion:</w:t>
      </w:r>
    </w:p>
    <w:p w14:paraId="319825E5" w14:textId="77777777" w:rsidR="00B101B6" w:rsidRPr="00C73F76" w:rsidRDefault="00B101B6" w:rsidP="00EE35F8">
      <w:pPr>
        <w:pStyle w:val="C-NumberedList"/>
        <w:jc w:val="both"/>
        <w:rPr>
          <w:rFonts w:ascii="Cambria" w:hAnsi="Cambria"/>
        </w:rPr>
      </w:pPr>
      <w:r w:rsidRPr="00C73F76">
        <w:rPr>
          <w:rFonts w:ascii="Cambria" w:hAnsi="Cambria"/>
        </w:rPr>
        <w:t>Place a primary catheter into a vein (generally a peripheral vein in the arm or leg).  Insertion of a back-up catheter is recommended.</w:t>
      </w:r>
    </w:p>
    <w:p w14:paraId="34F290F1" w14:textId="77777777" w:rsidR="00B101B6" w:rsidRPr="00C73F76" w:rsidRDefault="00B101B6" w:rsidP="00EE35F8">
      <w:pPr>
        <w:pStyle w:val="C-NumberedList"/>
        <w:jc w:val="both"/>
        <w:rPr>
          <w:rFonts w:ascii="Cambria" w:hAnsi="Cambria"/>
        </w:rPr>
      </w:pPr>
      <w:r w:rsidRPr="00C73F76">
        <w:rPr>
          <w:rFonts w:ascii="Cambria" w:hAnsi="Cambria"/>
        </w:rPr>
        <w:t>Program syringe pump for saline priming, or prime tubing manually with saline.</w:t>
      </w:r>
    </w:p>
    <w:p w14:paraId="58AF43B8" w14:textId="77777777" w:rsidR="00B101B6" w:rsidRPr="00C73F76" w:rsidRDefault="00B101B6" w:rsidP="00EE35F8">
      <w:pPr>
        <w:pStyle w:val="C-NumberedList"/>
        <w:jc w:val="both"/>
        <w:rPr>
          <w:rFonts w:ascii="Cambria" w:hAnsi="Cambria"/>
        </w:rPr>
      </w:pPr>
      <w:r w:rsidRPr="00C73F76">
        <w:rPr>
          <w:rFonts w:ascii="Cambria" w:hAnsi="Cambria"/>
        </w:rPr>
        <w:t>Administer ZOLGENSMA as a slow infusion over 60 minutes.  DO NOT INFUSE AS AN INTRAVENOUS PUSH OR BOLUS.</w:t>
      </w:r>
    </w:p>
    <w:p w14:paraId="3E11BD01" w14:textId="1CAD45E7" w:rsidR="007E6749" w:rsidRDefault="00B101B6" w:rsidP="00E925E7">
      <w:pPr>
        <w:pStyle w:val="C-NumberedList"/>
      </w:pPr>
      <w:r w:rsidRPr="00605248">
        <w:rPr>
          <w:rFonts w:ascii="Cambria" w:hAnsi="Cambria"/>
        </w:rPr>
        <w:t xml:space="preserve">Flush line with saline following completion of infusion. </w:t>
      </w:r>
    </w:p>
    <w:p w14:paraId="5AF16215" w14:textId="69A6C649" w:rsidR="00E35483" w:rsidRPr="002B1522" w:rsidRDefault="00E35483" w:rsidP="00E925E7">
      <w:pPr>
        <w:pStyle w:val="Heading3"/>
      </w:pPr>
      <w:r w:rsidRPr="002B1522">
        <w:t>Special populations</w:t>
      </w:r>
    </w:p>
    <w:p w14:paraId="6FA55DB6" w14:textId="13B402E0" w:rsidR="00E35483" w:rsidRPr="003B110C" w:rsidRDefault="00E35483" w:rsidP="00E35483">
      <w:pPr>
        <w:pStyle w:val="C-Bullet"/>
        <w:numPr>
          <w:ilvl w:val="0"/>
          <w:numId w:val="0"/>
        </w:numPr>
        <w:jc w:val="both"/>
        <w:rPr>
          <w:rFonts w:ascii="Cambria" w:hAnsi="Cambria"/>
          <w:i/>
        </w:rPr>
      </w:pPr>
      <w:proofErr w:type="spellStart"/>
      <w:r w:rsidRPr="003B110C">
        <w:rPr>
          <w:rFonts w:ascii="Cambria" w:hAnsi="Cambria"/>
          <w:i/>
        </w:rPr>
        <w:t>P</w:t>
      </w:r>
      <w:r w:rsidR="003B110C">
        <w:rPr>
          <w:rFonts w:ascii="Cambria" w:hAnsi="Cambria"/>
          <w:i/>
        </w:rPr>
        <w:t>a</w:t>
      </w:r>
      <w:r w:rsidRPr="003B110C">
        <w:rPr>
          <w:rFonts w:ascii="Cambria" w:hAnsi="Cambria"/>
          <w:i/>
        </w:rPr>
        <w:t>ediatric</w:t>
      </w:r>
      <w:proofErr w:type="spellEnd"/>
      <w:r w:rsidRPr="003B110C">
        <w:rPr>
          <w:rFonts w:ascii="Cambria" w:hAnsi="Cambria"/>
          <w:i/>
        </w:rPr>
        <w:t xml:space="preserve"> patients</w:t>
      </w:r>
    </w:p>
    <w:p w14:paraId="7D7ADF2A" w14:textId="5FB86E37" w:rsidR="00E35483" w:rsidRDefault="00E35483" w:rsidP="006D7674">
      <w:pPr>
        <w:pStyle w:val="C-Bullet"/>
        <w:numPr>
          <w:ilvl w:val="0"/>
          <w:numId w:val="0"/>
        </w:numPr>
        <w:rPr>
          <w:rFonts w:ascii="Cambria" w:hAnsi="Cambria"/>
        </w:rPr>
      </w:pPr>
      <w:r w:rsidRPr="00E35483">
        <w:rPr>
          <w:rFonts w:ascii="Cambria" w:hAnsi="Cambria"/>
        </w:rPr>
        <w:t xml:space="preserve">Administration of </w:t>
      </w:r>
      <w:r w:rsidR="003325F8" w:rsidRPr="00E35483">
        <w:rPr>
          <w:rFonts w:ascii="Cambria" w:hAnsi="Cambria"/>
        </w:rPr>
        <w:t>Z</w:t>
      </w:r>
      <w:r w:rsidR="003325F8">
        <w:rPr>
          <w:rFonts w:ascii="Cambria" w:hAnsi="Cambria"/>
        </w:rPr>
        <w:t>OLGENSMA</w:t>
      </w:r>
      <w:r w:rsidR="003325F8" w:rsidRPr="00E35483">
        <w:rPr>
          <w:rFonts w:ascii="Cambria" w:hAnsi="Cambria"/>
        </w:rPr>
        <w:t xml:space="preserve"> </w:t>
      </w:r>
      <w:r w:rsidRPr="00E35483">
        <w:rPr>
          <w:rFonts w:ascii="Cambria" w:hAnsi="Cambria"/>
        </w:rPr>
        <w:t xml:space="preserve">to premature neonates before reaching full-term gestational age should be carefully considered. The safety and efficacy of </w:t>
      </w:r>
      <w:r w:rsidR="003325F8" w:rsidRPr="00E35483">
        <w:rPr>
          <w:rFonts w:ascii="Cambria" w:hAnsi="Cambria"/>
        </w:rPr>
        <w:t>Z</w:t>
      </w:r>
      <w:r w:rsidR="003325F8">
        <w:rPr>
          <w:rFonts w:ascii="Cambria" w:hAnsi="Cambria"/>
        </w:rPr>
        <w:t>OLGENSMA</w:t>
      </w:r>
      <w:r w:rsidRPr="00E35483">
        <w:rPr>
          <w:rFonts w:ascii="Cambria" w:hAnsi="Cambria"/>
        </w:rPr>
        <w:t xml:space="preserve"> in these patients have not been established.</w:t>
      </w:r>
    </w:p>
    <w:p w14:paraId="62FAD043" w14:textId="15DED811" w:rsidR="00E35483" w:rsidRPr="00C73F76" w:rsidRDefault="00604782" w:rsidP="006D7674">
      <w:pPr>
        <w:pStyle w:val="C-Bullet"/>
        <w:numPr>
          <w:ilvl w:val="0"/>
          <w:numId w:val="0"/>
        </w:numPr>
        <w:rPr>
          <w:rFonts w:ascii="Cambria" w:hAnsi="Cambria"/>
          <w:bCs/>
        </w:rPr>
      </w:pPr>
      <w:r w:rsidRPr="00604782">
        <w:rPr>
          <w:rFonts w:ascii="Cambria" w:hAnsi="Cambria"/>
        </w:rPr>
        <w:t xml:space="preserve">The efficacy and safety of ZOLGENSMA was studied in </w:t>
      </w:r>
      <w:proofErr w:type="spellStart"/>
      <w:r w:rsidRPr="00604782">
        <w:rPr>
          <w:rFonts w:ascii="Cambria" w:hAnsi="Cambria"/>
        </w:rPr>
        <w:t>paediatric</w:t>
      </w:r>
      <w:proofErr w:type="spellEnd"/>
      <w:r w:rsidRPr="00604782">
        <w:rPr>
          <w:rFonts w:ascii="Cambria" w:hAnsi="Cambria"/>
        </w:rPr>
        <w:t xml:space="preserve"> patients who received ZOLGENSMA infusion at age 0.3 to 7.9 months (weight up to 8.4 kg) (see 4.8 Adverse effects (Undesirable effects) and 5.1 Clinical Studies).</w:t>
      </w:r>
    </w:p>
    <w:p w14:paraId="378C5C06" w14:textId="4569CDE5" w:rsidR="00781372" w:rsidRDefault="006D31E9" w:rsidP="006D7674">
      <w:pPr>
        <w:pStyle w:val="Heading2"/>
      </w:pPr>
      <w:r w:rsidRPr="00CE03FD">
        <w:t>Contraindications</w:t>
      </w:r>
    </w:p>
    <w:p w14:paraId="070CA276" w14:textId="409F81D2" w:rsidR="00C6144B" w:rsidRPr="00C6144B" w:rsidRDefault="00C6144B" w:rsidP="006D7674">
      <w:pPr>
        <w:rPr>
          <w:rFonts w:ascii="Cambria" w:eastAsia="Times New Roman" w:hAnsi="Cambria" w:cs="Times New Roman"/>
          <w:szCs w:val="24"/>
          <w:lang w:val="en-US"/>
        </w:rPr>
      </w:pPr>
      <w:r w:rsidRPr="00C6144B">
        <w:rPr>
          <w:rFonts w:ascii="Cambria" w:eastAsia="Times New Roman" w:hAnsi="Cambria" w:cs="Times New Roman"/>
          <w:szCs w:val="24"/>
          <w:lang w:val="en-US"/>
        </w:rPr>
        <w:t>Hypersensitivity to the active substance or to any of t</w:t>
      </w:r>
      <w:r w:rsidR="00001CDB">
        <w:rPr>
          <w:rFonts w:ascii="Cambria" w:eastAsia="Times New Roman" w:hAnsi="Cambria" w:cs="Times New Roman"/>
          <w:szCs w:val="24"/>
          <w:lang w:val="en-US"/>
        </w:rPr>
        <w:t xml:space="preserve">he excipients listed in </w:t>
      </w:r>
      <w:r w:rsidRPr="00C6144B">
        <w:rPr>
          <w:rFonts w:ascii="Cambria" w:eastAsia="Times New Roman" w:hAnsi="Cambria" w:cs="Times New Roman"/>
          <w:szCs w:val="24"/>
          <w:lang w:val="en-US"/>
        </w:rPr>
        <w:t>6.1</w:t>
      </w:r>
      <w:r w:rsidR="00521605">
        <w:rPr>
          <w:rFonts w:ascii="Cambria" w:eastAsia="Times New Roman" w:hAnsi="Cambria" w:cs="Times New Roman"/>
          <w:szCs w:val="24"/>
          <w:lang w:val="en-US"/>
        </w:rPr>
        <w:t xml:space="preserve"> List of excipients</w:t>
      </w:r>
      <w:r w:rsidR="00001CDB">
        <w:rPr>
          <w:rFonts w:ascii="Cambria" w:eastAsia="Times New Roman" w:hAnsi="Cambria" w:cs="Times New Roman"/>
          <w:szCs w:val="24"/>
          <w:lang w:val="en-US"/>
        </w:rPr>
        <w:t>).</w:t>
      </w:r>
    </w:p>
    <w:p w14:paraId="52611AA3" w14:textId="75871DA0" w:rsidR="00781372" w:rsidRDefault="006D31E9" w:rsidP="00EE35F8">
      <w:pPr>
        <w:pStyle w:val="Heading2"/>
        <w:jc w:val="both"/>
      </w:pPr>
      <w:r w:rsidRPr="00CE03FD">
        <w:t xml:space="preserve">Special warnings </w:t>
      </w:r>
      <w:r w:rsidR="0085661E" w:rsidRPr="00CE03FD">
        <w:t xml:space="preserve">and </w:t>
      </w:r>
      <w:r w:rsidRPr="00CE03FD">
        <w:t>precautions for use</w:t>
      </w:r>
    </w:p>
    <w:p w14:paraId="15B2BEDE" w14:textId="77777777" w:rsidR="00680533" w:rsidRPr="002B134B" w:rsidRDefault="00680533" w:rsidP="002B134B">
      <w:pPr>
        <w:pStyle w:val="Heading3"/>
        <w:jc w:val="both"/>
      </w:pPr>
      <w:bookmarkStart w:id="11" w:name="AcuteSeriousLiverInjury"/>
      <w:r w:rsidRPr="002B134B">
        <w:t>Advanced SMA</w:t>
      </w:r>
    </w:p>
    <w:p w14:paraId="5AD4F65A" w14:textId="68622BB4" w:rsidR="00680533" w:rsidRPr="00680533" w:rsidRDefault="00680533" w:rsidP="006D7674">
      <w:pPr>
        <w:rPr>
          <w:rFonts w:ascii="Cambria" w:eastAsia="Times New Roman" w:hAnsi="Cambria" w:cs="Times New Roman"/>
          <w:szCs w:val="24"/>
          <w:lang w:val="en-US"/>
        </w:rPr>
      </w:pPr>
      <w:r w:rsidRPr="00680533">
        <w:rPr>
          <w:rFonts w:ascii="Cambria" w:eastAsia="Times New Roman" w:hAnsi="Cambria" w:cs="Times New Roman"/>
          <w:szCs w:val="24"/>
          <w:lang w:val="en-US"/>
        </w:rPr>
        <w:t>Since SMA results in progressive and non-reversible damage to motor neurons, the benefit of</w:t>
      </w:r>
      <w:r>
        <w:rPr>
          <w:rFonts w:ascii="Cambria" w:eastAsia="Times New Roman" w:hAnsi="Cambria" w:cs="Times New Roman"/>
          <w:szCs w:val="24"/>
          <w:lang w:val="en-US"/>
        </w:rPr>
        <w:t xml:space="preserve"> </w:t>
      </w:r>
      <w:r w:rsidRPr="00AE427E">
        <w:rPr>
          <w:rFonts w:ascii="Cambria" w:hAnsi="Cambria"/>
          <w:szCs w:val="24"/>
        </w:rPr>
        <w:t>ZOLGENSMA</w:t>
      </w:r>
      <w:r w:rsidRPr="00680533">
        <w:rPr>
          <w:rFonts w:ascii="Cambria" w:eastAsia="Times New Roman" w:hAnsi="Cambria" w:cs="Times New Roman"/>
          <w:szCs w:val="24"/>
          <w:lang w:val="en-US"/>
        </w:rPr>
        <w:t xml:space="preserve"> in symptomatic patients depends on the degree of disease burden at the time of</w:t>
      </w:r>
      <w:r>
        <w:rPr>
          <w:rFonts w:ascii="Cambria" w:eastAsia="Times New Roman" w:hAnsi="Cambria" w:cs="Times New Roman"/>
          <w:szCs w:val="24"/>
          <w:lang w:val="en-US"/>
        </w:rPr>
        <w:t xml:space="preserve"> </w:t>
      </w:r>
      <w:r w:rsidRPr="00680533">
        <w:rPr>
          <w:rFonts w:ascii="Cambria" w:eastAsia="Times New Roman" w:hAnsi="Cambria" w:cs="Times New Roman"/>
          <w:szCs w:val="24"/>
          <w:lang w:val="en-US"/>
        </w:rPr>
        <w:t>treatment, with earlier treatment resulting in potential higher benefit.</w:t>
      </w:r>
    </w:p>
    <w:p w14:paraId="6984C3F7" w14:textId="4DD23534" w:rsidR="00680533" w:rsidRDefault="00680533" w:rsidP="006D7674">
      <w:pPr>
        <w:rPr>
          <w:rFonts w:ascii="Cambria" w:eastAsia="Times New Roman" w:hAnsi="Cambria" w:cs="Times New Roman"/>
          <w:szCs w:val="24"/>
          <w:lang w:val="en-US"/>
        </w:rPr>
      </w:pPr>
      <w:r w:rsidRPr="00680533">
        <w:rPr>
          <w:rFonts w:ascii="Cambria" w:eastAsia="Times New Roman" w:hAnsi="Cambria" w:cs="Times New Roman"/>
          <w:szCs w:val="24"/>
          <w:lang w:val="en-US"/>
        </w:rPr>
        <w:t>Progressive motor neuron loss is irreversible. The treating physician should consider that the</w:t>
      </w:r>
      <w:r>
        <w:rPr>
          <w:rFonts w:ascii="Cambria" w:eastAsia="Times New Roman" w:hAnsi="Cambria" w:cs="Times New Roman"/>
          <w:szCs w:val="24"/>
          <w:lang w:val="en-US"/>
        </w:rPr>
        <w:t xml:space="preserve"> </w:t>
      </w:r>
      <w:r w:rsidRPr="00680533">
        <w:rPr>
          <w:rFonts w:ascii="Cambria" w:eastAsia="Times New Roman" w:hAnsi="Cambria" w:cs="Times New Roman"/>
          <w:szCs w:val="24"/>
          <w:lang w:val="en-US"/>
        </w:rPr>
        <w:t>benefit is seriously reduced in patients with profound muscle weakness and respiratory failure,</w:t>
      </w:r>
      <w:r>
        <w:rPr>
          <w:rFonts w:ascii="Cambria" w:eastAsia="Times New Roman" w:hAnsi="Cambria" w:cs="Times New Roman"/>
          <w:szCs w:val="24"/>
          <w:lang w:val="en-US"/>
        </w:rPr>
        <w:t xml:space="preserve"> </w:t>
      </w:r>
      <w:r w:rsidRPr="00680533">
        <w:rPr>
          <w:rFonts w:ascii="Cambria" w:eastAsia="Times New Roman" w:hAnsi="Cambria" w:cs="Times New Roman"/>
          <w:szCs w:val="24"/>
          <w:lang w:val="en-US"/>
        </w:rPr>
        <w:t>patients on permanent ventilation, and patients not able to swallow.</w:t>
      </w:r>
    </w:p>
    <w:p w14:paraId="144FD7F2" w14:textId="546164F9" w:rsidR="00EF0A02" w:rsidRDefault="00EF0A02" w:rsidP="006D7674">
      <w:pPr>
        <w:rPr>
          <w:rFonts w:ascii="Cambria" w:eastAsia="Times New Roman" w:hAnsi="Cambria" w:cs="Times New Roman"/>
          <w:szCs w:val="24"/>
          <w:lang w:val="en-US"/>
        </w:rPr>
      </w:pPr>
      <w:r w:rsidRPr="00EF0A02">
        <w:rPr>
          <w:rFonts w:ascii="Cambria" w:eastAsia="Times New Roman" w:hAnsi="Cambria" w:cs="Times New Roman"/>
          <w:szCs w:val="24"/>
          <w:lang w:val="en-US"/>
        </w:rPr>
        <w:t>Patients requiring permanent ventilatory support have not been evaluated and treatment with ZOLGENSMA is not recommended. Permanent ventilation is defined as requiring invasive ventilation (tracheostomy), or respiratory assistance for 16 or more hours per day (including noninvasive ventilatory support) continuously for 14 or more days in the absence of an acute reversible illness, excluding perioperative ventilation.</w:t>
      </w:r>
    </w:p>
    <w:p w14:paraId="5E8B4335" w14:textId="16CDA021" w:rsidR="00AE427E" w:rsidRPr="002B134B" w:rsidRDefault="00AE427E" w:rsidP="006D7674">
      <w:pPr>
        <w:pStyle w:val="Heading3"/>
      </w:pPr>
      <w:r w:rsidRPr="002B134B">
        <w:t xml:space="preserve">Acute Serious Liver Injury </w:t>
      </w:r>
      <w:bookmarkEnd w:id="11"/>
      <w:r w:rsidRPr="002B134B">
        <w:t>and Elevated Aminotransferases</w:t>
      </w:r>
    </w:p>
    <w:p w14:paraId="1F9E3534" w14:textId="250602F4" w:rsidR="00AE427E" w:rsidRPr="00AE427E" w:rsidRDefault="00AE427E" w:rsidP="006D7674">
      <w:pPr>
        <w:pStyle w:val="C-BodyText"/>
        <w:rPr>
          <w:rFonts w:ascii="Cambria" w:hAnsi="Cambria"/>
          <w:szCs w:val="24"/>
        </w:rPr>
      </w:pPr>
      <w:r w:rsidRPr="00AE427E">
        <w:rPr>
          <w:rFonts w:ascii="Cambria" w:hAnsi="Cambria"/>
          <w:szCs w:val="24"/>
        </w:rPr>
        <w:t xml:space="preserve">Acute serious liver injury </w:t>
      </w:r>
      <w:r w:rsidR="0049133F">
        <w:rPr>
          <w:rFonts w:ascii="Cambria" w:hAnsi="Cambria"/>
          <w:szCs w:val="24"/>
        </w:rPr>
        <w:t xml:space="preserve">has </w:t>
      </w:r>
      <w:r w:rsidRPr="00AE427E">
        <w:rPr>
          <w:rFonts w:ascii="Cambria" w:hAnsi="Cambria"/>
          <w:szCs w:val="24"/>
        </w:rPr>
        <w:t>occur</w:t>
      </w:r>
      <w:r w:rsidR="0049133F">
        <w:rPr>
          <w:rFonts w:ascii="Cambria" w:hAnsi="Cambria"/>
          <w:szCs w:val="24"/>
        </w:rPr>
        <w:t>red</w:t>
      </w:r>
      <w:r w:rsidRPr="00AE427E">
        <w:rPr>
          <w:rFonts w:ascii="Cambria" w:hAnsi="Cambria"/>
          <w:szCs w:val="24"/>
        </w:rPr>
        <w:t xml:space="preserve"> with ZOLGENSMA. Prior to ZOLGENSMA infusion, a patient with infantile-onset SMA had elevated AST and ALT of unknown etiology (</w:t>
      </w:r>
      <w:r w:rsidRPr="00AE427E">
        <w:rPr>
          <w:rStyle w:val="st"/>
          <w:rFonts w:ascii="Cambria" w:hAnsi="Cambria"/>
          <w:szCs w:val="24"/>
        </w:rPr>
        <w:t>gamma-</w:t>
      </w:r>
      <w:proofErr w:type="spellStart"/>
      <w:r w:rsidRPr="00AE427E">
        <w:rPr>
          <w:rStyle w:val="st"/>
          <w:rFonts w:ascii="Cambria" w:hAnsi="Cambria"/>
          <w:szCs w:val="24"/>
        </w:rPr>
        <w:t>glutamyl</w:t>
      </w:r>
      <w:proofErr w:type="spellEnd"/>
      <w:r w:rsidRPr="00AE427E">
        <w:rPr>
          <w:rStyle w:val="st"/>
          <w:rFonts w:ascii="Cambria" w:hAnsi="Cambria"/>
          <w:szCs w:val="24"/>
        </w:rPr>
        <w:t xml:space="preserve"> transferase (</w:t>
      </w:r>
      <w:r w:rsidRPr="00AE427E">
        <w:rPr>
          <w:rFonts w:ascii="Cambria" w:hAnsi="Cambria"/>
          <w:szCs w:val="24"/>
        </w:rPr>
        <w:t xml:space="preserve">GGT), total bilirubin and prothrombin time were normal). </w:t>
      </w:r>
      <w:r>
        <w:rPr>
          <w:rFonts w:ascii="Cambria" w:hAnsi="Cambria"/>
          <w:szCs w:val="24"/>
        </w:rPr>
        <w:t xml:space="preserve"> </w:t>
      </w:r>
      <w:r w:rsidRPr="00AE427E">
        <w:rPr>
          <w:rFonts w:ascii="Cambria" w:hAnsi="Cambria"/>
          <w:szCs w:val="24"/>
        </w:rPr>
        <w:t>The patient was treated under an expanded access program in the United States.</w:t>
      </w:r>
      <w:r>
        <w:rPr>
          <w:rFonts w:ascii="Cambria" w:hAnsi="Cambria"/>
          <w:szCs w:val="24"/>
        </w:rPr>
        <w:t xml:space="preserve"> </w:t>
      </w:r>
      <w:r w:rsidRPr="00AE427E">
        <w:rPr>
          <w:rFonts w:ascii="Cambria" w:hAnsi="Cambria"/>
          <w:szCs w:val="24"/>
        </w:rPr>
        <w:t xml:space="preserve"> The patient received corticosteroids equivalent to oral prednisolone at 1 mg/kg/day for approximately 30 days, followed by a 14-day taper. </w:t>
      </w:r>
      <w:r w:rsidR="00002556">
        <w:rPr>
          <w:rFonts w:ascii="Cambria" w:hAnsi="Cambria"/>
          <w:szCs w:val="24"/>
        </w:rPr>
        <w:t xml:space="preserve"> </w:t>
      </w:r>
      <w:r w:rsidRPr="00AE427E">
        <w:rPr>
          <w:rFonts w:ascii="Cambria" w:hAnsi="Cambria"/>
          <w:szCs w:val="24"/>
        </w:rPr>
        <w:t xml:space="preserve">Approximately 7 weeks after receiving ZOLGENSMA, the patient became jaundiced. </w:t>
      </w:r>
      <w:r>
        <w:rPr>
          <w:rFonts w:ascii="Cambria" w:hAnsi="Cambria"/>
          <w:szCs w:val="24"/>
        </w:rPr>
        <w:t xml:space="preserve"> </w:t>
      </w:r>
      <w:r w:rsidRPr="00AE427E">
        <w:rPr>
          <w:rFonts w:ascii="Cambria" w:hAnsi="Cambria"/>
          <w:szCs w:val="24"/>
        </w:rPr>
        <w:t>Laboratory testing was consistent with acute serious liver injury, with</w:t>
      </w:r>
      <w:bookmarkStart w:id="12" w:name="_Hlk4068060"/>
      <w:r w:rsidRPr="00AE427E">
        <w:rPr>
          <w:rFonts w:ascii="Cambria" w:hAnsi="Cambria"/>
          <w:szCs w:val="24"/>
        </w:rPr>
        <w:t xml:space="preserve"> AST level approximately 80 × ULN and ALT level approximately 45 × ULN, total bilirubin approximately 4 × ULN, and plasma prothrombin time approximately 4 × ULN. </w:t>
      </w:r>
      <w:r>
        <w:rPr>
          <w:rFonts w:ascii="Cambria" w:hAnsi="Cambria"/>
          <w:szCs w:val="24"/>
        </w:rPr>
        <w:t xml:space="preserve"> </w:t>
      </w:r>
      <w:r w:rsidRPr="00AE427E">
        <w:rPr>
          <w:rFonts w:ascii="Cambria" w:hAnsi="Cambria"/>
          <w:szCs w:val="24"/>
        </w:rPr>
        <w:t>Liver biopsy showed acute massive degeneration of hepatocytes, and massive mixed inflammatory infiltrate (primarily CD8-positive T lymphocytes).</w:t>
      </w:r>
      <w:r>
        <w:rPr>
          <w:rFonts w:ascii="Cambria" w:hAnsi="Cambria"/>
          <w:szCs w:val="24"/>
        </w:rPr>
        <w:t xml:space="preserve"> </w:t>
      </w:r>
      <w:r w:rsidRPr="00AE427E">
        <w:rPr>
          <w:rFonts w:ascii="Cambria" w:hAnsi="Cambria"/>
          <w:szCs w:val="24"/>
        </w:rPr>
        <w:t xml:space="preserve"> </w:t>
      </w:r>
      <w:bookmarkEnd w:id="12"/>
      <w:r w:rsidRPr="00AE427E">
        <w:rPr>
          <w:rFonts w:ascii="Cambria" w:hAnsi="Cambria"/>
          <w:szCs w:val="24"/>
        </w:rPr>
        <w:t>The patient recovered to baseline status after treatment with corticosteroids.</w:t>
      </w:r>
    </w:p>
    <w:p w14:paraId="1935C8FB" w14:textId="3D0EAD12" w:rsidR="009E589E" w:rsidRDefault="0049133F" w:rsidP="006D7674">
      <w:pPr>
        <w:pStyle w:val="C-BodyText"/>
        <w:rPr>
          <w:rFonts w:ascii="Cambria" w:hAnsi="Cambria"/>
          <w:bCs/>
          <w:szCs w:val="24"/>
        </w:rPr>
      </w:pPr>
      <w:r w:rsidRPr="0049133F">
        <w:rPr>
          <w:rFonts w:ascii="Cambria" w:hAnsi="Cambria"/>
          <w:bCs/>
          <w:szCs w:val="24"/>
        </w:rPr>
        <w:t>Administration of AAV vector may result in transaminase elevations, which may be</w:t>
      </w:r>
      <w:r>
        <w:rPr>
          <w:rFonts w:ascii="Cambria" w:hAnsi="Cambria"/>
          <w:bCs/>
          <w:szCs w:val="24"/>
        </w:rPr>
        <w:t xml:space="preserve"> </w:t>
      </w:r>
      <w:r w:rsidRPr="0049133F">
        <w:rPr>
          <w:rFonts w:ascii="Cambria" w:hAnsi="Cambria"/>
          <w:bCs/>
          <w:szCs w:val="24"/>
        </w:rPr>
        <w:t xml:space="preserve">serious. </w:t>
      </w:r>
      <w:r w:rsidR="009E589E" w:rsidRPr="009E589E">
        <w:rPr>
          <w:rFonts w:ascii="Cambria" w:hAnsi="Cambria"/>
          <w:bCs/>
          <w:szCs w:val="24"/>
        </w:rPr>
        <w:t xml:space="preserve">Elevated transaminases </w:t>
      </w:r>
      <w:r w:rsidR="00126D88">
        <w:rPr>
          <w:rFonts w:ascii="Cambria" w:hAnsi="Cambria"/>
          <w:bCs/>
          <w:szCs w:val="24"/>
        </w:rPr>
        <w:t xml:space="preserve">greater than 2 times ULN </w:t>
      </w:r>
      <w:r w:rsidR="009E589E" w:rsidRPr="009E589E">
        <w:rPr>
          <w:rFonts w:ascii="Cambria" w:hAnsi="Cambria"/>
          <w:bCs/>
          <w:szCs w:val="24"/>
        </w:rPr>
        <w:t xml:space="preserve">were reported </w:t>
      </w:r>
      <w:r w:rsidR="005F221E">
        <w:rPr>
          <w:rFonts w:ascii="Cambria" w:hAnsi="Cambria"/>
          <w:bCs/>
          <w:szCs w:val="24"/>
        </w:rPr>
        <w:t>(see Table 2)</w:t>
      </w:r>
      <w:r w:rsidR="00126D88">
        <w:rPr>
          <w:rFonts w:ascii="Cambria" w:hAnsi="Cambria"/>
          <w:bCs/>
          <w:szCs w:val="24"/>
        </w:rPr>
        <w:t xml:space="preserve"> </w:t>
      </w:r>
      <w:r w:rsidR="0070453A">
        <w:rPr>
          <w:rFonts w:ascii="Cambria" w:hAnsi="Cambria"/>
          <w:bCs/>
          <w:szCs w:val="24"/>
        </w:rPr>
        <w:t xml:space="preserve">in up to 12% </w:t>
      </w:r>
      <w:r w:rsidR="00126D88">
        <w:rPr>
          <w:rFonts w:ascii="Cambria" w:hAnsi="Cambria"/>
          <w:bCs/>
          <w:szCs w:val="24"/>
        </w:rPr>
        <w:t>of</w:t>
      </w:r>
      <w:r w:rsidR="009E589E" w:rsidRPr="009E589E">
        <w:rPr>
          <w:rFonts w:ascii="Cambria" w:hAnsi="Cambria"/>
          <w:bCs/>
          <w:szCs w:val="24"/>
        </w:rPr>
        <w:t xml:space="preserve"> patients treated at the recommended dose and were considered study-drug related.  Two patients had AST and ALT elevations of &gt; 20 × ULN (one of these patients was experiencing a viral infection).  These patients were clinically asymptomatic, did not exhibit jaundice or a clinically significant elevation of bilirubin and did not meet </w:t>
      </w:r>
      <w:proofErr w:type="spellStart"/>
      <w:r w:rsidR="009E589E" w:rsidRPr="009E589E">
        <w:rPr>
          <w:rFonts w:ascii="Cambria" w:hAnsi="Cambria"/>
          <w:bCs/>
          <w:szCs w:val="24"/>
        </w:rPr>
        <w:t>Hy’s</w:t>
      </w:r>
      <w:proofErr w:type="spellEnd"/>
      <w:r w:rsidR="009E589E" w:rsidRPr="009E589E">
        <w:rPr>
          <w:rFonts w:ascii="Cambria" w:hAnsi="Cambria"/>
          <w:bCs/>
          <w:szCs w:val="24"/>
        </w:rPr>
        <w:t xml:space="preserve"> Law criteria.</w:t>
      </w:r>
    </w:p>
    <w:p w14:paraId="2F03A2B4" w14:textId="39C856C2" w:rsidR="0049133F" w:rsidRDefault="0049133F" w:rsidP="006D7674">
      <w:pPr>
        <w:pStyle w:val="C-BodyText"/>
        <w:rPr>
          <w:rFonts w:ascii="Cambria" w:hAnsi="Cambria"/>
          <w:bCs/>
          <w:szCs w:val="24"/>
        </w:rPr>
      </w:pPr>
      <w:r w:rsidRPr="0049133F">
        <w:rPr>
          <w:rFonts w:ascii="Cambria" w:hAnsi="Cambria"/>
          <w:bCs/>
          <w:szCs w:val="24"/>
        </w:rPr>
        <w:t>Systemic immune response, including immune-mediated hepatotoxicity, has been reported in</w:t>
      </w:r>
      <w:r>
        <w:rPr>
          <w:rFonts w:ascii="Cambria" w:hAnsi="Cambria"/>
          <w:bCs/>
          <w:szCs w:val="24"/>
        </w:rPr>
        <w:t xml:space="preserve"> </w:t>
      </w:r>
      <w:r w:rsidRPr="0049133F">
        <w:rPr>
          <w:rFonts w:ascii="Cambria" w:hAnsi="Cambria"/>
          <w:bCs/>
          <w:szCs w:val="24"/>
        </w:rPr>
        <w:t xml:space="preserve">the </w:t>
      </w:r>
      <w:r w:rsidRPr="00AE427E">
        <w:rPr>
          <w:rFonts w:ascii="Cambria" w:hAnsi="Cambria"/>
          <w:szCs w:val="24"/>
        </w:rPr>
        <w:t>ZOLGENSMA</w:t>
      </w:r>
      <w:r w:rsidRPr="0049133F">
        <w:rPr>
          <w:rFonts w:ascii="Cambria" w:hAnsi="Cambria"/>
          <w:bCs/>
          <w:szCs w:val="24"/>
        </w:rPr>
        <w:t xml:space="preserve"> clinical program and may require adjustment of corticosteroid treatment regimen</w:t>
      </w:r>
      <w:r>
        <w:rPr>
          <w:rFonts w:ascii="Cambria" w:hAnsi="Cambria"/>
          <w:bCs/>
          <w:szCs w:val="24"/>
        </w:rPr>
        <w:t xml:space="preserve"> </w:t>
      </w:r>
      <w:r w:rsidRPr="0049133F">
        <w:rPr>
          <w:rFonts w:ascii="Cambria" w:hAnsi="Cambria"/>
          <w:bCs/>
          <w:szCs w:val="24"/>
        </w:rPr>
        <w:t>including longer prednisolone support or increased dose (</w:t>
      </w:r>
      <w:r w:rsidRPr="00192883">
        <w:rPr>
          <w:rFonts w:ascii="Cambria" w:hAnsi="Cambria"/>
          <w:bCs/>
          <w:szCs w:val="24"/>
        </w:rPr>
        <w:t xml:space="preserve">see </w:t>
      </w:r>
      <w:r w:rsidRPr="0049133F">
        <w:rPr>
          <w:rFonts w:ascii="Cambria" w:hAnsi="Cambria"/>
          <w:bCs/>
          <w:szCs w:val="24"/>
        </w:rPr>
        <w:t>4</w:t>
      </w:r>
      <w:r>
        <w:rPr>
          <w:rFonts w:ascii="Cambria" w:hAnsi="Cambria"/>
          <w:bCs/>
          <w:szCs w:val="24"/>
        </w:rPr>
        <w:t>.2</w:t>
      </w:r>
      <w:r w:rsidRPr="0049133F">
        <w:rPr>
          <w:rFonts w:ascii="Cambria" w:hAnsi="Cambria"/>
          <w:bCs/>
          <w:szCs w:val="24"/>
        </w:rPr>
        <w:t xml:space="preserve"> Dosage and</w:t>
      </w:r>
      <w:r>
        <w:rPr>
          <w:rFonts w:ascii="Cambria" w:hAnsi="Cambria"/>
          <w:bCs/>
          <w:szCs w:val="24"/>
        </w:rPr>
        <w:t xml:space="preserve"> </w:t>
      </w:r>
      <w:r w:rsidR="00192883">
        <w:rPr>
          <w:rFonts w:ascii="Cambria" w:hAnsi="Cambria"/>
          <w:bCs/>
          <w:szCs w:val="24"/>
        </w:rPr>
        <w:t xml:space="preserve">method of </w:t>
      </w:r>
      <w:r w:rsidRPr="0049133F">
        <w:rPr>
          <w:rFonts w:ascii="Cambria" w:hAnsi="Cambria"/>
          <w:bCs/>
          <w:szCs w:val="24"/>
        </w:rPr>
        <w:t>administration).</w:t>
      </w:r>
    </w:p>
    <w:p w14:paraId="4E50E7C5" w14:textId="6309255C" w:rsidR="0049133F" w:rsidRDefault="0049133F" w:rsidP="006D7674">
      <w:pPr>
        <w:pStyle w:val="C-BodyText"/>
        <w:rPr>
          <w:rFonts w:ascii="Cambria" w:hAnsi="Cambria"/>
          <w:bCs/>
          <w:szCs w:val="24"/>
        </w:rPr>
      </w:pPr>
      <w:r w:rsidRPr="0049133F">
        <w:rPr>
          <w:rFonts w:ascii="Cambria" w:hAnsi="Cambria"/>
          <w:bCs/>
          <w:szCs w:val="24"/>
        </w:rPr>
        <w:t>Patients with pre-existing liver impairment or acute hepatic viral infection may be at</w:t>
      </w:r>
      <w:r>
        <w:rPr>
          <w:rFonts w:ascii="Cambria" w:hAnsi="Cambria"/>
          <w:bCs/>
          <w:szCs w:val="24"/>
        </w:rPr>
        <w:t xml:space="preserve"> </w:t>
      </w:r>
      <w:r w:rsidRPr="0049133F">
        <w:rPr>
          <w:rFonts w:ascii="Cambria" w:hAnsi="Cambria"/>
          <w:bCs/>
          <w:szCs w:val="24"/>
        </w:rPr>
        <w:t>higher risk of liver injury.</w:t>
      </w:r>
    </w:p>
    <w:p w14:paraId="70EB1814" w14:textId="358B7D28" w:rsidR="003D6187" w:rsidRPr="00AE427E" w:rsidRDefault="003D6187" w:rsidP="006D7674">
      <w:pPr>
        <w:pStyle w:val="C-BodyText"/>
        <w:rPr>
          <w:rFonts w:ascii="Cambria" w:hAnsi="Cambria"/>
          <w:bCs/>
          <w:szCs w:val="24"/>
        </w:rPr>
      </w:pPr>
      <w:r w:rsidRPr="003D6187">
        <w:rPr>
          <w:rFonts w:ascii="Cambria" w:hAnsi="Cambria"/>
          <w:bCs/>
          <w:szCs w:val="24"/>
        </w:rPr>
        <w:t xml:space="preserve">The risks and benefits of infusion with </w:t>
      </w:r>
      <w:r w:rsidRPr="00AE427E">
        <w:rPr>
          <w:rFonts w:ascii="Cambria" w:hAnsi="Cambria"/>
          <w:szCs w:val="24"/>
        </w:rPr>
        <w:t>ZOLGENSMA</w:t>
      </w:r>
      <w:r w:rsidRPr="003D6187">
        <w:rPr>
          <w:rFonts w:ascii="Cambria" w:hAnsi="Cambria"/>
          <w:bCs/>
          <w:szCs w:val="24"/>
        </w:rPr>
        <w:t xml:space="preserve"> should be weighed carefully against</w:t>
      </w:r>
      <w:r>
        <w:rPr>
          <w:rFonts w:ascii="Cambria" w:hAnsi="Cambria"/>
          <w:bCs/>
          <w:szCs w:val="24"/>
        </w:rPr>
        <w:t xml:space="preserve"> </w:t>
      </w:r>
      <w:r w:rsidRPr="003D6187">
        <w:rPr>
          <w:rFonts w:ascii="Cambria" w:hAnsi="Cambria"/>
          <w:bCs/>
          <w:szCs w:val="24"/>
        </w:rPr>
        <w:t>the risks of not treating the patient.</w:t>
      </w:r>
    </w:p>
    <w:p w14:paraId="1813D3DA" w14:textId="2D20DC7B" w:rsidR="00192883" w:rsidRDefault="00AE427E" w:rsidP="006D7674">
      <w:pPr>
        <w:pStyle w:val="C-BodyText"/>
        <w:rPr>
          <w:rFonts w:ascii="Cambria" w:hAnsi="Cambria"/>
          <w:szCs w:val="24"/>
        </w:rPr>
      </w:pPr>
      <w:r w:rsidRPr="00AE427E">
        <w:rPr>
          <w:rFonts w:ascii="Cambria" w:hAnsi="Cambria"/>
          <w:szCs w:val="24"/>
        </w:rPr>
        <w:t xml:space="preserve">Prior to ZOLGENSMA infusion, assess liver function by clinical examination and laboratory testing (hepatic aminotransferases [AST and ALT], total bilirubin level, and prothrombin time). </w:t>
      </w:r>
      <w:r>
        <w:rPr>
          <w:rFonts w:ascii="Cambria" w:hAnsi="Cambria"/>
          <w:szCs w:val="24"/>
        </w:rPr>
        <w:t xml:space="preserve"> </w:t>
      </w:r>
      <w:r w:rsidRPr="00AE427E">
        <w:rPr>
          <w:rFonts w:ascii="Cambria" w:hAnsi="Cambria"/>
          <w:szCs w:val="24"/>
        </w:rPr>
        <w:t xml:space="preserve">Continue to monitor liver function for at least 3 months after ZOLGENSMA infusion (weekly for the first month, and then every other week for the second and third months, until results are unremarkable). </w:t>
      </w:r>
      <w:r>
        <w:rPr>
          <w:rFonts w:ascii="Cambria" w:hAnsi="Cambria"/>
          <w:szCs w:val="24"/>
        </w:rPr>
        <w:t xml:space="preserve"> </w:t>
      </w:r>
      <w:r w:rsidR="00B554A2">
        <w:rPr>
          <w:rFonts w:ascii="Cambria" w:hAnsi="Cambria"/>
          <w:szCs w:val="24"/>
        </w:rPr>
        <w:t xml:space="preserve">In order to mitigate potential </w:t>
      </w:r>
      <w:r w:rsidR="00192883" w:rsidRPr="00192883">
        <w:rPr>
          <w:rFonts w:ascii="Cambria" w:hAnsi="Cambria"/>
          <w:szCs w:val="24"/>
        </w:rPr>
        <w:t>liver function abnor</w:t>
      </w:r>
      <w:r w:rsidR="00192883">
        <w:rPr>
          <w:rFonts w:ascii="Cambria" w:hAnsi="Cambria"/>
          <w:szCs w:val="24"/>
        </w:rPr>
        <w:t>malities, a</w:t>
      </w:r>
      <w:r w:rsidRPr="00AE427E">
        <w:rPr>
          <w:rFonts w:ascii="Cambria" w:hAnsi="Cambria"/>
          <w:szCs w:val="24"/>
        </w:rPr>
        <w:t>dminister systemic corticosteroid before and after ZOLGENSMA infusion</w:t>
      </w:r>
      <w:r w:rsidR="00002556">
        <w:rPr>
          <w:rFonts w:ascii="Cambria" w:hAnsi="Cambria"/>
          <w:szCs w:val="24"/>
        </w:rPr>
        <w:t>.</w:t>
      </w:r>
      <w:r w:rsidR="00B554A2">
        <w:rPr>
          <w:rFonts w:ascii="Cambria" w:hAnsi="Cambria"/>
          <w:szCs w:val="24"/>
        </w:rPr>
        <w:t xml:space="preserve"> </w:t>
      </w:r>
      <w:r w:rsidR="00192883">
        <w:rPr>
          <w:rFonts w:ascii="Cambria" w:hAnsi="Cambria"/>
          <w:szCs w:val="24"/>
        </w:rPr>
        <w:t xml:space="preserve">Tapering of prednisolone should not be considered until AST/ALT are less than 2 times ULN </w:t>
      </w:r>
      <w:r w:rsidR="00B554A2" w:rsidRPr="00B554A2">
        <w:rPr>
          <w:rFonts w:ascii="Cambria" w:hAnsi="Cambria"/>
          <w:szCs w:val="24"/>
        </w:rPr>
        <w:t>and all other assessments return to normal range</w:t>
      </w:r>
      <w:r w:rsidR="003D6187">
        <w:rPr>
          <w:rFonts w:ascii="Cambria" w:hAnsi="Cambria"/>
          <w:szCs w:val="24"/>
        </w:rPr>
        <w:t xml:space="preserve"> (</w:t>
      </w:r>
      <w:r w:rsidR="00192883">
        <w:rPr>
          <w:rFonts w:ascii="Cambria" w:hAnsi="Cambria"/>
          <w:szCs w:val="24"/>
        </w:rPr>
        <w:t>See 4.2 Dosage and method of administration</w:t>
      </w:r>
      <w:r w:rsidR="003D6187">
        <w:rPr>
          <w:rFonts w:ascii="Cambria" w:hAnsi="Cambria"/>
          <w:szCs w:val="24"/>
        </w:rPr>
        <w:t>)</w:t>
      </w:r>
      <w:r w:rsidR="00192883">
        <w:rPr>
          <w:rFonts w:ascii="Cambria" w:hAnsi="Cambria"/>
          <w:szCs w:val="24"/>
        </w:rPr>
        <w:t>.</w:t>
      </w:r>
    </w:p>
    <w:p w14:paraId="5DCCC9A6" w14:textId="77777777" w:rsidR="00ED7095" w:rsidRPr="002B134B" w:rsidRDefault="00ED7095" w:rsidP="006D7674">
      <w:pPr>
        <w:pStyle w:val="Heading3"/>
      </w:pPr>
      <w:r w:rsidRPr="002B134B">
        <w:t>Systemic immune response</w:t>
      </w:r>
    </w:p>
    <w:p w14:paraId="04339443" w14:textId="3F7BF7A7" w:rsidR="00ED7095" w:rsidRDefault="00ED7095" w:rsidP="006D7674">
      <w:pPr>
        <w:pStyle w:val="C-BodyText"/>
        <w:rPr>
          <w:rFonts w:ascii="Cambria" w:hAnsi="Cambria"/>
          <w:szCs w:val="24"/>
        </w:rPr>
      </w:pPr>
      <w:r w:rsidRPr="00ED7095">
        <w:rPr>
          <w:rFonts w:ascii="Cambria" w:hAnsi="Cambria"/>
          <w:szCs w:val="24"/>
        </w:rPr>
        <w:t>Concurrent respiratory infection could increase the risk of serious systemic immune response.</w:t>
      </w:r>
      <w:r>
        <w:rPr>
          <w:rFonts w:ascii="Cambria" w:hAnsi="Cambria"/>
          <w:szCs w:val="24"/>
        </w:rPr>
        <w:t xml:space="preserve"> </w:t>
      </w:r>
      <w:r w:rsidRPr="00ED7095">
        <w:rPr>
          <w:rFonts w:ascii="Cambria" w:hAnsi="Cambria"/>
          <w:szCs w:val="24"/>
        </w:rPr>
        <w:t>Increased vigilance in the diagnosis and active management of viral respiratory infection is</w:t>
      </w:r>
      <w:r>
        <w:rPr>
          <w:rFonts w:ascii="Cambria" w:hAnsi="Cambria"/>
          <w:szCs w:val="24"/>
        </w:rPr>
        <w:t xml:space="preserve"> </w:t>
      </w:r>
      <w:r w:rsidRPr="00ED7095">
        <w:rPr>
          <w:rFonts w:ascii="Cambria" w:hAnsi="Cambria"/>
          <w:szCs w:val="24"/>
        </w:rPr>
        <w:t>recommended. In instances where clinical signs or symptoms of respiratory viral infection are</w:t>
      </w:r>
      <w:r>
        <w:rPr>
          <w:rFonts w:ascii="Cambria" w:hAnsi="Cambria"/>
          <w:szCs w:val="24"/>
        </w:rPr>
        <w:t xml:space="preserve"> </w:t>
      </w:r>
      <w:r w:rsidRPr="00ED7095">
        <w:rPr>
          <w:rFonts w:ascii="Cambria" w:hAnsi="Cambria"/>
          <w:szCs w:val="24"/>
        </w:rPr>
        <w:t xml:space="preserve">not evident at the time of </w:t>
      </w:r>
      <w:r w:rsidRPr="00AE427E">
        <w:rPr>
          <w:rFonts w:ascii="Cambria" w:hAnsi="Cambria"/>
          <w:szCs w:val="24"/>
        </w:rPr>
        <w:t>ZOLGENSMA</w:t>
      </w:r>
      <w:r w:rsidRPr="00ED7095">
        <w:rPr>
          <w:rFonts w:ascii="Cambria" w:hAnsi="Cambria"/>
          <w:szCs w:val="24"/>
        </w:rPr>
        <w:t xml:space="preserve"> administration, the treating physician should be aware of</w:t>
      </w:r>
      <w:r>
        <w:rPr>
          <w:rFonts w:ascii="Cambria" w:hAnsi="Cambria"/>
          <w:szCs w:val="24"/>
        </w:rPr>
        <w:t xml:space="preserve"> </w:t>
      </w:r>
      <w:r w:rsidRPr="00ED7095">
        <w:rPr>
          <w:rFonts w:ascii="Cambria" w:hAnsi="Cambria"/>
          <w:szCs w:val="24"/>
        </w:rPr>
        <w:t>the possibility of adrenal insufficiency in the presence of systemic immune response which may</w:t>
      </w:r>
      <w:r>
        <w:rPr>
          <w:rFonts w:ascii="Cambria" w:hAnsi="Cambria"/>
          <w:szCs w:val="24"/>
        </w:rPr>
        <w:t xml:space="preserve"> </w:t>
      </w:r>
      <w:r w:rsidRPr="00ED7095">
        <w:rPr>
          <w:rFonts w:ascii="Cambria" w:hAnsi="Cambria"/>
          <w:szCs w:val="24"/>
        </w:rPr>
        <w:t>require longer prednisolone support at increasing doses to effectively manage the patient and</w:t>
      </w:r>
      <w:r>
        <w:rPr>
          <w:rFonts w:ascii="Cambria" w:hAnsi="Cambria"/>
          <w:szCs w:val="24"/>
        </w:rPr>
        <w:t xml:space="preserve"> </w:t>
      </w:r>
      <w:r w:rsidRPr="00ED7095">
        <w:rPr>
          <w:rFonts w:ascii="Cambria" w:hAnsi="Cambria"/>
          <w:szCs w:val="24"/>
        </w:rPr>
        <w:t>prevent serious complications. Seasonal prophylaxis against respiratory syncytial virus (RSV)</w:t>
      </w:r>
      <w:r>
        <w:rPr>
          <w:rFonts w:ascii="Cambria" w:hAnsi="Cambria"/>
          <w:szCs w:val="24"/>
        </w:rPr>
        <w:t xml:space="preserve"> </w:t>
      </w:r>
      <w:r w:rsidRPr="00ED7095">
        <w:rPr>
          <w:rFonts w:ascii="Cambria" w:hAnsi="Cambria"/>
          <w:szCs w:val="24"/>
        </w:rPr>
        <w:t>is recommended and should be up-to-date. Added caution is advised regarding the timing of</w:t>
      </w:r>
      <w:r>
        <w:rPr>
          <w:rFonts w:ascii="Cambria" w:hAnsi="Cambria"/>
          <w:szCs w:val="24"/>
        </w:rPr>
        <w:t xml:space="preserve"> </w:t>
      </w:r>
      <w:r w:rsidRPr="00AE427E">
        <w:rPr>
          <w:rFonts w:ascii="Cambria" w:hAnsi="Cambria"/>
          <w:szCs w:val="24"/>
        </w:rPr>
        <w:t>ZOLGENSMA</w:t>
      </w:r>
      <w:r w:rsidRPr="00ED7095">
        <w:rPr>
          <w:rFonts w:ascii="Cambria" w:hAnsi="Cambria"/>
          <w:szCs w:val="24"/>
        </w:rPr>
        <w:t xml:space="preserve"> dosing in the presence of </w:t>
      </w:r>
      <w:proofErr w:type="spellStart"/>
      <w:r w:rsidRPr="00ED7095">
        <w:rPr>
          <w:rFonts w:ascii="Cambria" w:hAnsi="Cambria"/>
          <w:szCs w:val="24"/>
        </w:rPr>
        <w:t>prodrome</w:t>
      </w:r>
      <w:proofErr w:type="spellEnd"/>
      <w:r w:rsidRPr="00ED7095">
        <w:rPr>
          <w:rFonts w:ascii="Cambria" w:hAnsi="Cambria"/>
          <w:szCs w:val="24"/>
        </w:rPr>
        <w:t xml:space="preserve"> or resolving viral illness.</w:t>
      </w:r>
    </w:p>
    <w:p w14:paraId="5B8BFDE7" w14:textId="77777777" w:rsidR="00ED7095" w:rsidRPr="002B134B" w:rsidRDefault="00ED7095" w:rsidP="006D7674">
      <w:pPr>
        <w:pStyle w:val="Heading3"/>
      </w:pPr>
      <w:r w:rsidRPr="002B134B">
        <w:t>Immunogenicity</w:t>
      </w:r>
    </w:p>
    <w:p w14:paraId="11D8A879" w14:textId="78BB2ECA" w:rsidR="00ED7095" w:rsidRPr="00AE427E" w:rsidRDefault="00ED7095" w:rsidP="006D7674">
      <w:pPr>
        <w:pStyle w:val="C-BodyText"/>
        <w:rPr>
          <w:rFonts w:ascii="Cambria" w:hAnsi="Cambria"/>
          <w:szCs w:val="24"/>
        </w:rPr>
      </w:pPr>
      <w:r w:rsidRPr="00ED7095">
        <w:rPr>
          <w:rFonts w:ascii="Cambria" w:hAnsi="Cambria"/>
          <w:szCs w:val="24"/>
        </w:rPr>
        <w:t xml:space="preserve">In </w:t>
      </w:r>
      <w:r w:rsidRPr="00AE427E">
        <w:rPr>
          <w:rFonts w:ascii="Cambria" w:hAnsi="Cambria"/>
          <w:szCs w:val="24"/>
        </w:rPr>
        <w:t>ZOLGENSMA</w:t>
      </w:r>
      <w:r w:rsidRPr="00ED7095">
        <w:rPr>
          <w:rFonts w:ascii="Cambria" w:hAnsi="Cambria"/>
          <w:szCs w:val="24"/>
        </w:rPr>
        <w:t xml:space="preserve"> clinical trials, confirmation of AAV9 antibody </w:t>
      </w:r>
      <w:proofErr w:type="spellStart"/>
      <w:r w:rsidRPr="00ED7095">
        <w:rPr>
          <w:rFonts w:ascii="Cambria" w:hAnsi="Cambria"/>
          <w:szCs w:val="24"/>
        </w:rPr>
        <w:t>tit</w:t>
      </w:r>
      <w:r w:rsidR="002B5A16">
        <w:rPr>
          <w:rFonts w:ascii="Cambria" w:hAnsi="Cambria"/>
          <w:szCs w:val="24"/>
        </w:rPr>
        <w:t>re</w:t>
      </w:r>
      <w:r w:rsidRPr="00ED7095">
        <w:rPr>
          <w:rFonts w:ascii="Cambria" w:hAnsi="Cambria"/>
          <w:szCs w:val="24"/>
        </w:rPr>
        <w:t>s</w:t>
      </w:r>
      <w:proofErr w:type="spellEnd"/>
      <w:r w:rsidRPr="00ED7095">
        <w:rPr>
          <w:rFonts w:ascii="Cambria" w:hAnsi="Cambria"/>
          <w:szCs w:val="24"/>
        </w:rPr>
        <w:t xml:space="preserve"> at or below 1:50 was</w:t>
      </w:r>
      <w:r>
        <w:rPr>
          <w:rFonts w:ascii="Cambria" w:hAnsi="Cambria"/>
          <w:szCs w:val="24"/>
        </w:rPr>
        <w:t xml:space="preserve"> </w:t>
      </w:r>
      <w:r w:rsidRPr="00ED7095">
        <w:rPr>
          <w:rFonts w:ascii="Cambria" w:hAnsi="Cambria"/>
          <w:szCs w:val="24"/>
        </w:rPr>
        <w:t xml:space="preserve">required prior to infusion. It has not been established whether infusion of </w:t>
      </w:r>
      <w:r w:rsidRPr="00AE427E">
        <w:rPr>
          <w:rFonts w:ascii="Cambria" w:hAnsi="Cambria"/>
          <w:szCs w:val="24"/>
        </w:rPr>
        <w:t>ZOLGENSMA</w:t>
      </w:r>
      <w:r w:rsidRPr="00ED7095">
        <w:rPr>
          <w:rFonts w:ascii="Cambria" w:hAnsi="Cambria"/>
          <w:szCs w:val="24"/>
        </w:rPr>
        <w:t xml:space="preserve"> may</w:t>
      </w:r>
      <w:r>
        <w:rPr>
          <w:rFonts w:ascii="Cambria" w:hAnsi="Cambria"/>
          <w:szCs w:val="24"/>
        </w:rPr>
        <w:t xml:space="preserve"> </w:t>
      </w:r>
      <w:r w:rsidRPr="00ED7095">
        <w:rPr>
          <w:rFonts w:ascii="Cambria" w:hAnsi="Cambria"/>
          <w:szCs w:val="24"/>
        </w:rPr>
        <w:t>represent a risk for an immune response for patients with pre-existing AAV9 antibodies at</w:t>
      </w:r>
      <w:r>
        <w:rPr>
          <w:rFonts w:ascii="Cambria" w:hAnsi="Cambria"/>
          <w:szCs w:val="24"/>
        </w:rPr>
        <w:t xml:space="preserve"> </w:t>
      </w:r>
      <w:r w:rsidRPr="00ED7095">
        <w:rPr>
          <w:rFonts w:ascii="Cambria" w:hAnsi="Cambria"/>
          <w:szCs w:val="24"/>
        </w:rPr>
        <w:t xml:space="preserve">higher </w:t>
      </w:r>
      <w:proofErr w:type="spellStart"/>
      <w:r w:rsidRPr="00ED7095">
        <w:rPr>
          <w:rFonts w:ascii="Cambria" w:hAnsi="Cambria"/>
          <w:szCs w:val="24"/>
        </w:rPr>
        <w:t>titr</w:t>
      </w:r>
      <w:r w:rsidR="002B5A16">
        <w:rPr>
          <w:rFonts w:ascii="Cambria" w:hAnsi="Cambria"/>
          <w:szCs w:val="24"/>
        </w:rPr>
        <w:t>e</w:t>
      </w:r>
      <w:r w:rsidRPr="00ED7095">
        <w:rPr>
          <w:rFonts w:ascii="Cambria" w:hAnsi="Cambria"/>
          <w:szCs w:val="24"/>
        </w:rPr>
        <w:t>s</w:t>
      </w:r>
      <w:proofErr w:type="spellEnd"/>
      <w:r w:rsidRPr="00ED7095">
        <w:rPr>
          <w:rFonts w:ascii="Cambria" w:hAnsi="Cambria"/>
          <w:szCs w:val="24"/>
        </w:rPr>
        <w:t xml:space="preserve">. The safety and efficacy of </w:t>
      </w:r>
      <w:r w:rsidRPr="00AE427E">
        <w:rPr>
          <w:rFonts w:ascii="Cambria" w:hAnsi="Cambria"/>
          <w:szCs w:val="24"/>
        </w:rPr>
        <w:t>ZOLGENSMA</w:t>
      </w:r>
      <w:r w:rsidRPr="00ED7095">
        <w:rPr>
          <w:rFonts w:ascii="Cambria" w:hAnsi="Cambria"/>
          <w:szCs w:val="24"/>
        </w:rPr>
        <w:t xml:space="preserve"> has not been established in patients with</w:t>
      </w:r>
      <w:r>
        <w:rPr>
          <w:rFonts w:ascii="Cambria" w:hAnsi="Cambria"/>
          <w:szCs w:val="24"/>
        </w:rPr>
        <w:t xml:space="preserve"> </w:t>
      </w:r>
      <w:r w:rsidRPr="00ED7095">
        <w:rPr>
          <w:rFonts w:ascii="Cambria" w:hAnsi="Cambria"/>
          <w:szCs w:val="24"/>
        </w:rPr>
        <w:t xml:space="preserve">baseline AAV9-antibody </w:t>
      </w:r>
      <w:proofErr w:type="spellStart"/>
      <w:r w:rsidRPr="00ED7095">
        <w:rPr>
          <w:rFonts w:ascii="Cambria" w:hAnsi="Cambria"/>
          <w:szCs w:val="24"/>
        </w:rPr>
        <w:t>titr</w:t>
      </w:r>
      <w:r w:rsidR="002B5A16">
        <w:rPr>
          <w:rFonts w:ascii="Cambria" w:hAnsi="Cambria"/>
          <w:szCs w:val="24"/>
        </w:rPr>
        <w:t>e</w:t>
      </w:r>
      <w:r w:rsidRPr="00ED7095">
        <w:rPr>
          <w:rFonts w:ascii="Cambria" w:hAnsi="Cambria"/>
          <w:szCs w:val="24"/>
        </w:rPr>
        <w:t>s</w:t>
      </w:r>
      <w:proofErr w:type="spellEnd"/>
      <w:r w:rsidRPr="00ED7095">
        <w:rPr>
          <w:rFonts w:ascii="Cambria" w:hAnsi="Cambria"/>
          <w:szCs w:val="24"/>
        </w:rPr>
        <w:t xml:space="preserve"> above 1:50. Patients should be tested for the presence of AAV9</w:t>
      </w:r>
      <w:r>
        <w:rPr>
          <w:rFonts w:ascii="Cambria" w:hAnsi="Cambria"/>
          <w:szCs w:val="24"/>
        </w:rPr>
        <w:t xml:space="preserve"> </w:t>
      </w:r>
      <w:r w:rsidRPr="00ED7095">
        <w:rPr>
          <w:rFonts w:ascii="Cambria" w:hAnsi="Cambria"/>
          <w:szCs w:val="24"/>
        </w:rPr>
        <w:t xml:space="preserve">antibodies prior to infusion with </w:t>
      </w:r>
      <w:r w:rsidRPr="00AE427E">
        <w:rPr>
          <w:rFonts w:ascii="Cambria" w:hAnsi="Cambria"/>
          <w:szCs w:val="24"/>
        </w:rPr>
        <w:t>ZOLGENSMA</w:t>
      </w:r>
      <w:r w:rsidRPr="00ED7095">
        <w:rPr>
          <w:rFonts w:ascii="Cambria" w:hAnsi="Cambria"/>
          <w:szCs w:val="24"/>
        </w:rPr>
        <w:t>. Retesting may be performed if AAV9 antibody</w:t>
      </w:r>
      <w:r>
        <w:rPr>
          <w:rFonts w:ascii="Cambria" w:hAnsi="Cambria"/>
          <w:szCs w:val="24"/>
        </w:rPr>
        <w:t xml:space="preserve"> </w:t>
      </w:r>
      <w:proofErr w:type="spellStart"/>
      <w:r w:rsidR="002B5A16">
        <w:rPr>
          <w:rFonts w:ascii="Cambria" w:hAnsi="Cambria"/>
          <w:szCs w:val="24"/>
        </w:rPr>
        <w:t>tit</w:t>
      </w:r>
      <w:r w:rsidRPr="00ED7095">
        <w:rPr>
          <w:rFonts w:ascii="Cambria" w:hAnsi="Cambria"/>
          <w:szCs w:val="24"/>
        </w:rPr>
        <w:t>r</w:t>
      </w:r>
      <w:r w:rsidR="002B5A16">
        <w:rPr>
          <w:rFonts w:ascii="Cambria" w:hAnsi="Cambria"/>
          <w:szCs w:val="24"/>
        </w:rPr>
        <w:t>e</w:t>
      </w:r>
      <w:r w:rsidRPr="00ED7095">
        <w:rPr>
          <w:rFonts w:ascii="Cambria" w:hAnsi="Cambria"/>
          <w:szCs w:val="24"/>
        </w:rPr>
        <w:t>s</w:t>
      </w:r>
      <w:proofErr w:type="spellEnd"/>
      <w:r w:rsidRPr="00ED7095">
        <w:rPr>
          <w:rFonts w:ascii="Cambria" w:hAnsi="Cambria"/>
          <w:szCs w:val="24"/>
        </w:rPr>
        <w:t xml:space="preserve"> are reported as above 1:50. An immune response to the adeno-associated viral vector</w:t>
      </w:r>
      <w:r>
        <w:rPr>
          <w:rFonts w:ascii="Cambria" w:hAnsi="Cambria"/>
          <w:szCs w:val="24"/>
        </w:rPr>
        <w:t xml:space="preserve"> </w:t>
      </w:r>
      <w:r w:rsidRPr="00ED7095">
        <w:rPr>
          <w:rFonts w:ascii="Cambria" w:hAnsi="Cambria"/>
          <w:szCs w:val="24"/>
        </w:rPr>
        <w:t xml:space="preserve">serotype 9 (AAV9) capsid will occur after infusion of </w:t>
      </w:r>
      <w:r w:rsidRPr="00AE427E">
        <w:rPr>
          <w:rFonts w:ascii="Cambria" w:hAnsi="Cambria"/>
          <w:szCs w:val="24"/>
        </w:rPr>
        <w:t>ZOLGENSMA</w:t>
      </w:r>
      <w:r w:rsidRPr="00ED7095">
        <w:rPr>
          <w:rFonts w:ascii="Cambria" w:hAnsi="Cambria"/>
          <w:szCs w:val="24"/>
        </w:rPr>
        <w:t>.</w:t>
      </w:r>
    </w:p>
    <w:p w14:paraId="01B289C7" w14:textId="15B343CE" w:rsidR="00AE427E" w:rsidRPr="002B134B" w:rsidRDefault="00AE427E" w:rsidP="006D7674">
      <w:pPr>
        <w:pStyle w:val="Heading3"/>
      </w:pPr>
      <w:bookmarkStart w:id="13" w:name="_Toc9425443"/>
      <w:bookmarkStart w:id="14" w:name="Thrombocytopenia"/>
      <w:r w:rsidRPr="002B134B">
        <w:t>Thrombocytopenia</w:t>
      </w:r>
      <w:bookmarkEnd w:id="13"/>
      <w:bookmarkEnd w:id="14"/>
    </w:p>
    <w:p w14:paraId="395C5363" w14:textId="36B67D3B" w:rsidR="00AE427E" w:rsidRDefault="00AE427E" w:rsidP="006D7674">
      <w:pPr>
        <w:pStyle w:val="C-BodyText"/>
        <w:rPr>
          <w:rFonts w:ascii="Cambria" w:hAnsi="Cambria"/>
          <w:bCs/>
          <w:szCs w:val="24"/>
        </w:rPr>
      </w:pPr>
      <w:bookmarkStart w:id="15" w:name="_Hlk7724443"/>
      <w:r w:rsidRPr="00AE427E">
        <w:rPr>
          <w:rFonts w:ascii="Cambria" w:hAnsi="Cambria"/>
          <w:szCs w:val="24"/>
        </w:rPr>
        <w:t xml:space="preserve">Transient decreases in platelet counts, some of which met the criteria for thrombocytopenia, were observed </w:t>
      </w:r>
      <w:r w:rsidR="005F1B4D">
        <w:rPr>
          <w:rFonts w:ascii="Cambria" w:hAnsi="Cambria"/>
          <w:szCs w:val="24"/>
        </w:rPr>
        <w:t xml:space="preserve">on ZOLGENSMA clinical trials </w:t>
      </w:r>
      <w:r w:rsidRPr="00AE427E">
        <w:rPr>
          <w:rFonts w:ascii="Cambria" w:hAnsi="Cambria"/>
          <w:szCs w:val="24"/>
        </w:rPr>
        <w:t>at different time points after ZOLGENSMA infusion</w:t>
      </w:r>
      <w:r w:rsidR="005F1B4D">
        <w:rPr>
          <w:rFonts w:ascii="Cambria" w:hAnsi="Cambria"/>
          <w:szCs w:val="24"/>
        </w:rPr>
        <w:t xml:space="preserve"> (see </w:t>
      </w:r>
      <w:r w:rsidR="005F1B4D" w:rsidRPr="005F1B4D">
        <w:rPr>
          <w:rFonts w:ascii="Cambria" w:hAnsi="Cambria"/>
          <w:szCs w:val="24"/>
        </w:rPr>
        <w:t>4.8 A</w:t>
      </w:r>
      <w:r w:rsidR="005F1B4D">
        <w:rPr>
          <w:rFonts w:ascii="Cambria" w:hAnsi="Cambria"/>
          <w:szCs w:val="24"/>
        </w:rPr>
        <w:t>dverse effects (Undesirable effects</w:t>
      </w:r>
      <w:r w:rsidR="004C4049">
        <w:rPr>
          <w:rFonts w:ascii="Cambria" w:hAnsi="Cambria"/>
          <w:szCs w:val="24"/>
        </w:rPr>
        <w:t>)</w:t>
      </w:r>
      <w:r w:rsidR="005F1B4D">
        <w:rPr>
          <w:rFonts w:ascii="Cambria" w:hAnsi="Cambria"/>
          <w:szCs w:val="24"/>
        </w:rPr>
        <w:t>)</w:t>
      </w:r>
      <w:r w:rsidRPr="00AE427E">
        <w:rPr>
          <w:rFonts w:ascii="Cambria" w:hAnsi="Cambria"/>
          <w:szCs w:val="24"/>
        </w:rPr>
        <w:t xml:space="preserve">. </w:t>
      </w:r>
      <w:bookmarkEnd w:id="15"/>
      <w:r>
        <w:rPr>
          <w:rFonts w:ascii="Cambria" w:hAnsi="Cambria"/>
          <w:szCs w:val="24"/>
        </w:rPr>
        <w:t xml:space="preserve"> </w:t>
      </w:r>
      <w:r w:rsidR="005F1B4D" w:rsidRPr="005F1B4D">
        <w:rPr>
          <w:rFonts w:ascii="Cambria" w:hAnsi="Cambria"/>
          <w:szCs w:val="24"/>
        </w:rPr>
        <w:t>In most cases,</w:t>
      </w:r>
      <w:r w:rsidR="005F1B4D">
        <w:rPr>
          <w:rFonts w:ascii="Cambria" w:hAnsi="Cambria"/>
          <w:szCs w:val="24"/>
        </w:rPr>
        <w:t xml:space="preserve"> </w:t>
      </w:r>
      <w:r w:rsidR="005F1B4D" w:rsidRPr="005F1B4D">
        <w:rPr>
          <w:rFonts w:ascii="Cambria" w:hAnsi="Cambria"/>
          <w:szCs w:val="24"/>
        </w:rPr>
        <w:t>the lowest platelet value occurred the first week following Z</w:t>
      </w:r>
      <w:r w:rsidR="005F1B4D">
        <w:rPr>
          <w:rFonts w:ascii="Cambria" w:hAnsi="Cambria"/>
          <w:szCs w:val="24"/>
        </w:rPr>
        <w:t>OLGENSMA</w:t>
      </w:r>
      <w:r w:rsidR="005F1B4D" w:rsidRPr="005F1B4D">
        <w:rPr>
          <w:rFonts w:ascii="Cambria" w:hAnsi="Cambria"/>
          <w:szCs w:val="24"/>
        </w:rPr>
        <w:t xml:space="preserve"> infusion. </w:t>
      </w:r>
      <w:r w:rsidRPr="00AE427E">
        <w:rPr>
          <w:rFonts w:ascii="Cambria" w:hAnsi="Cambria"/>
          <w:szCs w:val="24"/>
        </w:rPr>
        <w:t xml:space="preserve">Monitor platelet counts before ZOLGENSMA infusion and on a regular basis afterwards </w:t>
      </w:r>
      <w:r w:rsidRPr="00AE427E">
        <w:rPr>
          <w:rFonts w:ascii="Cambria" w:hAnsi="Cambria"/>
          <w:bCs/>
          <w:szCs w:val="24"/>
        </w:rPr>
        <w:t xml:space="preserve">(weekly for the first </w:t>
      </w:r>
      <w:r w:rsidRPr="00AE427E">
        <w:rPr>
          <w:rFonts w:ascii="Cambria" w:hAnsi="Cambria"/>
          <w:szCs w:val="24"/>
        </w:rPr>
        <w:t xml:space="preserve">month; every other week for the second and third months </w:t>
      </w:r>
      <w:r w:rsidRPr="00AE427E">
        <w:rPr>
          <w:rFonts w:ascii="Cambria" w:hAnsi="Cambria"/>
          <w:bCs/>
          <w:szCs w:val="24"/>
        </w:rPr>
        <w:t>until pla</w:t>
      </w:r>
      <w:r w:rsidR="000C171E">
        <w:rPr>
          <w:rFonts w:ascii="Cambria" w:hAnsi="Cambria"/>
          <w:bCs/>
          <w:szCs w:val="24"/>
        </w:rPr>
        <w:t xml:space="preserve">telet counts return to baseline.  See </w:t>
      </w:r>
      <w:r w:rsidR="005F1B4D">
        <w:rPr>
          <w:rFonts w:ascii="Cambria" w:hAnsi="Cambria"/>
          <w:bCs/>
          <w:szCs w:val="24"/>
        </w:rPr>
        <w:t xml:space="preserve">4.2 </w:t>
      </w:r>
      <w:r w:rsidR="000C171E">
        <w:rPr>
          <w:rFonts w:ascii="Cambria" w:hAnsi="Cambria"/>
          <w:bCs/>
          <w:szCs w:val="24"/>
        </w:rPr>
        <w:t xml:space="preserve">Dosage and method of administration, </w:t>
      </w:r>
      <w:r w:rsidR="00AF417D">
        <w:rPr>
          <w:rFonts w:ascii="Cambria" w:hAnsi="Cambria"/>
          <w:bCs/>
          <w:szCs w:val="24"/>
        </w:rPr>
        <w:t xml:space="preserve">subheading </w:t>
      </w:r>
      <w:r w:rsidR="000C171E">
        <w:rPr>
          <w:rFonts w:ascii="Cambria" w:hAnsi="Cambria"/>
          <w:bCs/>
          <w:szCs w:val="24"/>
        </w:rPr>
        <w:t>L</w:t>
      </w:r>
      <w:r w:rsidR="000C171E" w:rsidRPr="000C171E">
        <w:rPr>
          <w:rFonts w:ascii="Cambria" w:hAnsi="Cambria"/>
          <w:bCs/>
          <w:szCs w:val="24"/>
        </w:rPr>
        <w:t>aboratory testing and moni</w:t>
      </w:r>
      <w:r w:rsidR="002D0993">
        <w:rPr>
          <w:rFonts w:ascii="Cambria" w:hAnsi="Cambria"/>
          <w:bCs/>
          <w:szCs w:val="24"/>
        </w:rPr>
        <w:t>toring to assess safety.</w:t>
      </w:r>
      <w:r w:rsidR="000C171E" w:rsidRPr="000C171E">
        <w:rPr>
          <w:rFonts w:ascii="Cambria" w:hAnsi="Cambria"/>
          <w:bCs/>
          <w:szCs w:val="24"/>
        </w:rPr>
        <w:t xml:space="preserve"> </w:t>
      </w:r>
    </w:p>
    <w:p w14:paraId="6EEE24A2" w14:textId="77777777" w:rsidR="004C4049" w:rsidRPr="004C4049" w:rsidRDefault="004C4049" w:rsidP="006D7674">
      <w:pPr>
        <w:pStyle w:val="Heading3"/>
      </w:pPr>
      <w:r w:rsidRPr="004C4049">
        <w:t>Thrombotic microangiopathy</w:t>
      </w:r>
    </w:p>
    <w:p w14:paraId="410056A2" w14:textId="31459E11" w:rsidR="004C4049" w:rsidRPr="004C4049" w:rsidRDefault="004C4049" w:rsidP="006D7674">
      <w:pPr>
        <w:pStyle w:val="C-BodyText"/>
        <w:rPr>
          <w:rFonts w:ascii="Cambria" w:hAnsi="Cambria"/>
          <w:szCs w:val="24"/>
        </w:rPr>
      </w:pPr>
      <w:r w:rsidRPr="004C4049">
        <w:rPr>
          <w:rFonts w:ascii="Cambria" w:hAnsi="Cambria"/>
          <w:szCs w:val="24"/>
        </w:rPr>
        <w:t xml:space="preserve">Thrombotic </w:t>
      </w:r>
      <w:proofErr w:type="spellStart"/>
      <w:r w:rsidRPr="004C4049">
        <w:rPr>
          <w:rFonts w:ascii="Cambria" w:hAnsi="Cambria"/>
          <w:szCs w:val="24"/>
        </w:rPr>
        <w:t>microangiopathy</w:t>
      </w:r>
      <w:proofErr w:type="spellEnd"/>
      <w:r w:rsidRPr="004C4049">
        <w:rPr>
          <w:rFonts w:ascii="Cambria" w:hAnsi="Cambria"/>
          <w:szCs w:val="24"/>
        </w:rPr>
        <w:t xml:space="preserve"> (TMA) has been reported with Z</w:t>
      </w:r>
      <w:r>
        <w:rPr>
          <w:rFonts w:ascii="Cambria" w:hAnsi="Cambria"/>
          <w:szCs w:val="24"/>
        </w:rPr>
        <w:t>OLGENSMA</w:t>
      </w:r>
      <w:r w:rsidRPr="004C4049">
        <w:rPr>
          <w:rFonts w:ascii="Cambria" w:hAnsi="Cambria"/>
          <w:szCs w:val="24"/>
        </w:rPr>
        <w:t xml:space="preserve"> in the post-marketing setting (</w:t>
      </w:r>
      <w:r>
        <w:rPr>
          <w:rFonts w:ascii="Cambria" w:hAnsi="Cambria"/>
          <w:szCs w:val="24"/>
        </w:rPr>
        <w:t xml:space="preserve">see </w:t>
      </w:r>
      <w:r w:rsidRPr="005F1B4D">
        <w:rPr>
          <w:rFonts w:ascii="Cambria" w:hAnsi="Cambria"/>
          <w:szCs w:val="24"/>
        </w:rPr>
        <w:t>4.8 A</w:t>
      </w:r>
      <w:r>
        <w:rPr>
          <w:rFonts w:ascii="Cambria" w:hAnsi="Cambria"/>
          <w:szCs w:val="24"/>
        </w:rPr>
        <w:t>dverse effects (Undesirable effects)</w:t>
      </w:r>
      <w:r w:rsidRPr="004C4049">
        <w:rPr>
          <w:rFonts w:ascii="Cambria" w:hAnsi="Cambria"/>
          <w:szCs w:val="24"/>
        </w:rPr>
        <w:t xml:space="preserve">). Thrombotic </w:t>
      </w:r>
      <w:proofErr w:type="spellStart"/>
      <w:r w:rsidRPr="004C4049">
        <w:rPr>
          <w:rFonts w:ascii="Cambria" w:hAnsi="Cambria"/>
          <w:szCs w:val="24"/>
        </w:rPr>
        <w:t>microangiopathy</w:t>
      </w:r>
      <w:proofErr w:type="spellEnd"/>
      <w:r w:rsidRPr="004C4049">
        <w:rPr>
          <w:rFonts w:ascii="Cambria" w:hAnsi="Cambria"/>
          <w:szCs w:val="24"/>
        </w:rPr>
        <w:t xml:space="preserve"> is characterized by thrombocytopenia, </w:t>
      </w:r>
      <w:proofErr w:type="spellStart"/>
      <w:r w:rsidRPr="004C4049">
        <w:rPr>
          <w:rFonts w:ascii="Cambria" w:hAnsi="Cambria"/>
          <w:szCs w:val="24"/>
        </w:rPr>
        <w:t>microangiopathic</w:t>
      </w:r>
      <w:proofErr w:type="spellEnd"/>
      <w:r w:rsidRPr="004C4049">
        <w:rPr>
          <w:rFonts w:ascii="Cambria" w:hAnsi="Cambria"/>
          <w:szCs w:val="24"/>
        </w:rPr>
        <w:t xml:space="preserve"> </w:t>
      </w:r>
      <w:proofErr w:type="spellStart"/>
      <w:r w:rsidRPr="004C4049">
        <w:rPr>
          <w:rFonts w:ascii="Cambria" w:hAnsi="Cambria"/>
          <w:szCs w:val="24"/>
        </w:rPr>
        <w:t>h</w:t>
      </w:r>
      <w:r>
        <w:rPr>
          <w:rFonts w:ascii="Cambria" w:hAnsi="Cambria"/>
          <w:szCs w:val="24"/>
        </w:rPr>
        <w:t>a</w:t>
      </w:r>
      <w:r w:rsidRPr="004C4049">
        <w:rPr>
          <w:rFonts w:ascii="Cambria" w:hAnsi="Cambria"/>
          <w:szCs w:val="24"/>
        </w:rPr>
        <w:t>emolytic</w:t>
      </w:r>
      <w:proofErr w:type="spellEnd"/>
      <w:r w:rsidRPr="004C4049">
        <w:rPr>
          <w:rFonts w:ascii="Cambria" w:hAnsi="Cambria"/>
          <w:szCs w:val="24"/>
        </w:rPr>
        <w:t xml:space="preserve"> </w:t>
      </w:r>
      <w:proofErr w:type="spellStart"/>
      <w:r w:rsidRPr="004C4049">
        <w:rPr>
          <w:rFonts w:ascii="Cambria" w:hAnsi="Cambria"/>
          <w:szCs w:val="24"/>
        </w:rPr>
        <w:t>an</w:t>
      </w:r>
      <w:r>
        <w:rPr>
          <w:rFonts w:ascii="Cambria" w:hAnsi="Cambria"/>
          <w:szCs w:val="24"/>
        </w:rPr>
        <w:t>a</w:t>
      </w:r>
      <w:r w:rsidRPr="004C4049">
        <w:rPr>
          <w:rFonts w:ascii="Cambria" w:hAnsi="Cambria"/>
          <w:szCs w:val="24"/>
        </w:rPr>
        <w:t>emia</w:t>
      </w:r>
      <w:proofErr w:type="spellEnd"/>
      <w:r w:rsidRPr="004C4049">
        <w:rPr>
          <w:rFonts w:ascii="Cambria" w:hAnsi="Cambria"/>
          <w:szCs w:val="24"/>
        </w:rPr>
        <w:t>, and acute kidney injury. Cases have been reported to occur approximately one week after Z</w:t>
      </w:r>
      <w:r>
        <w:rPr>
          <w:rFonts w:ascii="Cambria" w:hAnsi="Cambria"/>
          <w:szCs w:val="24"/>
        </w:rPr>
        <w:t>OLGENS</w:t>
      </w:r>
      <w:r w:rsidR="00605248">
        <w:rPr>
          <w:rFonts w:ascii="Cambria" w:hAnsi="Cambria"/>
          <w:szCs w:val="24"/>
        </w:rPr>
        <w:t>M</w:t>
      </w:r>
      <w:r>
        <w:rPr>
          <w:rFonts w:ascii="Cambria" w:hAnsi="Cambria"/>
          <w:szCs w:val="24"/>
        </w:rPr>
        <w:t>A</w:t>
      </w:r>
      <w:r w:rsidRPr="004C4049">
        <w:rPr>
          <w:rFonts w:ascii="Cambria" w:hAnsi="Cambria"/>
          <w:szCs w:val="24"/>
        </w:rPr>
        <w:t xml:space="preserve"> infusion. Concurrent immune system activation (e.g., infections, vaccinations) was identified as a contributing factor in some cases. </w:t>
      </w:r>
    </w:p>
    <w:p w14:paraId="53230D3E" w14:textId="4739F84A" w:rsidR="004C4049" w:rsidRPr="000C171E" w:rsidRDefault="004C4049" w:rsidP="006D7674">
      <w:pPr>
        <w:pStyle w:val="C-BodyText"/>
        <w:rPr>
          <w:rFonts w:ascii="Cambria" w:hAnsi="Cambria"/>
          <w:szCs w:val="24"/>
        </w:rPr>
      </w:pPr>
      <w:r w:rsidRPr="004C4049">
        <w:rPr>
          <w:rFonts w:ascii="Cambria" w:hAnsi="Cambria"/>
          <w:szCs w:val="24"/>
        </w:rPr>
        <w:t xml:space="preserve">Thrombocytopenia is a key feature of TMA, therefore platelet counts should be monitored (see </w:t>
      </w:r>
      <w:r>
        <w:rPr>
          <w:rFonts w:ascii="Cambria" w:hAnsi="Cambria"/>
          <w:szCs w:val="24"/>
        </w:rPr>
        <w:t>4.4 subheading</w:t>
      </w:r>
      <w:r w:rsidRPr="004C4049">
        <w:rPr>
          <w:rFonts w:ascii="Cambria" w:hAnsi="Cambria"/>
          <w:szCs w:val="24"/>
        </w:rPr>
        <w:t xml:space="preserve"> Thrombocytopenia</w:t>
      </w:r>
      <w:r>
        <w:rPr>
          <w:rFonts w:ascii="Cambria" w:hAnsi="Cambria"/>
          <w:szCs w:val="24"/>
        </w:rPr>
        <w:t xml:space="preserve"> above</w:t>
      </w:r>
      <w:r w:rsidRPr="004C4049">
        <w:rPr>
          <w:rFonts w:ascii="Cambria" w:hAnsi="Cambria"/>
          <w:szCs w:val="24"/>
        </w:rPr>
        <w:t>), as well as signs and symptoms of TMA, such as hypertension, increased bruising, seizures, and decreased urine output. If clinical signs, symptoms or laboratory findings consistent with TMA occur, manage as clinically indicated</w:t>
      </w:r>
      <w:r>
        <w:rPr>
          <w:rFonts w:ascii="Cambria" w:hAnsi="Cambria"/>
          <w:szCs w:val="24"/>
        </w:rPr>
        <w:t>.</w:t>
      </w:r>
    </w:p>
    <w:p w14:paraId="25F7CA5F" w14:textId="4860A7B9" w:rsidR="00AE427E" w:rsidRPr="002B134B" w:rsidRDefault="00AE427E" w:rsidP="006D7674">
      <w:pPr>
        <w:pStyle w:val="Heading3"/>
      </w:pPr>
      <w:bookmarkStart w:id="16" w:name="_Toc9425444"/>
      <w:bookmarkStart w:id="17" w:name="ElevatedTroponin"/>
      <w:r w:rsidRPr="002B134B">
        <w:t>Elevated Troponin</w:t>
      </w:r>
      <w:r w:rsidRPr="002B134B">
        <w:noBreakHyphen/>
        <w:t>I</w:t>
      </w:r>
      <w:bookmarkEnd w:id="16"/>
      <w:bookmarkEnd w:id="17"/>
    </w:p>
    <w:p w14:paraId="2E1B5AFB" w14:textId="39F059E6" w:rsidR="00AE427E" w:rsidRDefault="00B66558" w:rsidP="006D7674">
      <w:pPr>
        <w:pStyle w:val="C-BodyText"/>
        <w:rPr>
          <w:rFonts w:ascii="Cambria" w:hAnsi="Cambria"/>
          <w:bCs/>
          <w:szCs w:val="24"/>
        </w:rPr>
      </w:pPr>
      <w:bookmarkStart w:id="18" w:name="_Hlk7724350"/>
      <w:r>
        <w:rPr>
          <w:rFonts w:ascii="Cambria" w:hAnsi="Cambria"/>
          <w:szCs w:val="24"/>
        </w:rPr>
        <w:t>I</w:t>
      </w:r>
      <w:r w:rsidR="00AE427E" w:rsidRPr="00AE427E">
        <w:rPr>
          <w:rFonts w:ascii="Cambria" w:hAnsi="Cambria"/>
          <w:szCs w:val="24"/>
        </w:rPr>
        <w:t>ncreases in cardiac troponin</w:t>
      </w:r>
      <w:r w:rsidR="00AE427E" w:rsidRPr="00AE427E">
        <w:rPr>
          <w:rFonts w:ascii="Cambria" w:hAnsi="Cambria"/>
          <w:szCs w:val="24"/>
        </w:rPr>
        <w:noBreakHyphen/>
        <w:t>I lev</w:t>
      </w:r>
      <w:r w:rsidR="00AE427E" w:rsidRPr="00AE427E">
        <w:rPr>
          <w:rFonts w:ascii="Cambria" w:hAnsi="Cambria"/>
          <w:color w:val="000000" w:themeColor="text1"/>
          <w:szCs w:val="24"/>
        </w:rPr>
        <w:t>els (</w:t>
      </w:r>
      <w:r w:rsidR="00AE427E" w:rsidRPr="005F221E">
        <w:rPr>
          <w:rFonts w:ascii="Cambria" w:hAnsi="Cambria"/>
          <w:color w:val="000000" w:themeColor="text1"/>
          <w:szCs w:val="24"/>
        </w:rPr>
        <w:t xml:space="preserve">up to 0.176 </w:t>
      </w:r>
      <w:r w:rsidR="00475F30">
        <w:rPr>
          <w:rFonts w:ascii="Cambria" w:hAnsi="Cambria"/>
          <w:color w:val="000000" w:themeColor="text1"/>
          <w:szCs w:val="24"/>
        </w:rPr>
        <w:t>micro</w:t>
      </w:r>
      <w:r w:rsidR="00AE427E" w:rsidRPr="005F221E">
        <w:rPr>
          <w:rFonts w:ascii="Cambria" w:hAnsi="Cambria"/>
          <w:color w:val="000000" w:themeColor="text1"/>
          <w:szCs w:val="24"/>
        </w:rPr>
        <w:t>g</w:t>
      </w:r>
      <w:r w:rsidR="00475F30">
        <w:rPr>
          <w:rFonts w:ascii="Cambria" w:hAnsi="Cambria"/>
          <w:color w:val="000000" w:themeColor="text1"/>
          <w:szCs w:val="24"/>
        </w:rPr>
        <w:t>rams</w:t>
      </w:r>
      <w:r w:rsidR="00AE427E" w:rsidRPr="005F221E">
        <w:rPr>
          <w:rFonts w:ascii="Cambria" w:hAnsi="Cambria"/>
          <w:color w:val="000000" w:themeColor="text1"/>
          <w:szCs w:val="24"/>
        </w:rPr>
        <w:t>/L</w:t>
      </w:r>
      <w:r w:rsidR="00AE427E" w:rsidRPr="00AE427E">
        <w:rPr>
          <w:rFonts w:ascii="Cambria" w:hAnsi="Cambria"/>
          <w:color w:val="000000" w:themeColor="text1"/>
          <w:szCs w:val="24"/>
        </w:rPr>
        <w:t xml:space="preserve">) </w:t>
      </w:r>
      <w:r w:rsidR="00AE427E" w:rsidRPr="00AE427E">
        <w:rPr>
          <w:rFonts w:ascii="Cambria" w:hAnsi="Cambria"/>
          <w:szCs w:val="24"/>
        </w:rPr>
        <w:t>were observed following ZOLGENSMA infusion in clinical trials</w:t>
      </w:r>
      <w:r>
        <w:rPr>
          <w:rFonts w:ascii="Cambria" w:hAnsi="Cambria"/>
          <w:szCs w:val="24"/>
        </w:rPr>
        <w:t xml:space="preserve"> (see </w:t>
      </w:r>
      <w:r w:rsidRPr="005F1B4D">
        <w:rPr>
          <w:rFonts w:ascii="Cambria" w:hAnsi="Cambria"/>
          <w:szCs w:val="24"/>
        </w:rPr>
        <w:t>4.8 A</w:t>
      </w:r>
      <w:r>
        <w:rPr>
          <w:rFonts w:ascii="Cambria" w:hAnsi="Cambria"/>
          <w:szCs w:val="24"/>
        </w:rPr>
        <w:t>dverse effects (Undesirable effects</w:t>
      </w:r>
      <w:r w:rsidR="004C4049">
        <w:rPr>
          <w:rFonts w:ascii="Cambria" w:hAnsi="Cambria"/>
          <w:szCs w:val="24"/>
        </w:rPr>
        <w:t>)</w:t>
      </w:r>
      <w:r>
        <w:rPr>
          <w:rFonts w:ascii="Cambria" w:hAnsi="Cambria"/>
          <w:szCs w:val="24"/>
        </w:rPr>
        <w:t>)</w:t>
      </w:r>
      <w:r w:rsidR="00AE427E" w:rsidRPr="00AE427E">
        <w:rPr>
          <w:rFonts w:ascii="Cambria" w:hAnsi="Cambria"/>
          <w:szCs w:val="24"/>
        </w:rPr>
        <w:t xml:space="preserve">.  </w:t>
      </w:r>
      <w:r w:rsidRPr="00B66558">
        <w:rPr>
          <w:rFonts w:ascii="Cambria" w:hAnsi="Cambria"/>
          <w:szCs w:val="24"/>
        </w:rPr>
        <w:t>Elevated troponin-I levels found in some patients may</w:t>
      </w:r>
      <w:r>
        <w:rPr>
          <w:rFonts w:ascii="Cambria" w:hAnsi="Cambria"/>
          <w:szCs w:val="24"/>
        </w:rPr>
        <w:t xml:space="preserve"> </w:t>
      </w:r>
      <w:r w:rsidRPr="00B66558">
        <w:rPr>
          <w:rFonts w:ascii="Cambria" w:hAnsi="Cambria"/>
          <w:szCs w:val="24"/>
        </w:rPr>
        <w:t>indicate potential myocardial tissue injury</w:t>
      </w:r>
      <w:r w:rsidR="00AE427E" w:rsidRPr="00AE427E">
        <w:rPr>
          <w:rFonts w:ascii="Cambria" w:hAnsi="Cambria"/>
          <w:szCs w:val="24"/>
        </w:rPr>
        <w:t xml:space="preserve">. </w:t>
      </w:r>
      <w:r w:rsidR="00AE427E">
        <w:rPr>
          <w:rFonts w:ascii="Cambria" w:hAnsi="Cambria"/>
          <w:szCs w:val="24"/>
        </w:rPr>
        <w:t xml:space="preserve"> </w:t>
      </w:r>
      <w:r w:rsidRPr="00B66558">
        <w:rPr>
          <w:rFonts w:ascii="Cambria" w:hAnsi="Cambria"/>
          <w:szCs w:val="24"/>
        </w:rPr>
        <w:t>Clinical cardiac findings of concern have not been</w:t>
      </w:r>
      <w:r>
        <w:rPr>
          <w:rFonts w:ascii="Cambria" w:hAnsi="Cambria"/>
          <w:szCs w:val="24"/>
        </w:rPr>
        <w:t xml:space="preserve"> </w:t>
      </w:r>
      <w:r w:rsidRPr="00B66558">
        <w:rPr>
          <w:rFonts w:ascii="Cambria" w:hAnsi="Cambria"/>
          <w:szCs w:val="24"/>
        </w:rPr>
        <w:t>observed following administration of Z</w:t>
      </w:r>
      <w:r w:rsidR="00126D88">
        <w:rPr>
          <w:rFonts w:ascii="Cambria" w:hAnsi="Cambria"/>
          <w:szCs w:val="24"/>
        </w:rPr>
        <w:t>OLGENSMA</w:t>
      </w:r>
      <w:r w:rsidRPr="00B66558">
        <w:rPr>
          <w:rFonts w:ascii="Cambria" w:hAnsi="Cambria"/>
          <w:szCs w:val="24"/>
        </w:rPr>
        <w:t>.</w:t>
      </w:r>
      <w:r>
        <w:rPr>
          <w:rFonts w:ascii="Cambria" w:hAnsi="Cambria"/>
          <w:szCs w:val="24"/>
        </w:rPr>
        <w:t xml:space="preserve"> C</w:t>
      </w:r>
      <w:r w:rsidR="00AE427E" w:rsidRPr="00AE427E">
        <w:rPr>
          <w:rFonts w:ascii="Cambria" w:hAnsi="Cambria"/>
          <w:szCs w:val="24"/>
        </w:rPr>
        <w:t>ardiac toxicity was observed in animal studies</w:t>
      </w:r>
      <w:bookmarkEnd w:id="18"/>
      <w:r w:rsidR="000C171E">
        <w:rPr>
          <w:rFonts w:ascii="Cambria" w:hAnsi="Cambria"/>
          <w:szCs w:val="24"/>
        </w:rPr>
        <w:t xml:space="preserve"> (see 5.4 Preclinical safety data).</w:t>
      </w:r>
      <w:r w:rsidR="00AE427E" w:rsidRPr="00AE427E">
        <w:rPr>
          <w:rFonts w:ascii="Cambria" w:hAnsi="Cambria"/>
          <w:szCs w:val="24"/>
        </w:rPr>
        <w:t xml:space="preserve"> </w:t>
      </w:r>
      <w:r w:rsidR="000C171E">
        <w:rPr>
          <w:rFonts w:ascii="Cambria" w:hAnsi="Cambria"/>
          <w:i/>
          <w:szCs w:val="24"/>
        </w:rPr>
        <w:t xml:space="preserve"> </w:t>
      </w:r>
      <w:r w:rsidR="00AE427E" w:rsidRPr="00AE427E">
        <w:rPr>
          <w:rFonts w:ascii="Cambria" w:hAnsi="Cambria"/>
          <w:szCs w:val="24"/>
        </w:rPr>
        <w:t xml:space="preserve">Monitor troponin-I before ZOLGENSMA infusion and on a regular basis for at least 3 months afterwards </w:t>
      </w:r>
      <w:r w:rsidR="00AE427E" w:rsidRPr="00AE427E">
        <w:rPr>
          <w:rFonts w:ascii="Cambria" w:hAnsi="Cambria"/>
          <w:bCs/>
          <w:szCs w:val="24"/>
        </w:rPr>
        <w:t>(weekly for the first month, and then monthly for the second and third months until tropon</w:t>
      </w:r>
      <w:r w:rsidR="000C171E">
        <w:rPr>
          <w:rFonts w:ascii="Cambria" w:hAnsi="Cambria"/>
          <w:bCs/>
          <w:szCs w:val="24"/>
        </w:rPr>
        <w:t xml:space="preserve">in-I level returns to baseline), see </w:t>
      </w:r>
      <w:r>
        <w:rPr>
          <w:rFonts w:ascii="Cambria" w:hAnsi="Cambria"/>
          <w:bCs/>
          <w:szCs w:val="24"/>
        </w:rPr>
        <w:t xml:space="preserve">4.2 </w:t>
      </w:r>
      <w:r w:rsidR="000C171E">
        <w:rPr>
          <w:rFonts w:ascii="Cambria" w:hAnsi="Cambria"/>
          <w:bCs/>
          <w:szCs w:val="24"/>
        </w:rPr>
        <w:t>Dosage and method of administration,</w:t>
      </w:r>
      <w:r w:rsidR="00AE427E" w:rsidRPr="00AE427E">
        <w:rPr>
          <w:rFonts w:ascii="Cambria" w:hAnsi="Cambria"/>
          <w:bCs/>
          <w:i/>
          <w:szCs w:val="24"/>
        </w:rPr>
        <w:t xml:space="preserve"> </w:t>
      </w:r>
      <w:r w:rsidR="00D13C21" w:rsidRPr="00D13C21">
        <w:rPr>
          <w:rFonts w:ascii="Cambria" w:hAnsi="Cambria"/>
          <w:bCs/>
          <w:szCs w:val="24"/>
        </w:rPr>
        <w:t>subheading</w:t>
      </w:r>
      <w:r w:rsidR="00D13C21">
        <w:rPr>
          <w:rFonts w:ascii="Cambria" w:hAnsi="Cambria"/>
          <w:bCs/>
          <w:i/>
          <w:szCs w:val="24"/>
        </w:rPr>
        <w:t xml:space="preserve"> </w:t>
      </w:r>
      <w:r w:rsidR="000C171E">
        <w:rPr>
          <w:rFonts w:ascii="Cambria" w:hAnsi="Cambria"/>
          <w:bCs/>
          <w:szCs w:val="24"/>
        </w:rPr>
        <w:t>L</w:t>
      </w:r>
      <w:r w:rsidR="000C171E" w:rsidRPr="000C171E">
        <w:rPr>
          <w:rFonts w:ascii="Cambria" w:hAnsi="Cambria"/>
          <w:bCs/>
          <w:szCs w:val="24"/>
        </w:rPr>
        <w:t>aboratory testing and monitoring</w:t>
      </w:r>
      <w:r w:rsidR="00D13C21">
        <w:rPr>
          <w:rFonts w:ascii="Cambria" w:hAnsi="Cambria"/>
          <w:bCs/>
          <w:szCs w:val="24"/>
        </w:rPr>
        <w:t>,</w:t>
      </w:r>
      <w:r w:rsidR="000C171E" w:rsidRPr="000C171E">
        <w:rPr>
          <w:rFonts w:ascii="Cambria" w:hAnsi="Cambria"/>
          <w:bCs/>
          <w:szCs w:val="24"/>
        </w:rPr>
        <w:t xml:space="preserve"> to assess safety.</w:t>
      </w:r>
      <w:r>
        <w:rPr>
          <w:rFonts w:ascii="Cambria" w:hAnsi="Cambria"/>
          <w:bCs/>
          <w:szCs w:val="24"/>
        </w:rPr>
        <w:t xml:space="preserve"> </w:t>
      </w:r>
      <w:r w:rsidRPr="00B66558">
        <w:rPr>
          <w:rFonts w:ascii="Cambria" w:hAnsi="Cambria"/>
          <w:bCs/>
          <w:szCs w:val="24"/>
        </w:rPr>
        <w:t>Consider consultation with a cardiac</w:t>
      </w:r>
      <w:r>
        <w:rPr>
          <w:rFonts w:ascii="Cambria" w:hAnsi="Cambria"/>
          <w:bCs/>
          <w:szCs w:val="24"/>
        </w:rPr>
        <w:t xml:space="preserve"> </w:t>
      </w:r>
      <w:r w:rsidRPr="00B66558">
        <w:rPr>
          <w:rFonts w:ascii="Cambria" w:hAnsi="Cambria"/>
          <w:bCs/>
          <w:szCs w:val="24"/>
        </w:rPr>
        <w:t>expert as needed.</w:t>
      </w:r>
    </w:p>
    <w:p w14:paraId="24989123" w14:textId="77777777" w:rsidR="00B323F3" w:rsidRPr="002B134B" w:rsidRDefault="00B323F3" w:rsidP="006D7674">
      <w:pPr>
        <w:pStyle w:val="Heading3"/>
      </w:pPr>
      <w:r w:rsidRPr="002B134B">
        <w:t>Systemic corticosteroid administration and live vaccines</w:t>
      </w:r>
    </w:p>
    <w:p w14:paraId="3B03ADF2" w14:textId="0E947EA6" w:rsidR="00B323F3" w:rsidRPr="000C171E" w:rsidRDefault="00B323F3" w:rsidP="006D7674">
      <w:pPr>
        <w:pStyle w:val="C-BodyText"/>
        <w:rPr>
          <w:rFonts w:ascii="Cambria" w:hAnsi="Cambria"/>
          <w:szCs w:val="24"/>
        </w:rPr>
      </w:pPr>
      <w:r w:rsidRPr="00B323F3">
        <w:rPr>
          <w:rFonts w:ascii="Cambria" w:hAnsi="Cambria"/>
          <w:szCs w:val="24"/>
        </w:rPr>
        <w:t>Live vaccines should not be administered to patients receiving high doses of corticosteroids</w:t>
      </w:r>
      <w:r>
        <w:rPr>
          <w:rFonts w:ascii="Cambria" w:hAnsi="Cambria"/>
          <w:szCs w:val="24"/>
        </w:rPr>
        <w:t xml:space="preserve"> </w:t>
      </w:r>
      <w:r w:rsidRPr="00B323F3">
        <w:rPr>
          <w:rFonts w:ascii="Cambria" w:hAnsi="Cambria"/>
          <w:szCs w:val="24"/>
        </w:rPr>
        <w:t>(i.e., ≥ 2 weeks of daily receipt of 20 mg or 2 mg/kg body weight of prednisone or equivalent)</w:t>
      </w:r>
      <w:r>
        <w:rPr>
          <w:rFonts w:ascii="Cambria" w:hAnsi="Cambria"/>
          <w:szCs w:val="24"/>
        </w:rPr>
        <w:t xml:space="preserve"> </w:t>
      </w:r>
      <w:r w:rsidR="00126D88">
        <w:rPr>
          <w:rFonts w:ascii="Cambria" w:hAnsi="Cambria"/>
          <w:szCs w:val="24"/>
        </w:rPr>
        <w:t>prior to and following ZOLGENSMA</w:t>
      </w:r>
      <w:r w:rsidRPr="00B323F3">
        <w:rPr>
          <w:rFonts w:ascii="Cambria" w:hAnsi="Cambria"/>
          <w:szCs w:val="24"/>
        </w:rPr>
        <w:t xml:space="preserve"> infusion (see </w:t>
      </w:r>
      <w:r>
        <w:rPr>
          <w:rFonts w:ascii="Cambria" w:hAnsi="Cambria"/>
          <w:szCs w:val="24"/>
        </w:rPr>
        <w:t>4.5</w:t>
      </w:r>
      <w:r w:rsidRPr="00B323F3">
        <w:rPr>
          <w:rFonts w:ascii="Cambria" w:hAnsi="Cambria"/>
          <w:szCs w:val="24"/>
        </w:rPr>
        <w:t xml:space="preserve"> Interactions</w:t>
      </w:r>
      <w:r>
        <w:rPr>
          <w:rFonts w:ascii="Cambria" w:hAnsi="Cambria"/>
          <w:szCs w:val="24"/>
        </w:rPr>
        <w:t xml:space="preserve"> with other medicines and other forms of interactions below</w:t>
      </w:r>
      <w:r w:rsidRPr="00B323F3">
        <w:rPr>
          <w:rFonts w:ascii="Cambria" w:hAnsi="Cambria"/>
          <w:szCs w:val="24"/>
        </w:rPr>
        <w:t>).</w:t>
      </w:r>
    </w:p>
    <w:p w14:paraId="6F2F8811" w14:textId="77777777" w:rsidR="00781372" w:rsidRPr="002B1522" w:rsidRDefault="00781372" w:rsidP="006D7674">
      <w:pPr>
        <w:pStyle w:val="Heading3"/>
        <w:rPr>
          <w:szCs w:val="24"/>
        </w:rPr>
      </w:pPr>
      <w:r w:rsidRPr="002B134B">
        <w:t>Use in hepatic impairment</w:t>
      </w:r>
    </w:p>
    <w:p w14:paraId="7B527748" w14:textId="21383ECE" w:rsidR="000C171E" w:rsidRPr="00DC0036" w:rsidRDefault="00024B41" w:rsidP="006D7674">
      <w:pPr>
        <w:pStyle w:val="C-BodyText"/>
        <w:rPr>
          <w:rFonts w:ascii="Cambria" w:hAnsi="Cambria"/>
          <w:bCs/>
          <w:szCs w:val="24"/>
        </w:rPr>
      </w:pPr>
      <w:bookmarkStart w:id="19" w:name="_SP_QA_2012_07_11_15_51_23_0027"/>
      <w:r w:rsidRPr="00024B41">
        <w:rPr>
          <w:rFonts w:ascii="Cambria" w:hAnsi="Cambria"/>
          <w:bCs/>
          <w:szCs w:val="24"/>
        </w:rPr>
        <w:t>ZOLGENSMA has not been studied in patients with hepatic impairment. ZOLGENSMA therapy should be carefully considered in patients with hepatic impairment</w:t>
      </w:r>
      <w:r>
        <w:rPr>
          <w:rFonts w:ascii="Cambria" w:hAnsi="Cambria"/>
          <w:bCs/>
          <w:szCs w:val="24"/>
        </w:rPr>
        <w:t xml:space="preserve">. </w:t>
      </w:r>
      <w:r w:rsidR="00DC0036" w:rsidRPr="00DC0036">
        <w:rPr>
          <w:rFonts w:ascii="Cambria" w:hAnsi="Cambria"/>
          <w:bCs/>
          <w:szCs w:val="24"/>
        </w:rPr>
        <w:t xml:space="preserve">One patient who received ZOLGENSMA developed acute serious liver injury; that patient had elevated aminotransferase levels prior to </w:t>
      </w:r>
      <w:r w:rsidR="00DC0036" w:rsidRPr="00DC0036" w:rsidDel="001B4D9B">
        <w:rPr>
          <w:rFonts w:ascii="Cambria" w:hAnsi="Cambria"/>
          <w:bCs/>
          <w:szCs w:val="24"/>
        </w:rPr>
        <w:t>ZOLGENSMA infusion</w:t>
      </w:r>
      <w:r w:rsidR="00DC0036" w:rsidRPr="00DC0036">
        <w:rPr>
          <w:rFonts w:ascii="Cambria" w:hAnsi="Cambria"/>
          <w:bCs/>
          <w:szCs w:val="24"/>
        </w:rPr>
        <w:t>.  In clinical trials, elevation of aminotransferases was observed in patients following ZOLGENSMA</w:t>
      </w:r>
      <w:r w:rsidR="00DC0036" w:rsidRPr="00DC0036" w:rsidDel="00B349A4">
        <w:rPr>
          <w:rFonts w:ascii="Cambria" w:hAnsi="Cambria"/>
          <w:bCs/>
          <w:szCs w:val="24"/>
        </w:rPr>
        <w:t xml:space="preserve"> </w:t>
      </w:r>
      <w:r w:rsidR="00DC0036" w:rsidRPr="00DC0036">
        <w:rPr>
          <w:rFonts w:ascii="Cambria" w:hAnsi="Cambria"/>
          <w:bCs/>
          <w:szCs w:val="24"/>
        </w:rPr>
        <w:t xml:space="preserve">infusion </w:t>
      </w:r>
      <w:r w:rsidR="0012730B">
        <w:rPr>
          <w:rFonts w:ascii="Cambria" w:hAnsi="Cambria"/>
          <w:bCs/>
          <w:szCs w:val="24"/>
        </w:rPr>
        <w:t>(</w:t>
      </w:r>
      <w:r w:rsidR="000C171E">
        <w:rPr>
          <w:rFonts w:ascii="Cambria" w:hAnsi="Cambria"/>
          <w:bCs/>
          <w:szCs w:val="24"/>
        </w:rPr>
        <w:t>see 4.</w:t>
      </w:r>
      <w:r w:rsidR="00126D88">
        <w:rPr>
          <w:rFonts w:ascii="Cambria" w:hAnsi="Cambria"/>
          <w:bCs/>
          <w:szCs w:val="24"/>
        </w:rPr>
        <w:t>4</w:t>
      </w:r>
      <w:r w:rsidR="000C171E">
        <w:rPr>
          <w:rFonts w:ascii="Cambria" w:hAnsi="Cambria"/>
          <w:bCs/>
          <w:szCs w:val="24"/>
        </w:rPr>
        <w:t xml:space="preserve"> </w:t>
      </w:r>
      <w:r w:rsidR="00D13C21">
        <w:rPr>
          <w:rFonts w:ascii="Cambria" w:hAnsi="Cambria"/>
          <w:bCs/>
          <w:szCs w:val="24"/>
        </w:rPr>
        <w:t xml:space="preserve">subheading </w:t>
      </w:r>
      <w:r w:rsidR="000C171E">
        <w:rPr>
          <w:rFonts w:ascii="Cambria" w:hAnsi="Cambria"/>
          <w:bCs/>
          <w:szCs w:val="24"/>
        </w:rPr>
        <w:t>Acute serious liver injury and elevated aminotransferases</w:t>
      </w:r>
      <w:r w:rsidR="00D13C21">
        <w:rPr>
          <w:rFonts w:ascii="Cambria" w:hAnsi="Cambria"/>
          <w:bCs/>
          <w:szCs w:val="24"/>
        </w:rPr>
        <w:t xml:space="preserve"> above</w:t>
      </w:r>
      <w:r w:rsidR="000C171E">
        <w:rPr>
          <w:rFonts w:ascii="Cambria" w:hAnsi="Cambria"/>
          <w:bCs/>
          <w:szCs w:val="24"/>
        </w:rPr>
        <w:t>).</w:t>
      </w:r>
      <w:r w:rsidR="000C171E" w:rsidRPr="00DC0036">
        <w:rPr>
          <w:rFonts w:ascii="Cambria" w:hAnsi="Cambria"/>
          <w:bCs/>
          <w:szCs w:val="24"/>
        </w:rPr>
        <w:t xml:space="preserve"> </w:t>
      </w:r>
    </w:p>
    <w:bookmarkEnd w:id="19"/>
    <w:p w14:paraId="15BC9308" w14:textId="77777777" w:rsidR="00781372" w:rsidRPr="002B134B" w:rsidRDefault="00781372" w:rsidP="006D7674">
      <w:pPr>
        <w:pStyle w:val="Heading3"/>
      </w:pPr>
      <w:r w:rsidRPr="002B134B">
        <w:t>Use in renal impairment</w:t>
      </w:r>
    </w:p>
    <w:p w14:paraId="62F7F68D" w14:textId="5471E374" w:rsidR="00DB313E" w:rsidRPr="00CE03FD" w:rsidRDefault="00024B41" w:rsidP="006D7674">
      <w:pPr>
        <w:rPr>
          <w:rFonts w:ascii="Cambria" w:hAnsi="Cambria"/>
        </w:rPr>
      </w:pPr>
      <w:r w:rsidRPr="00024B41">
        <w:rPr>
          <w:rFonts w:ascii="Cambria" w:hAnsi="Cambria"/>
        </w:rPr>
        <w:t>The safety and efficacy of ZOLGENSMA have not been established in patients with renal impairment.</w:t>
      </w:r>
    </w:p>
    <w:p w14:paraId="7E615818" w14:textId="0FFF36DE" w:rsidR="00781372" w:rsidRPr="002B134B" w:rsidRDefault="00781372" w:rsidP="006D7674">
      <w:pPr>
        <w:pStyle w:val="Heading3"/>
      </w:pPr>
      <w:r w:rsidRPr="002B134B">
        <w:t>Use in the elderly</w:t>
      </w:r>
    </w:p>
    <w:p w14:paraId="60D8F647" w14:textId="613E1C6E" w:rsidR="00361131" w:rsidRPr="00962DC6" w:rsidRDefault="00361131" w:rsidP="006D7674">
      <w:pPr>
        <w:rPr>
          <w:rFonts w:ascii="Cambria" w:hAnsi="Cambria"/>
          <w:b/>
        </w:rPr>
      </w:pPr>
      <w:r w:rsidRPr="00962DC6">
        <w:rPr>
          <w:rFonts w:ascii="Cambria" w:hAnsi="Cambria"/>
        </w:rPr>
        <w:t>Not applicable to this medicine</w:t>
      </w:r>
      <w:r w:rsidR="00C47F6B">
        <w:rPr>
          <w:rFonts w:ascii="Cambria" w:hAnsi="Cambria"/>
        </w:rPr>
        <w:t>.</w:t>
      </w:r>
    </w:p>
    <w:p w14:paraId="777D87C7" w14:textId="5EB20871" w:rsidR="00781372" w:rsidRPr="002B134B" w:rsidRDefault="00781372" w:rsidP="006D7674">
      <w:pPr>
        <w:pStyle w:val="Heading3"/>
      </w:pPr>
      <w:r w:rsidRPr="002B134B">
        <w:t>Paediatric use</w:t>
      </w:r>
    </w:p>
    <w:p w14:paraId="3CAEC01B" w14:textId="6F76126B" w:rsidR="00361131" w:rsidRPr="00C6144B" w:rsidRDefault="00361131" w:rsidP="006D7674">
      <w:pPr>
        <w:pStyle w:val="C-BodyText"/>
        <w:rPr>
          <w:rFonts w:ascii="Cambria" w:hAnsi="Cambria" w:cstheme="minorHAnsi"/>
        </w:rPr>
      </w:pPr>
      <w:bookmarkStart w:id="20" w:name="_SP_QA_2012_07_11_15_51_23_0026"/>
      <w:r w:rsidRPr="00C6144B">
        <w:rPr>
          <w:rFonts w:ascii="Cambria" w:hAnsi="Cambria" w:cstheme="minorHAnsi"/>
        </w:rPr>
        <w:t>Administration of ZOLGENSMA to premature neonates before reaching full-term gestational age is not recommended, because concomitant treatment with corticosteroids may adversely affect neurological development.  Delay ZOLGENSMA infusion until the corresponding full-term gestational age is reached.</w:t>
      </w:r>
    </w:p>
    <w:p w14:paraId="170CA606" w14:textId="030BB0FD" w:rsidR="00361131" w:rsidRDefault="00361131" w:rsidP="006D7674">
      <w:pPr>
        <w:pStyle w:val="C-BodyText"/>
        <w:rPr>
          <w:rFonts w:ascii="Cambria" w:hAnsi="Cambria" w:cstheme="minorHAnsi"/>
        </w:rPr>
      </w:pPr>
      <w:r w:rsidRPr="00C6144B">
        <w:rPr>
          <w:rFonts w:ascii="Cambria" w:hAnsi="Cambria" w:cstheme="minorHAnsi"/>
        </w:rPr>
        <w:t xml:space="preserve">There is no information on whether breastfeeding should be restricted in mothers who may be seropositive for anti-AAV9 antibodies. </w:t>
      </w:r>
    </w:p>
    <w:p w14:paraId="54927744" w14:textId="40BF1442" w:rsidR="00EF0A02" w:rsidRPr="00C6144B" w:rsidRDefault="00EF0A02" w:rsidP="006D7674">
      <w:pPr>
        <w:pStyle w:val="C-BodyText"/>
        <w:rPr>
          <w:rFonts w:ascii="Cambria" w:hAnsi="Cambria" w:cstheme="minorHAnsi"/>
        </w:rPr>
      </w:pPr>
      <w:r w:rsidRPr="00EF0A02">
        <w:rPr>
          <w:rFonts w:ascii="Cambria" w:hAnsi="Cambria" w:cstheme="minorHAnsi"/>
        </w:rPr>
        <w:t xml:space="preserve">The efficacy and safety of ZOLGENSMA was studied in </w:t>
      </w:r>
      <w:proofErr w:type="spellStart"/>
      <w:r w:rsidRPr="00EF0A02">
        <w:rPr>
          <w:rFonts w:ascii="Cambria" w:hAnsi="Cambria" w:cstheme="minorHAnsi"/>
        </w:rPr>
        <w:t>paediatric</w:t>
      </w:r>
      <w:proofErr w:type="spellEnd"/>
      <w:r w:rsidRPr="00EF0A02">
        <w:rPr>
          <w:rFonts w:ascii="Cambria" w:hAnsi="Cambria" w:cstheme="minorHAnsi"/>
        </w:rPr>
        <w:t xml:space="preserve"> patients who received ZOLGENSMA infusion at age 0.3 to 7.9 months (weight up to 8.4 kg) (see 4.8 Adverse effects (Undesirable effects) and 5.1 Pharmacodynami</w:t>
      </w:r>
      <w:r>
        <w:rPr>
          <w:rFonts w:ascii="Cambria" w:hAnsi="Cambria" w:cstheme="minorHAnsi"/>
        </w:rPr>
        <w:t>c properties, Clinical trials).</w:t>
      </w:r>
    </w:p>
    <w:bookmarkEnd w:id="20"/>
    <w:p w14:paraId="32506764" w14:textId="42D25B35" w:rsidR="00ED06A2" w:rsidRPr="002B134B" w:rsidRDefault="00ED06A2" w:rsidP="006D7674">
      <w:pPr>
        <w:pStyle w:val="Heading3"/>
      </w:pPr>
      <w:r w:rsidRPr="002B134B">
        <w:t>Effects on laboratory tests</w:t>
      </w:r>
    </w:p>
    <w:p w14:paraId="47E3F385" w14:textId="642590D0" w:rsidR="00ED06A2" w:rsidRPr="00CE03FD" w:rsidRDefault="00ED06A2" w:rsidP="006D7674">
      <w:pPr>
        <w:rPr>
          <w:rFonts w:ascii="Cambria" w:hAnsi="Cambria"/>
        </w:rPr>
      </w:pPr>
      <w:r w:rsidRPr="00CE03FD">
        <w:rPr>
          <w:rFonts w:ascii="Cambria" w:hAnsi="Cambria"/>
        </w:rPr>
        <w:t>No data are available.</w:t>
      </w:r>
    </w:p>
    <w:p w14:paraId="09F1FB76" w14:textId="43BC4AF7" w:rsidR="00781372" w:rsidRPr="00CE03FD" w:rsidRDefault="00DE690E" w:rsidP="006D7674">
      <w:pPr>
        <w:pStyle w:val="Heading2"/>
        <w:numPr>
          <w:ilvl w:val="0"/>
          <w:numId w:val="0"/>
        </w:numPr>
        <w:ind w:left="576" w:hanging="576"/>
      </w:pPr>
      <w:r w:rsidRPr="00CE03FD">
        <w:t xml:space="preserve">4.5 </w:t>
      </w:r>
      <w:r w:rsidR="006D31E9" w:rsidRPr="00CE03FD">
        <w:t>Interactions with other medicines and other forms of interactions</w:t>
      </w:r>
    </w:p>
    <w:p w14:paraId="4A217A89" w14:textId="604BD2DA" w:rsidR="000E712B" w:rsidRDefault="00D90C76" w:rsidP="006D7674">
      <w:pPr>
        <w:pStyle w:val="C-BodyText"/>
        <w:spacing w:before="240"/>
        <w:rPr>
          <w:rFonts w:ascii="Cambria" w:hAnsi="Cambria"/>
        </w:rPr>
      </w:pPr>
      <w:bookmarkStart w:id="21" w:name="_SP_QA_2012_07_11_15_51_23_0022"/>
      <w:r w:rsidRPr="00D90C76">
        <w:rPr>
          <w:rFonts w:ascii="Cambria" w:hAnsi="Cambria"/>
        </w:rPr>
        <w:t>No interaction studies have been performed. Interactions with antiviral medicinal products are</w:t>
      </w:r>
      <w:r>
        <w:rPr>
          <w:rFonts w:ascii="Cambria" w:hAnsi="Cambria"/>
        </w:rPr>
        <w:t xml:space="preserve"> </w:t>
      </w:r>
      <w:r w:rsidRPr="00D90C76">
        <w:rPr>
          <w:rFonts w:ascii="Cambria" w:hAnsi="Cambria"/>
        </w:rPr>
        <w:t>not expected.</w:t>
      </w:r>
      <w:r>
        <w:rPr>
          <w:rFonts w:ascii="Cambria" w:hAnsi="Cambria"/>
        </w:rPr>
        <w:t xml:space="preserve"> Live </w:t>
      </w:r>
      <w:r w:rsidR="00057A05" w:rsidRPr="009A3DAC">
        <w:rPr>
          <w:rFonts w:ascii="Cambria" w:hAnsi="Cambria"/>
        </w:rPr>
        <w:t>vaccines, such as MMR and varicella, are contraindicated for patients on a substantially immunosuppressive steroid dose (i.e., ≥ 2 weeks of daily receipt of 20 mg or 2 mg/kg body weight of prednisone or equivalent)</w:t>
      </w:r>
      <w:r>
        <w:rPr>
          <w:rFonts w:ascii="Cambria" w:hAnsi="Cambria"/>
        </w:rPr>
        <w:t xml:space="preserve"> because high doses of corticosteroids may reduce the immune response to these vaccines</w:t>
      </w:r>
      <w:r w:rsidR="00057A05" w:rsidRPr="009A3DAC">
        <w:rPr>
          <w:rFonts w:ascii="Cambria" w:hAnsi="Cambria"/>
        </w:rPr>
        <w:t xml:space="preserve">.  </w:t>
      </w:r>
      <w:r w:rsidRPr="009A3DAC">
        <w:rPr>
          <w:rFonts w:ascii="Cambria" w:hAnsi="Cambria"/>
        </w:rPr>
        <w:t>Where feasible, adjust a patient’s vaccination schedule to accommodate concomitant corticosteroid administration prior to a</w:t>
      </w:r>
      <w:r>
        <w:rPr>
          <w:rFonts w:ascii="Cambria" w:hAnsi="Cambria"/>
        </w:rPr>
        <w:t xml:space="preserve">nd following ZOLGENSMA infusion (see 4.2 Dosage and method of administration). </w:t>
      </w:r>
      <w:r w:rsidRPr="009A3DAC">
        <w:rPr>
          <w:rFonts w:ascii="Cambria" w:hAnsi="Cambria"/>
        </w:rPr>
        <w:t xml:space="preserve"> </w:t>
      </w:r>
      <w:r w:rsidR="00057A05" w:rsidRPr="009A3DAC">
        <w:rPr>
          <w:rFonts w:ascii="Cambria" w:hAnsi="Cambria"/>
        </w:rPr>
        <w:t>Seasonal RSV prophylaxis</w:t>
      </w:r>
      <w:r w:rsidR="00057A05" w:rsidRPr="009A3DAC" w:rsidDel="00CC7E19">
        <w:rPr>
          <w:rFonts w:ascii="Cambria" w:hAnsi="Cambria"/>
        </w:rPr>
        <w:t xml:space="preserve"> </w:t>
      </w:r>
      <w:r w:rsidR="00057A05" w:rsidRPr="009A3DAC">
        <w:rPr>
          <w:rFonts w:ascii="Cambria" w:hAnsi="Cambria"/>
        </w:rPr>
        <w:t xml:space="preserve">is </w:t>
      </w:r>
      <w:r>
        <w:rPr>
          <w:rFonts w:ascii="Cambria" w:hAnsi="Cambria"/>
        </w:rPr>
        <w:t>not precluded</w:t>
      </w:r>
      <w:r w:rsidR="00711FEF">
        <w:rPr>
          <w:rFonts w:ascii="Cambria" w:hAnsi="Cambria"/>
        </w:rPr>
        <w:t>.</w:t>
      </w:r>
    </w:p>
    <w:p w14:paraId="31B03A5E" w14:textId="0C94409D" w:rsidR="00733BD5" w:rsidRPr="00B97688" w:rsidRDefault="00733BD5" w:rsidP="006D7674">
      <w:pPr>
        <w:pStyle w:val="C-BodyText"/>
        <w:spacing w:before="240"/>
        <w:rPr>
          <w:rFonts w:ascii="Cambria" w:hAnsi="Cambria"/>
          <w:noProof/>
        </w:rPr>
      </w:pPr>
      <w:r w:rsidRPr="00733BD5">
        <w:rPr>
          <w:rFonts w:ascii="Cambria" w:hAnsi="Cambria"/>
          <w:noProof/>
        </w:rPr>
        <w:t>ZOLGENSMA has not been studied in conjunction with other therapies for SMA. No information is available whether use of multiple therapies might carry additional risks</w:t>
      </w:r>
      <w:r>
        <w:rPr>
          <w:rFonts w:ascii="Cambria" w:hAnsi="Cambria"/>
          <w:noProof/>
        </w:rPr>
        <w:t>.</w:t>
      </w:r>
    </w:p>
    <w:bookmarkEnd w:id="21"/>
    <w:p w14:paraId="4A258952" w14:textId="17D80ED5" w:rsidR="00ED06A2" w:rsidRPr="00B97688" w:rsidRDefault="00ED06A2" w:rsidP="006D7674">
      <w:pPr>
        <w:pStyle w:val="Heading2"/>
        <w:numPr>
          <w:ilvl w:val="0"/>
          <w:numId w:val="0"/>
        </w:numPr>
        <w:ind w:left="576" w:hanging="576"/>
      </w:pPr>
      <w:r w:rsidRPr="00D43BF2">
        <w:t xml:space="preserve">4.6 </w:t>
      </w:r>
      <w:r w:rsidR="006D31E9" w:rsidRPr="00D43BF2">
        <w:t>Fertility</w:t>
      </w:r>
      <w:r w:rsidR="006D31E9" w:rsidRPr="00B97688">
        <w:t>, pregnancy and lactation</w:t>
      </w:r>
    </w:p>
    <w:p w14:paraId="0A6F0F6B" w14:textId="0CB7CEBB" w:rsidR="00D674A4" w:rsidRPr="00CE03FD" w:rsidRDefault="00D674A4" w:rsidP="006D7674">
      <w:pPr>
        <w:pStyle w:val="Heading3"/>
      </w:pPr>
      <w:bookmarkStart w:id="22" w:name="Lactaction"/>
      <w:bookmarkStart w:id="23" w:name="_Toc444540396"/>
      <w:bookmarkStart w:id="24" w:name="_Toc514844763"/>
      <w:bookmarkStart w:id="25" w:name="_Toc520716811"/>
      <w:bookmarkStart w:id="26" w:name="_Toc524335019"/>
      <w:bookmarkStart w:id="27" w:name="_Toc5991561"/>
      <w:bookmarkStart w:id="28" w:name="_Toc6291146"/>
      <w:bookmarkEnd w:id="22"/>
      <w:r>
        <w:t xml:space="preserve">Effects on </w:t>
      </w:r>
      <w:r w:rsidRPr="00CE03FD">
        <w:t xml:space="preserve">Fertility </w:t>
      </w:r>
    </w:p>
    <w:p w14:paraId="61AF315E" w14:textId="77777777" w:rsidR="00D674A4" w:rsidRPr="00CE03FD" w:rsidRDefault="00D674A4" w:rsidP="006D7674">
      <w:pPr>
        <w:rPr>
          <w:rFonts w:ascii="Cambria" w:hAnsi="Cambria"/>
        </w:rPr>
      </w:pPr>
      <w:r w:rsidRPr="00CE03FD">
        <w:rPr>
          <w:rFonts w:ascii="Cambria" w:hAnsi="Cambria"/>
        </w:rPr>
        <w:t xml:space="preserve">There are no fertility data available.  </w:t>
      </w:r>
    </w:p>
    <w:p w14:paraId="49C9F2EB" w14:textId="2820F612" w:rsidR="00E77D05" w:rsidRPr="00CE03FD" w:rsidRDefault="003B7D61" w:rsidP="00EE35F8">
      <w:pPr>
        <w:pStyle w:val="Heading3"/>
        <w:jc w:val="both"/>
      </w:pPr>
      <w:r w:rsidRPr="00B97688">
        <w:t>Use in pregnancy</w:t>
      </w:r>
      <w:r w:rsidR="00C11102" w:rsidRPr="00CE03FD">
        <w:t xml:space="preserve"> - </w:t>
      </w:r>
      <w:r w:rsidR="00D674A4">
        <w:t>B2</w:t>
      </w:r>
    </w:p>
    <w:bookmarkEnd w:id="23"/>
    <w:bookmarkEnd w:id="24"/>
    <w:bookmarkEnd w:id="25"/>
    <w:bookmarkEnd w:id="26"/>
    <w:bookmarkEnd w:id="27"/>
    <w:bookmarkEnd w:id="28"/>
    <w:p w14:paraId="36CDB90C" w14:textId="3B86481C" w:rsidR="00F10882" w:rsidRPr="00F10882" w:rsidRDefault="00F10882" w:rsidP="006D7674">
      <w:pPr>
        <w:pStyle w:val="C-BodyText"/>
        <w:rPr>
          <w:rFonts w:ascii="Cambria" w:hAnsi="Cambria"/>
        </w:rPr>
      </w:pPr>
      <w:r w:rsidRPr="00F10882">
        <w:rPr>
          <w:rFonts w:ascii="Cambria" w:hAnsi="Cambria"/>
        </w:rPr>
        <w:t xml:space="preserve">There are no available data regarding ZOLGENSMA use in pregnant women. </w:t>
      </w:r>
      <w:r>
        <w:rPr>
          <w:rFonts w:ascii="Cambria" w:hAnsi="Cambria"/>
        </w:rPr>
        <w:t xml:space="preserve"> </w:t>
      </w:r>
      <w:r w:rsidRPr="00F10882">
        <w:rPr>
          <w:rFonts w:ascii="Cambria" w:hAnsi="Cambria"/>
        </w:rPr>
        <w:t>No animal reproductive and developmental toxicity studies have been conducted with ZOLGENSMA.</w:t>
      </w:r>
    </w:p>
    <w:p w14:paraId="3BF0763C" w14:textId="5088819C" w:rsidR="003B7D61" w:rsidRPr="00CE03FD" w:rsidRDefault="003B7D61" w:rsidP="006D7674">
      <w:pPr>
        <w:pStyle w:val="Heading3"/>
      </w:pPr>
      <w:bookmarkStart w:id="29" w:name="_Toc514844765"/>
      <w:bookmarkStart w:id="30" w:name="_Toc520716813"/>
      <w:bookmarkStart w:id="31" w:name="_Toc524335021"/>
      <w:bookmarkStart w:id="32" w:name="_Toc5991562"/>
      <w:bookmarkStart w:id="33" w:name="_Toc6291147"/>
      <w:r w:rsidRPr="00CE03FD">
        <w:t>Use in lactation</w:t>
      </w:r>
    </w:p>
    <w:bookmarkEnd w:id="29"/>
    <w:bookmarkEnd w:id="30"/>
    <w:bookmarkEnd w:id="31"/>
    <w:bookmarkEnd w:id="32"/>
    <w:bookmarkEnd w:id="33"/>
    <w:p w14:paraId="3E47CCF5" w14:textId="71FC1FE1" w:rsidR="00F10882" w:rsidRPr="00F10882" w:rsidRDefault="00F10882" w:rsidP="006D7674">
      <w:pPr>
        <w:pStyle w:val="C-BodyText"/>
        <w:rPr>
          <w:rFonts w:ascii="Cambria" w:hAnsi="Cambria"/>
        </w:rPr>
      </w:pPr>
      <w:r w:rsidRPr="00F10882">
        <w:rPr>
          <w:rFonts w:ascii="Cambria" w:hAnsi="Cambria"/>
        </w:rPr>
        <w:t>There is no information available on the presence of ZOLGENSMA in human milk, the effects on the breastfed infant, or the effects on milk production.</w:t>
      </w:r>
      <w:r>
        <w:rPr>
          <w:rFonts w:ascii="Cambria" w:hAnsi="Cambria"/>
        </w:rPr>
        <w:t xml:space="preserve"> </w:t>
      </w:r>
      <w:r w:rsidRPr="00F10882">
        <w:rPr>
          <w:rFonts w:ascii="Cambria" w:hAnsi="Cambria"/>
        </w:rPr>
        <w:t xml:space="preserve"> </w:t>
      </w:r>
    </w:p>
    <w:p w14:paraId="16993ECC" w14:textId="09DF0852" w:rsidR="00C55B1C" w:rsidRPr="00CE03FD" w:rsidRDefault="006D31E9" w:rsidP="006D7674">
      <w:pPr>
        <w:pStyle w:val="Heading2"/>
        <w:numPr>
          <w:ilvl w:val="0"/>
          <w:numId w:val="0"/>
        </w:numPr>
        <w:ind w:left="576" w:hanging="576"/>
      </w:pPr>
      <w:r w:rsidRPr="00CE03FD">
        <w:t>4.7 Effects on ability to drive and use machines</w:t>
      </w:r>
    </w:p>
    <w:p w14:paraId="598AFBEA" w14:textId="47A59F1E" w:rsidR="008A2533" w:rsidRDefault="00024B41" w:rsidP="006D7674">
      <w:pPr>
        <w:pStyle w:val="NormalAgency"/>
        <w:rPr>
          <w:rFonts w:ascii="Cambria" w:hAnsi="Cambria"/>
          <w:b/>
          <w:smallCaps/>
          <w:szCs w:val="24"/>
        </w:rPr>
      </w:pPr>
      <w:r w:rsidRPr="00024B41">
        <w:rPr>
          <w:rFonts w:ascii="Cambria" w:hAnsi="Cambria"/>
          <w:sz w:val="24"/>
          <w:szCs w:val="24"/>
        </w:rPr>
        <w:t>The effects of this medicine on a person's ability to drive and use machines were not assessed as part of its registration.</w:t>
      </w:r>
      <w:r>
        <w:rPr>
          <w:rFonts w:ascii="Cambria" w:hAnsi="Cambria"/>
          <w:sz w:val="24"/>
          <w:szCs w:val="24"/>
        </w:rPr>
        <w:t xml:space="preserve"> </w:t>
      </w:r>
    </w:p>
    <w:p w14:paraId="0A88B4AC" w14:textId="14108A01" w:rsidR="002435D6" w:rsidRPr="00521605" w:rsidRDefault="002435D6" w:rsidP="006D7674">
      <w:pPr>
        <w:pStyle w:val="Heading2"/>
        <w:numPr>
          <w:ilvl w:val="0"/>
          <w:numId w:val="0"/>
        </w:numPr>
        <w:ind w:left="576" w:hanging="576"/>
        <w:rPr>
          <w:szCs w:val="24"/>
        </w:rPr>
      </w:pPr>
      <w:r w:rsidRPr="00521605">
        <w:rPr>
          <w:szCs w:val="24"/>
        </w:rPr>
        <w:t xml:space="preserve">4.8 </w:t>
      </w:r>
      <w:r w:rsidR="006D31E9" w:rsidRPr="00521605">
        <w:rPr>
          <w:szCs w:val="24"/>
        </w:rPr>
        <w:t>Adverse effects (undesirable effects)</w:t>
      </w:r>
    </w:p>
    <w:p w14:paraId="0B333412" w14:textId="77777777" w:rsidR="00663189" w:rsidRPr="00CE03FD" w:rsidRDefault="00663189" w:rsidP="006D7674">
      <w:pPr>
        <w:pStyle w:val="Heading3"/>
      </w:pPr>
      <w:r w:rsidRPr="00CE03FD">
        <w:t>Summary of the safety profile</w:t>
      </w:r>
    </w:p>
    <w:p w14:paraId="7999E3F8" w14:textId="228FC0EC" w:rsidR="00142411" w:rsidRPr="00101E5A" w:rsidRDefault="001F0276" w:rsidP="006D7674">
      <w:pPr>
        <w:pStyle w:val="C-BodyText"/>
        <w:rPr>
          <w:rFonts w:ascii="Cambria" w:hAnsi="Cambria"/>
          <w:szCs w:val="24"/>
        </w:rPr>
      </w:pPr>
      <w:r w:rsidRPr="00101E5A">
        <w:rPr>
          <w:rFonts w:ascii="Cambria" w:hAnsi="Cambria"/>
          <w:szCs w:val="24"/>
        </w:rPr>
        <w:t>The safety of ZOLGENSMA was evaluated in 97 patients who received the recommended dose (1.1 x 10</w:t>
      </w:r>
      <w:r w:rsidRPr="007E28A2">
        <w:rPr>
          <w:rFonts w:ascii="Cambria" w:hAnsi="Cambria"/>
          <w:szCs w:val="24"/>
          <w:vertAlign w:val="superscript"/>
        </w:rPr>
        <w:t>14</w:t>
      </w:r>
      <w:r w:rsidRPr="007E28A2">
        <w:rPr>
          <w:rFonts w:ascii="Cambria" w:hAnsi="Cambria"/>
          <w:szCs w:val="24"/>
        </w:rPr>
        <w:t xml:space="preserve"> vg/kg) from 4 open-label clinical studies (CL-101, CL-303, CL-302, CL-304) and a long-term observational follow-up study (LT-001). The patients ranged in age from 0.3 months to 7.9 months at the time of administration</w:t>
      </w:r>
      <w:r w:rsidR="00733BD5">
        <w:rPr>
          <w:rFonts w:ascii="Cambria" w:hAnsi="Cambria"/>
          <w:szCs w:val="24"/>
        </w:rPr>
        <w:t xml:space="preserve"> (weight up to 8.5 kg)</w:t>
      </w:r>
      <w:r w:rsidRPr="007E28A2">
        <w:rPr>
          <w:rFonts w:ascii="Cambria" w:hAnsi="Cambria"/>
          <w:szCs w:val="24"/>
        </w:rPr>
        <w:t>. The follow-up time ranged from 1.8 months to 61.9 months as of the 31 December 2019 cut-off</w:t>
      </w:r>
      <w:r w:rsidRPr="00101E5A">
        <w:rPr>
          <w:rFonts w:ascii="Cambria" w:hAnsi="Cambria"/>
          <w:szCs w:val="24"/>
        </w:rPr>
        <w:t>.</w:t>
      </w:r>
      <w:r w:rsidR="00456E75" w:rsidRPr="00101E5A">
        <w:rPr>
          <w:rFonts w:ascii="Cambria" w:hAnsi="Cambria"/>
          <w:szCs w:val="24"/>
        </w:rPr>
        <w:t xml:space="preserve"> </w:t>
      </w:r>
    </w:p>
    <w:p w14:paraId="215C5B18" w14:textId="737DD502" w:rsidR="00142411" w:rsidRPr="007E28A2" w:rsidRDefault="00456E75" w:rsidP="006D7674">
      <w:pPr>
        <w:pStyle w:val="C-BodyText"/>
        <w:rPr>
          <w:rFonts w:ascii="Cambria" w:hAnsi="Cambria"/>
          <w:szCs w:val="24"/>
        </w:rPr>
      </w:pPr>
      <w:r w:rsidRPr="007E28A2">
        <w:rPr>
          <w:rFonts w:ascii="Cambria" w:hAnsi="Cambria"/>
          <w:szCs w:val="24"/>
        </w:rPr>
        <w:t>Of the 97 patients who received the therapeutic dose, 45</w:t>
      </w:r>
      <w:r w:rsidR="00B42F57" w:rsidRPr="007E28A2">
        <w:rPr>
          <w:rFonts w:ascii="Cambria" w:hAnsi="Cambria"/>
          <w:szCs w:val="24"/>
        </w:rPr>
        <w:t xml:space="preserve"> patients (</w:t>
      </w:r>
      <w:r w:rsidRPr="007E28A2">
        <w:rPr>
          <w:rFonts w:ascii="Cambria" w:hAnsi="Cambria"/>
          <w:szCs w:val="24"/>
        </w:rPr>
        <w:t>46</w:t>
      </w:r>
      <w:r w:rsidR="00B42F57" w:rsidRPr="007E28A2">
        <w:rPr>
          <w:rFonts w:ascii="Cambria" w:hAnsi="Cambria"/>
          <w:szCs w:val="24"/>
        </w:rPr>
        <w:t xml:space="preserve">%) had at least 1 SAE, and </w:t>
      </w:r>
      <w:r w:rsidRPr="007E28A2">
        <w:rPr>
          <w:rFonts w:ascii="Cambria" w:hAnsi="Cambria"/>
          <w:szCs w:val="24"/>
        </w:rPr>
        <w:t>39</w:t>
      </w:r>
      <w:r w:rsidR="00B42F57" w:rsidRPr="007E28A2">
        <w:rPr>
          <w:rFonts w:ascii="Cambria" w:hAnsi="Cambria"/>
          <w:szCs w:val="24"/>
        </w:rPr>
        <w:t xml:space="preserve"> patients (</w:t>
      </w:r>
      <w:r w:rsidRPr="007E28A2">
        <w:rPr>
          <w:rFonts w:ascii="Cambria" w:hAnsi="Cambria"/>
          <w:szCs w:val="24"/>
        </w:rPr>
        <w:t>40</w:t>
      </w:r>
      <w:r w:rsidR="00B42F57" w:rsidRPr="007E28A2">
        <w:rPr>
          <w:rFonts w:ascii="Cambria" w:hAnsi="Cambria"/>
          <w:szCs w:val="24"/>
        </w:rPr>
        <w:t xml:space="preserve">%) </w:t>
      </w:r>
      <w:r w:rsidR="00B42F57" w:rsidRPr="00101E5A">
        <w:rPr>
          <w:rFonts w:ascii="Cambria" w:hAnsi="Cambria"/>
          <w:szCs w:val="24"/>
        </w:rPr>
        <w:t xml:space="preserve">had at least </w:t>
      </w:r>
      <w:r w:rsidR="00142411" w:rsidRPr="00101E5A">
        <w:rPr>
          <w:rFonts w:ascii="Cambria" w:hAnsi="Cambria"/>
          <w:szCs w:val="24"/>
        </w:rPr>
        <w:t>one</w:t>
      </w:r>
      <w:r w:rsidR="00B42F57" w:rsidRPr="00101E5A">
        <w:rPr>
          <w:rFonts w:ascii="Cambria" w:hAnsi="Cambria"/>
          <w:szCs w:val="24"/>
        </w:rPr>
        <w:t xml:space="preserve"> </w:t>
      </w:r>
      <w:r w:rsidRPr="00101E5A">
        <w:rPr>
          <w:rFonts w:ascii="Cambria" w:hAnsi="Cambria"/>
          <w:szCs w:val="24"/>
        </w:rPr>
        <w:t>T</w:t>
      </w:r>
      <w:r w:rsidR="00B42F57" w:rsidRPr="00101E5A">
        <w:rPr>
          <w:rFonts w:ascii="Cambria" w:hAnsi="Cambria"/>
          <w:szCs w:val="24"/>
        </w:rPr>
        <w:t>reatment-</w:t>
      </w:r>
      <w:r w:rsidRPr="00101E5A">
        <w:rPr>
          <w:rFonts w:ascii="Cambria" w:hAnsi="Cambria"/>
          <w:szCs w:val="24"/>
        </w:rPr>
        <w:t>E</w:t>
      </w:r>
      <w:r w:rsidR="00B42F57" w:rsidRPr="00101E5A">
        <w:rPr>
          <w:rFonts w:ascii="Cambria" w:hAnsi="Cambria"/>
          <w:szCs w:val="24"/>
        </w:rPr>
        <w:t>mergent Adverse Event</w:t>
      </w:r>
      <w:r w:rsidR="00B42F57" w:rsidRPr="007E28A2">
        <w:rPr>
          <w:rFonts w:ascii="Cambria" w:hAnsi="Cambria"/>
          <w:szCs w:val="24"/>
        </w:rPr>
        <w:t xml:space="preserve"> (TEAE) that was Grade 3 severity or higher.</w:t>
      </w:r>
      <w:r w:rsidR="00142411" w:rsidRPr="007E28A2">
        <w:rPr>
          <w:rFonts w:ascii="Cambria" w:hAnsi="Cambria"/>
          <w:szCs w:val="24"/>
        </w:rPr>
        <w:t xml:space="preserve"> </w:t>
      </w:r>
    </w:p>
    <w:p w14:paraId="2D996F77" w14:textId="35C48ADA" w:rsidR="00142411" w:rsidRPr="007E28A2" w:rsidRDefault="00B42F57" w:rsidP="006D7674">
      <w:pPr>
        <w:pStyle w:val="C-BodyText"/>
        <w:rPr>
          <w:rFonts w:ascii="Cambria" w:hAnsi="Cambria"/>
          <w:szCs w:val="24"/>
        </w:rPr>
      </w:pPr>
      <w:r w:rsidRPr="007E28A2">
        <w:rPr>
          <w:rFonts w:ascii="Cambria" w:hAnsi="Cambria"/>
          <w:szCs w:val="24"/>
        </w:rPr>
        <w:t>At the proposed therapeutic IV dose, the most frequently reported TEAEs (≥10.0%) were pyrexia (</w:t>
      </w:r>
      <w:r w:rsidR="00386EF5" w:rsidRPr="007E28A2">
        <w:rPr>
          <w:rFonts w:ascii="Cambria" w:hAnsi="Cambria"/>
          <w:szCs w:val="24"/>
        </w:rPr>
        <w:t>47</w:t>
      </w:r>
      <w:r w:rsidRPr="007E28A2">
        <w:rPr>
          <w:rFonts w:ascii="Cambria" w:hAnsi="Cambria"/>
          <w:szCs w:val="24"/>
        </w:rPr>
        <w:t xml:space="preserve"> patients, </w:t>
      </w:r>
      <w:r w:rsidR="00386EF5" w:rsidRPr="007E28A2">
        <w:rPr>
          <w:rFonts w:ascii="Cambria" w:hAnsi="Cambria"/>
          <w:szCs w:val="24"/>
        </w:rPr>
        <w:t>48.5</w:t>
      </w:r>
      <w:r w:rsidRPr="007E28A2">
        <w:rPr>
          <w:rFonts w:ascii="Cambria" w:hAnsi="Cambria"/>
          <w:szCs w:val="24"/>
        </w:rPr>
        <w:t>%), upper respiratory tract infection (</w:t>
      </w:r>
      <w:r w:rsidR="00386EF5" w:rsidRPr="007E28A2">
        <w:rPr>
          <w:rFonts w:ascii="Cambria" w:hAnsi="Cambria"/>
          <w:szCs w:val="24"/>
        </w:rPr>
        <w:t>36</w:t>
      </w:r>
      <w:r w:rsidRPr="007E28A2">
        <w:rPr>
          <w:rFonts w:ascii="Cambria" w:hAnsi="Cambria"/>
          <w:szCs w:val="24"/>
        </w:rPr>
        <w:t xml:space="preserve"> patients, </w:t>
      </w:r>
      <w:r w:rsidR="00386EF5" w:rsidRPr="007E28A2">
        <w:rPr>
          <w:rFonts w:ascii="Cambria" w:hAnsi="Cambria"/>
          <w:szCs w:val="24"/>
        </w:rPr>
        <w:t>37.1</w:t>
      </w:r>
      <w:r w:rsidRPr="007E28A2">
        <w:rPr>
          <w:rFonts w:ascii="Cambria" w:hAnsi="Cambria"/>
          <w:szCs w:val="24"/>
        </w:rPr>
        <w:t>%), vomiting (</w:t>
      </w:r>
      <w:r w:rsidR="00386EF5" w:rsidRPr="007E28A2">
        <w:rPr>
          <w:rFonts w:ascii="Cambria" w:hAnsi="Cambria"/>
          <w:szCs w:val="24"/>
        </w:rPr>
        <w:t>24</w:t>
      </w:r>
      <w:r w:rsidRPr="007E28A2">
        <w:rPr>
          <w:rFonts w:ascii="Cambria" w:hAnsi="Cambria"/>
          <w:szCs w:val="24"/>
        </w:rPr>
        <w:t xml:space="preserve"> patients, </w:t>
      </w:r>
      <w:r w:rsidR="00386EF5" w:rsidRPr="007E28A2">
        <w:rPr>
          <w:rFonts w:ascii="Cambria" w:hAnsi="Cambria"/>
          <w:szCs w:val="24"/>
        </w:rPr>
        <w:t>24.7</w:t>
      </w:r>
      <w:r w:rsidRPr="007E28A2">
        <w:rPr>
          <w:rFonts w:ascii="Cambria" w:hAnsi="Cambria"/>
          <w:szCs w:val="24"/>
        </w:rPr>
        <w:t>%), constipation (</w:t>
      </w:r>
      <w:r w:rsidR="00386EF5" w:rsidRPr="007E28A2">
        <w:rPr>
          <w:rFonts w:ascii="Cambria" w:hAnsi="Cambria"/>
          <w:szCs w:val="24"/>
        </w:rPr>
        <w:t>22</w:t>
      </w:r>
      <w:r w:rsidRPr="007E28A2">
        <w:rPr>
          <w:rFonts w:ascii="Cambria" w:hAnsi="Cambria"/>
          <w:szCs w:val="24"/>
        </w:rPr>
        <w:t xml:space="preserve"> patients, </w:t>
      </w:r>
      <w:r w:rsidR="00386EF5" w:rsidRPr="007E28A2">
        <w:rPr>
          <w:rFonts w:ascii="Cambria" w:hAnsi="Cambria"/>
          <w:szCs w:val="24"/>
        </w:rPr>
        <w:t>22.7</w:t>
      </w:r>
      <w:r w:rsidRPr="007E28A2">
        <w:rPr>
          <w:rFonts w:ascii="Cambria" w:hAnsi="Cambria"/>
          <w:szCs w:val="24"/>
        </w:rPr>
        <w:t>%), cough (</w:t>
      </w:r>
      <w:r w:rsidR="00386EF5" w:rsidRPr="007E28A2">
        <w:rPr>
          <w:rFonts w:ascii="Cambria" w:hAnsi="Cambria"/>
          <w:szCs w:val="24"/>
        </w:rPr>
        <w:t>20</w:t>
      </w:r>
      <w:r w:rsidRPr="007E28A2">
        <w:rPr>
          <w:rFonts w:ascii="Cambria" w:hAnsi="Cambria"/>
          <w:szCs w:val="24"/>
        </w:rPr>
        <w:t xml:space="preserve"> patients, </w:t>
      </w:r>
      <w:r w:rsidR="00386EF5" w:rsidRPr="007E28A2">
        <w:rPr>
          <w:rFonts w:ascii="Cambria" w:hAnsi="Cambria"/>
          <w:szCs w:val="24"/>
        </w:rPr>
        <w:t>20.6</w:t>
      </w:r>
      <w:r w:rsidRPr="007E28A2">
        <w:rPr>
          <w:rFonts w:ascii="Cambria" w:hAnsi="Cambria"/>
          <w:szCs w:val="24"/>
        </w:rPr>
        <w:t>%), gastroesophageal reflux disease (</w:t>
      </w:r>
      <w:r w:rsidR="00386EF5" w:rsidRPr="007E28A2">
        <w:rPr>
          <w:rFonts w:ascii="Cambria" w:hAnsi="Cambria"/>
          <w:szCs w:val="24"/>
        </w:rPr>
        <w:t>17</w:t>
      </w:r>
      <w:r w:rsidRPr="007E28A2">
        <w:rPr>
          <w:rFonts w:ascii="Cambria" w:hAnsi="Cambria"/>
          <w:szCs w:val="24"/>
        </w:rPr>
        <w:t xml:space="preserve"> patients, 17.</w:t>
      </w:r>
      <w:r w:rsidR="00386EF5" w:rsidRPr="007E28A2">
        <w:rPr>
          <w:rFonts w:ascii="Cambria" w:hAnsi="Cambria"/>
          <w:szCs w:val="24"/>
        </w:rPr>
        <w:t>5</w:t>
      </w:r>
      <w:r w:rsidRPr="007E28A2">
        <w:rPr>
          <w:rFonts w:ascii="Cambria" w:hAnsi="Cambria"/>
          <w:szCs w:val="24"/>
        </w:rPr>
        <w:t xml:space="preserve">%), </w:t>
      </w:r>
      <w:proofErr w:type="spellStart"/>
      <w:r w:rsidRPr="007E28A2">
        <w:rPr>
          <w:rFonts w:ascii="Cambria" w:hAnsi="Cambria"/>
          <w:szCs w:val="24"/>
        </w:rPr>
        <w:t>diarrh</w:t>
      </w:r>
      <w:r w:rsidR="00416500">
        <w:rPr>
          <w:rFonts w:ascii="Cambria" w:hAnsi="Cambria"/>
          <w:szCs w:val="24"/>
        </w:rPr>
        <w:t>o</w:t>
      </w:r>
      <w:r w:rsidRPr="007E28A2">
        <w:rPr>
          <w:rFonts w:ascii="Cambria" w:hAnsi="Cambria"/>
          <w:szCs w:val="24"/>
        </w:rPr>
        <w:t>ea</w:t>
      </w:r>
      <w:proofErr w:type="spellEnd"/>
      <w:r w:rsidRPr="007E28A2">
        <w:rPr>
          <w:rFonts w:ascii="Cambria" w:hAnsi="Cambria"/>
          <w:szCs w:val="24"/>
        </w:rPr>
        <w:t>, (</w:t>
      </w:r>
      <w:r w:rsidR="00386EF5" w:rsidRPr="007E28A2">
        <w:rPr>
          <w:rFonts w:ascii="Cambria" w:hAnsi="Cambria"/>
          <w:szCs w:val="24"/>
        </w:rPr>
        <w:t>15</w:t>
      </w:r>
      <w:r w:rsidRPr="007E28A2">
        <w:rPr>
          <w:rFonts w:ascii="Cambria" w:hAnsi="Cambria"/>
          <w:szCs w:val="24"/>
        </w:rPr>
        <w:t xml:space="preserve"> patients, </w:t>
      </w:r>
      <w:r w:rsidR="00386EF5" w:rsidRPr="007E28A2">
        <w:rPr>
          <w:rFonts w:ascii="Cambria" w:hAnsi="Cambria"/>
          <w:szCs w:val="24"/>
        </w:rPr>
        <w:t>15.5</w:t>
      </w:r>
      <w:r w:rsidRPr="007E28A2">
        <w:rPr>
          <w:rFonts w:ascii="Cambria" w:hAnsi="Cambria"/>
          <w:szCs w:val="24"/>
        </w:rPr>
        <w:t>%)</w:t>
      </w:r>
      <w:r w:rsidR="00142411" w:rsidRPr="007E28A2">
        <w:rPr>
          <w:rFonts w:ascii="Cambria" w:hAnsi="Cambria"/>
          <w:szCs w:val="24"/>
        </w:rPr>
        <w:t>,</w:t>
      </w:r>
      <w:r w:rsidRPr="007E28A2">
        <w:rPr>
          <w:rFonts w:ascii="Cambria" w:hAnsi="Cambria"/>
          <w:szCs w:val="24"/>
        </w:rPr>
        <w:t xml:space="preserve"> pneumonia (</w:t>
      </w:r>
      <w:r w:rsidR="00386EF5" w:rsidRPr="007E28A2">
        <w:rPr>
          <w:rFonts w:ascii="Cambria" w:hAnsi="Cambria"/>
          <w:szCs w:val="24"/>
        </w:rPr>
        <w:t>15</w:t>
      </w:r>
      <w:r w:rsidRPr="007E28A2">
        <w:rPr>
          <w:rFonts w:ascii="Cambria" w:hAnsi="Cambria"/>
          <w:szCs w:val="24"/>
        </w:rPr>
        <w:t xml:space="preserve"> patients, </w:t>
      </w:r>
      <w:r w:rsidR="00386EF5" w:rsidRPr="007E28A2">
        <w:rPr>
          <w:rFonts w:ascii="Cambria" w:hAnsi="Cambria"/>
          <w:szCs w:val="24"/>
        </w:rPr>
        <w:t>15.5</w:t>
      </w:r>
      <w:r w:rsidRPr="007E28A2">
        <w:rPr>
          <w:rFonts w:ascii="Cambria" w:hAnsi="Cambria"/>
          <w:szCs w:val="24"/>
        </w:rPr>
        <w:t xml:space="preserve">%), </w:t>
      </w:r>
      <w:r w:rsidR="00386EF5" w:rsidRPr="007E28A2">
        <w:rPr>
          <w:rFonts w:ascii="Cambria" w:hAnsi="Cambria"/>
          <w:szCs w:val="24"/>
        </w:rPr>
        <w:t xml:space="preserve">rash (14 patients, 14.4%), transaminases increased (12 patients, 12.4%), </w:t>
      </w:r>
      <w:r w:rsidRPr="007E28A2">
        <w:rPr>
          <w:rFonts w:ascii="Cambria" w:hAnsi="Cambria"/>
          <w:szCs w:val="24"/>
        </w:rPr>
        <w:t>nasal congestion (</w:t>
      </w:r>
      <w:r w:rsidR="00386EF5" w:rsidRPr="007E28A2">
        <w:rPr>
          <w:rFonts w:ascii="Cambria" w:hAnsi="Cambria"/>
          <w:szCs w:val="24"/>
        </w:rPr>
        <w:t>11</w:t>
      </w:r>
      <w:r w:rsidRPr="007E28A2">
        <w:rPr>
          <w:rFonts w:ascii="Cambria" w:hAnsi="Cambria"/>
          <w:szCs w:val="24"/>
        </w:rPr>
        <w:t xml:space="preserve"> patients, </w:t>
      </w:r>
      <w:r w:rsidR="00386EF5" w:rsidRPr="007E28A2">
        <w:rPr>
          <w:rFonts w:ascii="Cambria" w:hAnsi="Cambria"/>
          <w:szCs w:val="24"/>
        </w:rPr>
        <w:t>11.3</w:t>
      </w:r>
      <w:r w:rsidRPr="007E28A2">
        <w:rPr>
          <w:rFonts w:ascii="Cambria" w:hAnsi="Cambria"/>
          <w:szCs w:val="24"/>
        </w:rPr>
        <w:t xml:space="preserve">%), </w:t>
      </w:r>
      <w:r w:rsidR="00142411" w:rsidRPr="007E28A2">
        <w:rPr>
          <w:rFonts w:ascii="Cambria" w:hAnsi="Cambria"/>
          <w:szCs w:val="24"/>
        </w:rPr>
        <w:t>scoliosis (11 patients, 11.3</w:t>
      </w:r>
      <w:r w:rsidR="00386EF5" w:rsidRPr="007E28A2">
        <w:rPr>
          <w:rFonts w:ascii="Cambria" w:hAnsi="Cambria"/>
          <w:szCs w:val="24"/>
        </w:rPr>
        <w:t xml:space="preserve">%), </w:t>
      </w:r>
      <w:r w:rsidR="00142411" w:rsidRPr="007E28A2">
        <w:rPr>
          <w:rFonts w:ascii="Cambria" w:hAnsi="Cambria"/>
          <w:szCs w:val="24"/>
        </w:rPr>
        <w:t xml:space="preserve">gastroenteritis (10 patients, 10.3%) </w:t>
      </w:r>
      <w:r w:rsidRPr="007E28A2">
        <w:rPr>
          <w:rFonts w:ascii="Cambria" w:hAnsi="Cambria"/>
          <w:szCs w:val="24"/>
        </w:rPr>
        <w:t xml:space="preserve">and </w:t>
      </w:r>
      <w:r w:rsidR="00142411" w:rsidRPr="007E28A2">
        <w:rPr>
          <w:rFonts w:ascii="Cambria" w:hAnsi="Cambria"/>
          <w:szCs w:val="24"/>
        </w:rPr>
        <w:t xml:space="preserve">teething (10 patients, 10.3%). </w:t>
      </w:r>
    </w:p>
    <w:p w14:paraId="3F81ED95" w14:textId="5C529988" w:rsidR="000033F8" w:rsidRPr="007E28A2" w:rsidRDefault="00A24851" w:rsidP="006D7674">
      <w:pPr>
        <w:pStyle w:val="C-BodyText"/>
        <w:rPr>
          <w:rFonts w:ascii="Cambria" w:hAnsi="Cambria"/>
          <w:szCs w:val="24"/>
        </w:rPr>
      </w:pPr>
      <w:r w:rsidRPr="00101E5A">
        <w:rPr>
          <w:rFonts w:ascii="Cambria" w:hAnsi="Cambria"/>
          <w:szCs w:val="24"/>
        </w:rPr>
        <w:t>The adverse</w:t>
      </w:r>
      <w:r w:rsidR="000033F8" w:rsidRPr="00101E5A">
        <w:rPr>
          <w:rFonts w:ascii="Cambria" w:hAnsi="Cambria"/>
          <w:szCs w:val="24"/>
        </w:rPr>
        <w:t xml:space="preserve"> drug</w:t>
      </w:r>
      <w:r w:rsidRPr="00101E5A">
        <w:rPr>
          <w:rFonts w:ascii="Cambria" w:hAnsi="Cambria"/>
          <w:szCs w:val="24"/>
        </w:rPr>
        <w:t xml:space="preserve"> reactions identified with </w:t>
      </w:r>
      <w:r w:rsidR="000033F8" w:rsidRPr="00101E5A">
        <w:rPr>
          <w:rFonts w:ascii="Cambria" w:hAnsi="Cambria"/>
          <w:szCs w:val="24"/>
        </w:rPr>
        <w:t>ZOLGENSMA</w:t>
      </w:r>
      <w:r w:rsidRPr="00623208">
        <w:rPr>
          <w:rFonts w:ascii="Cambria" w:hAnsi="Cambria"/>
          <w:szCs w:val="24"/>
        </w:rPr>
        <w:t xml:space="preserve"> in all patients treated with intravenous infusion </w:t>
      </w:r>
      <w:r w:rsidRPr="007E28A2">
        <w:rPr>
          <w:rFonts w:ascii="Cambria" w:hAnsi="Cambria"/>
          <w:szCs w:val="24"/>
        </w:rPr>
        <w:t xml:space="preserve">are presented in Table 2.  </w:t>
      </w:r>
      <w:r w:rsidR="00142411" w:rsidRPr="007E28A2">
        <w:rPr>
          <w:rFonts w:ascii="Cambria" w:hAnsi="Cambria"/>
          <w:szCs w:val="24"/>
        </w:rPr>
        <w:t>The most frequently reported (≥10%) adverse reaction following administration was transaminases increased.</w:t>
      </w:r>
    </w:p>
    <w:p w14:paraId="5554E9A8" w14:textId="584E23E5" w:rsidR="0012730B" w:rsidRDefault="00A24851" w:rsidP="006D7674">
      <w:pPr>
        <w:pStyle w:val="C-BodyText"/>
        <w:rPr>
          <w:rFonts w:ascii="Cambria" w:hAnsi="Cambria"/>
          <w:b/>
        </w:rPr>
      </w:pPr>
      <w:r w:rsidRPr="007E28A2">
        <w:rPr>
          <w:rFonts w:ascii="Cambria" w:hAnsi="Cambria"/>
          <w:szCs w:val="24"/>
        </w:rPr>
        <w:t xml:space="preserve">Adverse </w:t>
      </w:r>
      <w:r w:rsidR="000033F8" w:rsidRPr="007E28A2">
        <w:rPr>
          <w:rFonts w:ascii="Cambria" w:hAnsi="Cambria"/>
          <w:szCs w:val="24"/>
        </w:rPr>
        <w:t xml:space="preserve">drug </w:t>
      </w:r>
      <w:r w:rsidRPr="007E28A2">
        <w:rPr>
          <w:rFonts w:ascii="Cambria" w:hAnsi="Cambria"/>
          <w:szCs w:val="24"/>
        </w:rPr>
        <w:t xml:space="preserve">reactions </w:t>
      </w:r>
      <w:r w:rsidR="000033F8" w:rsidRPr="007E28A2">
        <w:rPr>
          <w:rFonts w:ascii="Cambria" w:hAnsi="Cambria"/>
          <w:szCs w:val="24"/>
        </w:rPr>
        <w:t>from clinical trials are listed by</w:t>
      </w:r>
      <w:r w:rsidRPr="007E28A2">
        <w:rPr>
          <w:rFonts w:ascii="Cambria" w:hAnsi="Cambria"/>
          <w:szCs w:val="24"/>
        </w:rPr>
        <w:t xml:space="preserve"> MedDRA system organ class.  </w:t>
      </w:r>
      <w:r w:rsidR="00F525B6" w:rsidRPr="007E28A2">
        <w:rPr>
          <w:rFonts w:ascii="Cambria" w:hAnsi="Cambria"/>
          <w:szCs w:val="24"/>
        </w:rPr>
        <w:t xml:space="preserve">Within each system organ class, the adverse drug reactions are ranked by frequency, with the most frequent reactions first. Within each frequency grouping, adverse reactions are presented in order of decreasing seriousness. </w:t>
      </w:r>
      <w:r w:rsidRPr="007E28A2">
        <w:rPr>
          <w:rFonts w:ascii="Cambria" w:hAnsi="Cambria"/>
          <w:szCs w:val="24"/>
        </w:rPr>
        <w:t>Frequency categories are derived according to the following conventions</w:t>
      </w:r>
      <w:r w:rsidR="00F525B6" w:rsidRPr="007E28A2">
        <w:rPr>
          <w:rFonts w:ascii="Cambria" w:hAnsi="Cambria"/>
          <w:szCs w:val="24"/>
        </w:rPr>
        <w:t xml:space="preserve"> (CIOMS III)</w:t>
      </w:r>
      <w:r w:rsidRPr="007E28A2">
        <w:rPr>
          <w:rFonts w:ascii="Cambria" w:hAnsi="Cambria"/>
          <w:szCs w:val="24"/>
        </w:rPr>
        <w:t xml:space="preserve">: very common (≥1/10); common (≥1/100 to &lt;1/10); uncommon (≥1/1,000 to &lt;1/100); rare (≥1/10,000 to &lt;1/1,000); very rare (&lt;1/10,000).  </w:t>
      </w:r>
    </w:p>
    <w:p w14:paraId="3F7B1A67" w14:textId="11A2ABE1" w:rsidR="00A24851" w:rsidRDefault="00A24851" w:rsidP="00A24851">
      <w:pPr>
        <w:pStyle w:val="C-BodyText"/>
        <w:rPr>
          <w:rFonts w:ascii="Cambria" w:hAnsi="Cambria"/>
          <w:b/>
        </w:rPr>
      </w:pPr>
      <w:r w:rsidRPr="00711FEF">
        <w:rPr>
          <w:rFonts w:ascii="Cambria" w:hAnsi="Cambria"/>
          <w:b/>
        </w:rPr>
        <w:t>Table 2</w:t>
      </w:r>
      <w:r w:rsidRPr="00711FEF">
        <w:rPr>
          <w:rFonts w:ascii="Cambria" w:hAnsi="Cambria"/>
          <w:b/>
        </w:rPr>
        <w:tab/>
      </w:r>
      <w:r w:rsidR="00386EF5">
        <w:rPr>
          <w:rFonts w:ascii="Cambria" w:hAnsi="Cambria"/>
          <w:b/>
        </w:rPr>
        <w:t>Summary</w:t>
      </w:r>
      <w:r w:rsidRPr="00711FEF">
        <w:rPr>
          <w:rFonts w:ascii="Cambria" w:hAnsi="Cambria"/>
          <w:b/>
        </w:rPr>
        <w:t xml:space="preserve"> of adverse </w:t>
      </w:r>
      <w:r w:rsidR="00386EF5">
        <w:rPr>
          <w:rFonts w:ascii="Cambria" w:hAnsi="Cambria"/>
          <w:b/>
        </w:rPr>
        <w:t xml:space="preserve">drug </w:t>
      </w:r>
      <w:r w:rsidRPr="00711FEF">
        <w:rPr>
          <w:rFonts w:ascii="Cambria" w:hAnsi="Cambria"/>
          <w:b/>
        </w:rPr>
        <w:t xml:space="preserve">reactions </w:t>
      </w:r>
      <w:r w:rsidR="00F525B6">
        <w:rPr>
          <w:rFonts w:ascii="Cambria" w:hAnsi="Cambria"/>
          <w:b/>
        </w:rPr>
        <w:t>from ZOLGENSMA</w:t>
      </w:r>
      <w:r w:rsidRPr="00711FEF">
        <w:rPr>
          <w:rFonts w:ascii="Cambria" w:hAnsi="Cambria"/>
          <w:b/>
        </w:rPr>
        <w:t xml:space="preserve"> clinical trials</w:t>
      </w:r>
    </w:p>
    <w:tbl>
      <w:tblPr>
        <w:tblStyle w:val="TableGrid"/>
        <w:tblW w:w="0" w:type="auto"/>
        <w:tblLook w:val="04A0" w:firstRow="1" w:lastRow="0" w:firstColumn="1" w:lastColumn="0" w:noHBand="0" w:noVBand="1"/>
      </w:tblPr>
      <w:tblGrid>
        <w:gridCol w:w="3116"/>
        <w:gridCol w:w="3117"/>
        <w:gridCol w:w="3117"/>
      </w:tblGrid>
      <w:tr w:rsidR="00F525B6" w:rsidRPr="008E6700" w14:paraId="50DF8860" w14:textId="77777777" w:rsidTr="00F525B6">
        <w:tc>
          <w:tcPr>
            <w:tcW w:w="3116" w:type="dxa"/>
          </w:tcPr>
          <w:p w14:paraId="5675FC57" w14:textId="77777777" w:rsidR="00F525B6" w:rsidRPr="008E6700" w:rsidRDefault="00F525B6" w:rsidP="00A24851">
            <w:pPr>
              <w:pStyle w:val="C-BodyText"/>
              <w:rPr>
                <w:rFonts w:ascii="Cambria" w:hAnsi="Cambria"/>
                <w:b/>
                <w:sz w:val="22"/>
                <w:szCs w:val="22"/>
              </w:rPr>
            </w:pPr>
            <w:r w:rsidRPr="008E6700">
              <w:rPr>
                <w:rFonts w:ascii="Cambria" w:hAnsi="Cambria"/>
                <w:b/>
                <w:sz w:val="22"/>
                <w:szCs w:val="22"/>
              </w:rPr>
              <w:t>Adverse Drug Reactions</w:t>
            </w:r>
          </w:p>
          <w:p w14:paraId="489D52E1" w14:textId="5A799FC5" w:rsidR="00C765B4" w:rsidRPr="008E6700" w:rsidRDefault="00F702BF" w:rsidP="00C765B4">
            <w:pPr>
              <w:pStyle w:val="C-BodyText"/>
              <w:rPr>
                <w:rFonts w:ascii="Cambria" w:hAnsi="Cambria"/>
                <w:b/>
                <w:sz w:val="22"/>
                <w:szCs w:val="22"/>
              </w:rPr>
            </w:pPr>
            <w:r w:rsidRPr="008E6700">
              <w:rPr>
                <w:rFonts w:ascii="Cambria" w:hAnsi="Cambria"/>
                <w:b/>
                <w:sz w:val="22"/>
                <w:szCs w:val="22"/>
              </w:rPr>
              <w:t>S</w:t>
            </w:r>
            <w:r w:rsidR="00C765B4" w:rsidRPr="008E6700">
              <w:rPr>
                <w:rFonts w:ascii="Cambria" w:hAnsi="Cambria"/>
                <w:b/>
                <w:sz w:val="22"/>
                <w:szCs w:val="22"/>
              </w:rPr>
              <w:t>ystem organ class</w:t>
            </w:r>
          </w:p>
          <w:p w14:paraId="23216775" w14:textId="25446FB3" w:rsidR="00F702BF" w:rsidRPr="008E6700" w:rsidRDefault="00C765B4" w:rsidP="00C765B4">
            <w:pPr>
              <w:pStyle w:val="C-BodyText"/>
              <w:rPr>
                <w:rFonts w:ascii="Cambria" w:hAnsi="Cambria"/>
                <w:sz w:val="22"/>
                <w:szCs w:val="22"/>
              </w:rPr>
            </w:pPr>
            <w:r w:rsidRPr="008E6700">
              <w:rPr>
                <w:rFonts w:ascii="Cambria" w:hAnsi="Cambria"/>
                <w:sz w:val="22"/>
                <w:szCs w:val="22"/>
              </w:rPr>
              <w:t>Preferred term</w:t>
            </w:r>
          </w:p>
        </w:tc>
        <w:tc>
          <w:tcPr>
            <w:tcW w:w="3117" w:type="dxa"/>
          </w:tcPr>
          <w:p w14:paraId="7AADF19B" w14:textId="77777777" w:rsidR="00F525B6" w:rsidRPr="008E6700" w:rsidRDefault="00F525B6" w:rsidP="00A24851">
            <w:pPr>
              <w:pStyle w:val="C-BodyText"/>
              <w:rPr>
                <w:rFonts w:ascii="Cambria" w:hAnsi="Cambria"/>
                <w:b/>
                <w:sz w:val="22"/>
                <w:szCs w:val="22"/>
              </w:rPr>
            </w:pPr>
            <w:r w:rsidRPr="008E6700">
              <w:rPr>
                <w:rFonts w:ascii="Cambria" w:hAnsi="Cambria"/>
                <w:b/>
                <w:sz w:val="22"/>
                <w:szCs w:val="22"/>
              </w:rPr>
              <w:t>Frequency %</w:t>
            </w:r>
          </w:p>
          <w:p w14:paraId="538AAF98" w14:textId="6A85BED7" w:rsidR="00F525B6" w:rsidRPr="008E6700" w:rsidRDefault="00F525B6" w:rsidP="00A24851">
            <w:pPr>
              <w:pStyle w:val="C-BodyText"/>
              <w:rPr>
                <w:rFonts w:ascii="Cambria" w:hAnsi="Cambria"/>
                <w:b/>
                <w:sz w:val="22"/>
                <w:szCs w:val="22"/>
              </w:rPr>
            </w:pPr>
            <w:r w:rsidRPr="008E6700">
              <w:rPr>
                <w:rFonts w:ascii="Cambria" w:hAnsi="Cambria"/>
                <w:b/>
                <w:sz w:val="22"/>
                <w:szCs w:val="22"/>
              </w:rPr>
              <w:t>(N=97)</w:t>
            </w:r>
          </w:p>
        </w:tc>
        <w:tc>
          <w:tcPr>
            <w:tcW w:w="3117" w:type="dxa"/>
          </w:tcPr>
          <w:p w14:paraId="0A7F4DFD" w14:textId="44B6EBC6" w:rsidR="00F525B6" w:rsidRPr="008E6700" w:rsidRDefault="00F525B6" w:rsidP="00A24851">
            <w:pPr>
              <w:pStyle w:val="C-BodyText"/>
              <w:rPr>
                <w:rFonts w:ascii="Cambria" w:hAnsi="Cambria"/>
                <w:b/>
                <w:sz w:val="22"/>
                <w:szCs w:val="22"/>
              </w:rPr>
            </w:pPr>
            <w:r w:rsidRPr="008E6700">
              <w:rPr>
                <w:rFonts w:ascii="Cambria" w:hAnsi="Cambria"/>
                <w:b/>
                <w:sz w:val="22"/>
                <w:szCs w:val="22"/>
              </w:rPr>
              <w:t>Frequency Category</w:t>
            </w:r>
          </w:p>
        </w:tc>
      </w:tr>
      <w:tr w:rsidR="00F525B6" w:rsidRPr="008E6700" w14:paraId="0AC29899" w14:textId="77777777" w:rsidTr="00CE3089">
        <w:tc>
          <w:tcPr>
            <w:tcW w:w="9350" w:type="dxa"/>
            <w:gridSpan w:val="3"/>
          </w:tcPr>
          <w:p w14:paraId="46E2ED9E" w14:textId="6F5D7DE2" w:rsidR="00F525B6" w:rsidRPr="008E6700" w:rsidRDefault="00F525B6" w:rsidP="00A24851">
            <w:pPr>
              <w:pStyle w:val="C-BodyText"/>
              <w:rPr>
                <w:rFonts w:ascii="Cambria" w:hAnsi="Cambria"/>
                <w:b/>
                <w:sz w:val="22"/>
                <w:szCs w:val="22"/>
              </w:rPr>
            </w:pPr>
            <w:r w:rsidRPr="008E6700">
              <w:rPr>
                <w:rFonts w:ascii="Cambria" w:hAnsi="Cambria"/>
                <w:b/>
                <w:sz w:val="22"/>
                <w:szCs w:val="22"/>
              </w:rPr>
              <w:t>Blood and lymphatic system disorders</w:t>
            </w:r>
          </w:p>
        </w:tc>
      </w:tr>
      <w:tr w:rsidR="00F525B6" w:rsidRPr="008E6700" w14:paraId="71BBDBDC" w14:textId="77777777" w:rsidTr="00F525B6">
        <w:tc>
          <w:tcPr>
            <w:tcW w:w="3116" w:type="dxa"/>
          </w:tcPr>
          <w:p w14:paraId="6664E305" w14:textId="1ECC12E8" w:rsidR="00F525B6" w:rsidRPr="008E6700" w:rsidRDefault="00F525B6" w:rsidP="00A24851">
            <w:pPr>
              <w:pStyle w:val="C-BodyText"/>
              <w:rPr>
                <w:rFonts w:ascii="Cambria" w:hAnsi="Cambria"/>
                <w:sz w:val="22"/>
                <w:szCs w:val="22"/>
              </w:rPr>
            </w:pPr>
            <w:r w:rsidRPr="008E6700">
              <w:rPr>
                <w:rFonts w:ascii="Cambria" w:hAnsi="Cambria"/>
                <w:sz w:val="22"/>
                <w:szCs w:val="22"/>
              </w:rPr>
              <w:t>Thrombocytopenia</w:t>
            </w:r>
          </w:p>
        </w:tc>
        <w:tc>
          <w:tcPr>
            <w:tcW w:w="3117" w:type="dxa"/>
          </w:tcPr>
          <w:p w14:paraId="476634EC" w14:textId="68C1C644" w:rsidR="00F525B6" w:rsidRPr="008E6700" w:rsidRDefault="00F525B6" w:rsidP="00A24851">
            <w:pPr>
              <w:pStyle w:val="C-BodyText"/>
              <w:rPr>
                <w:rFonts w:ascii="Cambria" w:hAnsi="Cambria"/>
                <w:sz w:val="22"/>
                <w:szCs w:val="22"/>
              </w:rPr>
            </w:pPr>
            <w:r w:rsidRPr="008E6700">
              <w:rPr>
                <w:rFonts w:ascii="Cambria" w:hAnsi="Cambria"/>
                <w:sz w:val="22"/>
                <w:szCs w:val="22"/>
              </w:rPr>
              <w:t>4.1</w:t>
            </w:r>
          </w:p>
        </w:tc>
        <w:tc>
          <w:tcPr>
            <w:tcW w:w="3117" w:type="dxa"/>
          </w:tcPr>
          <w:p w14:paraId="3709101C" w14:textId="27854FBC" w:rsidR="00F525B6" w:rsidRPr="008E6700" w:rsidRDefault="00F525B6" w:rsidP="00A24851">
            <w:pPr>
              <w:pStyle w:val="C-BodyText"/>
              <w:rPr>
                <w:rFonts w:ascii="Cambria" w:hAnsi="Cambria"/>
                <w:sz w:val="22"/>
                <w:szCs w:val="22"/>
              </w:rPr>
            </w:pPr>
            <w:r w:rsidRPr="008E6700">
              <w:rPr>
                <w:rFonts w:ascii="Cambria" w:hAnsi="Cambria"/>
                <w:sz w:val="22"/>
                <w:szCs w:val="22"/>
              </w:rPr>
              <w:t>Common</w:t>
            </w:r>
          </w:p>
        </w:tc>
      </w:tr>
      <w:tr w:rsidR="00F525B6" w:rsidRPr="008E6700" w14:paraId="4CD67369" w14:textId="77777777" w:rsidTr="00CE3089">
        <w:tc>
          <w:tcPr>
            <w:tcW w:w="9350" w:type="dxa"/>
            <w:gridSpan w:val="3"/>
          </w:tcPr>
          <w:p w14:paraId="469B3F41" w14:textId="0BA3D4F9" w:rsidR="00F525B6" w:rsidRPr="008E6700" w:rsidRDefault="00F525B6" w:rsidP="00A24851">
            <w:pPr>
              <w:pStyle w:val="C-BodyText"/>
              <w:rPr>
                <w:rFonts w:ascii="Cambria" w:hAnsi="Cambria"/>
                <w:b/>
                <w:sz w:val="22"/>
                <w:szCs w:val="22"/>
              </w:rPr>
            </w:pPr>
            <w:r w:rsidRPr="008E6700">
              <w:rPr>
                <w:rFonts w:ascii="Cambria" w:hAnsi="Cambria"/>
                <w:b/>
                <w:sz w:val="22"/>
                <w:szCs w:val="22"/>
              </w:rPr>
              <w:t>Gastrointestinal disorders</w:t>
            </w:r>
          </w:p>
        </w:tc>
      </w:tr>
      <w:tr w:rsidR="00F525B6" w:rsidRPr="008E6700" w14:paraId="2023DEB8" w14:textId="77777777" w:rsidTr="00F525B6">
        <w:tc>
          <w:tcPr>
            <w:tcW w:w="3116" w:type="dxa"/>
          </w:tcPr>
          <w:p w14:paraId="5A1651F8" w14:textId="099856AF" w:rsidR="00F525B6" w:rsidRPr="008E6700" w:rsidRDefault="00F525B6" w:rsidP="00A24851">
            <w:pPr>
              <w:pStyle w:val="C-BodyText"/>
              <w:rPr>
                <w:rFonts w:ascii="Cambria" w:hAnsi="Cambria"/>
                <w:sz w:val="22"/>
                <w:szCs w:val="22"/>
              </w:rPr>
            </w:pPr>
            <w:r w:rsidRPr="008E6700">
              <w:rPr>
                <w:rFonts w:ascii="Cambria" w:hAnsi="Cambria"/>
                <w:sz w:val="22"/>
                <w:szCs w:val="22"/>
              </w:rPr>
              <w:t>Vomiting</w:t>
            </w:r>
          </w:p>
        </w:tc>
        <w:tc>
          <w:tcPr>
            <w:tcW w:w="3117" w:type="dxa"/>
          </w:tcPr>
          <w:p w14:paraId="2553743B" w14:textId="2CA161A9" w:rsidR="00F525B6" w:rsidRPr="008E6700" w:rsidRDefault="00F525B6" w:rsidP="00A24851">
            <w:pPr>
              <w:pStyle w:val="C-BodyText"/>
              <w:rPr>
                <w:rFonts w:ascii="Cambria" w:hAnsi="Cambria"/>
                <w:sz w:val="22"/>
                <w:szCs w:val="22"/>
              </w:rPr>
            </w:pPr>
            <w:r w:rsidRPr="008E6700">
              <w:rPr>
                <w:rFonts w:ascii="Cambria" w:hAnsi="Cambria"/>
                <w:sz w:val="22"/>
                <w:szCs w:val="22"/>
              </w:rPr>
              <w:t>8.2</w:t>
            </w:r>
          </w:p>
        </w:tc>
        <w:tc>
          <w:tcPr>
            <w:tcW w:w="3117" w:type="dxa"/>
          </w:tcPr>
          <w:p w14:paraId="0D9ECCCF" w14:textId="3FD9263B" w:rsidR="00F525B6" w:rsidRPr="008E6700" w:rsidRDefault="00F525B6" w:rsidP="00A24851">
            <w:pPr>
              <w:pStyle w:val="C-BodyText"/>
              <w:rPr>
                <w:rFonts w:ascii="Cambria" w:hAnsi="Cambria"/>
                <w:sz w:val="22"/>
                <w:szCs w:val="22"/>
              </w:rPr>
            </w:pPr>
            <w:r w:rsidRPr="008E6700">
              <w:rPr>
                <w:rFonts w:ascii="Cambria" w:hAnsi="Cambria"/>
                <w:sz w:val="22"/>
                <w:szCs w:val="22"/>
              </w:rPr>
              <w:t>Common</w:t>
            </w:r>
          </w:p>
        </w:tc>
      </w:tr>
      <w:tr w:rsidR="00147802" w:rsidRPr="008E6700" w14:paraId="68973C55" w14:textId="77777777" w:rsidTr="00CE3089">
        <w:tc>
          <w:tcPr>
            <w:tcW w:w="9350" w:type="dxa"/>
            <w:gridSpan w:val="3"/>
          </w:tcPr>
          <w:p w14:paraId="0E86E8A2" w14:textId="705B5131" w:rsidR="00147802" w:rsidRPr="008E6700" w:rsidRDefault="00147802" w:rsidP="00A24851">
            <w:pPr>
              <w:pStyle w:val="C-BodyText"/>
              <w:rPr>
                <w:rFonts w:ascii="Cambria" w:hAnsi="Cambria"/>
                <w:sz w:val="22"/>
                <w:szCs w:val="22"/>
              </w:rPr>
            </w:pPr>
            <w:r w:rsidRPr="008E6700">
              <w:rPr>
                <w:rFonts w:ascii="Cambria" w:hAnsi="Cambria"/>
                <w:b/>
                <w:sz w:val="22"/>
                <w:szCs w:val="22"/>
              </w:rPr>
              <w:t>General disorders and administration site conditions</w:t>
            </w:r>
          </w:p>
        </w:tc>
      </w:tr>
      <w:tr w:rsidR="00147802" w:rsidRPr="008E6700" w14:paraId="45905797" w14:textId="77777777" w:rsidTr="00F525B6">
        <w:tc>
          <w:tcPr>
            <w:tcW w:w="3116" w:type="dxa"/>
          </w:tcPr>
          <w:p w14:paraId="0EB68B03" w14:textId="2B9EC33A" w:rsidR="00147802" w:rsidRPr="008E6700" w:rsidRDefault="00147802" w:rsidP="00A24851">
            <w:pPr>
              <w:pStyle w:val="C-BodyText"/>
              <w:rPr>
                <w:rFonts w:ascii="Cambria" w:hAnsi="Cambria"/>
                <w:sz w:val="22"/>
                <w:szCs w:val="22"/>
              </w:rPr>
            </w:pPr>
            <w:r w:rsidRPr="008E6700">
              <w:rPr>
                <w:rFonts w:ascii="Cambria" w:hAnsi="Cambria"/>
                <w:sz w:val="22"/>
                <w:szCs w:val="22"/>
              </w:rPr>
              <w:t>Pyrexia</w:t>
            </w:r>
          </w:p>
        </w:tc>
        <w:tc>
          <w:tcPr>
            <w:tcW w:w="3117" w:type="dxa"/>
          </w:tcPr>
          <w:p w14:paraId="0BFF9B61" w14:textId="3DC84C08" w:rsidR="00147802" w:rsidRPr="008E6700" w:rsidRDefault="00147802" w:rsidP="00A24851">
            <w:pPr>
              <w:pStyle w:val="C-BodyText"/>
              <w:rPr>
                <w:rFonts w:ascii="Cambria" w:hAnsi="Cambria"/>
                <w:sz w:val="22"/>
                <w:szCs w:val="22"/>
              </w:rPr>
            </w:pPr>
            <w:r w:rsidRPr="008E6700">
              <w:rPr>
                <w:rFonts w:ascii="Cambria" w:hAnsi="Cambria"/>
                <w:sz w:val="22"/>
                <w:szCs w:val="22"/>
              </w:rPr>
              <w:t>4.1</w:t>
            </w:r>
          </w:p>
        </w:tc>
        <w:tc>
          <w:tcPr>
            <w:tcW w:w="3117" w:type="dxa"/>
          </w:tcPr>
          <w:p w14:paraId="67F88EEF" w14:textId="1A62999A" w:rsidR="00147802" w:rsidRPr="008E6700" w:rsidRDefault="00147802" w:rsidP="00A24851">
            <w:pPr>
              <w:pStyle w:val="C-BodyText"/>
              <w:rPr>
                <w:rFonts w:ascii="Cambria" w:hAnsi="Cambria"/>
                <w:sz w:val="22"/>
                <w:szCs w:val="22"/>
              </w:rPr>
            </w:pPr>
            <w:r w:rsidRPr="008E6700">
              <w:rPr>
                <w:rFonts w:ascii="Cambria" w:hAnsi="Cambria"/>
                <w:sz w:val="22"/>
                <w:szCs w:val="22"/>
              </w:rPr>
              <w:t>Common</w:t>
            </w:r>
          </w:p>
        </w:tc>
      </w:tr>
      <w:tr w:rsidR="00F525B6" w:rsidRPr="008E6700" w14:paraId="64774661" w14:textId="77777777" w:rsidTr="00CE3089">
        <w:tc>
          <w:tcPr>
            <w:tcW w:w="9350" w:type="dxa"/>
            <w:gridSpan w:val="3"/>
          </w:tcPr>
          <w:p w14:paraId="15908627" w14:textId="76DD22A4" w:rsidR="00F525B6" w:rsidRPr="008E6700" w:rsidRDefault="00F525B6" w:rsidP="00A24851">
            <w:pPr>
              <w:pStyle w:val="C-BodyText"/>
              <w:rPr>
                <w:rFonts w:ascii="Cambria" w:hAnsi="Cambria"/>
                <w:b/>
                <w:sz w:val="22"/>
                <w:szCs w:val="22"/>
              </w:rPr>
            </w:pPr>
            <w:r w:rsidRPr="008E6700">
              <w:rPr>
                <w:rFonts w:ascii="Cambria" w:hAnsi="Cambria"/>
                <w:b/>
                <w:sz w:val="22"/>
                <w:szCs w:val="22"/>
              </w:rPr>
              <w:t>Investigations</w:t>
            </w:r>
          </w:p>
        </w:tc>
      </w:tr>
      <w:tr w:rsidR="00F525B6" w:rsidRPr="008E6700" w14:paraId="03CAC623" w14:textId="77777777" w:rsidTr="00F525B6">
        <w:tc>
          <w:tcPr>
            <w:tcW w:w="3116" w:type="dxa"/>
          </w:tcPr>
          <w:p w14:paraId="4ED3EAA1" w14:textId="22752616" w:rsidR="00F525B6" w:rsidRPr="008E6700" w:rsidRDefault="00F525B6" w:rsidP="00A24851">
            <w:pPr>
              <w:pStyle w:val="C-BodyText"/>
              <w:rPr>
                <w:rFonts w:ascii="Cambria" w:hAnsi="Cambria"/>
                <w:sz w:val="22"/>
                <w:szCs w:val="22"/>
              </w:rPr>
            </w:pPr>
            <w:r w:rsidRPr="008E6700">
              <w:rPr>
                <w:rFonts w:ascii="Cambria" w:hAnsi="Cambria"/>
                <w:sz w:val="22"/>
                <w:szCs w:val="22"/>
              </w:rPr>
              <w:t>Transaminases increased</w:t>
            </w:r>
          </w:p>
        </w:tc>
        <w:tc>
          <w:tcPr>
            <w:tcW w:w="3117" w:type="dxa"/>
          </w:tcPr>
          <w:p w14:paraId="32DCF1D7" w14:textId="2B4E70E8" w:rsidR="00F525B6" w:rsidRPr="008E6700" w:rsidRDefault="00351391" w:rsidP="00A24851">
            <w:pPr>
              <w:pStyle w:val="C-BodyText"/>
              <w:rPr>
                <w:rFonts w:ascii="Cambria" w:hAnsi="Cambria"/>
                <w:sz w:val="22"/>
                <w:szCs w:val="22"/>
              </w:rPr>
            </w:pPr>
            <w:r w:rsidRPr="008E6700">
              <w:rPr>
                <w:rFonts w:ascii="Cambria" w:hAnsi="Cambria"/>
                <w:sz w:val="22"/>
                <w:szCs w:val="22"/>
              </w:rPr>
              <w:t>12.4</w:t>
            </w:r>
          </w:p>
        </w:tc>
        <w:tc>
          <w:tcPr>
            <w:tcW w:w="3117" w:type="dxa"/>
          </w:tcPr>
          <w:p w14:paraId="6136864B" w14:textId="7C0BCB3D" w:rsidR="00F525B6" w:rsidRPr="008E6700" w:rsidRDefault="00351391" w:rsidP="00A24851">
            <w:pPr>
              <w:pStyle w:val="C-BodyText"/>
              <w:rPr>
                <w:rFonts w:ascii="Cambria" w:hAnsi="Cambria"/>
                <w:sz w:val="22"/>
                <w:szCs w:val="22"/>
              </w:rPr>
            </w:pPr>
            <w:r w:rsidRPr="008E6700">
              <w:rPr>
                <w:rFonts w:ascii="Cambria" w:hAnsi="Cambria"/>
                <w:sz w:val="22"/>
                <w:szCs w:val="22"/>
              </w:rPr>
              <w:t>Very common</w:t>
            </w:r>
          </w:p>
        </w:tc>
      </w:tr>
      <w:tr w:rsidR="00F525B6" w:rsidRPr="008E6700" w14:paraId="68B6D6D3" w14:textId="77777777" w:rsidTr="00F525B6">
        <w:tc>
          <w:tcPr>
            <w:tcW w:w="3116" w:type="dxa"/>
          </w:tcPr>
          <w:p w14:paraId="151FECDB" w14:textId="6B71A7EA" w:rsidR="00F525B6" w:rsidRPr="008E6700" w:rsidRDefault="00F525B6" w:rsidP="00351391">
            <w:pPr>
              <w:pStyle w:val="C-BodyText"/>
              <w:rPr>
                <w:rFonts w:ascii="Cambria" w:hAnsi="Cambria"/>
                <w:sz w:val="22"/>
                <w:szCs w:val="22"/>
              </w:rPr>
            </w:pPr>
            <w:r w:rsidRPr="008E6700">
              <w:rPr>
                <w:rFonts w:ascii="Cambria" w:hAnsi="Cambria"/>
                <w:sz w:val="22"/>
                <w:szCs w:val="22"/>
              </w:rPr>
              <w:t>Aspartate aminotransferase (AST)</w:t>
            </w:r>
            <w:r w:rsidR="00351391" w:rsidRPr="008E6700">
              <w:rPr>
                <w:rFonts w:ascii="Cambria" w:hAnsi="Cambria"/>
                <w:sz w:val="22"/>
                <w:szCs w:val="22"/>
              </w:rPr>
              <w:t xml:space="preserve"> </w:t>
            </w:r>
            <w:r w:rsidRPr="008E6700">
              <w:rPr>
                <w:rFonts w:ascii="Cambria" w:hAnsi="Cambria"/>
                <w:sz w:val="22"/>
                <w:szCs w:val="22"/>
              </w:rPr>
              <w:t>increased</w:t>
            </w:r>
          </w:p>
        </w:tc>
        <w:tc>
          <w:tcPr>
            <w:tcW w:w="3117" w:type="dxa"/>
          </w:tcPr>
          <w:p w14:paraId="04CE539F" w14:textId="6C3BC99F" w:rsidR="00F525B6" w:rsidRPr="008E6700" w:rsidRDefault="00351391" w:rsidP="00A24851">
            <w:pPr>
              <w:pStyle w:val="C-BodyText"/>
              <w:rPr>
                <w:rFonts w:ascii="Cambria" w:hAnsi="Cambria"/>
                <w:sz w:val="22"/>
                <w:szCs w:val="22"/>
              </w:rPr>
            </w:pPr>
            <w:r w:rsidRPr="008E6700">
              <w:rPr>
                <w:rFonts w:ascii="Cambria" w:hAnsi="Cambria"/>
                <w:sz w:val="22"/>
                <w:szCs w:val="22"/>
              </w:rPr>
              <w:t>9.3</w:t>
            </w:r>
          </w:p>
        </w:tc>
        <w:tc>
          <w:tcPr>
            <w:tcW w:w="3117" w:type="dxa"/>
          </w:tcPr>
          <w:p w14:paraId="7A6AA7DE" w14:textId="43F6B0B1" w:rsidR="00F525B6" w:rsidRPr="008E6700" w:rsidRDefault="00351391" w:rsidP="00A24851">
            <w:pPr>
              <w:pStyle w:val="C-BodyText"/>
              <w:rPr>
                <w:rFonts w:ascii="Cambria" w:hAnsi="Cambria"/>
                <w:sz w:val="22"/>
                <w:szCs w:val="22"/>
              </w:rPr>
            </w:pPr>
            <w:r w:rsidRPr="008E6700">
              <w:rPr>
                <w:rFonts w:ascii="Cambria" w:hAnsi="Cambria"/>
                <w:sz w:val="22"/>
                <w:szCs w:val="22"/>
              </w:rPr>
              <w:t>Common</w:t>
            </w:r>
          </w:p>
        </w:tc>
      </w:tr>
      <w:tr w:rsidR="00F525B6" w:rsidRPr="008E6700" w14:paraId="5A15AD27" w14:textId="77777777" w:rsidTr="00F525B6">
        <w:tc>
          <w:tcPr>
            <w:tcW w:w="3116" w:type="dxa"/>
          </w:tcPr>
          <w:p w14:paraId="4A714A60" w14:textId="02516BD6" w:rsidR="00F525B6" w:rsidRPr="008E6700" w:rsidRDefault="00F525B6" w:rsidP="00351391">
            <w:pPr>
              <w:pStyle w:val="C-BodyText"/>
              <w:rPr>
                <w:rFonts w:ascii="Cambria" w:hAnsi="Cambria"/>
                <w:sz w:val="22"/>
                <w:szCs w:val="22"/>
              </w:rPr>
            </w:pPr>
            <w:r w:rsidRPr="008E6700">
              <w:rPr>
                <w:rFonts w:ascii="Cambria" w:hAnsi="Cambria"/>
                <w:sz w:val="22"/>
                <w:szCs w:val="22"/>
              </w:rPr>
              <w:t>Alanine aminotransferase (ALT)</w:t>
            </w:r>
            <w:r w:rsidR="00351391" w:rsidRPr="008E6700">
              <w:rPr>
                <w:rFonts w:ascii="Cambria" w:hAnsi="Cambria"/>
                <w:sz w:val="22"/>
                <w:szCs w:val="22"/>
              </w:rPr>
              <w:t xml:space="preserve"> </w:t>
            </w:r>
            <w:r w:rsidRPr="008E6700">
              <w:rPr>
                <w:rFonts w:ascii="Cambria" w:hAnsi="Cambria"/>
                <w:sz w:val="22"/>
                <w:szCs w:val="22"/>
              </w:rPr>
              <w:t>increased</w:t>
            </w:r>
          </w:p>
        </w:tc>
        <w:tc>
          <w:tcPr>
            <w:tcW w:w="3117" w:type="dxa"/>
          </w:tcPr>
          <w:p w14:paraId="773F2B60" w14:textId="3192BF0A" w:rsidR="00F525B6" w:rsidRPr="008E6700" w:rsidRDefault="00351391" w:rsidP="00A24851">
            <w:pPr>
              <w:pStyle w:val="C-BodyText"/>
              <w:rPr>
                <w:rFonts w:ascii="Cambria" w:hAnsi="Cambria"/>
                <w:sz w:val="22"/>
                <w:szCs w:val="22"/>
              </w:rPr>
            </w:pPr>
            <w:r w:rsidRPr="008E6700">
              <w:rPr>
                <w:rFonts w:ascii="Cambria" w:hAnsi="Cambria"/>
                <w:sz w:val="22"/>
                <w:szCs w:val="22"/>
              </w:rPr>
              <w:t>8.2</w:t>
            </w:r>
          </w:p>
        </w:tc>
        <w:tc>
          <w:tcPr>
            <w:tcW w:w="3117" w:type="dxa"/>
          </w:tcPr>
          <w:p w14:paraId="4D6FEE4C" w14:textId="71DDE8FB" w:rsidR="00F525B6" w:rsidRPr="008E6700" w:rsidRDefault="00351391" w:rsidP="00A24851">
            <w:pPr>
              <w:pStyle w:val="C-BodyText"/>
              <w:rPr>
                <w:rFonts w:ascii="Cambria" w:hAnsi="Cambria"/>
                <w:sz w:val="22"/>
                <w:szCs w:val="22"/>
              </w:rPr>
            </w:pPr>
            <w:r w:rsidRPr="008E6700">
              <w:rPr>
                <w:rFonts w:ascii="Cambria" w:hAnsi="Cambria"/>
                <w:sz w:val="22"/>
                <w:szCs w:val="22"/>
              </w:rPr>
              <w:t>Common</w:t>
            </w:r>
          </w:p>
        </w:tc>
      </w:tr>
      <w:tr w:rsidR="00F525B6" w:rsidRPr="008E6700" w14:paraId="192CF018" w14:textId="77777777" w:rsidTr="00F525B6">
        <w:tc>
          <w:tcPr>
            <w:tcW w:w="3116" w:type="dxa"/>
          </w:tcPr>
          <w:p w14:paraId="4F75B83D" w14:textId="3881AC33" w:rsidR="00F525B6" w:rsidRPr="008E6700" w:rsidRDefault="00F525B6" w:rsidP="00A24851">
            <w:pPr>
              <w:pStyle w:val="C-BodyText"/>
              <w:rPr>
                <w:rFonts w:ascii="Cambria" w:hAnsi="Cambria"/>
                <w:sz w:val="22"/>
                <w:szCs w:val="22"/>
              </w:rPr>
            </w:pPr>
            <w:r w:rsidRPr="008E6700">
              <w:rPr>
                <w:rFonts w:ascii="Cambria" w:hAnsi="Cambria"/>
                <w:sz w:val="22"/>
                <w:szCs w:val="22"/>
              </w:rPr>
              <w:t>Elevated troponin-I</w:t>
            </w:r>
          </w:p>
        </w:tc>
        <w:tc>
          <w:tcPr>
            <w:tcW w:w="3117" w:type="dxa"/>
          </w:tcPr>
          <w:p w14:paraId="7229DD7D" w14:textId="5061A8A4" w:rsidR="00F525B6" w:rsidRPr="008E6700" w:rsidRDefault="00351391" w:rsidP="00A24851">
            <w:pPr>
              <w:pStyle w:val="C-BodyText"/>
              <w:rPr>
                <w:rFonts w:ascii="Cambria" w:hAnsi="Cambria"/>
                <w:sz w:val="22"/>
                <w:szCs w:val="22"/>
              </w:rPr>
            </w:pPr>
            <w:r w:rsidRPr="008E6700">
              <w:rPr>
                <w:rFonts w:ascii="Cambria" w:hAnsi="Cambria"/>
                <w:sz w:val="22"/>
                <w:szCs w:val="22"/>
              </w:rPr>
              <w:t>3.1</w:t>
            </w:r>
          </w:p>
        </w:tc>
        <w:tc>
          <w:tcPr>
            <w:tcW w:w="3117" w:type="dxa"/>
          </w:tcPr>
          <w:p w14:paraId="4B2302BD" w14:textId="21A8C2C7" w:rsidR="00F525B6" w:rsidRPr="008E6700" w:rsidRDefault="00351391" w:rsidP="00A24851">
            <w:pPr>
              <w:pStyle w:val="C-BodyText"/>
              <w:rPr>
                <w:rFonts w:ascii="Cambria" w:hAnsi="Cambria"/>
                <w:sz w:val="22"/>
                <w:szCs w:val="22"/>
              </w:rPr>
            </w:pPr>
            <w:r w:rsidRPr="008E6700">
              <w:rPr>
                <w:rFonts w:ascii="Cambria" w:hAnsi="Cambria"/>
                <w:sz w:val="22"/>
                <w:szCs w:val="22"/>
              </w:rPr>
              <w:t>Common</w:t>
            </w:r>
          </w:p>
        </w:tc>
      </w:tr>
      <w:tr w:rsidR="00351391" w:rsidRPr="008E6700" w14:paraId="0711823D" w14:textId="77777777" w:rsidTr="00CE3089">
        <w:tc>
          <w:tcPr>
            <w:tcW w:w="9350" w:type="dxa"/>
            <w:gridSpan w:val="3"/>
          </w:tcPr>
          <w:p w14:paraId="4CA59352" w14:textId="7409FBD5" w:rsidR="00351391" w:rsidRPr="008E6700" w:rsidRDefault="00351391" w:rsidP="00A24851">
            <w:pPr>
              <w:pStyle w:val="C-BodyText"/>
              <w:rPr>
                <w:rFonts w:ascii="Cambria" w:hAnsi="Cambria"/>
                <w:sz w:val="22"/>
                <w:szCs w:val="22"/>
              </w:rPr>
            </w:pPr>
            <w:r w:rsidRPr="008E6700">
              <w:rPr>
                <w:rFonts w:ascii="Cambria" w:hAnsi="Cambria"/>
                <w:b/>
                <w:sz w:val="22"/>
                <w:szCs w:val="22"/>
              </w:rPr>
              <w:t>Hepatobiliary disorders</w:t>
            </w:r>
          </w:p>
        </w:tc>
      </w:tr>
      <w:tr w:rsidR="00351391" w:rsidRPr="008E6700" w14:paraId="572DA59D" w14:textId="77777777" w:rsidTr="00F525B6">
        <w:tc>
          <w:tcPr>
            <w:tcW w:w="3116" w:type="dxa"/>
          </w:tcPr>
          <w:p w14:paraId="3B710663" w14:textId="021C2226" w:rsidR="00351391" w:rsidRPr="008E6700" w:rsidRDefault="00351391" w:rsidP="00A24851">
            <w:pPr>
              <w:pStyle w:val="C-BodyText"/>
              <w:rPr>
                <w:rFonts w:ascii="Cambria" w:hAnsi="Cambria"/>
                <w:sz w:val="22"/>
                <w:szCs w:val="22"/>
              </w:rPr>
            </w:pPr>
            <w:proofErr w:type="spellStart"/>
            <w:r w:rsidRPr="008E6700">
              <w:rPr>
                <w:rFonts w:ascii="Cambria" w:hAnsi="Cambria"/>
                <w:sz w:val="22"/>
                <w:szCs w:val="22"/>
              </w:rPr>
              <w:t>Hypertransaminasaemia</w:t>
            </w:r>
            <w:proofErr w:type="spellEnd"/>
          </w:p>
        </w:tc>
        <w:tc>
          <w:tcPr>
            <w:tcW w:w="3117" w:type="dxa"/>
          </w:tcPr>
          <w:p w14:paraId="7A0EDF39" w14:textId="37FF270A" w:rsidR="00351391" w:rsidRPr="008E6700" w:rsidRDefault="00351391" w:rsidP="00A24851">
            <w:pPr>
              <w:pStyle w:val="C-BodyText"/>
              <w:rPr>
                <w:rFonts w:ascii="Cambria" w:hAnsi="Cambria"/>
                <w:sz w:val="22"/>
                <w:szCs w:val="22"/>
              </w:rPr>
            </w:pPr>
            <w:r w:rsidRPr="008E6700">
              <w:rPr>
                <w:rFonts w:ascii="Cambria" w:hAnsi="Cambria"/>
                <w:sz w:val="22"/>
                <w:szCs w:val="22"/>
              </w:rPr>
              <w:t>8.2</w:t>
            </w:r>
          </w:p>
        </w:tc>
        <w:tc>
          <w:tcPr>
            <w:tcW w:w="3117" w:type="dxa"/>
          </w:tcPr>
          <w:p w14:paraId="2796970D" w14:textId="29132FE7" w:rsidR="00351391" w:rsidRPr="008E6700" w:rsidRDefault="00351391" w:rsidP="00A24851">
            <w:pPr>
              <w:pStyle w:val="C-BodyText"/>
              <w:rPr>
                <w:rFonts w:ascii="Cambria" w:hAnsi="Cambria"/>
                <w:sz w:val="22"/>
                <w:szCs w:val="22"/>
              </w:rPr>
            </w:pPr>
            <w:r w:rsidRPr="008E6700">
              <w:rPr>
                <w:rFonts w:ascii="Cambria" w:hAnsi="Cambria"/>
                <w:sz w:val="22"/>
                <w:szCs w:val="22"/>
              </w:rPr>
              <w:t>Common</w:t>
            </w:r>
          </w:p>
        </w:tc>
      </w:tr>
    </w:tbl>
    <w:p w14:paraId="79CF5F8D" w14:textId="2ED0F20E" w:rsidR="009B725E" w:rsidRDefault="009B725E">
      <w:pPr>
        <w:widowControl/>
        <w:tabs>
          <w:tab w:val="clear" w:pos="720"/>
        </w:tabs>
        <w:spacing w:after="160" w:line="259" w:lineRule="auto"/>
        <w:rPr>
          <w:rFonts w:ascii="Cambria" w:hAnsi="Cambria"/>
        </w:rPr>
      </w:pPr>
    </w:p>
    <w:p w14:paraId="02DCC264" w14:textId="77777777" w:rsidR="009D51C1" w:rsidRDefault="009D51C1" w:rsidP="00EF39DB">
      <w:pPr>
        <w:widowControl/>
        <w:tabs>
          <w:tab w:val="clear" w:pos="720"/>
        </w:tabs>
        <w:spacing w:after="160" w:line="259" w:lineRule="auto"/>
        <w:ind w:left="1440" w:hanging="1440"/>
        <w:rPr>
          <w:rStyle w:val="CommentReference"/>
          <w:rFonts w:ascii="Cambria" w:hAnsi="Cambria"/>
          <w:b/>
          <w:sz w:val="24"/>
          <w:szCs w:val="24"/>
        </w:rPr>
      </w:pPr>
    </w:p>
    <w:p w14:paraId="6459C3E1" w14:textId="6AF4A4EC" w:rsidR="009B725E" w:rsidRPr="009B725E" w:rsidDel="002C6CDB" w:rsidRDefault="009D51C1" w:rsidP="00276188">
      <w:pPr>
        <w:widowControl/>
        <w:tabs>
          <w:tab w:val="clear" w:pos="720"/>
        </w:tabs>
        <w:spacing w:after="160" w:line="259" w:lineRule="auto"/>
        <w:rPr>
          <w:rStyle w:val="CommentReference"/>
          <w:rFonts w:ascii="Cambria" w:hAnsi="Cambria"/>
          <w:b/>
          <w:sz w:val="24"/>
          <w:szCs w:val="24"/>
        </w:rPr>
      </w:pPr>
      <w:r>
        <w:rPr>
          <w:rStyle w:val="CommentReference"/>
          <w:rFonts w:ascii="Cambria" w:hAnsi="Cambria"/>
          <w:b/>
          <w:sz w:val="24"/>
          <w:szCs w:val="24"/>
        </w:rPr>
        <w:br w:type="page"/>
      </w:r>
      <w:r w:rsidR="009B725E" w:rsidRPr="009B725E">
        <w:rPr>
          <w:rStyle w:val="CommentReference"/>
          <w:rFonts w:ascii="Cambria" w:hAnsi="Cambria"/>
          <w:b/>
          <w:sz w:val="24"/>
          <w:szCs w:val="24"/>
        </w:rPr>
        <w:t>Table 3</w:t>
      </w:r>
      <w:r w:rsidR="009B725E" w:rsidRPr="009B725E">
        <w:rPr>
          <w:rStyle w:val="CommentReference"/>
          <w:rFonts w:ascii="Cambria" w:hAnsi="Cambria"/>
          <w:b/>
          <w:sz w:val="24"/>
          <w:szCs w:val="24"/>
        </w:rPr>
        <w:tab/>
        <w:t>Summary of adverse events occurring in &gt;5% of patients from ZOLGENSMA clinical trials</w:t>
      </w:r>
    </w:p>
    <w:tbl>
      <w:tblPr>
        <w:tblStyle w:val="TableGrid"/>
        <w:tblW w:w="0" w:type="auto"/>
        <w:tblLook w:val="04A0" w:firstRow="1" w:lastRow="0" w:firstColumn="1" w:lastColumn="0" w:noHBand="0" w:noVBand="1"/>
      </w:tblPr>
      <w:tblGrid>
        <w:gridCol w:w="4675"/>
        <w:gridCol w:w="4675"/>
      </w:tblGrid>
      <w:tr w:rsidR="009B725E" w:rsidRPr="009B725E" w14:paraId="18096182" w14:textId="77777777" w:rsidTr="009B725E">
        <w:trPr>
          <w:trHeight w:val="561"/>
        </w:trPr>
        <w:tc>
          <w:tcPr>
            <w:tcW w:w="4675" w:type="dxa"/>
          </w:tcPr>
          <w:p w14:paraId="7A80DA65" w14:textId="234F094F" w:rsidR="009B725E" w:rsidRPr="00DE5F53" w:rsidRDefault="009B725E" w:rsidP="009B725E">
            <w:pPr>
              <w:widowControl/>
              <w:tabs>
                <w:tab w:val="clear" w:pos="720"/>
              </w:tabs>
              <w:spacing w:after="160" w:line="259" w:lineRule="auto"/>
              <w:rPr>
                <w:rFonts w:ascii="Cambria" w:hAnsi="Cambria"/>
                <w:b/>
                <w:sz w:val="22"/>
              </w:rPr>
            </w:pPr>
            <w:r w:rsidRPr="00DE5F53">
              <w:rPr>
                <w:rFonts w:ascii="Cambria" w:hAnsi="Cambria"/>
                <w:b/>
                <w:sz w:val="22"/>
              </w:rPr>
              <w:t>Preferred Term</w:t>
            </w:r>
          </w:p>
        </w:tc>
        <w:tc>
          <w:tcPr>
            <w:tcW w:w="4675" w:type="dxa"/>
          </w:tcPr>
          <w:p w14:paraId="565BC5E9" w14:textId="77777777" w:rsidR="009B725E" w:rsidRPr="00DE5F53" w:rsidRDefault="009B725E" w:rsidP="009B725E">
            <w:pPr>
              <w:widowControl/>
              <w:tabs>
                <w:tab w:val="clear" w:pos="720"/>
              </w:tabs>
              <w:spacing w:after="0" w:line="259" w:lineRule="auto"/>
              <w:jc w:val="center"/>
              <w:rPr>
                <w:rFonts w:ascii="Cambria" w:hAnsi="Cambria"/>
                <w:b/>
                <w:sz w:val="22"/>
              </w:rPr>
            </w:pPr>
            <w:r w:rsidRPr="00DE5F53">
              <w:rPr>
                <w:rFonts w:ascii="Cambria" w:hAnsi="Cambria"/>
                <w:b/>
                <w:sz w:val="22"/>
              </w:rPr>
              <w:t>Proposed Therapeutic IV Dose</w:t>
            </w:r>
          </w:p>
          <w:p w14:paraId="0FFA9212" w14:textId="77777777" w:rsidR="009B725E" w:rsidRPr="00DE5F53" w:rsidRDefault="009B725E" w:rsidP="009B725E">
            <w:pPr>
              <w:widowControl/>
              <w:tabs>
                <w:tab w:val="clear" w:pos="720"/>
              </w:tabs>
              <w:spacing w:after="0" w:line="259" w:lineRule="auto"/>
              <w:jc w:val="center"/>
              <w:rPr>
                <w:rFonts w:ascii="Cambria" w:hAnsi="Cambria"/>
                <w:b/>
                <w:sz w:val="22"/>
              </w:rPr>
            </w:pPr>
            <w:r w:rsidRPr="00DE5F53">
              <w:rPr>
                <w:rFonts w:ascii="Cambria" w:hAnsi="Cambria"/>
                <w:b/>
                <w:sz w:val="22"/>
              </w:rPr>
              <w:t>(N=97)</w:t>
            </w:r>
          </w:p>
          <w:p w14:paraId="3C47580B" w14:textId="1AC28572" w:rsidR="009B725E" w:rsidRPr="00DE5F53" w:rsidRDefault="009B725E" w:rsidP="009B725E">
            <w:pPr>
              <w:widowControl/>
              <w:tabs>
                <w:tab w:val="clear" w:pos="720"/>
              </w:tabs>
              <w:spacing w:after="160" w:line="259" w:lineRule="auto"/>
              <w:jc w:val="center"/>
              <w:rPr>
                <w:rFonts w:ascii="Cambria" w:hAnsi="Cambria"/>
                <w:b/>
                <w:sz w:val="22"/>
              </w:rPr>
            </w:pPr>
            <w:r w:rsidRPr="00DE5F53">
              <w:rPr>
                <w:rFonts w:ascii="Cambria" w:hAnsi="Cambria"/>
                <w:b/>
                <w:sz w:val="22"/>
              </w:rPr>
              <w:t>n (%)</w:t>
            </w:r>
          </w:p>
        </w:tc>
      </w:tr>
      <w:tr w:rsidR="009B725E" w:rsidRPr="009B725E" w14:paraId="2A88665B" w14:textId="77777777" w:rsidTr="009B725E">
        <w:tc>
          <w:tcPr>
            <w:tcW w:w="4675" w:type="dxa"/>
          </w:tcPr>
          <w:p w14:paraId="3AEE84F4" w14:textId="2384D202"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Pyrexia</w:t>
            </w:r>
          </w:p>
        </w:tc>
        <w:tc>
          <w:tcPr>
            <w:tcW w:w="4675" w:type="dxa"/>
          </w:tcPr>
          <w:p w14:paraId="6B6F5E7A" w14:textId="26703290"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48 (49.5)</w:t>
            </w:r>
          </w:p>
        </w:tc>
      </w:tr>
      <w:tr w:rsidR="009B725E" w:rsidRPr="009B725E" w14:paraId="16B0C1E6" w14:textId="77777777" w:rsidTr="009B725E">
        <w:tc>
          <w:tcPr>
            <w:tcW w:w="4675" w:type="dxa"/>
          </w:tcPr>
          <w:p w14:paraId="4DCB8A99" w14:textId="2A228A75"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Upper respiratory tract infection</w:t>
            </w:r>
          </w:p>
        </w:tc>
        <w:tc>
          <w:tcPr>
            <w:tcW w:w="4675" w:type="dxa"/>
          </w:tcPr>
          <w:p w14:paraId="1490EBBF" w14:textId="5B7F930C"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36 (37.1)</w:t>
            </w:r>
          </w:p>
        </w:tc>
      </w:tr>
      <w:tr w:rsidR="009B725E" w:rsidRPr="009B725E" w14:paraId="09876850" w14:textId="77777777" w:rsidTr="009B725E">
        <w:tc>
          <w:tcPr>
            <w:tcW w:w="4675" w:type="dxa"/>
          </w:tcPr>
          <w:p w14:paraId="160B6149" w14:textId="32906B70"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Constipation</w:t>
            </w:r>
          </w:p>
        </w:tc>
        <w:tc>
          <w:tcPr>
            <w:tcW w:w="4675" w:type="dxa"/>
          </w:tcPr>
          <w:p w14:paraId="4D9FE0FF" w14:textId="6165F7C9"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25 (25.8)</w:t>
            </w:r>
          </w:p>
        </w:tc>
      </w:tr>
      <w:tr w:rsidR="009B725E" w:rsidRPr="009B725E" w14:paraId="5AC197E1" w14:textId="77777777" w:rsidTr="009B725E">
        <w:tc>
          <w:tcPr>
            <w:tcW w:w="4675" w:type="dxa"/>
          </w:tcPr>
          <w:p w14:paraId="2AB97817" w14:textId="5584E529" w:rsidR="009B725E" w:rsidRPr="009B725E" w:rsidRDefault="009B725E">
            <w:pPr>
              <w:widowControl/>
              <w:tabs>
                <w:tab w:val="clear" w:pos="720"/>
              </w:tabs>
              <w:spacing w:after="160" w:line="259" w:lineRule="auto"/>
              <w:rPr>
                <w:rFonts w:ascii="Cambria" w:hAnsi="Cambria"/>
                <w:sz w:val="22"/>
              </w:rPr>
            </w:pPr>
            <w:r>
              <w:rPr>
                <w:rFonts w:ascii="Cambria" w:hAnsi="Cambria"/>
                <w:sz w:val="22"/>
              </w:rPr>
              <w:t>Vomiting</w:t>
            </w:r>
          </w:p>
        </w:tc>
        <w:tc>
          <w:tcPr>
            <w:tcW w:w="4675" w:type="dxa"/>
          </w:tcPr>
          <w:p w14:paraId="2840D895" w14:textId="030E1524"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24 (24.7)</w:t>
            </w:r>
          </w:p>
        </w:tc>
      </w:tr>
      <w:tr w:rsidR="009B725E" w:rsidRPr="009B725E" w14:paraId="64FC5352" w14:textId="77777777" w:rsidTr="009B725E">
        <w:tc>
          <w:tcPr>
            <w:tcW w:w="4675" w:type="dxa"/>
          </w:tcPr>
          <w:p w14:paraId="4FEC8514" w14:textId="141CF4DE" w:rsidR="009B725E" w:rsidRPr="009B725E" w:rsidRDefault="009B725E">
            <w:pPr>
              <w:widowControl/>
              <w:tabs>
                <w:tab w:val="clear" w:pos="720"/>
              </w:tabs>
              <w:spacing w:after="160" w:line="259" w:lineRule="auto"/>
              <w:rPr>
                <w:rFonts w:ascii="Cambria" w:hAnsi="Cambria"/>
                <w:sz w:val="22"/>
              </w:rPr>
            </w:pPr>
            <w:r>
              <w:rPr>
                <w:rFonts w:ascii="Cambria" w:hAnsi="Cambria"/>
                <w:sz w:val="22"/>
              </w:rPr>
              <w:t>Cough</w:t>
            </w:r>
          </w:p>
        </w:tc>
        <w:tc>
          <w:tcPr>
            <w:tcW w:w="4675" w:type="dxa"/>
          </w:tcPr>
          <w:p w14:paraId="3FBA3126" w14:textId="7DC92D4B"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21 (21.6)</w:t>
            </w:r>
          </w:p>
        </w:tc>
      </w:tr>
      <w:tr w:rsidR="009B725E" w:rsidRPr="009B725E" w14:paraId="5630A06D" w14:textId="77777777" w:rsidTr="009B725E">
        <w:tc>
          <w:tcPr>
            <w:tcW w:w="4675" w:type="dxa"/>
          </w:tcPr>
          <w:p w14:paraId="3F156CCC" w14:textId="27F9F175"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Gastrooesophageal reflux disease</w:t>
            </w:r>
          </w:p>
        </w:tc>
        <w:tc>
          <w:tcPr>
            <w:tcW w:w="4675" w:type="dxa"/>
          </w:tcPr>
          <w:p w14:paraId="33FB9930" w14:textId="65506250"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17 (17.5)</w:t>
            </w:r>
          </w:p>
        </w:tc>
      </w:tr>
      <w:tr w:rsidR="009B725E" w:rsidRPr="009B725E" w14:paraId="77757564" w14:textId="77777777" w:rsidTr="009B725E">
        <w:tc>
          <w:tcPr>
            <w:tcW w:w="4675" w:type="dxa"/>
          </w:tcPr>
          <w:p w14:paraId="22875535" w14:textId="22CD2B86" w:rsidR="009B725E" w:rsidRPr="009B725E" w:rsidRDefault="009B725E">
            <w:pPr>
              <w:widowControl/>
              <w:tabs>
                <w:tab w:val="clear" w:pos="720"/>
              </w:tabs>
              <w:spacing w:after="160" w:line="259" w:lineRule="auto"/>
              <w:rPr>
                <w:rFonts w:ascii="Cambria" w:hAnsi="Cambria"/>
                <w:sz w:val="22"/>
              </w:rPr>
            </w:pPr>
            <w:r>
              <w:rPr>
                <w:rFonts w:ascii="Cambria" w:hAnsi="Cambria"/>
                <w:sz w:val="22"/>
              </w:rPr>
              <w:t>Diarrhoea</w:t>
            </w:r>
          </w:p>
        </w:tc>
        <w:tc>
          <w:tcPr>
            <w:tcW w:w="4675" w:type="dxa"/>
          </w:tcPr>
          <w:p w14:paraId="3CDCA367" w14:textId="300935B2"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15 (15.5)</w:t>
            </w:r>
          </w:p>
        </w:tc>
      </w:tr>
      <w:tr w:rsidR="009B725E" w:rsidRPr="009B725E" w14:paraId="116D1C5A" w14:textId="77777777" w:rsidTr="009B725E">
        <w:tc>
          <w:tcPr>
            <w:tcW w:w="4675" w:type="dxa"/>
          </w:tcPr>
          <w:p w14:paraId="41B6E6F5" w14:textId="7CF4CBF0"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Pneumonia</w:t>
            </w:r>
          </w:p>
        </w:tc>
        <w:tc>
          <w:tcPr>
            <w:tcW w:w="4675" w:type="dxa"/>
          </w:tcPr>
          <w:p w14:paraId="20C71B40" w14:textId="0BD09DE4"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15 (15.5)</w:t>
            </w:r>
          </w:p>
        </w:tc>
      </w:tr>
      <w:tr w:rsidR="009B725E" w:rsidRPr="009B725E" w14:paraId="56275286" w14:textId="77777777" w:rsidTr="009B725E">
        <w:tc>
          <w:tcPr>
            <w:tcW w:w="4675" w:type="dxa"/>
          </w:tcPr>
          <w:p w14:paraId="3E68C1FC" w14:textId="758BBFF1" w:rsidR="009B725E" w:rsidRPr="009B725E" w:rsidRDefault="009B725E">
            <w:pPr>
              <w:widowControl/>
              <w:tabs>
                <w:tab w:val="clear" w:pos="720"/>
              </w:tabs>
              <w:spacing w:after="160" w:line="259" w:lineRule="auto"/>
              <w:rPr>
                <w:rFonts w:ascii="Cambria" w:hAnsi="Cambria"/>
                <w:sz w:val="22"/>
              </w:rPr>
            </w:pPr>
            <w:r>
              <w:rPr>
                <w:rFonts w:ascii="Cambria" w:hAnsi="Cambria"/>
                <w:sz w:val="22"/>
              </w:rPr>
              <w:t>Rash</w:t>
            </w:r>
          </w:p>
        </w:tc>
        <w:tc>
          <w:tcPr>
            <w:tcW w:w="4675" w:type="dxa"/>
          </w:tcPr>
          <w:p w14:paraId="53E6BE82" w14:textId="7256D12A"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14 (14.4)</w:t>
            </w:r>
          </w:p>
        </w:tc>
      </w:tr>
      <w:tr w:rsidR="009B725E" w:rsidRPr="009B725E" w14:paraId="3EBDE2F5" w14:textId="77777777" w:rsidTr="009B725E">
        <w:tc>
          <w:tcPr>
            <w:tcW w:w="4675" w:type="dxa"/>
          </w:tcPr>
          <w:p w14:paraId="4B7EF3CD" w14:textId="6C6FDD37"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Nasal congestion</w:t>
            </w:r>
          </w:p>
        </w:tc>
        <w:tc>
          <w:tcPr>
            <w:tcW w:w="4675" w:type="dxa"/>
          </w:tcPr>
          <w:p w14:paraId="605BD9C2" w14:textId="64C848A9"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12 (12.4)</w:t>
            </w:r>
          </w:p>
        </w:tc>
      </w:tr>
      <w:tr w:rsidR="009B725E" w:rsidRPr="009B725E" w14:paraId="1F8B5055" w14:textId="77777777" w:rsidTr="009B725E">
        <w:tc>
          <w:tcPr>
            <w:tcW w:w="4675" w:type="dxa"/>
          </w:tcPr>
          <w:p w14:paraId="7AC9FC8F" w14:textId="73462A13"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Transaminases increased</w:t>
            </w:r>
          </w:p>
        </w:tc>
        <w:tc>
          <w:tcPr>
            <w:tcW w:w="4675" w:type="dxa"/>
          </w:tcPr>
          <w:p w14:paraId="31EB00D2" w14:textId="410440A9"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12 (12.4)</w:t>
            </w:r>
          </w:p>
        </w:tc>
      </w:tr>
      <w:tr w:rsidR="009B725E" w:rsidRPr="009B725E" w14:paraId="778A7BD0" w14:textId="77777777" w:rsidTr="009B725E">
        <w:tc>
          <w:tcPr>
            <w:tcW w:w="4675" w:type="dxa"/>
          </w:tcPr>
          <w:p w14:paraId="625A20F4" w14:textId="04FAE266"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Scoliosis</w:t>
            </w:r>
          </w:p>
        </w:tc>
        <w:tc>
          <w:tcPr>
            <w:tcW w:w="4675" w:type="dxa"/>
          </w:tcPr>
          <w:p w14:paraId="36AF20CF" w14:textId="33888DEA"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11 (11.3)</w:t>
            </w:r>
          </w:p>
        </w:tc>
      </w:tr>
      <w:tr w:rsidR="009B725E" w:rsidRPr="009B725E" w14:paraId="6FD05668" w14:textId="77777777" w:rsidTr="009B725E">
        <w:tc>
          <w:tcPr>
            <w:tcW w:w="4675" w:type="dxa"/>
          </w:tcPr>
          <w:p w14:paraId="5D365DD9" w14:textId="29C5528F"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Gastroenteritis</w:t>
            </w:r>
          </w:p>
        </w:tc>
        <w:tc>
          <w:tcPr>
            <w:tcW w:w="4675" w:type="dxa"/>
          </w:tcPr>
          <w:p w14:paraId="09BB419A" w14:textId="4C18593A"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10 (10.3)</w:t>
            </w:r>
          </w:p>
        </w:tc>
      </w:tr>
      <w:tr w:rsidR="009B725E" w:rsidRPr="009B725E" w14:paraId="36199FA9" w14:textId="77777777" w:rsidTr="009B725E">
        <w:tc>
          <w:tcPr>
            <w:tcW w:w="4675" w:type="dxa"/>
          </w:tcPr>
          <w:p w14:paraId="7A8CDEF5" w14:textId="53ABE8C3" w:rsidR="009B725E" w:rsidRPr="009B725E" w:rsidRDefault="009B725E">
            <w:pPr>
              <w:widowControl/>
              <w:tabs>
                <w:tab w:val="clear" w:pos="720"/>
              </w:tabs>
              <w:spacing w:after="160" w:line="259" w:lineRule="auto"/>
              <w:rPr>
                <w:rFonts w:ascii="Cambria" w:hAnsi="Cambria"/>
                <w:sz w:val="22"/>
              </w:rPr>
            </w:pPr>
            <w:r>
              <w:rPr>
                <w:rFonts w:ascii="Cambria" w:hAnsi="Cambria"/>
                <w:sz w:val="22"/>
              </w:rPr>
              <w:t>Teething</w:t>
            </w:r>
          </w:p>
        </w:tc>
        <w:tc>
          <w:tcPr>
            <w:tcW w:w="4675" w:type="dxa"/>
          </w:tcPr>
          <w:p w14:paraId="095251D2" w14:textId="236A96F4" w:rsidR="009B725E" w:rsidRPr="009B725E" w:rsidRDefault="00AD1CFF" w:rsidP="00DE5F53">
            <w:pPr>
              <w:widowControl/>
              <w:tabs>
                <w:tab w:val="clear" w:pos="720"/>
              </w:tabs>
              <w:spacing w:after="160" w:line="259" w:lineRule="auto"/>
              <w:jc w:val="center"/>
              <w:rPr>
                <w:rFonts w:ascii="Cambria" w:hAnsi="Cambria"/>
                <w:sz w:val="22"/>
              </w:rPr>
            </w:pPr>
            <w:r w:rsidRPr="00AD1CFF">
              <w:rPr>
                <w:rFonts w:ascii="Cambria" w:hAnsi="Cambria"/>
                <w:sz w:val="22"/>
              </w:rPr>
              <w:t>10 (10.3)</w:t>
            </w:r>
          </w:p>
        </w:tc>
      </w:tr>
      <w:tr w:rsidR="009B725E" w:rsidRPr="009B725E" w14:paraId="60263649" w14:textId="77777777" w:rsidTr="009B725E">
        <w:tc>
          <w:tcPr>
            <w:tcW w:w="4675" w:type="dxa"/>
          </w:tcPr>
          <w:p w14:paraId="5F284F5E" w14:textId="43818341"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Aspartate aminotransferase</w:t>
            </w:r>
            <w:r w:rsidR="00247763">
              <w:rPr>
                <w:rFonts w:ascii="Cambria" w:hAnsi="Cambria"/>
                <w:sz w:val="22"/>
              </w:rPr>
              <w:t xml:space="preserve"> (AST)</w:t>
            </w:r>
            <w:r w:rsidRPr="009B725E">
              <w:rPr>
                <w:rFonts w:ascii="Cambria" w:hAnsi="Cambria"/>
                <w:sz w:val="22"/>
              </w:rPr>
              <w:t xml:space="preserve"> increased</w:t>
            </w:r>
          </w:p>
        </w:tc>
        <w:tc>
          <w:tcPr>
            <w:tcW w:w="4675" w:type="dxa"/>
          </w:tcPr>
          <w:p w14:paraId="2879B51F" w14:textId="4206A79B"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9 (9.3)</w:t>
            </w:r>
          </w:p>
        </w:tc>
      </w:tr>
      <w:tr w:rsidR="009B725E" w:rsidRPr="009B725E" w14:paraId="03C67468" w14:textId="77777777" w:rsidTr="009B725E">
        <w:tc>
          <w:tcPr>
            <w:tcW w:w="4675" w:type="dxa"/>
          </w:tcPr>
          <w:p w14:paraId="21B59ED4" w14:textId="7D176BD3"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Bronchiolitis</w:t>
            </w:r>
          </w:p>
        </w:tc>
        <w:tc>
          <w:tcPr>
            <w:tcW w:w="4675" w:type="dxa"/>
          </w:tcPr>
          <w:p w14:paraId="4F9AE16A" w14:textId="67B88C94"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9 (9.3)</w:t>
            </w:r>
          </w:p>
        </w:tc>
      </w:tr>
      <w:tr w:rsidR="009B725E" w:rsidRPr="009B725E" w14:paraId="533C36F9" w14:textId="77777777" w:rsidTr="009B725E">
        <w:tc>
          <w:tcPr>
            <w:tcW w:w="4675" w:type="dxa"/>
          </w:tcPr>
          <w:p w14:paraId="19F9D6DE" w14:textId="4A2F91E5"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Hypertransaminasaemia</w:t>
            </w:r>
          </w:p>
        </w:tc>
        <w:tc>
          <w:tcPr>
            <w:tcW w:w="4675" w:type="dxa"/>
          </w:tcPr>
          <w:p w14:paraId="20B4CD7F" w14:textId="4E36C156"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9 (9.3)</w:t>
            </w:r>
          </w:p>
        </w:tc>
      </w:tr>
      <w:tr w:rsidR="009B725E" w:rsidRPr="009B725E" w14:paraId="2FAD3923" w14:textId="77777777" w:rsidTr="009B725E">
        <w:tc>
          <w:tcPr>
            <w:tcW w:w="4675" w:type="dxa"/>
          </w:tcPr>
          <w:p w14:paraId="1DCCE125" w14:textId="4C8262CF" w:rsidR="009B725E" w:rsidRPr="009B725E" w:rsidRDefault="009B725E">
            <w:pPr>
              <w:widowControl/>
              <w:tabs>
                <w:tab w:val="clear" w:pos="720"/>
              </w:tabs>
              <w:spacing w:after="160" w:line="259" w:lineRule="auto"/>
              <w:rPr>
                <w:rFonts w:ascii="Cambria" w:hAnsi="Cambria"/>
                <w:sz w:val="22"/>
              </w:rPr>
            </w:pPr>
            <w:r w:rsidRPr="009B725E">
              <w:rPr>
                <w:rFonts w:ascii="Cambria" w:hAnsi="Cambria"/>
                <w:sz w:val="22"/>
              </w:rPr>
              <w:t>Respiratory distress</w:t>
            </w:r>
          </w:p>
        </w:tc>
        <w:tc>
          <w:tcPr>
            <w:tcW w:w="4675" w:type="dxa"/>
          </w:tcPr>
          <w:p w14:paraId="57E60DD3" w14:textId="2D43266E"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9 (9.3)</w:t>
            </w:r>
          </w:p>
        </w:tc>
      </w:tr>
      <w:tr w:rsidR="009B725E" w:rsidRPr="009B725E" w14:paraId="62489626" w14:textId="77777777" w:rsidTr="009B725E">
        <w:tc>
          <w:tcPr>
            <w:tcW w:w="4675" w:type="dxa"/>
          </w:tcPr>
          <w:p w14:paraId="451C73F4" w14:textId="1F6F27AC" w:rsidR="009B725E" w:rsidRPr="009B725E" w:rsidRDefault="009B725E">
            <w:pPr>
              <w:widowControl/>
              <w:tabs>
                <w:tab w:val="clear" w:pos="720"/>
              </w:tabs>
              <w:spacing w:after="160" w:line="259" w:lineRule="auto"/>
              <w:rPr>
                <w:rFonts w:ascii="Cambria" w:hAnsi="Cambria"/>
                <w:sz w:val="22"/>
              </w:rPr>
            </w:pPr>
            <w:r>
              <w:rPr>
                <w:rFonts w:ascii="Cambria" w:hAnsi="Cambria"/>
                <w:sz w:val="22"/>
              </w:rPr>
              <w:t>Respiratory tract infection</w:t>
            </w:r>
          </w:p>
        </w:tc>
        <w:tc>
          <w:tcPr>
            <w:tcW w:w="4675" w:type="dxa"/>
          </w:tcPr>
          <w:p w14:paraId="6F992C62" w14:textId="226BA1E2"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9 (9.3)</w:t>
            </w:r>
          </w:p>
        </w:tc>
      </w:tr>
      <w:tr w:rsidR="00DE5F53" w:rsidRPr="009B725E" w14:paraId="22F32560" w14:textId="77777777" w:rsidTr="009B725E">
        <w:tc>
          <w:tcPr>
            <w:tcW w:w="4675" w:type="dxa"/>
          </w:tcPr>
          <w:p w14:paraId="67FDE57E" w14:textId="49041F6B" w:rsidR="00DE5F53" w:rsidRPr="009B725E" w:rsidRDefault="00DE5F53" w:rsidP="00DE5F53">
            <w:pPr>
              <w:widowControl/>
              <w:tabs>
                <w:tab w:val="clear" w:pos="720"/>
              </w:tabs>
              <w:spacing w:after="160" w:line="259" w:lineRule="auto"/>
              <w:rPr>
                <w:rFonts w:ascii="Cambria" w:hAnsi="Cambria"/>
                <w:sz w:val="22"/>
              </w:rPr>
            </w:pPr>
            <w:r w:rsidRPr="009B725E">
              <w:rPr>
                <w:rFonts w:ascii="Cambria" w:hAnsi="Cambria"/>
                <w:sz w:val="22"/>
              </w:rPr>
              <w:t>Alanine aminotransferase</w:t>
            </w:r>
            <w:r w:rsidR="00247763">
              <w:rPr>
                <w:rFonts w:ascii="Cambria" w:hAnsi="Cambria"/>
                <w:sz w:val="22"/>
              </w:rPr>
              <w:t xml:space="preserve"> (ALT)</w:t>
            </w:r>
            <w:r w:rsidRPr="009B725E">
              <w:rPr>
                <w:rFonts w:ascii="Cambria" w:hAnsi="Cambria"/>
                <w:sz w:val="22"/>
              </w:rPr>
              <w:t xml:space="preserve"> increased</w:t>
            </w:r>
          </w:p>
        </w:tc>
        <w:tc>
          <w:tcPr>
            <w:tcW w:w="4675" w:type="dxa"/>
          </w:tcPr>
          <w:p w14:paraId="125A080A" w14:textId="2114A744"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41CB463A" w14:textId="77777777" w:rsidTr="009B725E">
        <w:tc>
          <w:tcPr>
            <w:tcW w:w="4675" w:type="dxa"/>
          </w:tcPr>
          <w:p w14:paraId="461FA406" w14:textId="1C3B012C" w:rsidR="00DE5F53" w:rsidRPr="009B725E" w:rsidRDefault="00DE5F53" w:rsidP="00DE5F53">
            <w:pPr>
              <w:widowControl/>
              <w:tabs>
                <w:tab w:val="clear" w:pos="720"/>
              </w:tabs>
              <w:spacing w:after="160" w:line="259" w:lineRule="auto"/>
              <w:rPr>
                <w:rFonts w:ascii="Cambria" w:hAnsi="Cambria"/>
                <w:sz w:val="22"/>
              </w:rPr>
            </w:pPr>
            <w:r w:rsidRPr="009B725E">
              <w:rPr>
                <w:rFonts w:ascii="Cambria" w:hAnsi="Cambria"/>
                <w:sz w:val="22"/>
              </w:rPr>
              <w:t>Conjunctivitis</w:t>
            </w:r>
          </w:p>
        </w:tc>
        <w:tc>
          <w:tcPr>
            <w:tcW w:w="4675" w:type="dxa"/>
          </w:tcPr>
          <w:p w14:paraId="46E45CDC" w14:textId="3061A1D6"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6B202A10" w14:textId="77777777" w:rsidTr="009B725E">
        <w:tc>
          <w:tcPr>
            <w:tcW w:w="4675" w:type="dxa"/>
          </w:tcPr>
          <w:p w14:paraId="41A05CC9" w14:textId="410D48A3" w:rsidR="00DE5F53" w:rsidRPr="009B725E" w:rsidRDefault="00DE5F53" w:rsidP="00DE5F53">
            <w:pPr>
              <w:widowControl/>
              <w:tabs>
                <w:tab w:val="clear" w:pos="720"/>
              </w:tabs>
              <w:spacing w:after="160" w:line="259" w:lineRule="auto"/>
              <w:rPr>
                <w:rFonts w:ascii="Cambria" w:hAnsi="Cambria"/>
                <w:sz w:val="22"/>
              </w:rPr>
            </w:pPr>
            <w:r w:rsidRPr="009B725E">
              <w:rPr>
                <w:rFonts w:ascii="Cambria" w:hAnsi="Cambria"/>
                <w:sz w:val="22"/>
              </w:rPr>
              <w:t>Gastroenteritis viral</w:t>
            </w:r>
          </w:p>
        </w:tc>
        <w:tc>
          <w:tcPr>
            <w:tcW w:w="4675" w:type="dxa"/>
          </w:tcPr>
          <w:p w14:paraId="4014702C" w14:textId="2C8A692F"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43418424" w14:textId="77777777" w:rsidTr="009B725E">
        <w:tc>
          <w:tcPr>
            <w:tcW w:w="4675" w:type="dxa"/>
          </w:tcPr>
          <w:p w14:paraId="38DB1ACE" w14:textId="76B60679" w:rsidR="00DE5F53" w:rsidRPr="009B725E" w:rsidRDefault="00DE5F53" w:rsidP="00DE5F53">
            <w:pPr>
              <w:widowControl/>
              <w:tabs>
                <w:tab w:val="clear" w:pos="720"/>
              </w:tabs>
              <w:spacing w:after="160" w:line="259" w:lineRule="auto"/>
              <w:rPr>
                <w:rFonts w:ascii="Cambria" w:hAnsi="Cambria"/>
                <w:sz w:val="22"/>
              </w:rPr>
            </w:pPr>
            <w:r w:rsidRPr="009B725E">
              <w:rPr>
                <w:rFonts w:ascii="Cambria" w:hAnsi="Cambria"/>
                <w:sz w:val="22"/>
              </w:rPr>
              <w:t>Nasopharyngitis</w:t>
            </w:r>
          </w:p>
        </w:tc>
        <w:tc>
          <w:tcPr>
            <w:tcW w:w="4675" w:type="dxa"/>
          </w:tcPr>
          <w:p w14:paraId="48A02894" w14:textId="54F1ECC4"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07DA1782" w14:textId="77777777" w:rsidTr="009B725E">
        <w:tc>
          <w:tcPr>
            <w:tcW w:w="4675" w:type="dxa"/>
          </w:tcPr>
          <w:p w14:paraId="5ED2983C" w14:textId="1BF384E4"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Otitis media</w:t>
            </w:r>
          </w:p>
        </w:tc>
        <w:tc>
          <w:tcPr>
            <w:tcW w:w="4675" w:type="dxa"/>
          </w:tcPr>
          <w:p w14:paraId="50271EEC" w14:textId="6014F9FC"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71E5C6E0" w14:textId="77777777" w:rsidTr="009B725E">
        <w:tc>
          <w:tcPr>
            <w:tcW w:w="4675" w:type="dxa"/>
          </w:tcPr>
          <w:p w14:paraId="32C55C6B" w14:textId="7FAF6609"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Rhinovirus infection</w:t>
            </w:r>
          </w:p>
        </w:tc>
        <w:tc>
          <w:tcPr>
            <w:tcW w:w="4675" w:type="dxa"/>
          </w:tcPr>
          <w:p w14:paraId="5877402C" w14:textId="1FC73022"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DE5F53" w:rsidRPr="009B725E" w14:paraId="6B656346" w14:textId="77777777" w:rsidTr="009B725E">
        <w:tc>
          <w:tcPr>
            <w:tcW w:w="4675" w:type="dxa"/>
          </w:tcPr>
          <w:p w14:paraId="272072D8" w14:textId="4FAC67F7"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Viral upper respiratory tract infection</w:t>
            </w:r>
          </w:p>
        </w:tc>
        <w:tc>
          <w:tcPr>
            <w:tcW w:w="4675" w:type="dxa"/>
          </w:tcPr>
          <w:p w14:paraId="22E2A1C9" w14:textId="378E5E4C" w:rsidR="00DE5F53" w:rsidRPr="009B725E" w:rsidRDefault="00DE5F53" w:rsidP="00DE5F53">
            <w:pPr>
              <w:widowControl/>
              <w:tabs>
                <w:tab w:val="clear" w:pos="720"/>
              </w:tabs>
              <w:spacing w:after="160" w:line="259" w:lineRule="auto"/>
              <w:jc w:val="center"/>
              <w:rPr>
                <w:rFonts w:ascii="Cambria" w:hAnsi="Cambria"/>
                <w:sz w:val="22"/>
              </w:rPr>
            </w:pPr>
            <w:r w:rsidRPr="003B0377">
              <w:t>8 (8.2)</w:t>
            </w:r>
          </w:p>
        </w:tc>
      </w:tr>
      <w:tr w:rsidR="009B725E" w:rsidRPr="009B725E" w14:paraId="17B002A2" w14:textId="77777777" w:rsidTr="009B725E">
        <w:tc>
          <w:tcPr>
            <w:tcW w:w="4675" w:type="dxa"/>
          </w:tcPr>
          <w:p w14:paraId="5CE2190B" w14:textId="086D446D" w:rsidR="009B725E" w:rsidRPr="009B725E" w:rsidRDefault="00AD1CFF">
            <w:pPr>
              <w:widowControl/>
              <w:tabs>
                <w:tab w:val="clear" w:pos="720"/>
              </w:tabs>
              <w:spacing w:after="160" w:line="259" w:lineRule="auto"/>
              <w:rPr>
                <w:rFonts w:ascii="Cambria" w:hAnsi="Cambria"/>
                <w:sz w:val="22"/>
              </w:rPr>
            </w:pPr>
            <w:r w:rsidRPr="00AD1CFF">
              <w:rPr>
                <w:rFonts w:ascii="Cambria" w:hAnsi="Cambria"/>
                <w:sz w:val="22"/>
              </w:rPr>
              <w:t>Ear infection</w:t>
            </w:r>
          </w:p>
        </w:tc>
        <w:tc>
          <w:tcPr>
            <w:tcW w:w="4675" w:type="dxa"/>
          </w:tcPr>
          <w:p w14:paraId="68E7979B" w14:textId="274BA442" w:rsidR="009B725E"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7 (7.2)</w:t>
            </w:r>
          </w:p>
        </w:tc>
      </w:tr>
      <w:tr w:rsidR="00DE5F53" w:rsidRPr="009B725E" w14:paraId="28791901" w14:textId="77777777" w:rsidTr="009B725E">
        <w:tc>
          <w:tcPr>
            <w:tcW w:w="4675" w:type="dxa"/>
          </w:tcPr>
          <w:p w14:paraId="0188C778" w14:textId="16F8BAC5" w:rsidR="00DE5F53" w:rsidRPr="009B725E" w:rsidRDefault="00DE5F53" w:rsidP="00DE5F53">
            <w:pPr>
              <w:widowControl/>
              <w:tabs>
                <w:tab w:val="clear" w:pos="720"/>
              </w:tabs>
              <w:spacing w:after="160" w:line="259" w:lineRule="auto"/>
              <w:rPr>
                <w:rFonts w:ascii="Cambria" w:hAnsi="Cambria"/>
                <w:sz w:val="22"/>
              </w:rPr>
            </w:pPr>
            <w:r>
              <w:rPr>
                <w:rFonts w:ascii="Cambria" w:hAnsi="Cambria"/>
                <w:sz w:val="22"/>
              </w:rPr>
              <w:t>Contusion</w:t>
            </w:r>
          </w:p>
        </w:tc>
        <w:tc>
          <w:tcPr>
            <w:tcW w:w="4675" w:type="dxa"/>
          </w:tcPr>
          <w:p w14:paraId="7758E5E9" w14:textId="05B21A80" w:rsidR="00DE5F53" w:rsidRPr="009B725E" w:rsidRDefault="00DE5F53" w:rsidP="00DE5F53">
            <w:pPr>
              <w:widowControl/>
              <w:tabs>
                <w:tab w:val="clear" w:pos="720"/>
              </w:tabs>
              <w:spacing w:after="160" w:line="259" w:lineRule="auto"/>
              <w:jc w:val="center"/>
              <w:rPr>
                <w:rFonts w:ascii="Cambria" w:hAnsi="Cambria"/>
                <w:sz w:val="22"/>
              </w:rPr>
            </w:pPr>
            <w:r w:rsidRPr="00B07645">
              <w:t>6 (6.2)</w:t>
            </w:r>
          </w:p>
        </w:tc>
      </w:tr>
      <w:tr w:rsidR="00DE5F53" w:rsidRPr="009B725E" w14:paraId="2E9FB1BF" w14:textId="77777777" w:rsidTr="009B725E">
        <w:tc>
          <w:tcPr>
            <w:tcW w:w="4675" w:type="dxa"/>
          </w:tcPr>
          <w:p w14:paraId="38B5A78B" w14:textId="14909B8D"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Muscle contractions involuntary</w:t>
            </w:r>
          </w:p>
        </w:tc>
        <w:tc>
          <w:tcPr>
            <w:tcW w:w="4675" w:type="dxa"/>
          </w:tcPr>
          <w:p w14:paraId="2BE94242" w14:textId="1CAF5939" w:rsidR="00DE5F53" w:rsidRPr="009B725E" w:rsidRDefault="00DE5F53" w:rsidP="00DE5F53">
            <w:pPr>
              <w:widowControl/>
              <w:tabs>
                <w:tab w:val="clear" w:pos="720"/>
              </w:tabs>
              <w:spacing w:after="160" w:line="259" w:lineRule="auto"/>
              <w:jc w:val="center"/>
              <w:rPr>
                <w:rFonts w:ascii="Cambria" w:hAnsi="Cambria"/>
                <w:sz w:val="22"/>
              </w:rPr>
            </w:pPr>
            <w:r w:rsidRPr="00B07645">
              <w:t>6 (6.2)</w:t>
            </w:r>
          </w:p>
        </w:tc>
      </w:tr>
      <w:tr w:rsidR="00DE5F53" w:rsidRPr="009B725E" w14:paraId="724F2D64" w14:textId="77777777" w:rsidTr="009B725E">
        <w:tc>
          <w:tcPr>
            <w:tcW w:w="4675" w:type="dxa"/>
          </w:tcPr>
          <w:p w14:paraId="1A0EED67" w14:textId="4A61D93E"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Respiratory failure</w:t>
            </w:r>
          </w:p>
        </w:tc>
        <w:tc>
          <w:tcPr>
            <w:tcW w:w="4675" w:type="dxa"/>
          </w:tcPr>
          <w:p w14:paraId="49B65106" w14:textId="0DFEA671" w:rsidR="00DE5F53" w:rsidRPr="009B725E" w:rsidRDefault="00DE5F53" w:rsidP="00DE5F53">
            <w:pPr>
              <w:widowControl/>
              <w:tabs>
                <w:tab w:val="clear" w:pos="720"/>
              </w:tabs>
              <w:spacing w:after="160" w:line="259" w:lineRule="auto"/>
              <w:jc w:val="center"/>
              <w:rPr>
                <w:rFonts w:ascii="Cambria" w:hAnsi="Cambria"/>
                <w:sz w:val="22"/>
              </w:rPr>
            </w:pPr>
            <w:r w:rsidRPr="00B07645">
              <w:t>6 (6.2)</w:t>
            </w:r>
          </w:p>
        </w:tc>
      </w:tr>
      <w:tr w:rsidR="00DE5F53" w:rsidRPr="009B725E" w14:paraId="2AB5CDCC" w14:textId="77777777" w:rsidTr="009B725E">
        <w:tc>
          <w:tcPr>
            <w:tcW w:w="4675" w:type="dxa"/>
          </w:tcPr>
          <w:p w14:paraId="7A4A77B3" w14:textId="77921DFE"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Urinary tract infection</w:t>
            </w:r>
          </w:p>
        </w:tc>
        <w:tc>
          <w:tcPr>
            <w:tcW w:w="4675" w:type="dxa"/>
          </w:tcPr>
          <w:p w14:paraId="15DF1859" w14:textId="7D440282" w:rsidR="00DE5F53" w:rsidRPr="009B725E" w:rsidRDefault="00DE5F53" w:rsidP="00DE5F53">
            <w:pPr>
              <w:widowControl/>
              <w:tabs>
                <w:tab w:val="clear" w:pos="720"/>
              </w:tabs>
              <w:spacing w:after="160" w:line="259" w:lineRule="auto"/>
              <w:jc w:val="center"/>
              <w:rPr>
                <w:rFonts w:ascii="Cambria" w:hAnsi="Cambria"/>
                <w:sz w:val="22"/>
              </w:rPr>
            </w:pPr>
            <w:r w:rsidRPr="00B07645">
              <w:t>6 (6.2)</w:t>
            </w:r>
          </w:p>
        </w:tc>
      </w:tr>
      <w:tr w:rsidR="00DE5F53" w:rsidRPr="009B725E" w14:paraId="4457E13C" w14:textId="77777777" w:rsidTr="009B725E">
        <w:tc>
          <w:tcPr>
            <w:tcW w:w="4675" w:type="dxa"/>
          </w:tcPr>
          <w:p w14:paraId="1DC23D77" w14:textId="206CAAD2"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Use of accessory respiratory muscles</w:t>
            </w:r>
          </w:p>
        </w:tc>
        <w:tc>
          <w:tcPr>
            <w:tcW w:w="4675" w:type="dxa"/>
          </w:tcPr>
          <w:p w14:paraId="3FBCAD79" w14:textId="35211DAD" w:rsidR="00DE5F53" w:rsidRPr="009B725E" w:rsidRDefault="00DE5F53" w:rsidP="00DE5F53">
            <w:pPr>
              <w:widowControl/>
              <w:tabs>
                <w:tab w:val="clear" w:pos="720"/>
              </w:tabs>
              <w:spacing w:after="160" w:line="259" w:lineRule="auto"/>
              <w:jc w:val="center"/>
              <w:rPr>
                <w:rFonts w:ascii="Cambria" w:hAnsi="Cambria"/>
                <w:sz w:val="22"/>
              </w:rPr>
            </w:pPr>
            <w:r w:rsidRPr="00B07645">
              <w:t>6 (6.2)</w:t>
            </w:r>
          </w:p>
        </w:tc>
      </w:tr>
      <w:tr w:rsidR="00AD1CFF" w:rsidRPr="009B725E" w14:paraId="6E3E0859" w14:textId="77777777" w:rsidTr="009B725E">
        <w:tc>
          <w:tcPr>
            <w:tcW w:w="4675" w:type="dxa"/>
          </w:tcPr>
          <w:p w14:paraId="0DB106D1" w14:textId="3CA0F42C" w:rsidR="00AD1CFF" w:rsidRPr="009B725E" w:rsidRDefault="00AD1CFF">
            <w:pPr>
              <w:widowControl/>
              <w:tabs>
                <w:tab w:val="clear" w:pos="720"/>
              </w:tabs>
              <w:spacing w:after="160" w:line="259" w:lineRule="auto"/>
              <w:rPr>
                <w:rFonts w:ascii="Cambria" w:hAnsi="Cambria"/>
                <w:sz w:val="22"/>
              </w:rPr>
            </w:pPr>
            <w:r w:rsidRPr="00AD1CFF">
              <w:rPr>
                <w:rFonts w:ascii="Cambria" w:hAnsi="Cambria"/>
                <w:sz w:val="22"/>
              </w:rPr>
              <w:t>Atelectasis</w:t>
            </w:r>
          </w:p>
        </w:tc>
        <w:tc>
          <w:tcPr>
            <w:tcW w:w="4675" w:type="dxa"/>
          </w:tcPr>
          <w:p w14:paraId="5B5F3340" w14:textId="794139F2" w:rsidR="00AD1CFF" w:rsidRPr="009B725E" w:rsidRDefault="00DE5F53" w:rsidP="00DE5F53">
            <w:pPr>
              <w:widowControl/>
              <w:tabs>
                <w:tab w:val="clear" w:pos="720"/>
              </w:tabs>
              <w:spacing w:after="160" w:line="259" w:lineRule="auto"/>
              <w:jc w:val="center"/>
              <w:rPr>
                <w:rFonts w:ascii="Cambria" w:hAnsi="Cambria"/>
                <w:sz w:val="22"/>
              </w:rPr>
            </w:pPr>
            <w:r w:rsidRPr="00DE5F53">
              <w:rPr>
                <w:rFonts w:ascii="Cambria" w:hAnsi="Cambria"/>
                <w:sz w:val="22"/>
              </w:rPr>
              <w:t>5 (5.2)</w:t>
            </w:r>
          </w:p>
        </w:tc>
      </w:tr>
      <w:tr w:rsidR="00DE5F53" w:rsidRPr="009B725E" w14:paraId="4CD1068F" w14:textId="77777777" w:rsidTr="009B725E">
        <w:tc>
          <w:tcPr>
            <w:tcW w:w="4675" w:type="dxa"/>
          </w:tcPr>
          <w:p w14:paraId="452BE327" w14:textId="3F50C9D0"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Dermatitis diaper</w:t>
            </w:r>
          </w:p>
        </w:tc>
        <w:tc>
          <w:tcPr>
            <w:tcW w:w="4675" w:type="dxa"/>
          </w:tcPr>
          <w:p w14:paraId="3FB639B7" w14:textId="28251DC0"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3923C925" w14:textId="77777777" w:rsidTr="009B725E">
        <w:tc>
          <w:tcPr>
            <w:tcW w:w="4675" w:type="dxa"/>
          </w:tcPr>
          <w:p w14:paraId="0804C67F" w14:textId="72E9909E"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Hypertension</w:t>
            </w:r>
          </w:p>
        </w:tc>
        <w:tc>
          <w:tcPr>
            <w:tcW w:w="4675" w:type="dxa"/>
          </w:tcPr>
          <w:p w14:paraId="3A3FB587" w14:textId="32F3157C"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2B46832E" w14:textId="77777777" w:rsidTr="009B725E">
        <w:tc>
          <w:tcPr>
            <w:tcW w:w="4675" w:type="dxa"/>
          </w:tcPr>
          <w:p w14:paraId="182E8844" w14:textId="05D2ABD3"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Irritability</w:t>
            </w:r>
          </w:p>
        </w:tc>
        <w:tc>
          <w:tcPr>
            <w:tcW w:w="4675" w:type="dxa"/>
          </w:tcPr>
          <w:p w14:paraId="4C2E6787" w14:textId="328BFB82"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49CA8942" w14:textId="77777777" w:rsidTr="009B725E">
        <w:tc>
          <w:tcPr>
            <w:tcW w:w="4675" w:type="dxa"/>
          </w:tcPr>
          <w:p w14:paraId="574658D7" w14:textId="0AB5C706"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Respiration abnormal</w:t>
            </w:r>
          </w:p>
        </w:tc>
        <w:tc>
          <w:tcPr>
            <w:tcW w:w="4675" w:type="dxa"/>
          </w:tcPr>
          <w:p w14:paraId="40CB13FC" w14:textId="3F3C6C50"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380F85AC" w14:textId="77777777" w:rsidTr="009B725E">
        <w:tc>
          <w:tcPr>
            <w:tcW w:w="4675" w:type="dxa"/>
          </w:tcPr>
          <w:p w14:paraId="2A571A83" w14:textId="30D0B286"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Respiratory syncytial virus bronchiolitis</w:t>
            </w:r>
          </w:p>
        </w:tc>
        <w:tc>
          <w:tcPr>
            <w:tcW w:w="4675" w:type="dxa"/>
          </w:tcPr>
          <w:p w14:paraId="6AA0DB72" w14:textId="0C141AD9"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6586EE78" w14:textId="77777777" w:rsidTr="009B725E">
        <w:tc>
          <w:tcPr>
            <w:tcW w:w="4675" w:type="dxa"/>
          </w:tcPr>
          <w:p w14:paraId="6744B309" w14:textId="711B122F" w:rsidR="00DE5F53" w:rsidRPr="009B725E" w:rsidRDefault="00DE5F53" w:rsidP="00DE5F53">
            <w:pPr>
              <w:widowControl/>
              <w:tabs>
                <w:tab w:val="clear" w:pos="720"/>
              </w:tabs>
              <w:spacing w:after="160" w:line="259" w:lineRule="auto"/>
              <w:rPr>
                <w:rFonts w:ascii="Cambria" w:hAnsi="Cambria"/>
                <w:sz w:val="22"/>
              </w:rPr>
            </w:pPr>
            <w:r w:rsidRPr="00AD1CFF">
              <w:rPr>
                <w:rFonts w:ascii="Cambria" w:hAnsi="Cambria"/>
                <w:sz w:val="22"/>
              </w:rPr>
              <w:t>Rhinorrhoea</w:t>
            </w:r>
          </w:p>
        </w:tc>
        <w:tc>
          <w:tcPr>
            <w:tcW w:w="4675" w:type="dxa"/>
          </w:tcPr>
          <w:p w14:paraId="51953E61" w14:textId="7A56ABE1"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2E7E4B7B" w14:textId="77777777" w:rsidTr="009B725E">
        <w:tc>
          <w:tcPr>
            <w:tcW w:w="4675" w:type="dxa"/>
          </w:tcPr>
          <w:p w14:paraId="5CA135B4" w14:textId="61B47BE6" w:rsidR="00DE5F53" w:rsidRPr="00AD1CFF" w:rsidRDefault="00DE5F53" w:rsidP="00DE5F53">
            <w:pPr>
              <w:widowControl/>
              <w:tabs>
                <w:tab w:val="clear" w:pos="720"/>
              </w:tabs>
              <w:spacing w:after="160" w:line="259" w:lineRule="auto"/>
              <w:rPr>
                <w:rFonts w:ascii="Cambria" w:hAnsi="Cambria"/>
                <w:sz w:val="22"/>
              </w:rPr>
            </w:pPr>
            <w:r w:rsidRPr="00AD1CFF">
              <w:rPr>
                <w:rFonts w:ascii="Cambria" w:hAnsi="Cambria"/>
                <w:sz w:val="22"/>
              </w:rPr>
              <w:t>Tachycardia</w:t>
            </w:r>
          </w:p>
        </w:tc>
        <w:tc>
          <w:tcPr>
            <w:tcW w:w="4675" w:type="dxa"/>
          </w:tcPr>
          <w:p w14:paraId="2F9627B6" w14:textId="6A0CC7A7"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r w:rsidR="00DE5F53" w:rsidRPr="009B725E" w14:paraId="44305012" w14:textId="77777777" w:rsidTr="009B725E">
        <w:tc>
          <w:tcPr>
            <w:tcW w:w="4675" w:type="dxa"/>
          </w:tcPr>
          <w:p w14:paraId="6F573ED7" w14:textId="48453931" w:rsidR="00DE5F53" w:rsidRPr="00AD1CFF" w:rsidRDefault="00DE5F53" w:rsidP="00DE5F53">
            <w:pPr>
              <w:widowControl/>
              <w:tabs>
                <w:tab w:val="clear" w:pos="720"/>
              </w:tabs>
              <w:spacing w:after="160" w:line="259" w:lineRule="auto"/>
              <w:rPr>
                <w:rFonts w:ascii="Cambria" w:hAnsi="Cambria"/>
                <w:sz w:val="22"/>
              </w:rPr>
            </w:pPr>
            <w:r w:rsidRPr="00AD1CFF">
              <w:rPr>
                <w:rFonts w:ascii="Cambria" w:hAnsi="Cambria"/>
                <w:sz w:val="22"/>
              </w:rPr>
              <w:t>Tachypnoea</w:t>
            </w:r>
          </w:p>
        </w:tc>
        <w:tc>
          <w:tcPr>
            <w:tcW w:w="4675" w:type="dxa"/>
          </w:tcPr>
          <w:p w14:paraId="0112AAD5" w14:textId="075447AF" w:rsidR="00DE5F53" w:rsidRPr="009B725E" w:rsidRDefault="00DE5F53" w:rsidP="00DE5F53">
            <w:pPr>
              <w:widowControl/>
              <w:tabs>
                <w:tab w:val="clear" w:pos="720"/>
              </w:tabs>
              <w:spacing w:after="160" w:line="259" w:lineRule="auto"/>
              <w:jc w:val="center"/>
              <w:rPr>
                <w:rFonts w:ascii="Cambria" w:hAnsi="Cambria"/>
                <w:sz w:val="22"/>
              </w:rPr>
            </w:pPr>
            <w:r w:rsidRPr="00240B2A">
              <w:t>5 (5.2)</w:t>
            </w:r>
          </w:p>
        </w:tc>
      </w:tr>
    </w:tbl>
    <w:p w14:paraId="63DEF654" w14:textId="683202E3" w:rsidR="0012730B" w:rsidRDefault="0012730B">
      <w:pPr>
        <w:widowControl/>
        <w:tabs>
          <w:tab w:val="clear" w:pos="720"/>
        </w:tabs>
        <w:spacing w:after="160" w:line="259" w:lineRule="auto"/>
        <w:rPr>
          <w:rFonts w:ascii="Cambria" w:eastAsiaTheme="majorEastAsia" w:hAnsi="Cambria" w:cstheme="majorBidi"/>
          <w:b/>
          <w:bCs/>
        </w:rPr>
      </w:pPr>
    </w:p>
    <w:p w14:paraId="5AAB8351" w14:textId="2B24D522" w:rsidR="007B554D" w:rsidRDefault="001E57E1" w:rsidP="00577094">
      <w:pPr>
        <w:pStyle w:val="Heading3"/>
      </w:pPr>
      <w:r w:rsidRPr="001E57E1">
        <w:t>Adverse drug reactions from spontaneous reports and literature cases (frequency not known)</w:t>
      </w:r>
    </w:p>
    <w:p w14:paraId="5DBD5B04" w14:textId="4D8E2BF7" w:rsidR="001E57E1" w:rsidRDefault="001E57E1" w:rsidP="00D83B93">
      <w:pPr>
        <w:pStyle w:val="C-BodyText"/>
        <w:rPr>
          <w:rFonts w:ascii="Cambria" w:hAnsi="Cambria"/>
          <w:noProof/>
        </w:rPr>
      </w:pPr>
      <w:r w:rsidRPr="001E57E1">
        <w:rPr>
          <w:rFonts w:ascii="Cambria" w:hAnsi="Cambria"/>
          <w:noProof/>
        </w:rPr>
        <w:t>The following adverse drug reaction has been derived from post-marketing expe</w:t>
      </w:r>
      <w:r>
        <w:rPr>
          <w:rFonts w:ascii="Cambria" w:hAnsi="Cambria"/>
          <w:noProof/>
        </w:rPr>
        <w:t>rience with ZOLGENSMA</w:t>
      </w:r>
      <w:r w:rsidRPr="001E57E1">
        <w:rPr>
          <w:rFonts w:ascii="Cambria" w:hAnsi="Cambria"/>
          <w:noProof/>
        </w:rPr>
        <w:t xml:space="preserve"> via spontaneous case reports. Because this reaction is reported voluntarily, it is not possible to reliably estimate its freque</w:t>
      </w:r>
      <w:r>
        <w:rPr>
          <w:rFonts w:ascii="Cambria" w:hAnsi="Cambria"/>
          <w:noProof/>
        </w:rPr>
        <w:t>ncy which is therefore categoris</w:t>
      </w:r>
      <w:r w:rsidRPr="001E57E1">
        <w:rPr>
          <w:rFonts w:ascii="Cambria" w:hAnsi="Cambria"/>
          <w:noProof/>
        </w:rPr>
        <w:t>ed as not known. The adverse drug reaction is listed according to system organ class in MedDRA.</w:t>
      </w:r>
    </w:p>
    <w:p w14:paraId="5E27B6AC" w14:textId="38626B1A" w:rsidR="001E57E1" w:rsidRPr="001E57E1" w:rsidRDefault="001E57E1" w:rsidP="007B554D">
      <w:pPr>
        <w:pStyle w:val="C-BodyText"/>
        <w:numPr>
          <w:ilvl w:val="0"/>
          <w:numId w:val="49"/>
        </w:numPr>
        <w:jc w:val="both"/>
        <w:rPr>
          <w:rFonts w:ascii="Cambria" w:hAnsi="Cambria"/>
          <w:noProof/>
        </w:rPr>
      </w:pPr>
      <w:r w:rsidRPr="007B554D">
        <w:rPr>
          <w:rFonts w:ascii="Cambria" w:hAnsi="Cambria"/>
          <w:b/>
          <w:noProof/>
        </w:rPr>
        <w:t>Blood and lymphatic system disorders</w:t>
      </w:r>
      <w:r w:rsidR="007B554D">
        <w:rPr>
          <w:rFonts w:ascii="Cambria" w:hAnsi="Cambria"/>
          <w:b/>
          <w:noProof/>
        </w:rPr>
        <w:t xml:space="preserve">: </w:t>
      </w:r>
      <w:r w:rsidRPr="007B554D">
        <w:rPr>
          <w:rFonts w:ascii="Cambria" w:hAnsi="Cambria"/>
          <w:i/>
          <w:noProof/>
        </w:rPr>
        <w:t>Thrombotic microangiopathy</w:t>
      </w:r>
    </w:p>
    <w:p w14:paraId="4A92A78D" w14:textId="3FC0DF2B" w:rsidR="00FE2D48" w:rsidRDefault="00FE2D48" w:rsidP="00FE2D48">
      <w:pPr>
        <w:pStyle w:val="Heading3"/>
        <w:jc w:val="both"/>
      </w:pPr>
      <w:bookmarkStart w:id="34" w:name="_Toc9425447"/>
      <w:bookmarkStart w:id="35" w:name="Immunogenicity"/>
      <w:r w:rsidRPr="00FE2D48">
        <w:t>Description of selected adverse drug reactions</w:t>
      </w:r>
    </w:p>
    <w:p w14:paraId="69C191A5" w14:textId="77777777" w:rsidR="00FE2D48" w:rsidRPr="00162CB7" w:rsidRDefault="00FE2D48" w:rsidP="00162CB7">
      <w:pPr>
        <w:pStyle w:val="C-Bullet"/>
        <w:numPr>
          <w:ilvl w:val="0"/>
          <w:numId w:val="0"/>
        </w:numPr>
        <w:jc w:val="both"/>
        <w:rPr>
          <w:rFonts w:ascii="Cambria" w:hAnsi="Cambria"/>
          <w:i/>
        </w:rPr>
      </w:pPr>
      <w:r w:rsidRPr="00162CB7">
        <w:rPr>
          <w:rFonts w:ascii="Cambria" w:hAnsi="Cambria"/>
          <w:i/>
        </w:rPr>
        <w:t>Hepatobiliary disorders</w:t>
      </w:r>
    </w:p>
    <w:p w14:paraId="653E3E93" w14:textId="1A476E9E" w:rsidR="00FE2D48" w:rsidRPr="00162CB7" w:rsidRDefault="00FE2D48" w:rsidP="00D83B93">
      <w:pPr>
        <w:rPr>
          <w:rFonts w:ascii="Cambria" w:eastAsia="Times New Roman" w:hAnsi="Cambria" w:cs="Times New Roman"/>
          <w:szCs w:val="20"/>
          <w:lang w:val="en-US"/>
        </w:rPr>
      </w:pPr>
      <w:r w:rsidRPr="00162CB7">
        <w:rPr>
          <w:rFonts w:ascii="Cambria" w:eastAsia="Times New Roman" w:hAnsi="Cambria" w:cs="Times New Roman"/>
          <w:szCs w:val="20"/>
          <w:lang w:val="en-US"/>
        </w:rPr>
        <w:t>Elevated transaminases greater than 2 times ULN were reported in up to 12% of patients treated at the recommended dose and were considered study-drug related. Two patients had AST and ALT elevations of greater than 20 times ULN (one of these patients was experiencing a viral infection). These patients were clinically asymptomatic, did not exhibit jaundice or a clinically significant elevation of bilirubin and did not meet Hy’s Law criteria. Serum transaminase elevations resolved with prednisolone treatment, and patients recovered without clinical sequelae. One patient in the US Managed Access Program (MAP) who had abnormal AST/ALT levels (&gt;3 times ULN) before administration of Z</w:t>
      </w:r>
      <w:r w:rsidR="00AC6234">
        <w:rPr>
          <w:rFonts w:ascii="Cambria" w:eastAsia="Times New Roman" w:hAnsi="Cambria" w:cs="Times New Roman"/>
          <w:szCs w:val="20"/>
          <w:lang w:val="en-US"/>
        </w:rPr>
        <w:t>OLGENSMA</w:t>
      </w:r>
      <w:r w:rsidRPr="00162CB7">
        <w:rPr>
          <w:rFonts w:ascii="Cambria" w:eastAsia="Times New Roman" w:hAnsi="Cambria" w:cs="Times New Roman"/>
          <w:szCs w:val="20"/>
          <w:lang w:val="en-US"/>
        </w:rPr>
        <w:t xml:space="preserve"> experienced worsening of acute liver injury after administration of Z</w:t>
      </w:r>
      <w:r w:rsidR="00AC6234">
        <w:rPr>
          <w:rFonts w:ascii="Cambria" w:eastAsia="Times New Roman" w:hAnsi="Cambria" w:cs="Times New Roman"/>
          <w:szCs w:val="20"/>
          <w:lang w:val="en-US"/>
        </w:rPr>
        <w:t>OLGENSMA</w:t>
      </w:r>
      <w:r w:rsidRPr="00162CB7">
        <w:rPr>
          <w:rFonts w:ascii="Cambria" w:eastAsia="Times New Roman" w:hAnsi="Cambria" w:cs="Times New Roman"/>
          <w:szCs w:val="20"/>
          <w:lang w:val="en-US"/>
        </w:rPr>
        <w:t>. The patient had resolution of liver injury within 4 months with prednisolone administration.</w:t>
      </w:r>
    </w:p>
    <w:p w14:paraId="00554387" w14:textId="77777777" w:rsidR="00FE2D48" w:rsidRPr="00162CB7" w:rsidRDefault="00FE2D48" w:rsidP="00D83B93">
      <w:pPr>
        <w:pStyle w:val="C-Bullet"/>
        <w:numPr>
          <w:ilvl w:val="0"/>
          <w:numId w:val="0"/>
        </w:numPr>
        <w:rPr>
          <w:rFonts w:ascii="Cambria" w:hAnsi="Cambria"/>
          <w:i/>
        </w:rPr>
      </w:pPr>
      <w:r w:rsidRPr="00162CB7">
        <w:rPr>
          <w:rFonts w:ascii="Cambria" w:hAnsi="Cambria"/>
          <w:i/>
        </w:rPr>
        <w:t>Transient thrombocytopenia</w:t>
      </w:r>
    </w:p>
    <w:p w14:paraId="474A1D69" w14:textId="3B8BEC45" w:rsidR="00FE2D48" w:rsidRPr="00162CB7" w:rsidRDefault="00FE2D48" w:rsidP="00D83B93">
      <w:pPr>
        <w:rPr>
          <w:rFonts w:ascii="Cambria" w:eastAsia="Times New Roman" w:hAnsi="Cambria" w:cs="Times New Roman"/>
          <w:szCs w:val="20"/>
          <w:lang w:val="en-US"/>
        </w:rPr>
      </w:pPr>
      <w:r w:rsidRPr="00162CB7">
        <w:rPr>
          <w:rFonts w:ascii="Cambria" w:eastAsia="Times New Roman" w:hAnsi="Cambria" w:cs="Times New Roman"/>
          <w:szCs w:val="20"/>
          <w:lang w:val="en-US"/>
        </w:rPr>
        <w:t>Transient decreases from baseline in mean platelet counts</w:t>
      </w:r>
      <w:r w:rsidR="00B94521">
        <w:rPr>
          <w:rFonts w:ascii="Cambria" w:eastAsia="Times New Roman" w:hAnsi="Cambria" w:cs="Times New Roman"/>
          <w:szCs w:val="20"/>
          <w:lang w:val="en-US"/>
        </w:rPr>
        <w:t xml:space="preserve"> reaching levels of potential clinical significance</w:t>
      </w:r>
      <w:r w:rsidRPr="00162CB7">
        <w:rPr>
          <w:rFonts w:ascii="Cambria" w:eastAsia="Times New Roman" w:hAnsi="Cambria" w:cs="Times New Roman"/>
          <w:szCs w:val="20"/>
          <w:lang w:val="en-US"/>
        </w:rPr>
        <w:t xml:space="preserve"> </w:t>
      </w:r>
      <w:r w:rsidR="000C7323">
        <w:rPr>
          <w:rFonts w:ascii="Cambria" w:eastAsia="Times New Roman" w:hAnsi="Cambria" w:cs="Times New Roman"/>
          <w:szCs w:val="20"/>
          <w:lang w:val="en-US"/>
        </w:rPr>
        <w:t xml:space="preserve">were seen in </w:t>
      </w:r>
      <w:r w:rsidR="00B94521">
        <w:rPr>
          <w:rFonts w:ascii="Cambria" w:eastAsia="Times New Roman" w:hAnsi="Cambria" w:cs="Times New Roman"/>
          <w:szCs w:val="20"/>
          <w:lang w:val="en-US"/>
        </w:rPr>
        <w:t xml:space="preserve">6.2% </w:t>
      </w:r>
      <w:r w:rsidR="000C7323">
        <w:rPr>
          <w:rFonts w:ascii="Cambria" w:eastAsia="Times New Roman" w:hAnsi="Cambria" w:cs="Times New Roman"/>
          <w:szCs w:val="20"/>
          <w:lang w:val="en-US"/>
        </w:rPr>
        <w:t xml:space="preserve">of patients </w:t>
      </w:r>
      <w:r w:rsidRPr="00162CB7">
        <w:rPr>
          <w:rFonts w:ascii="Cambria" w:eastAsia="Times New Roman" w:hAnsi="Cambria" w:cs="Times New Roman"/>
          <w:szCs w:val="20"/>
          <w:lang w:val="en-US"/>
        </w:rPr>
        <w:t>at multiple</w:t>
      </w:r>
      <w:r w:rsidR="00162CB7" w:rsidRPr="00162CB7">
        <w:rPr>
          <w:rFonts w:ascii="Cambria" w:eastAsia="Times New Roman" w:hAnsi="Cambria" w:cs="Times New Roman"/>
          <w:szCs w:val="20"/>
          <w:lang w:val="en-US"/>
        </w:rPr>
        <w:t xml:space="preserve"> </w:t>
      </w:r>
      <w:r w:rsidRPr="00162CB7">
        <w:rPr>
          <w:rFonts w:ascii="Cambria" w:eastAsia="Times New Roman" w:hAnsi="Cambria" w:cs="Times New Roman"/>
          <w:szCs w:val="20"/>
          <w:lang w:val="en-US"/>
        </w:rPr>
        <w:t>time points post-dose and normally resolved within two weeks</w:t>
      </w:r>
      <w:r w:rsidR="00B94521">
        <w:rPr>
          <w:rFonts w:ascii="Cambria" w:eastAsia="Times New Roman" w:hAnsi="Cambria" w:cs="Times New Roman"/>
          <w:szCs w:val="20"/>
          <w:lang w:val="en-US"/>
        </w:rPr>
        <w:t>; the decreases were reported as adverse events in 4.1% of patients.</w:t>
      </w:r>
      <w:r w:rsidRPr="00162CB7">
        <w:rPr>
          <w:rFonts w:ascii="Cambria" w:eastAsia="Times New Roman" w:hAnsi="Cambria" w:cs="Times New Roman"/>
          <w:szCs w:val="20"/>
          <w:lang w:val="en-US"/>
        </w:rPr>
        <w:t xml:space="preserve"> Decreases in platelet counts</w:t>
      </w:r>
      <w:r w:rsidR="00162CB7" w:rsidRPr="00162CB7">
        <w:rPr>
          <w:rFonts w:ascii="Cambria" w:eastAsia="Times New Roman" w:hAnsi="Cambria" w:cs="Times New Roman"/>
          <w:szCs w:val="20"/>
          <w:lang w:val="en-US"/>
        </w:rPr>
        <w:t xml:space="preserve"> </w:t>
      </w:r>
      <w:r w:rsidRPr="00162CB7">
        <w:rPr>
          <w:rFonts w:ascii="Cambria" w:eastAsia="Times New Roman" w:hAnsi="Cambria" w:cs="Times New Roman"/>
          <w:szCs w:val="20"/>
          <w:lang w:val="en-US"/>
        </w:rPr>
        <w:t>were more prominent during the first week of treatment. No patients had clinical symptoms</w:t>
      </w:r>
      <w:r w:rsidR="00162CB7" w:rsidRPr="00162CB7">
        <w:rPr>
          <w:rFonts w:ascii="Cambria" w:eastAsia="Times New Roman" w:hAnsi="Cambria" w:cs="Times New Roman"/>
          <w:szCs w:val="20"/>
          <w:lang w:val="en-US"/>
        </w:rPr>
        <w:t xml:space="preserve"> </w:t>
      </w:r>
      <w:r w:rsidRPr="00162CB7">
        <w:rPr>
          <w:rFonts w:ascii="Cambria" w:eastAsia="Times New Roman" w:hAnsi="Cambria" w:cs="Times New Roman"/>
          <w:szCs w:val="20"/>
          <w:lang w:val="en-US"/>
        </w:rPr>
        <w:t>associated with decreased platelets (</w:t>
      </w:r>
      <w:r w:rsidR="00CA24D2" w:rsidRPr="00723032">
        <w:rPr>
          <w:rFonts w:ascii="Cambria" w:hAnsi="Cambria"/>
        </w:rPr>
        <w:t xml:space="preserve">see </w:t>
      </w:r>
      <w:r w:rsidR="00CA24D2">
        <w:rPr>
          <w:rFonts w:ascii="Cambria" w:hAnsi="Cambria"/>
        </w:rPr>
        <w:t>4.4 Special w</w:t>
      </w:r>
      <w:r w:rsidR="00CA24D2" w:rsidRPr="00723032">
        <w:rPr>
          <w:rFonts w:ascii="Cambria" w:hAnsi="Cambria"/>
        </w:rPr>
        <w:t xml:space="preserve">arnings and precautions </w:t>
      </w:r>
      <w:r w:rsidR="00CA24D2">
        <w:rPr>
          <w:rFonts w:ascii="Cambria" w:hAnsi="Cambria"/>
        </w:rPr>
        <w:t>for use</w:t>
      </w:r>
      <w:r w:rsidRPr="00162CB7">
        <w:rPr>
          <w:rFonts w:ascii="Cambria" w:eastAsia="Times New Roman" w:hAnsi="Cambria" w:cs="Times New Roman"/>
          <w:szCs w:val="20"/>
          <w:lang w:val="en-US"/>
        </w:rPr>
        <w:t>).</w:t>
      </w:r>
    </w:p>
    <w:p w14:paraId="01570DC1" w14:textId="77777777" w:rsidR="00FE2D48" w:rsidRPr="00162CB7" w:rsidRDefault="00FE2D48" w:rsidP="00D83B93">
      <w:pPr>
        <w:pStyle w:val="C-Bullet"/>
        <w:numPr>
          <w:ilvl w:val="0"/>
          <w:numId w:val="0"/>
        </w:numPr>
        <w:rPr>
          <w:rFonts w:ascii="Cambria" w:hAnsi="Cambria"/>
          <w:i/>
        </w:rPr>
      </w:pPr>
      <w:r w:rsidRPr="00162CB7">
        <w:rPr>
          <w:rFonts w:ascii="Cambria" w:hAnsi="Cambria"/>
          <w:i/>
        </w:rPr>
        <w:t>Increases of troponin-I levels</w:t>
      </w:r>
    </w:p>
    <w:p w14:paraId="6A5D484D" w14:textId="64D34B11" w:rsidR="00FE2D48" w:rsidRPr="00162CB7" w:rsidRDefault="00FE2D48" w:rsidP="00D83B93">
      <w:pPr>
        <w:rPr>
          <w:rFonts w:ascii="Cambria" w:eastAsia="Times New Roman" w:hAnsi="Cambria" w:cs="Times New Roman"/>
          <w:szCs w:val="20"/>
          <w:lang w:val="en-US"/>
        </w:rPr>
      </w:pPr>
      <w:r w:rsidRPr="00162CB7">
        <w:rPr>
          <w:rFonts w:ascii="Cambria" w:eastAsia="Times New Roman" w:hAnsi="Cambria" w:cs="Times New Roman"/>
          <w:szCs w:val="20"/>
          <w:lang w:val="en-US"/>
        </w:rPr>
        <w:t>Increases in cardiac trop</w:t>
      </w:r>
      <w:r w:rsidR="00891CD0">
        <w:rPr>
          <w:rFonts w:ascii="Cambria" w:eastAsia="Times New Roman" w:hAnsi="Cambria" w:cs="Times New Roman"/>
          <w:szCs w:val="20"/>
          <w:lang w:val="en-US"/>
        </w:rPr>
        <w:t xml:space="preserve">onin-I levels </w:t>
      </w:r>
      <w:r w:rsidR="00907C9E">
        <w:rPr>
          <w:rFonts w:ascii="Cambria" w:eastAsia="Times New Roman" w:hAnsi="Cambria" w:cs="Times New Roman"/>
          <w:szCs w:val="20"/>
          <w:lang w:val="en-US"/>
        </w:rPr>
        <w:t xml:space="preserve">were </w:t>
      </w:r>
      <w:r w:rsidR="00A635A1">
        <w:rPr>
          <w:rFonts w:ascii="Cambria" w:eastAsia="Times New Roman" w:hAnsi="Cambria" w:cs="Times New Roman"/>
          <w:szCs w:val="20"/>
          <w:lang w:val="en-US"/>
        </w:rPr>
        <w:t xml:space="preserve">reported as adverse events in </w:t>
      </w:r>
      <w:r w:rsidR="00891CD0">
        <w:rPr>
          <w:rFonts w:ascii="Cambria" w:eastAsia="Times New Roman" w:hAnsi="Cambria" w:cs="Times New Roman"/>
          <w:szCs w:val="20"/>
          <w:lang w:val="en-US"/>
        </w:rPr>
        <w:t xml:space="preserve">3.1% </w:t>
      </w:r>
      <w:r w:rsidR="00907C9E">
        <w:rPr>
          <w:rFonts w:ascii="Cambria" w:eastAsia="Times New Roman" w:hAnsi="Cambria" w:cs="Times New Roman"/>
          <w:szCs w:val="20"/>
          <w:lang w:val="en-US"/>
        </w:rPr>
        <w:t>of patients (</w:t>
      </w:r>
      <w:r w:rsidR="00891CD0">
        <w:rPr>
          <w:rFonts w:ascii="Cambria" w:eastAsia="Times New Roman" w:hAnsi="Cambria" w:cs="Times New Roman"/>
          <w:szCs w:val="20"/>
          <w:lang w:val="en-US"/>
        </w:rPr>
        <w:t>up to 0.2</w:t>
      </w:r>
      <w:r w:rsidR="00907C9E">
        <w:rPr>
          <w:rFonts w:ascii="Cambria" w:eastAsia="Times New Roman" w:hAnsi="Cambria" w:cs="Times New Roman"/>
          <w:szCs w:val="20"/>
          <w:lang w:val="en-US"/>
        </w:rPr>
        <w:t> </w:t>
      </w:r>
      <w:r w:rsidR="00891CD0">
        <w:rPr>
          <w:rFonts w:ascii="Cambria" w:eastAsia="Times New Roman" w:hAnsi="Cambria" w:cs="Times New Roman"/>
          <w:szCs w:val="20"/>
          <w:lang w:val="en-US"/>
        </w:rPr>
        <w:t>microgram</w:t>
      </w:r>
      <w:r w:rsidRPr="00162CB7">
        <w:rPr>
          <w:rFonts w:ascii="Cambria" w:eastAsia="Times New Roman" w:hAnsi="Cambria" w:cs="Times New Roman"/>
          <w:szCs w:val="20"/>
          <w:lang w:val="en-US"/>
        </w:rPr>
        <w:t>/L</w:t>
      </w:r>
      <w:r w:rsidR="00907C9E">
        <w:rPr>
          <w:rFonts w:ascii="Cambria" w:eastAsia="Times New Roman" w:hAnsi="Cambria" w:cs="Times New Roman"/>
          <w:szCs w:val="20"/>
          <w:lang w:val="en-US"/>
        </w:rPr>
        <w:t>)</w:t>
      </w:r>
      <w:r w:rsidRPr="00162CB7">
        <w:rPr>
          <w:rFonts w:ascii="Cambria" w:eastAsia="Times New Roman" w:hAnsi="Cambria" w:cs="Times New Roman"/>
          <w:szCs w:val="20"/>
          <w:lang w:val="en-US"/>
        </w:rPr>
        <w:t xml:space="preserve"> following Z</w:t>
      </w:r>
      <w:r w:rsidR="00891CD0">
        <w:rPr>
          <w:rFonts w:ascii="Cambria" w:eastAsia="Times New Roman" w:hAnsi="Cambria" w:cs="Times New Roman"/>
          <w:szCs w:val="20"/>
          <w:lang w:val="en-US"/>
        </w:rPr>
        <w:t>OLGENSMA</w:t>
      </w:r>
      <w:r w:rsidRPr="00162CB7">
        <w:rPr>
          <w:rFonts w:ascii="Cambria" w:eastAsia="Times New Roman" w:hAnsi="Cambria" w:cs="Times New Roman"/>
          <w:szCs w:val="20"/>
          <w:lang w:val="en-US"/>
        </w:rPr>
        <w:t xml:space="preserve"> infusion. The clinical relevance of these findings is not known (</w:t>
      </w:r>
      <w:r w:rsidR="00CA24D2" w:rsidRPr="00723032">
        <w:rPr>
          <w:rFonts w:ascii="Cambria" w:hAnsi="Cambria"/>
        </w:rPr>
        <w:t xml:space="preserve">see </w:t>
      </w:r>
      <w:r w:rsidR="00CA24D2">
        <w:rPr>
          <w:rFonts w:ascii="Cambria" w:hAnsi="Cambria"/>
        </w:rPr>
        <w:t>4.4 Special w</w:t>
      </w:r>
      <w:r w:rsidR="00CA24D2" w:rsidRPr="00723032">
        <w:rPr>
          <w:rFonts w:ascii="Cambria" w:hAnsi="Cambria"/>
        </w:rPr>
        <w:t xml:space="preserve">arnings and precautions </w:t>
      </w:r>
      <w:r w:rsidR="00CA24D2">
        <w:rPr>
          <w:rFonts w:ascii="Cambria" w:hAnsi="Cambria"/>
        </w:rPr>
        <w:t>for use</w:t>
      </w:r>
      <w:r w:rsidRPr="00162CB7">
        <w:rPr>
          <w:rFonts w:ascii="Cambria" w:eastAsia="Times New Roman" w:hAnsi="Cambria" w:cs="Times New Roman"/>
          <w:szCs w:val="20"/>
          <w:lang w:val="en-US"/>
        </w:rPr>
        <w:t>).</w:t>
      </w:r>
    </w:p>
    <w:p w14:paraId="20AE277E" w14:textId="3CDECE07" w:rsidR="00534751" w:rsidRPr="00FE2D48" w:rsidRDefault="00534751" w:rsidP="00D83B93">
      <w:pPr>
        <w:pStyle w:val="C-Bullet"/>
        <w:numPr>
          <w:ilvl w:val="0"/>
          <w:numId w:val="0"/>
        </w:numPr>
        <w:rPr>
          <w:rFonts w:ascii="Cambria" w:hAnsi="Cambria"/>
          <w:i/>
        </w:rPr>
      </w:pPr>
      <w:r w:rsidRPr="00FE2D48">
        <w:rPr>
          <w:rFonts w:ascii="Cambria" w:hAnsi="Cambria"/>
          <w:i/>
        </w:rPr>
        <w:t>Immunogenicity</w:t>
      </w:r>
      <w:bookmarkEnd w:id="34"/>
    </w:p>
    <w:p w14:paraId="5AD74243" w14:textId="44B459C5" w:rsidR="00723032" w:rsidRPr="008E6700" w:rsidRDefault="00723032" w:rsidP="00D83B93">
      <w:pPr>
        <w:pStyle w:val="C-BodyText"/>
        <w:rPr>
          <w:rFonts w:ascii="Cambria" w:hAnsi="Cambria"/>
          <w:szCs w:val="24"/>
        </w:rPr>
      </w:pPr>
      <w:bookmarkStart w:id="36" w:name="_Hlk7724609"/>
      <w:bookmarkEnd w:id="35"/>
      <w:r w:rsidRPr="008E6700">
        <w:rPr>
          <w:rFonts w:ascii="Cambria" w:hAnsi="Cambria"/>
          <w:szCs w:val="24"/>
        </w:rPr>
        <w:t xml:space="preserve">The detection of antibody formation is highly dependent on the sensitivity and specificity of the assay. In addition, the observed incidence of antibody (including </w:t>
      </w:r>
      <w:proofErr w:type="spellStart"/>
      <w:r w:rsidRPr="008E6700">
        <w:rPr>
          <w:rFonts w:ascii="Cambria" w:hAnsi="Cambria"/>
          <w:szCs w:val="24"/>
        </w:rPr>
        <w:t>neutrali</w:t>
      </w:r>
      <w:r w:rsidR="002B5A16">
        <w:rPr>
          <w:rFonts w:ascii="Cambria" w:hAnsi="Cambria"/>
          <w:szCs w:val="24"/>
        </w:rPr>
        <w:t>s</w:t>
      </w:r>
      <w:r w:rsidRPr="008E6700">
        <w:rPr>
          <w:rFonts w:ascii="Cambria" w:hAnsi="Cambria"/>
          <w:szCs w:val="24"/>
        </w:rPr>
        <w:t>ing</w:t>
      </w:r>
      <w:proofErr w:type="spellEnd"/>
      <w:r w:rsidRPr="008E6700">
        <w:rPr>
          <w:rFonts w:ascii="Cambria" w:hAnsi="Cambria"/>
          <w:szCs w:val="24"/>
        </w:rPr>
        <w:t xml:space="preserve"> antibody) </w:t>
      </w:r>
      <w:r w:rsidRPr="00101E5A">
        <w:rPr>
          <w:rFonts w:ascii="Cambria" w:hAnsi="Cambria"/>
          <w:szCs w:val="24"/>
        </w:rPr>
        <w:t>positivity in an assay may be influenced by several factors including assay methodology, sample handling, timing of sample collection, concomitant medicinal products and underlying disease.</w:t>
      </w:r>
      <w:r w:rsidRPr="007E28A2">
        <w:rPr>
          <w:rFonts w:ascii="Cambria" w:hAnsi="Cambria"/>
          <w:szCs w:val="24"/>
        </w:rPr>
        <w:t xml:space="preserve"> </w:t>
      </w:r>
      <w:r w:rsidR="002B5A16">
        <w:rPr>
          <w:rFonts w:ascii="Cambria" w:hAnsi="Cambria"/>
          <w:szCs w:val="24"/>
        </w:rPr>
        <w:t xml:space="preserve">Pre- and post-gene therapy </w:t>
      </w:r>
      <w:proofErr w:type="spellStart"/>
      <w:r w:rsidR="002B5A16">
        <w:rPr>
          <w:rFonts w:ascii="Cambria" w:hAnsi="Cambria"/>
          <w:szCs w:val="24"/>
        </w:rPr>
        <w:t>tit</w:t>
      </w:r>
      <w:r w:rsidRPr="007E28A2">
        <w:rPr>
          <w:rFonts w:ascii="Cambria" w:hAnsi="Cambria"/>
          <w:szCs w:val="24"/>
        </w:rPr>
        <w:t>r</w:t>
      </w:r>
      <w:r w:rsidR="002B5A16">
        <w:rPr>
          <w:rFonts w:ascii="Cambria" w:hAnsi="Cambria"/>
          <w:szCs w:val="24"/>
        </w:rPr>
        <w:t>e</w:t>
      </w:r>
      <w:r w:rsidRPr="007E28A2">
        <w:rPr>
          <w:rFonts w:ascii="Cambria" w:hAnsi="Cambria"/>
          <w:szCs w:val="24"/>
        </w:rPr>
        <w:t>s</w:t>
      </w:r>
      <w:proofErr w:type="spellEnd"/>
      <w:r w:rsidRPr="007E28A2">
        <w:rPr>
          <w:rFonts w:ascii="Cambria" w:hAnsi="Cambria"/>
          <w:szCs w:val="24"/>
        </w:rPr>
        <w:t xml:space="preserve"> of AAV9 antibody were measured in the clinical studies (see </w:t>
      </w:r>
      <w:r w:rsidR="00CA24D2" w:rsidRPr="007E28A2">
        <w:rPr>
          <w:rFonts w:ascii="Cambria" w:hAnsi="Cambria"/>
          <w:szCs w:val="24"/>
        </w:rPr>
        <w:t>4.4 Special w</w:t>
      </w:r>
      <w:r w:rsidRPr="007E28A2">
        <w:rPr>
          <w:rFonts w:ascii="Cambria" w:hAnsi="Cambria"/>
          <w:szCs w:val="24"/>
        </w:rPr>
        <w:t xml:space="preserve">arnings and precautions </w:t>
      </w:r>
      <w:r w:rsidR="00CA24D2" w:rsidRPr="007E28A2">
        <w:rPr>
          <w:rFonts w:ascii="Cambria" w:hAnsi="Cambria"/>
          <w:szCs w:val="24"/>
        </w:rPr>
        <w:t xml:space="preserve">for use </w:t>
      </w:r>
      <w:r w:rsidRPr="007E28A2">
        <w:rPr>
          <w:rFonts w:ascii="Cambria" w:hAnsi="Cambria"/>
          <w:szCs w:val="24"/>
        </w:rPr>
        <w:t xml:space="preserve">and </w:t>
      </w:r>
      <w:r w:rsidR="00CA24D2" w:rsidRPr="007E28A2">
        <w:rPr>
          <w:rFonts w:ascii="Cambria" w:hAnsi="Cambria"/>
          <w:szCs w:val="24"/>
        </w:rPr>
        <w:t xml:space="preserve">5.1 </w:t>
      </w:r>
      <w:r w:rsidR="0065509C" w:rsidRPr="0065509C">
        <w:rPr>
          <w:rFonts w:ascii="Cambria" w:hAnsi="Cambria"/>
          <w:szCs w:val="24"/>
        </w:rPr>
        <w:t>P</w:t>
      </w:r>
      <w:r w:rsidR="0065509C">
        <w:rPr>
          <w:rFonts w:ascii="Cambria" w:hAnsi="Cambria"/>
          <w:szCs w:val="24"/>
        </w:rPr>
        <w:t xml:space="preserve">harmacodynamic properties subheading </w:t>
      </w:r>
      <w:r w:rsidR="00CA24D2" w:rsidRPr="007E28A2">
        <w:rPr>
          <w:rFonts w:ascii="Cambria" w:hAnsi="Cambria"/>
          <w:szCs w:val="24"/>
        </w:rPr>
        <w:t>Clinical trials</w:t>
      </w:r>
      <w:r w:rsidRPr="007E28A2">
        <w:rPr>
          <w:rFonts w:ascii="Cambria" w:hAnsi="Cambria"/>
          <w:szCs w:val="24"/>
        </w:rPr>
        <w:t>).</w:t>
      </w:r>
    </w:p>
    <w:p w14:paraId="542DE32A" w14:textId="620655F7" w:rsidR="00534751" w:rsidRPr="008E6700" w:rsidRDefault="00534751" w:rsidP="00D83B93">
      <w:pPr>
        <w:pStyle w:val="C-BodyText"/>
        <w:rPr>
          <w:rFonts w:ascii="Cambria" w:hAnsi="Cambria"/>
          <w:szCs w:val="24"/>
        </w:rPr>
      </w:pPr>
      <w:r w:rsidRPr="008E6700">
        <w:rPr>
          <w:rFonts w:ascii="Cambria" w:hAnsi="Cambria"/>
          <w:szCs w:val="24"/>
        </w:rPr>
        <w:t xml:space="preserve">In ZOLGENSMA clinical trials, patients were required to have baseline anti-AAV9 antibody </w:t>
      </w:r>
      <w:proofErr w:type="spellStart"/>
      <w:r w:rsidRPr="008E6700">
        <w:rPr>
          <w:rFonts w:ascii="Cambria" w:hAnsi="Cambria"/>
          <w:szCs w:val="24"/>
        </w:rPr>
        <w:t>titr</w:t>
      </w:r>
      <w:r w:rsidR="002B5A16">
        <w:rPr>
          <w:rFonts w:ascii="Cambria" w:hAnsi="Cambria"/>
          <w:szCs w:val="24"/>
        </w:rPr>
        <w:t>e</w:t>
      </w:r>
      <w:r w:rsidRPr="008E6700">
        <w:rPr>
          <w:rFonts w:ascii="Cambria" w:hAnsi="Cambria"/>
          <w:szCs w:val="24"/>
        </w:rPr>
        <w:t>s</w:t>
      </w:r>
      <w:proofErr w:type="spellEnd"/>
      <w:r w:rsidRPr="008E6700">
        <w:rPr>
          <w:rFonts w:ascii="Cambria" w:hAnsi="Cambria"/>
          <w:szCs w:val="24"/>
        </w:rPr>
        <w:t xml:space="preserve"> of ≤ 1:50, measured using an enzyme-linked immunosorbent assay (ELISA).</w:t>
      </w:r>
      <w:r w:rsidR="00F96296" w:rsidRPr="008E6700">
        <w:rPr>
          <w:rFonts w:ascii="Cambria" w:hAnsi="Cambria"/>
          <w:szCs w:val="24"/>
        </w:rPr>
        <w:t xml:space="preserve"> </w:t>
      </w:r>
      <w:r w:rsidRPr="008E6700">
        <w:rPr>
          <w:rFonts w:ascii="Cambria" w:hAnsi="Cambria"/>
          <w:szCs w:val="24"/>
        </w:rPr>
        <w:t xml:space="preserve"> Evidence of prior exposure to AAV9 was uncommon.  </w:t>
      </w:r>
      <w:r w:rsidR="00AF705C" w:rsidRPr="008E6700">
        <w:rPr>
          <w:rFonts w:ascii="Cambria" w:hAnsi="Cambria"/>
          <w:szCs w:val="24"/>
        </w:rPr>
        <w:t>M</w:t>
      </w:r>
      <w:r w:rsidR="00620F63" w:rsidRPr="008E6700">
        <w:rPr>
          <w:rFonts w:ascii="Cambria" w:hAnsi="Cambria"/>
          <w:szCs w:val="24"/>
        </w:rPr>
        <w:t>ean increases from bas</w:t>
      </w:r>
      <w:r w:rsidR="002B5A16">
        <w:rPr>
          <w:rFonts w:ascii="Cambria" w:hAnsi="Cambria"/>
          <w:szCs w:val="24"/>
        </w:rPr>
        <w:t xml:space="preserve">eline in anti-AAV9 antibody </w:t>
      </w:r>
      <w:proofErr w:type="spellStart"/>
      <w:r w:rsidR="002B5A16">
        <w:rPr>
          <w:rFonts w:ascii="Cambria" w:hAnsi="Cambria"/>
          <w:szCs w:val="24"/>
        </w:rPr>
        <w:t>tit</w:t>
      </w:r>
      <w:r w:rsidR="00620F63" w:rsidRPr="008E6700">
        <w:rPr>
          <w:rFonts w:ascii="Cambria" w:hAnsi="Cambria"/>
          <w:szCs w:val="24"/>
        </w:rPr>
        <w:t>r</w:t>
      </w:r>
      <w:r w:rsidR="002B5A16">
        <w:rPr>
          <w:rFonts w:ascii="Cambria" w:hAnsi="Cambria"/>
          <w:szCs w:val="24"/>
        </w:rPr>
        <w:t>e</w:t>
      </w:r>
      <w:r w:rsidR="00620F63" w:rsidRPr="008E6700">
        <w:rPr>
          <w:rFonts w:ascii="Cambria" w:hAnsi="Cambria"/>
          <w:szCs w:val="24"/>
        </w:rPr>
        <w:t>s</w:t>
      </w:r>
      <w:proofErr w:type="spellEnd"/>
      <w:r w:rsidR="00620F63" w:rsidRPr="008E6700">
        <w:rPr>
          <w:rFonts w:ascii="Cambria" w:hAnsi="Cambria"/>
          <w:szCs w:val="24"/>
        </w:rPr>
        <w:t xml:space="preserve"> </w:t>
      </w:r>
      <w:r w:rsidR="00620F63" w:rsidRPr="00101E5A">
        <w:rPr>
          <w:rFonts w:ascii="Cambria" w:hAnsi="Cambria"/>
          <w:szCs w:val="24"/>
        </w:rPr>
        <w:t xml:space="preserve">were observed in all patients </w:t>
      </w:r>
      <w:r w:rsidR="00AF705C" w:rsidRPr="00101E5A">
        <w:rPr>
          <w:rFonts w:ascii="Cambria" w:hAnsi="Cambria"/>
          <w:szCs w:val="24"/>
        </w:rPr>
        <w:t>at all but one</w:t>
      </w:r>
      <w:r w:rsidR="00620F63" w:rsidRPr="00101E5A">
        <w:rPr>
          <w:rFonts w:ascii="Cambria" w:hAnsi="Cambria"/>
          <w:szCs w:val="24"/>
        </w:rPr>
        <w:t xml:space="preserve"> ti</w:t>
      </w:r>
      <w:r w:rsidR="002B5A16">
        <w:rPr>
          <w:rFonts w:ascii="Cambria" w:hAnsi="Cambria"/>
          <w:szCs w:val="24"/>
        </w:rPr>
        <w:t xml:space="preserve">me point for antibody </w:t>
      </w:r>
      <w:proofErr w:type="spellStart"/>
      <w:r w:rsidR="002B5A16">
        <w:rPr>
          <w:rFonts w:ascii="Cambria" w:hAnsi="Cambria"/>
          <w:szCs w:val="24"/>
        </w:rPr>
        <w:t>tit</w:t>
      </w:r>
      <w:r w:rsidR="00620F63" w:rsidRPr="00101E5A">
        <w:rPr>
          <w:rFonts w:ascii="Cambria" w:hAnsi="Cambria"/>
          <w:szCs w:val="24"/>
        </w:rPr>
        <w:t>r</w:t>
      </w:r>
      <w:r w:rsidR="002B5A16">
        <w:rPr>
          <w:rFonts w:ascii="Cambria" w:hAnsi="Cambria"/>
          <w:szCs w:val="24"/>
        </w:rPr>
        <w:t>e</w:t>
      </w:r>
      <w:proofErr w:type="spellEnd"/>
      <w:r w:rsidR="00620F63" w:rsidRPr="00101E5A">
        <w:rPr>
          <w:rFonts w:ascii="Cambria" w:hAnsi="Cambria"/>
          <w:szCs w:val="24"/>
        </w:rPr>
        <w:t xml:space="preserve"> levels to AAV9 peptide, reflecting normal</w:t>
      </w:r>
      <w:r w:rsidR="00AF705C" w:rsidRPr="00101E5A">
        <w:rPr>
          <w:rFonts w:ascii="Cambria" w:hAnsi="Cambria"/>
          <w:szCs w:val="24"/>
        </w:rPr>
        <w:t xml:space="preserve"> </w:t>
      </w:r>
      <w:r w:rsidR="00620F63" w:rsidRPr="00101E5A">
        <w:rPr>
          <w:rFonts w:ascii="Cambria" w:hAnsi="Cambria"/>
          <w:szCs w:val="24"/>
        </w:rPr>
        <w:t>response to non-</w:t>
      </w:r>
      <w:proofErr w:type="spellStart"/>
      <w:r w:rsidR="00620F63" w:rsidRPr="00101E5A">
        <w:rPr>
          <w:rFonts w:ascii="Cambria" w:hAnsi="Cambria"/>
          <w:szCs w:val="24"/>
        </w:rPr>
        <w:t>self viral</w:t>
      </w:r>
      <w:proofErr w:type="spellEnd"/>
      <w:r w:rsidR="00620F63" w:rsidRPr="00101E5A">
        <w:rPr>
          <w:rFonts w:ascii="Cambria" w:hAnsi="Cambria"/>
          <w:szCs w:val="24"/>
        </w:rPr>
        <w:t xml:space="preserve"> antigen</w:t>
      </w:r>
      <w:r w:rsidR="0065509C">
        <w:rPr>
          <w:rFonts w:ascii="Cambria" w:hAnsi="Cambria"/>
          <w:szCs w:val="24"/>
        </w:rPr>
        <w:t xml:space="preserve">. </w:t>
      </w:r>
      <w:r w:rsidR="00AF705C" w:rsidRPr="00101E5A">
        <w:rPr>
          <w:rFonts w:ascii="Cambria" w:hAnsi="Cambria"/>
          <w:szCs w:val="24"/>
        </w:rPr>
        <w:t>Some pat</w:t>
      </w:r>
      <w:r w:rsidR="002B5A16">
        <w:rPr>
          <w:rFonts w:ascii="Cambria" w:hAnsi="Cambria"/>
          <w:szCs w:val="24"/>
        </w:rPr>
        <w:t xml:space="preserve">ients experienced anti-AAV9 </w:t>
      </w:r>
      <w:proofErr w:type="spellStart"/>
      <w:r w:rsidR="002B5A16">
        <w:rPr>
          <w:rFonts w:ascii="Cambria" w:hAnsi="Cambria"/>
          <w:szCs w:val="24"/>
        </w:rPr>
        <w:t>tit</w:t>
      </w:r>
      <w:r w:rsidR="00AF705C" w:rsidRPr="00101E5A">
        <w:rPr>
          <w:rFonts w:ascii="Cambria" w:hAnsi="Cambria"/>
          <w:szCs w:val="24"/>
        </w:rPr>
        <w:t>r</w:t>
      </w:r>
      <w:r w:rsidR="002B5A16">
        <w:rPr>
          <w:rFonts w:ascii="Cambria" w:hAnsi="Cambria"/>
          <w:szCs w:val="24"/>
        </w:rPr>
        <w:t>e</w:t>
      </w:r>
      <w:r w:rsidR="00AF705C" w:rsidRPr="00101E5A">
        <w:rPr>
          <w:rFonts w:ascii="Cambria" w:hAnsi="Cambria"/>
          <w:szCs w:val="24"/>
        </w:rPr>
        <w:t>s</w:t>
      </w:r>
      <w:proofErr w:type="spellEnd"/>
      <w:r w:rsidR="00AF705C" w:rsidRPr="00101E5A">
        <w:rPr>
          <w:rFonts w:ascii="Cambria" w:hAnsi="Cambria"/>
          <w:szCs w:val="24"/>
        </w:rPr>
        <w:t xml:space="preserve"> exceeding the</w:t>
      </w:r>
      <w:r w:rsidR="00AF705C" w:rsidRPr="007E28A2">
        <w:rPr>
          <w:rFonts w:ascii="Cambria" w:hAnsi="Cambria"/>
          <w:szCs w:val="24"/>
        </w:rPr>
        <w:t xml:space="preserve"> level of quantification, however most of these patients did not have potentially clinically significant adverse drug reactions. Thus, no relationship has been established</w:t>
      </w:r>
      <w:r w:rsidR="002B5A16">
        <w:rPr>
          <w:rFonts w:ascii="Cambria" w:hAnsi="Cambria"/>
          <w:szCs w:val="24"/>
        </w:rPr>
        <w:t xml:space="preserve"> between high AAV9 antibody </w:t>
      </w:r>
      <w:proofErr w:type="spellStart"/>
      <w:r w:rsidR="002B5A16">
        <w:rPr>
          <w:rFonts w:ascii="Cambria" w:hAnsi="Cambria"/>
          <w:szCs w:val="24"/>
        </w:rPr>
        <w:t>tit</w:t>
      </w:r>
      <w:r w:rsidR="00AF705C" w:rsidRPr="007E28A2">
        <w:rPr>
          <w:rFonts w:ascii="Cambria" w:hAnsi="Cambria"/>
          <w:szCs w:val="24"/>
        </w:rPr>
        <w:t>r</w:t>
      </w:r>
      <w:r w:rsidR="002B5A16">
        <w:rPr>
          <w:rFonts w:ascii="Cambria" w:hAnsi="Cambria"/>
          <w:szCs w:val="24"/>
        </w:rPr>
        <w:t>e</w:t>
      </w:r>
      <w:r w:rsidR="00AF705C" w:rsidRPr="007E28A2">
        <w:rPr>
          <w:rFonts w:ascii="Cambria" w:hAnsi="Cambria"/>
          <w:szCs w:val="24"/>
        </w:rPr>
        <w:t>s</w:t>
      </w:r>
      <w:proofErr w:type="spellEnd"/>
      <w:r w:rsidR="00AF705C" w:rsidRPr="007E28A2">
        <w:rPr>
          <w:rFonts w:ascii="Cambria" w:hAnsi="Cambria"/>
          <w:szCs w:val="24"/>
        </w:rPr>
        <w:t xml:space="preserve"> and the potential for adverse drug reactions or efficacy parameters. </w:t>
      </w:r>
    </w:p>
    <w:p w14:paraId="7F70ACA7" w14:textId="3A9D8790" w:rsidR="00534751" w:rsidRPr="008E6700" w:rsidRDefault="00AF705C" w:rsidP="00D83B93">
      <w:pPr>
        <w:pStyle w:val="C-BodyText"/>
        <w:rPr>
          <w:rFonts w:ascii="Cambria" w:hAnsi="Cambria"/>
          <w:szCs w:val="24"/>
        </w:rPr>
      </w:pPr>
      <w:r w:rsidRPr="008E6700">
        <w:rPr>
          <w:rFonts w:ascii="Cambria" w:hAnsi="Cambria"/>
          <w:szCs w:val="24"/>
        </w:rPr>
        <w:t>In the CL-101 clinical study, 16 patients were screened for AAV9 ant</w:t>
      </w:r>
      <w:r w:rsidR="002B5A16">
        <w:rPr>
          <w:rFonts w:ascii="Cambria" w:hAnsi="Cambria"/>
          <w:szCs w:val="24"/>
        </w:rPr>
        <w:t xml:space="preserve">ibody </w:t>
      </w:r>
      <w:proofErr w:type="spellStart"/>
      <w:r w:rsidR="002B5A16">
        <w:rPr>
          <w:rFonts w:ascii="Cambria" w:hAnsi="Cambria"/>
          <w:szCs w:val="24"/>
        </w:rPr>
        <w:t>tit</w:t>
      </w:r>
      <w:r w:rsidRPr="008E6700">
        <w:rPr>
          <w:rFonts w:ascii="Cambria" w:hAnsi="Cambria"/>
          <w:szCs w:val="24"/>
        </w:rPr>
        <w:t>r</w:t>
      </w:r>
      <w:r w:rsidR="002B5A16">
        <w:rPr>
          <w:rFonts w:ascii="Cambria" w:hAnsi="Cambria"/>
          <w:szCs w:val="24"/>
        </w:rPr>
        <w:t>e</w:t>
      </w:r>
      <w:proofErr w:type="spellEnd"/>
      <w:r w:rsidR="002B5A16">
        <w:rPr>
          <w:rFonts w:ascii="Cambria" w:hAnsi="Cambria"/>
          <w:szCs w:val="24"/>
        </w:rPr>
        <w:t xml:space="preserve">: 13 had </w:t>
      </w:r>
      <w:proofErr w:type="spellStart"/>
      <w:r w:rsidR="002B5A16">
        <w:rPr>
          <w:rFonts w:ascii="Cambria" w:hAnsi="Cambria"/>
          <w:szCs w:val="24"/>
        </w:rPr>
        <w:t>tit</w:t>
      </w:r>
      <w:r w:rsidRPr="008E6700">
        <w:rPr>
          <w:rFonts w:ascii="Cambria" w:hAnsi="Cambria"/>
          <w:szCs w:val="24"/>
        </w:rPr>
        <w:t>r</w:t>
      </w:r>
      <w:r w:rsidR="002B5A16">
        <w:rPr>
          <w:rFonts w:ascii="Cambria" w:hAnsi="Cambria"/>
          <w:szCs w:val="24"/>
        </w:rPr>
        <w:t>e</w:t>
      </w:r>
      <w:r w:rsidRPr="008E6700">
        <w:rPr>
          <w:rFonts w:ascii="Cambria" w:hAnsi="Cambria"/>
          <w:szCs w:val="24"/>
        </w:rPr>
        <w:t>s</w:t>
      </w:r>
      <w:proofErr w:type="spellEnd"/>
      <w:r w:rsidRPr="008E6700">
        <w:rPr>
          <w:rFonts w:ascii="Cambria" w:hAnsi="Cambria"/>
          <w:szCs w:val="24"/>
        </w:rPr>
        <w:t xml:space="preserve"> less than 1:50 and were enrolled in th</w:t>
      </w:r>
      <w:r w:rsidR="002B5A16">
        <w:rPr>
          <w:rFonts w:ascii="Cambria" w:hAnsi="Cambria"/>
          <w:szCs w:val="24"/>
        </w:rPr>
        <w:t xml:space="preserve">e study; three patients had </w:t>
      </w:r>
      <w:proofErr w:type="spellStart"/>
      <w:r w:rsidR="002B5A16">
        <w:rPr>
          <w:rFonts w:ascii="Cambria" w:hAnsi="Cambria"/>
          <w:szCs w:val="24"/>
        </w:rPr>
        <w:t>tit</w:t>
      </w:r>
      <w:r w:rsidRPr="008E6700">
        <w:rPr>
          <w:rFonts w:ascii="Cambria" w:hAnsi="Cambria"/>
          <w:szCs w:val="24"/>
        </w:rPr>
        <w:t>r</w:t>
      </w:r>
      <w:r w:rsidR="002B5A16">
        <w:rPr>
          <w:rFonts w:ascii="Cambria" w:hAnsi="Cambria"/>
          <w:szCs w:val="24"/>
        </w:rPr>
        <w:t>e</w:t>
      </w:r>
      <w:r w:rsidRPr="008E6700">
        <w:rPr>
          <w:rFonts w:ascii="Cambria" w:hAnsi="Cambria"/>
          <w:szCs w:val="24"/>
        </w:rPr>
        <w:t>s</w:t>
      </w:r>
      <w:proofErr w:type="spellEnd"/>
      <w:r w:rsidRPr="008E6700">
        <w:rPr>
          <w:rFonts w:ascii="Cambria" w:hAnsi="Cambria"/>
          <w:szCs w:val="24"/>
        </w:rPr>
        <w:t xml:space="preserve"> greater than</w:t>
      </w:r>
      <w:r w:rsidRPr="00101E5A">
        <w:rPr>
          <w:rFonts w:ascii="Cambria" w:hAnsi="Cambria"/>
          <w:szCs w:val="24"/>
        </w:rPr>
        <w:t xml:space="preserve"> 1:50, two of whom were retested following cessation </w:t>
      </w:r>
      <w:r w:rsidR="002B5A16">
        <w:rPr>
          <w:rFonts w:ascii="Cambria" w:hAnsi="Cambria"/>
          <w:szCs w:val="24"/>
        </w:rPr>
        <w:t xml:space="preserve">of breast-feeding and their </w:t>
      </w:r>
      <w:proofErr w:type="spellStart"/>
      <w:r w:rsidR="002B5A16">
        <w:rPr>
          <w:rFonts w:ascii="Cambria" w:hAnsi="Cambria"/>
          <w:szCs w:val="24"/>
        </w:rPr>
        <w:t>tit</w:t>
      </w:r>
      <w:r w:rsidRPr="00101E5A">
        <w:rPr>
          <w:rFonts w:ascii="Cambria" w:hAnsi="Cambria"/>
          <w:szCs w:val="24"/>
        </w:rPr>
        <w:t>r</w:t>
      </w:r>
      <w:r w:rsidR="002B5A16">
        <w:rPr>
          <w:rFonts w:ascii="Cambria" w:hAnsi="Cambria"/>
          <w:szCs w:val="24"/>
        </w:rPr>
        <w:t>e</w:t>
      </w:r>
      <w:r w:rsidRPr="00101E5A">
        <w:rPr>
          <w:rFonts w:ascii="Cambria" w:hAnsi="Cambria"/>
          <w:szCs w:val="24"/>
        </w:rPr>
        <w:t>s</w:t>
      </w:r>
      <w:proofErr w:type="spellEnd"/>
      <w:r w:rsidRPr="00101E5A">
        <w:rPr>
          <w:rFonts w:ascii="Cambria" w:hAnsi="Cambria"/>
          <w:szCs w:val="24"/>
        </w:rPr>
        <w:t xml:space="preserve"> were</w:t>
      </w:r>
      <w:r>
        <w:rPr>
          <w:rFonts w:ascii="Cambria" w:hAnsi="Cambria"/>
        </w:rPr>
        <w:t xml:space="preserve"> </w:t>
      </w:r>
      <w:r w:rsidRPr="008E6700">
        <w:rPr>
          <w:rFonts w:ascii="Cambria" w:hAnsi="Cambria"/>
          <w:szCs w:val="24"/>
        </w:rPr>
        <w:t xml:space="preserve">measured at less than 1:50 and both were enrolled in the study. There is no information on whether breastfeeding should be restricted in mothers who may be seropositive for AAV9 antibodies. </w:t>
      </w:r>
      <w:r w:rsidR="006D1452" w:rsidRPr="008E6700">
        <w:rPr>
          <w:rFonts w:ascii="Cambria" w:hAnsi="Cambria"/>
          <w:szCs w:val="24"/>
        </w:rPr>
        <w:t xml:space="preserve">Patients all had less than or </w:t>
      </w:r>
      <w:r w:rsidR="002B5A16">
        <w:rPr>
          <w:rFonts w:ascii="Cambria" w:hAnsi="Cambria"/>
          <w:szCs w:val="24"/>
        </w:rPr>
        <w:t xml:space="preserve">equal to 1:50 AAV9 antibody </w:t>
      </w:r>
      <w:proofErr w:type="spellStart"/>
      <w:r w:rsidR="002B5A16">
        <w:rPr>
          <w:rFonts w:ascii="Cambria" w:hAnsi="Cambria"/>
          <w:szCs w:val="24"/>
        </w:rPr>
        <w:t>tit</w:t>
      </w:r>
      <w:r w:rsidR="006D1452" w:rsidRPr="008E6700">
        <w:rPr>
          <w:rFonts w:ascii="Cambria" w:hAnsi="Cambria"/>
          <w:szCs w:val="24"/>
        </w:rPr>
        <w:t>r</w:t>
      </w:r>
      <w:r w:rsidR="002B5A16">
        <w:rPr>
          <w:rFonts w:ascii="Cambria" w:hAnsi="Cambria"/>
          <w:szCs w:val="24"/>
        </w:rPr>
        <w:t>e</w:t>
      </w:r>
      <w:proofErr w:type="spellEnd"/>
      <w:r w:rsidR="006D1452" w:rsidRPr="008E6700">
        <w:rPr>
          <w:rFonts w:ascii="Cambria" w:hAnsi="Cambria"/>
          <w:szCs w:val="24"/>
        </w:rPr>
        <w:t xml:space="preserve"> prior to treatment</w:t>
      </w:r>
      <w:r w:rsidR="006D1452" w:rsidRPr="00101E5A">
        <w:rPr>
          <w:rFonts w:ascii="Cambria" w:hAnsi="Cambria"/>
          <w:szCs w:val="24"/>
        </w:rPr>
        <w:t xml:space="preserve"> with Z</w:t>
      </w:r>
      <w:r w:rsidR="00CA24D2" w:rsidRPr="00101E5A">
        <w:rPr>
          <w:rFonts w:ascii="Cambria" w:hAnsi="Cambria"/>
          <w:szCs w:val="24"/>
        </w:rPr>
        <w:t>OLGENSMA</w:t>
      </w:r>
      <w:r w:rsidR="006D1452" w:rsidRPr="00101E5A">
        <w:rPr>
          <w:rFonts w:ascii="Cambria" w:hAnsi="Cambria"/>
          <w:szCs w:val="24"/>
        </w:rPr>
        <w:t xml:space="preserve"> and subsequently demonstrated an expecte</w:t>
      </w:r>
      <w:r w:rsidR="002B5A16">
        <w:rPr>
          <w:rFonts w:ascii="Cambria" w:hAnsi="Cambria"/>
          <w:szCs w:val="24"/>
        </w:rPr>
        <w:t xml:space="preserve">d increase in AAV9 antibody </w:t>
      </w:r>
      <w:proofErr w:type="spellStart"/>
      <w:r w:rsidR="002B5A16">
        <w:rPr>
          <w:rFonts w:ascii="Cambria" w:hAnsi="Cambria"/>
          <w:szCs w:val="24"/>
        </w:rPr>
        <w:t>tit</w:t>
      </w:r>
      <w:r w:rsidR="006D1452" w:rsidRPr="00101E5A">
        <w:rPr>
          <w:rFonts w:ascii="Cambria" w:hAnsi="Cambria"/>
          <w:szCs w:val="24"/>
        </w:rPr>
        <w:t>r</w:t>
      </w:r>
      <w:r w:rsidR="002B5A16">
        <w:rPr>
          <w:rFonts w:ascii="Cambria" w:hAnsi="Cambria"/>
          <w:szCs w:val="24"/>
        </w:rPr>
        <w:t>e</w:t>
      </w:r>
      <w:r w:rsidR="006D1452" w:rsidRPr="00101E5A">
        <w:rPr>
          <w:rFonts w:ascii="Cambria" w:hAnsi="Cambria"/>
          <w:szCs w:val="24"/>
        </w:rPr>
        <w:t>s</w:t>
      </w:r>
      <w:proofErr w:type="spellEnd"/>
      <w:r w:rsidR="006D1452" w:rsidRPr="00101E5A">
        <w:rPr>
          <w:rFonts w:ascii="Cambria" w:hAnsi="Cambria"/>
          <w:szCs w:val="24"/>
        </w:rPr>
        <w:t xml:space="preserve"> to </w:t>
      </w:r>
      <w:r w:rsidR="00534751" w:rsidRPr="007E28A2">
        <w:rPr>
          <w:rFonts w:ascii="Cambria" w:hAnsi="Cambria"/>
          <w:szCs w:val="24"/>
        </w:rPr>
        <w:t xml:space="preserve">at least 1:102,400 </w:t>
      </w:r>
      <w:r w:rsidR="006D1452" w:rsidRPr="007E28A2">
        <w:rPr>
          <w:rFonts w:ascii="Cambria" w:hAnsi="Cambria"/>
          <w:szCs w:val="24"/>
        </w:rPr>
        <w:t xml:space="preserve">and up to greater than </w:t>
      </w:r>
      <w:r w:rsidR="00534751" w:rsidRPr="007E28A2">
        <w:rPr>
          <w:rFonts w:ascii="Cambria" w:hAnsi="Cambria"/>
          <w:szCs w:val="24"/>
        </w:rPr>
        <w:t xml:space="preserve">1:819,200. </w:t>
      </w:r>
      <w:bookmarkStart w:id="37" w:name="_Hlk7724821"/>
      <w:r w:rsidR="00534751" w:rsidRPr="007E28A2">
        <w:rPr>
          <w:rFonts w:ascii="Cambria" w:hAnsi="Cambria"/>
          <w:szCs w:val="24"/>
        </w:rPr>
        <w:t xml:space="preserve"> </w:t>
      </w:r>
      <w:r w:rsidR="004D5124" w:rsidRPr="007E28A2">
        <w:rPr>
          <w:rFonts w:ascii="Cambria" w:hAnsi="Cambria"/>
          <w:szCs w:val="24"/>
        </w:rPr>
        <w:t>No ZOLGENSMA</w:t>
      </w:r>
      <w:r w:rsidR="006D1452" w:rsidRPr="007E28A2">
        <w:rPr>
          <w:rFonts w:ascii="Cambria" w:hAnsi="Cambria"/>
          <w:szCs w:val="24"/>
        </w:rPr>
        <w:t xml:space="preserve">-treated patient demonstrated an immune response to the transgene. </w:t>
      </w:r>
      <w:r w:rsidR="00534751" w:rsidRPr="008E6700">
        <w:rPr>
          <w:rFonts w:ascii="Cambria" w:hAnsi="Cambria"/>
          <w:szCs w:val="24"/>
        </w:rPr>
        <w:t>Re</w:t>
      </w:r>
      <w:r w:rsidR="00534751" w:rsidRPr="008E6700">
        <w:rPr>
          <w:rFonts w:ascii="Cambria" w:hAnsi="Cambria"/>
          <w:szCs w:val="24"/>
        </w:rPr>
        <w:noBreakHyphen/>
        <w:t xml:space="preserve">administration of ZOLGENSMA in the presence of high anti-AAV9 antibody </w:t>
      </w:r>
      <w:proofErr w:type="spellStart"/>
      <w:r w:rsidR="00534751" w:rsidRPr="008E6700">
        <w:rPr>
          <w:rFonts w:ascii="Cambria" w:hAnsi="Cambria"/>
          <w:szCs w:val="24"/>
        </w:rPr>
        <w:t>titr</w:t>
      </w:r>
      <w:r w:rsidR="002B5A16">
        <w:rPr>
          <w:rFonts w:ascii="Cambria" w:hAnsi="Cambria"/>
          <w:szCs w:val="24"/>
        </w:rPr>
        <w:t>e</w:t>
      </w:r>
      <w:proofErr w:type="spellEnd"/>
      <w:r w:rsidR="00534751" w:rsidRPr="008E6700">
        <w:rPr>
          <w:rFonts w:ascii="Cambria" w:hAnsi="Cambria"/>
          <w:szCs w:val="24"/>
        </w:rPr>
        <w:t xml:space="preserve"> </w:t>
      </w:r>
      <w:bookmarkEnd w:id="37"/>
      <w:r w:rsidR="00534751" w:rsidRPr="008E6700">
        <w:rPr>
          <w:rFonts w:ascii="Cambria" w:hAnsi="Cambria"/>
          <w:szCs w:val="24"/>
        </w:rPr>
        <w:t>has not been evaluated.</w:t>
      </w:r>
    </w:p>
    <w:bookmarkEnd w:id="36"/>
    <w:p w14:paraId="49186401" w14:textId="0733652C" w:rsidR="001964EB" w:rsidRPr="00C434B6" w:rsidRDefault="001964EB" w:rsidP="00D83B93">
      <w:pPr>
        <w:pStyle w:val="Heading3"/>
      </w:pPr>
      <w:r w:rsidRPr="00C434B6">
        <w:t>Reporting of suspected adverse reactions</w:t>
      </w:r>
    </w:p>
    <w:p w14:paraId="34F4B4BC" w14:textId="6D9307E3" w:rsidR="00F96296" w:rsidRPr="00CE03FD" w:rsidRDefault="001964EB" w:rsidP="00D83B93">
      <w:pPr>
        <w:rPr>
          <w:rFonts w:ascii="Cambria" w:hAnsi="Cambria"/>
          <w:lang w:eastAsia="zh-CN"/>
        </w:rPr>
      </w:pPr>
      <w:r w:rsidRPr="00CE03FD">
        <w:rPr>
          <w:rFonts w:ascii="Cambria" w:hAnsi="Cambria"/>
          <w:lang w:eastAsia="zh-CN"/>
        </w:rPr>
        <w:t xml:space="preserve">Reporting suspected adverse reactions after registration of the medicinal product is important. </w:t>
      </w:r>
      <w:r w:rsidR="00A47847" w:rsidRPr="00CE03FD">
        <w:rPr>
          <w:rFonts w:ascii="Cambria" w:hAnsi="Cambria"/>
          <w:lang w:eastAsia="zh-CN"/>
        </w:rPr>
        <w:t xml:space="preserve"> </w:t>
      </w:r>
      <w:r w:rsidRPr="00CE03FD">
        <w:rPr>
          <w:rFonts w:ascii="Cambria" w:hAnsi="Cambria"/>
          <w:lang w:eastAsia="zh-CN"/>
        </w:rPr>
        <w:t xml:space="preserve">It allows continued monitoring of the benefit-risk balance of the medicinal product. </w:t>
      </w:r>
      <w:r w:rsidR="00442967" w:rsidRPr="00CE03FD">
        <w:rPr>
          <w:rFonts w:ascii="Cambria" w:hAnsi="Cambria"/>
          <w:lang w:eastAsia="zh-CN"/>
        </w:rPr>
        <w:t>H</w:t>
      </w:r>
      <w:r w:rsidRPr="00CE03FD">
        <w:rPr>
          <w:rFonts w:ascii="Cambria" w:hAnsi="Cambria"/>
          <w:lang w:eastAsia="zh-CN"/>
        </w:rPr>
        <w:t>ealthcare</w:t>
      </w:r>
      <w:r w:rsidR="00442967" w:rsidRPr="00CE03FD">
        <w:rPr>
          <w:rFonts w:ascii="Cambria" w:hAnsi="Cambria"/>
          <w:lang w:eastAsia="zh-CN"/>
        </w:rPr>
        <w:t xml:space="preserve"> </w:t>
      </w:r>
      <w:r w:rsidRPr="00CE03FD">
        <w:rPr>
          <w:rFonts w:ascii="Cambria" w:hAnsi="Cambria"/>
          <w:lang w:eastAsia="zh-CN"/>
        </w:rPr>
        <w:t xml:space="preserve">professionals are asked to report any suspected adverse reactions at </w:t>
      </w:r>
      <w:hyperlink r:id="rId9" w:history="1">
        <w:r w:rsidRPr="00CE03FD">
          <w:rPr>
            <w:rStyle w:val="Hyperlink"/>
            <w:rFonts w:ascii="Cambria" w:eastAsia="MS Mincho" w:hAnsi="Cambria" w:cs="Times New Roman"/>
            <w:lang w:eastAsia="zh-CN"/>
          </w:rPr>
          <w:t>www.tga.gov.au/reportingproblems</w:t>
        </w:r>
      </w:hyperlink>
      <w:r w:rsidRPr="00CE03FD">
        <w:rPr>
          <w:rFonts w:ascii="Cambria" w:hAnsi="Cambria"/>
          <w:lang w:eastAsia="zh-CN"/>
        </w:rPr>
        <w:t>.</w:t>
      </w:r>
    </w:p>
    <w:p w14:paraId="1F464215" w14:textId="7ECB8161" w:rsidR="00406B47" w:rsidRPr="00CE03FD" w:rsidRDefault="00406B47" w:rsidP="00D83B93">
      <w:pPr>
        <w:pStyle w:val="Heading2"/>
        <w:numPr>
          <w:ilvl w:val="0"/>
          <w:numId w:val="0"/>
        </w:numPr>
        <w:ind w:left="576" w:hanging="576"/>
      </w:pPr>
      <w:r w:rsidRPr="00CE03FD">
        <w:t xml:space="preserve">4.9 </w:t>
      </w:r>
      <w:r w:rsidR="006D31E9" w:rsidRPr="00CE03FD">
        <w:t>Overdose</w:t>
      </w:r>
    </w:p>
    <w:p w14:paraId="0C0B2EB8" w14:textId="739CAD3F" w:rsidR="00D51C15" w:rsidRPr="00101E5A" w:rsidRDefault="00D51C15" w:rsidP="00D83B93">
      <w:pPr>
        <w:pStyle w:val="C-BodyText"/>
        <w:rPr>
          <w:rFonts w:ascii="Cambria" w:hAnsi="Cambria"/>
          <w:szCs w:val="24"/>
        </w:rPr>
      </w:pPr>
      <w:r w:rsidRPr="008E6700">
        <w:rPr>
          <w:rFonts w:ascii="Cambria" w:hAnsi="Cambria"/>
          <w:szCs w:val="24"/>
        </w:rPr>
        <w:t xml:space="preserve">No data from clinical studies are available regarding overdose of </w:t>
      </w:r>
      <w:r w:rsidR="00345170" w:rsidRPr="008E6700">
        <w:rPr>
          <w:rFonts w:ascii="Cambria" w:hAnsi="Cambria"/>
          <w:szCs w:val="24"/>
        </w:rPr>
        <w:t>ZOLGENSMA</w:t>
      </w:r>
      <w:r w:rsidRPr="008E6700">
        <w:rPr>
          <w:rFonts w:ascii="Cambria" w:hAnsi="Cambria"/>
          <w:szCs w:val="24"/>
        </w:rPr>
        <w:t xml:space="preserve">. </w:t>
      </w:r>
      <w:r w:rsidR="00F96296" w:rsidRPr="008E6700">
        <w:rPr>
          <w:rFonts w:ascii="Cambria" w:hAnsi="Cambria"/>
          <w:szCs w:val="24"/>
        </w:rPr>
        <w:t xml:space="preserve"> </w:t>
      </w:r>
      <w:r w:rsidRPr="008E6700">
        <w:rPr>
          <w:rFonts w:ascii="Cambria" w:hAnsi="Cambria"/>
          <w:szCs w:val="24"/>
        </w:rPr>
        <w:t>The</w:t>
      </w:r>
      <w:r w:rsidR="0065509C">
        <w:rPr>
          <w:rFonts w:ascii="Cambria" w:hAnsi="Cambria"/>
          <w:szCs w:val="24"/>
        </w:rPr>
        <w:t xml:space="preserve"> </w:t>
      </w:r>
      <w:r w:rsidRPr="008E6700">
        <w:rPr>
          <w:rFonts w:ascii="Cambria" w:hAnsi="Cambria"/>
          <w:szCs w:val="24"/>
        </w:rPr>
        <w:t xml:space="preserve">dose of the medicinal product is specific to each individual patient’s weight and is administered once only (see </w:t>
      </w:r>
      <w:r w:rsidR="00F96296" w:rsidRPr="008E6700">
        <w:rPr>
          <w:rFonts w:ascii="Cambria" w:hAnsi="Cambria"/>
          <w:szCs w:val="24"/>
        </w:rPr>
        <w:t>4.2 Dosage and method of administration)</w:t>
      </w:r>
      <w:r w:rsidRPr="008E6700">
        <w:rPr>
          <w:rFonts w:ascii="Cambria" w:hAnsi="Cambria"/>
          <w:szCs w:val="24"/>
        </w:rPr>
        <w:t xml:space="preserve">, therefore overdose is considered unlikely. </w:t>
      </w:r>
      <w:r w:rsidR="00F96296" w:rsidRPr="008E6700">
        <w:rPr>
          <w:rFonts w:ascii="Cambria" w:hAnsi="Cambria"/>
          <w:szCs w:val="24"/>
        </w:rPr>
        <w:t xml:space="preserve"> </w:t>
      </w:r>
      <w:r w:rsidRPr="008E6700">
        <w:rPr>
          <w:rFonts w:ascii="Cambria" w:hAnsi="Cambria"/>
          <w:szCs w:val="24"/>
        </w:rPr>
        <w:t>Adjustment of the dose of prednisolone, close clinical observation and monitor</w:t>
      </w:r>
      <w:r w:rsidRPr="00101E5A">
        <w:rPr>
          <w:rFonts w:ascii="Cambria" w:hAnsi="Cambria"/>
          <w:szCs w:val="24"/>
        </w:rPr>
        <w:t xml:space="preserve">ing of laboratory parameters (including clinical chemistry and </w:t>
      </w:r>
      <w:proofErr w:type="spellStart"/>
      <w:r w:rsidRPr="00101E5A">
        <w:rPr>
          <w:rFonts w:ascii="Cambria" w:hAnsi="Cambria"/>
          <w:szCs w:val="24"/>
        </w:rPr>
        <w:t>haematology</w:t>
      </w:r>
      <w:proofErr w:type="spellEnd"/>
      <w:r w:rsidRPr="00101E5A">
        <w:rPr>
          <w:rFonts w:ascii="Cambria" w:hAnsi="Cambria"/>
          <w:szCs w:val="24"/>
        </w:rPr>
        <w:t>) for systemic immune response are recommended (see section 4.4</w:t>
      </w:r>
      <w:r w:rsidR="00F96296" w:rsidRPr="00101E5A">
        <w:rPr>
          <w:rFonts w:ascii="Cambria" w:hAnsi="Cambria"/>
          <w:szCs w:val="24"/>
        </w:rPr>
        <w:t xml:space="preserve"> Special warnings and precautions for use</w:t>
      </w:r>
      <w:r w:rsidRPr="00101E5A">
        <w:rPr>
          <w:rFonts w:ascii="Cambria" w:hAnsi="Cambria"/>
          <w:szCs w:val="24"/>
        </w:rPr>
        <w:t>).</w:t>
      </w:r>
    </w:p>
    <w:p w14:paraId="1CA7C855" w14:textId="28723840" w:rsidR="001F73D3" w:rsidRPr="00CE03FD" w:rsidRDefault="00406B47" w:rsidP="00D83B93">
      <w:pPr>
        <w:pStyle w:val="C-BodyText"/>
        <w:rPr>
          <w:rFonts w:ascii="Cambria" w:hAnsi="Cambria"/>
        </w:rPr>
      </w:pPr>
      <w:r w:rsidRPr="00CE03FD">
        <w:rPr>
          <w:rFonts w:ascii="Cambria" w:hAnsi="Cambria"/>
        </w:rPr>
        <w:t>For information on the management of overdose, contact the Poisons Information Centre on 131126 (Australia).</w:t>
      </w:r>
    </w:p>
    <w:p w14:paraId="78028BCA" w14:textId="444B5FD1" w:rsidR="00406B47" w:rsidRPr="00CE03FD" w:rsidRDefault="00406B47" w:rsidP="00D83B93">
      <w:pPr>
        <w:pStyle w:val="Heading1"/>
      </w:pPr>
      <w:r w:rsidRPr="00CE03FD">
        <w:t>PHARMACOLOGICAL PROPERTIES</w:t>
      </w:r>
    </w:p>
    <w:p w14:paraId="14B9CB68" w14:textId="3647CA16" w:rsidR="00406B47" w:rsidRPr="00CE03FD" w:rsidRDefault="00406B47" w:rsidP="00D83B93">
      <w:pPr>
        <w:pStyle w:val="Heading2"/>
        <w:numPr>
          <w:ilvl w:val="0"/>
          <w:numId w:val="0"/>
        </w:numPr>
        <w:ind w:left="576" w:hanging="576"/>
      </w:pPr>
      <w:r w:rsidRPr="00CE03FD">
        <w:t xml:space="preserve">5.1 </w:t>
      </w:r>
      <w:r w:rsidR="006D31E9" w:rsidRPr="00CE03FD">
        <w:t>Pharmacodynamic properties</w:t>
      </w:r>
    </w:p>
    <w:p w14:paraId="2DA6B92A" w14:textId="1230B744" w:rsidR="00D51C15" w:rsidRPr="008E6700" w:rsidRDefault="00D51C15" w:rsidP="00D83B93">
      <w:pPr>
        <w:pStyle w:val="C-BodyText"/>
        <w:rPr>
          <w:rFonts w:ascii="Cambria" w:hAnsi="Cambria"/>
          <w:szCs w:val="24"/>
        </w:rPr>
      </w:pPr>
      <w:proofErr w:type="spellStart"/>
      <w:r w:rsidRPr="008E6700">
        <w:rPr>
          <w:rFonts w:ascii="Cambria" w:hAnsi="Cambria"/>
          <w:szCs w:val="24"/>
        </w:rPr>
        <w:t>Pharmacotherapeutic</w:t>
      </w:r>
      <w:proofErr w:type="spellEnd"/>
      <w:r w:rsidRPr="008E6700">
        <w:rPr>
          <w:rFonts w:ascii="Cambria" w:hAnsi="Cambria"/>
          <w:szCs w:val="24"/>
        </w:rPr>
        <w:t xml:space="preserve"> group:  Other drugs for disorders of the </w:t>
      </w:r>
      <w:proofErr w:type="spellStart"/>
      <w:r w:rsidRPr="008E6700">
        <w:rPr>
          <w:rFonts w:ascii="Cambria" w:hAnsi="Cambria"/>
          <w:szCs w:val="24"/>
        </w:rPr>
        <w:t>musculo</w:t>
      </w:r>
      <w:proofErr w:type="spellEnd"/>
      <w:r w:rsidRPr="008E6700">
        <w:rPr>
          <w:rFonts w:ascii="Cambria" w:hAnsi="Cambria"/>
          <w:szCs w:val="24"/>
        </w:rPr>
        <w:t>-skeletal system, ATC code: M09AX09</w:t>
      </w:r>
      <w:r w:rsidR="00871CB9" w:rsidRPr="008E6700">
        <w:rPr>
          <w:rFonts w:ascii="Cambria" w:hAnsi="Cambria"/>
          <w:szCs w:val="24"/>
        </w:rPr>
        <w:t>.</w:t>
      </w:r>
    </w:p>
    <w:p w14:paraId="39F2B9DB" w14:textId="2E7C007C" w:rsidR="00A37C96" w:rsidRDefault="00A37C96" w:rsidP="00D83B93">
      <w:pPr>
        <w:pStyle w:val="Heading3"/>
      </w:pPr>
      <w:r w:rsidRPr="00CE03FD">
        <w:t>Mechanism of action</w:t>
      </w:r>
    </w:p>
    <w:p w14:paraId="6D21590E" w14:textId="4607E2A3" w:rsidR="00A737F0" w:rsidRPr="00101E5A" w:rsidRDefault="00F91BB0" w:rsidP="00D83B93">
      <w:pPr>
        <w:pStyle w:val="C-BodyText"/>
        <w:rPr>
          <w:rFonts w:ascii="Cambria" w:hAnsi="Cambria"/>
          <w:szCs w:val="24"/>
        </w:rPr>
      </w:pPr>
      <w:bookmarkStart w:id="38" w:name="_SP_QA_2012_07_11_15_51_23_0035"/>
      <w:r w:rsidRPr="008E6700">
        <w:rPr>
          <w:rFonts w:ascii="Cambria" w:hAnsi="Cambria"/>
          <w:szCs w:val="24"/>
        </w:rPr>
        <w:t xml:space="preserve">SMA is caused by a </w:t>
      </w:r>
      <w:r w:rsidRPr="008E6700">
        <w:rPr>
          <w:rFonts w:ascii="Cambria" w:hAnsi="Cambria"/>
          <w:bCs/>
          <w:szCs w:val="24"/>
        </w:rPr>
        <w:t xml:space="preserve">bi-allelic mutation in the </w:t>
      </w:r>
      <w:r w:rsidRPr="008E6700">
        <w:rPr>
          <w:rFonts w:ascii="Cambria" w:hAnsi="Cambria"/>
          <w:i/>
          <w:szCs w:val="24"/>
        </w:rPr>
        <w:t>SMN1</w:t>
      </w:r>
      <w:r w:rsidRPr="008E6700">
        <w:rPr>
          <w:rFonts w:ascii="Cambria" w:hAnsi="Cambria"/>
          <w:szCs w:val="24"/>
        </w:rPr>
        <w:t xml:space="preserve"> gene, which results in insufficient SMN protein expression</w:t>
      </w:r>
      <w:r w:rsidR="00E04899" w:rsidRPr="00101E5A">
        <w:rPr>
          <w:rFonts w:ascii="Cambria" w:hAnsi="Cambria"/>
          <w:szCs w:val="24"/>
        </w:rPr>
        <w:t>.</w:t>
      </w:r>
      <w:r w:rsidRPr="00101E5A">
        <w:rPr>
          <w:rFonts w:ascii="Cambria" w:hAnsi="Cambria"/>
          <w:szCs w:val="24"/>
        </w:rPr>
        <w:t xml:space="preserve"> </w:t>
      </w:r>
      <w:r w:rsidR="00A737F0" w:rsidRPr="00101E5A">
        <w:rPr>
          <w:rFonts w:ascii="Cambria" w:hAnsi="Cambria"/>
          <w:szCs w:val="24"/>
        </w:rPr>
        <w:t>ZOLGENSMA</w:t>
      </w:r>
      <w:r w:rsidRPr="00101E5A">
        <w:rPr>
          <w:rFonts w:ascii="Cambria" w:hAnsi="Cambria"/>
          <w:szCs w:val="24"/>
        </w:rPr>
        <w:t xml:space="preserve"> (</w:t>
      </w:r>
      <w:proofErr w:type="spellStart"/>
      <w:r w:rsidRPr="00101E5A">
        <w:rPr>
          <w:rFonts w:ascii="Cambria" w:hAnsi="Cambria"/>
          <w:szCs w:val="24"/>
        </w:rPr>
        <w:t>onasemnogene</w:t>
      </w:r>
      <w:proofErr w:type="spellEnd"/>
      <w:r w:rsidRPr="00101E5A">
        <w:rPr>
          <w:rFonts w:ascii="Cambria" w:hAnsi="Cambria"/>
          <w:szCs w:val="24"/>
        </w:rPr>
        <w:t xml:space="preserve"> </w:t>
      </w:r>
      <w:proofErr w:type="spellStart"/>
      <w:r w:rsidRPr="00101E5A">
        <w:rPr>
          <w:rFonts w:ascii="Cambria" w:hAnsi="Cambria"/>
          <w:szCs w:val="24"/>
        </w:rPr>
        <w:t>abeparvovec</w:t>
      </w:r>
      <w:proofErr w:type="spellEnd"/>
      <w:r w:rsidRPr="00101E5A">
        <w:rPr>
          <w:rFonts w:ascii="Cambria" w:hAnsi="Cambria"/>
          <w:szCs w:val="24"/>
        </w:rPr>
        <w:t>)</w:t>
      </w:r>
      <w:r w:rsidR="00A737F0" w:rsidRPr="00101E5A">
        <w:rPr>
          <w:rFonts w:ascii="Cambria" w:hAnsi="Cambria"/>
          <w:szCs w:val="24"/>
        </w:rPr>
        <w:t xml:space="preserve"> is a </w:t>
      </w:r>
      <w:r w:rsidRPr="00101E5A">
        <w:rPr>
          <w:rFonts w:ascii="Cambria" w:hAnsi="Cambria"/>
          <w:szCs w:val="24"/>
        </w:rPr>
        <w:t xml:space="preserve">non-replicating </w:t>
      </w:r>
      <w:r w:rsidR="00A737F0" w:rsidRPr="007E28A2">
        <w:rPr>
          <w:rFonts w:ascii="Cambria" w:hAnsi="Cambria"/>
          <w:szCs w:val="24"/>
        </w:rPr>
        <w:t>recombinant AAV</w:t>
      </w:r>
      <w:r w:rsidR="00E04899" w:rsidRPr="007E28A2">
        <w:rPr>
          <w:rFonts w:ascii="Cambria" w:hAnsi="Cambria"/>
          <w:szCs w:val="24"/>
        </w:rPr>
        <w:t xml:space="preserve"> vector that </w:t>
      </w:r>
      <w:proofErr w:type="spellStart"/>
      <w:r w:rsidR="00E04899" w:rsidRPr="007E28A2">
        <w:rPr>
          <w:rFonts w:ascii="Cambria" w:hAnsi="Cambria"/>
          <w:szCs w:val="24"/>
        </w:rPr>
        <w:t>utili</w:t>
      </w:r>
      <w:r w:rsidR="00F2410F">
        <w:rPr>
          <w:rFonts w:ascii="Cambria" w:hAnsi="Cambria"/>
          <w:szCs w:val="24"/>
        </w:rPr>
        <w:t>s</w:t>
      </w:r>
      <w:r w:rsidR="00E04899" w:rsidRPr="007E28A2">
        <w:rPr>
          <w:rFonts w:ascii="Cambria" w:hAnsi="Cambria"/>
          <w:szCs w:val="24"/>
        </w:rPr>
        <w:t>es</w:t>
      </w:r>
      <w:proofErr w:type="spellEnd"/>
      <w:r w:rsidR="00E04899" w:rsidRPr="007E28A2">
        <w:rPr>
          <w:rFonts w:ascii="Cambria" w:hAnsi="Cambria"/>
          <w:szCs w:val="24"/>
        </w:rPr>
        <w:t xml:space="preserve"> the AAV9 capsid</w:t>
      </w:r>
      <w:r w:rsidR="00A737F0" w:rsidRPr="007E28A2">
        <w:rPr>
          <w:rFonts w:ascii="Cambria" w:hAnsi="Cambria"/>
          <w:szCs w:val="24"/>
        </w:rPr>
        <w:t xml:space="preserve"> to deliver a </w:t>
      </w:r>
      <w:r w:rsidRPr="007E28A2">
        <w:rPr>
          <w:rFonts w:ascii="Cambria" w:hAnsi="Cambria"/>
          <w:szCs w:val="24"/>
        </w:rPr>
        <w:t xml:space="preserve">stable fully </w:t>
      </w:r>
      <w:r w:rsidR="00C073ED" w:rsidRPr="007E28A2">
        <w:rPr>
          <w:rFonts w:ascii="Cambria" w:hAnsi="Cambria"/>
          <w:szCs w:val="24"/>
        </w:rPr>
        <w:t xml:space="preserve">functional </w:t>
      </w:r>
      <w:r w:rsidR="00A737F0" w:rsidRPr="007E28A2">
        <w:rPr>
          <w:rFonts w:ascii="Cambria" w:hAnsi="Cambria"/>
          <w:szCs w:val="24"/>
        </w:rPr>
        <w:t xml:space="preserve">copy of the </w:t>
      </w:r>
      <w:r w:rsidRPr="007E28A2">
        <w:rPr>
          <w:rFonts w:ascii="Cambria" w:hAnsi="Cambria"/>
          <w:szCs w:val="24"/>
        </w:rPr>
        <w:t>trans</w:t>
      </w:r>
      <w:r w:rsidR="00A737F0" w:rsidRPr="007E28A2">
        <w:rPr>
          <w:rFonts w:ascii="Cambria" w:hAnsi="Cambria"/>
          <w:szCs w:val="24"/>
        </w:rPr>
        <w:t xml:space="preserve">gene encoding the human </w:t>
      </w:r>
      <w:r w:rsidR="00C073ED" w:rsidRPr="007E28A2">
        <w:rPr>
          <w:rFonts w:ascii="Cambria" w:hAnsi="Cambria"/>
          <w:szCs w:val="24"/>
        </w:rPr>
        <w:t>survival motor gene (</w:t>
      </w:r>
      <w:r w:rsidR="00A737F0" w:rsidRPr="007E28A2">
        <w:rPr>
          <w:rFonts w:ascii="Cambria" w:hAnsi="Cambria"/>
          <w:szCs w:val="24"/>
        </w:rPr>
        <w:t>SMN</w:t>
      </w:r>
      <w:r w:rsidR="00E04899" w:rsidRPr="007E28A2">
        <w:rPr>
          <w:rFonts w:ascii="Cambria" w:hAnsi="Cambria"/>
          <w:szCs w:val="24"/>
        </w:rPr>
        <w:t>1</w:t>
      </w:r>
      <w:r w:rsidR="00C073ED" w:rsidRPr="007E28A2">
        <w:rPr>
          <w:rFonts w:ascii="Cambria" w:hAnsi="Cambria"/>
          <w:szCs w:val="24"/>
        </w:rPr>
        <w:t>)</w:t>
      </w:r>
      <w:r w:rsidR="00A737F0" w:rsidRPr="007E28A2">
        <w:rPr>
          <w:rFonts w:ascii="Cambria" w:hAnsi="Cambria"/>
          <w:szCs w:val="24"/>
        </w:rPr>
        <w:t xml:space="preserve"> protein. </w:t>
      </w:r>
      <w:r w:rsidRPr="007E28A2">
        <w:rPr>
          <w:rFonts w:ascii="Cambria" w:hAnsi="Cambria"/>
          <w:szCs w:val="24"/>
        </w:rPr>
        <w:t xml:space="preserve">The SMN1 gene present in </w:t>
      </w:r>
      <w:proofErr w:type="spellStart"/>
      <w:r w:rsidRPr="007E28A2">
        <w:rPr>
          <w:rFonts w:ascii="Cambria" w:hAnsi="Cambria"/>
          <w:szCs w:val="24"/>
        </w:rPr>
        <w:t>onasemnogene</w:t>
      </w:r>
      <w:proofErr w:type="spellEnd"/>
      <w:r w:rsidRPr="007E28A2">
        <w:rPr>
          <w:rFonts w:ascii="Cambria" w:hAnsi="Cambria"/>
          <w:szCs w:val="24"/>
        </w:rPr>
        <w:t xml:space="preserve"> </w:t>
      </w:r>
      <w:proofErr w:type="spellStart"/>
      <w:r w:rsidRPr="007E28A2">
        <w:rPr>
          <w:rFonts w:ascii="Cambria" w:hAnsi="Cambria"/>
          <w:szCs w:val="24"/>
        </w:rPr>
        <w:t>abeparvovec</w:t>
      </w:r>
      <w:proofErr w:type="spellEnd"/>
      <w:r w:rsidRPr="007E28A2">
        <w:rPr>
          <w:rFonts w:ascii="Cambria" w:hAnsi="Cambria"/>
          <w:szCs w:val="24"/>
        </w:rPr>
        <w:t xml:space="preserve"> is designed to reside as </w:t>
      </w:r>
      <w:proofErr w:type="spellStart"/>
      <w:r w:rsidRPr="007E28A2">
        <w:rPr>
          <w:rFonts w:ascii="Cambria" w:hAnsi="Cambria"/>
          <w:szCs w:val="24"/>
        </w:rPr>
        <w:t>episomal</w:t>
      </w:r>
      <w:proofErr w:type="spellEnd"/>
      <w:r w:rsidRPr="007E28A2">
        <w:rPr>
          <w:rFonts w:ascii="Cambria" w:hAnsi="Cambria"/>
          <w:szCs w:val="24"/>
        </w:rPr>
        <w:t xml:space="preserve"> DNA in the nucleus of transduced cells and is expected to be stably expressed for an extended period of time in post-mitotic cells. The AAV9 virus is not known to cause disease in humans</w:t>
      </w:r>
      <w:r w:rsidR="00A737F0" w:rsidRPr="007E28A2">
        <w:rPr>
          <w:rFonts w:ascii="Cambria" w:hAnsi="Cambria"/>
          <w:szCs w:val="24"/>
        </w:rPr>
        <w:t>.</w:t>
      </w:r>
      <w:r w:rsidR="00A737F0" w:rsidRPr="008E6700">
        <w:rPr>
          <w:rFonts w:ascii="Cambria" w:hAnsi="Cambria"/>
          <w:szCs w:val="24"/>
        </w:rPr>
        <w:t xml:space="preserve">  Intravenous administration of ZOLGENSMA that results in cell transduction and expression of the SMN protein has been observed in two human case studies </w:t>
      </w:r>
      <w:r w:rsidR="007F0B1C" w:rsidRPr="00101E5A">
        <w:rPr>
          <w:rFonts w:ascii="Cambria" w:hAnsi="Cambria"/>
          <w:szCs w:val="24"/>
        </w:rPr>
        <w:t>(see 5.2 Pharmacokinetic properties).</w:t>
      </w:r>
    </w:p>
    <w:bookmarkEnd w:id="38"/>
    <w:p w14:paraId="6232CAB5" w14:textId="3CE6D82F" w:rsidR="00A37C96" w:rsidRPr="005D108B" w:rsidRDefault="00A37C96" w:rsidP="00D83B93">
      <w:pPr>
        <w:rPr>
          <w:rFonts w:ascii="Cambria" w:hAnsi="Cambria"/>
          <w:b/>
        </w:rPr>
      </w:pPr>
      <w:r w:rsidRPr="005D108B">
        <w:rPr>
          <w:rFonts w:ascii="Cambria" w:hAnsi="Cambria"/>
          <w:b/>
        </w:rPr>
        <w:t>Pharmacodynamics (PD)</w:t>
      </w:r>
    </w:p>
    <w:p w14:paraId="2EC61401" w14:textId="098E399F" w:rsidR="00A737F0" w:rsidRPr="005D108B" w:rsidRDefault="00A737F0" w:rsidP="00D83B93">
      <w:pPr>
        <w:rPr>
          <w:rFonts w:ascii="Cambria" w:hAnsi="Cambria"/>
          <w:b/>
        </w:rPr>
      </w:pPr>
      <w:bookmarkStart w:id="39" w:name="_SP_QA_2012_07_11_15_51_23_0036"/>
      <w:r w:rsidRPr="005D108B">
        <w:rPr>
          <w:rFonts w:ascii="Cambria" w:hAnsi="Cambria"/>
        </w:rPr>
        <w:t>There are no clinically relevant pharmacodynamics data for ZOLGENSMA.</w:t>
      </w:r>
    </w:p>
    <w:bookmarkEnd w:id="39"/>
    <w:p w14:paraId="78CDB6C9" w14:textId="6251B71A" w:rsidR="00A37C96" w:rsidRDefault="00A37C96" w:rsidP="00EE35F8">
      <w:pPr>
        <w:pStyle w:val="Heading3"/>
        <w:jc w:val="both"/>
      </w:pPr>
      <w:r w:rsidRPr="00CE03FD">
        <w:t>Clinical trials</w:t>
      </w:r>
      <w:r w:rsidR="00057B89" w:rsidRPr="00CE03FD">
        <w:t xml:space="preserve"> </w:t>
      </w:r>
    </w:p>
    <w:p w14:paraId="0A2B9DF7" w14:textId="190113F7" w:rsidR="00BD7312" w:rsidRPr="00605248" w:rsidRDefault="00BD7312" w:rsidP="00D83B93">
      <w:pPr>
        <w:rPr>
          <w:rFonts w:ascii="Cambria" w:hAnsi="Cambria"/>
        </w:rPr>
      </w:pPr>
      <w:r w:rsidRPr="00605248">
        <w:rPr>
          <w:rFonts w:ascii="Cambria" w:hAnsi="Cambria"/>
        </w:rPr>
        <w:t>ZOLGENSMA has not been studied in patients with a bi-allelic mutation of the SMN1 gene and only 1 copy of SMN2 or ≥4 copies SMN2 in clinical trials.</w:t>
      </w:r>
    </w:p>
    <w:p w14:paraId="35BE37F0" w14:textId="32AEF3B3" w:rsidR="00A737F0" w:rsidRPr="00326E42" w:rsidRDefault="00A737F0" w:rsidP="00D83B93">
      <w:pPr>
        <w:autoSpaceDE w:val="0"/>
        <w:autoSpaceDN w:val="0"/>
        <w:adjustRightInd w:val="0"/>
        <w:rPr>
          <w:rFonts w:ascii="Cambria" w:hAnsi="Cambria"/>
          <w:b/>
          <w:i/>
          <w:szCs w:val="24"/>
        </w:rPr>
      </w:pPr>
      <w:bookmarkStart w:id="40" w:name="_SP_QA_2012_07_11_15_51_23_0041"/>
      <w:r w:rsidRPr="00326E42">
        <w:rPr>
          <w:rFonts w:ascii="Cambria" w:hAnsi="Cambria"/>
          <w:b/>
          <w:i/>
          <w:szCs w:val="24"/>
        </w:rPr>
        <w:t>AVXS-101-CL-303 Phase 3 Study in Patients with Type 1 SMA</w:t>
      </w:r>
    </w:p>
    <w:p w14:paraId="65DACDAB" w14:textId="447727AC" w:rsidR="00A737F0" w:rsidRPr="008E6700" w:rsidRDefault="00A737F0" w:rsidP="00D83B93">
      <w:pPr>
        <w:autoSpaceDE w:val="0"/>
        <w:autoSpaceDN w:val="0"/>
        <w:adjustRightInd w:val="0"/>
        <w:rPr>
          <w:rFonts w:ascii="Cambria" w:hAnsi="Cambria"/>
          <w:szCs w:val="24"/>
        </w:rPr>
      </w:pPr>
      <w:r w:rsidRPr="008E6700">
        <w:rPr>
          <w:rFonts w:ascii="Cambria" w:hAnsi="Cambria"/>
          <w:szCs w:val="24"/>
        </w:rPr>
        <w:t xml:space="preserve">AVXS-101-CL-303 (Study </w:t>
      </w:r>
      <w:r w:rsidR="004F76D5" w:rsidRPr="008E6700">
        <w:rPr>
          <w:rFonts w:ascii="Cambria" w:hAnsi="Cambria"/>
          <w:szCs w:val="24"/>
        </w:rPr>
        <w:t>CL-</w:t>
      </w:r>
      <w:r w:rsidRPr="008E6700">
        <w:rPr>
          <w:rFonts w:ascii="Cambria" w:hAnsi="Cambria"/>
          <w:szCs w:val="24"/>
        </w:rPr>
        <w:t xml:space="preserve">303) is </w:t>
      </w:r>
      <w:r w:rsidR="005F5AFE" w:rsidRPr="008E6700">
        <w:rPr>
          <w:rFonts w:ascii="Cambria" w:hAnsi="Cambria"/>
          <w:szCs w:val="24"/>
        </w:rPr>
        <w:t xml:space="preserve">a phase 3, </w:t>
      </w:r>
      <w:r w:rsidRPr="008E6700">
        <w:rPr>
          <w:rFonts w:ascii="Cambria" w:hAnsi="Cambria"/>
          <w:szCs w:val="24"/>
        </w:rPr>
        <w:t>open-label, single-arm, single-dose study of intravenous administration of ZOLGENSMA at the therapeutic dose (1.1</w:t>
      </w:r>
      <w:r w:rsidRPr="008E6700">
        <w:rPr>
          <w:rFonts w:ascii="Cambria" w:hAnsi="Cambria"/>
          <w:bCs/>
          <w:szCs w:val="24"/>
        </w:rPr>
        <w:t> × </w:t>
      </w:r>
      <w:r w:rsidRPr="008E6700">
        <w:rPr>
          <w:rFonts w:ascii="Cambria" w:hAnsi="Cambria"/>
          <w:szCs w:val="24"/>
        </w:rPr>
        <w:t>10</w:t>
      </w:r>
      <w:r w:rsidRPr="008E6700">
        <w:rPr>
          <w:rFonts w:ascii="Cambria" w:hAnsi="Cambria"/>
          <w:szCs w:val="24"/>
          <w:vertAlign w:val="superscript"/>
        </w:rPr>
        <w:t>14</w:t>
      </w:r>
      <w:r w:rsidRPr="008E6700">
        <w:rPr>
          <w:rFonts w:ascii="Cambria" w:hAnsi="Cambria"/>
          <w:szCs w:val="24"/>
        </w:rPr>
        <w:t xml:space="preserve"> vg/kg).  </w:t>
      </w:r>
      <w:r w:rsidR="00BD7312" w:rsidRPr="00BD7312">
        <w:rPr>
          <w:rFonts w:ascii="Cambria" w:hAnsi="Cambria"/>
          <w:szCs w:val="24"/>
        </w:rPr>
        <w:t>All patients had genetically confirmed bi-allelic SMN1 gene deletions, 2 copies of the SMN2 gene, absence of the c.859G&gt;C modification in exon 7 of the SMN2 gene and onset of clinical symptoms consistent with SMA prior to 6 months of age.</w:t>
      </w:r>
      <w:r w:rsidR="00BD7312">
        <w:rPr>
          <w:rFonts w:ascii="Cambria" w:hAnsi="Cambria"/>
          <w:szCs w:val="24"/>
        </w:rPr>
        <w:t xml:space="preserve"> </w:t>
      </w:r>
      <w:r w:rsidRPr="00101E5A">
        <w:rPr>
          <w:rFonts w:ascii="Cambria" w:hAnsi="Cambria"/>
          <w:szCs w:val="24"/>
        </w:rPr>
        <w:t xml:space="preserve">Patient ages </w:t>
      </w:r>
      <w:r w:rsidR="00B62C82">
        <w:rPr>
          <w:rFonts w:ascii="Cambria" w:hAnsi="Cambria"/>
          <w:szCs w:val="24"/>
        </w:rPr>
        <w:t xml:space="preserve">and weight </w:t>
      </w:r>
      <w:r w:rsidRPr="00101E5A">
        <w:rPr>
          <w:rFonts w:ascii="Cambria" w:hAnsi="Cambria"/>
          <w:szCs w:val="24"/>
        </w:rPr>
        <w:t>at administration ranged from 0.5 to 5.9 months</w:t>
      </w:r>
      <w:r w:rsidR="00B62C82">
        <w:rPr>
          <w:rFonts w:ascii="Cambria" w:hAnsi="Cambria"/>
          <w:szCs w:val="24"/>
        </w:rPr>
        <w:t xml:space="preserve"> and 3.9 to 7.5 kg</w:t>
      </w:r>
      <w:r w:rsidRPr="00101E5A">
        <w:rPr>
          <w:rFonts w:ascii="Cambria" w:hAnsi="Cambria"/>
          <w:szCs w:val="24"/>
        </w:rPr>
        <w:t xml:space="preserve">. </w:t>
      </w:r>
      <w:r w:rsidR="00326E42" w:rsidRPr="00101E5A">
        <w:rPr>
          <w:rFonts w:ascii="Cambria" w:hAnsi="Cambria"/>
          <w:szCs w:val="24"/>
        </w:rPr>
        <w:t xml:space="preserve"> </w:t>
      </w:r>
      <w:r w:rsidR="005F5AFE" w:rsidRPr="00101E5A">
        <w:rPr>
          <w:rFonts w:ascii="Cambria" w:hAnsi="Cambria"/>
          <w:szCs w:val="24"/>
        </w:rPr>
        <w:t xml:space="preserve">Of the 22 enrolled patients, three patients discontinued the study and two patients had an event (death or permanent ventilation) </w:t>
      </w:r>
      <w:r w:rsidR="005F5AFE" w:rsidRPr="008E6700">
        <w:rPr>
          <w:rFonts w:ascii="Cambria" w:hAnsi="Cambria"/>
          <w:szCs w:val="24"/>
        </w:rPr>
        <w:t>leading to 90.9% (95% CI: 79.7%, 100.0%) event-free survival (alive without permanent ventilation) at 14 months of ag</w:t>
      </w:r>
      <w:r w:rsidR="0012730B">
        <w:rPr>
          <w:rFonts w:ascii="Cambria" w:hAnsi="Cambria"/>
          <w:szCs w:val="24"/>
        </w:rPr>
        <w:t>e</w:t>
      </w:r>
      <w:r w:rsidR="00C915D7" w:rsidRPr="008E6700">
        <w:rPr>
          <w:rFonts w:ascii="Cambria" w:hAnsi="Cambria"/>
          <w:szCs w:val="24"/>
        </w:rPr>
        <w:t xml:space="preserve"> (see Figure 1)</w:t>
      </w:r>
      <w:r w:rsidR="005F5AFE" w:rsidRPr="008E6700">
        <w:rPr>
          <w:rFonts w:ascii="Cambria" w:hAnsi="Cambria"/>
          <w:szCs w:val="24"/>
        </w:rPr>
        <w:t>.</w:t>
      </w:r>
      <w:r w:rsidR="00FD0709" w:rsidRPr="00FD0709">
        <w:t xml:space="preserve"> </w:t>
      </w:r>
      <w:r w:rsidR="00FD0709" w:rsidRPr="00FD0709">
        <w:rPr>
          <w:rFonts w:ascii="Cambria" w:hAnsi="Cambria"/>
          <w:szCs w:val="24"/>
        </w:rPr>
        <w:t>This is markedly improved compared to the natural history of infantile onset SMA as reported in the Pediatric Neuromuscular Clinical Research natural history cohort (PNCR), in which only 25% of subjects were alive without permanent ventilation by the age of 14 months.</w:t>
      </w:r>
    </w:p>
    <w:p w14:paraId="268A1368" w14:textId="66D68C56" w:rsidR="00A737F0" w:rsidRPr="00326E42" w:rsidRDefault="00A737F0" w:rsidP="00D83B93">
      <w:pPr>
        <w:pStyle w:val="Caption"/>
        <w:keepNext w:val="0"/>
        <w:pageBreakBefore/>
        <w:autoSpaceDE w:val="0"/>
        <w:autoSpaceDN w:val="0"/>
        <w:adjustRightInd w:val="0"/>
        <w:ind w:left="0" w:firstLine="0"/>
        <w:jc w:val="both"/>
        <w:rPr>
          <w:rFonts w:ascii="Cambria" w:hAnsi="Cambria"/>
        </w:rPr>
      </w:pPr>
      <w:r w:rsidRPr="00326E42">
        <w:rPr>
          <w:rFonts w:ascii="Cambria" w:hAnsi="Cambria"/>
        </w:rPr>
        <w:t>Figure </w:t>
      </w:r>
      <w:r w:rsidR="00C915D7">
        <w:rPr>
          <w:rFonts w:ascii="Cambria" w:hAnsi="Cambria"/>
        </w:rPr>
        <w:t>1</w:t>
      </w:r>
      <w:r w:rsidRPr="00326E42">
        <w:rPr>
          <w:rFonts w:ascii="Cambria" w:hAnsi="Cambria"/>
        </w:rPr>
        <w:tab/>
        <w:t>Time (</w:t>
      </w:r>
      <w:r w:rsidR="00C304A4">
        <w:rPr>
          <w:rFonts w:ascii="Cambria" w:hAnsi="Cambria"/>
        </w:rPr>
        <w:t>months</w:t>
      </w:r>
      <w:r w:rsidRPr="00326E42">
        <w:rPr>
          <w:rFonts w:ascii="Cambria" w:hAnsi="Cambria"/>
        </w:rPr>
        <w:t xml:space="preserve">) to death or permanent ventilation </w:t>
      </w:r>
      <w:r w:rsidR="00C304A4">
        <w:rPr>
          <w:rFonts w:ascii="Cambria" w:hAnsi="Cambria"/>
        </w:rPr>
        <w:t xml:space="preserve">in </w:t>
      </w:r>
      <w:r w:rsidRPr="00326E42">
        <w:rPr>
          <w:rFonts w:ascii="Cambria" w:hAnsi="Cambria"/>
        </w:rPr>
        <w:t>Study 303</w:t>
      </w:r>
    </w:p>
    <w:p w14:paraId="0277CAA9" w14:textId="66B77315" w:rsidR="00C304A4" w:rsidRDefault="00F84297" w:rsidP="00A737F0">
      <w:pPr>
        <w:autoSpaceDE w:val="0"/>
        <w:autoSpaceDN w:val="0"/>
        <w:adjustRightInd w:val="0"/>
        <w:rPr>
          <w:sz w:val="22"/>
        </w:rPr>
      </w:pPr>
      <w:r w:rsidRPr="00DE4163">
        <w:rPr>
          <w:rFonts w:eastAsia="Times New Roman"/>
          <w:szCs w:val="24"/>
          <w:lang w:eastAsia="en-AU"/>
        </w:rPr>
        <mc:AlternateContent>
          <mc:Choice Requires="wps">
            <w:drawing>
              <wp:anchor distT="0" distB="0" distL="114300" distR="114300" simplePos="0" relativeHeight="251663360" behindDoc="0" locked="0" layoutInCell="1" allowOverlap="1" wp14:anchorId="006B4925" wp14:editId="123A83CE">
                <wp:simplePos x="0" y="0"/>
                <wp:positionH relativeFrom="margin">
                  <wp:posOffset>1301261</wp:posOffset>
                </wp:positionH>
                <wp:positionV relativeFrom="paragraph">
                  <wp:posOffset>2576537</wp:posOffset>
                </wp:positionV>
                <wp:extent cx="948267" cy="262467"/>
                <wp:effectExtent l="0" t="0" r="4445" b="4445"/>
                <wp:wrapNone/>
                <wp:docPr id="12" name="Text Box 12"/>
                <wp:cNvGraphicFramePr/>
                <a:graphic xmlns:a="http://schemas.openxmlformats.org/drawingml/2006/main">
                  <a:graphicData uri="http://schemas.microsoft.com/office/word/2010/wordprocessingShape">
                    <wps:wsp>
                      <wps:cNvSpPr txBox="1"/>
                      <wps:spPr>
                        <a:xfrm>
                          <a:off x="0" y="0"/>
                          <a:ext cx="948267" cy="262467"/>
                        </a:xfrm>
                        <a:prstGeom prst="rect">
                          <a:avLst/>
                        </a:prstGeom>
                        <a:solidFill>
                          <a:sysClr val="window" lastClr="FFFFFF"/>
                        </a:solidFill>
                        <a:ln w="6350">
                          <a:noFill/>
                        </a:ln>
                      </wps:spPr>
                      <wps:txbx>
                        <w:txbxContent>
                          <w:p w14:paraId="0681D251" w14:textId="77777777" w:rsidR="006D7674" w:rsidRPr="00DE3FCE" w:rsidRDefault="006D7674" w:rsidP="00F84297">
                            <w:pPr>
                              <w:pStyle w:val="Standaard"/>
                              <w:rPr>
                                <w:sz w:val="21"/>
                                <w:szCs w:val="21"/>
                              </w:rPr>
                            </w:pPr>
                            <w:r w:rsidRPr="00DE3FCE">
                              <w:rPr>
                                <w:sz w:val="21"/>
                                <w:szCs w:val="21"/>
                              </w:rPr>
                              <w:t>Age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B4925" id="Text Box 12" o:spid="_x0000_s1027" type="#_x0000_t202" style="position:absolute;margin-left:102.45pt;margin-top:202.9pt;width:74.65pt;height:20.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v4SwIAAJIEAAAOAAAAZHJzL2Uyb0RvYy54bWysVE1vGjEQvVfqf7B8bxa2hCQoS0QTUVVC&#10;SSSocjZeL6zk9bi2YZf++j57gaRpT1U5mPnyjOe9mb296xrN9sr5mkzBhxcDzpSRVNZmU/Dvq/mn&#10;a858EKYUmowq+EF5fjf9+OG2tROV05Z0qRxDEuMnrS34NgQ7yTIvt6oR/oKsMnBW5BoRoLpNVjrR&#10;Inujs3wwGGctudI6ksp7WB96J5+m/FWlZHiqKq8C0wXH20I6XTrX8cymt2KyccJua3l8hviHVzSi&#10;Nih6TvUggmA7V/+RqqmlI09VuJDUZFRVtVSpB3QzHLzrZrkVVqVeAI63Z5j8/0srH/fPjtUluMs5&#10;M6IBRyvVBfaFOgYT8GmtnyBsaREYOtgRe7J7GGPbXeWa+I+GGPxA+nBGN2aTMN6MrvPxFWcSrnyc&#10;jyAje/Z62TofvipqWBQK7kBewlTsFz70oaeQWMuTrst5rXVSDv5eO7YX4BnjUVLLmRY+wFjwefod&#10;q/12TRvWFnz8+XKQKhmK+fpS2uBxsfe+xyiFbt31WJ36X1N5ACyO+sHyVs5rPH6Bys/CYZKABLYj&#10;POGoNKEWHSXOtuR+/s0e40EwvJy1mMyC+x874RQa+mZA/c1wNIqjnJTR5VUOxb31rN96zK65J4Ay&#10;xB5amcQYH/RJrBw1L1iiWawKlzAStQseTuJ96PcFSyjVbJaCMLxWhIVZWhlTRwYiNavuRTh75C+A&#10;+Ec6zbCYvKOxj403Dc12gao6cRxx7lE9wo/BT1NyXNK4WW/1FPX6KZn+AgAA//8DAFBLAwQUAAYA&#10;CAAAACEA2fvTteMAAAALAQAADwAAAGRycy9kb3ducmV2LnhtbEyPy07DMBBF90j8gzVI7KjdkPII&#10;cSqEQFCJqBCQ2LrxkARiO7LdJu3XM6xgOTNHd87Nl5Pp2Q596JyVMJ8JYGhrpzvbSHh/ezi7Ahai&#10;slr1zqKEPQZYFsdHucq0G+0r7qrYMAqxIVMS2hiHjPNQt2hUmLkBLd0+nTcq0ugbrr0aKdz0PBHi&#10;ghvVWfrQqgHvWqy/q62R8DFWj369Wn29DE/lYX2oyme8L6U8PZlub4BFnOIfDL/6pA4FOW3c1urA&#10;egmJSK8JlZCKBXUg4nyRJsA2tEkv58CLnP/vUPwAAAD//wMAUEsBAi0AFAAGAAgAAAAhALaDOJL+&#10;AAAA4QEAABMAAAAAAAAAAAAAAAAAAAAAAFtDb250ZW50X1R5cGVzXS54bWxQSwECLQAUAAYACAAA&#10;ACEAOP0h/9YAAACUAQAACwAAAAAAAAAAAAAAAAAvAQAAX3JlbHMvLnJlbHNQSwECLQAUAAYACAAA&#10;ACEADX47+EsCAACSBAAADgAAAAAAAAAAAAAAAAAuAgAAZHJzL2Uyb0RvYy54bWxQSwECLQAUAAYA&#10;CAAAACEA2fvTteMAAAALAQAADwAAAAAAAAAAAAAAAAClBAAAZHJzL2Rvd25yZXYueG1sUEsFBgAA&#10;AAAEAAQA8wAAALUFAAAAAA==&#10;" fillcolor="window" stroked="f" strokeweight=".5pt">
                <v:textbox>
                  <w:txbxContent>
                    <w:p w14:paraId="0681D251" w14:textId="77777777" w:rsidR="006D7674" w:rsidRPr="00DE3FCE" w:rsidRDefault="006D7674" w:rsidP="00F84297">
                      <w:pPr>
                        <w:pStyle w:val="Standaard"/>
                        <w:rPr>
                          <w:sz w:val="21"/>
                          <w:szCs w:val="21"/>
                        </w:rPr>
                      </w:pPr>
                      <w:r w:rsidRPr="00DE3FCE">
                        <w:rPr>
                          <w:sz w:val="21"/>
                          <w:szCs w:val="21"/>
                        </w:rPr>
                        <w:t>Age (months)</w:t>
                      </w:r>
                    </w:p>
                  </w:txbxContent>
                </v:textbox>
                <w10:wrap anchorx="margin"/>
              </v:shape>
            </w:pict>
          </mc:Fallback>
        </mc:AlternateContent>
      </w:r>
      <w:r>
        <w:rPr>
          <w:sz w:val="22"/>
          <w:lang w:eastAsia="en-AU"/>
        </w:rPr>
        <mc:AlternateContent>
          <mc:Choice Requires="wps">
            <w:drawing>
              <wp:anchor distT="0" distB="0" distL="114300" distR="114300" simplePos="0" relativeHeight="251661312" behindDoc="0" locked="0" layoutInCell="1" allowOverlap="1" wp14:anchorId="2D33ED11" wp14:editId="4DF37B8A">
                <wp:simplePos x="0" y="0"/>
                <wp:positionH relativeFrom="margin">
                  <wp:posOffset>-836393</wp:posOffset>
                </wp:positionH>
                <wp:positionV relativeFrom="paragraph">
                  <wp:posOffset>1034415</wp:posOffset>
                </wp:positionV>
                <wp:extent cx="1981298" cy="238862"/>
                <wp:effectExtent l="0" t="5080" r="0" b="0"/>
                <wp:wrapNone/>
                <wp:docPr id="11" name="Text Box 11"/>
                <wp:cNvGraphicFramePr/>
                <a:graphic xmlns:a="http://schemas.openxmlformats.org/drawingml/2006/main">
                  <a:graphicData uri="http://schemas.microsoft.com/office/word/2010/wordprocessingShape">
                    <wps:wsp>
                      <wps:cNvSpPr txBox="1"/>
                      <wps:spPr>
                        <a:xfrm rot="16200000">
                          <a:off x="0" y="0"/>
                          <a:ext cx="1981298" cy="238862"/>
                        </a:xfrm>
                        <a:prstGeom prst="rect">
                          <a:avLst/>
                        </a:prstGeom>
                        <a:solidFill>
                          <a:schemeClr val="lt1"/>
                        </a:solidFill>
                        <a:ln w="6350">
                          <a:noFill/>
                        </a:ln>
                      </wps:spPr>
                      <wps:txbx>
                        <w:txbxContent>
                          <w:p w14:paraId="5AACAE13" w14:textId="77777777" w:rsidR="006D7674" w:rsidRPr="00DE3FCE" w:rsidRDefault="006D7674" w:rsidP="00F84297">
                            <w:pPr>
                              <w:pStyle w:val="Standaard"/>
                              <w:rPr>
                                <w:sz w:val="21"/>
                                <w:szCs w:val="21"/>
                              </w:rPr>
                            </w:pPr>
                            <w:r w:rsidRPr="00DE3FCE">
                              <w:rPr>
                                <w:sz w:val="21"/>
                                <w:szCs w:val="21"/>
                                <w:u w:val="single"/>
                              </w:rPr>
                              <w:t>Pro</w:t>
                            </w:r>
                            <w:r>
                              <w:rPr>
                                <w:sz w:val="21"/>
                                <w:szCs w:val="21"/>
                                <w:u w:val="single"/>
                              </w:rPr>
                              <w:t>b</w:t>
                            </w:r>
                            <w:r w:rsidRPr="00DE3FCE">
                              <w:rPr>
                                <w:sz w:val="21"/>
                                <w:szCs w:val="21"/>
                                <w:u w:val="single"/>
                              </w:rPr>
                              <w:t>ability of event-free survival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ED11" id="Text Box 11" o:spid="_x0000_s1028" type="#_x0000_t202" style="position:absolute;margin-left:-65.85pt;margin-top:81.45pt;width:156pt;height:18.8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iSgIAAJEEAAAOAAAAZHJzL2Uyb0RvYy54bWysVMFu2zAMvQ/YPwi6r07SNEuDOEXWosOA&#10;oi2QDD0rshwbkEVNUmJ3X78nOW67bqdhOQgU+fxE8pFZXnWNZkflfE0m5+OzEWfKSCpqs8/59+3t&#10;pzlnPghTCE1G5fxZeX61+vhh2dqFmlBFulCOgcT4RWtzXoVgF1nmZaUa4c/IKoNgSa4RAVe3zwon&#10;WrA3OpuMRrOsJVdYR1J5D+9NH+SrxF+WSoaHsvQqMJ1z5BbS6dK5i2e2WorF3glb1fKUhviHLBpR&#10;Gzz6QnUjgmAHV/9B1dTSkacynElqMirLWqpUA6oZj95Vs6mEVakWNMfblzb5/0cr74+PjtUFtBtz&#10;ZkQDjbaqC+wLdQwu9Ke1fgHYxgIYOviBHfwezlh2V7qGOUJ7xzPIgl/qBupjgKPxzy/NjuQyclzO&#10;x5NLjIdEbHI+n88mkTXrySKpdT58VdSwaOTcQczEKo53PvTQARLhnnRd3NZap0scIHWtHTsKSK9D&#10;Shnkv6G0YW3OZ+cXfbqG4uc9szbIJZbelxit0O261KqUaPTsqHhGV1LhKNJbeVsj1zvhw6NwGCQ4&#10;sRzhAUepCW/RyeKsIvfzb/6Ih76IctZiMHPufxyEU5zpbwbKX46n0zjJ6TK9+DzBxb2N7N5GzKG5&#10;JjQA4iK7ZEZ80INZOmqesEPr+CpCwki8nfMwmNehXxfsoFTrdQJhdq0Id2ZjZaQexNp2T8LZk1wB&#10;Qt/TMMJi8U61Hhu/NLQ+BCrrJOlrV0/tx9ynoTjtaFyst/eEev0nWf0CAAD//wMAUEsDBBQABgAI&#10;AAAAIQAdWDck2wAAAAcBAAAPAAAAZHJzL2Rvd25yZXYueG1sTI7NToQwFIX3Jr5Dc03cOWVAZIJc&#10;JsafB3CYhcsOvVIivSW0DDhPb13p8uScfOer9qsdxJkm3ztG2G4SEMSt0z13CMfm7W4HwgfFWg2O&#10;CeGbPOzr66tKldot/E7nQ+hEhLAvFYIJYSyl9K0hq/zGjcSx+3STVSHGqZN6UkuE20GmSfIgreo5&#10;Phg10rOh9uswWwT/uqTJ6pfLbm6Ml43tLh8vC+Ltzfr0CCLQGv7G8Ksf1aGOTic3s/ZiQMjzOERI&#10;8wJErO+zLYgTQpYVBci6kv/96x8AAAD//wMAUEsBAi0AFAAGAAgAAAAhALaDOJL+AAAA4QEAABMA&#10;AAAAAAAAAAAAAAAAAAAAAFtDb250ZW50X1R5cGVzXS54bWxQSwECLQAUAAYACAAAACEAOP0h/9YA&#10;AACUAQAACwAAAAAAAAAAAAAAAAAvAQAAX3JlbHMvLnJlbHNQSwECLQAUAAYACAAAACEAAWvs4koC&#10;AACRBAAADgAAAAAAAAAAAAAAAAAuAgAAZHJzL2Uyb0RvYy54bWxQSwECLQAUAAYACAAAACEAHVg3&#10;JNsAAAAHAQAADwAAAAAAAAAAAAAAAACkBAAAZHJzL2Rvd25yZXYueG1sUEsFBgAAAAAEAAQA8wAA&#10;AKwFAAAAAA==&#10;" fillcolor="white [3201]" stroked="f" strokeweight=".5pt">
                <v:textbox>
                  <w:txbxContent>
                    <w:p w14:paraId="5AACAE13" w14:textId="77777777" w:rsidR="006D7674" w:rsidRPr="00DE3FCE" w:rsidRDefault="006D7674" w:rsidP="00F84297">
                      <w:pPr>
                        <w:pStyle w:val="Standaard"/>
                        <w:rPr>
                          <w:sz w:val="21"/>
                          <w:szCs w:val="21"/>
                        </w:rPr>
                      </w:pPr>
                      <w:r w:rsidRPr="00DE3FCE">
                        <w:rPr>
                          <w:sz w:val="21"/>
                          <w:szCs w:val="21"/>
                          <w:u w:val="single"/>
                        </w:rPr>
                        <w:t>Pro</w:t>
                      </w:r>
                      <w:r>
                        <w:rPr>
                          <w:sz w:val="21"/>
                          <w:szCs w:val="21"/>
                          <w:u w:val="single"/>
                        </w:rPr>
                        <w:t>b</w:t>
                      </w:r>
                      <w:r w:rsidRPr="00DE3FCE">
                        <w:rPr>
                          <w:sz w:val="21"/>
                          <w:szCs w:val="21"/>
                          <w:u w:val="single"/>
                        </w:rPr>
                        <w:t>ability of event-free survival</w:t>
                      </w:r>
                    </w:p>
                  </w:txbxContent>
                </v:textbox>
                <w10:wrap anchorx="margin"/>
              </v:shape>
            </w:pict>
          </mc:Fallback>
        </mc:AlternateContent>
      </w:r>
      <w:r w:rsidR="00C304A4" w:rsidRPr="00085573">
        <w:rPr>
          <w:lang w:eastAsia="en-AU"/>
        </w:rPr>
        <w:drawing>
          <wp:inline distT="0" distB="0" distL="0" distR="0" wp14:anchorId="09B83C20" wp14:editId="7BE746E7">
            <wp:extent cx="4243640" cy="3059454"/>
            <wp:effectExtent l="0" t="0" r="508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405" t="2937" b="5166"/>
                    <a:stretch/>
                  </pic:blipFill>
                  <pic:spPr bwMode="auto">
                    <a:xfrm>
                      <a:off x="0" y="0"/>
                      <a:ext cx="4248667" cy="3063078"/>
                    </a:xfrm>
                    <a:prstGeom prst="rect">
                      <a:avLst/>
                    </a:prstGeom>
                    <a:ln>
                      <a:noFill/>
                    </a:ln>
                    <a:extLst>
                      <a:ext uri="{53640926-AAD7-44D8-BBD7-CCE9431645EC}">
                        <a14:shadowObscured xmlns:a14="http://schemas.microsoft.com/office/drawing/2010/main"/>
                      </a:ext>
                    </a:extLst>
                  </pic:spPr>
                </pic:pic>
              </a:graphicData>
            </a:graphic>
          </wp:inline>
        </w:drawing>
      </w:r>
    </w:p>
    <w:p w14:paraId="01A37273" w14:textId="76F34B22" w:rsidR="00F84297" w:rsidRPr="00CE5213" w:rsidRDefault="00D76A4D" w:rsidP="00D76A4D">
      <w:pPr>
        <w:pStyle w:val="C-TableFootnote"/>
        <w:tabs>
          <w:tab w:val="clear" w:pos="144"/>
          <w:tab w:val="left" w:pos="0"/>
        </w:tabs>
        <w:ind w:left="0" w:firstLine="0"/>
        <w:rPr>
          <w:rFonts w:ascii="Cambria" w:hAnsi="Cambria" w:cstheme="minorHAnsi"/>
          <w:i/>
        </w:rPr>
      </w:pPr>
      <w:r w:rsidRPr="00CE5213">
        <w:rPr>
          <w:rFonts w:ascii="Cambria" w:hAnsi="Cambria" w:cstheme="minorHAnsi"/>
          <w:i/>
        </w:rPr>
        <w:t>The PNCR Natural History dataset was drawn from a prospective natural history study of patients with any form of SMA.  An appropriate comparator cohort for Study AVXS-101-CL-303 was drawn from the larger PNCR Natural History Dataset, consisting of all patients with age of onset ≤ 6 months, bi-allelic deletion of survival motor neuron 1 gene (SMN1) and 2 copies of SMN2.</w:t>
      </w:r>
    </w:p>
    <w:p w14:paraId="766A482B" w14:textId="77777777" w:rsidR="00F84297" w:rsidRPr="00CE5213" w:rsidRDefault="00F84297" w:rsidP="00F84297">
      <w:pPr>
        <w:pStyle w:val="C-BodyText"/>
        <w:spacing w:before="0" w:after="0" w:line="240" w:lineRule="auto"/>
        <w:rPr>
          <w:rFonts w:ascii="Cambria" w:hAnsi="Cambria" w:cstheme="minorHAnsi"/>
          <w:i/>
          <w:sz w:val="20"/>
        </w:rPr>
      </w:pPr>
      <w:r w:rsidRPr="00CE5213">
        <w:rPr>
          <w:rFonts w:ascii="Cambria" w:hAnsi="Cambria" w:cstheme="minorHAnsi"/>
          <w:i/>
          <w:sz w:val="20"/>
        </w:rPr>
        <w:t>STR1VE = Study 303</w:t>
      </w:r>
    </w:p>
    <w:p w14:paraId="0CEE3776" w14:textId="77777777" w:rsidR="00F84297" w:rsidRDefault="00F84297" w:rsidP="00A737F0">
      <w:pPr>
        <w:autoSpaceDE w:val="0"/>
        <w:autoSpaceDN w:val="0"/>
        <w:adjustRightInd w:val="0"/>
        <w:rPr>
          <w:sz w:val="22"/>
        </w:rPr>
      </w:pPr>
    </w:p>
    <w:p w14:paraId="0B5F0655" w14:textId="77777777" w:rsidR="009D51C1" w:rsidRDefault="009D51C1">
      <w:pPr>
        <w:widowControl/>
        <w:tabs>
          <w:tab w:val="clear" w:pos="720"/>
        </w:tabs>
        <w:spacing w:after="160" w:line="259" w:lineRule="auto"/>
        <w:rPr>
          <w:rFonts w:ascii="Cambria" w:eastAsia="Times New Roman" w:hAnsi="Cambria" w:cs="Times New Roman"/>
          <w:noProof w:val="0"/>
          <w:szCs w:val="24"/>
          <w:lang w:val="en-US"/>
        </w:rPr>
      </w:pPr>
      <w:r>
        <w:rPr>
          <w:rFonts w:ascii="Cambria" w:hAnsi="Cambria"/>
          <w:szCs w:val="24"/>
        </w:rPr>
        <w:br w:type="page"/>
      </w:r>
    </w:p>
    <w:p w14:paraId="3DEEAAD4" w14:textId="41F01718" w:rsidR="00F829E4" w:rsidRPr="008E6700" w:rsidRDefault="00C915D7" w:rsidP="00D83B93">
      <w:pPr>
        <w:pStyle w:val="C-BodyText"/>
        <w:rPr>
          <w:rFonts w:ascii="Cambria" w:hAnsi="Cambria"/>
          <w:szCs w:val="24"/>
        </w:rPr>
      </w:pPr>
      <w:r w:rsidRPr="008E6700">
        <w:rPr>
          <w:rFonts w:ascii="Cambria" w:hAnsi="Cambria"/>
          <w:szCs w:val="24"/>
        </w:rPr>
        <w:t xml:space="preserve">For the 14 patients in Study CL-303 that achieved the milestone of independent sitting for at </w:t>
      </w:r>
      <w:r w:rsidRPr="00101E5A">
        <w:rPr>
          <w:rFonts w:ascii="Cambria" w:hAnsi="Cambria"/>
          <w:szCs w:val="24"/>
        </w:rPr>
        <w:t>least 30 seconds, the median age when this milestone was first demonstrated was 12.5 months (range 9.2 to 18.6 months). Thirteen patients confirmed the milestone of independent sitting for at least 30 seconds at the 18 month visit (co-primary endpoint, p&lt;0.0001). One patient achieved</w:t>
      </w:r>
      <w:r w:rsidRPr="007E28A2">
        <w:rPr>
          <w:rFonts w:ascii="Cambria" w:hAnsi="Cambria"/>
          <w:szCs w:val="24"/>
        </w:rPr>
        <w:t xml:space="preserve"> the milestone of sitting independently for 30 seconds at 16 months of age, but this milestone was not confirmed at the Month 18 visit. The video-confirmed developmental milestones for patients in Study CL-303 are </w:t>
      </w:r>
      <w:proofErr w:type="spellStart"/>
      <w:r w:rsidRPr="007E28A2">
        <w:rPr>
          <w:rFonts w:ascii="Cambria" w:hAnsi="Cambria"/>
          <w:szCs w:val="24"/>
        </w:rPr>
        <w:t>summari</w:t>
      </w:r>
      <w:r w:rsidR="00F2410F">
        <w:rPr>
          <w:rFonts w:ascii="Cambria" w:hAnsi="Cambria"/>
          <w:szCs w:val="24"/>
        </w:rPr>
        <w:t>s</w:t>
      </w:r>
      <w:r w:rsidRPr="007E28A2">
        <w:rPr>
          <w:rFonts w:ascii="Cambria" w:hAnsi="Cambria"/>
          <w:szCs w:val="24"/>
        </w:rPr>
        <w:t>ed</w:t>
      </w:r>
      <w:proofErr w:type="spellEnd"/>
      <w:r w:rsidRPr="007E28A2">
        <w:rPr>
          <w:rFonts w:ascii="Cambria" w:hAnsi="Cambria"/>
          <w:szCs w:val="24"/>
        </w:rPr>
        <w:t xml:space="preserve"> in </w:t>
      </w:r>
      <w:r w:rsidR="00981080" w:rsidRPr="007E28A2">
        <w:rPr>
          <w:rFonts w:ascii="Cambria" w:hAnsi="Cambria"/>
          <w:szCs w:val="24"/>
        </w:rPr>
        <w:t>Table </w:t>
      </w:r>
      <w:r w:rsidR="00DE5F53">
        <w:rPr>
          <w:rFonts w:ascii="Cambria" w:hAnsi="Cambria"/>
          <w:szCs w:val="24"/>
        </w:rPr>
        <w:t>4</w:t>
      </w:r>
      <w:r w:rsidRPr="007E28A2">
        <w:rPr>
          <w:rFonts w:ascii="Cambria" w:hAnsi="Cambria"/>
          <w:szCs w:val="24"/>
        </w:rPr>
        <w:t>.</w:t>
      </w:r>
    </w:p>
    <w:p w14:paraId="13AA856A" w14:textId="32B2D7D3" w:rsidR="00C915D7" w:rsidRPr="00981080" w:rsidRDefault="00B762D6" w:rsidP="00981080">
      <w:pPr>
        <w:pStyle w:val="C-BodyText"/>
        <w:ind w:left="1440" w:hanging="1440"/>
        <w:jc w:val="both"/>
        <w:rPr>
          <w:rFonts w:ascii="Cambria" w:hAnsi="Cambria"/>
          <w:b/>
          <w:szCs w:val="24"/>
        </w:rPr>
      </w:pPr>
      <w:r w:rsidRPr="00981080">
        <w:rPr>
          <w:rFonts w:ascii="Cambria" w:hAnsi="Cambria"/>
          <w:b/>
          <w:szCs w:val="24"/>
        </w:rPr>
        <w:t xml:space="preserve">Table </w:t>
      </w:r>
      <w:r w:rsidR="00DE5F53">
        <w:rPr>
          <w:rFonts w:ascii="Cambria" w:hAnsi="Cambria"/>
          <w:b/>
          <w:szCs w:val="24"/>
        </w:rPr>
        <w:t>4</w:t>
      </w:r>
      <w:r w:rsidR="00DE5F53" w:rsidRPr="00981080">
        <w:rPr>
          <w:rFonts w:ascii="Cambria" w:hAnsi="Cambria"/>
          <w:b/>
          <w:szCs w:val="24"/>
        </w:rPr>
        <w:t xml:space="preserve"> </w:t>
      </w:r>
      <w:r w:rsidR="00981080">
        <w:rPr>
          <w:rFonts w:ascii="Cambria" w:hAnsi="Cambria"/>
          <w:b/>
          <w:szCs w:val="24"/>
        </w:rPr>
        <w:tab/>
      </w:r>
      <w:r w:rsidRPr="00981080">
        <w:rPr>
          <w:rFonts w:ascii="Cambria" w:hAnsi="Cambria"/>
          <w:b/>
          <w:szCs w:val="24"/>
        </w:rPr>
        <w:t>Median time to video document achievement of motor milestones in Study 303</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2271"/>
        <w:gridCol w:w="2271"/>
        <w:gridCol w:w="2271"/>
      </w:tblGrid>
      <w:tr w:rsidR="00B762D6" w:rsidRPr="008E6700" w14:paraId="05C5814B" w14:textId="77777777" w:rsidTr="00CE3089">
        <w:trPr>
          <w:tblHeader/>
        </w:trPr>
        <w:tc>
          <w:tcPr>
            <w:tcW w:w="2270" w:type="dxa"/>
            <w:shd w:val="clear" w:color="auto" w:fill="auto"/>
          </w:tcPr>
          <w:p w14:paraId="487F1F57" w14:textId="77777777" w:rsidR="00B762D6" w:rsidRPr="008E6700" w:rsidRDefault="00B762D6" w:rsidP="00CE3089">
            <w:pPr>
              <w:pStyle w:val="Table"/>
              <w:rPr>
                <w:rFonts w:ascii="Cambria" w:hAnsi="Cambria" w:cs="Times New Roman"/>
                <w:b w:val="0"/>
                <w:sz w:val="22"/>
              </w:rPr>
            </w:pPr>
            <w:r w:rsidRPr="008E6700">
              <w:rPr>
                <w:rFonts w:ascii="Cambria" w:hAnsi="Cambria" w:cs="Times New Roman"/>
                <w:sz w:val="22"/>
              </w:rPr>
              <w:t>Video documented milestone</w:t>
            </w:r>
          </w:p>
        </w:tc>
        <w:tc>
          <w:tcPr>
            <w:tcW w:w="2271" w:type="dxa"/>
            <w:shd w:val="clear" w:color="auto" w:fill="auto"/>
          </w:tcPr>
          <w:p w14:paraId="4FE23042"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sz w:val="22"/>
              </w:rPr>
              <w:t>Number of patients achieving milestone</w:t>
            </w:r>
          </w:p>
          <w:p w14:paraId="33624425"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sz w:val="22"/>
              </w:rPr>
              <w:t>n/N (%)</w:t>
            </w:r>
          </w:p>
        </w:tc>
        <w:tc>
          <w:tcPr>
            <w:tcW w:w="2271" w:type="dxa"/>
            <w:shd w:val="clear" w:color="auto" w:fill="auto"/>
          </w:tcPr>
          <w:p w14:paraId="5BDD160F"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sz w:val="22"/>
              </w:rPr>
              <w:t>Median age to the milestone achievement</w:t>
            </w:r>
          </w:p>
          <w:p w14:paraId="4BA41664"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sz w:val="22"/>
              </w:rPr>
              <w:t>(Months)</w:t>
            </w:r>
          </w:p>
        </w:tc>
        <w:tc>
          <w:tcPr>
            <w:tcW w:w="2271" w:type="dxa"/>
            <w:shd w:val="clear" w:color="auto" w:fill="auto"/>
          </w:tcPr>
          <w:p w14:paraId="70FBC51B"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sz w:val="22"/>
              </w:rPr>
              <w:t>95% Confidence interval</w:t>
            </w:r>
          </w:p>
        </w:tc>
      </w:tr>
      <w:tr w:rsidR="00B762D6" w:rsidRPr="008E6700" w14:paraId="327AA8C5" w14:textId="77777777" w:rsidTr="00CE3089">
        <w:tc>
          <w:tcPr>
            <w:tcW w:w="2270" w:type="dxa"/>
            <w:shd w:val="clear" w:color="auto" w:fill="auto"/>
          </w:tcPr>
          <w:p w14:paraId="04FDBDB1" w14:textId="77777777" w:rsidR="00B762D6" w:rsidRPr="008E6700" w:rsidRDefault="00B762D6" w:rsidP="00CE3089">
            <w:pPr>
              <w:pStyle w:val="Table"/>
              <w:rPr>
                <w:rFonts w:ascii="Cambria" w:hAnsi="Cambria" w:cs="Times New Roman"/>
                <w:b w:val="0"/>
                <w:sz w:val="22"/>
              </w:rPr>
            </w:pPr>
            <w:r w:rsidRPr="008E6700">
              <w:rPr>
                <w:rFonts w:ascii="Cambria" w:hAnsi="Cambria" w:cs="Times New Roman"/>
                <w:b w:val="0"/>
                <w:sz w:val="22"/>
              </w:rPr>
              <w:t>Head control</w:t>
            </w:r>
          </w:p>
        </w:tc>
        <w:tc>
          <w:tcPr>
            <w:tcW w:w="2271" w:type="dxa"/>
            <w:shd w:val="clear" w:color="auto" w:fill="auto"/>
          </w:tcPr>
          <w:p w14:paraId="1562DF8F"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17/20* (85)</w:t>
            </w:r>
          </w:p>
        </w:tc>
        <w:tc>
          <w:tcPr>
            <w:tcW w:w="2271" w:type="dxa"/>
            <w:shd w:val="clear" w:color="auto" w:fill="auto"/>
          </w:tcPr>
          <w:p w14:paraId="0D272387"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6.8</w:t>
            </w:r>
          </w:p>
        </w:tc>
        <w:tc>
          <w:tcPr>
            <w:tcW w:w="2271" w:type="dxa"/>
            <w:shd w:val="clear" w:color="auto" w:fill="auto"/>
          </w:tcPr>
          <w:p w14:paraId="318ABCD3"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(4.77, 7.17)</w:t>
            </w:r>
          </w:p>
        </w:tc>
      </w:tr>
      <w:tr w:rsidR="00B762D6" w:rsidRPr="008E6700" w14:paraId="2927B246" w14:textId="77777777" w:rsidTr="00CE3089">
        <w:tc>
          <w:tcPr>
            <w:tcW w:w="2270" w:type="dxa"/>
            <w:shd w:val="clear" w:color="auto" w:fill="auto"/>
          </w:tcPr>
          <w:p w14:paraId="26A9574C" w14:textId="77777777" w:rsidR="00B762D6" w:rsidRPr="008E6700" w:rsidRDefault="00B762D6" w:rsidP="00CE3089">
            <w:pPr>
              <w:pStyle w:val="Table"/>
              <w:rPr>
                <w:rFonts w:ascii="Cambria" w:hAnsi="Cambria" w:cs="Times New Roman"/>
                <w:b w:val="0"/>
                <w:sz w:val="22"/>
              </w:rPr>
            </w:pPr>
            <w:r w:rsidRPr="008E6700">
              <w:rPr>
                <w:rFonts w:ascii="Cambria" w:hAnsi="Cambria" w:cs="Times New Roman"/>
                <w:b w:val="0"/>
                <w:sz w:val="22"/>
              </w:rPr>
              <w:t>Rolls from back to sides</w:t>
            </w:r>
          </w:p>
        </w:tc>
        <w:tc>
          <w:tcPr>
            <w:tcW w:w="2271" w:type="dxa"/>
            <w:shd w:val="clear" w:color="auto" w:fill="auto"/>
          </w:tcPr>
          <w:p w14:paraId="4986CE42"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13/22 (59)</w:t>
            </w:r>
          </w:p>
        </w:tc>
        <w:tc>
          <w:tcPr>
            <w:tcW w:w="2271" w:type="dxa"/>
            <w:shd w:val="clear" w:color="auto" w:fill="auto"/>
          </w:tcPr>
          <w:p w14:paraId="53A39709"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11.5</w:t>
            </w:r>
          </w:p>
        </w:tc>
        <w:tc>
          <w:tcPr>
            <w:tcW w:w="2271" w:type="dxa"/>
            <w:shd w:val="clear" w:color="auto" w:fill="auto"/>
          </w:tcPr>
          <w:p w14:paraId="45E62509"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(7.77, 14.53)</w:t>
            </w:r>
          </w:p>
        </w:tc>
      </w:tr>
      <w:tr w:rsidR="00B762D6" w:rsidRPr="008E6700" w14:paraId="0AA7AC07" w14:textId="77777777" w:rsidTr="00CE3089">
        <w:tc>
          <w:tcPr>
            <w:tcW w:w="2270" w:type="dxa"/>
            <w:shd w:val="clear" w:color="auto" w:fill="auto"/>
          </w:tcPr>
          <w:p w14:paraId="72EEDF66" w14:textId="64CD03C8" w:rsidR="00B762D6" w:rsidRPr="008E6700" w:rsidRDefault="00B762D6" w:rsidP="00CE3089">
            <w:pPr>
              <w:pStyle w:val="Table"/>
              <w:rPr>
                <w:rFonts w:ascii="Cambria" w:hAnsi="Cambria" w:cs="Times New Roman"/>
                <w:b w:val="0"/>
                <w:sz w:val="22"/>
              </w:rPr>
            </w:pPr>
            <w:r w:rsidRPr="008E6700">
              <w:rPr>
                <w:rFonts w:ascii="Cambria" w:hAnsi="Cambria" w:cs="Times New Roman"/>
                <w:b w:val="0"/>
                <w:sz w:val="22"/>
              </w:rPr>
              <w:t>Sits without support for 30 seconds</w:t>
            </w:r>
            <w:r w:rsidR="00BD7312">
              <w:rPr>
                <w:rFonts w:ascii="Cambria" w:hAnsi="Cambria" w:cs="Times New Roman"/>
                <w:b w:val="0"/>
                <w:sz w:val="22"/>
              </w:rPr>
              <w:t xml:space="preserve"> (Bayley)</w:t>
            </w:r>
          </w:p>
        </w:tc>
        <w:tc>
          <w:tcPr>
            <w:tcW w:w="2271" w:type="dxa"/>
            <w:shd w:val="clear" w:color="auto" w:fill="auto"/>
          </w:tcPr>
          <w:p w14:paraId="50FD4031"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14/22 (64)</w:t>
            </w:r>
          </w:p>
        </w:tc>
        <w:tc>
          <w:tcPr>
            <w:tcW w:w="2271" w:type="dxa"/>
            <w:shd w:val="clear" w:color="auto" w:fill="auto"/>
          </w:tcPr>
          <w:p w14:paraId="1E94869F"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12.5</w:t>
            </w:r>
          </w:p>
        </w:tc>
        <w:tc>
          <w:tcPr>
            <w:tcW w:w="2271" w:type="dxa"/>
            <w:shd w:val="clear" w:color="auto" w:fill="auto"/>
          </w:tcPr>
          <w:p w14:paraId="42FD4E0A"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(10.17, 15.20)</w:t>
            </w:r>
          </w:p>
        </w:tc>
      </w:tr>
      <w:tr w:rsidR="00B762D6" w:rsidRPr="008E6700" w14:paraId="5A59FE11" w14:textId="77777777" w:rsidTr="00CE3089">
        <w:tc>
          <w:tcPr>
            <w:tcW w:w="2270" w:type="dxa"/>
            <w:shd w:val="clear" w:color="auto" w:fill="auto"/>
          </w:tcPr>
          <w:p w14:paraId="5D7F4C94" w14:textId="1815DFCB" w:rsidR="00B762D6" w:rsidRPr="008E6700" w:rsidRDefault="00B762D6" w:rsidP="00CE3089">
            <w:pPr>
              <w:pStyle w:val="Table"/>
              <w:rPr>
                <w:rFonts w:ascii="Cambria" w:hAnsi="Cambria" w:cs="Times New Roman"/>
                <w:b w:val="0"/>
                <w:sz w:val="22"/>
              </w:rPr>
            </w:pPr>
            <w:r w:rsidRPr="008E6700">
              <w:rPr>
                <w:rFonts w:ascii="Cambria" w:hAnsi="Cambria" w:cs="Times New Roman"/>
                <w:b w:val="0"/>
                <w:sz w:val="22"/>
              </w:rPr>
              <w:t>Sitting without support for at least 10 seconds</w:t>
            </w:r>
            <w:r w:rsidR="00BD7312">
              <w:rPr>
                <w:rFonts w:ascii="Cambria" w:hAnsi="Cambria" w:cs="Times New Roman"/>
                <w:b w:val="0"/>
                <w:sz w:val="22"/>
              </w:rPr>
              <w:t xml:space="preserve"> (WHO)</w:t>
            </w:r>
          </w:p>
        </w:tc>
        <w:tc>
          <w:tcPr>
            <w:tcW w:w="2271" w:type="dxa"/>
            <w:shd w:val="clear" w:color="auto" w:fill="auto"/>
          </w:tcPr>
          <w:p w14:paraId="77A9A0E7"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14/22 (64)</w:t>
            </w:r>
          </w:p>
        </w:tc>
        <w:tc>
          <w:tcPr>
            <w:tcW w:w="2271" w:type="dxa"/>
            <w:shd w:val="clear" w:color="auto" w:fill="auto"/>
          </w:tcPr>
          <w:p w14:paraId="418EC7A3"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13.9</w:t>
            </w:r>
          </w:p>
        </w:tc>
        <w:tc>
          <w:tcPr>
            <w:tcW w:w="2271" w:type="dxa"/>
            <w:shd w:val="clear" w:color="auto" w:fill="auto"/>
          </w:tcPr>
          <w:p w14:paraId="1D8D8CA9" w14:textId="77777777" w:rsidR="00B762D6" w:rsidRPr="008E6700" w:rsidRDefault="00B762D6" w:rsidP="00CE3089">
            <w:pPr>
              <w:pStyle w:val="Table"/>
              <w:jc w:val="center"/>
              <w:rPr>
                <w:rFonts w:ascii="Cambria" w:hAnsi="Cambria" w:cs="Times New Roman"/>
                <w:b w:val="0"/>
                <w:sz w:val="22"/>
              </w:rPr>
            </w:pPr>
            <w:r w:rsidRPr="008E6700">
              <w:rPr>
                <w:rFonts w:ascii="Cambria" w:hAnsi="Cambria" w:cs="Times New Roman"/>
                <w:b w:val="0"/>
                <w:sz w:val="22"/>
              </w:rPr>
              <w:t>(11.00, 16.17)</w:t>
            </w:r>
          </w:p>
        </w:tc>
      </w:tr>
    </w:tbl>
    <w:p w14:paraId="3168D7DE" w14:textId="77777777" w:rsidR="00B762D6" w:rsidRPr="008E6700" w:rsidRDefault="00B762D6" w:rsidP="00B762D6">
      <w:pPr>
        <w:pStyle w:val="Text"/>
        <w:spacing w:before="0"/>
        <w:rPr>
          <w:rFonts w:ascii="Cambria" w:hAnsi="Cambria"/>
          <w:sz w:val="20"/>
          <w:szCs w:val="20"/>
        </w:rPr>
      </w:pPr>
      <w:r w:rsidRPr="008E6700">
        <w:rPr>
          <w:rFonts w:ascii="Cambria" w:hAnsi="Cambria"/>
          <w:sz w:val="20"/>
          <w:szCs w:val="20"/>
        </w:rPr>
        <w:t>*2 patients were reported to have Head Control by clinician assessment at baseline.</w:t>
      </w:r>
    </w:p>
    <w:p w14:paraId="2F13720D" w14:textId="77777777" w:rsidR="00B762D6" w:rsidRPr="008E6700" w:rsidRDefault="00B762D6" w:rsidP="00D83B93">
      <w:pPr>
        <w:pStyle w:val="Text"/>
        <w:tabs>
          <w:tab w:val="left" w:pos="7774"/>
          <w:tab w:val="left" w:pos="8505"/>
        </w:tabs>
        <w:jc w:val="left"/>
        <w:rPr>
          <w:rFonts w:ascii="Cambria" w:eastAsiaTheme="minorHAnsi" w:hAnsi="Cambria" w:cstheme="minorBidi"/>
          <w:szCs w:val="24"/>
          <w:lang w:eastAsia="en-US"/>
        </w:rPr>
      </w:pPr>
      <w:r w:rsidRPr="008E6700">
        <w:rPr>
          <w:rFonts w:ascii="Cambria" w:eastAsiaTheme="minorHAnsi" w:hAnsi="Cambria" w:cstheme="minorBidi"/>
          <w:szCs w:val="24"/>
          <w:lang w:eastAsia="en-US"/>
        </w:rPr>
        <w:t>One patient (4.5%) could also walk with assistance at 12.9 months. Based on the natural history of the disease, patients who met the study entry criteria would not be expected to attain the ability to sit without support, and only approximately 25% of these patients would be expected to survive (i.e., being alive without permanent ventilation) beyond 14 months of age.</w:t>
      </w:r>
    </w:p>
    <w:p w14:paraId="180B1E96" w14:textId="77777777" w:rsidR="00B762D6" w:rsidRPr="008E6700" w:rsidRDefault="00B762D6" w:rsidP="00D83B93">
      <w:pPr>
        <w:pStyle w:val="Text"/>
        <w:tabs>
          <w:tab w:val="left" w:pos="7774"/>
          <w:tab w:val="left" w:pos="8505"/>
        </w:tabs>
        <w:spacing w:before="0"/>
        <w:jc w:val="left"/>
        <w:rPr>
          <w:rFonts w:ascii="Cambria" w:eastAsiaTheme="minorHAnsi" w:hAnsi="Cambria" w:cstheme="minorBidi"/>
          <w:szCs w:val="24"/>
          <w:lang w:eastAsia="en-US"/>
        </w:rPr>
      </w:pPr>
    </w:p>
    <w:p w14:paraId="7DA12D5D" w14:textId="46F7C186" w:rsidR="00B762D6" w:rsidRPr="008E6700" w:rsidRDefault="00B762D6" w:rsidP="00D83B93">
      <w:pPr>
        <w:pStyle w:val="Text"/>
        <w:tabs>
          <w:tab w:val="left" w:pos="7774"/>
          <w:tab w:val="left" w:pos="8505"/>
        </w:tabs>
        <w:spacing w:before="0"/>
        <w:jc w:val="left"/>
        <w:rPr>
          <w:rFonts w:ascii="Cambria" w:eastAsiaTheme="minorHAnsi" w:hAnsi="Cambria" w:cstheme="minorBidi"/>
          <w:szCs w:val="24"/>
          <w:lang w:eastAsia="en-US"/>
        </w:rPr>
      </w:pPr>
      <w:r w:rsidRPr="008E6700">
        <w:rPr>
          <w:rFonts w:ascii="Cambria" w:eastAsiaTheme="minorHAnsi" w:hAnsi="Cambria" w:cstheme="minorBidi"/>
          <w:szCs w:val="24"/>
          <w:lang w:eastAsia="en-US"/>
        </w:rPr>
        <w:t xml:space="preserve">Motor function improvements were also observed as measured by the Children’s Hospital of Philadelphia Infant Test of Neuromuscular Disorders (CHOP-INTEND), see Figure </w:t>
      </w:r>
      <w:r w:rsidRPr="00101E5A">
        <w:rPr>
          <w:rFonts w:ascii="Cambria" w:eastAsiaTheme="minorHAnsi" w:hAnsi="Cambria" w:cstheme="minorBidi"/>
          <w:szCs w:val="24"/>
          <w:lang w:eastAsia="en-US"/>
        </w:rPr>
        <w:t>2. Twenty-one patients (95.5%) achieved a CHOP-INTEND score ≥ 40, 14 (64%) had achieved a CHOP-INTEND score ≥ 50, and 5 patients (23%) had achieved a CHOP-INTEND score ≥ 60. Patients with untreated SMA Type 1 almost never achieve a CHOP-INTEND score ≥ 40.</w:t>
      </w:r>
    </w:p>
    <w:p w14:paraId="049C8B9E" w14:textId="77777777" w:rsidR="0012730B" w:rsidRDefault="0012730B">
      <w:pPr>
        <w:widowControl/>
        <w:tabs>
          <w:tab w:val="clear" w:pos="720"/>
        </w:tabs>
        <w:spacing w:after="160" w:line="259" w:lineRule="auto"/>
        <w:rPr>
          <w:rFonts w:ascii="Cambria" w:eastAsia="Times New Roman" w:hAnsi="Cambria" w:cs="Times New Roman"/>
          <w:b/>
          <w:szCs w:val="24"/>
          <w:lang w:val="en-US"/>
        </w:rPr>
      </w:pPr>
      <w:r>
        <w:rPr>
          <w:rFonts w:ascii="Cambria" w:hAnsi="Cambria"/>
          <w:b/>
          <w:szCs w:val="24"/>
        </w:rPr>
        <w:br w:type="page"/>
      </w:r>
    </w:p>
    <w:p w14:paraId="35D08783" w14:textId="5E0BC54A" w:rsidR="00C915D7" w:rsidRPr="00981080" w:rsidRDefault="00B762D6" w:rsidP="00C915D7">
      <w:pPr>
        <w:pStyle w:val="C-BodyText"/>
        <w:jc w:val="both"/>
        <w:rPr>
          <w:rFonts w:ascii="Cambria" w:hAnsi="Cambria"/>
          <w:b/>
          <w:szCs w:val="24"/>
        </w:rPr>
      </w:pPr>
      <w:r w:rsidRPr="00981080">
        <w:rPr>
          <w:rFonts w:ascii="Cambria" w:hAnsi="Cambria"/>
          <w:b/>
          <w:szCs w:val="24"/>
        </w:rPr>
        <w:t xml:space="preserve">Figure 2 </w:t>
      </w:r>
      <w:r w:rsidR="00981080">
        <w:rPr>
          <w:rFonts w:ascii="Cambria" w:hAnsi="Cambria"/>
          <w:b/>
          <w:szCs w:val="24"/>
        </w:rPr>
        <w:tab/>
      </w:r>
      <w:r w:rsidRPr="00981080">
        <w:rPr>
          <w:rFonts w:ascii="Cambria" w:hAnsi="Cambria"/>
          <w:b/>
          <w:szCs w:val="24"/>
        </w:rPr>
        <w:t>CHOP-INTEND Motor Function Scores in Study 303</w:t>
      </w:r>
    </w:p>
    <w:p w14:paraId="2D19A74D" w14:textId="61F23C2B" w:rsidR="00B762D6" w:rsidRDefault="00B762D6" w:rsidP="00C915D7">
      <w:pPr>
        <w:pStyle w:val="C-BodyText"/>
        <w:jc w:val="both"/>
        <w:rPr>
          <w:rFonts w:ascii="Cambria" w:hAnsi="Cambria"/>
          <w:szCs w:val="24"/>
        </w:rPr>
      </w:pPr>
      <w:r>
        <w:rPr>
          <w:b/>
          <w:noProof/>
          <w:szCs w:val="22"/>
          <w:lang w:val="en-AU" w:eastAsia="en-AU"/>
        </w:rPr>
        <mc:AlternateContent>
          <mc:Choice Requires="wps">
            <w:drawing>
              <wp:anchor distT="0" distB="0" distL="114300" distR="114300" simplePos="0" relativeHeight="251667456" behindDoc="0" locked="0" layoutInCell="1" allowOverlap="1" wp14:anchorId="6D64F8CC" wp14:editId="6040EA11">
                <wp:simplePos x="0" y="0"/>
                <wp:positionH relativeFrom="column">
                  <wp:posOffset>2045677</wp:posOffset>
                </wp:positionH>
                <wp:positionV relativeFrom="paragraph">
                  <wp:posOffset>2568624</wp:posOffset>
                </wp:positionV>
                <wp:extent cx="1058334" cy="253154"/>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58334" cy="253154"/>
                        </a:xfrm>
                        <a:prstGeom prst="rect">
                          <a:avLst/>
                        </a:prstGeom>
                        <a:noFill/>
                        <a:ln w="6350">
                          <a:noFill/>
                        </a:ln>
                      </wps:spPr>
                      <wps:txbx>
                        <w:txbxContent>
                          <w:p w14:paraId="79D7F0A6" w14:textId="77777777" w:rsidR="006D7674" w:rsidRPr="00B528AD" w:rsidRDefault="006D7674" w:rsidP="00B762D6">
                            <w:pPr>
                              <w:pStyle w:val="Standaard"/>
                              <w:rPr>
                                <w:sz w:val="11"/>
                                <w:szCs w:val="11"/>
                              </w:rPr>
                            </w:pPr>
                            <w:r w:rsidRPr="00B528AD">
                              <w:rPr>
                                <w:sz w:val="18"/>
                                <w:szCs w:val="18"/>
                              </w:rPr>
                              <w:t>Age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F8CC" id="Text Box 14" o:spid="_x0000_s1029" type="#_x0000_t202" style="position:absolute;left:0;text-align:left;margin-left:161.1pt;margin-top:202.25pt;width:83.35pt;height:1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YMLwIAAFoEAAAOAAAAZHJzL2Uyb0RvYy54bWysVMtu2zAQvBfoPxC81/IzTQXLgZvARYEg&#10;CWAXOdMUZQuQuCxJW3K/vkPKcoy0p6IXarnv2VlqftfWFTsq60rSGR8NhpwpLSkv9S7jPzarT7ec&#10;OS90LirSKuMn5fjd4uOHeWNSNaY9VbmyDEm0SxuT8b33Jk0SJ/eqFm5ARmkYC7K18LjaXZJb0SB7&#10;XSXj4fAmacjmxpJUzkH70Bn5IuYvCiX9c1E45VmVcfTm42njuQ1nspiLdGeF2Zfy3Ib4hy5qUWoU&#10;vaR6EF6wgy3/SFWX0pKjwg8k1QkVRSlVxAA0o+E7NOu9MCpiwXCcuYzJ/b+08un4YlmZg7spZ1rU&#10;4GijWs++Usugwnwa41K4rQ0cfQs9fHu9gzLAbgtbhy8AMdgx6dNluiGbDEHD2e1kgioStvFsMprF&#10;9MlbtLHOf1NUsyBk3IK9OFRxfHQencC1dwnFNK3KqooMVpo1Gb+ZzIYx4GJBRKURGDB0vQbJt9s2&#10;Yp70OLaUnwDPUrcgzshViR4ehfMvwmIjgAhb7p9xFBWhFp0lzvZkf/1NH/xBFKycNdiwjLufB2EV&#10;Z9V3DQq/jKbTsJLxMp19HuNiry3ba4s+1PeEJR7hPRkZxeDvq14sLNWveAzLUBUmoSVqZ9z34r3v&#10;9h6PSarlMjphCY3wj3ptZEgdphomvGlfhTVnGjwIfKJ+F0X6jo3Ot+NjefBUlJGqMOduqufxY4Ej&#10;g+fHFl7I9T16vf0SFr8BAAD//wMAUEsDBBQABgAIAAAAIQCm20tS4QAAAAsBAAAPAAAAZHJzL2Rv&#10;d25yZXYueG1sTI/BTsMwDIbvSLxDZCRuLCV0qJSm01RpQkJw2NiFW9p4bUXjlCbbCk+POYFPtvzp&#10;9+diNbtBnHAKvScNt4sEBFLjbU+thv3b5iYDEaIhawZPqOELA6zKy4vC5NafaYunXWwFh1DIjYYu&#10;xjGXMjQdOhMWfkTi3cFPzkQep1bayZw53A1SJcm9dKYnvtCZEasOm4/d0Wl4rjavZlsrl30P1dPL&#10;YT1+7t+XWl9fzetHEBHn+AfDrz6rQ8lOtT+SDWLQcKeUYlRDmqRLEEykWfYAouaGC2RZyP8/lD8A&#10;AAD//wMAUEsBAi0AFAAGAAgAAAAhALaDOJL+AAAA4QEAABMAAAAAAAAAAAAAAAAAAAAAAFtDb250&#10;ZW50X1R5cGVzXS54bWxQSwECLQAUAAYACAAAACEAOP0h/9YAAACUAQAACwAAAAAAAAAAAAAAAAAv&#10;AQAAX3JlbHMvLnJlbHNQSwECLQAUAAYACAAAACEAblCWDC8CAABaBAAADgAAAAAAAAAAAAAAAAAu&#10;AgAAZHJzL2Uyb0RvYy54bWxQSwECLQAUAAYACAAAACEApttLUuEAAAALAQAADwAAAAAAAAAAAAAA&#10;AACJBAAAZHJzL2Rvd25yZXYueG1sUEsFBgAAAAAEAAQA8wAAAJcFAAAAAA==&#10;" filled="f" stroked="f" strokeweight=".5pt">
                <v:textbox>
                  <w:txbxContent>
                    <w:p w14:paraId="79D7F0A6" w14:textId="77777777" w:rsidR="006D7674" w:rsidRPr="00B528AD" w:rsidRDefault="006D7674" w:rsidP="00B762D6">
                      <w:pPr>
                        <w:pStyle w:val="Standaard"/>
                        <w:rPr>
                          <w:sz w:val="11"/>
                          <w:szCs w:val="11"/>
                        </w:rPr>
                      </w:pPr>
                      <w:r w:rsidRPr="00B528AD">
                        <w:rPr>
                          <w:sz w:val="18"/>
                          <w:szCs w:val="18"/>
                        </w:rPr>
                        <w:t>Age (months)</w:t>
                      </w:r>
                    </w:p>
                  </w:txbxContent>
                </v:textbox>
              </v:shape>
            </w:pict>
          </mc:Fallback>
        </mc:AlternateContent>
      </w:r>
      <w:r>
        <w:rPr>
          <w:b/>
          <w:noProof/>
          <w:szCs w:val="22"/>
          <w:lang w:val="en-AU" w:eastAsia="en-AU"/>
        </w:rPr>
        <mc:AlternateContent>
          <mc:Choice Requires="wps">
            <w:drawing>
              <wp:anchor distT="0" distB="0" distL="114300" distR="114300" simplePos="0" relativeHeight="251665408" behindDoc="0" locked="0" layoutInCell="1" allowOverlap="1" wp14:anchorId="1DE80389" wp14:editId="66133731">
                <wp:simplePos x="0" y="0"/>
                <wp:positionH relativeFrom="margin">
                  <wp:align>left</wp:align>
                </wp:positionH>
                <wp:positionV relativeFrom="paragraph">
                  <wp:posOffset>1294521</wp:posOffset>
                </wp:positionV>
                <wp:extent cx="1489710" cy="245110"/>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1489710" cy="245110"/>
                        </a:xfrm>
                        <a:prstGeom prst="rect">
                          <a:avLst/>
                        </a:prstGeom>
                        <a:noFill/>
                        <a:ln w="6350">
                          <a:noFill/>
                        </a:ln>
                      </wps:spPr>
                      <wps:txbx>
                        <w:txbxContent>
                          <w:p w14:paraId="309A2ADE" w14:textId="77777777" w:rsidR="006D7674" w:rsidRPr="00B528AD" w:rsidRDefault="006D7674" w:rsidP="00B762D6">
                            <w:pPr>
                              <w:pStyle w:val="Standaard"/>
                              <w:rPr>
                                <w:sz w:val="20"/>
                                <w:szCs w:val="20"/>
                              </w:rPr>
                            </w:pPr>
                            <w:r w:rsidRPr="00B528AD">
                              <w:rPr>
                                <w:sz w:val="20"/>
                                <w:szCs w:val="20"/>
                              </w:rPr>
                              <w:t>CHOP INTEND Score</w:t>
                            </w:r>
                          </w:p>
                          <w:p w14:paraId="256B47EA" w14:textId="77777777" w:rsidR="006D7674" w:rsidRPr="0075791D" w:rsidRDefault="006D7674" w:rsidP="00B762D6">
                            <w:pPr>
                              <w:pStyle w:val="Standaar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0389" id="Text Box 3" o:spid="_x0000_s1030" type="#_x0000_t202" style="position:absolute;left:0;text-align:left;margin-left:0;margin-top:101.95pt;width:117.3pt;height:19.3pt;rotation:-90;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8bNAIAAGcEAAAOAAAAZHJzL2Uyb0RvYy54bWysVMtu2zAQvBfoPxC8N7Js5SVEDtwEKQoE&#10;SQCnyJmmKEuAxGVJOlL69R1SlmOkPRXVgVjuDmYfs9TV9dC17FVZ15AueHoy40xpSWWjtwX/8Xz3&#10;5YIz54UuRUtaFfxNOX69/Pzpqje5mlNNbaksA4l2eW8KXntv8iRxsladcCdklEawItsJj6vdJqUV&#10;Pdi7NpnPZmdJT7Y0lqRyDt7bMciXkb+qlPSPVeWUZ23BUZuPp43nJpzJ8krkWytM3ch9GeIfquhE&#10;o5H0QHUrvGA72/xB1TXSkqPKn0jqEqqqRqrYA7pJZx+6WdfCqNgLhuPMYUzu/9HKh9cny5qy4AvO&#10;tOgg0bMaPPtKA1uE6fTG5QCtDWB+gBsqT34HZ2h6qGzHLGG46RlEwRdnge4Y4Bj722HUgVsGjuzi&#10;8jxFSCI2z05T2MiWjGSB1FjnvynqWDAKbiFlZBWv986P0AkS4JrumraNcraa9QU/W5yOZRwiIG81&#10;coSWxtKD5YfNEAeQTW1tqHxDt7EhVOiMvGtQw71w/klYrAecWHn/iKNqCblob3FWk/31N3/AQzVE&#10;OeuxbgV3P3fCKs7a7xp6XqZZBlofL9np+RwXexzZHEf0rrshbHQaq4tmwPt2MitL3QtexipkRUho&#10;idwF95N548dHgJcl1WoVQdhII/y9XhsZqCcRnocXYc1eBg8BH2haTJF/UGPEjnqsdp6qJkoV5jxO&#10;dT9+bHMUe//ywnM5vkfU+/9h+RsAAP//AwBQSwMEFAAGAAgAAAAhAB/oVWvhAAAACgEAAA8AAABk&#10;cnMvZG93bnJldi54bWxMj8FuwjAQRO+V+AdrkXorNlCiJMRBCKlCPfTQtFI5OvE2SYnXUWwg9Otr&#10;TvQ4O6PZN9lmNB074+BaSxLmMwEMqbK6pVrC58fLUwzMeUVadZZQwhUdbPLJQ6ZSbS/0jufC1yyU&#10;kEuVhMb7PuXcVQ0a5Wa2Rwretx2M8kEONdeDuoRy0/GFEBE3qqXwoVE97hqsjsXJSPgxrkziX5x/&#10;bfdXs3grDv3r3kr5OB23a2AeR38Pww0/oEMemEp7Iu1YJyGJwxQf7mKVALsFllEErJSwfBYr4HnG&#10;/0/I/wAAAP//AwBQSwECLQAUAAYACAAAACEAtoM4kv4AAADhAQAAEwAAAAAAAAAAAAAAAAAAAAAA&#10;W0NvbnRlbnRfVHlwZXNdLnhtbFBLAQItABQABgAIAAAAIQA4/SH/1gAAAJQBAAALAAAAAAAAAAAA&#10;AAAAAC8BAABfcmVscy8ucmVsc1BLAQItABQABgAIAAAAIQCnuh8bNAIAAGcEAAAOAAAAAAAAAAAA&#10;AAAAAC4CAABkcnMvZTJvRG9jLnhtbFBLAQItABQABgAIAAAAIQAf6FVr4QAAAAoBAAAPAAAAAAAA&#10;AAAAAAAAAI4EAABkcnMvZG93bnJldi54bWxQSwUGAAAAAAQABADzAAAAnAUAAAAA&#10;" filled="f" stroked="f" strokeweight=".5pt">
                <v:textbox>
                  <w:txbxContent>
                    <w:p w14:paraId="309A2ADE" w14:textId="77777777" w:rsidR="006D7674" w:rsidRPr="00B528AD" w:rsidRDefault="006D7674" w:rsidP="00B762D6">
                      <w:pPr>
                        <w:pStyle w:val="Standaard"/>
                        <w:rPr>
                          <w:sz w:val="20"/>
                          <w:szCs w:val="20"/>
                        </w:rPr>
                      </w:pPr>
                      <w:r w:rsidRPr="00B528AD">
                        <w:rPr>
                          <w:sz w:val="20"/>
                          <w:szCs w:val="20"/>
                        </w:rPr>
                        <w:t>CHOP INTEND Score</w:t>
                      </w:r>
                    </w:p>
                    <w:p w14:paraId="256B47EA" w14:textId="77777777" w:rsidR="006D7674" w:rsidRPr="0075791D" w:rsidRDefault="006D7674" w:rsidP="00B762D6">
                      <w:pPr>
                        <w:pStyle w:val="Standaard"/>
                      </w:pPr>
                    </w:p>
                  </w:txbxContent>
                </v:textbox>
                <w10:wrap anchorx="margin"/>
              </v:shape>
            </w:pict>
          </mc:Fallback>
        </mc:AlternateContent>
      </w:r>
      <w:r w:rsidRPr="0088272D">
        <w:rPr>
          <w:b/>
          <w:noProof/>
          <w:szCs w:val="22"/>
          <w:lang w:val="en-AU" w:eastAsia="en-AU"/>
        </w:rPr>
        <w:drawing>
          <wp:inline distT="0" distB="0" distL="0" distR="0" wp14:anchorId="65D84E32" wp14:editId="363CB69F">
            <wp:extent cx="5323544" cy="299423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8359" cy="2996945"/>
                    </a:xfrm>
                    <a:prstGeom prst="rect">
                      <a:avLst/>
                    </a:prstGeom>
                  </pic:spPr>
                </pic:pic>
              </a:graphicData>
            </a:graphic>
          </wp:inline>
        </w:drawing>
      </w:r>
    </w:p>
    <w:p w14:paraId="5EB4B563" w14:textId="77777777" w:rsidR="00B762D6" w:rsidRDefault="00B762D6" w:rsidP="00C915D7">
      <w:pPr>
        <w:pStyle w:val="C-BodyText"/>
        <w:jc w:val="both"/>
        <w:rPr>
          <w:rFonts w:ascii="Cambria" w:hAnsi="Cambria"/>
          <w:szCs w:val="24"/>
        </w:rPr>
      </w:pPr>
    </w:p>
    <w:p w14:paraId="315F4DEC" w14:textId="77777777" w:rsidR="00F829E4" w:rsidRDefault="00F829E4" w:rsidP="00F829E4">
      <w:pPr>
        <w:autoSpaceDE w:val="0"/>
        <w:autoSpaceDN w:val="0"/>
        <w:adjustRightInd w:val="0"/>
        <w:jc w:val="both"/>
        <w:rPr>
          <w:rFonts w:ascii="Cambria" w:hAnsi="Cambria"/>
          <w:b/>
          <w:i/>
          <w:szCs w:val="24"/>
        </w:rPr>
      </w:pPr>
      <w:r w:rsidRPr="003A1D06">
        <w:rPr>
          <w:rFonts w:ascii="Cambria" w:hAnsi="Cambria"/>
          <w:b/>
          <w:i/>
          <w:szCs w:val="24"/>
        </w:rPr>
        <w:t>AVXS-101-CL-101 Phase 1 Study in Patients with Type 1 SMA</w:t>
      </w:r>
    </w:p>
    <w:p w14:paraId="303D2915" w14:textId="0C4E9C9F" w:rsidR="00F829E4" w:rsidRDefault="005F7698" w:rsidP="00D83B93">
      <w:pPr>
        <w:autoSpaceDE w:val="0"/>
        <w:autoSpaceDN w:val="0"/>
        <w:adjustRightInd w:val="0"/>
        <w:rPr>
          <w:rFonts w:ascii="Cambria" w:eastAsiaTheme="majorEastAsia" w:hAnsi="Cambria" w:cstheme="majorBidi"/>
          <w:bCs/>
        </w:rPr>
      </w:pPr>
      <w:r w:rsidRPr="005F7698">
        <w:rPr>
          <w:rFonts w:ascii="Cambria" w:eastAsiaTheme="majorEastAsia" w:hAnsi="Cambria" w:cstheme="majorBidi"/>
          <w:bCs/>
        </w:rPr>
        <w:t xml:space="preserve">The results seen in Study </w:t>
      </w:r>
      <w:r>
        <w:rPr>
          <w:rFonts w:ascii="Cambria" w:eastAsiaTheme="majorEastAsia" w:hAnsi="Cambria" w:cstheme="majorBidi"/>
          <w:bCs/>
        </w:rPr>
        <w:t>CL-</w:t>
      </w:r>
      <w:r w:rsidRPr="005F7698">
        <w:rPr>
          <w:rFonts w:ascii="Cambria" w:eastAsiaTheme="majorEastAsia" w:hAnsi="Cambria" w:cstheme="majorBidi"/>
          <w:bCs/>
        </w:rPr>
        <w:t>303 are supported by study AVXS-101-CL-101</w:t>
      </w:r>
      <w:r>
        <w:rPr>
          <w:rFonts w:ascii="Cambria" w:eastAsiaTheme="majorEastAsia" w:hAnsi="Cambria" w:cstheme="majorBidi"/>
          <w:bCs/>
        </w:rPr>
        <w:t>.</w:t>
      </w:r>
      <w:r w:rsidRPr="005F7698">
        <w:rPr>
          <w:rFonts w:ascii="Cambria" w:eastAsiaTheme="majorEastAsia" w:hAnsi="Cambria" w:cstheme="majorBidi"/>
          <w:bCs/>
        </w:rPr>
        <w:t xml:space="preserve"> </w:t>
      </w:r>
      <w:r w:rsidR="00BD7312" w:rsidRPr="00BD7312">
        <w:rPr>
          <w:rFonts w:ascii="Cambria" w:eastAsiaTheme="majorEastAsia" w:hAnsi="Cambria" w:cstheme="majorBidi"/>
          <w:bCs/>
        </w:rPr>
        <w:t>All patients had genetically confirmed bi-allelic SMN1 gene deletions, 2 copies of the SMN2 gene, absence of the c.859G&gt;C modification in exon 7 of the SMN2 gene and onset of clinical symptoms consistent with SMA prior to 6 months of age</w:t>
      </w:r>
      <w:r w:rsidR="00BD7312">
        <w:rPr>
          <w:rFonts w:ascii="Cambria" w:eastAsiaTheme="majorEastAsia" w:hAnsi="Cambria" w:cstheme="majorBidi"/>
          <w:bCs/>
        </w:rPr>
        <w:t>.</w:t>
      </w:r>
      <w:r w:rsidR="00607A89">
        <w:rPr>
          <w:rFonts w:ascii="Cambria" w:eastAsiaTheme="majorEastAsia" w:hAnsi="Cambria" w:cstheme="majorBidi"/>
          <w:bCs/>
        </w:rPr>
        <w:t xml:space="preserve"> </w:t>
      </w:r>
      <w:r>
        <w:rPr>
          <w:rFonts w:ascii="Cambria" w:eastAsiaTheme="majorEastAsia" w:hAnsi="Cambria" w:cstheme="majorBidi"/>
          <w:bCs/>
        </w:rPr>
        <w:t>ZOLGENSMA</w:t>
      </w:r>
      <w:r w:rsidR="00F829E4" w:rsidRPr="00F829E4">
        <w:rPr>
          <w:rFonts w:ascii="Cambria" w:eastAsiaTheme="majorEastAsia" w:hAnsi="Cambria" w:cstheme="majorBidi"/>
          <w:bCs/>
        </w:rPr>
        <w:t xml:space="preserve"> was administered in study AVXS-101-CL-101 (Phase 1 study in Type 1 SMA, Study </w:t>
      </w:r>
      <w:r>
        <w:rPr>
          <w:rFonts w:ascii="Cambria" w:eastAsiaTheme="majorEastAsia" w:hAnsi="Cambria" w:cstheme="majorBidi"/>
          <w:bCs/>
        </w:rPr>
        <w:t>CL-</w:t>
      </w:r>
      <w:r w:rsidR="00F829E4" w:rsidRPr="00F829E4">
        <w:rPr>
          <w:rFonts w:ascii="Cambria" w:eastAsiaTheme="majorEastAsia" w:hAnsi="Cambria" w:cstheme="majorBidi"/>
          <w:bCs/>
        </w:rPr>
        <w:t xml:space="preserve">101) as a single intravenous infusion in 12 patients from 2.6 kg to 8.5 kg (0.9 to 7.9 months of age). Patients were followed for 24 months. At 14 months of age, all treated patients were event free; i.e. survived without permanent ventilation, compared to 25% in the </w:t>
      </w:r>
      <w:r w:rsidR="00FD0709">
        <w:rPr>
          <w:rFonts w:ascii="Cambria" w:eastAsiaTheme="majorEastAsia" w:hAnsi="Cambria" w:cstheme="majorBidi"/>
          <w:bCs/>
        </w:rPr>
        <w:t xml:space="preserve">PNCR </w:t>
      </w:r>
      <w:r w:rsidR="00F829E4" w:rsidRPr="00F829E4">
        <w:rPr>
          <w:rFonts w:ascii="Cambria" w:eastAsiaTheme="majorEastAsia" w:hAnsi="Cambria" w:cstheme="majorBidi"/>
          <w:bCs/>
        </w:rPr>
        <w:t>natural history cohort. At the end of the study (24 months post dose), all treated patients were event free, compared to less than 8% in the natural history</w:t>
      </w:r>
      <w:r w:rsidR="00FD0709">
        <w:rPr>
          <w:rFonts w:ascii="Cambria" w:eastAsiaTheme="majorEastAsia" w:hAnsi="Cambria" w:cstheme="majorBidi"/>
          <w:bCs/>
        </w:rPr>
        <w:t xml:space="preserve"> cohort</w:t>
      </w:r>
      <w:r w:rsidR="00F829E4" w:rsidRPr="00F829E4">
        <w:rPr>
          <w:rFonts w:ascii="Cambria" w:eastAsiaTheme="majorEastAsia" w:hAnsi="Cambria" w:cstheme="majorBidi"/>
          <w:bCs/>
        </w:rPr>
        <w:t xml:space="preserve"> </w:t>
      </w:r>
      <w:r w:rsidR="00FD0709">
        <w:rPr>
          <w:rFonts w:ascii="Cambria" w:eastAsiaTheme="majorEastAsia" w:hAnsi="Cambria" w:cstheme="majorBidi"/>
          <w:bCs/>
        </w:rPr>
        <w:t>(</w:t>
      </w:r>
      <w:r w:rsidR="00F829E4" w:rsidRPr="00F829E4">
        <w:rPr>
          <w:rFonts w:ascii="Cambria" w:eastAsiaTheme="majorEastAsia" w:hAnsi="Cambria" w:cstheme="majorBidi"/>
          <w:bCs/>
        </w:rPr>
        <w:t xml:space="preserve">see Figure </w:t>
      </w:r>
      <w:r>
        <w:rPr>
          <w:rFonts w:ascii="Cambria" w:eastAsiaTheme="majorEastAsia" w:hAnsi="Cambria" w:cstheme="majorBidi"/>
          <w:bCs/>
        </w:rPr>
        <w:t>3</w:t>
      </w:r>
      <w:r w:rsidR="00FD0709">
        <w:rPr>
          <w:rFonts w:ascii="Cambria" w:eastAsiaTheme="majorEastAsia" w:hAnsi="Cambria" w:cstheme="majorBidi"/>
          <w:bCs/>
        </w:rPr>
        <w:t>)</w:t>
      </w:r>
      <w:r w:rsidR="00F829E4" w:rsidRPr="00F829E4">
        <w:rPr>
          <w:rFonts w:ascii="Cambria" w:eastAsiaTheme="majorEastAsia" w:hAnsi="Cambria" w:cstheme="majorBidi"/>
          <w:bCs/>
        </w:rPr>
        <w:t>.</w:t>
      </w:r>
    </w:p>
    <w:p w14:paraId="18309EF9" w14:textId="77777777" w:rsidR="0012730B" w:rsidRDefault="0012730B">
      <w:pPr>
        <w:widowControl/>
        <w:tabs>
          <w:tab w:val="clear" w:pos="720"/>
        </w:tabs>
        <w:spacing w:after="160" w:line="259" w:lineRule="auto"/>
        <w:rPr>
          <w:rFonts w:ascii="Cambria" w:eastAsiaTheme="majorEastAsia" w:hAnsi="Cambria" w:cstheme="majorBidi"/>
          <w:b/>
          <w:bCs/>
        </w:rPr>
      </w:pPr>
      <w:r>
        <w:rPr>
          <w:rFonts w:ascii="Cambria" w:eastAsiaTheme="majorEastAsia" w:hAnsi="Cambria" w:cstheme="majorBidi"/>
          <w:b/>
          <w:bCs/>
        </w:rPr>
        <w:br w:type="page"/>
      </w:r>
    </w:p>
    <w:p w14:paraId="355DD602" w14:textId="1CD5AA01" w:rsidR="00F829E4" w:rsidRPr="00711FEF" w:rsidRDefault="00F829E4" w:rsidP="00F829E4">
      <w:pPr>
        <w:autoSpaceDE w:val="0"/>
        <w:autoSpaceDN w:val="0"/>
        <w:adjustRightInd w:val="0"/>
        <w:jc w:val="both"/>
        <w:rPr>
          <w:rFonts w:ascii="Cambria" w:eastAsiaTheme="majorEastAsia" w:hAnsi="Cambria" w:cstheme="majorBidi"/>
          <w:b/>
          <w:bCs/>
        </w:rPr>
      </w:pPr>
      <w:r w:rsidRPr="00711FEF">
        <w:rPr>
          <w:rFonts w:ascii="Cambria" w:eastAsiaTheme="majorEastAsia" w:hAnsi="Cambria" w:cstheme="majorBidi"/>
          <w:b/>
          <w:bCs/>
        </w:rPr>
        <w:t xml:space="preserve">Figure </w:t>
      </w:r>
      <w:r w:rsidR="005F7698">
        <w:rPr>
          <w:rFonts w:ascii="Cambria" w:eastAsiaTheme="majorEastAsia" w:hAnsi="Cambria" w:cstheme="majorBidi"/>
          <w:b/>
          <w:bCs/>
        </w:rPr>
        <w:t>3</w:t>
      </w:r>
      <w:r w:rsidRPr="00711FEF">
        <w:rPr>
          <w:rFonts w:ascii="Cambria" w:eastAsiaTheme="majorEastAsia" w:hAnsi="Cambria" w:cstheme="majorBidi"/>
          <w:b/>
          <w:bCs/>
        </w:rPr>
        <w:tab/>
        <w:t>Time (days) to death or permanent ventilation Study 101</w:t>
      </w:r>
    </w:p>
    <w:p w14:paraId="6BE7DA39" w14:textId="544C4564" w:rsidR="00F829E4" w:rsidRDefault="005F7698" w:rsidP="00F829E4">
      <w:pPr>
        <w:autoSpaceDE w:val="0"/>
        <w:autoSpaceDN w:val="0"/>
        <w:adjustRightInd w:val="0"/>
        <w:jc w:val="both"/>
        <w:rPr>
          <w:rFonts w:ascii="Cambria" w:eastAsiaTheme="majorEastAsia" w:hAnsi="Cambria" w:cstheme="majorBidi"/>
          <w:bCs/>
        </w:rPr>
      </w:pPr>
      <w:r>
        <w:rPr>
          <w:lang w:eastAsia="en-AU"/>
        </w:rPr>
        <mc:AlternateContent>
          <mc:Choice Requires="wps">
            <w:drawing>
              <wp:anchor distT="0" distB="0" distL="114300" distR="114300" simplePos="0" relativeHeight="251669504" behindDoc="0" locked="0" layoutInCell="1" allowOverlap="1" wp14:anchorId="0D0EF0E9" wp14:editId="5D200389">
                <wp:simplePos x="0" y="0"/>
                <wp:positionH relativeFrom="column">
                  <wp:posOffset>-897255</wp:posOffset>
                </wp:positionH>
                <wp:positionV relativeFrom="paragraph">
                  <wp:posOffset>1159510</wp:posOffset>
                </wp:positionV>
                <wp:extent cx="2088090" cy="238862"/>
                <wp:effectExtent l="0" t="2540" r="5080" b="5080"/>
                <wp:wrapNone/>
                <wp:docPr id="16" name="Text Box 16"/>
                <wp:cNvGraphicFramePr/>
                <a:graphic xmlns:a="http://schemas.openxmlformats.org/drawingml/2006/main">
                  <a:graphicData uri="http://schemas.microsoft.com/office/word/2010/wordprocessingShape">
                    <wps:wsp>
                      <wps:cNvSpPr txBox="1"/>
                      <wps:spPr>
                        <a:xfrm rot="16200000">
                          <a:off x="0" y="0"/>
                          <a:ext cx="2088090" cy="238862"/>
                        </a:xfrm>
                        <a:prstGeom prst="rect">
                          <a:avLst/>
                        </a:prstGeom>
                        <a:solidFill>
                          <a:schemeClr val="lt1"/>
                        </a:solidFill>
                        <a:ln w="6350">
                          <a:noFill/>
                        </a:ln>
                      </wps:spPr>
                      <wps:txbx>
                        <w:txbxContent>
                          <w:p w14:paraId="0C88D590" w14:textId="77777777" w:rsidR="006D7674" w:rsidRPr="00DE3FCE" w:rsidRDefault="006D7674" w:rsidP="005F7698">
                            <w:pPr>
                              <w:pStyle w:val="Standaard"/>
                              <w:rPr>
                                <w:sz w:val="21"/>
                                <w:szCs w:val="21"/>
                              </w:rPr>
                            </w:pPr>
                            <w:r w:rsidRPr="00DE3FCE">
                              <w:rPr>
                                <w:sz w:val="21"/>
                                <w:szCs w:val="21"/>
                                <w:u w:val="single"/>
                              </w:rPr>
                              <w:t>Pro</w:t>
                            </w:r>
                            <w:r>
                              <w:rPr>
                                <w:sz w:val="21"/>
                                <w:szCs w:val="21"/>
                                <w:u w:val="single"/>
                              </w:rPr>
                              <w:t>b</w:t>
                            </w:r>
                            <w:r w:rsidRPr="00DE3FCE">
                              <w:rPr>
                                <w:sz w:val="21"/>
                                <w:szCs w:val="21"/>
                                <w:u w:val="single"/>
                              </w:rPr>
                              <w:t>ability of event-free survival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F0E9" id="Text Box 16" o:spid="_x0000_s1031" type="#_x0000_t202" style="position:absolute;left:0;text-align:left;margin-left:-70.65pt;margin-top:91.3pt;width:164.4pt;height:18.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VLSgIAAJEEAAAOAAAAZHJzL2Uyb0RvYy54bWysVMFuGjEQvVfqP1i+lwUSKEEsEU1EVSlK&#10;IpEqZ+P1wkpej2sbdtOv77OXJWnaU1UO1njm7fPMmxkW122t2VE5X5HJ+Wgw5EwZSUVldjn//rT+&#10;NOPMB2EKocmonL8oz6+XHz8sGjtXY9qTLpRjIDF+3tic70Ow8yzzcq9q4QdklUGwJFeLgKvbZYUT&#10;DdhrnY2Hw2nWkCusI6m8h/e2C/Jl4i9LJcNDWXoVmM45cgvpdOncxjNbLsR854TdV/KUhviHLGpR&#10;GTx6proVQbCDq/6gqivpyFMZBpLqjMqykirVgGpGw3fVbPbCqlQLxPH2LJP/f7Ty/vjoWFWgd1PO&#10;jKjRoyfVBvaFWgYX9GmsnwO2sQCGFn5ge7+HM5bdlq5mjiDvaIq24JfUQH0McAj/chY7kks4x8PZ&#10;bHiFkERsfDGbTceRNevIIql1PnxVVLNo5NyhmYlVHO986KA9JMI96apYV1qnSxwgdaMdOwq0XoeU&#10;Msh/Q2nDmpxPLyZduobi5x2zNsgllt6VGK3Qbtsk1aQvf0vFC1RJhaMSb+W6Qq53wodH4TBIcGI5&#10;wgOOUhPeopPF2Z7cz7/5Ix79RZSzBoOZc//jIJziTH8z6PzV6PIStCFdLiefx7i4t5Ht24g51DcE&#10;AUYpu2RGfNC9WTqqn7FDq/gqQsJIvJ3z0Js3oVsX7KBUq1UCYXatCHdmY2Wk7pv11D4LZ0/tCmj0&#10;PfUjLObvutZh45eGVodAZZVaGnXuVD3Jj7lPQ3Ha0bhYb+8J9fpPsvwFAAD//wMAUEsDBBQABgAI&#10;AAAAIQAuKiq/2wAAAAcBAAAPAAAAZHJzL2Rvd25yZXYueG1sTI/NTsMwEITvSLyDtUjcqNMfShri&#10;VIifB6DhwNGNt3FEbEdZpw59epYTHEczmvmm3M+uF2ccqQtewXKRgUDfBNP5VsFH/XaXg6CovdF9&#10;8KjgGwn21fVVqQsTkn/H8yG2gks8FVqBjXEopKTGotO0CAN69k5hdDqyHFtpRp243PVylWVb6XTn&#10;ecHqAZ8tNl+HySmg17TKZkqXfKotydq1l8+XpNTtzfz0CCLiHP/C8IvP6FAx0zFM3pDoFWzWHFSw&#10;fuBHbG+WOxBH1tv7HGRVyv/81Q8AAAD//wMAUEsBAi0AFAAGAAgAAAAhALaDOJL+AAAA4QEAABMA&#10;AAAAAAAAAAAAAAAAAAAAAFtDb250ZW50X1R5cGVzXS54bWxQSwECLQAUAAYACAAAACEAOP0h/9YA&#10;AACUAQAACwAAAAAAAAAAAAAAAAAvAQAAX3JlbHMvLnJlbHNQSwECLQAUAAYACAAAACEApoF1S0oC&#10;AACRBAAADgAAAAAAAAAAAAAAAAAuAgAAZHJzL2Uyb0RvYy54bWxQSwECLQAUAAYACAAAACEALioq&#10;v9sAAAAHAQAADwAAAAAAAAAAAAAAAACkBAAAZHJzL2Rvd25yZXYueG1sUEsFBgAAAAAEAAQA8wAA&#10;AKwFAAAAAA==&#10;" fillcolor="white [3201]" stroked="f" strokeweight=".5pt">
                <v:textbox>
                  <w:txbxContent>
                    <w:p w14:paraId="0C88D590" w14:textId="77777777" w:rsidR="006D7674" w:rsidRPr="00DE3FCE" w:rsidRDefault="006D7674" w:rsidP="005F7698">
                      <w:pPr>
                        <w:pStyle w:val="Standaard"/>
                        <w:rPr>
                          <w:sz w:val="21"/>
                          <w:szCs w:val="21"/>
                        </w:rPr>
                      </w:pPr>
                      <w:r w:rsidRPr="00DE3FCE">
                        <w:rPr>
                          <w:sz w:val="21"/>
                          <w:szCs w:val="21"/>
                          <w:u w:val="single"/>
                        </w:rPr>
                        <w:t>Pro</w:t>
                      </w:r>
                      <w:r>
                        <w:rPr>
                          <w:sz w:val="21"/>
                          <w:szCs w:val="21"/>
                          <w:u w:val="single"/>
                        </w:rPr>
                        <w:t>b</w:t>
                      </w:r>
                      <w:r w:rsidRPr="00DE3FCE">
                        <w:rPr>
                          <w:sz w:val="21"/>
                          <w:szCs w:val="21"/>
                          <w:u w:val="single"/>
                        </w:rPr>
                        <w:t>ability of event-free survival</w:t>
                      </w:r>
                    </w:p>
                  </w:txbxContent>
                </v:textbox>
              </v:shape>
            </w:pict>
          </mc:Fallback>
        </mc:AlternateContent>
      </w:r>
      <w:r w:rsidR="00F829E4" w:rsidRPr="007D55A3">
        <w:rPr>
          <w:lang w:eastAsia="en-AU"/>
        </w:rPr>
        <w:drawing>
          <wp:inline distT="0" distB="0" distL="0" distR="0" wp14:anchorId="11539518" wp14:editId="4E8B74E9">
            <wp:extent cx="5092700" cy="2895600"/>
            <wp:effectExtent l="19050" t="19050" r="1270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2700" cy="2895600"/>
                    </a:xfrm>
                    <a:prstGeom prst="rect">
                      <a:avLst/>
                    </a:prstGeom>
                    <a:noFill/>
                    <a:ln w="9525" cmpd="sng">
                      <a:solidFill>
                        <a:srgbClr val="000000"/>
                      </a:solidFill>
                      <a:miter lim="800000"/>
                      <a:headEnd/>
                      <a:tailEnd/>
                    </a:ln>
                    <a:effectLst/>
                  </pic:spPr>
                </pic:pic>
              </a:graphicData>
            </a:graphic>
          </wp:inline>
        </w:drawing>
      </w:r>
    </w:p>
    <w:p w14:paraId="38ABB232" w14:textId="4C7E2454" w:rsidR="00F829E4" w:rsidRPr="00904015" w:rsidRDefault="00D76A4D" w:rsidP="00D76A4D">
      <w:pPr>
        <w:pStyle w:val="C-TableFootnote"/>
        <w:tabs>
          <w:tab w:val="clear" w:pos="144"/>
          <w:tab w:val="left" w:pos="0"/>
        </w:tabs>
        <w:ind w:left="0" w:firstLine="0"/>
        <w:rPr>
          <w:rFonts w:ascii="Cambria" w:hAnsi="Cambria"/>
          <w:i/>
        </w:rPr>
      </w:pPr>
      <w:r w:rsidRPr="00904015">
        <w:rPr>
          <w:rFonts w:ascii="Cambria" w:hAnsi="Cambria"/>
          <w:i/>
        </w:rPr>
        <w:t>The PNCR Natural History dataset was drawn from a prospective natural history study of patients with any form of SMA.  An appropriate comparator cohort for Study AVXS-101-CL-101 was drawn from the larger PNCR Natural History Dataset, consisting of all patients with age of onset ≤ 6 months, bi-allelic deletion of survival motor neuron 1 gene (SMN1) and 2 copies of SMN2.</w:t>
      </w:r>
    </w:p>
    <w:p w14:paraId="629FFAE3" w14:textId="1141BB68" w:rsidR="005F7698" w:rsidRPr="005F7698" w:rsidRDefault="005F7698" w:rsidP="005F7698">
      <w:pPr>
        <w:pStyle w:val="C-BodyText"/>
      </w:pPr>
    </w:p>
    <w:p w14:paraId="60062D73" w14:textId="77777777" w:rsidR="00D04837" w:rsidRDefault="00F829E4" w:rsidP="005F7698">
      <w:pPr>
        <w:autoSpaceDE w:val="0"/>
        <w:autoSpaceDN w:val="0"/>
        <w:adjustRightInd w:val="0"/>
        <w:jc w:val="both"/>
        <w:rPr>
          <w:rFonts w:ascii="Cambria" w:eastAsiaTheme="majorEastAsia" w:hAnsi="Cambria" w:cstheme="majorBidi"/>
          <w:bCs/>
        </w:rPr>
      </w:pPr>
      <w:r w:rsidRPr="00535615">
        <w:rPr>
          <w:rFonts w:ascii="Cambria" w:eastAsiaTheme="majorEastAsia" w:hAnsi="Cambria" w:cstheme="majorBidi"/>
          <w:bCs/>
        </w:rPr>
        <w:t xml:space="preserve">At 24 months of follow up post dose, 10 patients treated with the therapeutic dose were able to sit without support for ≥ 10 seconds, 9 patients were able to sit without support for ≥ 30 seconds and 2 patients were able to stand alone, walk with assistance and walk alone. </w:t>
      </w:r>
    </w:p>
    <w:p w14:paraId="2DDFFAD0" w14:textId="32EDDB41" w:rsidR="00F829E4" w:rsidRDefault="005F7698" w:rsidP="00D83B93">
      <w:pPr>
        <w:autoSpaceDE w:val="0"/>
        <w:autoSpaceDN w:val="0"/>
        <w:adjustRightInd w:val="0"/>
        <w:rPr>
          <w:rFonts w:ascii="Cambria" w:eastAsiaTheme="majorEastAsia" w:hAnsi="Cambria" w:cstheme="majorBidi"/>
          <w:bCs/>
        </w:rPr>
      </w:pPr>
      <w:r w:rsidRPr="005F7698">
        <w:rPr>
          <w:rFonts w:ascii="Cambria" w:eastAsiaTheme="majorEastAsia" w:hAnsi="Cambria" w:cstheme="majorBidi"/>
          <w:bCs/>
        </w:rPr>
        <w:t>Ten of 12 patients from Study CL-101 who received</w:t>
      </w:r>
      <w:r>
        <w:rPr>
          <w:rFonts w:ascii="Cambria" w:eastAsiaTheme="majorEastAsia" w:hAnsi="Cambria" w:cstheme="majorBidi"/>
          <w:bCs/>
        </w:rPr>
        <w:t xml:space="preserve"> </w:t>
      </w:r>
      <w:r w:rsidRPr="005F7698">
        <w:rPr>
          <w:rFonts w:ascii="Cambria" w:eastAsiaTheme="majorEastAsia" w:hAnsi="Cambria" w:cstheme="majorBidi"/>
          <w:bCs/>
        </w:rPr>
        <w:t>the proposed therapeutic dose of Z</w:t>
      </w:r>
      <w:r w:rsidR="00F43CCD">
        <w:rPr>
          <w:rFonts w:ascii="Cambria" w:eastAsiaTheme="majorEastAsia" w:hAnsi="Cambria" w:cstheme="majorBidi"/>
          <w:bCs/>
        </w:rPr>
        <w:t>OLGENSMA</w:t>
      </w:r>
      <w:r w:rsidRPr="005F7698">
        <w:rPr>
          <w:rFonts w:ascii="Cambria" w:eastAsiaTheme="majorEastAsia" w:hAnsi="Cambria" w:cstheme="majorBidi"/>
          <w:bCs/>
        </w:rPr>
        <w:t xml:space="preserve"> continue to be followed in a long-term study (for</w:t>
      </w:r>
      <w:r>
        <w:rPr>
          <w:rFonts w:ascii="Cambria" w:eastAsiaTheme="majorEastAsia" w:hAnsi="Cambria" w:cstheme="majorBidi"/>
          <w:bCs/>
        </w:rPr>
        <w:t xml:space="preserve"> </w:t>
      </w:r>
      <w:r w:rsidRPr="005F7698">
        <w:rPr>
          <w:rFonts w:ascii="Cambria" w:eastAsiaTheme="majorEastAsia" w:hAnsi="Cambria" w:cstheme="majorBidi"/>
          <w:bCs/>
        </w:rPr>
        <w:t>up to 5.7 years after dosing) and all have either maintained all previously attained milestones</w:t>
      </w:r>
      <w:r>
        <w:rPr>
          <w:rFonts w:ascii="Cambria" w:eastAsiaTheme="majorEastAsia" w:hAnsi="Cambria" w:cstheme="majorBidi"/>
          <w:bCs/>
        </w:rPr>
        <w:t xml:space="preserve"> </w:t>
      </w:r>
      <w:r w:rsidRPr="005F7698">
        <w:rPr>
          <w:rFonts w:ascii="Cambria" w:eastAsiaTheme="majorEastAsia" w:hAnsi="Cambria" w:cstheme="majorBidi"/>
          <w:bCs/>
        </w:rPr>
        <w:t>or even gained new milestones including sitting with support, stand with assistance and walk</w:t>
      </w:r>
      <w:r>
        <w:rPr>
          <w:rFonts w:ascii="Cambria" w:eastAsiaTheme="majorEastAsia" w:hAnsi="Cambria" w:cstheme="majorBidi"/>
          <w:bCs/>
        </w:rPr>
        <w:t xml:space="preserve"> </w:t>
      </w:r>
      <w:r w:rsidRPr="005F7698">
        <w:rPr>
          <w:rFonts w:ascii="Cambria" w:eastAsiaTheme="majorEastAsia" w:hAnsi="Cambria" w:cstheme="majorBidi"/>
          <w:bCs/>
        </w:rPr>
        <w:t>alone.</w:t>
      </w:r>
    </w:p>
    <w:p w14:paraId="3C8608E7" w14:textId="41F53916" w:rsidR="00F43CCD" w:rsidRPr="00F43CCD" w:rsidRDefault="00F43CCD" w:rsidP="00D83B93">
      <w:pPr>
        <w:autoSpaceDE w:val="0"/>
        <w:autoSpaceDN w:val="0"/>
        <w:adjustRightInd w:val="0"/>
        <w:rPr>
          <w:rFonts w:ascii="Cambria" w:hAnsi="Cambria"/>
          <w:b/>
          <w:i/>
          <w:szCs w:val="24"/>
        </w:rPr>
      </w:pPr>
      <w:r w:rsidRPr="00F43CCD">
        <w:rPr>
          <w:rFonts w:ascii="Cambria" w:hAnsi="Cambria"/>
          <w:b/>
          <w:i/>
          <w:szCs w:val="24"/>
        </w:rPr>
        <w:t>AVXS-101-CL-304 Phase 3 Study in Patients with pre-symptomatic SMA</w:t>
      </w:r>
    </w:p>
    <w:p w14:paraId="05D72CB9" w14:textId="112D9DEC" w:rsidR="00F43CCD" w:rsidRPr="00F43CCD" w:rsidRDefault="00F43CCD" w:rsidP="00D83B93">
      <w:pPr>
        <w:autoSpaceDE w:val="0"/>
        <w:autoSpaceDN w:val="0"/>
        <w:adjustRightInd w:val="0"/>
        <w:rPr>
          <w:rFonts w:ascii="Cambria" w:eastAsia="Times New Roman" w:hAnsi="Cambria" w:cs="Times New Roman"/>
          <w:szCs w:val="20"/>
          <w:lang w:val="en-US"/>
        </w:rPr>
      </w:pPr>
      <w:r w:rsidRPr="00F43CCD">
        <w:rPr>
          <w:rFonts w:ascii="Cambria" w:eastAsia="Times New Roman" w:hAnsi="Cambria" w:cs="Times New Roman"/>
          <w:szCs w:val="20"/>
          <w:lang w:val="en-US"/>
        </w:rPr>
        <w:t>Study CL-304 is an ongoing, global, Phase 3, open-label, sin</w:t>
      </w:r>
      <w:r w:rsidR="002B5A16">
        <w:rPr>
          <w:rFonts w:ascii="Cambria" w:eastAsia="Times New Roman" w:hAnsi="Cambria" w:cs="Times New Roman"/>
          <w:szCs w:val="20"/>
          <w:lang w:val="en-US"/>
        </w:rPr>
        <w:t>gle-arm, single-dose, multicent</w:t>
      </w:r>
      <w:r w:rsidRPr="00F43CCD">
        <w:rPr>
          <w:rFonts w:ascii="Cambria" w:eastAsia="Times New Roman" w:hAnsi="Cambria" w:cs="Times New Roman"/>
          <w:szCs w:val="20"/>
          <w:lang w:val="en-US"/>
        </w:rPr>
        <w:t>r</w:t>
      </w:r>
      <w:r w:rsidR="002B5A16">
        <w:rPr>
          <w:rFonts w:ascii="Cambria" w:eastAsia="Times New Roman" w:hAnsi="Cambria" w:cs="Times New Roman"/>
          <w:szCs w:val="20"/>
          <w:lang w:val="en-US"/>
        </w:rPr>
        <w:t>e</w:t>
      </w:r>
      <w:r w:rsidRPr="00F43CCD">
        <w:rPr>
          <w:rFonts w:ascii="Cambria" w:eastAsia="Times New Roman" w:hAnsi="Cambria" w:cs="Times New Roman"/>
          <w:szCs w:val="20"/>
          <w:lang w:val="en-US"/>
        </w:rPr>
        <w:t xml:space="preserve"> study of intravenous </w:t>
      </w:r>
      <w:r w:rsidRPr="005F7698">
        <w:rPr>
          <w:rFonts w:ascii="Cambria" w:eastAsiaTheme="majorEastAsia" w:hAnsi="Cambria" w:cstheme="majorBidi"/>
          <w:bCs/>
        </w:rPr>
        <w:t>Z</w:t>
      </w:r>
      <w:r>
        <w:rPr>
          <w:rFonts w:ascii="Cambria" w:eastAsiaTheme="majorEastAsia" w:hAnsi="Cambria" w:cstheme="majorBidi"/>
          <w:bCs/>
        </w:rPr>
        <w:t>OLGENSMA</w:t>
      </w:r>
      <w:r w:rsidRPr="00F43CCD">
        <w:rPr>
          <w:rFonts w:ascii="Cambria" w:eastAsia="Times New Roman" w:hAnsi="Cambria" w:cs="Times New Roman"/>
          <w:szCs w:val="20"/>
          <w:lang w:val="en-US"/>
        </w:rPr>
        <w:t xml:space="preserve"> in pre-symptomatic newborn patients up to 6 weeks of age </w:t>
      </w:r>
      <w:r w:rsidR="00BD7312" w:rsidRPr="00BD7312">
        <w:rPr>
          <w:rFonts w:ascii="Cambria" w:eastAsia="Times New Roman" w:hAnsi="Cambria" w:cs="Times New Roman"/>
          <w:szCs w:val="20"/>
          <w:lang w:val="en-US"/>
        </w:rPr>
        <w:t>with genetically confirmed bi-allelic SMN1 gene deletions, 2 or 3 copies of the SMN2 gene and absence of the c.859G&gt;C modification in exon 7 of the SMN2 gene</w:t>
      </w:r>
      <w:r w:rsidRPr="00F43CCD">
        <w:rPr>
          <w:rFonts w:ascii="Cambria" w:eastAsia="Times New Roman" w:hAnsi="Cambria" w:cs="Times New Roman"/>
          <w:szCs w:val="20"/>
          <w:lang w:val="en-US"/>
        </w:rPr>
        <w:t>. Study CL-304 treated 14 patients with 2 copies of SMN2 and 15 patients with 3 copies of SMN2. At the time of the last study visit prior to 31 December 2019, treated patients with 2 copies of SMN2 were between 6 months and 18.6 months of age and had been in the study for an average of 10.5 months (range: 5.1 to 18.0 months), and the 15 patients with 3 copies of SMN2 were between 3.3 and 15.1 months of age and had been in the study for an average of 8.74 months (range: 2 to 13.9 months). All patients in Study CL-304 were alive and free of permanent ventilation as of their last study visit prior to 31 December 2019. At the time of their last visit before the data cut</w:t>
      </w:r>
      <w:r>
        <w:rPr>
          <w:rFonts w:ascii="Cambria" w:eastAsia="Times New Roman" w:hAnsi="Cambria" w:cs="Times New Roman"/>
          <w:szCs w:val="20"/>
          <w:lang w:val="en-US"/>
        </w:rPr>
        <w:t>-</w:t>
      </w:r>
      <w:r w:rsidRPr="00F43CCD">
        <w:rPr>
          <w:rFonts w:ascii="Cambria" w:eastAsia="Times New Roman" w:hAnsi="Cambria" w:cs="Times New Roman"/>
          <w:szCs w:val="20"/>
          <w:lang w:val="en-US"/>
        </w:rPr>
        <w:t>off, 6 of the 14 (42.9%) patients with 2 copies of SMN2 were less than 9.2 months of age. The 8 older individuals achieved sitting prior to their last visit before 31 December 2019, at ages ranging from 6.4 to 11.8 months, with 7 of these 8 (87.5%) achieving independent sitting prior to the 9.2 months of age, the 99th percentile for development of this milestone. Twelve patients (85.7%) have achieved CHOP-INTEND scores ≥ 60 as of the 31 December 2019 data cut</w:t>
      </w:r>
      <w:r>
        <w:rPr>
          <w:rFonts w:ascii="Cambria" w:eastAsia="Times New Roman" w:hAnsi="Cambria" w:cs="Times New Roman"/>
          <w:szCs w:val="20"/>
          <w:lang w:val="en-US"/>
        </w:rPr>
        <w:t>-</w:t>
      </w:r>
      <w:r w:rsidRPr="00F43CCD">
        <w:rPr>
          <w:rFonts w:ascii="Cambria" w:eastAsia="Times New Roman" w:hAnsi="Cambria" w:cs="Times New Roman"/>
          <w:szCs w:val="20"/>
          <w:lang w:val="en-US"/>
        </w:rPr>
        <w:t xml:space="preserve">off. Of the patients with 3 copies of SMN2, 10 of 15 patients were able to sit without support for at least 30 seconds, 4 patients were able to stand alone without support for at least 3 seconds, and 2 patients were able to walk at least five steps independently. Patients with 3 copies of SMN2 who have not yet achieved the Cohort 2 primary endpoint developmental milestone of standing alone without support for at least 3 seconds are 6.4 to 13.6 months of age. These patients remain within the normal age development window for </w:t>
      </w:r>
      <w:r w:rsidR="00B62C82">
        <w:rPr>
          <w:rFonts w:ascii="Cambria" w:eastAsia="Times New Roman" w:hAnsi="Cambria" w:cs="Times New Roman"/>
          <w:szCs w:val="20"/>
          <w:lang w:val="en-US"/>
        </w:rPr>
        <w:t xml:space="preserve">obtaining </w:t>
      </w:r>
      <w:r w:rsidRPr="00F43CCD">
        <w:rPr>
          <w:rFonts w:ascii="Cambria" w:eastAsia="Times New Roman" w:hAnsi="Cambria" w:cs="Times New Roman"/>
          <w:szCs w:val="20"/>
          <w:lang w:val="en-US"/>
        </w:rPr>
        <w:t>these milestones</w:t>
      </w:r>
      <w:r w:rsidR="00B62C82">
        <w:rPr>
          <w:rFonts w:ascii="Cambria" w:eastAsia="Times New Roman" w:hAnsi="Cambria" w:cs="Times New Roman"/>
          <w:szCs w:val="20"/>
          <w:lang w:val="en-US"/>
        </w:rPr>
        <w:t>.</w:t>
      </w:r>
      <w:r w:rsidRPr="00F43CCD">
        <w:rPr>
          <w:rFonts w:ascii="Cambria" w:eastAsia="Times New Roman" w:hAnsi="Cambria" w:cs="Times New Roman"/>
          <w:szCs w:val="20"/>
          <w:lang w:val="en-US"/>
        </w:rPr>
        <w:t xml:space="preserve"> </w:t>
      </w:r>
    </w:p>
    <w:bookmarkEnd w:id="40"/>
    <w:p w14:paraId="09678156" w14:textId="66943A26" w:rsidR="00A37C96" w:rsidRPr="00CE03FD" w:rsidRDefault="00A37C96" w:rsidP="00D83B93">
      <w:pPr>
        <w:pStyle w:val="Heading2"/>
        <w:numPr>
          <w:ilvl w:val="0"/>
          <w:numId w:val="0"/>
        </w:numPr>
        <w:ind w:left="576" w:hanging="576"/>
      </w:pPr>
      <w:r w:rsidRPr="00326E42">
        <w:t xml:space="preserve">5.2 </w:t>
      </w:r>
      <w:r w:rsidR="006D31E9" w:rsidRPr="00326E42">
        <w:t>Pharmacokinetic properties</w:t>
      </w:r>
    </w:p>
    <w:p w14:paraId="3266067F" w14:textId="6A0F1A30" w:rsidR="00DF7B3C" w:rsidRDefault="00DF7B3C" w:rsidP="00D83B93">
      <w:pPr>
        <w:pStyle w:val="Heading3"/>
      </w:pPr>
      <w:bookmarkStart w:id="41" w:name="_Toc259706942"/>
      <w:bookmarkStart w:id="42" w:name="_Toc259707114"/>
      <w:bookmarkStart w:id="43" w:name="_Toc259707177"/>
      <w:bookmarkStart w:id="44" w:name="_Toc259713123"/>
      <w:r w:rsidRPr="00CE03FD">
        <w:t>Pharmacokinetics (PK)</w:t>
      </w:r>
      <w:bookmarkStart w:id="45" w:name="_Toc259706943"/>
      <w:bookmarkStart w:id="46" w:name="_Toc259707115"/>
      <w:bookmarkStart w:id="47" w:name="_Toc259707178"/>
      <w:bookmarkStart w:id="48" w:name="_Toc259713124"/>
      <w:bookmarkEnd w:id="41"/>
      <w:bookmarkEnd w:id="42"/>
      <w:bookmarkEnd w:id="43"/>
      <w:bookmarkEnd w:id="44"/>
    </w:p>
    <w:p w14:paraId="56DC951A" w14:textId="50451E68" w:rsidR="00FF0531" w:rsidRPr="00101E5A" w:rsidRDefault="00FF0531" w:rsidP="00D83B93">
      <w:pPr>
        <w:pStyle w:val="C-BodyText"/>
        <w:rPr>
          <w:rFonts w:ascii="Cambria" w:hAnsi="Cambria"/>
          <w:szCs w:val="24"/>
        </w:rPr>
      </w:pPr>
      <w:bookmarkStart w:id="49" w:name="_SP_QA_2012_07_11_15_51_23_0037"/>
      <w:r w:rsidRPr="008E6700">
        <w:rPr>
          <w:rFonts w:ascii="Cambria" w:hAnsi="Cambria"/>
          <w:szCs w:val="24"/>
        </w:rPr>
        <w:t>Vector shedding after infusion with ZOLGENSMA was investigated at multiple time points during the completed clinical trial</w:t>
      </w:r>
      <w:r w:rsidR="00A158F2" w:rsidRPr="008E6700">
        <w:rPr>
          <w:rFonts w:ascii="Cambria" w:hAnsi="Cambria"/>
          <w:szCs w:val="24"/>
        </w:rPr>
        <w:t xml:space="preserve"> CL-101</w:t>
      </w:r>
      <w:r w:rsidRPr="008E6700">
        <w:rPr>
          <w:rFonts w:ascii="Cambria" w:hAnsi="Cambria"/>
          <w:szCs w:val="24"/>
        </w:rPr>
        <w:t>.  Samples of saliva, urine and stool were collected the day after infusion, weekly through Day 30, and then monthly through Month 12 and every 3 months thereafter.  Samples from 5 patients</w:t>
      </w:r>
      <w:r w:rsidRPr="00101E5A">
        <w:rPr>
          <w:rFonts w:ascii="Cambria" w:hAnsi="Cambria"/>
          <w:szCs w:val="24"/>
        </w:rPr>
        <w:t xml:space="preserve"> were used for ZOLGENSMA vector DNA shedding analysis through the Month 18 visit. </w:t>
      </w:r>
    </w:p>
    <w:p w14:paraId="6750FC9B" w14:textId="7E27B82B" w:rsidR="00FF0531" w:rsidRPr="008E6700" w:rsidRDefault="00FF0531" w:rsidP="00D83B93">
      <w:pPr>
        <w:pStyle w:val="C-BodyText"/>
        <w:rPr>
          <w:rFonts w:ascii="Cambria" w:hAnsi="Cambria"/>
          <w:szCs w:val="24"/>
        </w:rPr>
      </w:pPr>
      <w:r w:rsidRPr="00101E5A">
        <w:rPr>
          <w:rFonts w:ascii="Cambria" w:hAnsi="Cambria"/>
          <w:szCs w:val="24"/>
        </w:rPr>
        <w:t>Vector DNA was shed in saliva, urine and stool after infusion of ZOLGENSMA</w:t>
      </w:r>
      <w:r w:rsidR="00C84336" w:rsidRPr="00101E5A">
        <w:rPr>
          <w:rFonts w:ascii="Cambria" w:hAnsi="Cambria"/>
          <w:szCs w:val="24"/>
        </w:rPr>
        <w:t>.</w:t>
      </w:r>
      <w:r w:rsidRPr="00101E5A">
        <w:rPr>
          <w:rFonts w:ascii="Cambria" w:hAnsi="Cambria"/>
          <w:szCs w:val="24"/>
        </w:rPr>
        <w:t xml:space="preserve"> </w:t>
      </w:r>
      <w:r w:rsidR="00C84336" w:rsidRPr="00101E5A">
        <w:rPr>
          <w:rFonts w:ascii="Cambria" w:hAnsi="Cambria"/>
          <w:szCs w:val="24"/>
        </w:rPr>
        <w:t xml:space="preserve">Clearance </w:t>
      </w:r>
      <w:r w:rsidR="00BA7324" w:rsidRPr="00101E5A">
        <w:rPr>
          <w:rFonts w:ascii="Cambria" w:hAnsi="Cambria"/>
          <w:szCs w:val="24"/>
        </w:rPr>
        <w:t>was</w:t>
      </w:r>
      <w:r w:rsidR="00C84336" w:rsidRPr="00623208">
        <w:rPr>
          <w:rFonts w:ascii="Cambria" w:hAnsi="Cambria"/>
          <w:szCs w:val="24"/>
        </w:rPr>
        <w:t xml:space="preserve"> </w:t>
      </w:r>
      <w:r w:rsidR="00C84336" w:rsidRPr="007E28A2">
        <w:rPr>
          <w:rFonts w:ascii="Cambria" w:hAnsi="Cambria"/>
          <w:szCs w:val="24"/>
        </w:rPr>
        <w:t>primaril</w:t>
      </w:r>
      <w:r w:rsidR="00BA7324" w:rsidRPr="007E28A2">
        <w:rPr>
          <w:rFonts w:ascii="Cambria" w:hAnsi="Cambria"/>
          <w:szCs w:val="24"/>
        </w:rPr>
        <w:t xml:space="preserve">y via </w:t>
      </w:r>
      <w:proofErr w:type="spellStart"/>
      <w:r w:rsidR="00BA7324" w:rsidRPr="007E28A2">
        <w:rPr>
          <w:rFonts w:ascii="Cambria" w:hAnsi="Cambria"/>
          <w:szCs w:val="24"/>
        </w:rPr>
        <w:t>faeces</w:t>
      </w:r>
      <w:proofErr w:type="spellEnd"/>
      <w:r w:rsidR="00BA7324" w:rsidRPr="007E28A2">
        <w:rPr>
          <w:rFonts w:ascii="Cambria" w:hAnsi="Cambria"/>
          <w:szCs w:val="24"/>
        </w:rPr>
        <w:t xml:space="preserve"> and the majority was</w:t>
      </w:r>
      <w:r w:rsidR="00C84336" w:rsidRPr="007E28A2">
        <w:rPr>
          <w:rFonts w:ascii="Cambria" w:hAnsi="Cambria"/>
          <w:szCs w:val="24"/>
        </w:rPr>
        <w:t xml:space="preserve"> cleared within 30 days after dose administration</w:t>
      </w:r>
      <w:r w:rsidRPr="007E28A2">
        <w:rPr>
          <w:rFonts w:ascii="Cambria" w:hAnsi="Cambria"/>
          <w:szCs w:val="24"/>
        </w:rPr>
        <w:t xml:space="preserve">.  </w:t>
      </w:r>
      <w:r w:rsidRPr="008E6700">
        <w:rPr>
          <w:rFonts w:ascii="Cambria" w:hAnsi="Cambria"/>
          <w:szCs w:val="24"/>
        </w:rPr>
        <w:t xml:space="preserve">The vector DNA concentration in saliva was low on Day 1 after infusion and declined to undetectable levels within 3 weeks.  In urine, the vector DNA concentration was very low on Day 1 after infusion and declined to undetectable levels within 1 to 2 weeks. </w:t>
      </w:r>
      <w:r w:rsidR="00304E78" w:rsidRPr="008E6700">
        <w:rPr>
          <w:rFonts w:ascii="Cambria" w:hAnsi="Cambria"/>
          <w:szCs w:val="24"/>
        </w:rPr>
        <w:t>I</w:t>
      </w:r>
      <w:r w:rsidRPr="008E6700">
        <w:rPr>
          <w:rFonts w:ascii="Cambria" w:hAnsi="Cambria"/>
          <w:szCs w:val="24"/>
        </w:rPr>
        <w:t>n stool, the vector DNA concentration was much higher than in saliva or urine for 1 to 2 weeks after infusion and declined to undetectable levels by 1 to 2 months after infusion.</w:t>
      </w:r>
      <w:r w:rsidR="00C84336" w:rsidRPr="008E6700">
        <w:rPr>
          <w:rFonts w:ascii="Cambria" w:hAnsi="Cambria"/>
          <w:szCs w:val="24"/>
        </w:rPr>
        <w:t xml:space="preserve"> </w:t>
      </w:r>
    </w:p>
    <w:p w14:paraId="6CF8A40D" w14:textId="014C816B" w:rsidR="00DF7B3C" w:rsidRPr="00CE03FD" w:rsidRDefault="00DF7B3C" w:rsidP="00D83B93">
      <w:pPr>
        <w:pStyle w:val="Heading3"/>
      </w:pPr>
      <w:bookmarkStart w:id="50" w:name="_Toc259706945"/>
      <w:bookmarkStart w:id="51" w:name="_Toc259707117"/>
      <w:bookmarkStart w:id="52" w:name="_Toc259707180"/>
      <w:bookmarkStart w:id="53" w:name="_Toc259713126"/>
      <w:bookmarkEnd w:id="49"/>
      <w:r w:rsidRPr="00CE03FD">
        <w:t xml:space="preserve">Biodistribution </w:t>
      </w:r>
    </w:p>
    <w:p w14:paraId="3AF57A41" w14:textId="31254428" w:rsidR="00FF0531" w:rsidRPr="00FF0531" w:rsidRDefault="00FF0531" w:rsidP="00D83B93">
      <w:pPr>
        <w:pStyle w:val="C-BodyText"/>
        <w:rPr>
          <w:rFonts w:ascii="Cambria" w:hAnsi="Cambria"/>
        </w:rPr>
      </w:pPr>
      <w:proofErr w:type="spellStart"/>
      <w:r w:rsidRPr="00FF0531">
        <w:rPr>
          <w:rFonts w:ascii="Cambria" w:hAnsi="Cambria"/>
        </w:rPr>
        <w:t>Biodistribution</w:t>
      </w:r>
      <w:proofErr w:type="spellEnd"/>
      <w:r w:rsidRPr="00FF0531">
        <w:rPr>
          <w:rFonts w:ascii="Cambria" w:hAnsi="Cambria"/>
        </w:rPr>
        <w:t xml:space="preserve"> was evaluated in two patients who died 5.7 months and 1.7 months, respectively, after infusion of ZOLGENSMA at the dose of 1.1 x 10</w:t>
      </w:r>
      <w:r w:rsidRPr="00FF0531">
        <w:rPr>
          <w:rFonts w:ascii="Cambria" w:hAnsi="Cambria"/>
          <w:vertAlign w:val="superscript"/>
        </w:rPr>
        <w:t xml:space="preserve">14 </w:t>
      </w:r>
      <w:r w:rsidRPr="00FF0531">
        <w:rPr>
          <w:rFonts w:ascii="Cambria" w:hAnsi="Cambria"/>
        </w:rPr>
        <w:t xml:space="preserve">vg/kg.  Both cases showed that the highest levels of vector DNA were found in the liver.  Vector DNA was also detected in the spleen, heart, pancreas, inguinal lymph node, skeletal muscles, peripheral nerves, kidney, lung, intestines, </w:t>
      </w:r>
      <w:r w:rsidR="0070036C">
        <w:rPr>
          <w:rFonts w:ascii="Cambria" w:hAnsi="Cambria"/>
        </w:rPr>
        <w:t xml:space="preserve">gonads, </w:t>
      </w:r>
      <w:r w:rsidRPr="00FF0531">
        <w:rPr>
          <w:rFonts w:ascii="Cambria" w:hAnsi="Cambria"/>
        </w:rPr>
        <w:t xml:space="preserve">spinal cord, brain, and thymus.  Immunostaining for SMN protein showed </w:t>
      </w:r>
      <w:proofErr w:type="spellStart"/>
      <w:r w:rsidRPr="00FF0531">
        <w:rPr>
          <w:rFonts w:ascii="Cambria" w:hAnsi="Cambria"/>
        </w:rPr>
        <w:t>generali</w:t>
      </w:r>
      <w:r w:rsidR="00F2410F">
        <w:rPr>
          <w:rFonts w:ascii="Cambria" w:hAnsi="Cambria"/>
        </w:rPr>
        <w:t>s</w:t>
      </w:r>
      <w:r w:rsidRPr="00FF0531">
        <w:rPr>
          <w:rFonts w:ascii="Cambria" w:hAnsi="Cambria"/>
        </w:rPr>
        <w:t>ed</w:t>
      </w:r>
      <w:proofErr w:type="spellEnd"/>
      <w:r w:rsidRPr="00FF0531">
        <w:rPr>
          <w:rFonts w:ascii="Cambria" w:hAnsi="Cambria"/>
        </w:rPr>
        <w:t xml:space="preserve"> SMN expression in spinal motor neurons, neuronal and glial cells of the brain, and in the heart, liver, skeletal muscles, and other tissues evaluated. </w:t>
      </w:r>
    </w:p>
    <w:p w14:paraId="447881E1" w14:textId="3B8529CA" w:rsidR="00E77D05" w:rsidRDefault="00E77D05" w:rsidP="00EE35F8">
      <w:pPr>
        <w:pStyle w:val="Heading2"/>
        <w:numPr>
          <w:ilvl w:val="0"/>
          <w:numId w:val="0"/>
        </w:numPr>
        <w:ind w:left="576" w:hanging="576"/>
        <w:jc w:val="both"/>
      </w:pPr>
      <w:r w:rsidRPr="00CE03FD">
        <w:t xml:space="preserve">5.3 </w:t>
      </w:r>
      <w:r w:rsidR="006D31E9" w:rsidRPr="00CE03FD">
        <w:t>Preclinical safety data</w:t>
      </w:r>
    </w:p>
    <w:p w14:paraId="066DFCA8" w14:textId="54D3F5D1" w:rsidR="009F2C0C" w:rsidRPr="007E28A2" w:rsidRDefault="009F2C0C" w:rsidP="00D83B93">
      <w:pPr>
        <w:pStyle w:val="C-BodyText"/>
        <w:rPr>
          <w:rFonts w:ascii="Cambria" w:hAnsi="Cambria"/>
          <w:bCs/>
          <w:szCs w:val="24"/>
        </w:rPr>
      </w:pPr>
      <w:bookmarkStart w:id="54" w:name="_SP_QA_2012_07_11_15_51_23_0040"/>
      <w:r w:rsidRPr="008E6700">
        <w:rPr>
          <w:rFonts w:ascii="Cambria" w:hAnsi="Cambria"/>
          <w:szCs w:val="24"/>
        </w:rPr>
        <w:t>In toxicology studies conducted in neonatal mice, dose-dependent cardiac and hepatic toxicities were observed following intravenous administration of ZOLGENSMA. ZOLGENSMA</w:t>
      </w:r>
      <w:r w:rsidRPr="008E6700">
        <w:rPr>
          <w:rFonts w:ascii="Cambria" w:hAnsi="Cambria"/>
          <w:szCs w:val="24"/>
        </w:rPr>
        <w:noBreakHyphen/>
        <w:t>related findings in the myocardium, at doses of 7.9 × 10</w:t>
      </w:r>
      <w:r w:rsidRPr="008E6700">
        <w:rPr>
          <w:rFonts w:ascii="Cambria" w:hAnsi="Cambria"/>
          <w:szCs w:val="24"/>
          <w:vertAlign w:val="superscript"/>
        </w:rPr>
        <w:t>13</w:t>
      </w:r>
      <w:r w:rsidRPr="008E6700">
        <w:rPr>
          <w:rFonts w:ascii="Cambria" w:hAnsi="Cambria"/>
          <w:szCs w:val="24"/>
        </w:rPr>
        <w:t xml:space="preserve"> vg/kg and higher, included slight to mild mononuclear cell inflammation accompanied by </w:t>
      </w:r>
      <w:proofErr w:type="spellStart"/>
      <w:r w:rsidRPr="00101E5A">
        <w:rPr>
          <w:rFonts w:ascii="Cambria" w:hAnsi="Cambria"/>
          <w:szCs w:val="24"/>
        </w:rPr>
        <w:t>oedema</w:t>
      </w:r>
      <w:proofErr w:type="spellEnd"/>
      <w:r w:rsidRPr="00101E5A">
        <w:rPr>
          <w:rFonts w:ascii="Cambria" w:hAnsi="Cambria"/>
          <w:szCs w:val="24"/>
        </w:rPr>
        <w:t xml:space="preserve">, slight to mild fibrosis, and scattered myocardial cell </w:t>
      </w:r>
      <w:r w:rsidRPr="00101E5A">
        <w:rPr>
          <w:rFonts w:ascii="Cambria" w:hAnsi="Cambria"/>
          <w:bCs/>
          <w:szCs w:val="24"/>
        </w:rPr>
        <w:t>degeneration/regeneration.  Additional cardiac findings at dose levels of 1.5 </w:t>
      </w:r>
      <w:r w:rsidRPr="007E28A2">
        <w:rPr>
          <w:rFonts w:ascii="Cambria" w:hAnsi="Cambria"/>
          <w:szCs w:val="24"/>
        </w:rPr>
        <w:t>× 10</w:t>
      </w:r>
      <w:r w:rsidRPr="007E28A2">
        <w:rPr>
          <w:rFonts w:ascii="Cambria" w:hAnsi="Cambria"/>
          <w:szCs w:val="24"/>
          <w:vertAlign w:val="superscript"/>
        </w:rPr>
        <w:t>14</w:t>
      </w:r>
      <w:r w:rsidRPr="007E28A2">
        <w:rPr>
          <w:rFonts w:ascii="Cambria" w:hAnsi="Cambria"/>
          <w:szCs w:val="24"/>
        </w:rPr>
        <w:t xml:space="preserve"> vg/kg</w:t>
      </w:r>
      <w:r w:rsidRPr="007E28A2">
        <w:rPr>
          <w:rFonts w:ascii="Cambria" w:hAnsi="Cambria"/>
          <w:bCs/>
          <w:szCs w:val="24"/>
        </w:rPr>
        <w:t xml:space="preserve"> and higher included minimal to moderate atrial thrombosis and slight to marked atrial dilation.  Liver findings included hepatocellular hypertrophy, </w:t>
      </w:r>
      <w:proofErr w:type="spellStart"/>
      <w:r w:rsidRPr="007E28A2">
        <w:rPr>
          <w:rFonts w:ascii="Cambria" w:hAnsi="Cambria"/>
          <w:bCs/>
          <w:szCs w:val="24"/>
        </w:rPr>
        <w:t>Kupffer</w:t>
      </w:r>
      <w:proofErr w:type="spellEnd"/>
      <w:r w:rsidRPr="007E28A2">
        <w:rPr>
          <w:rFonts w:ascii="Cambria" w:hAnsi="Cambria"/>
          <w:bCs/>
          <w:szCs w:val="24"/>
        </w:rPr>
        <w:t xml:space="preserve"> cell activation, perinuclear </w:t>
      </w:r>
      <w:proofErr w:type="spellStart"/>
      <w:r w:rsidRPr="007E28A2">
        <w:rPr>
          <w:rFonts w:ascii="Cambria" w:hAnsi="Cambria"/>
          <w:bCs/>
          <w:szCs w:val="24"/>
        </w:rPr>
        <w:t>vacuolation</w:t>
      </w:r>
      <w:proofErr w:type="spellEnd"/>
      <w:r w:rsidRPr="007E28A2">
        <w:rPr>
          <w:rFonts w:ascii="Cambria" w:hAnsi="Cambria"/>
          <w:bCs/>
          <w:szCs w:val="24"/>
        </w:rPr>
        <w:t>, and scattered hepatocellular necrosis.  Target organ toxicity in the heart and liver was associated with mortality at dose levels of 2.4 × 10</w:t>
      </w:r>
      <w:r w:rsidRPr="007E28A2">
        <w:rPr>
          <w:rFonts w:ascii="Cambria" w:hAnsi="Cambria"/>
          <w:bCs/>
          <w:szCs w:val="24"/>
          <w:vertAlign w:val="superscript"/>
        </w:rPr>
        <w:t>14</w:t>
      </w:r>
      <w:r w:rsidRPr="007E28A2">
        <w:rPr>
          <w:rFonts w:ascii="Cambria" w:hAnsi="Cambria"/>
          <w:bCs/>
          <w:szCs w:val="24"/>
        </w:rPr>
        <w:t xml:space="preserve"> vg/kg and above, approximately 2.2-fold higher than the recommended clinical dose level. </w:t>
      </w:r>
    </w:p>
    <w:p w14:paraId="628A4244" w14:textId="68D2A93F" w:rsidR="00345170" w:rsidRPr="008E6700" w:rsidRDefault="00345170" w:rsidP="00D83B93">
      <w:pPr>
        <w:pStyle w:val="C-BodyText"/>
        <w:rPr>
          <w:rFonts w:ascii="Cambria" w:hAnsi="Cambria"/>
          <w:bCs/>
          <w:szCs w:val="24"/>
        </w:rPr>
      </w:pPr>
      <w:r w:rsidRPr="007E28A2">
        <w:rPr>
          <w:rFonts w:ascii="Cambria" w:hAnsi="Cambria"/>
          <w:bCs/>
          <w:szCs w:val="24"/>
        </w:rPr>
        <w:t xml:space="preserve">In a toxicology study conducted in non-human primates, administration of a single dose of </w:t>
      </w:r>
      <w:proofErr w:type="spellStart"/>
      <w:r w:rsidRPr="007E28A2">
        <w:rPr>
          <w:rFonts w:ascii="Cambria" w:hAnsi="Cambria"/>
          <w:bCs/>
          <w:szCs w:val="24"/>
        </w:rPr>
        <w:t>onasemnogene</w:t>
      </w:r>
      <w:proofErr w:type="spellEnd"/>
      <w:r w:rsidRPr="007E28A2">
        <w:rPr>
          <w:rFonts w:ascii="Cambria" w:hAnsi="Cambria"/>
          <w:bCs/>
          <w:szCs w:val="24"/>
        </w:rPr>
        <w:t xml:space="preserve"> </w:t>
      </w:r>
      <w:proofErr w:type="spellStart"/>
      <w:r w:rsidRPr="007E28A2">
        <w:rPr>
          <w:rFonts w:ascii="Cambria" w:hAnsi="Cambria"/>
          <w:bCs/>
          <w:szCs w:val="24"/>
        </w:rPr>
        <w:t>abeparvovec</w:t>
      </w:r>
      <w:proofErr w:type="spellEnd"/>
      <w:r w:rsidRPr="007E28A2">
        <w:rPr>
          <w:rFonts w:ascii="Cambria" w:hAnsi="Cambria"/>
          <w:bCs/>
          <w:szCs w:val="24"/>
        </w:rPr>
        <w:t xml:space="preserve"> </w:t>
      </w:r>
      <w:proofErr w:type="spellStart"/>
      <w:r w:rsidRPr="007E28A2">
        <w:rPr>
          <w:rFonts w:ascii="Cambria" w:hAnsi="Cambria"/>
          <w:bCs/>
          <w:szCs w:val="24"/>
        </w:rPr>
        <w:t>intrathecally</w:t>
      </w:r>
      <w:proofErr w:type="spellEnd"/>
      <w:r w:rsidRPr="007E28A2">
        <w:rPr>
          <w:rFonts w:ascii="Cambria" w:hAnsi="Cambria"/>
          <w:bCs/>
          <w:szCs w:val="24"/>
        </w:rPr>
        <w:t xml:space="preserve">, without corticosteroid treatment, resulted in minimal to marked mononuclear cell inflammation in the dorsal root ganglia, with neuronal </w:t>
      </w:r>
      <w:proofErr w:type="spellStart"/>
      <w:r w:rsidRPr="007E28A2">
        <w:rPr>
          <w:rFonts w:ascii="Cambria" w:hAnsi="Cambria"/>
          <w:bCs/>
          <w:szCs w:val="24"/>
        </w:rPr>
        <w:t>satellitosis</w:t>
      </w:r>
      <w:proofErr w:type="spellEnd"/>
      <w:r w:rsidRPr="007E28A2">
        <w:rPr>
          <w:rFonts w:ascii="Cambria" w:hAnsi="Cambria"/>
          <w:bCs/>
          <w:szCs w:val="24"/>
        </w:rPr>
        <w:t>, neuronal necrosis, or complete n</w:t>
      </w:r>
      <w:r w:rsidR="00F2410F">
        <w:rPr>
          <w:rFonts w:ascii="Cambria" w:hAnsi="Cambria"/>
          <w:bCs/>
          <w:szCs w:val="24"/>
        </w:rPr>
        <w:t xml:space="preserve">euronal loss with rare </w:t>
      </w:r>
      <w:proofErr w:type="spellStart"/>
      <w:r w:rsidR="00F2410F">
        <w:rPr>
          <w:rFonts w:ascii="Cambria" w:hAnsi="Cambria"/>
          <w:bCs/>
          <w:szCs w:val="24"/>
        </w:rPr>
        <w:t>mineralis</w:t>
      </w:r>
      <w:r w:rsidRPr="007E28A2">
        <w:rPr>
          <w:rFonts w:ascii="Cambria" w:hAnsi="Cambria"/>
          <w:bCs/>
          <w:szCs w:val="24"/>
        </w:rPr>
        <w:t>ation</w:t>
      </w:r>
      <w:proofErr w:type="spellEnd"/>
      <w:r w:rsidRPr="007E28A2">
        <w:rPr>
          <w:rFonts w:ascii="Cambria" w:hAnsi="Cambria"/>
          <w:bCs/>
          <w:szCs w:val="24"/>
        </w:rPr>
        <w:t>. The clinical relevance of this finding is unknown.</w:t>
      </w:r>
    </w:p>
    <w:bookmarkEnd w:id="54"/>
    <w:p w14:paraId="2F4FF232" w14:textId="22BFC8B8" w:rsidR="00E77D05" w:rsidRDefault="00D674A4" w:rsidP="00D83B93">
      <w:pPr>
        <w:pStyle w:val="Heading3"/>
      </w:pPr>
      <w:r>
        <w:t>Genotoxicity and c</w:t>
      </w:r>
      <w:r w:rsidR="00E77D05" w:rsidRPr="00CE03FD">
        <w:t>arcinogenicity</w:t>
      </w:r>
    </w:p>
    <w:p w14:paraId="14483BB0" w14:textId="0010EDDA" w:rsidR="004C274A" w:rsidRPr="004C274A" w:rsidRDefault="004C274A" w:rsidP="00D83B93">
      <w:pPr>
        <w:rPr>
          <w:rFonts w:ascii="Cambria" w:hAnsi="Cambria"/>
        </w:rPr>
      </w:pPr>
      <w:r w:rsidRPr="004C274A">
        <w:rPr>
          <w:rFonts w:ascii="Cambria" w:hAnsi="Cambria"/>
        </w:rPr>
        <w:t xml:space="preserve">No studies </w:t>
      </w:r>
      <w:r>
        <w:rPr>
          <w:rFonts w:ascii="Cambria" w:hAnsi="Cambria"/>
        </w:rPr>
        <w:t xml:space="preserve">have been performed to evaluate the </w:t>
      </w:r>
      <w:r w:rsidR="00D674A4">
        <w:rPr>
          <w:rFonts w:ascii="Cambria" w:hAnsi="Cambria"/>
        </w:rPr>
        <w:t>genotoxic or carcinogenic potential</w:t>
      </w:r>
      <w:r>
        <w:rPr>
          <w:rFonts w:ascii="Cambria" w:hAnsi="Cambria"/>
        </w:rPr>
        <w:t xml:space="preserve"> of </w:t>
      </w:r>
      <w:r w:rsidR="00D674A4">
        <w:rPr>
          <w:rFonts w:ascii="Cambria" w:hAnsi="Cambria"/>
        </w:rPr>
        <w:t>onasemnogene abeparvovec</w:t>
      </w:r>
      <w:r>
        <w:rPr>
          <w:rFonts w:ascii="Cambria" w:hAnsi="Cambria"/>
        </w:rPr>
        <w:t>.</w:t>
      </w:r>
    </w:p>
    <w:p w14:paraId="4B644B8A" w14:textId="4F978E85" w:rsidR="00E77D05" w:rsidRPr="004C274A" w:rsidRDefault="00E77D05" w:rsidP="00D83B93">
      <w:pPr>
        <w:pStyle w:val="Heading1"/>
      </w:pPr>
      <w:r w:rsidRPr="004C274A">
        <w:t>PHARMACEUTICAL PARTICULARS</w:t>
      </w:r>
    </w:p>
    <w:p w14:paraId="61B2CC11" w14:textId="195EE0DD" w:rsidR="00E77D05" w:rsidRPr="00CE03FD" w:rsidRDefault="00E77D05" w:rsidP="00D83B93">
      <w:pPr>
        <w:pStyle w:val="Heading2"/>
        <w:numPr>
          <w:ilvl w:val="0"/>
          <w:numId w:val="0"/>
        </w:numPr>
        <w:ind w:left="576" w:hanging="576"/>
      </w:pPr>
      <w:r w:rsidRPr="00CE03FD">
        <w:t xml:space="preserve">6.1 </w:t>
      </w:r>
      <w:r w:rsidR="00FF2382" w:rsidRPr="00CE03FD">
        <w:t>List of excipients</w:t>
      </w:r>
    </w:p>
    <w:p w14:paraId="49282740" w14:textId="2C1948AA" w:rsidR="00F42A5C" w:rsidRPr="00A6058E" w:rsidRDefault="00211546" w:rsidP="00D83B93">
      <w:pPr>
        <w:rPr>
          <w:rFonts w:ascii="Cambria" w:hAnsi="Cambria"/>
        </w:rPr>
      </w:pPr>
      <w:r>
        <w:rPr>
          <w:rFonts w:ascii="Cambria" w:hAnsi="Cambria"/>
        </w:rPr>
        <w:t>Trometamol</w:t>
      </w:r>
      <w:r w:rsidR="00A6058E" w:rsidRPr="00A6058E">
        <w:rPr>
          <w:rFonts w:ascii="Cambria" w:hAnsi="Cambria"/>
        </w:rPr>
        <w:t>, magnesium chloride</w:t>
      </w:r>
      <w:r w:rsidR="00D2508D">
        <w:rPr>
          <w:rFonts w:ascii="Cambria" w:hAnsi="Cambria"/>
        </w:rPr>
        <w:t xml:space="preserve"> </w:t>
      </w:r>
      <w:r w:rsidR="00D2508D" w:rsidRPr="00D2508D">
        <w:rPr>
          <w:rFonts w:ascii="Cambria" w:hAnsi="Cambria"/>
        </w:rPr>
        <w:t>hexahydrate</w:t>
      </w:r>
      <w:r w:rsidR="00A6058E" w:rsidRPr="00A6058E">
        <w:rPr>
          <w:rFonts w:ascii="Cambria" w:hAnsi="Cambria"/>
        </w:rPr>
        <w:t xml:space="preserve">, sodium chloride, </w:t>
      </w:r>
      <w:r w:rsidR="00A6058E">
        <w:rPr>
          <w:rFonts w:ascii="Cambria" w:hAnsi="Cambria"/>
        </w:rPr>
        <w:t xml:space="preserve">poloxamer, </w:t>
      </w:r>
      <w:r w:rsidR="00A6058E" w:rsidRPr="00A6058E">
        <w:rPr>
          <w:rFonts w:ascii="Cambria" w:hAnsi="Cambria"/>
        </w:rPr>
        <w:t>hydrochloric acid (for pH adjustment) and water for injection</w:t>
      </w:r>
      <w:r w:rsidR="00A6058E">
        <w:rPr>
          <w:rFonts w:ascii="Cambria" w:hAnsi="Cambria"/>
        </w:rPr>
        <w:t>s.</w:t>
      </w:r>
      <w:r w:rsidR="00A6058E" w:rsidRPr="00A6058E">
        <w:rPr>
          <w:rFonts w:ascii="Cambria" w:hAnsi="Cambria"/>
        </w:rPr>
        <w:t xml:space="preserve"> </w:t>
      </w:r>
    </w:p>
    <w:p w14:paraId="026C4FB1" w14:textId="4540383E" w:rsidR="008A7F14" w:rsidRPr="00F42A5C" w:rsidRDefault="00F42A5C" w:rsidP="00D83B93">
      <w:pPr>
        <w:rPr>
          <w:rFonts w:ascii="Cambria" w:hAnsi="Cambria"/>
        </w:rPr>
      </w:pPr>
      <w:r>
        <w:rPr>
          <w:rFonts w:ascii="Cambria" w:hAnsi="Cambria"/>
        </w:rPr>
        <w:t>C</w:t>
      </w:r>
      <w:r w:rsidR="008A7F14" w:rsidRPr="00F42A5C">
        <w:rPr>
          <w:rFonts w:ascii="Cambria" w:hAnsi="Cambria"/>
        </w:rPr>
        <w:t>ontains no preservative.</w:t>
      </w:r>
    </w:p>
    <w:p w14:paraId="232DAD5C" w14:textId="2492E4C3" w:rsidR="0035159D" w:rsidRPr="00CE03FD" w:rsidRDefault="0035159D" w:rsidP="00D83B93">
      <w:pPr>
        <w:pStyle w:val="Heading2"/>
        <w:numPr>
          <w:ilvl w:val="0"/>
          <w:numId w:val="0"/>
        </w:numPr>
        <w:ind w:left="576" w:hanging="576"/>
      </w:pPr>
      <w:r w:rsidRPr="00CE03FD">
        <w:t xml:space="preserve">6.2 </w:t>
      </w:r>
      <w:r w:rsidR="00FF2382" w:rsidRPr="00CE03FD">
        <w:t>Incompatibilities</w:t>
      </w:r>
    </w:p>
    <w:p w14:paraId="78CB1253" w14:textId="67DF7284" w:rsidR="00BA299C" w:rsidRPr="00CE03FD" w:rsidRDefault="00BA299C" w:rsidP="00D83B93">
      <w:pPr>
        <w:rPr>
          <w:rFonts w:ascii="Cambria" w:hAnsi="Cambria"/>
        </w:rPr>
      </w:pPr>
      <w:r w:rsidRPr="00CE03FD">
        <w:rPr>
          <w:rFonts w:ascii="Cambria" w:hAnsi="Cambria"/>
        </w:rPr>
        <w:t>In the absence of compatibility studies, this product must not be mixed with other medicinal products.</w:t>
      </w:r>
    </w:p>
    <w:p w14:paraId="579FB5BF" w14:textId="771BC0F7" w:rsidR="00BA299C" w:rsidRDefault="00BA299C" w:rsidP="00D83B93">
      <w:pPr>
        <w:pStyle w:val="Heading2"/>
        <w:numPr>
          <w:ilvl w:val="0"/>
          <w:numId w:val="0"/>
        </w:numPr>
        <w:ind w:left="576" w:hanging="576"/>
      </w:pPr>
      <w:bookmarkStart w:id="55" w:name="_Toc259706954"/>
      <w:bookmarkStart w:id="56" w:name="_Toc259707126"/>
      <w:bookmarkStart w:id="57" w:name="_Toc259707189"/>
      <w:bookmarkStart w:id="58" w:name="_Toc259713135"/>
      <w:r w:rsidRPr="00CE03FD">
        <w:t xml:space="preserve">6.3 </w:t>
      </w:r>
      <w:r w:rsidR="00FF2382" w:rsidRPr="00CE03FD">
        <w:t>Shelf life</w:t>
      </w:r>
    </w:p>
    <w:p w14:paraId="3C64CA3C" w14:textId="65CF0095" w:rsidR="005837A9" w:rsidRPr="00CE03FD" w:rsidRDefault="005837A9" w:rsidP="00D83B93">
      <w:pPr>
        <w:rPr>
          <w:rFonts w:ascii="Cambria" w:hAnsi="Cambria"/>
        </w:rPr>
      </w:pPr>
      <w:r w:rsidRPr="00CE03FD">
        <w:rPr>
          <w:rFonts w:ascii="Cambria" w:hAnsi="Cambria" w:cstheme="minorHAnsi"/>
          <w:lang w:val="en"/>
        </w:rPr>
        <w:t>In Australia, information on the shelf life can be found on the public summary of the Australian Register of Therapeutic Goods (ARTG).  The expiry date can be found on the packaging.</w:t>
      </w:r>
    </w:p>
    <w:bookmarkEnd w:id="55"/>
    <w:bookmarkEnd w:id="56"/>
    <w:bookmarkEnd w:id="57"/>
    <w:bookmarkEnd w:id="58"/>
    <w:p w14:paraId="14B3F7EE" w14:textId="245C0492" w:rsidR="00015EDC" w:rsidRPr="00CE03FD" w:rsidRDefault="00066A6E" w:rsidP="00D83B93">
      <w:pPr>
        <w:rPr>
          <w:rFonts w:ascii="Cambria" w:hAnsi="Cambria"/>
        </w:rPr>
      </w:pPr>
      <w:r>
        <w:rPr>
          <w:rFonts w:ascii="Cambria" w:hAnsi="Cambria"/>
        </w:rPr>
        <w:t>P</w:t>
      </w:r>
      <w:r w:rsidR="008E0D8F" w:rsidRPr="00D43BF2">
        <w:rPr>
          <w:rFonts w:ascii="Cambria" w:hAnsi="Cambria"/>
        </w:rPr>
        <w:t xml:space="preserve">reparation of </w:t>
      </w:r>
      <w:r w:rsidR="00304E78">
        <w:rPr>
          <w:rFonts w:ascii="Cambria" w:hAnsi="Cambria"/>
        </w:rPr>
        <w:t>pack</w:t>
      </w:r>
      <w:r w:rsidR="00B97688">
        <w:rPr>
          <w:rFonts w:ascii="Cambria" w:hAnsi="Cambria"/>
        </w:rPr>
        <w:t xml:space="preserve"> </w:t>
      </w:r>
      <w:r w:rsidR="008E0D8F" w:rsidRPr="00D43BF2">
        <w:rPr>
          <w:rFonts w:ascii="Cambria" w:hAnsi="Cambria"/>
        </w:rPr>
        <w:t>contents</w:t>
      </w:r>
      <w:r>
        <w:rPr>
          <w:rFonts w:ascii="Cambria" w:hAnsi="Cambria"/>
        </w:rPr>
        <w:t xml:space="preserve"> is carried out</w:t>
      </w:r>
      <w:r w:rsidR="008E0D8F" w:rsidRPr="00D43BF2">
        <w:rPr>
          <w:rFonts w:ascii="Cambria" w:hAnsi="Cambria"/>
        </w:rPr>
        <w:t xml:space="preserve"> </w:t>
      </w:r>
      <w:r w:rsidR="00015EDC" w:rsidRPr="00CE03FD">
        <w:rPr>
          <w:rFonts w:ascii="Cambria" w:hAnsi="Cambria"/>
        </w:rPr>
        <w:t>aseptic</w:t>
      </w:r>
      <w:r w:rsidR="00AE5C9F">
        <w:rPr>
          <w:rFonts w:ascii="Cambria" w:hAnsi="Cambria"/>
        </w:rPr>
        <w:t>ally under sterile</w:t>
      </w:r>
      <w:r w:rsidR="00015EDC" w:rsidRPr="00CE03FD">
        <w:rPr>
          <w:rFonts w:ascii="Cambria" w:hAnsi="Cambria"/>
        </w:rPr>
        <w:t xml:space="preserve"> conditions</w:t>
      </w:r>
      <w:r>
        <w:rPr>
          <w:rFonts w:ascii="Cambria" w:hAnsi="Cambria"/>
        </w:rPr>
        <w:t xml:space="preserve">. </w:t>
      </w:r>
      <w:r w:rsidRPr="00066A6E">
        <w:rPr>
          <w:rFonts w:ascii="Cambria" w:hAnsi="Cambria"/>
        </w:rPr>
        <w:t>To reduce microbiological hazard, use as soon as practicable after dispensing into the syringe. If storage is necessary, hold at room temperature</w:t>
      </w:r>
      <w:r>
        <w:rPr>
          <w:rFonts w:ascii="Cambria" w:hAnsi="Cambria"/>
        </w:rPr>
        <w:t xml:space="preserve"> (20°C – 25°C)</w:t>
      </w:r>
      <w:r w:rsidRPr="00066A6E">
        <w:rPr>
          <w:rFonts w:ascii="Cambria" w:hAnsi="Cambria"/>
        </w:rPr>
        <w:t xml:space="preserve"> for not more than 6 hours</w:t>
      </w:r>
      <w:r>
        <w:rPr>
          <w:rFonts w:ascii="Cambria" w:hAnsi="Cambria"/>
        </w:rPr>
        <w:t>.</w:t>
      </w:r>
    </w:p>
    <w:p w14:paraId="560000EB" w14:textId="39AE4EC1" w:rsidR="00CA4502" w:rsidRPr="002B1522" w:rsidRDefault="00CA4502" w:rsidP="00D83B93">
      <w:pPr>
        <w:pStyle w:val="Heading2"/>
        <w:numPr>
          <w:ilvl w:val="0"/>
          <w:numId w:val="0"/>
        </w:numPr>
        <w:ind w:left="576" w:hanging="576"/>
      </w:pPr>
      <w:r w:rsidRPr="002B1522">
        <w:t xml:space="preserve">6.4 </w:t>
      </w:r>
      <w:r w:rsidR="00FF2382" w:rsidRPr="002B1522">
        <w:t>Special precautions for storage</w:t>
      </w:r>
    </w:p>
    <w:p w14:paraId="7BE45CAC" w14:textId="77777777" w:rsidR="00376635" w:rsidRPr="00376635" w:rsidRDefault="00376635" w:rsidP="00D83B93">
      <w:pPr>
        <w:rPr>
          <w:rFonts w:ascii="Cambria" w:hAnsi="Cambria" w:cstheme="minorHAnsi"/>
          <w:lang w:val="en"/>
        </w:rPr>
      </w:pPr>
      <w:r w:rsidRPr="00376635">
        <w:rPr>
          <w:rFonts w:ascii="Cambria" w:hAnsi="Cambria" w:cstheme="minorHAnsi"/>
          <w:lang w:val="en"/>
        </w:rPr>
        <w:t>Store and transport frozen (≤ -60°C).</w:t>
      </w:r>
    </w:p>
    <w:p w14:paraId="3B60A11E" w14:textId="350CFA02" w:rsidR="00376635" w:rsidRPr="00376635" w:rsidRDefault="00376635" w:rsidP="00D83B93">
      <w:pPr>
        <w:rPr>
          <w:rFonts w:ascii="Cambria" w:hAnsi="Cambria" w:cstheme="minorHAnsi"/>
          <w:lang w:val="en"/>
        </w:rPr>
      </w:pPr>
      <w:r>
        <w:rPr>
          <w:rFonts w:ascii="Cambria" w:hAnsi="Cambria" w:cstheme="minorHAnsi"/>
          <w:lang w:val="en"/>
        </w:rPr>
        <w:t xml:space="preserve">Upon receipt, immediately place the </w:t>
      </w:r>
      <w:r w:rsidR="00304E78">
        <w:rPr>
          <w:rFonts w:ascii="Cambria" w:hAnsi="Cambria" w:cstheme="minorHAnsi"/>
          <w:lang w:val="en"/>
        </w:rPr>
        <w:t>pack</w:t>
      </w:r>
      <w:r>
        <w:rPr>
          <w:rFonts w:ascii="Cambria" w:hAnsi="Cambria" w:cstheme="minorHAnsi"/>
          <w:lang w:val="en"/>
        </w:rPr>
        <w:t xml:space="preserve"> (in original carton to protect from light</w:t>
      </w:r>
      <w:r w:rsidR="007E28A2">
        <w:rPr>
          <w:rFonts w:ascii="Cambria" w:hAnsi="Cambria" w:cstheme="minorHAnsi"/>
          <w:lang w:val="en"/>
        </w:rPr>
        <w:t>)</w:t>
      </w:r>
      <w:r>
        <w:rPr>
          <w:rFonts w:ascii="Cambria" w:hAnsi="Cambria" w:cstheme="minorHAnsi"/>
          <w:lang w:val="en"/>
        </w:rPr>
        <w:t xml:space="preserve"> in a </w:t>
      </w:r>
      <w:r w:rsidRPr="00376635">
        <w:rPr>
          <w:rFonts w:ascii="Cambria" w:hAnsi="Cambria" w:cstheme="minorHAnsi"/>
          <w:lang w:val="en"/>
        </w:rPr>
        <w:t>refrigerator at 2°C to 8°C</w:t>
      </w:r>
      <w:r>
        <w:rPr>
          <w:rFonts w:ascii="Cambria" w:hAnsi="Cambria" w:cstheme="minorHAnsi"/>
          <w:lang w:val="en"/>
        </w:rPr>
        <w:t>.</w:t>
      </w:r>
    </w:p>
    <w:p w14:paraId="4825B9E5" w14:textId="1F151062" w:rsidR="00376635" w:rsidRPr="00376635" w:rsidRDefault="004C274A" w:rsidP="00D83B93">
      <w:pPr>
        <w:rPr>
          <w:rFonts w:ascii="Cambria" w:hAnsi="Cambria" w:cstheme="minorHAnsi"/>
          <w:lang w:val="en"/>
        </w:rPr>
      </w:pPr>
      <w:r w:rsidRPr="00376635">
        <w:rPr>
          <w:rFonts w:ascii="Cambria" w:hAnsi="Cambria" w:cstheme="minorHAnsi"/>
          <w:lang w:val="en"/>
        </w:rPr>
        <w:t xml:space="preserve">ZOLGENSMA </w:t>
      </w:r>
      <w:r w:rsidR="00376635" w:rsidRPr="00376635">
        <w:rPr>
          <w:rFonts w:ascii="Cambria" w:hAnsi="Cambria" w:cstheme="minorHAnsi"/>
          <w:lang w:val="en"/>
        </w:rPr>
        <w:t>is stable for 14 days from receipt when stored at 2°C to 8°C.</w:t>
      </w:r>
    </w:p>
    <w:p w14:paraId="0511C988" w14:textId="730D2ED9" w:rsidR="00376635" w:rsidRDefault="00376635" w:rsidP="00D83B93">
      <w:pPr>
        <w:rPr>
          <w:rFonts w:ascii="Cambria" w:hAnsi="Cambria" w:cstheme="minorHAnsi"/>
          <w:lang w:val="en"/>
        </w:rPr>
      </w:pPr>
      <w:r w:rsidRPr="00376635">
        <w:rPr>
          <w:rFonts w:ascii="Cambria" w:hAnsi="Cambria" w:cstheme="minorHAnsi"/>
          <w:lang w:val="en"/>
        </w:rPr>
        <w:t>For storage conditions after thawing of the med</w:t>
      </w:r>
      <w:r>
        <w:rPr>
          <w:rFonts w:ascii="Cambria" w:hAnsi="Cambria" w:cstheme="minorHAnsi"/>
          <w:lang w:val="en"/>
        </w:rPr>
        <w:t xml:space="preserve">icinal product, see section 6.3 </w:t>
      </w:r>
      <w:r w:rsidR="00AF517C">
        <w:rPr>
          <w:rFonts w:ascii="Cambria" w:hAnsi="Cambria" w:cstheme="minorHAnsi"/>
          <w:lang w:val="en"/>
        </w:rPr>
        <w:t xml:space="preserve">Shelf life </w:t>
      </w:r>
      <w:r>
        <w:rPr>
          <w:rFonts w:ascii="Cambria" w:hAnsi="Cambria" w:cstheme="minorHAnsi"/>
          <w:lang w:val="en"/>
        </w:rPr>
        <w:t>above.</w:t>
      </w:r>
    </w:p>
    <w:p w14:paraId="0098BAA3" w14:textId="180B3448" w:rsidR="00376635" w:rsidRPr="00376635" w:rsidRDefault="00376635" w:rsidP="00D83B93">
      <w:pPr>
        <w:rPr>
          <w:rFonts w:ascii="Cambria" w:hAnsi="Cambria" w:cstheme="minorHAnsi"/>
          <w:lang w:val="en"/>
        </w:rPr>
      </w:pPr>
      <w:r>
        <w:rPr>
          <w:rFonts w:ascii="Cambria" w:hAnsi="Cambria" w:cstheme="minorHAnsi"/>
          <w:lang w:val="en"/>
        </w:rPr>
        <w:t xml:space="preserve">DO NOT </w:t>
      </w:r>
      <w:r w:rsidR="00097F2B">
        <w:rPr>
          <w:rFonts w:ascii="Cambria" w:hAnsi="Cambria" w:cstheme="minorHAnsi"/>
          <w:lang w:val="en"/>
        </w:rPr>
        <w:t>RE</w:t>
      </w:r>
      <w:r>
        <w:rPr>
          <w:rFonts w:ascii="Cambria" w:hAnsi="Cambria" w:cstheme="minorHAnsi"/>
          <w:lang w:val="en"/>
        </w:rPr>
        <w:t>FREEZE.</w:t>
      </w:r>
    </w:p>
    <w:p w14:paraId="2E04A094" w14:textId="47C4E993" w:rsidR="00CA4502" w:rsidRPr="002B1522" w:rsidRDefault="00CA4502" w:rsidP="00D83B93">
      <w:pPr>
        <w:pStyle w:val="Heading2"/>
        <w:numPr>
          <w:ilvl w:val="0"/>
          <w:numId w:val="0"/>
        </w:numPr>
        <w:ind w:left="576" w:hanging="576"/>
      </w:pPr>
      <w:bookmarkStart w:id="59" w:name="smpc65"/>
      <w:bookmarkEnd w:id="59"/>
      <w:r w:rsidRPr="00CE03FD">
        <w:t xml:space="preserve">6.5 </w:t>
      </w:r>
      <w:r w:rsidR="00FF2382" w:rsidRPr="002B1522">
        <w:t>Nature and contents of container</w:t>
      </w:r>
    </w:p>
    <w:p w14:paraId="242D1100" w14:textId="2C37E4C8" w:rsidR="00D5611F" w:rsidRPr="00C434B6" w:rsidRDefault="00C434B6" w:rsidP="00D83B93">
      <w:pPr>
        <w:rPr>
          <w:rFonts w:ascii="Cambria" w:hAnsi="Cambria" w:cstheme="minorHAnsi"/>
          <w:lang w:val="en"/>
        </w:rPr>
      </w:pPr>
      <w:r w:rsidRPr="00C434B6">
        <w:rPr>
          <w:rFonts w:ascii="Cambria" w:hAnsi="Cambria" w:cstheme="minorHAnsi"/>
          <w:lang w:val="en"/>
        </w:rPr>
        <w:t xml:space="preserve">ZOLGENSMA </w:t>
      </w:r>
      <w:r w:rsidR="00D5611F" w:rsidRPr="00C434B6">
        <w:rPr>
          <w:rFonts w:ascii="Cambria" w:hAnsi="Cambria" w:cstheme="minorHAnsi"/>
          <w:lang w:val="en"/>
        </w:rPr>
        <w:t xml:space="preserve">is supplied in a </w:t>
      </w:r>
      <w:r w:rsidR="00421205">
        <w:rPr>
          <w:rFonts w:ascii="Cambria" w:hAnsi="Cambria" w:cstheme="minorHAnsi"/>
          <w:lang w:val="en"/>
        </w:rPr>
        <w:t xml:space="preserve">single-use </w:t>
      </w:r>
      <w:r w:rsidR="00D5611F" w:rsidRPr="00C434B6">
        <w:rPr>
          <w:rFonts w:ascii="Cambria" w:hAnsi="Cambria" w:cstheme="minorHAnsi"/>
          <w:lang w:val="en"/>
        </w:rPr>
        <w:t>vial (10 mL polymer crystal zenith) with stopper (20 mm chlorobutyl rubber) and seal (alumin</w:t>
      </w:r>
      <w:r w:rsidR="00475F30">
        <w:rPr>
          <w:rFonts w:ascii="Cambria" w:hAnsi="Cambria" w:cstheme="minorHAnsi"/>
          <w:lang w:val="en"/>
        </w:rPr>
        <w:t>i</w:t>
      </w:r>
      <w:r w:rsidR="00D5611F" w:rsidRPr="00C434B6">
        <w:rPr>
          <w:rFonts w:ascii="Cambria" w:hAnsi="Cambria" w:cstheme="minorHAnsi"/>
          <w:lang w:val="en"/>
        </w:rPr>
        <w:t>um, flip-off) with a coloured cap (plastic), in two different vial fill volume sizes, either 5.5 mL or 8.3 mL.</w:t>
      </w:r>
    </w:p>
    <w:p w14:paraId="666E713C" w14:textId="3691BF9F" w:rsidR="00C434B6" w:rsidRPr="00C434B6" w:rsidRDefault="00C434B6" w:rsidP="00D83B93">
      <w:pPr>
        <w:rPr>
          <w:rFonts w:ascii="Cambria" w:hAnsi="Cambria" w:cstheme="minorHAnsi"/>
          <w:lang w:val="en"/>
        </w:rPr>
      </w:pPr>
      <w:r w:rsidRPr="00C434B6">
        <w:rPr>
          <w:rFonts w:ascii="Cambria" w:hAnsi="Cambria" w:cstheme="minorHAnsi"/>
          <w:lang w:val="en"/>
        </w:rPr>
        <w:t xml:space="preserve">The dose of </w:t>
      </w:r>
      <w:r w:rsidR="002631FA" w:rsidRPr="00C434B6">
        <w:rPr>
          <w:rFonts w:ascii="Cambria" w:hAnsi="Cambria" w:cstheme="minorHAnsi"/>
          <w:lang w:val="en"/>
        </w:rPr>
        <w:t xml:space="preserve">ZOLGENSMA </w:t>
      </w:r>
      <w:r w:rsidRPr="00C434B6">
        <w:rPr>
          <w:rFonts w:ascii="Cambria" w:hAnsi="Cambria" w:cstheme="minorHAnsi"/>
          <w:lang w:val="en"/>
        </w:rPr>
        <w:t xml:space="preserve">and exact number of vials required for each patient is calculated according to the patient’s weight (see </w:t>
      </w:r>
      <w:r w:rsidRPr="004C274A">
        <w:rPr>
          <w:rFonts w:ascii="Cambria" w:hAnsi="Cambria" w:cstheme="minorHAnsi"/>
          <w:lang w:val="en"/>
        </w:rPr>
        <w:t>4.2</w:t>
      </w:r>
      <w:r w:rsidR="008E6700">
        <w:rPr>
          <w:rFonts w:ascii="Cambria" w:hAnsi="Cambria" w:cstheme="minorHAnsi"/>
          <w:lang w:val="en"/>
        </w:rPr>
        <w:t xml:space="preserve"> Dosage and method of administration</w:t>
      </w:r>
      <w:r w:rsidRPr="004C274A">
        <w:rPr>
          <w:rFonts w:ascii="Cambria" w:hAnsi="Cambria" w:cstheme="minorHAnsi"/>
          <w:lang w:val="en"/>
        </w:rPr>
        <w:t xml:space="preserve"> and</w:t>
      </w:r>
      <w:r w:rsidRPr="00C434B6">
        <w:rPr>
          <w:rFonts w:ascii="Cambria" w:hAnsi="Cambria" w:cstheme="minorHAnsi"/>
          <w:lang w:val="en"/>
        </w:rPr>
        <w:t xml:space="preserve"> </w:t>
      </w:r>
      <w:r w:rsidR="008E6700">
        <w:rPr>
          <w:rFonts w:ascii="Cambria" w:hAnsi="Cambria" w:cstheme="minorHAnsi"/>
          <w:lang w:val="en"/>
        </w:rPr>
        <w:t xml:space="preserve">Table </w:t>
      </w:r>
      <w:r w:rsidR="00DE5F53">
        <w:rPr>
          <w:rFonts w:ascii="Cambria" w:hAnsi="Cambria" w:cstheme="minorHAnsi"/>
          <w:lang w:val="en"/>
        </w:rPr>
        <w:t>5</w:t>
      </w:r>
      <w:r w:rsidRPr="00C434B6">
        <w:rPr>
          <w:rFonts w:ascii="Cambria" w:hAnsi="Cambria" w:cstheme="minorHAnsi"/>
          <w:lang w:val="en"/>
        </w:rPr>
        <w:t xml:space="preserve"> below).</w:t>
      </w:r>
    </w:p>
    <w:p w14:paraId="35FB0468" w14:textId="6CEBE54C" w:rsidR="00C434B6" w:rsidRDefault="00C434B6" w:rsidP="00C434B6">
      <w:pPr>
        <w:pStyle w:val="NormalAgency"/>
        <w:rPr>
          <w:rFonts w:ascii="Cambria" w:hAnsi="Cambria"/>
          <w:b/>
          <w:sz w:val="24"/>
          <w:szCs w:val="24"/>
        </w:rPr>
      </w:pPr>
      <w:bookmarkStart w:id="60" w:name="_Ref526062662"/>
      <w:r w:rsidRPr="00C434B6">
        <w:rPr>
          <w:rFonts w:ascii="Cambria" w:hAnsi="Cambria"/>
          <w:b/>
          <w:sz w:val="24"/>
          <w:szCs w:val="24"/>
        </w:rPr>
        <w:t>Table </w:t>
      </w:r>
      <w:bookmarkEnd w:id="60"/>
      <w:r w:rsidR="00DE5F53">
        <w:rPr>
          <w:rFonts w:ascii="Cambria" w:hAnsi="Cambria"/>
          <w:b/>
          <w:sz w:val="24"/>
          <w:szCs w:val="24"/>
        </w:rPr>
        <w:t>5</w:t>
      </w:r>
      <w:r w:rsidRPr="00C434B6">
        <w:rPr>
          <w:rFonts w:ascii="Cambria" w:hAnsi="Cambria"/>
          <w:b/>
          <w:sz w:val="24"/>
          <w:szCs w:val="24"/>
        </w:rPr>
        <w:tab/>
      </w:r>
      <w:r w:rsidR="002631FA" w:rsidRPr="00C434B6">
        <w:rPr>
          <w:rFonts w:ascii="Cambria" w:hAnsi="Cambria"/>
          <w:b/>
          <w:sz w:val="24"/>
          <w:szCs w:val="24"/>
        </w:rPr>
        <w:t xml:space="preserve">ZOLGENSMA </w:t>
      </w:r>
      <w:r w:rsidR="00304E78">
        <w:rPr>
          <w:rFonts w:ascii="Cambria" w:hAnsi="Cambria"/>
          <w:b/>
          <w:sz w:val="24"/>
          <w:szCs w:val="24"/>
        </w:rPr>
        <w:t>pack</w:t>
      </w:r>
      <w:r w:rsidRPr="00C434B6">
        <w:rPr>
          <w:rFonts w:ascii="Cambria" w:hAnsi="Cambria"/>
          <w:b/>
          <w:sz w:val="24"/>
          <w:szCs w:val="24"/>
        </w:rPr>
        <w:t xml:space="preserve"> configurations</w:t>
      </w:r>
    </w:p>
    <w:p w14:paraId="0DD7CAA1" w14:textId="77777777" w:rsidR="004C274A" w:rsidRPr="00C434B6" w:rsidRDefault="004C274A" w:rsidP="00C434B6">
      <w:pPr>
        <w:pStyle w:val="NormalAgency"/>
        <w:rPr>
          <w:rFonts w:ascii="Cambria" w:hAnsi="Cambria"/>
          <w:b/>
          <w:sz w:val="24"/>
          <w:szCs w:val="24"/>
        </w:rPr>
      </w:pPr>
    </w:p>
    <w:tbl>
      <w:tblPr>
        <w:tblW w:w="9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340"/>
        <w:gridCol w:w="2340"/>
        <w:gridCol w:w="2340"/>
        <w:gridCol w:w="2340"/>
      </w:tblGrid>
      <w:tr w:rsidR="00C434B6" w:rsidRPr="00C434B6" w14:paraId="37F88E21" w14:textId="77777777" w:rsidTr="00962119">
        <w:trPr>
          <w:trHeight w:val="20"/>
          <w:tblHeader/>
        </w:trPr>
        <w:tc>
          <w:tcPr>
            <w:tcW w:w="2340" w:type="dxa"/>
            <w:shd w:val="clear" w:color="auto" w:fill="auto"/>
            <w:vAlign w:val="center"/>
            <w:hideMark/>
          </w:tcPr>
          <w:p w14:paraId="79E4DC0D" w14:textId="77777777" w:rsidR="00C434B6" w:rsidRPr="004C274A" w:rsidRDefault="00C434B6" w:rsidP="00962119">
            <w:pPr>
              <w:pStyle w:val="NormalAgency"/>
              <w:jc w:val="center"/>
              <w:rPr>
                <w:rFonts w:ascii="Cambria" w:hAnsi="Cambria"/>
                <w:b/>
                <w:noProof/>
                <w:szCs w:val="22"/>
              </w:rPr>
            </w:pPr>
            <w:r w:rsidRPr="004C274A">
              <w:rPr>
                <w:rFonts w:ascii="Cambria" w:hAnsi="Cambria"/>
                <w:b/>
                <w:noProof/>
                <w:szCs w:val="22"/>
              </w:rPr>
              <w:t>Patient weight (kg)</w:t>
            </w:r>
          </w:p>
        </w:tc>
        <w:tc>
          <w:tcPr>
            <w:tcW w:w="2340" w:type="dxa"/>
            <w:shd w:val="clear" w:color="auto" w:fill="auto"/>
            <w:vAlign w:val="center"/>
          </w:tcPr>
          <w:p w14:paraId="5BDAC97E" w14:textId="77777777" w:rsidR="00C434B6" w:rsidRPr="004C274A" w:rsidRDefault="00C434B6" w:rsidP="00962119">
            <w:pPr>
              <w:pStyle w:val="NormalAgency"/>
              <w:jc w:val="center"/>
              <w:rPr>
                <w:rFonts w:ascii="Cambria" w:hAnsi="Cambria"/>
                <w:b/>
                <w:noProof/>
                <w:szCs w:val="22"/>
              </w:rPr>
            </w:pPr>
            <w:r w:rsidRPr="004C274A">
              <w:rPr>
                <w:rFonts w:ascii="Cambria" w:hAnsi="Cambria"/>
                <w:b/>
                <w:noProof/>
                <w:szCs w:val="22"/>
              </w:rPr>
              <w:t>5.5 mL vial</w:t>
            </w:r>
            <w:r w:rsidRPr="004C274A">
              <w:rPr>
                <w:rFonts w:ascii="Cambria" w:hAnsi="Cambria"/>
                <w:b/>
                <w:noProof/>
                <w:szCs w:val="22"/>
                <w:vertAlign w:val="superscript"/>
              </w:rPr>
              <w:t>a</w:t>
            </w:r>
          </w:p>
        </w:tc>
        <w:tc>
          <w:tcPr>
            <w:tcW w:w="2340" w:type="dxa"/>
            <w:shd w:val="clear" w:color="auto" w:fill="auto"/>
            <w:vAlign w:val="center"/>
          </w:tcPr>
          <w:p w14:paraId="7370E0D4" w14:textId="77777777" w:rsidR="00C434B6" w:rsidRPr="004C274A" w:rsidRDefault="00C434B6" w:rsidP="00962119">
            <w:pPr>
              <w:pStyle w:val="NormalAgency"/>
              <w:jc w:val="center"/>
              <w:rPr>
                <w:rFonts w:ascii="Cambria" w:hAnsi="Cambria"/>
                <w:b/>
                <w:noProof/>
                <w:szCs w:val="22"/>
              </w:rPr>
            </w:pPr>
            <w:r w:rsidRPr="004C274A">
              <w:rPr>
                <w:rFonts w:ascii="Cambria" w:hAnsi="Cambria"/>
                <w:b/>
                <w:noProof/>
                <w:szCs w:val="22"/>
              </w:rPr>
              <w:t>8.3 mL vial</w:t>
            </w:r>
            <w:r w:rsidRPr="004C274A">
              <w:rPr>
                <w:rFonts w:ascii="Cambria" w:hAnsi="Cambria"/>
                <w:b/>
                <w:noProof/>
                <w:szCs w:val="22"/>
                <w:vertAlign w:val="superscript"/>
              </w:rPr>
              <w:t>b</w:t>
            </w:r>
          </w:p>
        </w:tc>
        <w:tc>
          <w:tcPr>
            <w:tcW w:w="2340" w:type="dxa"/>
            <w:shd w:val="clear" w:color="auto" w:fill="auto"/>
            <w:vAlign w:val="center"/>
          </w:tcPr>
          <w:p w14:paraId="4C6E2119" w14:textId="77777777" w:rsidR="00C434B6" w:rsidRPr="004C274A" w:rsidRDefault="00C434B6" w:rsidP="00962119">
            <w:pPr>
              <w:pStyle w:val="NormalAgency"/>
              <w:jc w:val="center"/>
              <w:rPr>
                <w:rFonts w:ascii="Cambria" w:hAnsi="Cambria"/>
                <w:b/>
                <w:noProof/>
                <w:szCs w:val="22"/>
              </w:rPr>
            </w:pPr>
            <w:r w:rsidRPr="004C274A">
              <w:rPr>
                <w:rFonts w:ascii="Cambria" w:hAnsi="Cambria"/>
                <w:b/>
                <w:noProof/>
                <w:szCs w:val="22"/>
              </w:rPr>
              <w:t>Total vials per carton</w:t>
            </w:r>
          </w:p>
        </w:tc>
      </w:tr>
      <w:tr w:rsidR="00C434B6" w:rsidRPr="00C434B6" w14:paraId="2574E24C" w14:textId="77777777" w:rsidTr="00962119">
        <w:trPr>
          <w:trHeight w:val="20"/>
        </w:trPr>
        <w:tc>
          <w:tcPr>
            <w:tcW w:w="2340" w:type="dxa"/>
            <w:shd w:val="clear" w:color="auto" w:fill="auto"/>
            <w:vAlign w:val="center"/>
            <w:hideMark/>
          </w:tcPr>
          <w:p w14:paraId="55715DD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2.6 – 3.0</w:t>
            </w:r>
          </w:p>
        </w:tc>
        <w:tc>
          <w:tcPr>
            <w:tcW w:w="2340" w:type="dxa"/>
            <w:shd w:val="clear" w:color="auto" w:fill="auto"/>
            <w:vAlign w:val="center"/>
          </w:tcPr>
          <w:p w14:paraId="792A7A8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vAlign w:val="center"/>
          </w:tcPr>
          <w:p w14:paraId="6DABF41F"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78C129FE"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r>
      <w:tr w:rsidR="00C434B6" w:rsidRPr="00C434B6" w14:paraId="6232BE45" w14:textId="77777777" w:rsidTr="00962119">
        <w:trPr>
          <w:trHeight w:val="20"/>
        </w:trPr>
        <w:tc>
          <w:tcPr>
            <w:tcW w:w="2340" w:type="dxa"/>
            <w:shd w:val="clear" w:color="auto" w:fill="auto"/>
            <w:vAlign w:val="center"/>
            <w:hideMark/>
          </w:tcPr>
          <w:p w14:paraId="101A3C2E"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3.1 – 3.5</w:t>
            </w:r>
          </w:p>
        </w:tc>
        <w:tc>
          <w:tcPr>
            <w:tcW w:w="2340" w:type="dxa"/>
            <w:shd w:val="clear" w:color="auto" w:fill="auto"/>
            <w:vAlign w:val="center"/>
          </w:tcPr>
          <w:p w14:paraId="59835786"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1EC18CF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vAlign w:val="center"/>
          </w:tcPr>
          <w:p w14:paraId="0249BF0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r>
      <w:tr w:rsidR="00C434B6" w:rsidRPr="00C434B6" w14:paraId="1A15C108" w14:textId="77777777" w:rsidTr="00962119">
        <w:trPr>
          <w:trHeight w:val="20"/>
        </w:trPr>
        <w:tc>
          <w:tcPr>
            <w:tcW w:w="2340" w:type="dxa"/>
            <w:shd w:val="clear" w:color="auto" w:fill="auto"/>
            <w:vAlign w:val="center"/>
            <w:hideMark/>
          </w:tcPr>
          <w:p w14:paraId="4FBA3C8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3.6 – 4.0</w:t>
            </w:r>
          </w:p>
        </w:tc>
        <w:tc>
          <w:tcPr>
            <w:tcW w:w="2340" w:type="dxa"/>
            <w:shd w:val="clear" w:color="auto" w:fill="auto"/>
            <w:vAlign w:val="center"/>
          </w:tcPr>
          <w:p w14:paraId="36B0E142"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vAlign w:val="center"/>
          </w:tcPr>
          <w:p w14:paraId="3ABE6F2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36BA09C6"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r>
      <w:tr w:rsidR="00C434B6" w:rsidRPr="00C434B6" w14:paraId="17695F8D" w14:textId="77777777" w:rsidTr="00962119">
        <w:trPr>
          <w:trHeight w:val="20"/>
        </w:trPr>
        <w:tc>
          <w:tcPr>
            <w:tcW w:w="2340" w:type="dxa"/>
            <w:shd w:val="clear" w:color="auto" w:fill="auto"/>
            <w:vAlign w:val="center"/>
            <w:hideMark/>
          </w:tcPr>
          <w:p w14:paraId="4F9B0A0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4.1 – 4.5</w:t>
            </w:r>
          </w:p>
        </w:tc>
        <w:tc>
          <w:tcPr>
            <w:tcW w:w="2340" w:type="dxa"/>
            <w:shd w:val="clear" w:color="auto" w:fill="auto"/>
            <w:vAlign w:val="center"/>
          </w:tcPr>
          <w:p w14:paraId="09DD6CC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vAlign w:val="center"/>
          </w:tcPr>
          <w:p w14:paraId="0EA25F1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c>
          <w:tcPr>
            <w:tcW w:w="2340" w:type="dxa"/>
            <w:shd w:val="clear" w:color="auto" w:fill="auto"/>
            <w:vAlign w:val="center"/>
          </w:tcPr>
          <w:p w14:paraId="0626BE9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r>
      <w:tr w:rsidR="00C434B6" w:rsidRPr="00C434B6" w14:paraId="0EF141D8" w14:textId="77777777" w:rsidTr="00962119">
        <w:trPr>
          <w:trHeight w:val="20"/>
        </w:trPr>
        <w:tc>
          <w:tcPr>
            <w:tcW w:w="2340" w:type="dxa"/>
            <w:shd w:val="clear" w:color="auto" w:fill="auto"/>
            <w:vAlign w:val="center"/>
          </w:tcPr>
          <w:p w14:paraId="4083516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4.6 – 5.0</w:t>
            </w:r>
          </w:p>
        </w:tc>
        <w:tc>
          <w:tcPr>
            <w:tcW w:w="2340" w:type="dxa"/>
            <w:shd w:val="clear" w:color="auto" w:fill="auto"/>
            <w:vAlign w:val="center"/>
          </w:tcPr>
          <w:p w14:paraId="08D6CA9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3325D09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4CC0791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r>
      <w:tr w:rsidR="00C434B6" w:rsidRPr="00C434B6" w14:paraId="4C2462A5" w14:textId="77777777" w:rsidTr="00962119">
        <w:trPr>
          <w:trHeight w:val="20"/>
        </w:trPr>
        <w:tc>
          <w:tcPr>
            <w:tcW w:w="2340" w:type="dxa"/>
            <w:shd w:val="clear" w:color="auto" w:fill="auto"/>
            <w:vAlign w:val="center"/>
          </w:tcPr>
          <w:p w14:paraId="5877A59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5.1 – 5.5</w:t>
            </w:r>
          </w:p>
        </w:tc>
        <w:tc>
          <w:tcPr>
            <w:tcW w:w="2340" w:type="dxa"/>
            <w:shd w:val="clear" w:color="auto" w:fill="auto"/>
            <w:vAlign w:val="center"/>
          </w:tcPr>
          <w:p w14:paraId="0117FBC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vAlign w:val="center"/>
          </w:tcPr>
          <w:p w14:paraId="1021DE8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c>
          <w:tcPr>
            <w:tcW w:w="2340" w:type="dxa"/>
            <w:shd w:val="clear" w:color="auto" w:fill="auto"/>
            <w:vAlign w:val="center"/>
          </w:tcPr>
          <w:p w14:paraId="7E638CF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r>
      <w:tr w:rsidR="00C434B6" w:rsidRPr="00C434B6" w14:paraId="76A3233C" w14:textId="77777777" w:rsidTr="00962119">
        <w:trPr>
          <w:trHeight w:val="20"/>
        </w:trPr>
        <w:tc>
          <w:tcPr>
            <w:tcW w:w="2340" w:type="dxa"/>
            <w:shd w:val="clear" w:color="auto" w:fill="auto"/>
            <w:vAlign w:val="center"/>
          </w:tcPr>
          <w:p w14:paraId="2AE933E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5.6 – 6.0</w:t>
            </w:r>
          </w:p>
        </w:tc>
        <w:tc>
          <w:tcPr>
            <w:tcW w:w="2340" w:type="dxa"/>
            <w:shd w:val="clear" w:color="auto" w:fill="auto"/>
            <w:vAlign w:val="center"/>
          </w:tcPr>
          <w:p w14:paraId="4F79D8B9"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vAlign w:val="center"/>
          </w:tcPr>
          <w:p w14:paraId="107C11F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c>
          <w:tcPr>
            <w:tcW w:w="2340" w:type="dxa"/>
            <w:shd w:val="clear" w:color="auto" w:fill="auto"/>
            <w:vAlign w:val="center"/>
          </w:tcPr>
          <w:p w14:paraId="02C9112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r>
      <w:tr w:rsidR="00C434B6" w:rsidRPr="00C434B6" w14:paraId="4D3ED6A8" w14:textId="77777777" w:rsidTr="00962119">
        <w:trPr>
          <w:trHeight w:val="20"/>
        </w:trPr>
        <w:tc>
          <w:tcPr>
            <w:tcW w:w="2340" w:type="dxa"/>
            <w:shd w:val="clear" w:color="auto" w:fill="auto"/>
            <w:vAlign w:val="center"/>
          </w:tcPr>
          <w:p w14:paraId="6B8BA57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6.1 – 6.5</w:t>
            </w:r>
          </w:p>
        </w:tc>
        <w:tc>
          <w:tcPr>
            <w:tcW w:w="2340" w:type="dxa"/>
            <w:shd w:val="clear" w:color="auto" w:fill="auto"/>
            <w:vAlign w:val="center"/>
          </w:tcPr>
          <w:p w14:paraId="6758A485"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4EAC62C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3</w:t>
            </w:r>
          </w:p>
        </w:tc>
        <w:tc>
          <w:tcPr>
            <w:tcW w:w="2340" w:type="dxa"/>
            <w:shd w:val="clear" w:color="auto" w:fill="auto"/>
            <w:vAlign w:val="center"/>
          </w:tcPr>
          <w:p w14:paraId="465530D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r>
      <w:tr w:rsidR="00C434B6" w:rsidRPr="00C434B6" w14:paraId="362DEFF6" w14:textId="77777777" w:rsidTr="00962119">
        <w:trPr>
          <w:trHeight w:val="20"/>
        </w:trPr>
        <w:tc>
          <w:tcPr>
            <w:tcW w:w="2340" w:type="dxa"/>
            <w:shd w:val="clear" w:color="auto" w:fill="auto"/>
            <w:vAlign w:val="center"/>
          </w:tcPr>
          <w:p w14:paraId="7EBDDA39"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6.6 – 7.0</w:t>
            </w:r>
          </w:p>
        </w:tc>
        <w:tc>
          <w:tcPr>
            <w:tcW w:w="2340" w:type="dxa"/>
            <w:shd w:val="clear" w:color="auto" w:fill="auto"/>
            <w:vAlign w:val="center"/>
          </w:tcPr>
          <w:p w14:paraId="5469ABD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vAlign w:val="center"/>
          </w:tcPr>
          <w:p w14:paraId="74F1A5E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c>
          <w:tcPr>
            <w:tcW w:w="2340" w:type="dxa"/>
            <w:shd w:val="clear" w:color="auto" w:fill="auto"/>
            <w:vAlign w:val="center"/>
          </w:tcPr>
          <w:p w14:paraId="7575759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r>
      <w:tr w:rsidR="00C434B6" w:rsidRPr="00C434B6" w14:paraId="4FB08B29" w14:textId="77777777" w:rsidTr="00962119">
        <w:trPr>
          <w:trHeight w:val="20"/>
        </w:trPr>
        <w:tc>
          <w:tcPr>
            <w:tcW w:w="2340" w:type="dxa"/>
            <w:shd w:val="clear" w:color="auto" w:fill="auto"/>
            <w:vAlign w:val="center"/>
          </w:tcPr>
          <w:p w14:paraId="1B5B87D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7.1 – 7.5</w:t>
            </w:r>
          </w:p>
        </w:tc>
        <w:tc>
          <w:tcPr>
            <w:tcW w:w="2340" w:type="dxa"/>
            <w:shd w:val="clear" w:color="auto" w:fill="auto"/>
            <w:vAlign w:val="center"/>
          </w:tcPr>
          <w:p w14:paraId="2175E91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vAlign w:val="center"/>
          </w:tcPr>
          <w:p w14:paraId="437AF4FC"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c>
          <w:tcPr>
            <w:tcW w:w="2340" w:type="dxa"/>
            <w:shd w:val="clear" w:color="auto" w:fill="auto"/>
            <w:vAlign w:val="center"/>
          </w:tcPr>
          <w:p w14:paraId="5F155025"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r>
      <w:tr w:rsidR="00C434B6" w:rsidRPr="00C434B6" w14:paraId="4D6DB957" w14:textId="77777777" w:rsidTr="00962119">
        <w:trPr>
          <w:trHeight w:val="20"/>
        </w:trPr>
        <w:tc>
          <w:tcPr>
            <w:tcW w:w="2340" w:type="dxa"/>
            <w:shd w:val="clear" w:color="auto" w:fill="auto"/>
            <w:vAlign w:val="center"/>
          </w:tcPr>
          <w:p w14:paraId="42D7771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7.6 – 8.0</w:t>
            </w:r>
          </w:p>
        </w:tc>
        <w:tc>
          <w:tcPr>
            <w:tcW w:w="2340" w:type="dxa"/>
            <w:shd w:val="clear" w:color="auto" w:fill="auto"/>
            <w:vAlign w:val="center"/>
          </w:tcPr>
          <w:p w14:paraId="5EFF927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vAlign w:val="center"/>
          </w:tcPr>
          <w:p w14:paraId="0DA3413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4</w:t>
            </w:r>
          </w:p>
        </w:tc>
        <w:tc>
          <w:tcPr>
            <w:tcW w:w="2340" w:type="dxa"/>
            <w:shd w:val="clear" w:color="auto" w:fill="auto"/>
            <w:vAlign w:val="center"/>
          </w:tcPr>
          <w:p w14:paraId="4B09AE3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r>
      <w:tr w:rsidR="00C434B6" w:rsidRPr="00C434B6" w14:paraId="5CA84329" w14:textId="77777777" w:rsidTr="00962119">
        <w:trPr>
          <w:trHeight w:val="20"/>
        </w:trPr>
        <w:tc>
          <w:tcPr>
            <w:tcW w:w="2340" w:type="dxa"/>
            <w:shd w:val="clear" w:color="auto" w:fill="auto"/>
            <w:vAlign w:val="center"/>
          </w:tcPr>
          <w:p w14:paraId="056C2962"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8.1 – 8.5</w:t>
            </w:r>
          </w:p>
        </w:tc>
        <w:tc>
          <w:tcPr>
            <w:tcW w:w="2340" w:type="dxa"/>
            <w:shd w:val="clear" w:color="auto" w:fill="auto"/>
            <w:vAlign w:val="center"/>
          </w:tcPr>
          <w:p w14:paraId="217C41DC"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vAlign w:val="center"/>
          </w:tcPr>
          <w:p w14:paraId="36F763AC"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c>
          <w:tcPr>
            <w:tcW w:w="2340" w:type="dxa"/>
            <w:shd w:val="clear" w:color="auto" w:fill="auto"/>
            <w:vAlign w:val="center"/>
          </w:tcPr>
          <w:p w14:paraId="4BB793A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r>
      <w:tr w:rsidR="00C434B6" w:rsidRPr="00C434B6" w14:paraId="6EDA77C8" w14:textId="77777777" w:rsidTr="00962119">
        <w:trPr>
          <w:trHeight w:val="20"/>
        </w:trPr>
        <w:tc>
          <w:tcPr>
            <w:tcW w:w="2340" w:type="dxa"/>
            <w:shd w:val="clear" w:color="auto" w:fill="auto"/>
            <w:vAlign w:val="center"/>
          </w:tcPr>
          <w:p w14:paraId="3E255F66"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8.6 – 9.0</w:t>
            </w:r>
          </w:p>
        </w:tc>
        <w:tc>
          <w:tcPr>
            <w:tcW w:w="2340" w:type="dxa"/>
            <w:shd w:val="clear" w:color="auto" w:fill="auto"/>
          </w:tcPr>
          <w:p w14:paraId="3AC9AE49"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tcPr>
          <w:p w14:paraId="6630056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c>
          <w:tcPr>
            <w:tcW w:w="2340" w:type="dxa"/>
            <w:shd w:val="clear" w:color="auto" w:fill="auto"/>
          </w:tcPr>
          <w:p w14:paraId="5B4B326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r>
      <w:tr w:rsidR="00C434B6" w:rsidRPr="00C434B6" w14:paraId="1E68EABF" w14:textId="77777777" w:rsidTr="00962119">
        <w:trPr>
          <w:trHeight w:val="20"/>
        </w:trPr>
        <w:tc>
          <w:tcPr>
            <w:tcW w:w="2340" w:type="dxa"/>
            <w:shd w:val="clear" w:color="auto" w:fill="auto"/>
            <w:vAlign w:val="center"/>
          </w:tcPr>
          <w:p w14:paraId="4E321AF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9.1 – 9.5</w:t>
            </w:r>
          </w:p>
        </w:tc>
        <w:tc>
          <w:tcPr>
            <w:tcW w:w="2340" w:type="dxa"/>
            <w:shd w:val="clear" w:color="auto" w:fill="auto"/>
          </w:tcPr>
          <w:p w14:paraId="7341FB9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tcPr>
          <w:p w14:paraId="455E3CC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5</w:t>
            </w:r>
          </w:p>
        </w:tc>
        <w:tc>
          <w:tcPr>
            <w:tcW w:w="2340" w:type="dxa"/>
            <w:shd w:val="clear" w:color="auto" w:fill="auto"/>
          </w:tcPr>
          <w:p w14:paraId="4B4E859E"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r>
      <w:tr w:rsidR="00C434B6" w:rsidRPr="00C434B6" w14:paraId="54597F5E" w14:textId="77777777" w:rsidTr="00962119">
        <w:trPr>
          <w:trHeight w:val="20"/>
        </w:trPr>
        <w:tc>
          <w:tcPr>
            <w:tcW w:w="2340" w:type="dxa"/>
            <w:shd w:val="clear" w:color="auto" w:fill="auto"/>
            <w:vAlign w:val="center"/>
          </w:tcPr>
          <w:p w14:paraId="3A026DE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9.6 – 10.0</w:t>
            </w:r>
          </w:p>
        </w:tc>
        <w:tc>
          <w:tcPr>
            <w:tcW w:w="2340" w:type="dxa"/>
            <w:shd w:val="clear" w:color="auto" w:fill="auto"/>
          </w:tcPr>
          <w:p w14:paraId="0A3E88C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tcPr>
          <w:p w14:paraId="1C117EE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c>
          <w:tcPr>
            <w:tcW w:w="2340" w:type="dxa"/>
            <w:shd w:val="clear" w:color="auto" w:fill="auto"/>
          </w:tcPr>
          <w:p w14:paraId="663D2FA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r>
      <w:tr w:rsidR="00C434B6" w:rsidRPr="00C434B6" w14:paraId="2CA8DA61" w14:textId="77777777" w:rsidTr="00962119">
        <w:trPr>
          <w:trHeight w:val="20"/>
        </w:trPr>
        <w:tc>
          <w:tcPr>
            <w:tcW w:w="2340" w:type="dxa"/>
            <w:shd w:val="clear" w:color="auto" w:fill="auto"/>
            <w:vAlign w:val="center"/>
          </w:tcPr>
          <w:p w14:paraId="08781C5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10.1 – 10.5</w:t>
            </w:r>
          </w:p>
        </w:tc>
        <w:tc>
          <w:tcPr>
            <w:tcW w:w="2340" w:type="dxa"/>
            <w:shd w:val="clear" w:color="auto" w:fill="auto"/>
          </w:tcPr>
          <w:p w14:paraId="02E4956C"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tcPr>
          <w:p w14:paraId="1644F2D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c>
          <w:tcPr>
            <w:tcW w:w="2340" w:type="dxa"/>
            <w:shd w:val="clear" w:color="auto" w:fill="auto"/>
          </w:tcPr>
          <w:p w14:paraId="6E256BE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r>
      <w:tr w:rsidR="00C434B6" w:rsidRPr="00C434B6" w14:paraId="5B3ABD48" w14:textId="77777777" w:rsidTr="00962119">
        <w:trPr>
          <w:trHeight w:val="20"/>
        </w:trPr>
        <w:tc>
          <w:tcPr>
            <w:tcW w:w="2340" w:type="dxa"/>
            <w:shd w:val="clear" w:color="auto" w:fill="auto"/>
            <w:vAlign w:val="center"/>
          </w:tcPr>
          <w:p w14:paraId="64CE78E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10.6 – 11.0</w:t>
            </w:r>
          </w:p>
        </w:tc>
        <w:tc>
          <w:tcPr>
            <w:tcW w:w="2340" w:type="dxa"/>
            <w:shd w:val="clear" w:color="auto" w:fill="auto"/>
          </w:tcPr>
          <w:p w14:paraId="60012290"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tcPr>
          <w:p w14:paraId="2697D6B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6</w:t>
            </w:r>
          </w:p>
        </w:tc>
        <w:tc>
          <w:tcPr>
            <w:tcW w:w="2340" w:type="dxa"/>
            <w:shd w:val="clear" w:color="auto" w:fill="auto"/>
          </w:tcPr>
          <w:p w14:paraId="2A13F8C1"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w:t>
            </w:r>
          </w:p>
        </w:tc>
      </w:tr>
      <w:tr w:rsidR="00C434B6" w:rsidRPr="004C274A" w14:paraId="7DD1F672" w14:textId="77777777" w:rsidTr="00962119">
        <w:trPr>
          <w:trHeight w:val="20"/>
        </w:trPr>
        <w:tc>
          <w:tcPr>
            <w:tcW w:w="2340" w:type="dxa"/>
            <w:shd w:val="clear" w:color="auto" w:fill="auto"/>
            <w:vAlign w:val="center"/>
          </w:tcPr>
          <w:p w14:paraId="777C63B2"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11.1 – 11.5</w:t>
            </w:r>
          </w:p>
        </w:tc>
        <w:tc>
          <w:tcPr>
            <w:tcW w:w="2340" w:type="dxa"/>
            <w:shd w:val="clear" w:color="auto" w:fill="auto"/>
          </w:tcPr>
          <w:p w14:paraId="7A099D1F"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tcPr>
          <w:p w14:paraId="5DDD990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c>
          <w:tcPr>
            <w:tcW w:w="2340" w:type="dxa"/>
            <w:shd w:val="clear" w:color="auto" w:fill="auto"/>
          </w:tcPr>
          <w:p w14:paraId="1944C1F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w:t>
            </w:r>
          </w:p>
        </w:tc>
      </w:tr>
      <w:tr w:rsidR="00C434B6" w:rsidRPr="004C274A" w14:paraId="519A808F" w14:textId="77777777" w:rsidTr="00962119">
        <w:trPr>
          <w:trHeight w:val="20"/>
        </w:trPr>
        <w:tc>
          <w:tcPr>
            <w:tcW w:w="2340" w:type="dxa"/>
            <w:shd w:val="clear" w:color="auto" w:fill="auto"/>
            <w:vAlign w:val="center"/>
          </w:tcPr>
          <w:p w14:paraId="7AE86BD2"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11.6 – 12.0</w:t>
            </w:r>
          </w:p>
        </w:tc>
        <w:tc>
          <w:tcPr>
            <w:tcW w:w="2340" w:type="dxa"/>
            <w:shd w:val="clear" w:color="auto" w:fill="auto"/>
          </w:tcPr>
          <w:p w14:paraId="417D5398"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tcPr>
          <w:p w14:paraId="7FFCD53E"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w:t>
            </w:r>
          </w:p>
        </w:tc>
        <w:tc>
          <w:tcPr>
            <w:tcW w:w="2340" w:type="dxa"/>
            <w:shd w:val="clear" w:color="auto" w:fill="auto"/>
          </w:tcPr>
          <w:p w14:paraId="218DA25D"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w:t>
            </w:r>
          </w:p>
        </w:tc>
      </w:tr>
      <w:tr w:rsidR="00C434B6" w:rsidRPr="00C434B6" w14:paraId="757C9FEA" w14:textId="77777777" w:rsidTr="00962119">
        <w:trPr>
          <w:trHeight w:val="20"/>
        </w:trPr>
        <w:tc>
          <w:tcPr>
            <w:tcW w:w="2340" w:type="dxa"/>
            <w:shd w:val="clear" w:color="auto" w:fill="auto"/>
            <w:vAlign w:val="center"/>
          </w:tcPr>
          <w:p w14:paraId="2F42BF5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12.1 – 12.5</w:t>
            </w:r>
          </w:p>
        </w:tc>
        <w:tc>
          <w:tcPr>
            <w:tcW w:w="2340" w:type="dxa"/>
            <w:shd w:val="clear" w:color="auto" w:fill="auto"/>
          </w:tcPr>
          <w:p w14:paraId="2EB290A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2</w:t>
            </w:r>
          </w:p>
        </w:tc>
        <w:tc>
          <w:tcPr>
            <w:tcW w:w="2340" w:type="dxa"/>
            <w:shd w:val="clear" w:color="auto" w:fill="auto"/>
          </w:tcPr>
          <w:p w14:paraId="1364CED5"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7</w:t>
            </w:r>
          </w:p>
        </w:tc>
        <w:tc>
          <w:tcPr>
            <w:tcW w:w="2340" w:type="dxa"/>
            <w:shd w:val="clear" w:color="auto" w:fill="auto"/>
          </w:tcPr>
          <w:p w14:paraId="1D5F8BA3"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w:t>
            </w:r>
          </w:p>
        </w:tc>
      </w:tr>
      <w:tr w:rsidR="00C434B6" w:rsidRPr="00C434B6" w14:paraId="7ECEE0DD" w14:textId="77777777" w:rsidTr="00962119">
        <w:trPr>
          <w:trHeight w:val="20"/>
        </w:trPr>
        <w:tc>
          <w:tcPr>
            <w:tcW w:w="2340" w:type="dxa"/>
            <w:shd w:val="clear" w:color="auto" w:fill="auto"/>
            <w:vAlign w:val="center"/>
          </w:tcPr>
          <w:p w14:paraId="490FBA96"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12.6 – 13.0</w:t>
            </w:r>
          </w:p>
        </w:tc>
        <w:tc>
          <w:tcPr>
            <w:tcW w:w="2340" w:type="dxa"/>
            <w:shd w:val="clear" w:color="auto" w:fill="auto"/>
          </w:tcPr>
          <w:p w14:paraId="7B75D997"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w:t>
            </w:r>
          </w:p>
        </w:tc>
        <w:tc>
          <w:tcPr>
            <w:tcW w:w="2340" w:type="dxa"/>
            <w:shd w:val="clear" w:color="auto" w:fill="auto"/>
          </w:tcPr>
          <w:p w14:paraId="73297289"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8</w:t>
            </w:r>
          </w:p>
        </w:tc>
        <w:tc>
          <w:tcPr>
            <w:tcW w:w="2340" w:type="dxa"/>
            <w:shd w:val="clear" w:color="auto" w:fill="auto"/>
          </w:tcPr>
          <w:p w14:paraId="181BD53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w:t>
            </w:r>
          </w:p>
        </w:tc>
      </w:tr>
      <w:tr w:rsidR="00C434B6" w:rsidRPr="00C434B6" w14:paraId="0D63A191" w14:textId="77777777" w:rsidTr="00962119">
        <w:trPr>
          <w:trHeight w:val="20"/>
        </w:trPr>
        <w:tc>
          <w:tcPr>
            <w:tcW w:w="2340" w:type="dxa"/>
            <w:shd w:val="clear" w:color="auto" w:fill="auto"/>
            <w:vAlign w:val="center"/>
          </w:tcPr>
          <w:p w14:paraId="6195683B"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13.1 – 13.5</w:t>
            </w:r>
          </w:p>
        </w:tc>
        <w:tc>
          <w:tcPr>
            <w:tcW w:w="2340" w:type="dxa"/>
            <w:shd w:val="clear" w:color="auto" w:fill="auto"/>
          </w:tcPr>
          <w:p w14:paraId="3BCC99A4"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0</w:t>
            </w:r>
          </w:p>
        </w:tc>
        <w:tc>
          <w:tcPr>
            <w:tcW w:w="2340" w:type="dxa"/>
            <w:shd w:val="clear" w:color="auto" w:fill="auto"/>
          </w:tcPr>
          <w:p w14:paraId="332F0C3C"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w:t>
            </w:r>
          </w:p>
        </w:tc>
        <w:tc>
          <w:tcPr>
            <w:tcW w:w="2340" w:type="dxa"/>
            <w:shd w:val="clear" w:color="auto" w:fill="auto"/>
          </w:tcPr>
          <w:p w14:paraId="2EF5239A" w14:textId="77777777" w:rsidR="00C434B6" w:rsidRPr="004C274A" w:rsidRDefault="00C434B6" w:rsidP="00962119">
            <w:pPr>
              <w:pStyle w:val="NormalAgency"/>
              <w:jc w:val="center"/>
              <w:rPr>
                <w:rFonts w:ascii="Cambria" w:hAnsi="Cambria"/>
                <w:noProof/>
                <w:szCs w:val="22"/>
              </w:rPr>
            </w:pPr>
            <w:r w:rsidRPr="004C274A">
              <w:rPr>
                <w:rFonts w:ascii="Cambria" w:hAnsi="Cambria"/>
                <w:noProof/>
                <w:szCs w:val="22"/>
              </w:rPr>
              <w:t>9</w:t>
            </w:r>
          </w:p>
        </w:tc>
      </w:tr>
    </w:tbl>
    <w:p w14:paraId="4239EA41" w14:textId="77777777" w:rsidR="00C434B6" w:rsidRPr="00C434B6" w:rsidRDefault="00C434B6" w:rsidP="00C434B6">
      <w:pPr>
        <w:pStyle w:val="NormalAgency"/>
        <w:tabs>
          <w:tab w:val="left" w:pos="284"/>
        </w:tabs>
        <w:ind w:left="284" w:hanging="284"/>
        <w:rPr>
          <w:rFonts w:ascii="Cambria" w:hAnsi="Cambria"/>
          <w:noProof/>
          <w:sz w:val="20"/>
          <w:szCs w:val="20"/>
        </w:rPr>
      </w:pPr>
      <w:r w:rsidRPr="00C434B6">
        <w:rPr>
          <w:rFonts w:ascii="Cambria" w:hAnsi="Cambria"/>
          <w:noProof/>
          <w:sz w:val="24"/>
          <w:szCs w:val="24"/>
          <w:vertAlign w:val="superscript"/>
        </w:rPr>
        <w:t>a</w:t>
      </w:r>
      <w:r w:rsidRPr="00C434B6">
        <w:rPr>
          <w:rFonts w:ascii="Cambria" w:hAnsi="Cambria"/>
          <w:noProof/>
          <w:sz w:val="24"/>
          <w:szCs w:val="24"/>
        </w:rPr>
        <w:tab/>
      </w:r>
      <w:r w:rsidRPr="00C434B6">
        <w:rPr>
          <w:rFonts w:ascii="Cambria" w:hAnsi="Cambria"/>
          <w:noProof/>
          <w:sz w:val="20"/>
          <w:szCs w:val="20"/>
        </w:rPr>
        <w:t>Vial nominal concentration is 2 × 10</w:t>
      </w:r>
      <w:r w:rsidRPr="00C434B6">
        <w:rPr>
          <w:rFonts w:ascii="Cambria" w:hAnsi="Cambria"/>
          <w:noProof/>
          <w:sz w:val="20"/>
          <w:szCs w:val="20"/>
          <w:vertAlign w:val="superscript"/>
        </w:rPr>
        <w:t>13</w:t>
      </w:r>
      <w:r w:rsidRPr="00C434B6">
        <w:rPr>
          <w:rFonts w:ascii="Cambria" w:hAnsi="Cambria"/>
          <w:noProof/>
          <w:sz w:val="20"/>
          <w:szCs w:val="20"/>
        </w:rPr>
        <w:t> vg/mL  and contains an extractable volume of not less than 5.5 mL.</w:t>
      </w:r>
    </w:p>
    <w:p w14:paraId="42DC8A64" w14:textId="77777777" w:rsidR="00C434B6" w:rsidRPr="00C434B6" w:rsidRDefault="00C434B6" w:rsidP="00C434B6">
      <w:pPr>
        <w:pStyle w:val="NormalAgency"/>
        <w:tabs>
          <w:tab w:val="left" w:pos="284"/>
        </w:tabs>
        <w:ind w:left="284" w:hanging="284"/>
        <w:rPr>
          <w:rFonts w:ascii="Cambria" w:hAnsi="Cambria"/>
          <w:noProof/>
          <w:sz w:val="20"/>
          <w:szCs w:val="20"/>
        </w:rPr>
      </w:pPr>
      <w:r w:rsidRPr="00C434B6">
        <w:rPr>
          <w:rFonts w:ascii="Cambria" w:hAnsi="Cambria"/>
          <w:noProof/>
          <w:sz w:val="20"/>
          <w:szCs w:val="20"/>
          <w:vertAlign w:val="superscript"/>
        </w:rPr>
        <w:t>b</w:t>
      </w:r>
      <w:r w:rsidRPr="00C434B6">
        <w:rPr>
          <w:rFonts w:ascii="Cambria" w:hAnsi="Cambria"/>
          <w:noProof/>
          <w:sz w:val="20"/>
          <w:szCs w:val="20"/>
        </w:rPr>
        <w:tab/>
        <w:t>Vial contains nominal concentration is 2 × 10</w:t>
      </w:r>
      <w:r w:rsidRPr="00C434B6">
        <w:rPr>
          <w:rFonts w:ascii="Cambria" w:hAnsi="Cambria"/>
          <w:noProof/>
          <w:sz w:val="20"/>
          <w:szCs w:val="20"/>
          <w:vertAlign w:val="superscript"/>
        </w:rPr>
        <w:t>13</w:t>
      </w:r>
      <w:r w:rsidRPr="00C434B6">
        <w:rPr>
          <w:rFonts w:ascii="Cambria" w:hAnsi="Cambria"/>
          <w:noProof/>
          <w:sz w:val="20"/>
          <w:szCs w:val="20"/>
        </w:rPr>
        <w:t> vg/mL  and an extractable volume of not less than 8.3 mL.</w:t>
      </w:r>
    </w:p>
    <w:p w14:paraId="01F6AEFA" w14:textId="3AB6F4CF" w:rsidR="009C2763" w:rsidRPr="00CE03FD" w:rsidRDefault="009C2763" w:rsidP="00EE35F8">
      <w:pPr>
        <w:pStyle w:val="Heading2"/>
        <w:numPr>
          <w:ilvl w:val="0"/>
          <w:numId w:val="0"/>
        </w:numPr>
        <w:ind w:left="576" w:hanging="576"/>
        <w:jc w:val="both"/>
      </w:pPr>
      <w:r w:rsidRPr="00CE03FD">
        <w:t xml:space="preserve">6.6 </w:t>
      </w:r>
      <w:r w:rsidR="00FF2382" w:rsidRPr="00CE03FD">
        <w:t>Special precautions for disposal</w:t>
      </w:r>
    </w:p>
    <w:p w14:paraId="02C59FF2" w14:textId="357EA5C6" w:rsidR="008E0D8F" w:rsidRDefault="00BA299C" w:rsidP="00D83B93">
      <w:pPr>
        <w:rPr>
          <w:rFonts w:ascii="Cambria" w:hAnsi="Cambria"/>
        </w:rPr>
      </w:pPr>
      <w:bookmarkStart w:id="61" w:name="_GoBack"/>
      <w:r w:rsidRPr="00CE03FD">
        <w:rPr>
          <w:rFonts w:ascii="Cambria" w:hAnsi="Cambria"/>
        </w:rPr>
        <w:t xml:space="preserve">This medicine contains genetically modified organisms. </w:t>
      </w:r>
      <w:r w:rsidR="00572010" w:rsidRPr="00CE03FD">
        <w:rPr>
          <w:rFonts w:ascii="Cambria" w:hAnsi="Cambria"/>
        </w:rPr>
        <w:t xml:space="preserve"> </w:t>
      </w:r>
      <w:r w:rsidRPr="00CE03FD">
        <w:rPr>
          <w:rFonts w:ascii="Cambria" w:hAnsi="Cambria"/>
        </w:rPr>
        <w:t xml:space="preserve">Unused medicine </w:t>
      </w:r>
      <w:r w:rsidR="004F4822" w:rsidRPr="00CE03FD">
        <w:rPr>
          <w:rFonts w:ascii="Cambria" w:hAnsi="Cambria"/>
        </w:rPr>
        <w:t xml:space="preserve">and waste products </w:t>
      </w:r>
      <w:r w:rsidRPr="00CE03FD">
        <w:rPr>
          <w:rFonts w:ascii="Cambria" w:hAnsi="Cambria"/>
        </w:rPr>
        <w:t xml:space="preserve">must be disposed of in compliance with the </w:t>
      </w:r>
      <w:r w:rsidR="0058013C">
        <w:rPr>
          <w:rFonts w:ascii="Cambria" w:hAnsi="Cambria"/>
        </w:rPr>
        <w:t xml:space="preserve">local </w:t>
      </w:r>
      <w:r w:rsidRPr="00CE03FD">
        <w:rPr>
          <w:rFonts w:ascii="Cambria" w:hAnsi="Cambria"/>
        </w:rPr>
        <w:t>institutional guidelines for genetically modified organisms or bio</w:t>
      </w:r>
      <w:r w:rsidR="00982FB1" w:rsidRPr="00CE03FD">
        <w:rPr>
          <w:rFonts w:ascii="Cambria" w:hAnsi="Cambria"/>
        </w:rPr>
        <w:t>hazardous waste, as appropriate.</w:t>
      </w:r>
    </w:p>
    <w:p w14:paraId="7A33E7AF" w14:textId="7FCB6C81" w:rsidR="008E0D8F" w:rsidRPr="00CE03FD" w:rsidRDefault="008E0D8F" w:rsidP="00D83B93">
      <w:pPr>
        <w:rPr>
          <w:rFonts w:ascii="Cambria" w:hAnsi="Cambria"/>
        </w:rPr>
      </w:pPr>
      <w:r w:rsidRPr="008E0D8F">
        <w:rPr>
          <w:rFonts w:ascii="Cambria" w:hAnsi="Cambria"/>
        </w:rPr>
        <w:t>Temporary onasemnogene abeparvovec shedding may occur, primarily through bodily waste.  Caregivers and patient families should be advised on the proper handling of patient stools.  Instructions should be provided regarding good hand-hygiene when coming into direct contact with patient bodily waste for a minimum of 1 month after onasemnogene abeparvove</w:t>
      </w:r>
      <w:r w:rsidR="00304E78">
        <w:rPr>
          <w:rFonts w:ascii="Cambria" w:hAnsi="Cambria"/>
        </w:rPr>
        <w:t>c treatment.  Disposable nappies</w:t>
      </w:r>
      <w:r w:rsidRPr="008E0D8F">
        <w:rPr>
          <w:rFonts w:ascii="Cambria" w:hAnsi="Cambria"/>
        </w:rPr>
        <w:t xml:space="preserve"> should </w:t>
      </w:r>
      <w:r w:rsidR="00AF517C">
        <w:rPr>
          <w:rFonts w:ascii="Cambria" w:hAnsi="Cambria"/>
        </w:rPr>
        <w:t xml:space="preserve">be </w:t>
      </w:r>
      <w:r w:rsidRPr="008E0D8F">
        <w:rPr>
          <w:rFonts w:ascii="Cambria" w:hAnsi="Cambria"/>
        </w:rPr>
        <w:t>sealed in plastics bags and can be disposed of in household waste.</w:t>
      </w:r>
    </w:p>
    <w:bookmarkEnd w:id="61"/>
    <w:p w14:paraId="60DF034F" w14:textId="1B0593CB" w:rsidR="0035159D" w:rsidRPr="00CE03FD" w:rsidRDefault="00FF2382" w:rsidP="00EE35F8">
      <w:pPr>
        <w:pStyle w:val="Heading2"/>
        <w:numPr>
          <w:ilvl w:val="0"/>
          <w:numId w:val="0"/>
        </w:numPr>
        <w:ind w:left="576" w:hanging="576"/>
        <w:jc w:val="both"/>
      </w:pPr>
      <w:r w:rsidRPr="00CE03FD">
        <w:t>6.7 Physicochemical properties</w:t>
      </w:r>
    </w:p>
    <w:p w14:paraId="01C587CB" w14:textId="57F28CD5" w:rsidR="0035159D" w:rsidRPr="005D108B" w:rsidRDefault="00376635" w:rsidP="00962DC6">
      <w:pPr>
        <w:rPr>
          <w:rFonts w:ascii="Cambria" w:hAnsi="Cambria"/>
          <w:b/>
          <w:szCs w:val="24"/>
        </w:rPr>
      </w:pPr>
      <w:r w:rsidRPr="005D108B">
        <w:rPr>
          <w:rFonts w:ascii="Cambria" w:hAnsi="Cambria"/>
          <w:szCs w:val="24"/>
        </w:rPr>
        <w:t xml:space="preserve">CAS Number: </w:t>
      </w:r>
      <w:r w:rsidR="006C7C93" w:rsidRPr="005D108B">
        <w:rPr>
          <w:rFonts w:ascii="Cambria" w:hAnsi="Cambria"/>
          <w:szCs w:val="24"/>
        </w:rPr>
        <w:t>1922968-73-7.</w:t>
      </w:r>
    </w:p>
    <w:p w14:paraId="4FC5B948" w14:textId="6E13D421" w:rsidR="0035159D" w:rsidRPr="00376635" w:rsidRDefault="0035159D" w:rsidP="002B1522">
      <w:pPr>
        <w:pStyle w:val="Heading1"/>
        <w:numPr>
          <w:ilvl w:val="0"/>
          <w:numId w:val="0"/>
        </w:numPr>
        <w:ind w:left="432" w:hanging="432"/>
        <w:jc w:val="both"/>
      </w:pPr>
      <w:r w:rsidRPr="00376635">
        <w:t>7 MEDICINE SCHEDULE (POISONS STANDARD)</w:t>
      </w:r>
    </w:p>
    <w:p w14:paraId="5A40CE6F" w14:textId="2D84693E" w:rsidR="0057064B" w:rsidRPr="00CE03FD" w:rsidRDefault="00D3168F" w:rsidP="00EE35F8">
      <w:pPr>
        <w:jc w:val="both"/>
        <w:rPr>
          <w:rFonts w:ascii="Cambria" w:hAnsi="Cambria"/>
        </w:rPr>
      </w:pPr>
      <w:r>
        <w:rPr>
          <w:rFonts w:ascii="Cambria" w:hAnsi="Cambria"/>
        </w:rPr>
        <w:t>Prescription Only Medicine</w:t>
      </w:r>
      <w:r w:rsidR="00106518" w:rsidRPr="00CE03FD">
        <w:rPr>
          <w:rFonts w:ascii="Cambria" w:hAnsi="Cambria"/>
        </w:rPr>
        <w:t>.</w:t>
      </w:r>
    </w:p>
    <w:p w14:paraId="1769E4D6" w14:textId="0083C59D" w:rsidR="0035159D" w:rsidRPr="004C274A" w:rsidRDefault="0035159D" w:rsidP="00EE35F8">
      <w:pPr>
        <w:pStyle w:val="Heading1"/>
        <w:numPr>
          <w:ilvl w:val="0"/>
          <w:numId w:val="0"/>
        </w:numPr>
        <w:ind w:left="432" w:hanging="432"/>
        <w:jc w:val="both"/>
      </w:pPr>
      <w:r w:rsidRPr="004C274A">
        <w:t>8 SPONSOR</w:t>
      </w:r>
    </w:p>
    <w:p w14:paraId="5DCBBE0F" w14:textId="77777777" w:rsidR="00EB1ABA" w:rsidRPr="00CE03FD" w:rsidRDefault="00EB1ABA" w:rsidP="00EE35F8">
      <w:pPr>
        <w:spacing w:after="0"/>
        <w:jc w:val="both"/>
        <w:rPr>
          <w:rFonts w:ascii="Cambria" w:hAnsi="Cambria"/>
          <w:lang w:val="en"/>
        </w:rPr>
      </w:pPr>
      <w:r w:rsidRPr="00CE03FD">
        <w:rPr>
          <w:rFonts w:ascii="Cambria" w:hAnsi="Cambria"/>
          <w:lang w:val="en"/>
        </w:rPr>
        <w:t>Novartis Pharmaceuticals Australia Pty Limited</w:t>
      </w:r>
    </w:p>
    <w:p w14:paraId="6C4723C8" w14:textId="77777777" w:rsidR="00EB1ABA" w:rsidRPr="00CE03FD" w:rsidRDefault="00EB1ABA" w:rsidP="00EE35F8">
      <w:pPr>
        <w:spacing w:after="0"/>
        <w:jc w:val="both"/>
        <w:rPr>
          <w:rFonts w:ascii="Cambria" w:hAnsi="Cambria"/>
          <w:lang w:val="en"/>
        </w:rPr>
      </w:pPr>
      <w:r w:rsidRPr="00CE03FD">
        <w:rPr>
          <w:rFonts w:ascii="Cambria" w:hAnsi="Cambria"/>
          <w:lang w:val="en"/>
        </w:rPr>
        <w:t>ABN 18 004 244 160</w:t>
      </w:r>
    </w:p>
    <w:p w14:paraId="0034A3CD" w14:textId="353D0FDC" w:rsidR="00EB1ABA" w:rsidRPr="00CE03FD" w:rsidRDefault="00EB1ABA" w:rsidP="00EE35F8">
      <w:pPr>
        <w:spacing w:after="0"/>
        <w:jc w:val="both"/>
        <w:rPr>
          <w:rFonts w:ascii="Cambria" w:hAnsi="Cambria"/>
          <w:lang w:val="en"/>
        </w:rPr>
      </w:pPr>
      <w:r w:rsidRPr="00CE03FD">
        <w:rPr>
          <w:rFonts w:ascii="Cambria" w:hAnsi="Cambria"/>
          <w:lang w:val="en"/>
        </w:rPr>
        <w:t>54 Waterloo Road</w:t>
      </w:r>
    </w:p>
    <w:p w14:paraId="7E7C9190" w14:textId="76EC9D2B" w:rsidR="00EB1ABA" w:rsidRPr="00CE03FD" w:rsidRDefault="00EB1ABA" w:rsidP="00EE35F8">
      <w:pPr>
        <w:spacing w:after="0"/>
        <w:jc w:val="both"/>
        <w:rPr>
          <w:rFonts w:ascii="Cambria" w:hAnsi="Cambria"/>
          <w:lang w:val="en"/>
        </w:rPr>
      </w:pPr>
      <w:r w:rsidRPr="00CE03FD">
        <w:rPr>
          <w:rFonts w:ascii="Cambria" w:hAnsi="Cambria"/>
          <w:lang w:val="en"/>
        </w:rPr>
        <w:t>Macquarie Park NSW 2113.</w:t>
      </w:r>
    </w:p>
    <w:p w14:paraId="6E566C0F" w14:textId="1746C3FC" w:rsidR="004F4822" w:rsidRPr="00CE03FD" w:rsidRDefault="00C73F76" w:rsidP="00EE35F8">
      <w:pPr>
        <w:spacing w:after="0"/>
        <w:jc w:val="both"/>
        <w:rPr>
          <w:rFonts w:ascii="Cambria" w:hAnsi="Cambria"/>
          <w:lang w:val="en"/>
        </w:rPr>
      </w:pPr>
      <w:r>
        <w:rPr>
          <w:rFonts w:ascii="Cambria" w:hAnsi="Cambria"/>
          <w:lang w:val="en"/>
        </w:rPr>
        <w:t xml:space="preserve">Telephone No. </w:t>
      </w:r>
      <w:r w:rsidR="004F4822" w:rsidRPr="00CE03FD">
        <w:rPr>
          <w:rFonts w:ascii="Cambria" w:hAnsi="Cambria"/>
          <w:lang w:val="en"/>
        </w:rPr>
        <w:t>1800 671 203.</w:t>
      </w:r>
    </w:p>
    <w:p w14:paraId="400F4577" w14:textId="77777777" w:rsidR="00811FB2" w:rsidRPr="00CE03FD" w:rsidRDefault="00811FB2" w:rsidP="00EE35F8">
      <w:pPr>
        <w:spacing w:after="0"/>
        <w:jc w:val="both"/>
        <w:rPr>
          <w:rFonts w:ascii="Cambria" w:hAnsi="Cambria"/>
          <w:lang w:val="en"/>
        </w:rPr>
      </w:pPr>
    </w:p>
    <w:p w14:paraId="4DBE6C01" w14:textId="0896D29C" w:rsidR="00572010" w:rsidRPr="004C274A" w:rsidRDefault="00572010" w:rsidP="00EE35F8">
      <w:pPr>
        <w:pStyle w:val="Heading1"/>
        <w:numPr>
          <w:ilvl w:val="0"/>
          <w:numId w:val="0"/>
        </w:numPr>
        <w:ind w:left="432" w:hanging="432"/>
        <w:jc w:val="both"/>
      </w:pPr>
      <w:r w:rsidRPr="004C274A">
        <w:t>9 DATE OF FIRST APPROVAL</w:t>
      </w:r>
    </w:p>
    <w:p w14:paraId="56175AFA" w14:textId="7D58F827" w:rsidR="004F4822" w:rsidRPr="00CE03FD" w:rsidRDefault="00FC0DFE" w:rsidP="00EE35F8">
      <w:pPr>
        <w:jc w:val="both"/>
        <w:rPr>
          <w:rFonts w:ascii="Cambria" w:hAnsi="Cambria"/>
        </w:rPr>
      </w:pPr>
      <w:r>
        <w:rPr>
          <w:rFonts w:ascii="Cambria" w:hAnsi="Cambria"/>
        </w:rPr>
        <w:t>04 March 2021</w:t>
      </w:r>
    </w:p>
    <w:p w14:paraId="6C841AE1" w14:textId="2072258D" w:rsidR="00572010" w:rsidRPr="004C274A" w:rsidRDefault="00572010" w:rsidP="00EE35F8">
      <w:pPr>
        <w:pStyle w:val="Heading1"/>
        <w:numPr>
          <w:ilvl w:val="0"/>
          <w:numId w:val="0"/>
        </w:numPr>
        <w:ind w:left="432" w:hanging="432"/>
        <w:jc w:val="both"/>
      </w:pPr>
      <w:r w:rsidRPr="004C274A">
        <w:t>10 DATE OF REVISION</w:t>
      </w:r>
    </w:p>
    <w:p w14:paraId="7B5E85BC" w14:textId="0F73ABD8" w:rsidR="0057064B" w:rsidRPr="00CE03FD" w:rsidRDefault="00805BF0" w:rsidP="00EE35F8">
      <w:pPr>
        <w:jc w:val="both"/>
        <w:rPr>
          <w:rFonts w:ascii="Cambria" w:hAnsi="Cambria"/>
        </w:rPr>
      </w:pPr>
      <w:r w:rsidRPr="00CE03FD">
        <w:rPr>
          <w:rFonts w:ascii="Cambria" w:hAnsi="Cambria"/>
        </w:rPr>
        <w:t>Not applicable.</w:t>
      </w:r>
      <w:bookmarkEnd w:id="45"/>
      <w:bookmarkEnd w:id="46"/>
      <w:bookmarkEnd w:id="47"/>
      <w:bookmarkEnd w:id="48"/>
      <w:bookmarkEnd w:id="50"/>
      <w:bookmarkEnd w:id="51"/>
      <w:bookmarkEnd w:id="52"/>
      <w:bookmarkEnd w:id="53"/>
    </w:p>
    <w:p w14:paraId="201DC98A" w14:textId="510E6AAA" w:rsidR="009F2C0C" w:rsidRDefault="009F2C0C" w:rsidP="009F2C0C">
      <w:pPr>
        <w:widowControl/>
        <w:tabs>
          <w:tab w:val="clear" w:pos="720"/>
          <w:tab w:val="left" w:pos="567"/>
        </w:tabs>
        <w:spacing w:line="260" w:lineRule="exact"/>
        <w:jc w:val="both"/>
        <w:rPr>
          <w:rFonts w:ascii="Cambria" w:hAnsi="Cambria"/>
          <w:szCs w:val="24"/>
          <w:lang w:val="en-GB"/>
        </w:rPr>
      </w:pPr>
      <w:r w:rsidRPr="00CE03FD">
        <w:rPr>
          <w:rFonts w:ascii="Cambria" w:hAnsi="Cambria"/>
        </w:rPr>
        <w:t>®</w:t>
      </w:r>
      <w:r w:rsidRPr="00CE03FD">
        <w:rPr>
          <w:rFonts w:ascii="Cambria" w:hAnsi="Cambria"/>
          <w:szCs w:val="24"/>
          <w:vertAlign w:val="superscript"/>
          <w:lang w:val="en-GB"/>
        </w:rPr>
        <w:t xml:space="preserve"> </w:t>
      </w:r>
      <w:r>
        <w:rPr>
          <w:rFonts w:ascii="Cambria" w:hAnsi="Cambria"/>
          <w:szCs w:val="24"/>
          <w:lang w:val="en-GB"/>
        </w:rPr>
        <w:t xml:space="preserve">= Registered Trademark of </w:t>
      </w:r>
      <w:r w:rsidR="00D3168F">
        <w:rPr>
          <w:rFonts w:ascii="Cambria" w:hAnsi="Cambria"/>
          <w:szCs w:val="24"/>
          <w:lang w:val="en-GB"/>
        </w:rPr>
        <w:t>Novartis</w:t>
      </w:r>
      <w:r>
        <w:rPr>
          <w:rFonts w:ascii="Cambria" w:hAnsi="Cambria"/>
          <w:szCs w:val="24"/>
          <w:lang w:val="en-GB"/>
        </w:rPr>
        <w:t>.</w:t>
      </w:r>
    </w:p>
    <w:p w14:paraId="7755B6E8" w14:textId="60B36A54" w:rsidR="008719A9" w:rsidRPr="00CE03FD" w:rsidRDefault="00421205" w:rsidP="008E6700">
      <w:pPr>
        <w:widowControl/>
        <w:pBdr>
          <w:top w:val="single" w:sz="4" w:space="1" w:color="auto"/>
        </w:pBdr>
        <w:tabs>
          <w:tab w:val="clear" w:pos="720"/>
          <w:tab w:val="left" w:pos="567"/>
        </w:tabs>
        <w:spacing w:line="260" w:lineRule="exact"/>
        <w:jc w:val="both"/>
        <w:rPr>
          <w:rFonts w:ascii="Cambria" w:hAnsi="Cambria"/>
          <w:szCs w:val="24"/>
          <w:lang w:val="en-GB"/>
        </w:rPr>
      </w:pPr>
      <w:r w:rsidRPr="00421205">
        <w:rPr>
          <w:rFonts w:ascii="Cambria" w:hAnsi="Cambria"/>
          <w:szCs w:val="24"/>
          <w:lang w:val="en-GB"/>
        </w:rPr>
        <w:t>Internal document code</w:t>
      </w:r>
      <w:r>
        <w:rPr>
          <w:rFonts w:ascii="Cambria" w:hAnsi="Cambria"/>
          <w:szCs w:val="24"/>
          <w:lang w:val="en-GB"/>
        </w:rPr>
        <w:t xml:space="preserve">: </w:t>
      </w:r>
      <w:r w:rsidR="00605248">
        <w:rPr>
          <w:rFonts w:ascii="Cambria" w:hAnsi="Cambria"/>
          <w:szCs w:val="24"/>
          <w:lang w:val="en-GB"/>
        </w:rPr>
        <w:t>zol</w:t>
      </w:r>
      <w:r w:rsidR="005B5B22">
        <w:rPr>
          <w:rFonts w:ascii="Cambria" w:hAnsi="Cambria"/>
          <w:szCs w:val="24"/>
          <w:lang w:val="en-GB"/>
        </w:rPr>
        <w:t>2402</w:t>
      </w:r>
      <w:r w:rsidR="00FC0DFE">
        <w:rPr>
          <w:rFonts w:ascii="Cambria" w:hAnsi="Cambria"/>
          <w:szCs w:val="24"/>
          <w:lang w:val="en-GB"/>
        </w:rPr>
        <w:t>21</w:t>
      </w:r>
      <w:r w:rsidR="00605248">
        <w:rPr>
          <w:rFonts w:ascii="Cambria" w:hAnsi="Cambria"/>
          <w:szCs w:val="24"/>
          <w:lang w:val="en-GB"/>
        </w:rPr>
        <w:t>i</w:t>
      </w:r>
      <w:r w:rsidR="00D937A2">
        <w:rPr>
          <w:rFonts w:ascii="Cambria" w:hAnsi="Cambria"/>
          <w:szCs w:val="24"/>
          <w:lang w:val="en-GB"/>
        </w:rPr>
        <w:t xml:space="preserve"> </w:t>
      </w:r>
      <w:r>
        <w:rPr>
          <w:rFonts w:ascii="Cambria" w:hAnsi="Cambria"/>
          <w:szCs w:val="24"/>
          <w:lang w:val="en-GB"/>
        </w:rPr>
        <w:t xml:space="preserve">based on </w:t>
      </w:r>
      <w:r w:rsidR="00D937A2">
        <w:rPr>
          <w:rFonts w:ascii="Cambria" w:hAnsi="Cambria"/>
          <w:szCs w:val="24"/>
          <w:lang w:val="en-GB"/>
        </w:rPr>
        <w:t xml:space="preserve">CDS </w:t>
      </w:r>
      <w:r w:rsidR="0070036C">
        <w:rPr>
          <w:rFonts w:ascii="Cambria" w:hAnsi="Cambria"/>
          <w:szCs w:val="24"/>
          <w:lang w:val="en-GB"/>
        </w:rPr>
        <w:t>04-Sep</w:t>
      </w:r>
      <w:r w:rsidR="00D937A2">
        <w:rPr>
          <w:rFonts w:ascii="Cambria" w:hAnsi="Cambria"/>
          <w:szCs w:val="24"/>
          <w:lang w:val="en-GB"/>
        </w:rPr>
        <w:t xml:space="preserve">-2020 </w:t>
      </w:r>
    </w:p>
    <w:sectPr w:rsidR="008719A9" w:rsidRPr="00CE03F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19AC" w14:textId="77777777" w:rsidR="006D7674" w:rsidRDefault="006D7674" w:rsidP="0004637A">
      <w:r>
        <w:separator/>
      </w:r>
    </w:p>
  </w:endnote>
  <w:endnote w:type="continuationSeparator" w:id="0">
    <w:p w14:paraId="26EB189C" w14:textId="77777777" w:rsidR="006D7674" w:rsidRDefault="006D7674" w:rsidP="0004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F9A2" w14:textId="77777777" w:rsidR="006D7674" w:rsidRDefault="006D7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71819"/>
      <w:docPartObj>
        <w:docPartGallery w:val="Page Numbers (Bottom of Page)"/>
        <w:docPartUnique/>
      </w:docPartObj>
    </w:sdtPr>
    <w:sdtContent>
      <w:p w14:paraId="0917E0FA" w14:textId="480D348A" w:rsidR="006D7674" w:rsidRPr="00B96344" w:rsidRDefault="006D7674" w:rsidP="00AD6711">
        <w:pPr>
          <w:pStyle w:val="Footer"/>
          <w:jc w:val="right"/>
        </w:pPr>
        <w:r w:rsidRPr="00B96344">
          <w:fldChar w:fldCharType="begin"/>
        </w:r>
        <w:r w:rsidRPr="00B96344">
          <w:instrText xml:space="preserve"> PAGE   \* MERGEFORMAT </w:instrText>
        </w:r>
        <w:r w:rsidRPr="00B96344">
          <w:fldChar w:fldCharType="separate"/>
        </w:r>
        <w:r w:rsidR="00D83B93">
          <w:t>25</w:t>
        </w:r>
        <w:r w:rsidRPr="00B9634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52DD" w14:textId="77777777" w:rsidR="006D7674" w:rsidRDefault="006D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B37A3" w14:textId="77777777" w:rsidR="006D7674" w:rsidRDefault="006D7674" w:rsidP="0004637A">
      <w:r>
        <w:separator/>
      </w:r>
    </w:p>
  </w:footnote>
  <w:footnote w:type="continuationSeparator" w:id="0">
    <w:p w14:paraId="712CF98F" w14:textId="77777777" w:rsidR="006D7674" w:rsidRDefault="006D7674" w:rsidP="0004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7835" w14:textId="77777777" w:rsidR="006D7674" w:rsidRDefault="006D7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6D7674" w:rsidRPr="000B2145" w14:paraId="0F1AF11D" w14:textId="77777777" w:rsidTr="006D7674">
      <w:trPr>
        <w:trHeight w:val="1012"/>
      </w:trPr>
      <w:tc>
        <w:tcPr>
          <w:tcW w:w="8897" w:type="dxa"/>
          <w:shd w:val="clear" w:color="auto" w:fill="E4F2E0"/>
        </w:tcPr>
        <w:p w14:paraId="05B86C2F" w14:textId="77777777" w:rsidR="006D7674" w:rsidRPr="000B2145" w:rsidRDefault="006D7674" w:rsidP="006D7674">
          <w:pPr>
            <w:pStyle w:val="Footer"/>
            <w:rPr>
              <w:b/>
              <w:sz w:val="18"/>
              <w:szCs w:val="18"/>
            </w:rPr>
          </w:pPr>
          <w:r w:rsidRPr="00EA0C3C">
            <w:rPr>
              <w:b/>
              <w:sz w:val="18"/>
              <w:szCs w:val="18"/>
            </w:rPr>
            <w:t>Attachment 1:</w:t>
          </w:r>
          <w:r>
            <w:t xml:space="preserve"> </w:t>
          </w:r>
          <w:r w:rsidRPr="000E50AF">
            <w:rPr>
              <w:b/>
            </w:rPr>
            <w:t>AusPAR - ZOLGENSMA - onasemnogene abeparvovec - Novartis Pharmaceuticals Australia Pty Ltd - PM-2019-05979-1-3</w:t>
          </w:r>
          <w:r>
            <w:rPr>
              <w:b/>
            </w:rPr>
            <w:t xml:space="preserve"> </w:t>
          </w:r>
          <w:r w:rsidRPr="000E50AF">
            <w:rPr>
              <w:b/>
            </w:rPr>
            <w:t>FINAL 6 April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7011D561" w14:textId="77777777" w:rsidR="006D7674" w:rsidRDefault="006D7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8B99" w14:textId="77777777" w:rsidR="006D7674" w:rsidRDefault="006D7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583"/>
    <w:multiLevelType w:val="hybridMultilevel"/>
    <w:tmpl w:val="79203A40"/>
    <w:lvl w:ilvl="0" w:tplc="6E04F27E">
      <w:start w:val="29"/>
      <w:numFmt w:val="bullet"/>
      <w:lvlText w:val="-"/>
      <w:lvlJc w:val="left"/>
      <w:pPr>
        <w:ind w:left="502" w:hanging="360"/>
      </w:pPr>
      <w:rPr>
        <w:rFonts w:ascii="Cambria" w:eastAsia="Times New Roman" w:hAnsi="Cambria" w:cs="Times New Roman" w:hint="default"/>
        <w:b/>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E713392"/>
    <w:multiLevelType w:val="singleLevel"/>
    <w:tmpl w:val="03BA3522"/>
    <w:lvl w:ilvl="0">
      <w:start w:val="1"/>
      <w:numFmt w:val="bullet"/>
      <w:lvlText w:val=""/>
      <w:lvlJc w:val="left"/>
      <w:pPr>
        <w:tabs>
          <w:tab w:val="num" w:pos="357"/>
        </w:tabs>
        <w:ind w:left="357" w:hanging="357"/>
      </w:pPr>
      <w:rPr>
        <w:rFonts w:ascii="Symbol" w:hAnsi="Symbol" w:hint="default"/>
      </w:rPr>
    </w:lvl>
  </w:abstractNum>
  <w:abstractNum w:abstractNumId="2" w15:restartNumberingAfterBreak="0">
    <w:nsid w:val="10500B00"/>
    <w:multiLevelType w:val="multilevel"/>
    <w:tmpl w:val="42BCB36A"/>
    <w:lvl w:ilvl="0">
      <w:start w:val="9"/>
      <w:numFmt w:val="decimal"/>
      <w:lvlText w:val="%1"/>
      <w:lvlJc w:val="left"/>
      <w:pPr>
        <w:ind w:left="360" w:hanging="360"/>
      </w:pPr>
      <w:rPr>
        <w:rFonts w:hint="default"/>
      </w:rPr>
    </w:lvl>
    <w:lvl w:ilvl="1">
      <w:start w:val="2"/>
      <w:numFmt w:val="decimal"/>
      <w:lvlText w:val="%1.%2"/>
      <w:lvlJc w:val="left"/>
      <w:pPr>
        <w:ind w:left="2070" w:hanging="7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900" w:hanging="180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960" w:hanging="2160"/>
      </w:pPr>
      <w:rPr>
        <w:rFonts w:hint="default"/>
      </w:rPr>
    </w:lvl>
  </w:abstractNum>
  <w:abstractNum w:abstractNumId="3" w15:restartNumberingAfterBreak="0">
    <w:nsid w:val="105A11AB"/>
    <w:multiLevelType w:val="singleLevel"/>
    <w:tmpl w:val="AA8C63F4"/>
    <w:lvl w:ilvl="0">
      <w:start w:val="1"/>
      <w:numFmt w:val="bullet"/>
      <w:lvlText w:val=""/>
      <w:lvlJc w:val="left"/>
      <w:pPr>
        <w:tabs>
          <w:tab w:val="num" w:pos="357"/>
        </w:tabs>
        <w:ind w:left="357" w:hanging="357"/>
      </w:pPr>
      <w:rPr>
        <w:rFonts w:ascii="Symbol" w:hAnsi="Symbol" w:hint="default"/>
      </w:rPr>
    </w:lvl>
  </w:abstractNum>
  <w:abstractNum w:abstractNumId="4" w15:restartNumberingAfterBreak="0">
    <w:nsid w:val="15F923B2"/>
    <w:multiLevelType w:val="hybridMultilevel"/>
    <w:tmpl w:val="CD68C8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72FDC"/>
    <w:multiLevelType w:val="hybridMultilevel"/>
    <w:tmpl w:val="5040268E"/>
    <w:lvl w:ilvl="0" w:tplc="ECB8E35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009A8"/>
    <w:multiLevelType w:val="hybridMultilevel"/>
    <w:tmpl w:val="7F288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F3360A"/>
    <w:multiLevelType w:val="hybridMultilevel"/>
    <w:tmpl w:val="D05874E2"/>
    <w:lvl w:ilvl="0" w:tplc="C02AAD1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B3300B"/>
    <w:multiLevelType w:val="hybridMultilevel"/>
    <w:tmpl w:val="175C72BA"/>
    <w:lvl w:ilvl="0" w:tplc="42341A94">
      <w:start w:val="29"/>
      <w:numFmt w:val="bullet"/>
      <w:lvlText w:val="-"/>
      <w:lvlJc w:val="left"/>
      <w:pPr>
        <w:ind w:left="720" w:hanging="360"/>
      </w:pPr>
      <w:rPr>
        <w:rFonts w:ascii="Cambria" w:eastAsia="Times New Roman" w:hAnsi="Cambria"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71B33"/>
    <w:multiLevelType w:val="multilevel"/>
    <w:tmpl w:val="AFA4C3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9786F67"/>
    <w:multiLevelType w:val="hybridMultilevel"/>
    <w:tmpl w:val="AFC6C59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2" w15:restartNumberingAfterBreak="0">
    <w:nsid w:val="53A3641E"/>
    <w:multiLevelType w:val="multilevel"/>
    <w:tmpl w:val="2F08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74BC0"/>
    <w:multiLevelType w:val="hybridMultilevel"/>
    <w:tmpl w:val="B6B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51015"/>
    <w:multiLevelType w:val="hybridMultilevel"/>
    <w:tmpl w:val="65108454"/>
    <w:lvl w:ilvl="0" w:tplc="42341A94">
      <w:start w:val="29"/>
      <w:numFmt w:val="bullet"/>
      <w:lvlText w:val="-"/>
      <w:lvlJc w:val="left"/>
      <w:pPr>
        <w:ind w:left="360" w:hanging="360"/>
      </w:pPr>
      <w:rPr>
        <w:rFonts w:ascii="Cambria" w:eastAsia="Times New Roman" w:hAnsi="Cambria" w:cs="Times New Roman"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9B877FF"/>
    <w:multiLevelType w:val="multilevel"/>
    <w:tmpl w:val="A8D212EA"/>
    <w:lvl w:ilvl="0">
      <w:start w:val="1"/>
      <w:numFmt w:val="bullet"/>
      <w:pStyle w:val="C-Bullet"/>
      <w:lvlText w:val=""/>
      <w:lvlJc w:val="left"/>
      <w:pPr>
        <w:tabs>
          <w:tab w:val="num" w:pos="360"/>
        </w:tabs>
        <w:ind w:left="360" w:hanging="360"/>
      </w:pPr>
      <w:rPr>
        <w:rFonts w:ascii="Symbol" w:hAnsi="Symbol" w:hint="default"/>
        <w:sz w:val="24"/>
      </w:rPr>
    </w:lvl>
    <w:lvl w:ilvl="1">
      <w:start w:val="1"/>
      <w:numFmt w:val="bullet"/>
      <w:pStyle w:val="C-BulletIndented"/>
      <w:lvlText w:val="o"/>
      <w:lvlJc w:val="left"/>
      <w:pPr>
        <w:tabs>
          <w:tab w:val="num" w:pos="720"/>
        </w:tabs>
        <w:ind w:left="720" w:hanging="360"/>
      </w:pPr>
      <w:rPr>
        <w:rFonts w:ascii="Courier New" w:hAnsi="Courier New" w:cs="Courier New" w:hint="default"/>
      </w:rPr>
    </w:lvl>
    <w:lvl w:ilvl="2">
      <w:start w:val="1"/>
      <w:numFmt w:val="bullet"/>
      <w:lvlText w:val=""/>
      <w:lvlJc w:val="left"/>
      <w:pPr>
        <w:ind w:left="360" w:firstLine="0"/>
      </w:pPr>
      <w:rPr>
        <w:rFonts w:ascii="Symbol" w:hAnsi="Symbol" w:hint="default"/>
      </w:rPr>
    </w:lvl>
    <w:lvl w:ilvl="3">
      <w:start w:val="1"/>
      <w:numFmt w:val="bullet"/>
      <w:lvlText w:val=""/>
      <w:lvlJc w:val="left"/>
      <w:pPr>
        <w:ind w:left="360" w:firstLine="0"/>
      </w:pPr>
      <w:rPr>
        <w:rFonts w:ascii="Symbol" w:hAnsi="Symbol" w:hint="default"/>
      </w:rPr>
    </w:lvl>
    <w:lvl w:ilvl="4">
      <w:start w:val="1"/>
      <w:numFmt w:val="bullet"/>
      <w:lvlText w:val=""/>
      <w:lvlJc w:val="left"/>
      <w:pPr>
        <w:ind w:left="360" w:firstLine="0"/>
      </w:pPr>
      <w:rPr>
        <w:rFonts w:ascii="Symbol" w:hAnsi="Symbol" w:hint="default"/>
      </w:rPr>
    </w:lvl>
    <w:lvl w:ilvl="5">
      <w:start w:val="1"/>
      <w:numFmt w:val="bullet"/>
      <w:lvlText w:val=""/>
      <w:lvlJc w:val="left"/>
      <w:pPr>
        <w:ind w:left="360" w:firstLine="0"/>
      </w:pPr>
      <w:rPr>
        <w:rFonts w:ascii="Symbol" w:hAnsi="Symbol" w:hint="default"/>
      </w:rPr>
    </w:lvl>
    <w:lvl w:ilvl="6">
      <w:start w:val="1"/>
      <w:numFmt w:val="bullet"/>
      <w:lvlText w:val=""/>
      <w:lvlJc w:val="left"/>
      <w:pPr>
        <w:ind w:left="360" w:firstLine="0"/>
      </w:pPr>
      <w:rPr>
        <w:rFonts w:ascii="Symbol" w:hAnsi="Symbol" w:hint="default"/>
      </w:rPr>
    </w:lvl>
    <w:lvl w:ilvl="7">
      <w:start w:val="1"/>
      <w:numFmt w:val="bullet"/>
      <w:lvlText w:val=""/>
      <w:lvlJc w:val="left"/>
      <w:pPr>
        <w:ind w:left="360" w:firstLine="0"/>
      </w:pPr>
      <w:rPr>
        <w:rFonts w:ascii="Symbol" w:hAnsi="Symbol" w:hint="default"/>
      </w:rPr>
    </w:lvl>
    <w:lvl w:ilvl="8">
      <w:start w:val="1"/>
      <w:numFmt w:val="bullet"/>
      <w:lvlText w:val=""/>
      <w:lvlJc w:val="left"/>
      <w:pPr>
        <w:ind w:left="360" w:firstLine="0"/>
      </w:pPr>
      <w:rPr>
        <w:rFonts w:ascii="Symbol" w:hAnsi="Symbol" w:hint="default"/>
      </w:rPr>
    </w:lvl>
  </w:abstractNum>
  <w:abstractNum w:abstractNumId="16" w15:restartNumberingAfterBreak="0">
    <w:nsid w:val="70332797"/>
    <w:multiLevelType w:val="multilevel"/>
    <w:tmpl w:val="ED7EA7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705A09F2"/>
    <w:multiLevelType w:val="hybridMultilevel"/>
    <w:tmpl w:val="820ECB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C1212B"/>
    <w:multiLevelType w:val="singleLevel"/>
    <w:tmpl w:val="AA8C63F4"/>
    <w:lvl w:ilvl="0">
      <w:start w:val="1"/>
      <w:numFmt w:val="bullet"/>
      <w:lvlText w:val=""/>
      <w:lvlJc w:val="left"/>
      <w:pPr>
        <w:tabs>
          <w:tab w:val="num" w:pos="357"/>
        </w:tabs>
        <w:ind w:left="357" w:hanging="357"/>
      </w:pPr>
      <w:rPr>
        <w:rFonts w:ascii="Symbol" w:hAnsi="Symbol" w:hint="default"/>
      </w:rPr>
    </w:lvl>
  </w:abstractNum>
  <w:abstractNum w:abstractNumId="19" w15:restartNumberingAfterBreak="0">
    <w:nsid w:val="7C0B003C"/>
    <w:multiLevelType w:val="hybridMultilevel"/>
    <w:tmpl w:val="5B0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58013C"/>
    <w:multiLevelType w:val="hybridMultilevel"/>
    <w:tmpl w:val="30D6EC5E"/>
    <w:lvl w:ilvl="0" w:tplc="F9D8970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13"/>
  </w:num>
  <w:num w:numId="3">
    <w:abstractNumId w:val="19"/>
  </w:num>
  <w:num w:numId="4">
    <w:abstractNumId w:val="3"/>
  </w:num>
  <w:num w:numId="5">
    <w:abstractNumId w:val="18"/>
  </w:num>
  <w:num w:numId="6">
    <w:abstractNumId w:val="1"/>
  </w:num>
  <w:num w:numId="7">
    <w:abstractNumId w:val="6"/>
  </w:num>
  <w:num w:numId="8">
    <w:abstractNumId w:val="2"/>
  </w:num>
  <w:num w:numId="9">
    <w:abstractNumId w:val="5"/>
  </w:num>
  <w:num w:numId="10">
    <w:abstractNumId w:val="10"/>
  </w:num>
  <w:num w:numId="11">
    <w:abstractNumId w:val="4"/>
  </w:num>
  <w:num w:numId="12">
    <w:abstractNumId w:val="16"/>
  </w:num>
  <w:num w:numId="13">
    <w:abstractNumId w:val="16"/>
  </w:num>
  <w:num w:numId="14">
    <w:abstractNumId w:val="16"/>
  </w:num>
  <w:num w:numId="15">
    <w:abstractNumId w:val="16"/>
  </w:num>
  <w:num w:numId="16">
    <w:abstractNumId w:val="16"/>
  </w:num>
  <w:num w:numId="17">
    <w:abstractNumId w:val="20"/>
  </w:num>
  <w:num w:numId="18">
    <w:abstractNumId w:val="7"/>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5"/>
  </w:num>
  <w:num w:numId="26">
    <w:abstractNumId w:val="11"/>
  </w:num>
  <w:num w:numId="27">
    <w:abstractNumId w:val="12"/>
  </w:num>
  <w:num w:numId="28">
    <w:abstractNumId w:val="16"/>
  </w:num>
  <w:num w:numId="29">
    <w:abstractNumId w:val="16"/>
  </w:num>
  <w:num w:numId="30">
    <w:abstractNumId w:val="17"/>
  </w:num>
  <w:num w:numId="31">
    <w:abstractNumId w:val="15"/>
  </w:num>
  <w:num w:numId="32">
    <w:abstractNumId w:val="15"/>
  </w:num>
  <w:num w:numId="33">
    <w:abstractNumId w:val="15"/>
  </w:num>
  <w:num w:numId="34">
    <w:abstractNumId w:val="15"/>
  </w:num>
  <w:num w:numId="35">
    <w:abstractNumId w:val="15"/>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0"/>
  </w:num>
  <w:num w:numId="48">
    <w:abstractNumId w:val="8"/>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0"/>
  <w:proofState w:spelling="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ED"/>
    <w:rsid w:val="00001CDB"/>
    <w:rsid w:val="00002556"/>
    <w:rsid w:val="000033F8"/>
    <w:rsid w:val="000143F6"/>
    <w:rsid w:val="00015EDC"/>
    <w:rsid w:val="000167C8"/>
    <w:rsid w:val="00024B41"/>
    <w:rsid w:val="00033183"/>
    <w:rsid w:val="0003642B"/>
    <w:rsid w:val="00037847"/>
    <w:rsid w:val="00043873"/>
    <w:rsid w:val="0004637A"/>
    <w:rsid w:val="00046FCF"/>
    <w:rsid w:val="00051FDA"/>
    <w:rsid w:val="000565F4"/>
    <w:rsid w:val="00057A05"/>
    <w:rsid w:val="00057B89"/>
    <w:rsid w:val="00066776"/>
    <w:rsid w:val="00066A6E"/>
    <w:rsid w:val="00085328"/>
    <w:rsid w:val="00085FAC"/>
    <w:rsid w:val="00097F2B"/>
    <w:rsid w:val="000B59A3"/>
    <w:rsid w:val="000C171E"/>
    <w:rsid w:val="000C7323"/>
    <w:rsid w:val="000D06E9"/>
    <w:rsid w:val="000D0DF3"/>
    <w:rsid w:val="000D5815"/>
    <w:rsid w:val="000E54D1"/>
    <w:rsid w:val="000E712B"/>
    <w:rsid w:val="000F014C"/>
    <w:rsid w:val="000F2150"/>
    <w:rsid w:val="000F65C9"/>
    <w:rsid w:val="00101E5A"/>
    <w:rsid w:val="001022D8"/>
    <w:rsid w:val="00106518"/>
    <w:rsid w:val="00122B3A"/>
    <w:rsid w:val="00126D88"/>
    <w:rsid w:val="0012730B"/>
    <w:rsid w:val="00136C97"/>
    <w:rsid w:val="00140EDD"/>
    <w:rsid w:val="00142411"/>
    <w:rsid w:val="00145D13"/>
    <w:rsid w:val="00147802"/>
    <w:rsid w:val="0015456B"/>
    <w:rsid w:val="001617E7"/>
    <w:rsid w:val="00162CB7"/>
    <w:rsid w:val="00173B40"/>
    <w:rsid w:val="001829F3"/>
    <w:rsid w:val="00186396"/>
    <w:rsid w:val="001916A8"/>
    <w:rsid w:val="00191847"/>
    <w:rsid w:val="00192883"/>
    <w:rsid w:val="001964EB"/>
    <w:rsid w:val="001A2544"/>
    <w:rsid w:val="001A4B59"/>
    <w:rsid w:val="001A5BF0"/>
    <w:rsid w:val="001A6350"/>
    <w:rsid w:val="001B22BF"/>
    <w:rsid w:val="001B24DE"/>
    <w:rsid w:val="001D3ED2"/>
    <w:rsid w:val="001E1CD4"/>
    <w:rsid w:val="001E57E1"/>
    <w:rsid w:val="001F001D"/>
    <w:rsid w:val="001F0276"/>
    <w:rsid w:val="001F1DB3"/>
    <w:rsid w:val="001F73D3"/>
    <w:rsid w:val="00201A93"/>
    <w:rsid w:val="00211546"/>
    <w:rsid w:val="00215243"/>
    <w:rsid w:val="002222C3"/>
    <w:rsid w:val="00223E4B"/>
    <w:rsid w:val="0023389B"/>
    <w:rsid w:val="00242C4C"/>
    <w:rsid w:val="002435D6"/>
    <w:rsid w:val="00247763"/>
    <w:rsid w:val="00252FEA"/>
    <w:rsid w:val="00253514"/>
    <w:rsid w:val="002558A0"/>
    <w:rsid w:val="002631FA"/>
    <w:rsid w:val="00264A40"/>
    <w:rsid w:val="002654C3"/>
    <w:rsid w:val="00276188"/>
    <w:rsid w:val="002829BF"/>
    <w:rsid w:val="00285E6C"/>
    <w:rsid w:val="0029639C"/>
    <w:rsid w:val="00296FEB"/>
    <w:rsid w:val="002A02E4"/>
    <w:rsid w:val="002B134B"/>
    <w:rsid w:val="002B1522"/>
    <w:rsid w:val="002B5A16"/>
    <w:rsid w:val="002C6A9E"/>
    <w:rsid w:val="002C6CDB"/>
    <w:rsid w:val="002D0993"/>
    <w:rsid w:val="002D75D1"/>
    <w:rsid w:val="002D7F63"/>
    <w:rsid w:val="002E5532"/>
    <w:rsid w:val="002F7AC9"/>
    <w:rsid w:val="00304E78"/>
    <w:rsid w:val="00321F07"/>
    <w:rsid w:val="0032325D"/>
    <w:rsid w:val="00326E42"/>
    <w:rsid w:val="003325F8"/>
    <w:rsid w:val="00335010"/>
    <w:rsid w:val="00343033"/>
    <w:rsid w:val="00343A5B"/>
    <w:rsid w:val="00343D63"/>
    <w:rsid w:val="00345170"/>
    <w:rsid w:val="00347EBD"/>
    <w:rsid w:val="00351391"/>
    <w:rsid w:val="0035159D"/>
    <w:rsid w:val="00361131"/>
    <w:rsid w:val="0036156F"/>
    <w:rsid w:val="0036207E"/>
    <w:rsid w:val="00363611"/>
    <w:rsid w:val="003639EC"/>
    <w:rsid w:val="00376635"/>
    <w:rsid w:val="00383540"/>
    <w:rsid w:val="0038672F"/>
    <w:rsid w:val="00386EF5"/>
    <w:rsid w:val="00391182"/>
    <w:rsid w:val="003942E9"/>
    <w:rsid w:val="003A1D06"/>
    <w:rsid w:val="003B110C"/>
    <w:rsid w:val="003B5FE8"/>
    <w:rsid w:val="003B7D61"/>
    <w:rsid w:val="003D15A5"/>
    <w:rsid w:val="003D5721"/>
    <w:rsid w:val="003D5AA9"/>
    <w:rsid w:val="003D6187"/>
    <w:rsid w:val="003E4B2B"/>
    <w:rsid w:val="003E50D5"/>
    <w:rsid w:val="003E6DBF"/>
    <w:rsid w:val="003F1AC7"/>
    <w:rsid w:val="003F5D82"/>
    <w:rsid w:val="003F6C82"/>
    <w:rsid w:val="00406B47"/>
    <w:rsid w:val="004107A5"/>
    <w:rsid w:val="00416500"/>
    <w:rsid w:val="00421205"/>
    <w:rsid w:val="0042639E"/>
    <w:rsid w:val="00433B23"/>
    <w:rsid w:val="004345EF"/>
    <w:rsid w:val="004346E8"/>
    <w:rsid w:val="0043751D"/>
    <w:rsid w:val="00442967"/>
    <w:rsid w:val="00443658"/>
    <w:rsid w:val="00452D92"/>
    <w:rsid w:val="00456E75"/>
    <w:rsid w:val="004600A3"/>
    <w:rsid w:val="00466836"/>
    <w:rsid w:val="004706A3"/>
    <w:rsid w:val="00472A0C"/>
    <w:rsid w:val="004731B9"/>
    <w:rsid w:val="00475F30"/>
    <w:rsid w:val="004859A7"/>
    <w:rsid w:val="00487F43"/>
    <w:rsid w:val="00491012"/>
    <w:rsid w:val="0049133F"/>
    <w:rsid w:val="004C274A"/>
    <w:rsid w:val="004C4049"/>
    <w:rsid w:val="004D0E76"/>
    <w:rsid w:val="004D1476"/>
    <w:rsid w:val="004D3B5A"/>
    <w:rsid w:val="004D5124"/>
    <w:rsid w:val="004D69FA"/>
    <w:rsid w:val="004E7BAB"/>
    <w:rsid w:val="004E7F1C"/>
    <w:rsid w:val="004F321A"/>
    <w:rsid w:val="004F4822"/>
    <w:rsid w:val="004F76D5"/>
    <w:rsid w:val="0050581C"/>
    <w:rsid w:val="00521605"/>
    <w:rsid w:val="0052366E"/>
    <w:rsid w:val="005273EA"/>
    <w:rsid w:val="00534751"/>
    <w:rsid w:val="00534D2C"/>
    <w:rsid w:val="00535615"/>
    <w:rsid w:val="00535C62"/>
    <w:rsid w:val="00544712"/>
    <w:rsid w:val="00552B4C"/>
    <w:rsid w:val="005540AB"/>
    <w:rsid w:val="00561835"/>
    <w:rsid w:val="005628B9"/>
    <w:rsid w:val="005628F8"/>
    <w:rsid w:val="00567425"/>
    <w:rsid w:val="0057064B"/>
    <w:rsid w:val="00572010"/>
    <w:rsid w:val="00572F3F"/>
    <w:rsid w:val="00576108"/>
    <w:rsid w:val="00576549"/>
    <w:rsid w:val="00577094"/>
    <w:rsid w:val="0058013C"/>
    <w:rsid w:val="005837A9"/>
    <w:rsid w:val="00590069"/>
    <w:rsid w:val="005925AA"/>
    <w:rsid w:val="005A27F9"/>
    <w:rsid w:val="005A2EDD"/>
    <w:rsid w:val="005A3EE5"/>
    <w:rsid w:val="005A459B"/>
    <w:rsid w:val="005B5B22"/>
    <w:rsid w:val="005B65A9"/>
    <w:rsid w:val="005C2BD4"/>
    <w:rsid w:val="005D108B"/>
    <w:rsid w:val="005D3793"/>
    <w:rsid w:val="005E6893"/>
    <w:rsid w:val="005F1B4D"/>
    <w:rsid w:val="005F221E"/>
    <w:rsid w:val="005F381D"/>
    <w:rsid w:val="005F5AFE"/>
    <w:rsid w:val="005F6F9B"/>
    <w:rsid w:val="005F7698"/>
    <w:rsid w:val="00602945"/>
    <w:rsid w:val="00604782"/>
    <w:rsid w:val="00605248"/>
    <w:rsid w:val="0060583A"/>
    <w:rsid w:val="006073C5"/>
    <w:rsid w:val="00607A89"/>
    <w:rsid w:val="00611653"/>
    <w:rsid w:val="006144E5"/>
    <w:rsid w:val="00620F63"/>
    <w:rsid w:val="00623208"/>
    <w:rsid w:val="006343A7"/>
    <w:rsid w:val="00635384"/>
    <w:rsid w:val="0065509C"/>
    <w:rsid w:val="0065636A"/>
    <w:rsid w:val="00663189"/>
    <w:rsid w:val="00671ACA"/>
    <w:rsid w:val="00676F72"/>
    <w:rsid w:val="00680533"/>
    <w:rsid w:val="00680587"/>
    <w:rsid w:val="00682825"/>
    <w:rsid w:val="006830C2"/>
    <w:rsid w:val="00685F59"/>
    <w:rsid w:val="006A0EA9"/>
    <w:rsid w:val="006A1A12"/>
    <w:rsid w:val="006A7EB0"/>
    <w:rsid w:val="006B0912"/>
    <w:rsid w:val="006C2DCD"/>
    <w:rsid w:val="006C7C93"/>
    <w:rsid w:val="006C7F76"/>
    <w:rsid w:val="006D1452"/>
    <w:rsid w:val="006D2140"/>
    <w:rsid w:val="006D31E9"/>
    <w:rsid w:val="006D4A41"/>
    <w:rsid w:val="006D7674"/>
    <w:rsid w:val="006E4846"/>
    <w:rsid w:val="006E6805"/>
    <w:rsid w:val="006F0415"/>
    <w:rsid w:val="006F119C"/>
    <w:rsid w:val="006F5C9F"/>
    <w:rsid w:val="0070036C"/>
    <w:rsid w:val="007019FE"/>
    <w:rsid w:val="0070453A"/>
    <w:rsid w:val="007077D0"/>
    <w:rsid w:val="00710FBB"/>
    <w:rsid w:val="00711FEF"/>
    <w:rsid w:val="00712207"/>
    <w:rsid w:val="00715893"/>
    <w:rsid w:val="00723032"/>
    <w:rsid w:val="00732051"/>
    <w:rsid w:val="00733BD5"/>
    <w:rsid w:val="00741411"/>
    <w:rsid w:val="00750AEE"/>
    <w:rsid w:val="00756920"/>
    <w:rsid w:val="00761DC7"/>
    <w:rsid w:val="00772F30"/>
    <w:rsid w:val="00781372"/>
    <w:rsid w:val="007B110B"/>
    <w:rsid w:val="007B1C50"/>
    <w:rsid w:val="007B554D"/>
    <w:rsid w:val="007B63C9"/>
    <w:rsid w:val="007C34C4"/>
    <w:rsid w:val="007D60DA"/>
    <w:rsid w:val="007D77F9"/>
    <w:rsid w:val="007E28A2"/>
    <w:rsid w:val="007E3A67"/>
    <w:rsid w:val="007E6749"/>
    <w:rsid w:val="007E79D0"/>
    <w:rsid w:val="007F0B1C"/>
    <w:rsid w:val="00804284"/>
    <w:rsid w:val="00805BF0"/>
    <w:rsid w:val="00811FB2"/>
    <w:rsid w:val="00814CE9"/>
    <w:rsid w:val="00816246"/>
    <w:rsid w:val="00821F0F"/>
    <w:rsid w:val="00823249"/>
    <w:rsid w:val="008252ED"/>
    <w:rsid w:val="0084280B"/>
    <w:rsid w:val="00851D76"/>
    <w:rsid w:val="008535FB"/>
    <w:rsid w:val="00855AEA"/>
    <w:rsid w:val="0085661E"/>
    <w:rsid w:val="00856659"/>
    <w:rsid w:val="008621A7"/>
    <w:rsid w:val="00865CFA"/>
    <w:rsid w:val="008704C1"/>
    <w:rsid w:val="00871851"/>
    <w:rsid w:val="008719A9"/>
    <w:rsid w:val="00871CB9"/>
    <w:rsid w:val="00875020"/>
    <w:rsid w:val="00876B34"/>
    <w:rsid w:val="00882970"/>
    <w:rsid w:val="00891CD0"/>
    <w:rsid w:val="008A2533"/>
    <w:rsid w:val="008A7F14"/>
    <w:rsid w:val="008B366E"/>
    <w:rsid w:val="008B6F86"/>
    <w:rsid w:val="008B7EE7"/>
    <w:rsid w:val="008C4C36"/>
    <w:rsid w:val="008C66B3"/>
    <w:rsid w:val="008D546A"/>
    <w:rsid w:val="008E0D8F"/>
    <w:rsid w:val="008E5C7B"/>
    <w:rsid w:val="008E6700"/>
    <w:rsid w:val="00901B7E"/>
    <w:rsid w:val="00904015"/>
    <w:rsid w:val="00904960"/>
    <w:rsid w:val="00907C9E"/>
    <w:rsid w:val="00910302"/>
    <w:rsid w:val="00923752"/>
    <w:rsid w:val="0092755D"/>
    <w:rsid w:val="009347CD"/>
    <w:rsid w:val="00944D49"/>
    <w:rsid w:val="009451DE"/>
    <w:rsid w:val="0095491A"/>
    <w:rsid w:val="0095789B"/>
    <w:rsid w:val="00962119"/>
    <w:rsid w:val="00962DC6"/>
    <w:rsid w:val="00970374"/>
    <w:rsid w:val="00981080"/>
    <w:rsid w:val="00982F16"/>
    <w:rsid w:val="00982FB1"/>
    <w:rsid w:val="009A2533"/>
    <w:rsid w:val="009A3DAC"/>
    <w:rsid w:val="009A3DAE"/>
    <w:rsid w:val="009A54A5"/>
    <w:rsid w:val="009B1D89"/>
    <w:rsid w:val="009B725E"/>
    <w:rsid w:val="009C04A0"/>
    <w:rsid w:val="009C2763"/>
    <w:rsid w:val="009C5B36"/>
    <w:rsid w:val="009C5FCA"/>
    <w:rsid w:val="009D51C1"/>
    <w:rsid w:val="009D6774"/>
    <w:rsid w:val="009D6E82"/>
    <w:rsid w:val="009E589E"/>
    <w:rsid w:val="009E6DC1"/>
    <w:rsid w:val="009F2C0C"/>
    <w:rsid w:val="00A10A96"/>
    <w:rsid w:val="00A1349F"/>
    <w:rsid w:val="00A13708"/>
    <w:rsid w:val="00A137A0"/>
    <w:rsid w:val="00A158F2"/>
    <w:rsid w:val="00A15EF7"/>
    <w:rsid w:val="00A204D0"/>
    <w:rsid w:val="00A22753"/>
    <w:rsid w:val="00A24851"/>
    <w:rsid w:val="00A25229"/>
    <w:rsid w:val="00A27DD5"/>
    <w:rsid w:val="00A37C96"/>
    <w:rsid w:val="00A418F3"/>
    <w:rsid w:val="00A42A76"/>
    <w:rsid w:val="00A452E7"/>
    <w:rsid w:val="00A46B13"/>
    <w:rsid w:val="00A47847"/>
    <w:rsid w:val="00A52ECE"/>
    <w:rsid w:val="00A57253"/>
    <w:rsid w:val="00A6058E"/>
    <w:rsid w:val="00A632B3"/>
    <w:rsid w:val="00A635A1"/>
    <w:rsid w:val="00A734F5"/>
    <w:rsid w:val="00A737F0"/>
    <w:rsid w:val="00A73B3C"/>
    <w:rsid w:val="00A807F1"/>
    <w:rsid w:val="00A825C0"/>
    <w:rsid w:val="00A83A2A"/>
    <w:rsid w:val="00A83E16"/>
    <w:rsid w:val="00A852AB"/>
    <w:rsid w:val="00A92697"/>
    <w:rsid w:val="00A95720"/>
    <w:rsid w:val="00A96697"/>
    <w:rsid w:val="00AA0C5F"/>
    <w:rsid w:val="00AA16B1"/>
    <w:rsid w:val="00AB67D8"/>
    <w:rsid w:val="00AC0FC8"/>
    <w:rsid w:val="00AC6234"/>
    <w:rsid w:val="00AC77F9"/>
    <w:rsid w:val="00AD0438"/>
    <w:rsid w:val="00AD1CFF"/>
    <w:rsid w:val="00AD6711"/>
    <w:rsid w:val="00AD736F"/>
    <w:rsid w:val="00AE427E"/>
    <w:rsid w:val="00AE5C9F"/>
    <w:rsid w:val="00AF1243"/>
    <w:rsid w:val="00AF417D"/>
    <w:rsid w:val="00AF50A4"/>
    <w:rsid w:val="00AF517C"/>
    <w:rsid w:val="00AF705C"/>
    <w:rsid w:val="00B03239"/>
    <w:rsid w:val="00B03FF6"/>
    <w:rsid w:val="00B101B6"/>
    <w:rsid w:val="00B128D6"/>
    <w:rsid w:val="00B21A31"/>
    <w:rsid w:val="00B31D3B"/>
    <w:rsid w:val="00B323F3"/>
    <w:rsid w:val="00B330BE"/>
    <w:rsid w:val="00B42C1D"/>
    <w:rsid w:val="00B42F57"/>
    <w:rsid w:val="00B52BF4"/>
    <w:rsid w:val="00B554A2"/>
    <w:rsid w:val="00B614E6"/>
    <w:rsid w:val="00B627A0"/>
    <w:rsid w:val="00B62C82"/>
    <w:rsid w:val="00B66558"/>
    <w:rsid w:val="00B75121"/>
    <w:rsid w:val="00B762D6"/>
    <w:rsid w:val="00B8438E"/>
    <w:rsid w:val="00B93008"/>
    <w:rsid w:val="00B94521"/>
    <w:rsid w:val="00B94886"/>
    <w:rsid w:val="00B95D89"/>
    <w:rsid w:val="00B96344"/>
    <w:rsid w:val="00B97688"/>
    <w:rsid w:val="00BA299C"/>
    <w:rsid w:val="00BA7324"/>
    <w:rsid w:val="00BA7436"/>
    <w:rsid w:val="00BB0CCB"/>
    <w:rsid w:val="00BC7EE6"/>
    <w:rsid w:val="00BD7312"/>
    <w:rsid w:val="00BE1006"/>
    <w:rsid w:val="00C073ED"/>
    <w:rsid w:val="00C11102"/>
    <w:rsid w:val="00C203BF"/>
    <w:rsid w:val="00C26B8D"/>
    <w:rsid w:val="00C304A4"/>
    <w:rsid w:val="00C31ADE"/>
    <w:rsid w:val="00C37229"/>
    <w:rsid w:val="00C434B6"/>
    <w:rsid w:val="00C4368E"/>
    <w:rsid w:val="00C46FD2"/>
    <w:rsid w:val="00C47F6B"/>
    <w:rsid w:val="00C53075"/>
    <w:rsid w:val="00C53F27"/>
    <w:rsid w:val="00C55B1C"/>
    <w:rsid w:val="00C6144B"/>
    <w:rsid w:val="00C66E9E"/>
    <w:rsid w:val="00C73F76"/>
    <w:rsid w:val="00C74675"/>
    <w:rsid w:val="00C75044"/>
    <w:rsid w:val="00C765B4"/>
    <w:rsid w:val="00C76DBB"/>
    <w:rsid w:val="00C84336"/>
    <w:rsid w:val="00C863CB"/>
    <w:rsid w:val="00C915D7"/>
    <w:rsid w:val="00C939CC"/>
    <w:rsid w:val="00CA24D2"/>
    <w:rsid w:val="00CA4502"/>
    <w:rsid w:val="00CB4E6C"/>
    <w:rsid w:val="00CC3409"/>
    <w:rsid w:val="00CE03FD"/>
    <w:rsid w:val="00CE0E1A"/>
    <w:rsid w:val="00CE3089"/>
    <w:rsid w:val="00CE5213"/>
    <w:rsid w:val="00CE5731"/>
    <w:rsid w:val="00CE5B82"/>
    <w:rsid w:val="00CE5C82"/>
    <w:rsid w:val="00CF2287"/>
    <w:rsid w:val="00CF7EB4"/>
    <w:rsid w:val="00D04837"/>
    <w:rsid w:val="00D11CDE"/>
    <w:rsid w:val="00D13C21"/>
    <w:rsid w:val="00D17E91"/>
    <w:rsid w:val="00D2508D"/>
    <w:rsid w:val="00D30547"/>
    <w:rsid w:val="00D3168F"/>
    <w:rsid w:val="00D34758"/>
    <w:rsid w:val="00D350AF"/>
    <w:rsid w:val="00D43BF2"/>
    <w:rsid w:val="00D44330"/>
    <w:rsid w:val="00D467A8"/>
    <w:rsid w:val="00D5177E"/>
    <w:rsid w:val="00D51C15"/>
    <w:rsid w:val="00D5611F"/>
    <w:rsid w:val="00D674A4"/>
    <w:rsid w:val="00D733E8"/>
    <w:rsid w:val="00D76A4D"/>
    <w:rsid w:val="00D800DD"/>
    <w:rsid w:val="00D8357A"/>
    <w:rsid w:val="00D83B93"/>
    <w:rsid w:val="00D84CF5"/>
    <w:rsid w:val="00D90C76"/>
    <w:rsid w:val="00D937A2"/>
    <w:rsid w:val="00D94AC5"/>
    <w:rsid w:val="00DB313E"/>
    <w:rsid w:val="00DC0036"/>
    <w:rsid w:val="00DC0CCC"/>
    <w:rsid w:val="00DC4DE1"/>
    <w:rsid w:val="00DE5F53"/>
    <w:rsid w:val="00DE690E"/>
    <w:rsid w:val="00DF2837"/>
    <w:rsid w:val="00DF7B3C"/>
    <w:rsid w:val="00E04899"/>
    <w:rsid w:val="00E05747"/>
    <w:rsid w:val="00E05B58"/>
    <w:rsid w:val="00E1052C"/>
    <w:rsid w:val="00E3103D"/>
    <w:rsid w:val="00E340BF"/>
    <w:rsid w:val="00E35483"/>
    <w:rsid w:val="00E369A4"/>
    <w:rsid w:val="00E44D1C"/>
    <w:rsid w:val="00E46A03"/>
    <w:rsid w:val="00E473ED"/>
    <w:rsid w:val="00E62F0E"/>
    <w:rsid w:val="00E761D0"/>
    <w:rsid w:val="00E77D05"/>
    <w:rsid w:val="00E839B2"/>
    <w:rsid w:val="00E86337"/>
    <w:rsid w:val="00E86FB5"/>
    <w:rsid w:val="00E87F77"/>
    <w:rsid w:val="00E925E7"/>
    <w:rsid w:val="00E9356B"/>
    <w:rsid w:val="00E96CF1"/>
    <w:rsid w:val="00EA63AE"/>
    <w:rsid w:val="00EB1ABA"/>
    <w:rsid w:val="00EB5F16"/>
    <w:rsid w:val="00EB7F79"/>
    <w:rsid w:val="00EC0CEF"/>
    <w:rsid w:val="00EC10EF"/>
    <w:rsid w:val="00ED06A2"/>
    <w:rsid w:val="00ED7095"/>
    <w:rsid w:val="00EE2EEE"/>
    <w:rsid w:val="00EE35F8"/>
    <w:rsid w:val="00EE6153"/>
    <w:rsid w:val="00EF0A02"/>
    <w:rsid w:val="00EF268B"/>
    <w:rsid w:val="00EF39DB"/>
    <w:rsid w:val="00EF4A66"/>
    <w:rsid w:val="00F01496"/>
    <w:rsid w:val="00F02B90"/>
    <w:rsid w:val="00F04E8F"/>
    <w:rsid w:val="00F10882"/>
    <w:rsid w:val="00F13C22"/>
    <w:rsid w:val="00F13D35"/>
    <w:rsid w:val="00F2410F"/>
    <w:rsid w:val="00F25805"/>
    <w:rsid w:val="00F26D85"/>
    <w:rsid w:val="00F31F85"/>
    <w:rsid w:val="00F429D6"/>
    <w:rsid w:val="00F42A5C"/>
    <w:rsid w:val="00F43CCD"/>
    <w:rsid w:val="00F440EC"/>
    <w:rsid w:val="00F525B6"/>
    <w:rsid w:val="00F53F08"/>
    <w:rsid w:val="00F55185"/>
    <w:rsid w:val="00F579F3"/>
    <w:rsid w:val="00F70299"/>
    <w:rsid w:val="00F702BF"/>
    <w:rsid w:val="00F73525"/>
    <w:rsid w:val="00F75123"/>
    <w:rsid w:val="00F829E4"/>
    <w:rsid w:val="00F83CAF"/>
    <w:rsid w:val="00F84297"/>
    <w:rsid w:val="00F86FAD"/>
    <w:rsid w:val="00F90B97"/>
    <w:rsid w:val="00F91BB0"/>
    <w:rsid w:val="00F96296"/>
    <w:rsid w:val="00FA5245"/>
    <w:rsid w:val="00FB05BE"/>
    <w:rsid w:val="00FB7875"/>
    <w:rsid w:val="00FC0154"/>
    <w:rsid w:val="00FC0DFE"/>
    <w:rsid w:val="00FC4BF8"/>
    <w:rsid w:val="00FD0709"/>
    <w:rsid w:val="00FE2D48"/>
    <w:rsid w:val="00FE7CA6"/>
    <w:rsid w:val="00FF0531"/>
    <w:rsid w:val="00FF0C3A"/>
    <w:rsid w:val="00FF2382"/>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C53EB58"/>
  <w15:chartTrackingRefBased/>
  <w15:docId w15:val="{979975BB-50D1-4454-B242-DB5F950B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3D3"/>
    <w:pPr>
      <w:widowControl w:val="0"/>
      <w:tabs>
        <w:tab w:val="left" w:pos="720"/>
      </w:tabs>
      <w:spacing w:after="200" w:line="240" w:lineRule="auto"/>
    </w:pPr>
    <w:rPr>
      <w:rFonts w:asciiTheme="minorHAnsi" w:hAnsiTheme="minorHAnsi" w:cstheme="minorBidi"/>
      <w:noProof/>
      <w:sz w:val="24"/>
      <w:szCs w:val="22"/>
      <w:lang w:val="en-AU"/>
    </w:rPr>
  </w:style>
  <w:style w:type="paragraph" w:styleId="Heading1">
    <w:name w:val="heading 1"/>
    <w:basedOn w:val="Normal"/>
    <w:next w:val="Normal"/>
    <w:link w:val="Heading1Char"/>
    <w:uiPriority w:val="9"/>
    <w:qFormat/>
    <w:rsid w:val="0004637A"/>
    <w:pPr>
      <w:keepNext/>
      <w:keepLines/>
      <w:numPr>
        <w:numId w:val="22"/>
      </w:numPr>
      <w:spacing w:after="120"/>
      <w:outlineLvl w:val="0"/>
    </w:pPr>
    <w:rPr>
      <w:rFonts w:ascii="Cambria" w:eastAsia="Times New Roman" w:hAnsi="Cambria" w:cs="Times New Roman"/>
      <w:b/>
      <w:bCs/>
      <w:caps/>
      <w:sz w:val="28"/>
      <w:szCs w:val="28"/>
    </w:rPr>
  </w:style>
  <w:style w:type="paragraph" w:styleId="Heading2">
    <w:name w:val="heading 2"/>
    <w:basedOn w:val="Normal"/>
    <w:next w:val="Normal"/>
    <w:link w:val="Heading2Char"/>
    <w:uiPriority w:val="9"/>
    <w:unhideWhenUsed/>
    <w:qFormat/>
    <w:rsid w:val="00B75121"/>
    <w:pPr>
      <w:widowControl/>
      <w:numPr>
        <w:ilvl w:val="1"/>
        <w:numId w:val="22"/>
      </w:numPr>
      <w:tabs>
        <w:tab w:val="clear" w:pos="720"/>
      </w:tabs>
      <w:spacing w:before="240" w:line="276" w:lineRule="auto"/>
      <w:outlineLvl w:val="1"/>
    </w:pPr>
    <w:rPr>
      <w:rFonts w:ascii="Cambria" w:hAnsi="Cambria"/>
      <w:b/>
      <w:smallCaps/>
    </w:rPr>
  </w:style>
  <w:style w:type="paragraph" w:styleId="Heading3">
    <w:name w:val="heading 3"/>
    <w:basedOn w:val="Normal"/>
    <w:next w:val="Normal"/>
    <w:link w:val="Heading3Char"/>
    <w:uiPriority w:val="9"/>
    <w:unhideWhenUsed/>
    <w:qFormat/>
    <w:rsid w:val="00B75121"/>
    <w:pPr>
      <w:keepNext/>
      <w:keepLines/>
      <w:spacing w:before="200" w:after="120"/>
      <w:outlineLvl w:val="2"/>
    </w:pPr>
    <w:rPr>
      <w:rFonts w:ascii="Cambria" w:eastAsiaTheme="majorEastAsia" w:hAnsi="Cambria" w:cstheme="majorBidi"/>
      <w:b/>
      <w:bCs/>
    </w:rPr>
  </w:style>
  <w:style w:type="paragraph" w:styleId="Heading4">
    <w:name w:val="heading 4"/>
    <w:basedOn w:val="Heading3"/>
    <w:next w:val="Normal"/>
    <w:link w:val="Heading4Char"/>
    <w:uiPriority w:val="9"/>
    <w:unhideWhenUsed/>
    <w:qFormat/>
    <w:rsid w:val="00B75121"/>
    <w:pPr>
      <w:outlineLvl w:val="3"/>
    </w:pPr>
    <w:rPr>
      <w:u w:val="single"/>
    </w:rPr>
  </w:style>
  <w:style w:type="paragraph" w:styleId="Heading5">
    <w:name w:val="heading 5"/>
    <w:basedOn w:val="Heading4"/>
    <w:next w:val="Normal"/>
    <w:link w:val="Heading5Char"/>
    <w:uiPriority w:val="9"/>
    <w:unhideWhenUsed/>
    <w:qFormat/>
    <w:rsid w:val="00A418F3"/>
    <w:pPr>
      <w:outlineLvl w:val="4"/>
    </w:pPr>
    <w:rPr>
      <w:b w:val="0"/>
      <w:i/>
    </w:rPr>
  </w:style>
  <w:style w:type="paragraph" w:styleId="Heading6">
    <w:name w:val="heading 6"/>
    <w:basedOn w:val="Heading3"/>
    <w:next w:val="Normal"/>
    <w:link w:val="Heading6Char"/>
    <w:uiPriority w:val="9"/>
    <w:unhideWhenUsed/>
    <w:qFormat/>
    <w:rsid w:val="00A418F3"/>
    <w:pPr>
      <w:outlineLvl w:val="5"/>
    </w:pPr>
  </w:style>
  <w:style w:type="paragraph" w:styleId="Heading7">
    <w:name w:val="heading 7"/>
    <w:basedOn w:val="Normal"/>
    <w:next w:val="Normal"/>
    <w:link w:val="Heading7Char"/>
    <w:uiPriority w:val="9"/>
    <w:unhideWhenUsed/>
    <w:qFormat/>
    <w:rsid w:val="00A418F3"/>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18F3"/>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18F3"/>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DC1"/>
    <w:pPr>
      <w:ind w:left="720"/>
      <w:contextualSpacing/>
    </w:pPr>
  </w:style>
  <w:style w:type="paragraph" w:styleId="Header">
    <w:name w:val="header"/>
    <w:basedOn w:val="Normal"/>
    <w:link w:val="HeaderChar"/>
    <w:unhideWhenUsed/>
    <w:rsid w:val="007077D0"/>
    <w:pPr>
      <w:tabs>
        <w:tab w:val="center" w:pos="4680"/>
        <w:tab w:val="right" w:pos="9360"/>
      </w:tabs>
      <w:spacing w:after="0"/>
    </w:pPr>
  </w:style>
  <w:style w:type="character" w:customStyle="1" w:styleId="HeaderChar">
    <w:name w:val="Header Char"/>
    <w:basedOn w:val="DefaultParagraphFont"/>
    <w:link w:val="Header"/>
    <w:uiPriority w:val="99"/>
    <w:rsid w:val="007077D0"/>
  </w:style>
  <w:style w:type="paragraph" w:styleId="Footer">
    <w:name w:val="footer"/>
    <w:basedOn w:val="Normal"/>
    <w:link w:val="FooterChar"/>
    <w:unhideWhenUsed/>
    <w:rsid w:val="007077D0"/>
    <w:pPr>
      <w:tabs>
        <w:tab w:val="center" w:pos="4680"/>
        <w:tab w:val="right" w:pos="9360"/>
      </w:tabs>
      <w:spacing w:after="0"/>
    </w:pPr>
  </w:style>
  <w:style w:type="character" w:customStyle="1" w:styleId="FooterChar">
    <w:name w:val="Footer Char"/>
    <w:basedOn w:val="DefaultParagraphFont"/>
    <w:link w:val="Footer"/>
    <w:rsid w:val="007077D0"/>
  </w:style>
  <w:style w:type="table" w:styleId="TableGrid">
    <w:name w:val="Table Grid"/>
    <w:basedOn w:val="TableNormal"/>
    <w:uiPriority w:val="59"/>
    <w:rsid w:val="00CE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A418F3"/>
    <w:rPr>
      <w:rFonts w:asciiTheme="majorHAnsi" w:eastAsiaTheme="majorEastAsia" w:hAnsiTheme="majorHAnsi" w:cstheme="majorBidi"/>
      <w:b/>
      <w:bCs/>
      <w:sz w:val="22"/>
      <w:szCs w:val="22"/>
      <w:lang w:val="en-AU"/>
    </w:rPr>
  </w:style>
  <w:style w:type="character" w:customStyle="1" w:styleId="Heading7Char">
    <w:name w:val="Heading 7 Char"/>
    <w:basedOn w:val="DefaultParagraphFont"/>
    <w:link w:val="Heading7"/>
    <w:uiPriority w:val="9"/>
    <w:rsid w:val="00A418F3"/>
    <w:rPr>
      <w:rFonts w:asciiTheme="majorHAnsi" w:eastAsiaTheme="majorEastAsia" w:hAnsiTheme="majorHAnsi" w:cstheme="majorBidi"/>
      <w:i/>
      <w:iCs/>
      <w:color w:val="404040" w:themeColor="text1" w:themeTint="BF"/>
      <w:sz w:val="22"/>
      <w:szCs w:val="22"/>
      <w:lang w:val="en-AU"/>
    </w:rPr>
  </w:style>
  <w:style w:type="paragraph" w:customStyle="1" w:styleId="Text">
    <w:name w:val="Text"/>
    <w:aliases w:val="Graphic,Graphic Char Char,Graphic Char Char Char Char Char,Graphic Char Char Char Char Char Char Char C,notic,Text_10394,non tochic,Italic,graphics"/>
    <w:basedOn w:val="Normal"/>
    <w:link w:val="TextChar"/>
    <w:qFormat/>
    <w:rsid w:val="005540AB"/>
    <w:pPr>
      <w:spacing w:before="120" w:after="0"/>
      <w:jc w:val="both"/>
    </w:pPr>
    <w:rPr>
      <w:rFonts w:ascii="Times New Roman" w:eastAsia="MS Mincho" w:hAnsi="Times New Roman" w:cs="Times New Roman"/>
      <w:lang w:eastAsia="zh-CN"/>
    </w:rPr>
  </w:style>
  <w:style w:type="paragraph" w:customStyle="1" w:styleId="Comment">
    <w:name w:val="Comment"/>
    <w:basedOn w:val="Normal"/>
    <w:next w:val="Text"/>
    <w:link w:val="CommentChar"/>
    <w:rsid w:val="005540AB"/>
    <w:pPr>
      <w:spacing w:before="120" w:after="0"/>
      <w:jc w:val="both"/>
    </w:pPr>
    <w:rPr>
      <w:rFonts w:ascii="Times New Roman" w:eastAsia="MS Mincho" w:hAnsi="Times New Roman" w:cs="Times New Roman"/>
      <w:i/>
      <w:color w:val="BF30B5"/>
      <w:szCs w:val="24"/>
      <w:lang w:eastAsia="zh-CN"/>
    </w:rPr>
  </w:style>
  <w:style w:type="paragraph" w:customStyle="1" w:styleId="Nottoc-headings">
    <w:name w:val="Not toc-headings"/>
    <w:basedOn w:val="Normal"/>
    <w:next w:val="Text"/>
    <w:link w:val="Nottoc-headingsChar"/>
    <w:rsid w:val="005540AB"/>
    <w:pPr>
      <w:keepNext/>
      <w:keepLines/>
      <w:spacing w:before="240" w:after="60"/>
    </w:pPr>
    <w:rPr>
      <w:rFonts w:eastAsia="MS Gothic"/>
      <w:b/>
      <w:szCs w:val="24"/>
      <w:lang w:eastAsia="zh-CN"/>
    </w:rPr>
  </w:style>
  <w:style w:type="character" w:customStyle="1" w:styleId="CommentChar">
    <w:name w:val="Comment Char"/>
    <w:link w:val="Comment"/>
    <w:rsid w:val="005540AB"/>
    <w:rPr>
      <w:rFonts w:ascii="Times New Roman" w:eastAsia="MS Mincho" w:hAnsi="Times New Roman" w:cs="Times New Roman"/>
      <w:i/>
      <w:color w:val="BF30B5"/>
      <w:sz w:val="24"/>
      <w:szCs w:val="24"/>
      <w:lang w:eastAsia="zh-CN"/>
    </w:rPr>
  </w:style>
  <w:style w:type="character" w:customStyle="1" w:styleId="Nottoc-headingsChar">
    <w:name w:val="Not toc-headings Char"/>
    <w:link w:val="Nottoc-headings"/>
    <w:rsid w:val="005540AB"/>
    <w:rPr>
      <w:rFonts w:eastAsia="MS Gothic"/>
      <w:b/>
      <w:sz w:val="24"/>
      <w:szCs w:val="24"/>
      <w:lang w:eastAsia="zh-CN"/>
    </w:rPr>
  </w:style>
  <w:style w:type="paragraph" w:customStyle="1" w:styleId="Listlevel1">
    <w:name w:val="List level 1"/>
    <w:basedOn w:val="Normal"/>
    <w:link w:val="Listlevel1Char"/>
    <w:rsid w:val="005540AB"/>
    <w:pPr>
      <w:spacing w:before="40" w:after="0"/>
      <w:ind w:left="425" w:hanging="425"/>
    </w:pPr>
    <w:rPr>
      <w:rFonts w:ascii="Times New Roman" w:eastAsia="MS Mincho" w:hAnsi="Times New Roman" w:cs="Times New Roman"/>
      <w:lang w:eastAsia="zh-CN"/>
    </w:rPr>
  </w:style>
  <w:style w:type="character" w:customStyle="1" w:styleId="TextChar">
    <w:name w:val="Text Char"/>
    <w:aliases w:val="Graphic Char"/>
    <w:link w:val="Text"/>
    <w:rsid w:val="005540AB"/>
    <w:rPr>
      <w:rFonts w:ascii="Times New Roman" w:eastAsia="MS Mincho" w:hAnsi="Times New Roman" w:cs="Times New Roman"/>
      <w:sz w:val="24"/>
      <w:lang w:eastAsia="zh-CN"/>
    </w:rPr>
  </w:style>
  <w:style w:type="paragraph" w:customStyle="1" w:styleId="Default">
    <w:name w:val="Default"/>
    <w:rsid w:val="005540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level1Char">
    <w:name w:val="List level 1 Char"/>
    <w:link w:val="Listlevel1"/>
    <w:locked/>
    <w:rsid w:val="005540AB"/>
    <w:rPr>
      <w:rFonts w:ascii="Times New Roman" w:eastAsia="MS Mincho" w:hAnsi="Times New Roman" w:cs="Times New Roman"/>
      <w:sz w:val="24"/>
      <w:lang w:eastAsia="zh-CN"/>
    </w:rPr>
  </w:style>
  <w:style w:type="character" w:styleId="CommentReference">
    <w:name w:val="annotation reference"/>
    <w:aliases w:val="Verwijzing opmerking"/>
    <w:basedOn w:val="DefaultParagraphFont"/>
    <w:uiPriority w:val="99"/>
    <w:unhideWhenUsed/>
    <w:rsid w:val="001A6350"/>
    <w:rPr>
      <w:sz w:val="16"/>
      <w:szCs w:val="16"/>
    </w:rPr>
  </w:style>
  <w:style w:type="paragraph" w:styleId="CommentText">
    <w:name w:val="annotation text"/>
    <w:aliases w:val="Tekst opmerking"/>
    <w:basedOn w:val="Normal"/>
    <w:link w:val="CommentTextChar"/>
    <w:unhideWhenUsed/>
    <w:rsid w:val="001A6350"/>
  </w:style>
  <w:style w:type="character" w:customStyle="1" w:styleId="CommentTextChar">
    <w:name w:val="Comment Text Char"/>
    <w:aliases w:val="Tekst opmerking Char"/>
    <w:basedOn w:val="DefaultParagraphFont"/>
    <w:link w:val="CommentText"/>
    <w:rsid w:val="001A6350"/>
  </w:style>
  <w:style w:type="paragraph" w:styleId="CommentSubject">
    <w:name w:val="annotation subject"/>
    <w:basedOn w:val="CommentText"/>
    <w:next w:val="CommentText"/>
    <w:link w:val="CommentSubjectChar"/>
    <w:uiPriority w:val="99"/>
    <w:semiHidden/>
    <w:unhideWhenUsed/>
    <w:rsid w:val="001A6350"/>
    <w:rPr>
      <w:b/>
      <w:bCs/>
    </w:rPr>
  </w:style>
  <w:style w:type="character" w:customStyle="1" w:styleId="CommentSubjectChar">
    <w:name w:val="Comment Subject Char"/>
    <w:basedOn w:val="CommentTextChar"/>
    <w:link w:val="CommentSubject"/>
    <w:uiPriority w:val="99"/>
    <w:semiHidden/>
    <w:rsid w:val="001A6350"/>
    <w:rPr>
      <w:b/>
      <w:bCs/>
    </w:rPr>
  </w:style>
  <w:style w:type="paragraph" w:styleId="BalloonText">
    <w:name w:val="Balloon Text"/>
    <w:basedOn w:val="Normal"/>
    <w:link w:val="BalloonTextChar"/>
    <w:uiPriority w:val="99"/>
    <w:semiHidden/>
    <w:unhideWhenUsed/>
    <w:rsid w:val="001A63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350"/>
    <w:rPr>
      <w:rFonts w:ascii="Segoe UI" w:hAnsi="Segoe UI" w:cs="Segoe UI"/>
      <w:sz w:val="18"/>
      <w:szCs w:val="18"/>
    </w:rPr>
  </w:style>
  <w:style w:type="paragraph" w:customStyle="1" w:styleId="Reference">
    <w:name w:val="Reference"/>
    <w:basedOn w:val="Normal"/>
    <w:link w:val="ReferenceChar"/>
    <w:rsid w:val="00FC0154"/>
    <w:pPr>
      <w:spacing w:before="80" w:after="60"/>
    </w:pPr>
    <w:rPr>
      <w:rFonts w:ascii="Times New Roman" w:eastAsia="MS Mincho" w:hAnsi="Times New Roman" w:cs="Times New Roman"/>
      <w:lang w:eastAsia="zh-CN"/>
    </w:rPr>
  </w:style>
  <w:style w:type="character" w:customStyle="1" w:styleId="ReferenceChar">
    <w:name w:val="Reference Char"/>
    <w:link w:val="Reference"/>
    <w:rsid w:val="00FC0154"/>
    <w:rPr>
      <w:rFonts w:ascii="Times New Roman" w:eastAsia="MS Mincho" w:hAnsi="Times New Roman" w:cs="Times New Roman"/>
      <w:sz w:val="24"/>
      <w:lang w:eastAsia="zh-CN"/>
    </w:rPr>
  </w:style>
  <w:style w:type="character" w:customStyle="1" w:styleId="Heading2Char">
    <w:name w:val="Heading 2 Char"/>
    <w:basedOn w:val="DefaultParagraphFont"/>
    <w:link w:val="Heading2"/>
    <w:uiPriority w:val="9"/>
    <w:rsid w:val="00B75121"/>
    <w:rPr>
      <w:rFonts w:ascii="Cambria" w:hAnsi="Cambria" w:cstheme="minorBidi"/>
      <w:b/>
      <w:smallCaps/>
      <w:sz w:val="24"/>
      <w:szCs w:val="22"/>
      <w:lang w:val="en-AU"/>
    </w:rPr>
  </w:style>
  <w:style w:type="paragraph" w:customStyle="1" w:styleId="Table">
    <w:name w:val="Table"/>
    <w:aliases w:val="12 pt  Bold,9 pt,10 pt,9pt,Table + (Latin) Courier New,Before:  0 pt,After:  0 pt,Comment + (Latin) Courier New,Not Italic,Auto,Table pt,table text 10 pt + Arial,Bold,Normal + (Latin) Arial,(Complex) Arial,legendpt,Normal + Courier New,Courier New"/>
    <w:basedOn w:val="Normal"/>
    <w:link w:val="TableChar"/>
    <w:qFormat/>
    <w:rsid w:val="001F001D"/>
    <w:rPr>
      <w:b/>
    </w:rPr>
  </w:style>
  <w:style w:type="paragraph" w:customStyle="1" w:styleId="Legend">
    <w:name w:val="Legend"/>
    <w:basedOn w:val="Table"/>
    <w:link w:val="LegendChar"/>
    <w:rsid w:val="00663189"/>
  </w:style>
  <w:style w:type="character" w:customStyle="1" w:styleId="LegendChar">
    <w:name w:val="Legend Char"/>
    <w:link w:val="Legend"/>
    <w:rsid w:val="00663189"/>
    <w:rPr>
      <w:rFonts w:eastAsia="MS Mincho"/>
      <w:szCs w:val="24"/>
      <w:lang w:eastAsia="zh-CN"/>
    </w:rPr>
  </w:style>
  <w:style w:type="character" w:customStyle="1" w:styleId="TableChar">
    <w:name w:val="Table Char"/>
    <w:aliases w:val="12 pt  Bold Char,9 pt Char,10 pt Char,9pt Char,Table + (Latin) Courier New Char,Before:  0 pt Char,After:  0 pt Char,Comment + (Latin) Courier New Char,Not Italic Char,Auto Char,Table pt Char,table text 10 pt + Arial Char,Bold Char"/>
    <w:link w:val="Table"/>
    <w:rsid w:val="001F001D"/>
    <w:rPr>
      <w:rFonts w:asciiTheme="minorHAnsi" w:hAnsiTheme="minorHAnsi" w:cstheme="minorBidi"/>
      <w:b/>
      <w:sz w:val="24"/>
      <w:szCs w:val="22"/>
      <w:lang w:val="en-AU"/>
    </w:rPr>
  </w:style>
  <w:style w:type="character" w:styleId="Hyperlink">
    <w:name w:val="Hyperlink"/>
    <w:basedOn w:val="DefaultParagraphFont"/>
    <w:uiPriority w:val="99"/>
    <w:unhideWhenUsed/>
    <w:rsid w:val="001964EB"/>
    <w:rPr>
      <w:color w:val="0563C1" w:themeColor="hyperlink"/>
      <w:u w:val="single"/>
    </w:rPr>
  </w:style>
  <w:style w:type="paragraph" w:styleId="NormalWeb">
    <w:name w:val="Normal (Web)"/>
    <w:basedOn w:val="Normal"/>
    <w:uiPriority w:val="99"/>
    <w:rsid w:val="00A37C96"/>
    <w:pPr>
      <w:spacing w:before="40" w:after="0"/>
    </w:pPr>
    <w:rPr>
      <w:rFonts w:ascii="Times New Roman" w:eastAsia="MS Mincho" w:hAnsi="Times New Roman" w:cs="Times New Roman"/>
      <w:szCs w:val="24"/>
      <w:lang w:eastAsia="zh-CN"/>
    </w:rPr>
  </w:style>
  <w:style w:type="paragraph" w:customStyle="1" w:styleId="Numberofpages">
    <w:name w:val="Numberofpages"/>
    <w:basedOn w:val="Normal"/>
    <w:rsid w:val="00DF7B3C"/>
    <w:pPr>
      <w:keepNext/>
      <w:spacing w:before="240" w:after="0"/>
    </w:pPr>
    <w:rPr>
      <w:rFonts w:eastAsia="MS Gothic"/>
      <w:szCs w:val="24"/>
      <w:lang w:eastAsia="zh-CN"/>
    </w:rPr>
  </w:style>
  <w:style w:type="character" w:customStyle="1" w:styleId="Heading1Char">
    <w:name w:val="Heading 1 Char"/>
    <w:basedOn w:val="DefaultParagraphFont"/>
    <w:link w:val="Heading1"/>
    <w:uiPriority w:val="9"/>
    <w:rsid w:val="0004637A"/>
    <w:rPr>
      <w:rFonts w:ascii="Cambria" w:eastAsia="Times New Roman" w:hAnsi="Cambria" w:cs="Times New Roman"/>
      <w:b/>
      <w:bCs/>
      <w:caps/>
      <w:sz w:val="28"/>
      <w:szCs w:val="28"/>
      <w:lang w:val="en-AU"/>
    </w:rPr>
  </w:style>
  <w:style w:type="paragraph" w:styleId="Revision">
    <w:name w:val="Revision"/>
    <w:hidden/>
    <w:uiPriority w:val="99"/>
    <w:semiHidden/>
    <w:rsid w:val="00B128D6"/>
    <w:pPr>
      <w:spacing w:after="0" w:line="240" w:lineRule="auto"/>
    </w:pPr>
  </w:style>
  <w:style w:type="paragraph" w:styleId="FootnoteText">
    <w:name w:val="footnote text"/>
    <w:basedOn w:val="Normal"/>
    <w:link w:val="FootnoteTextChar"/>
    <w:uiPriority w:val="99"/>
    <w:semiHidden/>
    <w:unhideWhenUsed/>
    <w:rsid w:val="00B96344"/>
    <w:pPr>
      <w:spacing w:after="0"/>
    </w:pPr>
  </w:style>
  <w:style w:type="character" w:customStyle="1" w:styleId="FootnoteTextChar">
    <w:name w:val="Footnote Text Char"/>
    <w:basedOn w:val="DefaultParagraphFont"/>
    <w:link w:val="FootnoteText"/>
    <w:uiPriority w:val="99"/>
    <w:semiHidden/>
    <w:rsid w:val="00B96344"/>
  </w:style>
  <w:style w:type="character" w:styleId="FootnoteReference">
    <w:name w:val="footnote reference"/>
    <w:basedOn w:val="DefaultParagraphFont"/>
    <w:uiPriority w:val="99"/>
    <w:semiHidden/>
    <w:unhideWhenUsed/>
    <w:rsid w:val="00B96344"/>
    <w:rPr>
      <w:vertAlign w:val="superscript"/>
    </w:rPr>
  </w:style>
  <w:style w:type="paragraph" w:styleId="EndnoteText">
    <w:name w:val="endnote text"/>
    <w:basedOn w:val="Normal"/>
    <w:link w:val="EndnoteTextChar"/>
    <w:uiPriority w:val="99"/>
    <w:semiHidden/>
    <w:unhideWhenUsed/>
    <w:rsid w:val="00B96344"/>
    <w:pPr>
      <w:spacing w:after="0"/>
    </w:pPr>
  </w:style>
  <w:style w:type="character" w:customStyle="1" w:styleId="EndnoteTextChar">
    <w:name w:val="Endnote Text Char"/>
    <w:basedOn w:val="DefaultParagraphFont"/>
    <w:link w:val="EndnoteText"/>
    <w:uiPriority w:val="99"/>
    <w:semiHidden/>
    <w:rsid w:val="00B96344"/>
  </w:style>
  <w:style w:type="character" w:styleId="EndnoteReference">
    <w:name w:val="endnote reference"/>
    <w:basedOn w:val="DefaultParagraphFont"/>
    <w:uiPriority w:val="99"/>
    <w:semiHidden/>
    <w:unhideWhenUsed/>
    <w:rsid w:val="00B96344"/>
    <w:rPr>
      <w:vertAlign w:val="superscript"/>
    </w:rPr>
  </w:style>
  <w:style w:type="paragraph" w:customStyle="1" w:styleId="Compound">
    <w:name w:val="Compound"/>
    <w:basedOn w:val="Normal"/>
    <w:rsid w:val="0057064B"/>
    <w:pPr>
      <w:keepNext/>
      <w:spacing w:before="720" w:after="0"/>
      <w:jc w:val="center"/>
    </w:pPr>
    <w:rPr>
      <w:rFonts w:eastAsia="MS Gothic"/>
      <w:sz w:val="32"/>
      <w:lang w:eastAsia="zh-CN"/>
    </w:rPr>
  </w:style>
  <w:style w:type="paragraph" w:customStyle="1" w:styleId="Department">
    <w:name w:val="Department"/>
    <w:basedOn w:val="Normal"/>
    <w:rsid w:val="0057064B"/>
    <w:pPr>
      <w:keepNext/>
      <w:spacing w:before="360" w:after="0"/>
      <w:jc w:val="center"/>
    </w:pPr>
    <w:rPr>
      <w:rFonts w:eastAsia="MS Gothic"/>
      <w:sz w:val="28"/>
      <w:lang w:eastAsia="zh-CN"/>
    </w:rPr>
  </w:style>
  <w:style w:type="paragraph" w:customStyle="1" w:styleId="Docstatus">
    <w:name w:val="Docstatus"/>
    <w:basedOn w:val="Normal"/>
    <w:rsid w:val="0057064B"/>
    <w:pPr>
      <w:keepNext/>
      <w:spacing w:before="240" w:after="0"/>
    </w:pPr>
    <w:rPr>
      <w:rFonts w:eastAsia="MS Gothic"/>
      <w:lang w:eastAsia="zh-CN"/>
    </w:rPr>
  </w:style>
  <w:style w:type="paragraph" w:customStyle="1" w:styleId="Doctype">
    <w:name w:val="Doctype"/>
    <w:basedOn w:val="Normal"/>
    <w:rsid w:val="0057064B"/>
    <w:pPr>
      <w:keepNext/>
      <w:spacing w:before="240" w:after="0"/>
    </w:pPr>
    <w:rPr>
      <w:rFonts w:eastAsia="MS Gothic"/>
      <w:lang w:eastAsia="zh-CN"/>
    </w:rPr>
  </w:style>
  <w:style w:type="paragraph" w:customStyle="1" w:styleId="Firstpageinfo">
    <w:name w:val="Firstpageinfo"/>
    <w:basedOn w:val="Heading5"/>
    <w:rsid w:val="0057064B"/>
    <w:pPr>
      <w:spacing w:before="240"/>
      <w:outlineLvl w:val="9"/>
    </w:pPr>
    <w:rPr>
      <w:rFonts w:ascii="Arial" w:eastAsia="MS Gothic" w:hAnsi="Arial" w:cs="Arial"/>
      <w:lang w:eastAsia="zh-CN"/>
    </w:rPr>
  </w:style>
  <w:style w:type="paragraph" w:customStyle="1" w:styleId="Propertystatement">
    <w:name w:val="Propertystatement"/>
    <w:basedOn w:val="Numberofpages"/>
    <w:rsid w:val="0057064B"/>
    <w:pPr>
      <w:keepNext w:val="0"/>
      <w:spacing w:before="1200"/>
      <w:jc w:val="center"/>
    </w:pPr>
    <w:rPr>
      <w:sz w:val="20"/>
    </w:rPr>
  </w:style>
  <w:style w:type="paragraph" w:customStyle="1" w:styleId="Releasedate">
    <w:name w:val="Releasedate"/>
    <w:basedOn w:val="Docstatus"/>
    <w:rsid w:val="0057064B"/>
  </w:style>
  <w:style w:type="paragraph" w:styleId="Title">
    <w:name w:val="Title"/>
    <w:basedOn w:val="Normal"/>
    <w:link w:val="TitleChar"/>
    <w:qFormat/>
    <w:rsid w:val="0057064B"/>
    <w:pPr>
      <w:keepNext/>
      <w:spacing w:before="720" w:after="1320"/>
      <w:jc w:val="center"/>
    </w:pPr>
    <w:rPr>
      <w:rFonts w:eastAsia="MS Gothic"/>
      <w:b/>
      <w:sz w:val="32"/>
      <w:lang w:eastAsia="zh-CN"/>
    </w:rPr>
  </w:style>
  <w:style w:type="character" w:customStyle="1" w:styleId="TitleChar">
    <w:name w:val="Title Char"/>
    <w:basedOn w:val="DefaultParagraphFont"/>
    <w:link w:val="Title"/>
    <w:rsid w:val="0057064B"/>
    <w:rPr>
      <w:rFonts w:eastAsia="MS Gothic"/>
      <w:b/>
      <w:sz w:val="32"/>
      <w:lang w:eastAsia="zh-CN"/>
    </w:rPr>
  </w:style>
  <w:style w:type="character" w:customStyle="1" w:styleId="Heading5Char">
    <w:name w:val="Heading 5 Char"/>
    <w:basedOn w:val="DefaultParagraphFont"/>
    <w:link w:val="Heading5"/>
    <w:uiPriority w:val="9"/>
    <w:rsid w:val="00A418F3"/>
    <w:rPr>
      <w:rFonts w:asciiTheme="minorHAnsi" w:eastAsia="Times New Roman" w:hAnsiTheme="minorHAnsi" w:cs="Times New Roman"/>
      <w:i/>
      <w:sz w:val="22"/>
      <w:szCs w:val="22"/>
      <w:u w:val="single"/>
      <w:lang w:val="en-AU"/>
    </w:rPr>
  </w:style>
  <w:style w:type="paragraph" w:customStyle="1" w:styleId="Title1">
    <w:name w:val="Title1"/>
    <w:basedOn w:val="Heading1"/>
    <w:next w:val="Normal"/>
    <w:autoRedefine/>
    <w:qFormat/>
    <w:rsid w:val="00CE03FD"/>
    <w:pPr>
      <w:numPr>
        <w:numId w:val="0"/>
      </w:numPr>
      <w:spacing w:before="480" w:after="0"/>
    </w:pPr>
    <w:rPr>
      <w:rFonts w:eastAsiaTheme="minorHAnsi" w:cstheme="minorBidi"/>
      <w:bCs w:val="0"/>
      <w:caps w:val="0"/>
    </w:rPr>
  </w:style>
  <w:style w:type="character" w:customStyle="1" w:styleId="Heading3Char">
    <w:name w:val="Heading 3 Char"/>
    <w:basedOn w:val="DefaultParagraphFont"/>
    <w:link w:val="Heading3"/>
    <w:uiPriority w:val="9"/>
    <w:rsid w:val="00B75121"/>
    <w:rPr>
      <w:rFonts w:ascii="Cambria" w:eastAsiaTheme="majorEastAsia" w:hAnsi="Cambria" w:cstheme="majorBidi"/>
      <w:b/>
      <w:bCs/>
      <w:sz w:val="22"/>
      <w:szCs w:val="22"/>
      <w:lang w:val="en-AU"/>
    </w:rPr>
  </w:style>
  <w:style w:type="character" w:customStyle="1" w:styleId="Heading4Char">
    <w:name w:val="Heading 4 Char"/>
    <w:basedOn w:val="DefaultParagraphFont"/>
    <w:link w:val="Heading4"/>
    <w:uiPriority w:val="9"/>
    <w:rsid w:val="00B75121"/>
    <w:rPr>
      <w:rFonts w:ascii="Cambria" w:eastAsiaTheme="majorEastAsia" w:hAnsi="Cambria" w:cstheme="majorBidi"/>
      <w:b/>
      <w:bCs/>
      <w:sz w:val="22"/>
      <w:szCs w:val="22"/>
      <w:u w:val="single"/>
      <w:lang w:val="en-AU"/>
    </w:rPr>
  </w:style>
  <w:style w:type="character" w:customStyle="1" w:styleId="Heading8Char">
    <w:name w:val="Heading 8 Char"/>
    <w:basedOn w:val="DefaultParagraphFont"/>
    <w:link w:val="Heading8"/>
    <w:uiPriority w:val="9"/>
    <w:semiHidden/>
    <w:rsid w:val="00A418F3"/>
    <w:rPr>
      <w:rFonts w:asciiTheme="majorHAnsi" w:eastAsiaTheme="majorEastAsia" w:hAnsiTheme="majorHAnsi" w:cstheme="majorBidi"/>
      <w:color w:val="404040" w:themeColor="text1" w:themeTint="BF"/>
      <w:lang w:val="en-AU"/>
    </w:rPr>
  </w:style>
  <w:style w:type="character" w:customStyle="1" w:styleId="Heading9Char">
    <w:name w:val="Heading 9 Char"/>
    <w:basedOn w:val="DefaultParagraphFont"/>
    <w:link w:val="Heading9"/>
    <w:uiPriority w:val="9"/>
    <w:semiHidden/>
    <w:rsid w:val="00A418F3"/>
    <w:rPr>
      <w:rFonts w:asciiTheme="majorHAnsi" w:eastAsiaTheme="majorEastAsia" w:hAnsiTheme="majorHAnsi" w:cstheme="majorBidi"/>
      <w:i/>
      <w:iCs/>
      <w:color w:val="404040" w:themeColor="text1" w:themeTint="BF"/>
      <w:lang w:val="en-AU"/>
    </w:rPr>
  </w:style>
  <w:style w:type="paragraph" w:customStyle="1" w:styleId="C-Bullet">
    <w:name w:val="C-Bullet"/>
    <w:rsid w:val="00CE03FD"/>
    <w:pPr>
      <w:numPr>
        <w:numId w:val="25"/>
      </w:numPr>
      <w:spacing w:before="120" w:after="120" w:line="280" w:lineRule="atLeast"/>
    </w:pPr>
    <w:rPr>
      <w:rFonts w:ascii="Times New Roman" w:eastAsia="Times New Roman" w:hAnsi="Times New Roman" w:cs="Times New Roman"/>
      <w:sz w:val="24"/>
    </w:rPr>
  </w:style>
  <w:style w:type="paragraph" w:customStyle="1" w:styleId="C-BulletIndented">
    <w:name w:val="C-Bullet Indented"/>
    <w:rsid w:val="00CE03FD"/>
    <w:pPr>
      <w:numPr>
        <w:ilvl w:val="1"/>
        <w:numId w:val="25"/>
      </w:numPr>
      <w:spacing w:before="120" w:after="120" w:line="280" w:lineRule="atLeast"/>
    </w:pPr>
    <w:rPr>
      <w:rFonts w:ascii="Times New Roman" w:eastAsia="Times New Roman" w:hAnsi="Times New Roman"/>
      <w:sz w:val="24"/>
    </w:rPr>
  </w:style>
  <w:style w:type="paragraph" w:customStyle="1" w:styleId="C-TableText">
    <w:name w:val="C-Table Text"/>
    <w:link w:val="C-TableTextChar"/>
    <w:rsid w:val="00CE03FD"/>
    <w:pPr>
      <w:spacing w:before="60" w:after="60" w:line="240" w:lineRule="auto"/>
    </w:pPr>
    <w:rPr>
      <w:rFonts w:ascii="Times New Roman" w:eastAsia="Times New Roman" w:hAnsi="Times New Roman" w:cs="Times New Roman"/>
      <w:sz w:val="22"/>
    </w:rPr>
  </w:style>
  <w:style w:type="paragraph" w:customStyle="1" w:styleId="C-Heading1nopagebreak">
    <w:name w:val="C-Heading 1 (no page break"/>
    <w:aliases w:val="non-numbered)"/>
    <w:basedOn w:val="Normal"/>
    <w:next w:val="Normal"/>
    <w:rsid w:val="00CE03FD"/>
    <w:pPr>
      <w:keepNext/>
      <w:widowControl/>
      <w:tabs>
        <w:tab w:val="clear" w:pos="720"/>
        <w:tab w:val="left" w:pos="1080"/>
      </w:tabs>
      <w:spacing w:before="480" w:after="120"/>
      <w:ind w:left="1080" w:hanging="1080"/>
      <w:outlineLvl w:val="0"/>
    </w:pPr>
    <w:rPr>
      <w:rFonts w:ascii="Times New Roman" w:eastAsia="Times New Roman" w:hAnsi="Times New Roman" w:cs="Times New Roman"/>
      <w:b/>
      <w:caps/>
      <w:sz w:val="28"/>
      <w:szCs w:val="20"/>
      <w:lang w:val="en-US"/>
    </w:rPr>
  </w:style>
  <w:style w:type="character" w:customStyle="1" w:styleId="C-TableTextChar">
    <w:name w:val="C-Table Text Char"/>
    <w:link w:val="C-TableText"/>
    <w:rsid w:val="00CE03FD"/>
    <w:rPr>
      <w:rFonts w:ascii="Times New Roman" w:eastAsia="Times New Roman" w:hAnsi="Times New Roman" w:cs="Times New Roman"/>
      <w:sz w:val="22"/>
    </w:rPr>
  </w:style>
  <w:style w:type="paragraph" w:customStyle="1" w:styleId="C-PLR-BodyText">
    <w:name w:val="C-PLR-Body Text"/>
    <w:rsid w:val="00CE03FD"/>
    <w:pPr>
      <w:spacing w:after="0" w:line="240" w:lineRule="auto"/>
    </w:pPr>
    <w:rPr>
      <w:rFonts w:ascii="Times New Roman" w:eastAsia="Times New Roman" w:hAnsi="Times New Roman" w:cs="Times New Roman"/>
      <w:sz w:val="16"/>
    </w:rPr>
  </w:style>
  <w:style w:type="paragraph" w:customStyle="1" w:styleId="C-BodyText">
    <w:name w:val="C-Body Text"/>
    <w:rsid w:val="00C863CB"/>
    <w:pPr>
      <w:spacing w:before="120" w:after="120" w:line="280" w:lineRule="atLeast"/>
    </w:pPr>
    <w:rPr>
      <w:rFonts w:ascii="Times New Roman" w:eastAsia="Times New Roman" w:hAnsi="Times New Roman" w:cs="Times New Roman"/>
      <w:sz w:val="24"/>
    </w:rPr>
  </w:style>
  <w:style w:type="paragraph" w:styleId="Caption">
    <w:name w:val="caption"/>
    <w:aliases w:val="Char,caption"/>
    <w:next w:val="C-BodyText"/>
    <w:link w:val="CaptionChar"/>
    <w:qFormat/>
    <w:rsid w:val="00A204D0"/>
    <w:pPr>
      <w:keepNext/>
      <w:spacing w:before="120" w:after="120" w:line="280" w:lineRule="atLeast"/>
      <w:ind w:left="1440" w:hanging="1440"/>
    </w:pPr>
    <w:rPr>
      <w:rFonts w:ascii="Times New Roman" w:eastAsia="Times New Roman" w:hAnsi="Times New Roman" w:cs="Times New Roman"/>
      <w:b/>
      <w:bCs/>
      <w:sz w:val="24"/>
      <w:szCs w:val="24"/>
    </w:rPr>
  </w:style>
  <w:style w:type="paragraph" w:customStyle="1" w:styleId="C-TableHeader">
    <w:name w:val="C-Table Header"/>
    <w:next w:val="C-TableText"/>
    <w:rsid w:val="00A204D0"/>
    <w:pPr>
      <w:keepNext/>
      <w:spacing w:before="60" w:after="60" w:line="240" w:lineRule="auto"/>
    </w:pPr>
    <w:rPr>
      <w:rFonts w:ascii="Times New Roman" w:eastAsia="Times New Roman" w:hAnsi="Times New Roman" w:cs="Times New Roman"/>
      <w:b/>
      <w:sz w:val="22"/>
    </w:rPr>
  </w:style>
  <w:style w:type="paragraph" w:customStyle="1" w:styleId="C-TableFootnote">
    <w:name w:val="C-Table Footnote"/>
    <w:next w:val="C-BodyText"/>
    <w:qFormat/>
    <w:rsid w:val="00A204D0"/>
    <w:pPr>
      <w:tabs>
        <w:tab w:val="left" w:pos="144"/>
      </w:tabs>
      <w:spacing w:after="0" w:line="240" w:lineRule="auto"/>
      <w:ind w:left="144" w:hanging="144"/>
    </w:pPr>
    <w:rPr>
      <w:rFonts w:ascii="Times New Roman" w:eastAsia="Times New Roman" w:hAnsi="Times New Roman"/>
    </w:rPr>
  </w:style>
  <w:style w:type="character" w:customStyle="1" w:styleId="C-TableCallout">
    <w:name w:val="C-Table Callout"/>
    <w:rsid w:val="00A204D0"/>
    <w:rPr>
      <w:rFonts w:ascii="Times New Roman" w:hAnsi="Times New Roman"/>
      <w:dstrike w:val="0"/>
      <w:color w:val="auto"/>
      <w:spacing w:val="0"/>
      <w:w w:val="100"/>
      <w:position w:val="-1"/>
      <w:sz w:val="22"/>
      <w:szCs w:val="22"/>
      <w:u w:val="none"/>
      <w:effect w:val="none"/>
      <w:vertAlign w:val="superscript"/>
      <w:em w:val="none"/>
    </w:rPr>
  </w:style>
  <w:style w:type="table" w:customStyle="1" w:styleId="C-Table">
    <w:name w:val="C-Table"/>
    <w:basedOn w:val="TableNormal"/>
    <w:rsid w:val="00A204D0"/>
    <w:pPr>
      <w:spacing w:after="0" w:line="240" w:lineRule="auto"/>
    </w:pPr>
    <w:rPr>
      <w:rFonts w:ascii="Times New Roman" w:eastAsia="Times New Roman" w:hAnsi="Times New Roman" w:cs="Times New Roman"/>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NumberedList">
    <w:name w:val="C-Numbered List"/>
    <w:rsid w:val="00B101B6"/>
    <w:pPr>
      <w:numPr>
        <w:numId w:val="26"/>
      </w:numPr>
      <w:spacing w:before="120" w:after="120" w:line="280" w:lineRule="atLeast"/>
    </w:pPr>
    <w:rPr>
      <w:rFonts w:ascii="Times New Roman" w:eastAsia="Times New Roman" w:hAnsi="Times New Roman" w:cs="Times New Roman"/>
      <w:sz w:val="24"/>
    </w:rPr>
  </w:style>
  <w:style w:type="paragraph" w:customStyle="1" w:styleId="C-AlphabeticList">
    <w:name w:val="C-Alphabetic List"/>
    <w:rsid w:val="00B101B6"/>
    <w:pPr>
      <w:numPr>
        <w:ilvl w:val="1"/>
        <w:numId w:val="26"/>
      </w:numPr>
      <w:spacing w:after="0" w:line="240" w:lineRule="auto"/>
    </w:pPr>
    <w:rPr>
      <w:rFonts w:ascii="Times New Roman" w:eastAsia="Times New Roman" w:hAnsi="Times New Roman" w:cs="Times New Roman"/>
      <w:sz w:val="24"/>
    </w:rPr>
  </w:style>
  <w:style w:type="paragraph" w:customStyle="1" w:styleId="C-Heading2non-numbered">
    <w:name w:val="C-Heading 2 (non-numbered)"/>
    <w:basedOn w:val="Normal"/>
    <w:next w:val="C-BodyText"/>
    <w:rsid w:val="00B101B6"/>
    <w:pPr>
      <w:keepNext/>
      <w:widowControl/>
      <w:tabs>
        <w:tab w:val="clear" w:pos="720"/>
        <w:tab w:val="left" w:pos="1080"/>
      </w:tabs>
      <w:spacing w:before="240" w:after="0"/>
      <w:ind w:left="1080" w:hanging="1080"/>
      <w:outlineLvl w:val="1"/>
    </w:pPr>
    <w:rPr>
      <w:rFonts w:ascii="Times New Roman" w:eastAsia="Times New Roman" w:hAnsi="Times New Roman" w:cs="Times New Roman"/>
      <w:b/>
      <w:sz w:val="28"/>
      <w:szCs w:val="20"/>
      <w:lang w:val="en-US"/>
    </w:rPr>
  </w:style>
  <w:style w:type="paragraph" w:customStyle="1" w:styleId="C-PLR-Title">
    <w:name w:val="C-PLR-Title"/>
    <w:next w:val="C-PLR-BodyText"/>
    <w:rsid w:val="00B101B6"/>
    <w:pPr>
      <w:spacing w:after="0" w:line="240" w:lineRule="auto"/>
      <w:jc w:val="center"/>
    </w:pPr>
    <w:rPr>
      <w:rFonts w:ascii="Times New Roman" w:eastAsia="Times New Roman" w:hAnsi="Times New Roman" w:cs="Times New Roman"/>
      <w:b/>
      <w:caps/>
      <w:sz w:val="16"/>
    </w:rPr>
  </w:style>
  <w:style w:type="character" w:customStyle="1" w:styleId="st">
    <w:name w:val="st"/>
    <w:basedOn w:val="DefaultParagraphFont"/>
    <w:rsid w:val="00AE427E"/>
  </w:style>
  <w:style w:type="paragraph" w:customStyle="1" w:styleId="C-Heading5non-numbered">
    <w:name w:val="C-Heading 5 (non-numbered)"/>
    <w:basedOn w:val="Normal"/>
    <w:next w:val="C-BodyText"/>
    <w:rsid w:val="00F10882"/>
    <w:pPr>
      <w:keepNext/>
      <w:widowControl/>
      <w:tabs>
        <w:tab w:val="clear" w:pos="720"/>
        <w:tab w:val="left" w:pos="1080"/>
      </w:tabs>
      <w:spacing w:before="240" w:after="0"/>
      <w:ind w:left="1080" w:hanging="1080"/>
      <w:outlineLvl w:val="4"/>
    </w:pPr>
    <w:rPr>
      <w:rFonts w:ascii="Times New Roman" w:eastAsia="Times New Roman" w:hAnsi="Times New Roman" w:cs="Times New Roman"/>
      <w:b/>
      <w:szCs w:val="20"/>
      <w:lang w:val="en-US"/>
    </w:rPr>
  </w:style>
  <w:style w:type="paragraph" w:customStyle="1" w:styleId="NormalAgency">
    <w:name w:val="Normal (Agency)"/>
    <w:link w:val="NormalAgencyChar"/>
    <w:rsid w:val="008252ED"/>
    <w:pPr>
      <w:tabs>
        <w:tab w:val="left" w:pos="567"/>
      </w:tabs>
      <w:spacing w:after="0" w:line="240" w:lineRule="auto"/>
    </w:pPr>
    <w:rPr>
      <w:rFonts w:ascii="Times New Roman" w:eastAsia="Verdana" w:hAnsi="Times New Roman" w:cs="Verdana"/>
      <w:sz w:val="22"/>
      <w:szCs w:val="18"/>
      <w:lang w:val="en-GB" w:eastAsia="en-GB"/>
    </w:rPr>
  </w:style>
  <w:style w:type="character" w:customStyle="1" w:styleId="NormalAgencyChar">
    <w:name w:val="Normal (Agency) Char"/>
    <w:link w:val="NormalAgency"/>
    <w:rsid w:val="008252ED"/>
    <w:rPr>
      <w:rFonts w:ascii="Times New Roman" w:eastAsia="Verdana" w:hAnsi="Times New Roman" w:cs="Verdana"/>
      <w:sz w:val="22"/>
      <w:szCs w:val="18"/>
      <w:lang w:val="en-GB" w:eastAsia="en-GB"/>
    </w:rPr>
  </w:style>
  <w:style w:type="character" w:customStyle="1" w:styleId="C-Hyperlink">
    <w:name w:val="C-Hyperlink"/>
    <w:qFormat/>
    <w:rsid w:val="008252ED"/>
    <w:rPr>
      <w:color w:val="0000FF"/>
    </w:rPr>
  </w:style>
  <w:style w:type="paragraph" w:customStyle="1" w:styleId="C-Footnote">
    <w:name w:val="C-Footnote"/>
    <w:basedOn w:val="C-TableFootnote"/>
    <w:qFormat/>
    <w:rsid w:val="00534751"/>
    <w:pPr>
      <w:ind w:left="0" w:firstLine="0"/>
    </w:pPr>
  </w:style>
  <w:style w:type="paragraph" w:styleId="BodyText">
    <w:name w:val="Body Text"/>
    <w:basedOn w:val="Normal"/>
    <w:link w:val="BodyTextChar"/>
    <w:rsid w:val="00A737F0"/>
    <w:pPr>
      <w:widowControl/>
      <w:tabs>
        <w:tab w:val="clear" w:pos="720"/>
      </w:tabs>
      <w:spacing w:after="120"/>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rsid w:val="00A737F0"/>
    <w:rPr>
      <w:rFonts w:ascii="Times New Roman" w:eastAsia="Times New Roman" w:hAnsi="Times New Roman" w:cs="Times New Roman"/>
      <w:sz w:val="24"/>
      <w:szCs w:val="24"/>
      <w:lang w:val="en-GB"/>
    </w:rPr>
  </w:style>
  <w:style w:type="character" w:customStyle="1" w:styleId="CaptionChar">
    <w:name w:val="Caption Char"/>
    <w:aliases w:val="Char Char,caption Char"/>
    <w:link w:val="Caption"/>
    <w:rsid w:val="00A737F0"/>
    <w:rPr>
      <w:rFonts w:ascii="Times New Roman" w:eastAsia="Times New Roman" w:hAnsi="Times New Roman" w:cs="Times New Roman"/>
      <w:b/>
      <w:bCs/>
      <w:sz w:val="24"/>
      <w:szCs w:val="24"/>
    </w:rPr>
  </w:style>
  <w:style w:type="paragraph" w:styleId="TOC7">
    <w:name w:val="toc 7"/>
    <w:basedOn w:val="Normal"/>
    <w:next w:val="Normal"/>
    <w:autoRedefine/>
    <w:rsid w:val="00A737F0"/>
    <w:pPr>
      <w:widowControl/>
      <w:tabs>
        <w:tab w:val="clear" w:pos="720"/>
      </w:tabs>
      <w:spacing w:after="0"/>
      <w:ind w:left="1440"/>
    </w:pPr>
    <w:rPr>
      <w:rFonts w:ascii="Times New Roman" w:eastAsia="Times New Roman" w:hAnsi="Times New Roman" w:cs="Times New Roman"/>
      <w:szCs w:val="24"/>
      <w:lang w:val="en-GB"/>
    </w:rPr>
  </w:style>
  <w:style w:type="paragraph" w:customStyle="1" w:styleId="NormalBoldAgency">
    <w:name w:val="Normal Bold (Agency)"/>
    <w:basedOn w:val="NormalAgency"/>
    <w:qFormat/>
    <w:rsid w:val="00376635"/>
    <w:pPr>
      <w:outlineLvl w:val="0"/>
    </w:pPr>
    <w:rPr>
      <w:rFonts w:ascii="Times New Roman Bold" w:hAnsi="Times New Roman Bold"/>
      <w:b/>
      <w:noProof/>
    </w:rPr>
  </w:style>
  <w:style w:type="paragraph" w:customStyle="1" w:styleId="Standaard">
    <w:name w:val="Standaard"/>
    <w:qFormat/>
    <w:rsid w:val="00F8429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761897">
      <w:bodyDiv w:val="1"/>
      <w:marLeft w:val="0"/>
      <w:marRight w:val="0"/>
      <w:marTop w:val="0"/>
      <w:marBottom w:val="0"/>
      <w:divBdr>
        <w:top w:val="none" w:sz="0" w:space="0" w:color="auto"/>
        <w:left w:val="none" w:sz="0" w:space="0" w:color="auto"/>
        <w:bottom w:val="none" w:sz="0" w:space="0" w:color="auto"/>
        <w:right w:val="none" w:sz="0" w:space="0" w:color="auto"/>
      </w:divBdr>
      <w:divsChild>
        <w:div w:id="1741632426">
          <w:marLeft w:val="0"/>
          <w:marRight w:val="0"/>
          <w:marTop w:val="0"/>
          <w:marBottom w:val="0"/>
          <w:divBdr>
            <w:top w:val="none" w:sz="0" w:space="0" w:color="auto"/>
            <w:left w:val="none" w:sz="0" w:space="0" w:color="auto"/>
            <w:bottom w:val="none" w:sz="0" w:space="0" w:color="auto"/>
            <w:right w:val="none" w:sz="0" w:space="0" w:color="auto"/>
          </w:divBdr>
          <w:divsChild>
            <w:div w:id="304316271">
              <w:marLeft w:val="0"/>
              <w:marRight w:val="0"/>
              <w:marTop w:val="100"/>
              <w:marBottom w:val="100"/>
              <w:divBdr>
                <w:top w:val="none" w:sz="0" w:space="0" w:color="auto"/>
                <w:left w:val="none" w:sz="0" w:space="0" w:color="auto"/>
                <w:bottom w:val="none" w:sz="0" w:space="0" w:color="auto"/>
                <w:right w:val="none" w:sz="0" w:space="0" w:color="auto"/>
              </w:divBdr>
              <w:divsChild>
                <w:div w:id="1766340098">
                  <w:marLeft w:val="0"/>
                  <w:marRight w:val="0"/>
                  <w:marTop w:val="0"/>
                  <w:marBottom w:val="0"/>
                  <w:divBdr>
                    <w:top w:val="none" w:sz="0" w:space="0" w:color="auto"/>
                    <w:left w:val="none" w:sz="0" w:space="0" w:color="auto"/>
                    <w:bottom w:val="none" w:sz="0" w:space="0" w:color="auto"/>
                    <w:right w:val="none" w:sz="0" w:space="0" w:color="auto"/>
                  </w:divBdr>
                  <w:divsChild>
                    <w:div w:id="476262646">
                      <w:marLeft w:val="0"/>
                      <w:marRight w:val="0"/>
                      <w:marTop w:val="0"/>
                      <w:marBottom w:val="0"/>
                      <w:divBdr>
                        <w:top w:val="none" w:sz="0" w:space="0" w:color="auto"/>
                        <w:left w:val="none" w:sz="0" w:space="0" w:color="auto"/>
                        <w:bottom w:val="none" w:sz="0" w:space="0" w:color="auto"/>
                        <w:right w:val="none" w:sz="0" w:space="0" w:color="auto"/>
                      </w:divBdr>
                      <w:divsChild>
                        <w:div w:id="1612781210">
                          <w:marLeft w:val="0"/>
                          <w:marRight w:val="0"/>
                          <w:marTop w:val="0"/>
                          <w:marBottom w:val="0"/>
                          <w:divBdr>
                            <w:top w:val="none" w:sz="0" w:space="0" w:color="auto"/>
                            <w:left w:val="none" w:sz="0" w:space="0" w:color="auto"/>
                            <w:bottom w:val="none" w:sz="0" w:space="0" w:color="auto"/>
                            <w:right w:val="none" w:sz="0" w:space="0" w:color="auto"/>
                          </w:divBdr>
                          <w:divsChild>
                            <w:div w:id="736825317">
                              <w:marLeft w:val="0"/>
                              <w:marRight w:val="0"/>
                              <w:marTop w:val="300"/>
                              <w:marBottom w:val="0"/>
                              <w:divBdr>
                                <w:top w:val="none" w:sz="0" w:space="0" w:color="auto"/>
                                <w:left w:val="none" w:sz="0" w:space="0" w:color="auto"/>
                                <w:bottom w:val="none" w:sz="0" w:space="0" w:color="auto"/>
                                <w:right w:val="none" w:sz="0" w:space="0" w:color="auto"/>
                              </w:divBdr>
                              <w:divsChild>
                                <w:div w:id="261454194">
                                  <w:marLeft w:val="0"/>
                                  <w:marRight w:val="0"/>
                                  <w:marTop w:val="0"/>
                                  <w:marBottom w:val="0"/>
                                  <w:divBdr>
                                    <w:top w:val="none" w:sz="0" w:space="0" w:color="auto"/>
                                    <w:left w:val="none" w:sz="0" w:space="0" w:color="auto"/>
                                    <w:bottom w:val="none" w:sz="0" w:space="0" w:color="auto"/>
                                    <w:right w:val="none" w:sz="0" w:space="0" w:color="auto"/>
                                  </w:divBdr>
                                  <w:divsChild>
                                    <w:div w:id="718748913">
                                      <w:marLeft w:val="0"/>
                                      <w:marRight w:val="0"/>
                                      <w:marTop w:val="0"/>
                                      <w:marBottom w:val="0"/>
                                      <w:divBdr>
                                        <w:top w:val="none" w:sz="0" w:space="0" w:color="auto"/>
                                        <w:left w:val="none" w:sz="0" w:space="0" w:color="auto"/>
                                        <w:bottom w:val="none" w:sz="0" w:space="0" w:color="auto"/>
                                        <w:right w:val="none" w:sz="0" w:space="0" w:color="auto"/>
                                      </w:divBdr>
                                      <w:divsChild>
                                        <w:div w:id="219169317">
                                          <w:marLeft w:val="0"/>
                                          <w:marRight w:val="0"/>
                                          <w:marTop w:val="0"/>
                                          <w:marBottom w:val="0"/>
                                          <w:divBdr>
                                            <w:top w:val="single" w:sz="12" w:space="0" w:color="C6D6E7"/>
                                            <w:left w:val="single" w:sz="12" w:space="0" w:color="C6D6E7"/>
                                            <w:bottom w:val="single" w:sz="12" w:space="12" w:color="C6D6E7"/>
                                            <w:right w:val="single" w:sz="12" w:space="0" w:color="C6D6E7"/>
                                          </w:divBdr>
                                          <w:divsChild>
                                            <w:div w:id="880438390">
                                              <w:marLeft w:val="0"/>
                                              <w:marRight w:val="0"/>
                                              <w:marTop w:val="0"/>
                                              <w:marBottom w:val="0"/>
                                              <w:divBdr>
                                                <w:top w:val="none" w:sz="0" w:space="0" w:color="auto"/>
                                                <w:left w:val="none" w:sz="0" w:space="0" w:color="auto"/>
                                                <w:bottom w:val="none" w:sz="0" w:space="0" w:color="auto"/>
                                                <w:right w:val="none" w:sz="0" w:space="0" w:color="auto"/>
                                              </w:divBdr>
                                              <w:divsChild>
                                                <w:div w:id="1640651337">
                                                  <w:marLeft w:val="0"/>
                                                  <w:marRight w:val="0"/>
                                                  <w:marTop w:val="0"/>
                                                  <w:marBottom w:val="0"/>
                                                  <w:divBdr>
                                                    <w:top w:val="none" w:sz="0" w:space="0" w:color="auto"/>
                                                    <w:left w:val="none" w:sz="0" w:space="0" w:color="auto"/>
                                                    <w:bottom w:val="none" w:sz="0" w:space="0" w:color="auto"/>
                                                    <w:right w:val="none" w:sz="0" w:space="0" w:color="auto"/>
                                                  </w:divBdr>
                                                  <w:divsChild>
                                                    <w:div w:id="61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913850">
      <w:bodyDiv w:val="1"/>
      <w:marLeft w:val="0"/>
      <w:marRight w:val="0"/>
      <w:marTop w:val="0"/>
      <w:marBottom w:val="0"/>
      <w:divBdr>
        <w:top w:val="none" w:sz="0" w:space="0" w:color="auto"/>
        <w:left w:val="none" w:sz="0" w:space="0" w:color="auto"/>
        <w:bottom w:val="none" w:sz="0" w:space="0" w:color="auto"/>
        <w:right w:val="none" w:sz="0" w:space="0" w:color="auto"/>
      </w:divBdr>
      <w:divsChild>
        <w:div w:id="279730071">
          <w:marLeft w:val="0"/>
          <w:marRight w:val="0"/>
          <w:marTop w:val="0"/>
          <w:marBottom w:val="0"/>
          <w:divBdr>
            <w:top w:val="none" w:sz="0" w:space="0" w:color="auto"/>
            <w:left w:val="none" w:sz="0" w:space="0" w:color="auto"/>
            <w:bottom w:val="none" w:sz="0" w:space="0" w:color="auto"/>
            <w:right w:val="none" w:sz="0" w:space="0" w:color="auto"/>
          </w:divBdr>
          <w:divsChild>
            <w:div w:id="1415973812">
              <w:marLeft w:val="0"/>
              <w:marRight w:val="0"/>
              <w:marTop w:val="0"/>
              <w:marBottom w:val="0"/>
              <w:divBdr>
                <w:top w:val="none" w:sz="0" w:space="0" w:color="auto"/>
                <w:left w:val="none" w:sz="0" w:space="0" w:color="auto"/>
                <w:bottom w:val="none" w:sz="0" w:space="0" w:color="auto"/>
                <w:right w:val="none" w:sz="0" w:space="0" w:color="auto"/>
              </w:divBdr>
              <w:divsChild>
                <w:div w:id="1564826069">
                  <w:marLeft w:val="0"/>
                  <w:marRight w:val="0"/>
                  <w:marTop w:val="0"/>
                  <w:marBottom w:val="0"/>
                  <w:divBdr>
                    <w:top w:val="none" w:sz="0" w:space="0" w:color="auto"/>
                    <w:left w:val="none" w:sz="0" w:space="0" w:color="auto"/>
                    <w:bottom w:val="none" w:sz="0" w:space="0" w:color="auto"/>
                    <w:right w:val="none" w:sz="0" w:space="0" w:color="auto"/>
                  </w:divBdr>
                  <w:divsChild>
                    <w:div w:id="557475302">
                      <w:marLeft w:val="0"/>
                      <w:marRight w:val="0"/>
                      <w:marTop w:val="0"/>
                      <w:marBottom w:val="0"/>
                      <w:divBdr>
                        <w:top w:val="none" w:sz="0" w:space="0" w:color="auto"/>
                        <w:left w:val="none" w:sz="0" w:space="0" w:color="auto"/>
                        <w:bottom w:val="none" w:sz="0" w:space="0" w:color="auto"/>
                        <w:right w:val="none" w:sz="0" w:space="0" w:color="auto"/>
                      </w:divBdr>
                      <w:divsChild>
                        <w:div w:id="1539582760">
                          <w:marLeft w:val="0"/>
                          <w:marRight w:val="0"/>
                          <w:marTop w:val="0"/>
                          <w:marBottom w:val="0"/>
                          <w:divBdr>
                            <w:top w:val="none" w:sz="0" w:space="0" w:color="auto"/>
                            <w:left w:val="none" w:sz="0" w:space="0" w:color="auto"/>
                            <w:bottom w:val="none" w:sz="0" w:space="0" w:color="auto"/>
                            <w:right w:val="none" w:sz="0" w:space="0" w:color="auto"/>
                          </w:divBdr>
                          <w:divsChild>
                            <w:div w:id="1515220869">
                              <w:marLeft w:val="0"/>
                              <w:marRight w:val="0"/>
                              <w:marTop w:val="0"/>
                              <w:marBottom w:val="0"/>
                              <w:divBdr>
                                <w:top w:val="none" w:sz="0" w:space="0" w:color="auto"/>
                                <w:left w:val="none" w:sz="0" w:space="0" w:color="auto"/>
                                <w:bottom w:val="none" w:sz="0" w:space="0" w:color="auto"/>
                                <w:right w:val="none" w:sz="0" w:space="0" w:color="auto"/>
                              </w:divBdr>
                              <w:divsChild>
                                <w:div w:id="192306662">
                                  <w:marLeft w:val="0"/>
                                  <w:marRight w:val="0"/>
                                  <w:marTop w:val="0"/>
                                  <w:marBottom w:val="0"/>
                                  <w:divBdr>
                                    <w:top w:val="none" w:sz="0" w:space="0" w:color="auto"/>
                                    <w:left w:val="none" w:sz="0" w:space="0" w:color="auto"/>
                                    <w:bottom w:val="none" w:sz="0" w:space="0" w:color="auto"/>
                                    <w:right w:val="none" w:sz="0" w:space="0" w:color="auto"/>
                                  </w:divBdr>
                                  <w:divsChild>
                                    <w:div w:id="445537844">
                                      <w:marLeft w:val="0"/>
                                      <w:marRight w:val="0"/>
                                      <w:marTop w:val="0"/>
                                      <w:marBottom w:val="0"/>
                                      <w:divBdr>
                                        <w:top w:val="none" w:sz="0" w:space="0" w:color="auto"/>
                                        <w:left w:val="none" w:sz="0" w:space="0" w:color="auto"/>
                                        <w:bottom w:val="none" w:sz="0" w:space="0" w:color="auto"/>
                                        <w:right w:val="none" w:sz="0" w:space="0" w:color="auto"/>
                                      </w:divBdr>
                                      <w:divsChild>
                                        <w:div w:id="89509">
                                          <w:marLeft w:val="0"/>
                                          <w:marRight w:val="0"/>
                                          <w:marTop w:val="0"/>
                                          <w:marBottom w:val="0"/>
                                          <w:divBdr>
                                            <w:top w:val="none" w:sz="0" w:space="0" w:color="auto"/>
                                            <w:left w:val="none" w:sz="0" w:space="0" w:color="auto"/>
                                            <w:bottom w:val="none" w:sz="0" w:space="0" w:color="auto"/>
                                            <w:right w:val="none" w:sz="0" w:space="0" w:color="auto"/>
                                          </w:divBdr>
                                          <w:divsChild>
                                            <w:div w:id="847522018">
                                              <w:marLeft w:val="120"/>
                                              <w:marRight w:val="120"/>
                                              <w:marTop w:val="120"/>
                                              <w:marBottom w:val="120"/>
                                              <w:divBdr>
                                                <w:top w:val="single" w:sz="6" w:space="12" w:color="000000"/>
                                                <w:left w:val="single" w:sz="6" w:space="12" w:color="000000"/>
                                                <w:bottom w:val="single" w:sz="6" w:space="12" w:color="000000"/>
                                                <w:right w:val="single" w:sz="6" w:space="12" w:color="000000"/>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5E60-B9B7-4996-9B9E-926A2A6B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7148</Words>
  <Characters>40745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Attachment 1: Product Information for Onasemnogene abeparvovec</vt:lpstr>
    </vt:vector>
  </TitlesOfParts>
  <Company>Novartis</Company>
  <LinksUpToDate>false</LinksUpToDate>
  <CharactersWithSpaces>47798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Onasemnogene abeparvovec</dc:title>
  <dc:subject>prescription medicines</dc:subject>
  <dc:creator>Novartis</dc:creator>
  <cp:keywords/>
  <dc:description/>
  <cp:lastPrinted>2019-10-21T23:10:00Z</cp:lastPrinted>
  <dcterms:created xsi:type="dcterms:W3CDTF">2021-04-22T00:04:00Z</dcterms:created>
  <dcterms:modified xsi:type="dcterms:W3CDTF">2021-04-22T00:23:00Z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SetDate">
    <vt:lpwstr>2019-06-10T04:37:40.8847302Z</vt:lpwstr>
  </property>
  <property fmtid="{D5CDD505-2E9C-101B-9397-08002B2CF9AE}" pid="5" name="MSIP_Label_4929bff8-5b33-42aa-95d2-28f72e792cb0_Name">
    <vt:lpwstr>Business Use Only</vt:lpwstr>
  </property>
  <property fmtid="{D5CDD505-2E9C-101B-9397-08002B2CF9AE}" pid="6" name="MSIP_Label_4929bff8-5b33-42aa-95d2-28f72e792cb0_ActionId">
    <vt:lpwstr>8077312b-f6a3-4bde-a3d8-82f33bc1fd89</vt:lpwstr>
  </property>
  <property fmtid="{D5CDD505-2E9C-101B-9397-08002B2CF9AE}" pid="7" name="MSIP_Label_4929bff8-5b33-42aa-95d2-28f72e792cb0_Extended_MSFT_Method">
    <vt:lpwstr>Automatic</vt:lpwstr>
  </property>
  <property fmtid="{D5CDD505-2E9C-101B-9397-08002B2CF9AE}" pid="8" name="Confidentiality">
    <vt:lpwstr>Business Use Only</vt:lpwstr>
  </property>
</Properties>
</file>