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1E8" w:rsidRPr="00A37A69" w:rsidRDefault="009921E8" w:rsidP="00A37A69">
      <w:pPr>
        <w:pStyle w:val="PIMAINHEADING"/>
        <w:rPr>
          <w:rFonts w:ascii="Verdana" w:hAnsi="Verdana"/>
          <w:color w:val="auto"/>
        </w:rPr>
      </w:pPr>
      <w:r w:rsidRPr="00A37A69">
        <w:rPr>
          <w:rFonts w:ascii="Verdana" w:hAnsi="Verdana"/>
          <w:color w:val="auto"/>
        </w:rPr>
        <w:t xml:space="preserve">INVEGA </w:t>
      </w:r>
      <w:r w:rsidR="00054C5F">
        <w:rPr>
          <w:rFonts w:ascii="Verdana" w:hAnsi="Verdana"/>
          <w:color w:val="auto"/>
        </w:rPr>
        <w:t>TRINZA</w:t>
      </w:r>
      <w:r w:rsidR="00054C5F">
        <w:rPr>
          <w:rFonts w:ascii="Verdana" w:hAnsi="Verdana"/>
          <w:color w:val="auto"/>
          <w:vertAlign w:val="superscript"/>
        </w:rPr>
        <w:t>™</w:t>
      </w:r>
    </w:p>
    <w:p w:rsidR="009921E8" w:rsidRPr="00A37A69" w:rsidRDefault="009921E8" w:rsidP="00A37A69">
      <w:pPr>
        <w:pStyle w:val="PIProductInfo"/>
        <w:rPr>
          <w:rFonts w:ascii="Verdana" w:hAnsi="Verdana"/>
          <w:color w:val="auto"/>
          <w:spacing w:val="-3"/>
          <w:lang w:val="en-AU"/>
        </w:rPr>
      </w:pPr>
      <w:r w:rsidRPr="00A37A69">
        <w:rPr>
          <w:rFonts w:ascii="Verdana" w:hAnsi="Verdana"/>
          <w:color w:val="auto"/>
          <w:lang w:val="en-AU"/>
        </w:rPr>
        <w:t>PRODUCT INFORMATION</w:t>
      </w:r>
    </w:p>
    <w:p w:rsidR="009921E8" w:rsidRPr="00A37A69" w:rsidRDefault="009921E8" w:rsidP="00A37A69">
      <w:pPr>
        <w:jc w:val="center"/>
        <w:rPr>
          <w:rFonts w:ascii="Verdana" w:hAnsi="Verdana"/>
          <w:color w:val="auto"/>
        </w:rPr>
        <w:sectPr w:rsidR="009921E8" w:rsidRPr="00A37A69" w:rsidSect="001740E9">
          <w:headerReference w:type="default" r:id="rId9"/>
          <w:footerReference w:type="default" r:id="rId10"/>
          <w:footerReference w:type="first" r:id="rId11"/>
          <w:endnotePr>
            <w:numFmt w:val="decimal"/>
          </w:endnotePr>
          <w:type w:val="continuous"/>
          <w:pgSz w:w="11907" w:h="16840" w:code="9"/>
          <w:pgMar w:top="1111" w:right="1134" w:bottom="992" w:left="1134" w:header="283" w:footer="369" w:gutter="0"/>
          <w:pgNumType w:start="1"/>
          <w:cols w:space="720"/>
          <w:noEndnote/>
          <w:docGrid w:linePitch="299"/>
        </w:sectPr>
      </w:pPr>
    </w:p>
    <w:p w:rsidR="009921E8" w:rsidRPr="008A22D2" w:rsidRDefault="009921E8">
      <w:pPr>
        <w:pStyle w:val="Heading1"/>
        <w:rPr>
          <w:color w:val="auto"/>
        </w:rPr>
      </w:pPr>
      <w:r w:rsidRPr="008A22D2">
        <w:rPr>
          <w:color w:val="auto"/>
        </w:rPr>
        <w:lastRenderedPageBreak/>
        <w:t>name of the MEDICINE</w:t>
      </w:r>
    </w:p>
    <w:p w:rsidR="009921E8" w:rsidRPr="008A22D2" w:rsidRDefault="009921E8">
      <w:pPr>
        <w:pStyle w:val="PIEXPLAIN"/>
        <w:rPr>
          <w:color w:val="auto"/>
        </w:rPr>
      </w:pPr>
      <w:r w:rsidRPr="008A22D2">
        <w:rPr>
          <w:color w:val="auto"/>
        </w:rPr>
        <w:t>Paliperidone palmitate</w:t>
      </w:r>
    </w:p>
    <w:p w:rsidR="009921E8" w:rsidRPr="008A22D2" w:rsidRDefault="009921E8">
      <w:pPr>
        <w:pStyle w:val="PIEXPLAIN"/>
        <w:spacing w:before="0" w:after="0"/>
        <w:rPr>
          <w:color w:val="auto"/>
        </w:rPr>
      </w:pPr>
    </w:p>
    <w:p w:rsidR="009921E8" w:rsidRPr="008A22D2" w:rsidRDefault="009921E8">
      <w:pPr>
        <w:pStyle w:val="PIEXPLAIN"/>
        <w:rPr>
          <w:color w:val="auto"/>
        </w:rPr>
      </w:pPr>
      <w:r w:rsidRPr="008A22D2">
        <w:rPr>
          <w:color w:val="auto"/>
        </w:rPr>
        <w:t>The chemical name is (</w:t>
      </w:r>
      <w:r w:rsidRPr="008A22D2">
        <w:rPr>
          <w:color w:val="auto"/>
        </w:rPr>
        <w:sym w:font="Symbol" w:char="F0B1"/>
      </w:r>
      <w:r w:rsidRPr="008A22D2">
        <w:rPr>
          <w:color w:val="auto"/>
        </w:rPr>
        <w:t>)-3-[2-[4-(6-fluoro-1</w:t>
      </w:r>
      <w:proofErr w:type="gramStart"/>
      <w:r w:rsidRPr="008A22D2">
        <w:rPr>
          <w:color w:val="auto"/>
        </w:rPr>
        <w:t>,2</w:t>
      </w:r>
      <w:proofErr w:type="gramEnd"/>
      <w:r w:rsidRPr="008A22D2">
        <w:rPr>
          <w:color w:val="auto"/>
        </w:rPr>
        <w:t>-benzisoxazol-3-yl)-1-piperidinyl]ethyl]-6,7,8,9-tetrahydro-2-methyl-4-oxo-4</w:t>
      </w:r>
      <w:r w:rsidRPr="008A22D2">
        <w:rPr>
          <w:i/>
          <w:color w:val="auto"/>
        </w:rPr>
        <w:t>H</w:t>
      </w:r>
      <w:r w:rsidRPr="008A22D2">
        <w:rPr>
          <w:color w:val="auto"/>
        </w:rPr>
        <w:t>-pyrido[1,2-</w:t>
      </w:r>
      <w:r w:rsidRPr="008A22D2">
        <w:rPr>
          <w:i/>
          <w:iCs/>
          <w:color w:val="auto"/>
        </w:rPr>
        <w:t>a</w:t>
      </w:r>
      <w:r w:rsidRPr="008A22D2">
        <w:rPr>
          <w:color w:val="auto"/>
        </w:rPr>
        <w:t xml:space="preserve">]pyrimidin-9-yl </w:t>
      </w:r>
      <w:proofErr w:type="spellStart"/>
      <w:r w:rsidRPr="008A22D2">
        <w:rPr>
          <w:color w:val="auto"/>
        </w:rPr>
        <w:t>hexadecanoate</w:t>
      </w:r>
      <w:proofErr w:type="spellEnd"/>
      <w:r w:rsidRPr="008A22D2">
        <w:rPr>
          <w:color w:val="auto"/>
        </w:rPr>
        <w:t>.</w:t>
      </w:r>
    </w:p>
    <w:p w:rsidR="009921E8" w:rsidRPr="008A22D2" w:rsidRDefault="009921E8">
      <w:pPr>
        <w:rPr>
          <w:color w:val="auto"/>
        </w:rPr>
      </w:pPr>
    </w:p>
    <w:p w:rsidR="009921E8" w:rsidRPr="008A22D2" w:rsidRDefault="004D3969">
      <w:pPr>
        <w:rPr>
          <w:color w:val="auto"/>
          <w:sz w:val="18"/>
        </w:rPr>
      </w:pPr>
      <w:r>
        <w:rPr>
          <w:noProof/>
          <w:color w:val="auto"/>
          <w:lang w:eastAsia="en-AU"/>
        </w:rPr>
        <w:drawing>
          <wp:inline distT="0" distB="0" distL="0" distR="0" wp14:anchorId="35224261" wp14:editId="7E594C97">
            <wp:extent cx="3248025"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248025" cy="1714500"/>
                    </a:xfrm>
                    <a:prstGeom prst="rect">
                      <a:avLst/>
                    </a:prstGeom>
                    <a:noFill/>
                    <a:ln w="9525">
                      <a:noFill/>
                      <a:miter lim="800000"/>
                      <a:headEnd/>
                      <a:tailEnd/>
                    </a:ln>
                  </pic:spPr>
                </pic:pic>
              </a:graphicData>
            </a:graphic>
          </wp:inline>
        </w:drawing>
      </w:r>
    </w:p>
    <w:p w:rsidR="009921E8" w:rsidRPr="008A22D2" w:rsidRDefault="009921E8">
      <w:pPr>
        <w:rPr>
          <w:color w:val="auto"/>
        </w:rPr>
      </w:pPr>
    </w:p>
    <w:p w:rsidR="009921E8" w:rsidRPr="008A22D2" w:rsidRDefault="009921E8">
      <w:pPr>
        <w:rPr>
          <w:color w:val="auto"/>
        </w:rPr>
      </w:pPr>
    </w:p>
    <w:p w:rsidR="009921E8" w:rsidRPr="008A22D2" w:rsidRDefault="009921E8">
      <w:pPr>
        <w:pStyle w:val="PIEXPLAIN"/>
        <w:rPr>
          <w:b/>
          <w:color w:val="auto"/>
        </w:rPr>
      </w:pPr>
      <w:r w:rsidRPr="008A22D2">
        <w:rPr>
          <w:color w:val="auto"/>
        </w:rPr>
        <w:t>CAS:</w:t>
      </w:r>
      <w:r w:rsidRPr="008A22D2">
        <w:rPr>
          <w:rFonts w:ascii="Verdana" w:hAnsi="Verdana"/>
          <w:color w:val="auto"/>
          <w:sz w:val="21"/>
          <w:szCs w:val="21"/>
        </w:rPr>
        <w:t xml:space="preserve"> </w:t>
      </w:r>
      <w:r w:rsidRPr="008A22D2">
        <w:rPr>
          <w:color w:val="auto"/>
          <w:spacing w:val="0"/>
        </w:rPr>
        <w:t>199739-10-1</w:t>
      </w:r>
      <w:r w:rsidRPr="008A22D2">
        <w:rPr>
          <w:color w:val="auto"/>
          <w:spacing w:val="0"/>
        </w:rPr>
        <w:tab/>
      </w:r>
      <w:r w:rsidRPr="008A22D2">
        <w:rPr>
          <w:b/>
          <w:color w:val="auto"/>
        </w:rPr>
        <w:tab/>
      </w:r>
      <w:r w:rsidRPr="008A22D2">
        <w:rPr>
          <w:color w:val="auto"/>
        </w:rPr>
        <w:t>C</w:t>
      </w:r>
      <w:r w:rsidRPr="008A22D2">
        <w:rPr>
          <w:color w:val="auto"/>
          <w:vertAlign w:val="subscript"/>
        </w:rPr>
        <w:t>39</w:t>
      </w:r>
      <w:r w:rsidRPr="008A22D2">
        <w:rPr>
          <w:color w:val="auto"/>
        </w:rPr>
        <w:t>H</w:t>
      </w:r>
      <w:r w:rsidRPr="008A22D2">
        <w:rPr>
          <w:color w:val="auto"/>
          <w:vertAlign w:val="subscript"/>
        </w:rPr>
        <w:t>57</w:t>
      </w:r>
      <w:r w:rsidRPr="008A22D2">
        <w:rPr>
          <w:color w:val="auto"/>
        </w:rPr>
        <w:t>FN</w:t>
      </w:r>
      <w:r w:rsidRPr="008A22D2">
        <w:rPr>
          <w:color w:val="auto"/>
          <w:vertAlign w:val="subscript"/>
        </w:rPr>
        <w:t>4</w:t>
      </w:r>
      <w:r w:rsidRPr="008A22D2">
        <w:rPr>
          <w:color w:val="auto"/>
        </w:rPr>
        <w:t>O</w:t>
      </w:r>
      <w:r w:rsidRPr="008A22D2">
        <w:rPr>
          <w:color w:val="auto"/>
          <w:vertAlign w:val="subscript"/>
        </w:rPr>
        <w:t>4</w:t>
      </w:r>
      <w:r w:rsidRPr="008A22D2">
        <w:rPr>
          <w:color w:val="auto"/>
        </w:rPr>
        <w:tab/>
      </w:r>
      <w:r w:rsidRPr="008A22D2">
        <w:rPr>
          <w:color w:val="auto"/>
        </w:rPr>
        <w:tab/>
        <w:t>MW=664.89</w:t>
      </w:r>
    </w:p>
    <w:p w:rsidR="009921E8" w:rsidRPr="008A22D2" w:rsidRDefault="009921E8">
      <w:pPr>
        <w:pStyle w:val="Heading1"/>
        <w:rPr>
          <w:color w:val="auto"/>
        </w:rPr>
      </w:pPr>
      <w:r w:rsidRPr="008A22D2">
        <w:rPr>
          <w:color w:val="auto"/>
        </w:rPr>
        <w:t>DESCRIPTION</w:t>
      </w:r>
    </w:p>
    <w:p w:rsidR="00412AD5" w:rsidRPr="001F536F" w:rsidRDefault="00412AD5" w:rsidP="00412AD5">
      <w:pPr>
        <w:pStyle w:val="BodyText12"/>
        <w:widowControl w:val="0"/>
        <w:spacing w:before="20" w:after="0" w:line="240" w:lineRule="auto"/>
        <w:rPr>
          <w:rFonts w:ascii="Arial" w:hAnsi="Arial" w:cs="Arial"/>
          <w:color w:val="000000" w:themeColor="text1"/>
          <w:sz w:val="22"/>
          <w:szCs w:val="22"/>
          <w:lang w:val="en-AU"/>
        </w:rPr>
      </w:pPr>
      <w:r w:rsidRPr="001F536F">
        <w:rPr>
          <w:rFonts w:ascii="Arial" w:hAnsi="Arial" w:cs="Arial"/>
          <w:color w:val="000000" w:themeColor="text1"/>
          <w:sz w:val="22"/>
          <w:szCs w:val="22"/>
          <w:lang w:val="en-AU"/>
        </w:rPr>
        <w:t xml:space="preserve">The active ingredient, paliperidone palmitate, is a psychotropic agent belonging to the chemical class of </w:t>
      </w:r>
      <w:proofErr w:type="spellStart"/>
      <w:r w:rsidRPr="001F536F">
        <w:rPr>
          <w:rFonts w:ascii="Arial" w:hAnsi="Arial" w:cs="Arial"/>
          <w:color w:val="000000" w:themeColor="text1"/>
          <w:sz w:val="22"/>
          <w:szCs w:val="22"/>
          <w:lang w:val="en-AU"/>
        </w:rPr>
        <w:t>benzisoxazole</w:t>
      </w:r>
      <w:proofErr w:type="spellEnd"/>
      <w:r w:rsidRPr="001F536F">
        <w:rPr>
          <w:rFonts w:ascii="Arial" w:hAnsi="Arial" w:cs="Arial"/>
          <w:color w:val="000000" w:themeColor="text1"/>
          <w:sz w:val="22"/>
          <w:szCs w:val="22"/>
          <w:lang w:val="en-AU"/>
        </w:rPr>
        <w:t xml:space="preserve"> derivatives. INVEGA TRINZA contains a racemic mixture of (+</w:t>
      </w:r>
      <w:proofErr w:type="gramStart"/>
      <w:r w:rsidRPr="001F536F">
        <w:rPr>
          <w:rFonts w:ascii="Arial" w:hAnsi="Arial" w:cs="Arial"/>
          <w:color w:val="000000" w:themeColor="text1"/>
          <w:sz w:val="22"/>
          <w:szCs w:val="22"/>
          <w:lang w:val="en-AU"/>
        </w:rPr>
        <w:t>)-</w:t>
      </w:r>
      <w:proofErr w:type="gramEnd"/>
      <w:r w:rsidRPr="001F536F">
        <w:rPr>
          <w:rFonts w:ascii="Arial" w:hAnsi="Arial" w:cs="Arial"/>
          <w:color w:val="000000" w:themeColor="text1"/>
          <w:sz w:val="22"/>
          <w:szCs w:val="22"/>
          <w:lang w:val="en-AU"/>
        </w:rPr>
        <w:t xml:space="preserve"> and (-)- paliperidone palmitate. Paliperidone palmitate is very slightly soluble in ethanol and methanol, practically insoluble in water, polyethylene glycol 400 and propylene glycol, and slightly soluble in ethyl acetate.</w:t>
      </w:r>
    </w:p>
    <w:p w:rsidR="00412AD5" w:rsidRPr="001F536F" w:rsidRDefault="00412AD5" w:rsidP="00412AD5">
      <w:pPr>
        <w:pStyle w:val="BodyText12"/>
        <w:widowControl w:val="0"/>
        <w:spacing w:before="20" w:after="0" w:line="240" w:lineRule="auto"/>
        <w:rPr>
          <w:rFonts w:ascii="Arial" w:hAnsi="Arial" w:cs="Arial"/>
          <w:color w:val="000000" w:themeColor="text1"/>
          <w:sz w:val="22"/>
          <w:szCs w:val="22"/>
          <w:lang w:val="en-AU"/>
        </w:rPr>
      </w:pPr>
    </w:p>
    <w:p w:rsidR="00412AD5" w:rsidRPr="007B6CEF" w:rsidRDefault="00412AD5" w:rsidP="002B5979">
      <w:pPr>
        <w:pStyle w:val="Default"/>
        <w:jc w:val="both"/>
        <w:rPr>
          <w:rFonts w:ascii="Arial" w:hAnsi="Arial" w:cs="Arial"/>
        </w:rPr>
      </w:pPr>
      <w:r w:rsidRPr="001F536F">
        <w:rPr>
          <w:rFonts w:ascii="Arial" w:hAnsi="Arial" w:cs="Arial"/>
          <w:color w:val="000000" w:themeColor="text1"/>
          <w:sz w:val="22"/>
          <w:szCs w:val="22"/>
          <w:lang w:val="en-AU"/>
        </w:rPr>
        <w:t xml:space="preserve">INVEGA TRINZA is available as a white to off-white sterile modified release aqueous suspension for intramuscular injection in dose strengths of </w:t>
      </w:r>
      <w:r w:rsidR="007B6CEF">
        <w:rPr>
          <w:rFonts w:ascii="Arial" w:hAnsi="Arial" w:cs="Arial"/>
          <w:color w:val="000000" w:themeColor="text1"/>
          <w:sz w:val="22"/>
          <w:szCs w:val="22"/>
          <w:lang w:val="en-AU"/>
        </w:rPr>
        <w:t>175</w:t>
      </w:r>
      <w:r w:rsidRPr="001F536F">
        <w:rPr>
          <w:rFonts w:ascii="Arial" w:hAnsi="Arial" w:cs="Arial"/>
          <w:color w:val="000000" w:themeColor="text1"/>
          <w:sz w:val="22"/>
          <w:szCs w:val="22"/>
          <w:lang w:val="en-AU"/>
        </w:rPr>
        <w:t xml:space="preserve"> mg, </w:t>
      </w:r>
      <w:r w:rsidR="007B6CEF">
        <w:rPr>
          <w:rFonts w:ascii="Arial" w:hAnsi="Arial" w:cs="Arial"/>
          <w:color w:val="000000" w:themeColor="text1"/>
          <w:sz w:val="22"/>
          <w:szCs w:val="22"/>
          <w:lang w:val="en-AU"/>
        </w:rPr>
        <w:t>263</w:t>
      </w:r>
      <w:r w:rsidRPr="001F536F">
        <w:rPr>
          <w:rFonts w:ascii="Arial" w:hAnsi="Arial" w:cs="Arial"/>
          <w:color w:val="000000" w:themeColor="text1"/>
          <w:sz w:val="22"/>
          <w:szCs w:val="22"/>
          <w:lang w:val="en-AU"/>
        </w:rPr>
        <w:t xml:space="preserve"> mg, </w:t>
      </w:r>
      <w:proofErr w:type="gramStart"/>
      <w:r w:rsidR="007B6CEF">
        <w:rPr>
          <w:rFonts w:ascii="Arial" w:hAnsi="Arial" w:cs="Arial"/>
          <w:color w:val="000000" w:themeColor="text1"/>
          <w:sz w:val="22"/>
          <w:szCs w:val="22"/>
          <w:lang w:val="en-AU"/>
        </w:rPr>
        <w:t>350</w:t>
      </w:r>
      <w:proofErr w:type="gramEnd"/>
      <w:r w:rsidR="007B6CEF">
        <w:rPr>
          <w:rFonts w:ascii="Arial" w:hAnsi="Arial" w:cs="Arial"/>
          <w:color w:val="000000" w:themeColor="text1"/>
          <w:sz w:val="22"/>
          <w:szCs w:val="22"/>
          <w:lang w:val="en-AU"/>
        </w:rPr>
        <w:t xml:space="preserve"> mg and 525</w:t>
      </w:r>
      <w:r w:rsidRPr="001F536F">
        <w:rPr>
          <w:rFonts w:ascii="Arial" w:hAnsi="Arial" w:cs="Arial"/>
          <w:color w:val="000000" w:themeColor="text1"/>
          <w:sz w:val="22"/>
          <w:szCs w:val="22"/>
          <w:lang w:val="en-AU"/>
        </w:rPr>
        <w:t xml:space="preserve"> mg paliperidone </w:t>
      </w:r>
      <w:r w:rsidR="007B6CEF" w:rsidRPr="007B6CEF">
        <w:rPr>
          <w:rFonts w:ascii="Arial" w:hAnsi="Arial" w:cs="Arial"/>
          <w:sz w:val="22"/>
          <w:szCs w:val="22"/>
        </w:rPr>
        <w:t>(as 273 mg, 410 mg, 546 mg and 819 mg paliperidone palmitate, respectively)</w:t>
      </w:r>
      <w:r w:rsidRPr="007B6CEF">
        <w:rPr>
          <w:rFonts w:ascii="Arial" w:hAnsi="Arial" w:cs="Arial"/>
          <w:color w:val="000000" w:themeColor="text1"/>
          <w:sz w:val="22"/>
          <w:szCs w:val="22"/>
          <w:lang w:val="en-AU"/>
        </w:rPr>
        <w:t>. The</w:t>
      </w:r>
      <w:r w:rsidRPr="001F536F">
        <w:rPr>
          <w:rFonts w:ascii="Arial" w:hAnsi="Arial" w:cs="Arial"/>
          <w:color w:val="000000" w:themeColor="text1"/>
          <w:sz w:val="22"/>
          <w:szCs w:val="22"/>
          <w:lang w:val="en-AU"/>
        </w:rPr>
        <w:t xml:space="preserve"> inactive ingredients are </w:t>
      </w:r>
      <w:r w:rsidRPr="001F536F">
        <w:rPr>
          <w:rFonts w:ascii="Arial" w:hAnsi="Arial" w:cs="Arial"/>
          <w:color w:val="000000" w:themeColor="text1"/>
          <w:sz w:val="22"/>
          <w:szCs w:val="22"/>
        </w:rPr>
        <w:t xml:space="preserve">citric acid monohydrate, </w:t>
      </w:r>
      <w:proofErr w:type="spellStart"/>
      <w:r w:rsidR="00A61377">
        <w:rPr>
          <w:rFonts w:ascii="Arial" w:hAnsi="Arial" w:cs="Arial"/>
          <w:color w:val="000000" w:themeColor="text1"/>
          <w:sz w:val="22"/>
          <w:szCs w:val="22"/>
        </w:rPr>
        <w:t>macrogol</w:t>
      </w:r>
      <w:proofErr w:type="spellEnd"/>
      <w:r w:rsidR="00A61377">
        <w:rPr>
          <w:rFonts w:ascii="Arial" w:hAnsi="Arial" w:cs="Arial"/>
          <w:color w:val="000000" w:themeColor="text1"/>
          <w:sz w:val="22"/>
          <w:szCs w:val="22"/>
        </w:rPr>
        <w:t xml:space="preserve"> </w:t>
      </w:r>
      <w:r w:rsidRPr="001F536F">
        <w:rPr>
          <w:rFonts w:ascii="Arial" w:hAnsi="Arial" w:cs="Arial"/>
          <w:color w:val="000000" w:themeColor="text1"/>
          <w:sz w:val="22"/>
          <w:szCs w:val="22"/>
        </w:rPr>
        <w:t xml:space="preserve">4000, </w:t>
      </w:r>
      <w:proofErr w:type="spellStart"/>
      <w:r w:rsidRPr="001F536F">
        <w:rPr>
          <w:rFonts w:ascii="Arial" w:hAnsi="Arial" w:cs="Arial"/>
          <w:color w:val="000000" w:themeColor="text1"/>
          <w:sz w:val="22"/>
          <w:szCs w:val="22"/>
        </w:rPr>
        <w:t>polysorbate</w:t>
      </w:r>
      <w:proofErr w:type="spellEnd"/>
      <w:r w:rsidRPr="001F536F">
        <w:rPr>
          <w:rFonts w:ascii="Arial" w:hAnsi="Arial" w:cs="Arial"/>
          <w:color w:val="000000" w:themeColor="text1"/>
          <w:sz w:val="22"/>
          <w:szCs w:val="22"/>
        </w:rPr>
        <w:t xml:space="preserve"> 20, sodium phosphate </w:t>
      </w:r>
      <w:r w:rsidR="00A61377">
        <w:rPr>
          <w:rFonts w:ascii="Arial" w:hAnsi="Arial" w:cs="Arial"/>
          <w:color w:val="000000" w:themeColor="text1"/>
          <w:sz w:val="22"/>
          <w:szCs w:val="22"/>
        </w:rPr>
        <w:t xml:space="preserve">– monobasic </w:t>
      </w:r>
      <w:r w:rsidRPr="001F536F">
        <w:rPr>
          <w:rFonts w:ascii="Arial" w:hAnsi="Arial" w:cs="Arial"/>
          <w:color w:val="000000" w:themeColor="text1"/>
          <w:sz w:val="22"/>
          <w:szCs w:val="22"/>
        </w:rPr>
        <w:t>monohydrate, sodium hydroxide, water for injection</w:t>
      </w:r>
      <w:r w:rsidR="00A61377">
        <w:rPr>
          <w:rFonts w:ascii="Arial" w:hAnsi="Arial" w:cs="Arial"/>
          <w:color w:val="000000" w:themeColor="text1"/>
          <w:sz w:val="22"/>
          <w:szCs w:val="22"/>
        </w:rPr>
        <w:t>s</w:t>
      </w:r>
      <w:r w:rsidRPr="001F536F">
        <w:rPr>
          <w:rFonts w:ascii="Arial" w:hAnsi="Arial" w:cs="Arial"/>
          <w:color w:val="000000" w:themeColor="text1"/>
          <w:sz w:val="22"/>
          <w:szCs w:val="22"/>
        </w:rPr>
        <w:t>.</w:t>
      </w:r>
    </w:p>
    <w:p w:rsidR="00412AD5" w:rsidRPr="001F536F" w:rsidRDefault="00412AD5" w:rsidP="00412AD5">
      <w:pPr>
        <w:pStyle w:val="BodyText12"/>
        <w:spacing w:after="0" w:line="240" w:lineRule="auto"/>
        <w:rPr>
          <w:rFonts w:ascii="Arial" w:hAnsi="Arial" w:cs="Arial"/>
          <w:color w:val="000000" w:themeColor="text1"/>
          <w:sz w:val="22"/>
          <w:szCs w:val="22"/>
          <w:lang w:val="en-AU" w:eastAsia="sv-SE"/>
        </w:rPr>
      </w:pPr>
    </w:p>
    <w:p w:rsidR="00412AD5" w:rsidRPr="001F536F" w:rsidRDefault="00412AD5" w:rsidP="00412AD5">
      <w:pPr>
        <w:pStyle w:val="BodyText12"/>
        <w:spacing w:after="0" w:line="240" w:lineRule="auto"/>
        <w:rPr>
          <w:rFonts w:ascii="Arial" w:hAnsi="Arial" w:cs="Arial"/>
          <w:i/>
          <w:iCs/>
          <w:color w:val="000000" w:themeColor="text1"/>
          <w:sz w:val="22"/>
          <w:szCs w:val="22"/>
          <w:lang w:val="en-AU"/>
        </w:rPr>
      </w:pPr>
      <w:r w:rsidRPr="002825FF">
        <w:rPr>
          <w:rFonts w:ascii="Arial" w:hAnsi="Arial" w:cs="Arial"/>
          <w:color w:val="000000" w:themeColor="text1"/>
          <w:sz w:val="22"/>
          <w:szCs w:val="22"/>
          <w:lang w:val="en-AU"/>
        </w:rPr>
        <w:t xml:space="preserve">INVEGA TRINZA </w:t>
      </w:r>
      <w:r w:rsidRPr="002825FF">
        <w:rPr>
          <w:rFonts w:ascii="Arial" w:hAnsi="Arial" w:cs="Arial"/>
          <w:color w:val="000000" w:themeColor="text1"/>
          <w:sz w:val="22"/>
          <w:szCs w:val="22"/>
          <w:lang w:val="en-AU" w:eastAsia="sv-SE"/>
        </w:rPr>
        <w:t xml:space="preserve">is provided </w:t>
      </w:r>
      <w:r w:rsidRPr="002825FF">
        <w:rPr>
          <w:rFonts w:ascii="Arial" w:hAnsi="Arial" w:cs="Arial"/>
          <w:color w:val="000000" w:themeColor="text1"/>
          <w:sz w:val="22"/>
          <w:szCs w:val="22"/>
          <w:lang w:val="en-AU"/>
        </w:rPr>
        <w:t>in a pre-filled syringe (cyclic-olefin-copolymer) with a plunger stopper and tip cap (</w:t>
      </w:r>
      <w:proofErr w:type="spellStart"/>
      <w:r w:rsidRPr="002825FF">
        <w:rPr>
          <w:rFonts w:ascii="Arial" w:hAnsi="Arial" w:cs="Arial"/>
          <w:color w:val="000000" w:themeColor="text1"/>
          <w:sz w:val="22"/>
          <w:szCs w:val="22"/>
          <w:lang w:val="en-AU"/>
        </w:rPr>
        <w:t>bromobutyl</w:t>
      </w:r>
      <w:proofErr w:type="spellEnd"/>
      <w:r w:rsidRPr="002825FF">
        <w:rPr>
          <w:rFonts w:ascii="Arial" w:hAnsi="Arial" w:cs="Arial"/>
          <w:color w:val="000000" w:themeColor="text1"/>
          <w:sz w:val="22"/>
          <w:szCs w:val="22"/>
          <w:lang w:val="en-AU"/>
        </w:rPr>
        <w:t xml:space="preserve"> rubber). The kit contains 2 safety needles (a 1 ½</w:t>
      </w:r>
      <w:r w:rsidRPr="002825FF">
        <w:rPr>
          <w:rFonts w:ascii="Arial" w:hAnsi="Arial" w:cs="Arial"/>
          <w:color w:val="000000" w:themeColor="text1"/>
          <w:sz w:val="22"/>
          <w:szCs w:val="22"/>
          <w:lang w:val="en-AU"/>
        </w:rPr>
        <w:noBreakHyphen/>
        <w:t>inch 22 gauge safety needle and a 1-inch 22 gauge safety needle).</w:t>
      </w:r>
    </w:p>
    <w:p w:rsidR="009921E8" w:rsidRPr="008A22D2" w:rsidRDefault="009921E8">
      <w:pPr>
        <w:pStyle w:val="Heading1"/>
        <w:rPr>
          <w:color w:val="auto"/>
        </w:rPr>
      </w:pPr>
      <w:r w:rsidRPr="008A22D2">
        <w:rPr>
          <w:color w:val="auto"/>
        </w:rPr>
        <w:t>Pharmacology</w:t>
      </w:r>
    </w:p>
    <w:p w:rsidR="00B01323" w:rsidRPr="00681E96" w:rsidRDefault="00B01323" w:rsidP="00B01323">
      <w:pPr>
        <w:pStyle w:val="Heading2"/>
        <w:rPr>
          <w:color w:val="auto"/>
        </w:rPr>
      </w:pPr>
      <w:bookmarkStart w:id="0" w:name="_Toc128303698"/>
      <w:bookmarkStart w:id="1" w:name="_Toc128305223"/>
      <w:bookmarkStart w:id="2" w:name="_Toc128305456"/>
      <w:bookmarkStart w:id="3" w:name="_Toc128306671"/>
      <w:bookmarkStart w:id="4" w:name="_Toc128307799"/>
      <w:bookmarkStart w:id="5" w:name="_Toc128307949"/>
      <w:bookmarkStart w:id="6" w:name="_Toc151795587"/>
      <w:bookmarkStart w:id="7" w:name="_Toc151796736"/>
      <w:bookmarkStart w:id="8" w:name="_Toc151796938"/>
      <w:bookmarkStart w:id="9" w:name="_Toc151801687"/>
      <w:bookmarkStart w:id="10" w:name="_Toc219801075"/>
      <w:bookmarkStart w:id="11" w:name="_Toc128303699"/>
      <w:bookmarkStart w:id="12" w:name="_Toc128305224"/>
      <w:bookmarkStart w:id="13" w:name="_Toc128305457"/>
      <w:bookmarkStart w:id="14" w:name="_Toc128306672"/>
      <w:bookmarkStart w:id="15" w:name="_Toc128307800"/>
      <w:bookmarkStart w:id="16" w:name="_Toc128307950"/>
      <w:bookmarkStart w:id="17" w:name="_Toc151795588"/>
      <w:bookmarkStart w:id="18" w:name="_Toc151796737"/>
      <w:bookmarkStart w:id="19" w:name="_Toc151796939"/>
      <w:bookmarkStart w:id="20" w:name="_Toc151801688"/>
      <w:bookmarkStart w:id="21" w:name="_Toc219801076"/>
      <w:r w:rsidRPr="00681E96">
        <w:rPr>
          <w:color w:val="auto"/>
        </w:rPr>
        <w:t>Mechanism of Action</w:t>
      </w:r>
    </w:p>
    <w:p w:rsidR="00B01323" w:rsidRPr="007D6403" w:rsidRDefault="00B01323" w:rsidP="00B01323">
      <w:pPr>
        <w:pStyle w:val="Heading2"/>
        <w:rPr>
          <w:b w:val="0"/>
          <w:sz w:val="22"/>
          <w:szCs w:val="22"/>
        </w:rPr>
      </w:pPr>
      <w:r w:rsidRPr="007D6403">
        <w:rPr>
          <w:b w:val="0"/>
          <w:sz w:val="22"/>
          <w:szCs w:val="22"/>
        </w:rPr>
        <w:t>Pa</w:t>
      </w:r>
      <w:r w:rsidR="00AB1A56">
        <w:rPr>
          <w:b w:val="0"/>
          <w:sz w:val="22"/>
          <w:szCs w:val="22"/>
        </w:rPr>
        <w:t>liperidone palmitate is hydrolys</w:t>
      </w:r>
      <w:r w:rsidRPr="007D6403">
        <w:rPr>
          <w:b w:val="0"/>
          <w:sz w:val="22"/>
          <w:szCs w:val="22"/>
        </w:rPr>
        <w:t>ed to paliperidone (</w:t>
      </w:r>
      <w:r w:rsidRPr="007D6403">
        <w:rPr>
          <w:b w:val="0"/>
          <w:iCs/>
          <w:sz w:val="22"/>
          <w:szCs w:val="22"/>
        </w:rPr>
        <w:t xml:space="preserve">see </w:t>
      </w:r>
      <w:r w:rsidRPr="0025140E">
        <w:rPr>
          <w:iCs/>
          <w:sz w:val="22"/>
          <w:szCs w:val="22"/>
        </w:rPr>
        <w:t>Pharmacokinetics</w:t>
      </w:r>
      <w:r w:rsidRPr="007D6403">
        <w:rPr>
          <w:b w:val="0"/>
          <w:iCs/>
          <w:sz w:val="22"/>
          <w:szCs w:val="22"/>
        </w:rPr>
        <w:t>)</w:t>
      </w:r>
      <w:r w:rsidRPr="007D6403">
        <w:rPr>
          <w:b w:val="0"/>
          <w:sz w:val="22"/>
          <w:szCs w:val="22"/>
        </w:rPr>
        <w:t xml:space="preserve">. Paliperidone is the major active metabolite of risperidone. The mechanism of action of paliperidone, as with other drugs </w:t>
      </w:r>
      <w:r w:rsidRPr="007D6403">
        <w:rPr>
          <w:b w:val="0"/>
          <w:sz w:val="22"/>
          <w:szCs w:val="22"/>
        </w:rPr>
        <w:lastRenderedPageBreak/>
        <w:t>having efficacy in schizophrenia, is unknown, but it has been proposed that the drug's therapeutic activity in schizophrenia is mediated through a combination of central dopamine Type 2 (D</w:t>
      </w:r>
      <w:r w:rsidRPr="007D6403">
        <w:rPr>
          <w:b w:val="0"/>
          <w:sz w:val="22"/>
          <w:szCs w:val="22"/>
          <w:vertAlign w:val="subscript"/>
        </w:rPr>
        <w:t>2</w:t>
      </w:r>
      <w:r w:rsidRPr="007D6403">
        <w:rPr>
          <w:b w:val="0"/>
          <w:sz w:val="22"/>
          <w:szCs w:val="22"/>
        </w:rPr>
        <w:t>) and serotonin Type 2 (5HT</w:t>
      </w:r>
      <w:r w:rsidRPr="007D6403">
        <w:rPr>
          <w:b w:val="0"/>
          <w:sz w:val="22"/>
          <w:szCs w:val="22"/>
          <w:vertAlign w:val="subscript"/>
        </w:rPr>
        <w:t>2A</w:t>
      </w:r>
      <w:r w:rsidRPr="007D6403">
        <w:rPr>
          <w:b w:val="0"/>
          <w:sz w:val="22"/>
          <w:szCs w:val="22"/>
        </w:rPr>
        <w:t>) receptor antagonism.</w:t>
      </w:r>
    </w:p>
    <w:bookmarkEnd w:id="0"/>
    <w:bookmarkEnd w:id="1"/>
    <w:bookmarkEnd w:id="2"/>
    <w:bookmarkEnd w:id="3"/>
    <w:bookmarkEnd w:id="4"/>
    <w:bookmarkEnd w:id="5"/>
    <w:bookmarkEnd w:id="6"/>
    <w:bookmarkEnd w:id="7"/>
    <w:bookmarkEnd w:id="8"/>
    <w:bookmarkEnd w:id="9"/>
    <w:bookmarkEnd w:id="10"/>
    <w:p w:rsidR="00681E96" w:rsidRDefault="00681E96" w:rsidP="00681E96">
      <w:pPr>
        <w:pStyle w:val="Heading2"/>
        <w:rPr>
          <w:sz w:val="22"/>
          <w:szCs w:val="22"/>
        </w:rPr>
      </w:pPr>
    </w:p>
    <w:p w:rsidR="009921E8" w:rsidRPr="008A22D2" w:rsidRDefault="009921E8" w:rsidP="00681E96">
      <w:pPr>
        <w:pStyle w:val="Heading2"/>
        <w:rPr>
          <w:color w:val="auto"/>
        </w:rPr>
      </w:pPr>
      <w:r w:rsidRPr="008A22D2">
        <w:rPr>
          <w:color w:val="auto"/>
        </w:rPr>
        <w:t>Pharmacodynamics</w:t>
      </w:r>
      <w:bookmarkEnd w:id="11"/>
      <w:bookmarkEnd w:id="12"/>
      <w:bookmarkEnd w:id="13"/>
      <w:bookmarkEnd w:id="14"/>
      <w:bookmarkEnd w:id="15"/>
      <w:bookmarkEnd w:id="16"/>
      <w:bookmarkEnd w:id="17"/>
      <w:bookmarkEnd w:id="18"/>
      <w:bookmarkEnd w:id="19"/>
      <w:bookmarkEnd w:id="20"/>
      <w:bookmarkEnd w:id="21"/>
    </w:p>
    <w:p w:rsidR="009921E8" w:rsidRPr="008A22D2" w:rsidRDefault="009921E8" w:rsidP="0013670E">
      <w:pPr>
        <w:pStyle w:val="BodyText12"/>
        <w:spacing w:after="0" w:line="240" w:lineRule="auto"/>
        <w:rPr>
          <w:rFonts w:ascii="Arial" w:hAnsi="Arial" w:cs="Arial"/>
          <w:i/>
          <w:sz w:val="22"/>
          <w:szCs w:val="22"/>
        </w:rPr>
      </w:pPr>
      <w:r w:rsidRPr="008A22D2">
        <w:rPr>
          <w:rFonts w:ascii="Arial" w:hAnsi="Arial" w:cs="Arial"/>
          <w:sz w:val="22"/>
          <w:szCs w:val="22"/>
        </w:rPr>
        <w:t>Paliperidone is a centrally active dopamine Type 2 (D</w:t>
      </w:r>
      <w:r w:rsidRPr="008A22D2">
        <w:rPr>
          <w:rFonts w:ascii="Arial" w:hAnsi="Arial" w:cs="Arial"/>
          <w:sz w:val="22"/>
          <w:szCs w:val="22"/>
          <w:vertAlign w:val="subscript"/>
        </w:rPr>
        <w:t>2</w:t>
      </w:r>
      <w:r w:rsidRPr="008A22D2">
        <w:rPr>
          <w:rFonts w:ascii="Arial" w:hAnsi="Arial" w:cs="Arial"/>
          <w:sz w:val="22"/>
          <w:szCs w:val="22"/>
        </w:rPr>
        <w:t>) receptor antagonist and a serotonin Type 2 (5HT</w:t>
      </w:r>
      <w:r w:rsidRPr="008A22D2">
        <w:rPr>
          <w:rFonts w:ascii="Arial" w:hAnsi="Arial" w:cs="Arial"/>
          <w:sz w:val="22"/>
          <w:szCs w:val="22"/>
          <w:vertAlign w:val="subscript"/>
        </w:rPr>
        <w:t>2A</w:t>
      </w:r>
      <w:r w:rsidRPr="008A22D2">
        <w:rPr>
          <w:rFonts w:ascii="Arial" w:hAnsi="Arial" w:cs="Arial"/>
          <w:sz w:val="22"/>
          <w:szCs w:val="22"/>
        </w:rPr>
        <w:t xml:space="preserve">) receptor antagonist. Paliperidone is also active as an antagonist at </w:t>
      </w:r>
      <w:r w:rsidRPr="008A22D2">
        <w:rPr>
          <w:rFonts w:ascii="Arial" w:hAnsi="Arial" w:cs="Arial"/>
          <w:sz w:val="22"/>
          <w:szCs w:val="22"/>
        </w:rPr>
        <w:sym w:font="Symbol" w:char="F061"/>
      </w:r>
      <w:r w:rsidRPr="008A22D2">
        <w:rPr>
          <w:rFonts w:ascii="Arial" w:hAnsi="Arial" w:cs="Arial"/>
          <w:sz w:val="22"/>
          <w:szCs w:val="22"/>
          <w:vertAlign w:val="subscript"/>
        </w:rPr>
        <w:t>1</w:t>
      </w:r>
      <w:r w:rsidRPr="008A22D2">
        <w:rPr>
          <w:rFonts w:ascii="Arial" w:hAnsi="Arial" w:cs="Arial"/>
          <w:sz w:val="22"/>
          <w:szCs w:val="22"/>
        </w:rPr>
        <w:t xml:space="preserve"> and </w:t>
      </w:r>
      <w:r w:rsidRPr="008A22D2">
        <w:rPr>
          <w:rFonts w:ascii="Arial" w:hAnsi="Arial" w:cs="Arial"/>
          <w:sz w:val="22"/>
          <w:szCs w:val="22"/>
        </w:rPr>
        <w:sym w:font="Symbol" w:char="F061"/>
      </w:r>
      <w:r w:rsidRPr="008A22D2">
        <w:rPr>
          <w:rFonts w:ascii="Arial" w:hAnsi="Arial" w:cs="Arial"/>
          <w:sz w:val="22"/>
          <w:szCs w:val="22"/>
          <w:vertAlign w:val="subscript"/>
        </w:rPr>
        <w:t>2</w:t>
      </w:r>
      <w:r w:rsidRPr="008A22D2">
        <w:rPr>
          <w:rFonts w:ascii="Arial" w:hAnsi="Arial" w:cs="Arial"/>
          <w:sz w:val="22"/>
          <w:szCs w:val="22"/>
        </w:rPr>
        <w:t xml:space="preserve"> adrenergic receptors and H</w:t>
      </w:r>
      <w:r w:rsidRPr="008A22D2">
        <w:rPr>
          <w:rFonts w:ascii="Arial" w:hAnsi="Arial" w:cs="Arial"/>
          <w:sz w:val="22"/>
          <w:szCs w:val="22"/>
          <w:vertAlign w:val="subscript"/>
        </w:rPr>
        <w:t>1</w:t>
      </w:r>
      <w:r w:rsidRPr="008A22D2">
        <w:rPr>
          <w:rFonts w:ascii="Arial" w:hAnsi="Arial" w:cs="Arial"/>
          <w:sz w:val="22"/>
          <w:szCs w:val="22"/>
        </w:rPr>
        <w:t xml:space="preserve"> histaminergic receptors, which may explain some of the other effects of the drug. Paliperidone has no affinity for cholinergic muscarinic or </w:t>
      </w:r>
      <w:r w:rsidRPr="008A22D2">
        <w:rPr>
          <w:rFonts w:ascii="Arial" w:hAnsi="Arial" w:cs="Arial"/>
          <w:sz w:val="22"/>
          <w:szCs w:val="22"/>
        </w:rPr>
        <w:sym w:font="Symbol" w:char="F062"/>
      </w:r>
      <w:r w:rsidRPr="008A22D2">
        <w:rPr>
          <w:rFonts w:ascii="Arial" w:hAnsi="Arial" w:cs="Arial"/>
          <w:sz w:val="22"/>
          <w:szCs w:val="22"/>
          <w:vertAlign w:val="subscript"/>
        </w:rPr>
        <w:t>1</w:t>
      </w:r>
      <w:r w:rsidRPr="008A22D2">
        <w:rPr>
          <w:rFonts w:ascii="Arial" w:hAnsi="Arial" w:cs="Arial"/>
          <w:sz w:val="22"/>
          <w:szCs w:val="22"/>
        </w:rPr>
        <w:t xml:space="preserve">- and </w:t>
      </w:r>
      <w:r w:rsidRPr="008A22D2">
        <w:rPr>
          <w:rFonts w:ascii="Arial" w:hAnsi="Arial" w:cs="Arial"/>
          <w:sz w:val="22"/>
          <w:szCs w:val="22"/>
        </w:rPr>
        <w:sym w:font="Symbol" w:char="F062"/>
      </w:r>
      <w:r w:rsidRPr="008A22D2">
        <w:rPr>
          <w:rFonts w:ascii="Arial" w:hAnsi="Arial" w:cs="Arial"/>
          <w:sz w:val="22"/>
          <w:szCs w:val="22"/>
          <w:vertAlign w:val="subscript"/>
        </w:rPr>
        <w:t>2</w:t>
      </w:r>
      <w:r w:rsidRPr="008A22D2">
        <w:rPr>
          <w:rFonts w:ascii="Arial" w:hAnsi="Arial" w:cs="Arial"/>
          <w:sz w:val="22"/>
          <w:szCs w:val="22"/>
        </w:rPr>
        <w:t>-adrenergic receptors. The pharmacological activity of the (+</w:t>
      </w:r>
      <w:proofErr w:type="gramStart"/>
      <w:r w:rsidRPr="008A22D2">
        <w:rPr>
          <w:rFonts w:ascii="Arial" w:hAnsi="Arial" w:cs="Arial"/>
          <w:sz w:val="22"/>
          <w:szCs w:val="22"/>
        </w:rPr>
        <w:t>)-</w:t>
      </w:r>
      <w:proofErr w:type="gramEnd"/>
      <w:r w:rsidRPr="008A22D2">
        <w:rPr>
          <w:rFonts w:ascii="Arial" w:hAnsi="Arial" w:cs="Arial"/>
          <w:sz w:val="22"/>
          <w:szCs w:val="22"/>
        </w:rPr>
        <w:t xml:space="preserve"> and (-)- paliperidone enantiomers is qualitatively and quantitatively similar </w:t>
      </w:r>
      <w:r w:rsidRPr="008A22D2">
        <w:rPr>
          <w:rFonts w:ascii="Arial" w:hAnsi="Arial" w:cs="Arial"/>
          <w:i/>
          <w:sz w:val="22"/>
          <w:szCs w:val="22"/>
        </w:rPr>
        <w:t>in vitro.</w:t>
      </w:r>
    </w:p>
    <w:p w:rsidR="009921E8" w:rsidRPr="008A22D2" w:rsidRDefault="009921E8">
      <w:pPr>
        <w:pStyle w:val="BodyText12"/>
        <w:spacing w:after="0" w:line="240" w:lineRule="auto"/>
        <w:rPr>
          <w:rFonts w:ascii="Arial" w:hAnsi="Arial" w:cs="Arial"/>
          <w:i/>
          <w:sz w:val="22"/>
          <w:szCs w:val="22"/>
        </w:rPr>
      </w:pPr>
    </w:p>
    <w:p w:rsidR="009921E8" w:rsidRPr="008A22D2" w:rsidRDefault="009921E8">
      <w:pPr>
        <w:pStyle w:val="Heading2"/>
        <w:rPr>
          <w:color w:val="auto"/>
        </w:rPr>
      </w:pPr>
      <w:bookmarkStart w:id="22" w:name="_Pharmacokinetics"/>
      <w:bookmarkStart w:id="23" w:name="_Toc128303700"/>
      <w:bookmarkStart w:id="24" w:name="_Toc128305225"/>
      <w:bookmarkStart w:id="25" w:name="_Toc128305458"/>
      <w:bookmarkStart w:id="26" w:name="_Toc128306673"/>
      <w:bookmarkStart w:id="27" w:name="_Toc128307801"/>
      <w:bookmarkStart w:id="28" w:name="_Toc128307951"/>
      <w:bookmarkStart w:id="29" w:name="_Toc151795589"/>
      <w:bookmarkStart w:id="30" w:name="_Toc151796738"/>
      <w:bookmarkStart w:id="31" w:name="_Toc151796940"/>
      <w:bookmarkStart w:id="32" w:name="_Toc151801689"/>
      <w:bookmarkStart w:id="33" w:name="_Toc219801077"/>
      <w:bookmarkEnd w:id="22"/>
      <w:r w:rsidRPr="008A22D2">
        <w:rPr>
          <w:color w:val="auto"/>
        </w:rPr>
        <w:t>Pharmacokinetics</w:t>
      </w:r>
      <w:bookmarkEnd w:id="23"/>
      <w:bookmarkEnd w:id="24"/>
      <w:bookmarkEnd w:id="25"/>
      <w:bookmarkEnd w:id="26"/>
      <w:bookmarkEnd w:id="27"/>
      <w:bookmarkEnd w:id="28"/>
      <w:bookmarkEnd w:id="29"/>
      <w:bookmarkEnd w:id="30"/>
      <w:bookmarkEnd w:id="31"/>
      <w:bookmarkEnd w:id="32"/>
      <w:bookmarkEnd w:id="33"/>
    </w:p>
    <w:p w:rsidR="009921E8" w:rsidRPr="008A22D2" w:rsidRDefault="009921E8">
      <w:pPr>
        <w:pStyle w:val="Heading3"/>
        <w:rPr>
          <w:color w:val="auto"/>
        </w:rPr>
      </w:pPr>
      <w:r w:rsidRPr="008A22D2">
        <w:rPr>
          <w:color w:val="auto"/>
        </w:rPr>
        <w:t>Absorption and Distribution:</w:t>
      </w:r>
    </w:p>
    <w:p w:rsidR="006D79B2" w:rsidRPr="001F536F" w:rsidRDefault="00E314E4" w:rsidP="006D79B2">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 xml:space="preserve">Due to </w:t>
      </w:r>
      <w:proofErr w:type="gramStart"/>
      <w:r w:rsidRPr="001F536F">
        <w:rPr>
          <w:rFonts w:ascii="Arial" w:hAnsi="Arial" w:cs="Arial"/>
          <w:color w:val="000000" w:themeColor="text1"/>
          <w:sz w:val="22"/>
          <w:szCs w:val="22"/>
        </w:rPr>
        <w:t>its</w:t>
      </w:r>
      <w:proofErr w:type="gramEnd"/>
      <w:r w:rsidRPr="001F536F">
        <w:rPr>
          <w:rFonts w:ascii="Arial" w:hAnsi="Arial" w:cs="Arial"/>
          <w:color w:val="000000" w:themeColor="text1"/>
          <w:sz w:val="22"/>
          <w:szCs w:val="22"/>
        </w:rPr>
        <w:t xml:space="preserve"> extremely low water solubility, the 3-month formulation of paliperidone palmitate dissolves slowly after intramuscular injection before being </w:t>
      </w:r>
      <w:proofErr w:type="spellStart"/>
      <w:r w:rsidRPr="001F536F">
        <w:rPr>
          <w:rFonts w:ascii="Arial" w:hAnsi="Arial" w:cs="Arial"/>
          <w:color w:val="000000" w:themeColor="text1"/>
          <w:sz w:val="22"/>
          <w:szCs w:val="22"/>
        </w:rPr>
        <w:t>hydroly</w:t>
      </w:r>
      <w:r w:rsidR="00AB1A56">
        <w:rPr>
          <w:rFonts w:ascii="Arial" w:hAnsi="Arial" w:cs="Arial"/>
          <w:color w:val="000000" w:themeColor="text1"/>
          <w:sz w:val="22"/>
          <w:szCs w:val="22"/>
        </w:rPr>
        <w:t>s</w:t>
      </w:r>
      <w:r w:rsidRPr="001F536F">
        <w:rPr>
          <w:rFonts w:ascii="Arial" w:hAnsi="Arial" w:cs="Arial"/>
          <w:color w:val="000000" w:themeColor="text1"/>
          <w:sz w:val="22"/>
          <w:szCs w:val="22"/>
        </w:rPr>
        <w:t>ed</w:t>
      </w:r>
      <w:proofErr w:type="spellEnd"/>
      <w:r w:rsidRPr="001F536F">
        <w:rPr>
          <w:rFonts w:ascii="Arial" w:hAnsi="Arial" w:cs="Arial"/>
          <w:color w:val="000000" w:themeColor="text1"/>
          <w:sz w:val="22"/>
          <w:szCs w:val="22"/>
        </w:rPr>
        <w:t xml:space="preserve"> to </w:t>
      </w:r>
      <w:proofErr w:type="spellStart"/>
      <w:r w:rsidRPr="001F536F">
        <w:rPr>
          <w:rFonts w:ascii="Arial" w:hAnsi="Arial" w:cs="Arial"/>
          <w:color w:val="000000" w:themeColor="text1"/>
          <w:sz w:val="22"/>
          <w:szCs w:val="22"/>
        </w:rPr>
        <w:t>paliperidone</w:t>
      </w:r>
      <w:proofErr w:type="spellEnd"/>
      <w:r w:rsidRPr="001F536F">
        <w:rPr>
          <w:rFonts w:ascii="Arial" w:hAnsi="Arial" w:cs="Arial"/>
          <w:color w:val="000000" w:themeColor="text1"/>
          <w:sz w:val="22"/>
          <w:szCs w:val="22"/>
        </w:rPr>
        <w:t xml:space="preserve"> and absorbed into the systemic circulation. </w:t>
      </w:r>
    </w:p>
    <w:p w:rsidR="00184658" w:rsidRPr="002A6369" w:rsidRDefault="00E314E4" w:rsidP="002A6369">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 xml:space="preserve">The data presented in this paragraph are based on a population pharmacokinetic analysis. Following a single intramuscular dose of INVEGA TRINZA, the plasma concentrations of paliperidone gradually rise to reach maximum plasma concentrations at a median </w:t>
      </w:r>
      <w:proofErr w:type="spellStart"/>
      <w:r w:rsidRPr="001F536F">
        <w:rPr>
          <w:rFonts w:ascii="Arial" w:hAnsi="Arial" w:cs="Arial"/>
          <w:color w:val="000000" w:themeColor="text1"/>
          <w:sz w:val="22"/>
          <w:szCs w:val="22"/>
        </w:rPr>
        <w:t>T</w:t>
      </w:r>
      <w:r w:rsidRPr="001F536F">
        <w:rPr>
          <w:rFonts w:ascii="Arial" w:hAnsi="Arial" w:cs="Arial"/>
          <w:color w:val="000000" w:themeColor="text1"/>
          <w:sz w:val="22"/>
          <w:szCs w:val="22"/>
          <w:vertAlign w:val="subscript"/>
        </w:rPr>
        <w:t>max</w:t>
      </w:r>
      <w:proofErr w:type="spellEnd"/>
      <w:r w:rsidRPr="001F536F">
        <w:rPr>
          <w:rFonts w:ascii="Arial" w:hAnsi="Arial" w:cs="Arial"/>
          <w:color w:val="000000" w:themeColor="text1"/>
          <w:sz w:val="22"/>
          <w:szCs w:val="22"/>
        </w:rPr>
        <w:t xml:space="preserve"> of 30-33 days. Following intramuscular injection of INVEGA TRINZA at doses of 175-525 mg in the deltoid muscle, on average, an 11-12% higher </w:t>
      </w:r>
      <w:proofErr w:type="spellStart"/>
      <w:r w:rsidRPr="001F536F">
        <w:rPr>
          <w:rFonts w:ascii="Arial" w:hAnsi="Arial" w:cs="Arial"/>
          <w:color w:val="000000" w:themeColor="text1"/>
          <w:sz w:val="22"/>
          <w:szCs w:val="22"/>
        </w:rPr>
        <w:t>C</w:t>
      </w:r>
      <w:r w:rsidRPr="001F536F">
        <w:rPr>
          <w:rFonts w:ascii="Arial" w:hAnsi="Arial" w:cs="Arial"/>
          <w:color w:val="000000" w:themeColor="text1"/>
          <w:sz w:val="22"/>
          <w:szCs w:val="22"/>
          <w:vertAlign w:val="subscript"/>
        </w:rPr>
        <w:t>max</w:t>
      </w:r>
      <w:proofErr w:type="spellEnd"/>
      <w:r w:rsidRPr="001F536F">
        <w:rPr>
          <w:rFonts w:ascii="Arial" w:hAnsi="Arial" w:cs="Arial"/>
          <w:color w:val="000000" w:themeColor="text1"/>
          <w:sz w:val="22"/>
          <w:szCs w:val="22"/>
        </w:rPr>
        <w:t xml:space="preserve"> was observed compared with injection in the gluteal muscle. The release profile and dosing regimen of INVEGA TRINZA results in sustained therapeutic concentrations. The total exposure </w:t>
      </w:r>
      <w:r w:rsidR="006D79B2">
        <w:rPr>
          <w:rFonts w:ascii="Arial" w:hAnsi="Arial" w:cs="Arial"/>
          <w:color w:val="000000" w:themeColor="text1"/>
          <w:sz w:val="22"/>
          <w:szCs w:val="22"/>
        </w:rPr>
        <w:t>(AUC</w:t>
      </w:r>
      <w:proofErr w:type="gramStart"/>
      <w:r w:rsidR="006D79B2">
        <w:rPr>
          <w:rFonts w:ascii="Arial" w:hAnsi="Arial" w:cs="Arial"/>
          <w:color w:val="000000" w:themeColor="text1"/>
          <w:sz w:val="22"/>
          <w:szCs w:val="22"/>
        </w:rPr>
        <w:t xml:space="preserve">) </w:t>
      </w:r>
      <w:r w:rsidR="00946101">
        <w:rPr>
          <w:rFonts w:ascii="Arial" w:hAnsi="Arial" w:cs="Arial"/>
          <w:color w:val="000000" w:themeColor="text1"/>
          <w:sz w:val="22"/>
          <w:szCs w:val="22"/>
        </w:rPr>
        <w:t xml:space="preserve"> </w:t>
      </w:r>
      <w:r w:rsidRPr="001F536F">
        <w:rPr>
          <w:rFonts w:ascii="Arial" w:hAnsi="Arial" w:cs="Arial"/>
          <w:color w:val="000000" w:themeColor="text1"/>
          <w:sz w:val="22"/>
          <w:szCs w:val="22"/>
        </w:rPr>
        <w:t>of</w:t>
      </w:r>
      <w:proofErr w:type="gramEnd"/>
      <w:r w:rsidRPr="001F536F">
        <w:rPr>
          <w:rFonts w:ascii="Arial" w:hAnsi="Arial" w:cs="Arial"/>
          <w:color w:val="000000" w:themeColor="text1"/>
          <w:sz w:val="22"/>
          <w:szCs w:val="22"/>
        </w:rPr>
        <w:t xml:space="preserve"> paliperidone following INVEGA TRINZA administration was dose-proportional over a 175-525 mg dose range, and approximately dose-proportional for </w:t>
      </w:r>
      <w:proofErr w:type="spellStart"/>
      <w:r w:rsidRPr="001F536F">
        <w:rPr>
          <w:rFonts w:ascii="Arial" w:hAnsi="Arial" w:cs="Arial"/>
          <w:color w:val="000000" w:themeColor="text1"/>
          <w:sz w:val="22"/>
          <w:szCs w:val="22"/>
        </w:rPr>
        <w:t>C</w:t>
      </w:r>
      <w:r w:rsidRPr="001F536F">
        <w:rPr>
          <w:rFonts w:ascii="Arial" w:hAnsi="Arial" w:cs="Arial"/>
          <w:color w:val="000000" w:themeColor="text1"/>
          <w:sz w:val="22"/>
          <w:szCs w:val="22"/>
          <w:vertAlign w:val="subscript"/>
        </w:rPr>
        <w:t>max</w:t>
      </w:r>
      <w:proofErr w:type="spellEnd"/>
      <w:r w:rsidRPr="001F536F">
        <w:rPr>
          <w:rFonts w:ascii="Arial" w:hAnsi="Arial" w:cs="Arial"/>
          <w:color w:val="000000" w:themeColor="text1"/>
          <w:sz w:val="22"/>
          <w:szCs w:val="22"/>
        </w:rPr>
        <w:t xml:space="preserve">. </w:t>
      </w:r>
      <w:r w:rsidRPr="007D6403">
        <w:rPr>
          <w:rFonts w:ascii="Arial" w:hAnsi="Arial" w:cs="Arial"/>
          <w:color w:val="000000" w:themeColor="text1"/>
          <w:sz w:val="22"/>
          <w:szCs w:val="22"/>
        </w:rPr>
        <w:t xml:space="preserve">The </w:t>
      </w:r>
      <w:r w:rsidR="006D79B2">
        <w:rPr>
          <w:rFonts w:ascii="Arial" w:hAnsi="Arial" w:cs="Arial"/>
          <w:color w:val="000000" w:themeColor="text1"/>
          <w:sz w:val="22"/>
          <w:szCs w:val="22"/>
        </w:rPr>
        <w:t xml:space="preserve">median </w:t>
      </w:r>
      <w:r w:rsidRPr="007D6403">
        <w:rPr>
          <w:rFonts w:ascii="Arial" w:hAnsi="Arial" w:cs="Arial"/>
          <w:color w:val="000000" w:themeColor="text1"/>
          <w:sz w:val="22"/>
          <w:szCs w:val="22"/>
        </w:rPr>
        <w:t>st</w:t>
      </w:r>
      <w:r w:rsidRPr="001F536F">
        <w:rPr>
          <w:rFonts w:ascii="Arial" w:hAnsi="Arial" w:cs="Arial"/>
          <w:color w:val="000000" w:themeColor="text1"/>
          <w:sz w:val="22"/>
          <w:szCs w:val="22"/>
        </w:rPr>
        <w:t xml:space="preserve">eady-state </w:t>
      </w:r>
      <w:proofErr w:type="spellStart"/>
      <w:r w:rsidRPr="001F536F">
        <w:rPr>
          <w:rFonts w:ascii="Arial" w:hAnsi="Arial" w:cs="Arial"/>
          <w:color w:val="000000" w:themeColor="text1"/>
          <w:sz w:val="22"/>
          <w:szCs w:val="22"/>
        </w:rPr>
        <w:t>peak</w:t>
      </w:r>
      <w:proofErr w:type="gramStart"/>
      <w:r w:rsidRPr="001F536F">
        <w:rPr>
          <w:rFonts w:ascii="Arial" w:hAnsi="Arial" w:cs="Arial"/>
          <w:color w:val="000000" w:themeColor="text1"/>
          <w:sz w:val="22"/>
          <w:szCs w:val="22"/>
        </w:rPr>
        <w:t>:trough</w:t>
      </w:r>
      <w:proofErr w:type="spellEnd"/>
      <w:proofErr w:type="gramEnd"/>
      <w:r w:rsidRPr="001F536F">
        <w:rPr>
          <w:rFonts w:ascii="Arial" w:hAnsi="Arial" w:cs="Arial"/>
          <w:color w:val="000000" w:themeColor="text1"/>
          <w:sz w:val="22"/>
          <w:szCs w:val="22"/>
        </w:rPr>
        <w:t xml:space="preserve"> ratio for a INVEGA TRINZA dose was 1.6 </w:t>
      </w:r>
      <w:r w:rsidR="006D79B2">
        <w:rPr>
          <w:rFonts w:ascii="Arial" w:hAnsi="Arial" w:cs="Arial"/>
          <w:color w:val="000000" w:themeColor="text1"/>
          <w:sz w:val="22"/>
          <w:szCs w:val="22"/>
        </w:rPr>
        <w:t>to</w:t>
      </w:r>
      <w:r w:rsidR="004F5705">
        <w:rPr>
          <w:rFonts w:ascii="Arial" w:hAnsi="Arial" w:cs="Arial"/>
          <w:color w:val="000000" w:themeColor="text1"/>
          <w:sz w:val="22"/>
          <w:szCs w:val="22"/>
        </w:rPr>
        <w:t xml:space="preserve"> </w:t>
      </w:r>
      <w:r w:rsidRPr="001F536F">
        <w:rPr>
          <w:rFonts w:ascii="Arial" w:hAnsi="Arial" w:cs="Arial"/>
          <w:color w:val="000000" w:themeColor="text1"/>
          <w:sz w:val="22"/>
          <w:szCs w:val="22"/>
        </w:rPr>
        <w:t xml:space="preserve">1.7 following </w:t>
      </w:r>
      <w:r w:rsidR="0067712A">
        <w:rPr>
          <w:rFonts w:ascii="Arial" w:hAnsi="Arial" w:cs="Arial"/>
          <w:color w:val="000000" w:themeColor="text1"/>
          <w:sz w:val="22"/>
          <w:szCs w:val="22"/>
        </w:rPr>
        <w:t xml:space="preserve">gluteal and </w:t>
      </w:r>
      <w:r w:rsidRPr="001F536F">
        <w:rPr>
          <w:rFonts w:ascii="Arial" w:hAnsi="Arial" w:cs="Arial"/>
          <w:color w:val="000000" w:themeColor="text1"/>
          <w:sz w:val="22"/>
          <w:szCs w:val="22"/>
        </w:rPr>
        <w:t>deltoid administration. Following administration of INVEGA TRINZA, the apparent volume of distribution of paliperidone is 1960 L.</w:t>
      </w:r>
    </w:p>
    <w:p w:rsidR="00184658" w:rsidRPr="002A6369" w:rsidRDefault="00184658" w:rsidP="00ED31D5">
      <w:pPr>
        <w:pStyle w:val="BodyText120"/>
        <w:rPr>
          <w:rFonts w:ascii="Arial" w:hAnsi="Arial" w:cs="Arial"/>
          <w:sz w:val="22"/>
          <w:szCs w:val="22"/>
        </w:rPr>
      </w:pPr>
      <w:r w:rsidRPr="002A6369">
        <w:rPr>
          <w:rFonts w:ascii="Arial" w:hAnsi="Arial" w:cs="Arial"/>
          <w:sz w:val="22"/>
          <w:szCs w:val="22"/>
        </w:rPr>
        <w:t>In the sin</w:t>
      </w:r>
      <w:r w:rsidR="002B5979" w:rsidRPr="002A6369">
        <w:rPr>
          <w:rFonts w:ascii="Arial" w:hAnsi="Arial" w:cs="Arial"/>
          <w:sz w:val="22"/>
          <w:szCs w:val="22"/>
        </w:rPr>
        <w:t>gle dose study of 75 to 525m</w:t>
      </w:r>
      <w:r w:rsidR="00782E97" w:rsidRPr="002A6369">
        <w:rPr>
          <w:rFonts w:ascii="Arial" w:hAnsi="Arial" w:cs="Arial"/>
          <w:sz w:val="22"/>
          <w:szCs w:val="22"/>
        </w:rPr>
        <w:t xml:space="preserve">g </w:t>
      </w:r>
      <w:r w:rsidRPr="002A6369">
        <w:rPr>
          <w:rFonts w:ascii="Arial" w:hAnsi="Arial" w:cs="Arial"/>
          <w:sz w:val="22"/>
          <w:szCs w:val="22"/>
        </w:rPr>
        <w:t xml:space="preserve">1 subject on 525mg clearly had a rapid absorption event with a </w:t>
      </w:r>
      <w:proofErr w:type="spellStart"/>
      <w:r w:rsidRPr="002A6369">
        <w:rPr>
          <w:rFonts w:ascii="Arial" w:hAnsi="Arial" w:cs="Arial"/>
          <w:sz w:val="22"/>
          <w:szCs w:val="22"/>
        </w:rPr>
        <w:t>C</w:t>
      </w:r>
      <w:r w:rsidRPr="002A6369">
        <w:rPr>
          <w:rFonts w:ascii="Arial" w:hAnsi="Arial" w:cs="Arial"/>
          <w:sz w:val="22"/>
          <w:szCs w:val="22"/>
          <w:vertAlign w:val="subscript"/>
        </w:rPr>
        <w:t>max</w:t>
      </w:r>
      <w:proofErr w:type="spellEnd"/>
      <w:r w:rsidRPr="002A6369">
        <w:rPr>
          <w:rFonts w:ascii="Arial" w:hAnsi="Arial" w:cs="Arial"/>
          <w:sz w:val="22"/>
          <w:szCs w:val="22"/>
        </w:rPr>
        <w:t xml:space="preserve"> on Day 2 of 416ng/mL (median for subjects on that dose was 57.9</w:t>
      </w:r>
      <w:r w:rsidR="00782E97" w:rsidRPr="002A6369">
        <w:rPr>
          <w:rFonts w:ascii="Arial" w:hAnsi="Arial" w:cs="Arial"/>
          <w:sz w:val="22"/>
          <w:szCs w:val="22"/>
        </w:rPr>
        <w:t xml:space="preserve"> ng/mL) </w:t>
      </w:r>
      <w:r w:rsidRPr="002A6369">
        <w:rPr>
          <w:rFonts w:ascii="Arial" w:hAnsi="Arial" w:cs="Arial"/>
          <w:sz w:val="22"/>
          <w:szCs w:val="22"/>
        </w:rPr>
        <w:t>with no adverse events.</w:t>
      </w:r>
    </w:p>
    <w:p w:rsidR="009921E8" w:rsidRPr="00554755" w:rsidRDefault="00E314E4" w:rsidP="00554755">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 xml:space="preserve">The plasma protein binding </w:t>
      </w:r>
      <w:r w:rsidR="00554755">
        <w:rPr>
          <w:rFonts w:ascii="Arial" w:hAnsi="Arial" w:cs="Arial"/>
          <w:color w:val="000000" w:themeColor="text1"/>
          <w:sz w:val="22"/>
          <w:szCs w:val="22"/>
        </w:rPr>
        <w:t>of racemic paliperidone is 74%.</w:t>
      </w:r>
      <w:r w:rsidR="00782E97">
        <w:rPr>
          <w:rFonts w:ascii="Arial" w:hAnsi="Arial" w:cs="Arial"/>
          <w:color w:val="000000" w:themeColor="text1"/>
          <w:sz w:val="22"/>
          <w:szCs w:val="22"/>
        </w:rPr>
        <w:t xml:space="preserve"> </w:t>
      </w:r>
      <w:proofErr w:type="gramStart"/>
      <w:r w:rsidRPr="001F536F">
        <w:rPr>
          <w:rFonts w:ascii="Arial" w:eastAsia="Calibri" w:hAnsi="Arial" w:cs="Arial"/>
          <w:color w:val="000000" w:themeColor="text1"/>
          <w:sz w:val="22"/>
          <w:szCs w:val="22"/>
        </w:rPr>
        <w:t>Following administration of INVEGA TRINZA, the (+) and (-) enantiomers of paliperidone interconvert, reaching an AUC (+) to (-) ratio of approximately 1.7-1.8.</w:t>
      </w:r>
      <w:proofErr w:type="gramEnd"/>
    </w:p>
    <w:p w:rsidR="009921E8" w:rsidRPr="00E314E4" w:rsidRDefault="009921E8">
      <w:pPr>
        <w:pStyle w:val="Heading3"/>
        <w:rPr>
          <w:color w:val="auto"/>
        </w:rPr>
      </w:pPr>
      <w:bookmarkStart w:id="34" w:name="_Metabolism_and_Elimination"/>
      <w:bookmarkEnd w:id="34"/>
      <w:r w:rsidRPr="00E314E4">
        <w:rPr>
          <w:color w:val="auto"/>
        </w:rPr>
        <w:t>Metabolism and Elimination:</w:t>
      </w:r>
    </w:p>
    <w:p w:rsidR="00E314E4" w:rsidRPr="001F536F" w:rsidRDefault="00E314E4" w:rsidP="00E314E4">
      <w:pPr>
        <w:pStyle w:val="BodyText120"/>
        <w:spacing w:line="240" w:lineRule="auto"/>
        <w:rPr>
          <w:rFonts w:ascii="Arial" w:hAnsi="Arial" w:cs="Arial"/>
          <w:color w:val="000000" w:themeColor="text1"/>
          <w:sz w:val="22"/>
          <w:szCs w:val="22"/>
        </w:rPr>
      </w:pPr>
      <w:bookmarkStart w:id="35" w:name="_Special_Populations"/>
      <w:bookmarkEnd w:id="35"/>
      <w:r w:rsidRPr="001F536F">
        <w:rPr>
          <w:rFonts w:ascii="Arial" w:hAnsi="Arial" w:cs="Arial"/>
          <w:color w:val="000000" w:themeColor="text1"/>
          <w:sz w:val="22"/>
          <w:szCs w:val="22"/>
        </w:rPr>
        <w:t xml:space="preserve">In a study with oral immediate-release </w:t>
      </w:r>
      <w:r w:rsidRPr="001F536F">
        <w:rPr>
          <w:rFonts w:ascii="Arial" w:hAnsi="Arial" w:cs="Arial"/>
          <w:color w:val="000000" w:themeColor="text1"/>
          <w:sz w:val="22"/>
          <w:szCs w:val="22"/>
          <w:vertAlign w:val="superscript"/>
        </w:rPr>
        <w:t>14</w:t>
      </w:r>
      <w:r w:rsidRPr="001F536F">
        <w:rPr>
          <w:rFonts w:ascii="Arial" w:hAnsi="Arial" w:cs="Arial"/>
          <w:color w:val="000000" w:themeColor="text1"/>
          <w:sz w:val="22"/>
          <w:szCs w:val="22"/>
        </w:rPr>
        <w:t xml:space="preserve">C-paliperidone, one week following administration of a single oral dose of 1 mg immediate-release </w:t>
      </w:r>
      <w:r w:rsidRPr="001F536F">
        <w:rPr>
          <w:rFonts w:ascii="Arial" w:hAnsi="Arial" w:cs="Arial"/>
          <w:color w:val="000000" w:themeColor="text1"/>
          <w:sz w:val="22"/>
          <w:szCs w:val="22"/>
          <w:vertAlign w:val="superscript"/>
        </w:rPr>
        <w:t>14</w:t>
      </w:r>
      <w:r w:rsidRPr="001F536F">
        <w:rPr>
          <w:rFonts w:ascii="Arial" w:hAnsi="Arial" w:cs="Arial"/>
          <w:color w:val="000000" w:themeColor="text1"/>
          <w:sz w:val="22"/>
          <w:szCs w:val="22"/>
        </w:rPr>
        <w:t>C</w:t>
      </w:r>
      <w:r w:rsidRPr="001F536F">
        <w:rPr>
          <w:rFonts w:ascii="Arial" w:hAnsi="Arial" w:cs="Arial"/>
          <w:color w:val="000000" w:themeColor="text1"/>
          <w:sz w:val="22"/>
          <w:szCs w:val="22"/>
        </w:rPr>
        <w:noBreakHyphen/>
        <w:t>paliperidone, 59% of the dose was excreted unchanged into urine, indicating that paliperidone is not extensively metabolized in the liver. Approximately 80% of the administered radioactivity was recovered in urine and 11% in the feces. Four metabolic pathways have been identified</w:t>
      </w:r>
      <w:r w:rsidRPr="001F536F">
        <w:rPr>
          <w:rFonts w:ascii="Arial" w:hAnsi="Arial" w:cs="Arial"/>
          <w:i/>
          <w:color w:val="000000" w:themeColor="text1"/>
          <w:sz w:val="22"/>
          <w:szCs w:val="22"/>
        </w:rPr>
        <w:t xml:space="preserve"> in vivo</w:t>
      </w:r>
      <w:r w:rsidRPr="001F536F">
        <w:rPr>
          <w:rFonts w:ascii="Arial" w:hAnsi="Arial" w:cs="Arial"/>
          <w:color w:val="000000" w:themeColor="text1"/>
          <w:sz w:val="22"/>
          <w:szCs w:val="22"/>
        </w:rPr>
        <w:t xml:space="preserve">, none of which accounted for more than 10% of the dose: dealkylation, hydroxylation, dehydrogenation, and </w:t>
      </w:r>
      <w:proofErr w:type="spellStart"/>
      <w:r w:rsidRPr="001F536F">
        <w:rPr>
          <w:rFonts w:ascii="Arial" w:hAnsi="Arial" w:cs="Arial"/>
          <w:color w:val="000000" w:themeColor="text1"/>
          <w:sz w:val="22"/>
          <w:szCs w:val="22"/>
        </w:rPr>
        <w:t>benzisoxazole</w:t>
      </w:r>
      <w:proofErr w:type="spellEnd"/>
      <w:r w:rsidRPr="001F536F">
        <w:rPr>
          <w:rFonts w:ascii="Arial" w:hAnsi="Arial" w:cs="Arial"/>
          <w:color w:val="000000" w:themeColor="text1"/>
          <w:sz w:val="22"/>
          <w:szCs w:val="22"/>
        </w:rPr>
        <w:t xml:space="preserve"> scission. Although </w:t>
      </w:r>
      <w:r w:rsidRPr="001F536F">
        <w:rPr>
          <w:rFonts w:ascii="Arial" w:hAnsi="Arial" w:cs="Arial"/>
          <w:i/>
          <w:color w:val="000000" w:themeColor="text1"/>
          <w:sz w:val="22"/>
          <w:szCs w:val="22"/>
        </w:rPr>
        <w:t>in vitro</w:t>
      </w:r>
      <w:r w:rsidRPr="001F536F">
        <w:rPr>
          <w:rFonts w:ascii="Arial" w:hAnsi="Arial" w:cs="Arial"/>
          <w:color w:val="000000" w:themeColor="text1"/>
          <w:sz w:val="22"/>
          <w:szCs w:val="22"/>
        </w:rPr>
        <w:t xml:space="preserve"> studies suggested a role for CYP2D6 and CYP3A4 in the metabolism of paliperidone, there is no evidence </w:t>
      </w:r>
      <w:r w:rsidRPr="001F536F">
        <w:rPr>
          <w:rFonts w:ascii="Arial" w:hAnsi="Arial" w:cs="Arial"/>
          <w:i/>
          <w:color w:val="000000" w:themeColor="text1"/>
          <w:sz w:val="22"/>
          <w:szCs w:val="22"/>
        </w:rPr>
        <w:t>in vivo</w:t>
      </w:r>
      <w:r w:rsidRPr="001F536F">
        <w:rPr>
          <w:rFonts w:ascii="Arial" w:hAnsi="Arial" w:cs="Arial"/>
          <w:color w:val="000000" w:themeColor="text1"/>
          <w:sz w:val="22"/>
          <w:szCs w:val="22"/>
        </w:rPr>
        <w:t xml:space="preserve"> that these isozymes play a significant role in the metabolism of paliperidone. Population pharmacokinetics analyses indicated no discernible difference on the apparent clearance of paliperidone after administration of oral paliperidone between extensive metabolizers and poor metabolizers of CYP2D6 substrates. </w:t>
      </w:r>
      <w:r w:rsidRPr="001F536F">
        <w:rPr>
          <w:rFonts w:ascii="Arial" w:hAnsi="Arial" w:cs="Arial"/>
          <w:i/>
          <w:color w:val="000000" w:themeColor="text1"/>
          <w:sz w:val="22"/>
          <w:szCs w:val="22"/>
        </w:rPr>
        <w:t>In vitro</w:t>
      </w:r>
      <w:r w:rsidRPr="001F536F">
        <w:rPr>
          <w:rFonts w:ascii="Arial" w:hAnsi="Arial" w:cs="Arial"/>
          <w:color w:val="000000" w:themeColor="text1"/>
          <w:sz w:val="22"/>
          <w:szCs w:val="22"/>
        </w:rPr>
        <w:t xml:space="preserve"> studies in human liver microsomes showed that paliperidone does not substantially inhibit the metabolism of medicines metabolized by </w:t>
      </w:r>
      <w:r w:rsidRPr="001F536F">
        <w:rPr>
          <w:rFonts w:ascii="Arial" w:hAnsi="Arial" w:cs="Arial"/>
          <w:color w:val="000000" w:themeColor="text1"/>
          <w:sz w:val="22"/>
          <w:szCs w:val="22"/>
        </w:rPr>
        <w:lastRenderedPageBreak/>
        <w:t>cytochrome P450 isozymes, including CYP1A2, CYP2A6, CYP2C8/9/10, CYP2D6, CYP2E1, CYP3A4, and CYP3A5.</w:t>
      </w:r>
    </w:p>
    <w:p w:rsidR="00E314E4" w:rsidRPr="001F536F" w:rsidRDefault="00E314E4" w:rsidP="00E314E4">
      <w:pPr>
        <w:pStyle w:val="BodyText120"/>
        <w:spacing w:line="240" w:lineRule="auto"/>
        <w:rPr>
          <w:rFonts w:ascii="Arial" w:hAnsi="Arial" w:cs="Arial"/>
          <w:color w:val="000000" w:themeColor="text1"/>
          <w:sz w:val="22"/>
          <w:szCs w:val="22"/>
        </w:rPr>
      </w:pPr>
      <w:r w:rsidRPr="001F536F">
        <w:rPr>
          <w:rFonts w:ascii="Arial" w:hAnsi="Arial" w:cs="Arial"/>
          <w:i/>
          <w:color w:val="000000" w:themeColor="text1"/>
          <w:sz w:val="22"/>
          <w:szCs w:val="22"/>
        </w:rPr>
        <w:t>In vitro</w:t>
      </w:r>
      <w:r w:rsidRPr="001F536F">
        <w:rPr>
          <w:rFonts w:ascii="Arial" w:hAnsi="Arial" w:cs="Arial"/>
          <w:color w:val="000000" w:themeColor="text1"/>
          <w:sz w:val="22"/>
          <w:szCs w:val="22"/>
        </w:rPr>
        <w:t xml:space="preserve"> studies have shown that </w:t>
      </w:r>
      <w:proofErr w:type="spellStart"/>
      <w:r w:rsidRPr="001F536F">
        <w:rPr>
          <w:rFonts w:ascii="Arial" w:hAnsi="Arial" w:cs="Arial"/>
          <w:color w:val="000000" w:themeColor="text1"/>
          <w:sz w:val="22"/>
          <w:szCs w:val="22"/>
        </w:rPr>
        <w:t>paliperidone</w:t>
      </w:r>
      <w:proofErr w:type="spellEnd"/>
      <w:r w:rsidRPr="001F536F">
        <w:rPr>
          <w:rFonts w:ascii="Arial" w:hAnsi="Arial" w:cs="Arial"/>
          <w:color w:val="000000" w:themeColor="text1"/>
          <w:sz w:val="22"/>
          <w:szCs w:val="22"/>
        </w:rPr>
        <w:t xml:space="preserve"> is a P-</w:t>
      </w:r>
      <w:proofErr w:type="spellStart"/>
      <w:r w:rsidRPr="001F536F">
        <w:rPr>
          <w:rFonts w:ascii="Arial" w:hAnsi="Arial" w:cs="Arial"/>
          <w:color w:val="000000" w:themeColor="text1"/>
          <w:sz w:val="22"/>
          <w:szCs w:val="22"/>
        </w:rPr>
        <w:t>gp</w:t>
      </w:r>
      <w:proofErr w:type="spellEnd"/>
      <w:r w:rsidRPr="001F536F">
        <w:rPr>
          <w:rFonts w:ascii="Arial" w:hAnsi="Arial" w:cs="Arial"/>
          <w:color w:val="000000" w:themeColor="text1"/>
          <w:sz w:val="22"/>
          <w:szCs w:val="22"/>
        </w:rPr>
        <w:t xml:space="preserve"> substrate and a weak inhibitor of P-</w:t>
      </w:r>
      <w:proofErr w:type="spellStart"/>
      <w:r w:rsidRPr="001F536F">
        <w:rPr>
          <w:rFonts w:ascii="Arial" w:hAnsi="Arial" w:cs="Arial"/>
          <w:color w:val="000000" w:themeColor="text1"/>
          <w:sz w:val="22"/>
          <w:szCs w:val="22"/>
        </w:rPr>
        <w:t>gp</w:t>
      </w:r>
      <w:proofErr w:type="spellEnd"/>
      <w:r w:rsidRPr="001F536F">
        <w:rPr>
          <w:rFonts w:ascii="Arial" w:hAnsi="Arial" w:cs="Arial"/>
          <w:color w:val="000000" w:themeColor="text1"/>
          <w:sz w:val="22"/>
          <w:szCs w:val="22"/>
        </w:rPr>
        <w:t xml:space="preserve"> at high concentrations. No </w:t>
      </w:r>
      <w:r w:rsidRPr="001F536F">
        <w:rPr>
          <w:rFonts w:ascii="Arial" w:hAnsi="Arial" w:cs="Arial"/>
          <w:i/>
          <w:color w:val="000000" w:themeColor="text1"/>
          <w:sz w:val="22"/>
          <w:szCs w:val="22"/>
        </w:rPr>
        <w:t>in vivo</w:t>
      </w:r>
      <w:r w:rsidRPr="001F536F">
        <w:rPr>
          <w:rFonts w:ascii="Arial" w:hAnsi="Arial" w:cs="Arial"/>
          <w:color w:val="000000" w:themeColor="text1"/>
          <w:sz w:val="22"/>
          <w:szCs w:val="22"/>
        </w:rPr>
        <w:t xml:space="preserve"> data are available and the clinical relevance is unknown.</w:t>
      </w:r>
    </w:p>
    <w:p w:rsidR="00E314E4" w:rsidRPr="001F536F" w:rsidRDefault="00E314E4" w:rsidP="00E314E4">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Based on population pharmacokinetic analysis, the median apparent half-life of paliperidone following INVEGA TRINZA administration over the dose range of 175-525 mg ranged from 84-95 days following deltoid injections and 118-139 days following gluteal injections.</w:t>
      </w:r>
    </w:p>
    <w:p w:rsidR="00E314E4" w:rsidRPr="001F536F" w:rsidRDefault="00E314E4" w:rsidP="00E314E4">
      <w:pPr>
        <w:pStyle w:val="Heading3"/>
        <w:rPr>
          <w:b w:val="0"/>
          <w:color w:val="000000" w:themeColor="text1"/>
        </w:rPr>
      </w:pPr>
      <w:r w:rsidRPr="001F536F">
        <w:rPr>
          <w:color w:val="000000" w:themeColor="text1"/>
        </w:rPr>
        <w:t>Long-acting 3-month paliperidone palmitate injection versus other paliperidone formulations</w:t>
      </w:r>
    </w:p>
    <w:p w:rsidR="00324EEB" w:rsidRDefault="00324EEB" w:rsidP="002B5979">
      <w:pPr>
        <w:autoSpaceDE w:val="0"/>
        <w:autoSpaceDN w:val="0"/>
        <w:adjustRightInd w:val="0"/>
        <w:jc w:val="both"/>
        <w:rPr>
          <w:iCs/>
        </w:rPr>
      </w:pPr>
      <w:r w:rsidRPr="00F26BBD">
        <w:rPr>
          <w:iCs/>
          <w:color w:val="auto"/>
          <w:lang w:val="en-US"/>
        </w:rPr>
        <w:t>The concentration of paliperidone remaining in the circulation 18 months after dosing of</w:t>
      </w:r>
      <w:r w:rsidR="002B5979">
        <w:rPr>
          <w:iCs/>
          <w:color w:val="auto"/>
          <w:lang w:val="en-US"/>
        </w:rPr>
        <w:t xml:space="preserve"> </w:t>
      </w:r>
      <w:r w:rsidRPr="00F26BBD">
        <w:rPr>
          <w:iCs/>
          <w:color w:val="auto"/>
          <w:lang w:val="en-US"/>
        </w:rPr>
        <w:t>525 mg INVEGA TRINZA is stopped is estimated to be 3% (following deltoid injection) or 7%</w:t>
      </w:r>
      <w:r w:rsidR="002B5979">
        <w:rPr>
          <w:iCs/>
          <w:color w:val="auto"/>
          <w:lang w:val="en-US"/>
        </w:rPr>
        <w:t xml:space="preserve"> </w:t>
      </w:r>
      <w:r w:rsidRPr="00F26BBD">
        <w:rPr>
          <w:iCs/>
        </w:rPr>
        <w:t>(following gluteal injection) of the average steady</w:t>
      </w:r>
      <w:r w:rsidRPr="00F26BBD">
        <w:rPr>
          <w:rFonts w:ascii="Cambria Math" w:hAnsi="Cambria Math" w:cs="Cambria Math"/>
          <w:iCs/>
        </w:rPr>
        <w:t>‐</w:t>
      </w:r>
      <w:r w:rsidRPr="00F26BBD">
        <w:rPr>
          <w:iCs/>
        </w:rPr>
        <w:t>state levels.</w:t>
      </w:r>
    </w:p>
    <w:p w:rsidR="002B5979" w:rsidRPr="002B5979" w:rsidRDefault="002B5979" w:rsidP="002B5979">
      <w:pPr>
        <w:autoSpaceDE w:val="0"/>
        <w:autoSpaceDN w:val="0"/>
        <w:adjustRightInd w:val="0"/>
        <w:jc w:val="both"/>
        <w:rPr>
          <w:iCs/>
          <w:color w:val="auto"/>
          <w:lang w:val="en-US"/>
        </w:rPr>
      </w:pPr>
    </w:p>
    <w:p w:rsidR="00E314E4" w:rsidRPr="001F536F" w:rsidRDefault="00E314E4" w:rsidP="00E314E4">
      <w:pPr>
        <w:pStyle w:val="BodyText120"/>
        <w:spacing w:line="240" w:lineRule="auto"/>
        <w:rPr>
          <w:rFonts w:ascii="Arial" w:hAnsi="Arial" w:cs="Arial"/>
          <w:color w:val="000000" w:themeColor="text1"/>
          <w:sz w:val="22"/>
          <w:szCs w:val="22"/>
          <w:highlight w:val="yellow"/>
        </w:rPr>
      </w:pPr>
      <w:r w:rsidRPr="001F536F">
        <w:rPr>
          <w:rFonts w:ascii="Arial" w:hAnsi="Arial" w:cs="Arial"/>
          <w:color w:val="000000" w:themeColor="text1"/>
          <w:sz w:val="22"/>
          <w:szCs w:val="22"/>
        </w:rPr>
        <w:t xml:space="preserve">INVEGA TRINZA is designed to deliver paliperidone over a 3-month period, while 1-month paliperidone palmitate injection is administered on a monthly basis. </w:t>
      </w:r>
      <w:r w:rsidR="003C3F06">
        <w:rPr>
          <w:rFonts w:ascii="Arial" w:hAnsi="Arial" w:cs="Arial"/>
          <w:color w:val="000000" w:themeColor="text1"/>
          <w:sz w:val="22"/>
          <w:szCs w:val="22"/>
        </w:rPr>
        <w:t xml:space="preserve">Simulations show that  </w:t>
      </w:r>
      <w:r w:rsidRPr="001F536F">
        <w:rPr>
          <w:rFonts w:ascii="Arial" w:hAnsi="Arial" w:cs="Arial"/>
          <w:color w:val="000000" w:themeColor="text1"/>
          <w:sz w:val="22"/>
          <w:szCs w:val="22"/>
        </w:rPr>
        <w:t>INVEGA TRINZA, when administered at doses that are 3.5</w:t>
      </w:r>
      <w:r w:rsidRPr="001F536F">
        <w:rPr>
          <w:rFonts w:ascii="Arial" w:hAnsi="Arial" w:cs="Arial"/>
          <w:color w:val="000000" w:themeColor="text1"/>
          <w:sz w:val="22"/>
          <w:szCs w:val="22"/>
        </w:rPr>
        <w:noBreakHyphen/>
        <w:t>fold higher than the corresponding dose of 1-month paliperidone palmitate injection,</w:t>
      </w:r>
      <w:r w:rsidR="003C3F06">
        <w:rPr>
          <w:rFonts w:ascii="Arial" w:hAnsi="Arial" w:cs="Arial"/>
          <w:color w:val="000000" w:themeColor="text1"/>
          <w:sz w:val="22"/>
          <w:szCs w:val="22"/>
        </w:rPr>
        <w:t xml:space="preserve"> produces</w:t>
      </w:r>
      <w:r w:rsidR="0028130C">
        <w:rPr>
          <w:rFonts w:ascii="Arial" w:hAnsi="Arial" w:cs="Arial"/>
          <w:color w:val="000000" w:themeColor="text1"/>
          <w:sz w:val="22"/>
          <w:szCs w:val="22"/>
        </w:rPr>
        <w:t xml:space="preserve"> </w:t>
      </w:r>
      <w:r w:rsidRPr="001F536F">
        <w:rPr>
          <w:rFonts w:ascii="Arial" w:hAnsi="Arial" w:cs="Arial"/>
          <w:color w:val="000000" w:themeColor="text1"/>
          <w:sz w:val="22"/>
          <w:szCs w:val="22"/>
        </w:rPr>
        <w:t>paliperidone exposures similar to those obtained with corresponding monthly doses of 1-month paliperidone palmitate injection and corresponding once daily doses of paliperidone extended-release tablets</w:t>
      </w:r>
      <w:r w:rsidR="0028130C">
        <w:rPr>
          <w:rFonts w:ascii="Arial" w:hAnsi="Arial" w:cs="Arial"/>
          <w:color w:val="000000" w:themeColor="text1"/>
          <w:sz w:val="22"/>
          <w:szCs w:val="22"/>
        </w:rPr>
        <w:t xml:space="preserve">; </w:t>
      </w:r>
      <w:r w:rsidR="00054FE2">
        <w:rPr>
          <w:rFonts w:ascii="Arial" w:hAnsi="Arial" w:cs="Arial"/>
          <w:color w:val="000000" w:themeColor="text1"/>
          <w:sz w:val="22"/>
          <w:szCs w:val="22"/>
        </w:rPr>
        <w:t xml:space="preserve">and that </w:t>
      </w:r>
      <w:r w:rsidRPr="001F536F">
        <w:rPr>
          <w:rFonts w:ascii="Arial" w:hAnsi="Arial" w:cs="Arial"/>
          <w:color w:val="000000" w:themeColor="text1"/>
          <w:sz w:val="22"/>
          <w:szCs w:val="22"/>
        </w:rPr>
        <w:t>exposure range for INVEGA TRINZA is encompassed within the exposure range for the approved dose strengths of paliperidone extended-release tablets.</w:t>
      </w:r>
      <w:r w:rsidRPr="001F536F">
        <w:rPr>
          <w:rFonts w:ascii="Arial" w:hAnsi="Arial" w:cs="Arial"/>
          <w:color w:val="000000" w:themeColor="text1"/>
          <w:sz w:val="22"/>
          <w:szCs w:val="22"/>
          <w:highlight w:val="yellow"/>
        </w:rPr>
        <w:t xml:space="preserve"> </w:t>
      </w:r>
    </w:p>
    <w:p w:rsidR="00602D3F" w:rsidRPr="002B5979" w:rsidRDefault="00602D3F" w:rsidP="002B5979">
      <w:pPr>
        <w:autoSpaceDE w:val="0"/>
        <w:autoSpaceDN w:val="0"/>
        <w:adjustRightInd w:val="0"/>
        <w:jc w:val="both"/>
        <w:rPr>
          <w:iCs/>
          <w:color w:val="auto"/>
          <w:lang w:val="en-US"/>
        </w:rPr>
      </w:pPr>
      <w:r w:rsidRPr="00F26BBD">
        <w:rPr>
          <w:iCs/>
          <w:color w:val="auto"/>
          <w:lang w:val="en-US"/>
        </w:rPr>
        <w:t>The between</w:t>
      </w:r>
      <w:r w:rsidRPr="00F26BBD">
        <w:rPr>
          <w:rFonts w:ascii="Cambria Math" w:hAnsi="Cambria Math" w:cs="Cambria Math"/>
          <w:iCs/>
          <w:color w:val="auto"/>
          <w:lang w:val="en-US"/>
        </w:rPr>
        <w:t>‐</w:t>
      </w:r>
      <w:r w:rsidRPr="00F26BBD">
        <w:rPr>
          <w:iCs/>
          <w:color w:val="auto"/>
          <w:lang w:val="en-US"/>
        </w:rPr>
        <w:t>subject variability for paliperidone pharmacokinetics following delivery from</w:t>
      </w:r>
      <w:r w:rsidR="002B5979">
        <w:rPr>
          <w:iCs/>
          <w:color w:val="auto"/>
          <w:lang w:val="en-US"/>
        </w:rPr>
        <w:t xml:space="preserve"> </w:t>
      </w:r>
      <w:r w:rsidRPr="00F26BBD">
        <w:rPr>
          <w:iCs/>
          <w:color w:val="auto"/>
          <w:lang w:val="en-US"/>
        </w:rPr>
        <w:t>INVEGA TRINZA is similar to the variability for paliperidone extended</w:t>
      </w:r>
      <w:r w:rsidRPr="00F26BBD">
        <w:rPr>
          <w:rFonts w:ascii="Cambria Math" w:hAnsi="Cambria Math" w:cs="Cambria Math"/>
          <w:iCs/>
          <w:color w:val="auto"/>
          <w:lang w:val="en-US"/>
        </w:rPr>
        <w:t>‐</w:t>
      </w:r>
      <w:r w:rsidRPr="00F26BBD">
        <w:rPr>
          <w:iCs/>
          <w:color w:val="auto"/>
          <w:lang w:val="en-US"/>
        </w:rPr>
        <w:t>release tablets.</w:t>
      </w:r>
      <w:r w:rsidR="002B5979">
        <w:rPr>
          <w:iCs/>
          <w:color w:val="auto"/>
          <w:lang w:val="en-US"/>
        </w:rPr>
        <w:t xml:space="preserve"> </w:t>
      </w:r>
      <w:r w:rsidRPr="00F26BBD">
        <w:rPr>
          <w:iCs/>
          <w:color w:val="auto"/>
          <w:lang w:val="en-US"/>
        </w:rPr>
        <w:t xml:space="preserve">Because of the difference in </w:t>
      </w:r>
      <w:r w:rsidR="008D6FA3">
        <w:rPr>
          <w:iCs/>
          <w:color w:val="auto"/>
          <w:lang w:val="en-US"/>
        </w:rPr>
        <w:t xml:space="preserve">median </w:t>
      </w:r>
      <w:r w:rsidRPr="00F26BBD">
        <w:rPr>
          <w:iCs/>
          <w:color w:val="auto"/>
          <w:lang w:val="en-US"/>
        </w:rPr>
        <w:t>pharmacokinetic profiles among the three paliperidone</w:t>
      </w:r>
      <w:r w:rsidR="002B5979">
        <w:rPr>
          <w:iCs/>
          <w:color w:val="auto"/>
          <w:lang w:val="en-US"/>
        </w:rPr>
        <w:t xml:space="preserve"> </w:t>
      </w:r>
      <w:r w:rsidRPr="00F26BBD">
        <w:rPr>
          <w:iCs/>
          <w:color w:val="auto"/>
          <w:lang w:val="en-US"/>
        </w:rPr>
        <w:t>formulations</w:t>
      </w:r>
      <w:r w:rsidR="00E84E93">
        <w:rPr>
          <w:iCs/>
          <w:color w:val="auto"/>
          <w:lang w:val="en-US"/>
        </w:rPr>
        <w:t>,</w:t>
      </w:r>
      <w:r w:rsidRPr="00F26BBD">
        <w:rPr>
          <w:iCs/>
          <w:color w:val="auto"/>
          <w:lang w:val="en-US"/>
        </w:rPr>
        <w:t xml:space="preserve"> caution should be exercised when making a direct comparison of their</w:t>
      </w:r>
      <w:r w:rsidR="002B5979">
        <w:rPr>
          <w:iCs/>
          <w:color w:val="auto"/>
          <w:lang w:val="en-US"/>
        </w:rPr>
        <w:t xml:space="preserve"> </w:t>
      </w:r>
      <w:r w:rsidRPr="00F26BBD">
        <w:rPr>
          <w:iCs/>
        </w:rPr>
        <w:t>pharmacokinetic</w:t>
      </w:r>
      <w:r w:rsidR="00E84E93">
        <w:rPr>
          <w:iCs/>
        </w:rPr>
        <w:t xml:space="preserve"> </w:t>
      </w:r>
      <w:r w:rsidR="002B5979">
        <w:rPr>
          <w:iCs/>
        </w:rPr>
        <w:t>behaviour in a given patient</w:t>
      </w:r>
      <w:r w:rsidRPr="00F26BBD">
        <w:rPr>
          <w:iCs/>
        </w:rPr>
        <w:t>.</w:t>
      </w:r>
    </w:p>
    <w:p w:rsidR="009921E8" w:rsidRPr="00E314E4" w:rsidRDefault="009921E8">
      <w:pPr>
        <w:pStyle w:val="PIHEADING2"/>
        <w:spacing w:before="0" w:after="0"/>
        <w:rPr>
          <w:color w:val="FF0000"/>
        </w:rPr>
      </w:pPr>
    </w:p>
    <w:p w:rsidR="009921E8" w:rsidRPr="00E314E4" w:rsidRDefault="009921E8">
      <w:pPr>
        <w:pStyle w:val="Heading3"/>
        <w:rPr>
          <w:color w:val="auto"/>
        </w:rPr>
      </w:pPr>
      <w:r w:rsidRPr="00E314E4">
        <w:rPr>
          <w:color w:val="auto"/>
        </w:rPr>
        <w:t>Special Populations</w:t>
      </w:r>
    </w:p>
    <w:p w:rsidR="00E314E4" w:rsidRPr="001F536F" w:rsidRDefault="00E314E4" w:rsidP="00E314E4">
      <w:pPr>
        <w:pStyle w:val="BodyText12"/>
        <w:spacing w:after="80" w:line="240" w:lineRule="auto"/>
        <w:jc w:val="left"/>
        <w:rPr>
          <w:rFonts w:ascii="Arial" w:hAnsi="Arial" w:cs="Arial"/>
          <w:b/>
          <w:sz w:val="22"/>
          <w:szCs w:val="22"/>
        </w:rPr>
      </w:pPr>
      <w:bookmarkStart w:id="36" w:name="_Hepatic_Impairment"/>
      <w:bookmarkEnd w:id="36"/>
      <w:r w:rsidRPr="001F536F">
        <w:rPr>
          <w:rFonts w:ascii="Arial" w:hAnsi="Arial" w:cs="Arial"/>
          <w:b/>
          <w:sz w:val="22"/>
          <w:szCs w:val="22"/>
        </w:rPr>
        <w:t>Renal Impairment:</w:t>
      </w:r>
    </w:p>
    <w:p w:rsidR="00E314E4" w:rsidRDefault="00E314E4" w:rsidP="00E314E4">
      <w:pPr>
        <w:pStyle w:val="BodyText120"/>
        <w:spacing w:line="240" w:lineRule="auto"/>
        <w:rPr>
          <w:rFonts w:ascii="Arial" w:hAnsi="Arial" w:cs="Arial"/>
          <w:color w:val="000000" w:themeColor="text1"/>
          <w:sz w:val="22"/>
          <w:szCs w:val="22"/>
        </w:rPr>
      </w:pPr>
      <w:r w:rsidRPr="003E13BF">
        <w:rPr>
          <w:rFonts w:ascii="Arial" w:hAnsi="Arial" w:cs="Arial"/>
          <w:color w:val="000000" w:themeColor="text1"/>
          <w:sz w:val="22"/>
          <w:szCs w:val="22"/>
        </w:rPr>
        <w:t>I</w:t>
      </w:r>
      <w:r w:rsidRPr="001F536F">
        <w:rPr>
          <w:rFonts w:ascii="Arial" w:hAnsi="Arial" w:cs="Arial"/>
          <w:color w:val="000000" w:themeColor="text1"/>
          <w:sz w:val="22"/>
          <w:szCs w:val="22"/>
        </w:rPr>
        <w:t>NVEGA TRINZA has not been systematically studied in patients with renal impairment. The disposition of a single oral dose of a paliperidone 3 mg extended-release tablet was studied in subjects with varying degrees of renal function. Elimination of paliperidone decreased with decreasing estimated creatinine clearance. Total clearance of paliperidone was reduced in subjects with impaired renal function by 32% on average in mild (</w:t>
      </w:r>
      <w:proofErr w:type="spellStart"/>
      <w:r w:rsidRPr="001F536F">
        <w:rPr>
          <w:rFonts w:ascii="Arial" w:hAnsi="Arial" w:cs="Arial"/>
          <w:color w:val="000000" w:themeColor="text1"/>
          <w:sz w:val="22"/>
          <w:szCs w:val="22"/>
        </w:rPr>
        <w:t>CrCl</w:t>
      </w:r>
      <w:proofErr w:type="spellEnd"/>
      <w:r w:rsidRPr="001F536F">
        <w:rPr>
          <w:rFonts w:ascii="Arial" w:hAnsi="Arial" w:cs="Arial"/>
          <w:color w:val="000000" w:themeColor="text1"/>
          <w:sz w:val="22"/>
          <w:szCs w:val="22"/>
        </w:rPr>
        <w:t xml:space="preserve"> = 50 to &lt; 80 mL/min), 64% in moderate (</w:t>
      </w:r>
      <w:proofErr w:type="spellStart"/>
      <w:r w:rsidRPr="001F536F">
        <w:rPr>
          <w:rFonts w:ascii="Arial" w:hAnsi="Arial" w:cs="Arial"/>
          <w:color w:val="000000" w:themeColor="text1"/>
          <w:sz w:val="22"/>
          <w:szCs w:val="22"/>
        </w:rPr>
        <w:t>CrCl</w:t>
      </w:r>
      <w:proofErr w:type="spellEnd"/>
      <w:r w:rsidRPr="001F536F">
        <w:rPr>
          <w:rFonts w:ascii="Arial" w:hAnsi="Arial" w:cs="Arial"/>
          <w:color w:val="000000" w:themeColor="text1"/>
          <w:sz w:val="22"/>
          <w:szCs w:val="22"/>
        </w:rPr>
        <w:t xml:space="preserve"> = 30 to &lt; 50 mL/min), and 71% in severe (</w:t>
      </w:r>
      <w:proofErr w:type="spellStart"/>
      <w:r w:rsidRPr="001F536F">
        <w:rPr>
          <w:rFonts w:ascii="Arial" w:hAnsi="Arial" w:cs="Arial"/>
          <w:color w:val="000000" w:themeColor="text1"/>
          <w:sz w:val="22"/>
          <w:szCs w:val="22"/>
        </w:rPr>
        <w:t>CrCl</w:t>
      </w:r>
      <w:proofErr w:type="spellEnd"/>
      <w:r w:rsidRPr="001F536F">
        <w:rPr>
          <w:rFonts w:ascii="Arial" w:hAnsi="Arial" w:cs="Arial"/>
          <w:color w:val="000000" w:themeColor="text1"/>
          <w:sz w:val="22"/>
          <w:szCs w:val="22"/>
        </w:rPr>
        <w:t xml:space="preserve"> = 10 to &lt; 30 mL/min) renal impairment, corresponding to an average increase in exposure (</w:t>
      </w:r>
      <w:proofErr w:type="spellStart"/>
      <w:r w:rsidRPr="001F536F">
        <w:rPr>
          <w:rFonts w:ascii="Arial" w:hAnsi="Arial" w:cs="Arial"/>
          <w:color w:val="000000" w:themeColor="text1"/>
          <w:sz w:val="22"/>
          <w:szCs w:val="22"/>
        </w:rPr>
        <w:t>AUC</w:t>
      </w:r>
      <w:r w:rsidRPr="001F536F">
        <w:rPr>
          <w:rFonts w:ascii="Arial" w:hAnsi="Arial" w:cs="Arial"/>
          <w:color w:val="000000" w:themeColor="text1"/>
          <w:sz w:val="22"/>
          <w:szCs w:val="22"/>
          <w:vertAlign w:val="subscript"/>
        </w:rPr>
        <w:t>inf</w:t>
      </w:r>
      <w:proofErr w:type="spellEnd"/>
      <w:r w:rsidRPr="001F536F">
        <w:rPr>
          <w:rFonts w:ascii="Arial" w:hAnsi="Arial" w:cs="Arial"/>
          <w:color w:val="000000" w:themeColor="text1"/>
          <w:sz w:val="22"/>
          <w:szCs w:val="22"/>
        </w:rPr>
        <w:t>) of 1.5, 2.6, and 4.8 fold, respectively, compared to healthy subjects. Based on a limited number of observations with INVEGA TRINZA in subjects with mild renal impairment and pharmacokinetic simulations, the initiation and maintenance dose of 1-month paliperidone palmitate injection should be reduced in patients with mild renal impairment. Subjects can be transitioned over to INVEGA TRINZA using the corresponding 3.5-multiple dose for mild renal impaired subjects. No additional dose reduction upon starting INVEGA TRINZA</w:t>
      </w:r>
      <w:r>
        <w:rPr>
          <w:rFonts w:ascii="Arial" w:hAnsi="Arial" w:cs="Arial"/>
          <w:color w:val="000000" w:themeColor="text1"/>
          <w:sz w:val="22"/>
          <w:szCs w:val="22"/>
        </w:rPr>
        <w:t xml:space="preserve"> is necessary </w:t>
      </w:r>
      <w:r w:rsidRPr="00CC66E4">
        <w:rPr>
          <w:rFonts w:ascii="Arial" w:hAnsi="Arial" w:cs="Arial"/>
          <w:color w:val="000000" w:themeColor="text1"/>
          <w:sz w:val="22"/>
          <w:szCs w:val="22"/>
        </w:rPr>
        <w:t>(see</w:t>
      </w:r>
      <w:r w:rsidRPr="001F536F">
        <w:rPr>
          <w:rFonts w:ascii="Arial" w:hAnsi="Arial" w:cs="Arial"/>
          <w:i/>
          <w:color w:val="000000" w:themeColor="text1"/>
          <w:sz w:val="22"/>
          <w:szCs w:val="22"/>
        </w:rPr>
        <w:t xml:space="preserve"> </w:t>
      </w:r>
      <w:r w:rsidRPr="00853D2A">
        <w:rPr>
          <w:rFonts w:ascii="Arial" w:hAnsi="Arial" w:cs="Arial"/>
          <w:b/>
          <w:color w:val="000000" w:themeColor="text1"/>
          <w:sz w:val="22"/>
          <w:szCs w:val="22"/>
        </w:rPr>
        <w:t>DOSAGE AND ADMINISTRATION</w:t>
      </w:r>
      <w:r w:rsidRPr="009661AD">
        <w:rPr>
          <w:rFonts w:ascii="Arial" w:hAnsi="Arial" w:cs="Arial"/>
          <w:color w:val="000000" w:themeColor="text1"/>
          <w:sz w:val="22"/>
          <w:szCs w:val="22"/>
        </w:rPr>
        <w:t>)</w:t>
      </w:r>
      <w:r w:rsidRPr="001F536F">
        <w:rPr>
          <w:rFonts w:ascii="Arial" w:hAnsi="Arial" w:cs="Arial"/>
          <w:color w:val="000000" w:themeColor="text1"/>
          <w:sz w:val="22"/>
          <w:szCs w:val="22"/>
        </w:rPr>
        <w:t>.</w:t>
      </w:r>
    </w:p>
    <w:p w:rsidR="0063797F" w:rsidRDefault="0063797F" w:rsidP="002A6369">
      <w:pPr>
        <w:autoSpaceDE w:val="0"/>
        <w:autoSpaceDN w:val="0"/>
        <w:adjustRightInd w:val="0"/>
        <w:rPr>
          <w:iCs/>
          <w:color w:val="auto"/>
          <w:lang w:val="en-US"/>
        </w:rPr>
      </w:pPr>
      <w:r w:rsidRPr="006B4859">
        <w:rPr>
          <w:iCs/>
          <w:color w:val="auto"/>
          <w:lang w:val="en-US"/>
        </w:rPr>
        <w:t>INVEGA TRINZA is not recommended for patients with mode</w:t>
      </w:r>
      <w:r w:rsidR="00337A31">
        <w:rPr>
          <w:iCs/>
          <w:color w:val="auto"/>
          <w:lang w:val="en-US"/>
        </w:rPr>
        <w:t xml:space="preserve">rate or severe renal impairment </w:t>
      </w:r>
      <w:r w:rsidRPr="006B4859">
        <w:rPr>
          <w:iCs/>
          <w:color w:val="auto"/>
          <w:lang w:val="en-US"/>
        </w:rPr>
        <w:t xml:space="preserve">(see </w:t>
      </w:r>
      <w:r w:rsidRPr="006B4859">
        <w:rPr>
          <w:b/>
          <w:iCs/>
          <w:color w:val="auto"/>
          <w:lang w:val="en-US"/>
        </w:rPr>
        <w:t>DOSAGE AND ADMINISTRATION</w:t>
      </w:r>
      <w:r w:rsidRPr="006B4859">
        <w:rPr>
          <w:iCs/>
          <w:color w:val="auto"/>
          <w:lang w:val="en-US"/>
        </w:rPr>
        <w:t>.</w:t>
      </w:r>
    </w:p>
    <w:p w:rsidR="002A6369" w:rsidRPr="002A6369" w:rsidRDefault="002A6369" w:rsidP="002A6369">
      <w:pPr>
        <w:autoSpaceDE w:val="0"/>
        <w:autoSpaceDN w:val="0"/>
        <w:adjustRightInd w:val="0"/>
        <w:rPr>
          <w:iCs/>
          <w:color w:val="auto"/>
          <w:lang w:val="en-US"/>
        </w:rPr>
      </w:pPr>
    </w:p>
    <w:p w:rsidR="00E314E4" w:rsidRPr="003E13BF" w:rsidRDefault="00E314E4" w:rsidP="00E314E4">
      <w:pPr>
        <w:pStyle w:val="BodyText12"/>
        <w:spacing w:after="80" w:line="240" w:lineRule="auto"/>
        <w:rPr>
          <w:rFonts w:ascii="Arial" w:hAnsi="Arial" w:cs="Arial"/>
          <w:b/>
          <w:color w:val="000000" w:themeColor="text1"/>
          <w:sz w:val="22"/>
          <w:szCs w:val="22"/>
        </w:rPr>
      </w:pPr>
      <w:r w:rsidRPr="003E13BF">
        <w:rPr>
          <w:rFonts w:ascii="Arial" w:hAnsi="Arial" w:cs="Arial"/>
          <w:b/>
          <w:color w:val="000000" w:themeColor="text1"/>
          <w:sz w:val="22"/>
          <w:szCs w:val="22"/>
        </w:rPr>
        <w:t>Hepatic Impairment:</w:t>
      </w:r>
    </w:p>
    <w:p w:rsidR="00670CA7" w:rsidRPr="002A6369" w:rsidRDefault="00670CA7" w:rsidP="00670CA7">
      <w:pPr>
        <w:pStyle w:val="BodyText120"/>
        <w:spacing w:line="240" w:lineRule="auto"/>
        <w:rPr>
          <w:rFonts w:ascii="Arial" w:hAnsi="Arial" w:cs="Arial"/>
          <w:sz w:val="22"/>
          <w:szCs w:val="22"/>
        </w:rPr>
      </w:pPr>
      <w:r w:rsidRPr="002A6369">
        <w:rPr>
          <w:rFonts w:ascii="Arial" w:hAnsi="Arial" w:cs="Arial"/>
          <w:sz w:val="22"/>
          <w:szCs w:val="22"/>
        </w:rPr>
        <w:t>INVEGA</w:t>
      </w:r>
      <w:r w:rsidR="002A6369" w:rsidRPr="002A6369">
        <w:rPr>
          <w:rFonts w:ascii="Arial" w:hAnsi="Arial" w:cs="Arial"/>
          <w:sz w:val="22"/>
          <w:szCs w:val="22"/>
        </w:rPr>
        <w:t xml:space="preserve"> </w:t>
      </w:r>
      <w:r w:rsidRPr="002A6369">
        <w:rPr>
          <w:rFonts w:ascii="Arial" w:hAnsi="Arial" w:cs="Arial"/>
          <w:sz w:val="22"/>
          <w:szCs w:val="22"/>
        </w:rPr>
        <w:t xml:space="preserve">TRINZA has not been studied in patients with hepatic impairment. Based on a study with oral paliperidone in subjects with moderate hepatic impairment (Child-Pugh Class B), no dose adjustment is required in patients with mild or moderate hepatic impairment (see </w:t>
      </w:r>
      <w:r w:rsidRPr="002A6369">
        <w:rPr>
          <w:rFonts w:ascii="Arial" w:hAnsi="Arial" w:cs="Arial"/>
          <w:b/>
          <w:sz w:val="22"/>
          <w:szCs w:val="22"/>
        </w:rPr>
        <w:t>DOSAGE AND ADMINISTRATION</w:t>
      </w:r>
      <w:r w:rsidRPr="002A6369">
        <w:rPr>
          <w:rFonts w:ascii="Arial" w:hAnsi="Arial" w:cs="Arial"/>
          <w:sz w:val="22"/>
          <w:szCs w:val="22"/>
        </w:rPr>
        <w:t xml:space="preserve">). In the study with oral paliperidone in subjects with moderate hepatic </w:t>
      </w:r>
      <w:r w:rsidRPr="002A6369">
        <w:rPr>
          <w:rFonts w:ascii="Arial" w:hAnsi="Arial" w:cs="Arial"/>
          <w:sz w:val="22"/>
          <w:szCs w:val="22"/>
        </w:rPr>
        <w:lastRenderedPageBreak/>
        <w:t>impairment (Child-Pugh class B), the plasma concentrations of free paliperidone were similar to those of healthy subjects, although total paliperidone exposure decreased because of a decrease in protein binding. Paliperidone has not been studied in patients with severe hepatic impairment.</w:t>
      </w:r>
    </w:p>
    <w:p w:rsidR="002A6369" w:rsidRDefault="002A6369" w:rsidP="00E314E4">
      <w:pPr>
        <w:pStyle w:val="BodyText12"/>
        <w:spacing w:after="80" w:line="240" w:lineRule="auto"/>
        <w:rPr>
          <w:rFonts w:ascii="Arial" w:hAnsi="Arial" w:cs="Arial"/>
          <w:b/>
          <w:color w:val="000000" w:themeColor="text1"/>
          <w:sz w:val="22"/>
          <w:szCs w:val="22"/>
        </w:rPr>
      </w:pPr>
    </w:p>
    <w:p w:rsidR="00E314E4" w:rsidRPr="003E13BF" w:rsidRDefault="00E314E4" w:rsidP="00E314E4">
      <w:pPr>
        <w:pStyle w:val="BodyText12"/>
        <w:spacing w:after="80" w:line="240" w:lineRule="auto"/>
        <w:rPr>
          <w:rFonts w:ascii="Arial" w:hAnsi="Arial" w:cs="Arial"/>
          <w:b/>
          <w:color w:val="000000" w:themeColor="text1"/>
          <w:sz w:val="22"/>
          <w:szCs w:val="22"/>
        </w:rPr>
      </w:pPr>
      <w:r w:rsidRPr="003E13BF">
        <w:rPr>
          <w:rFonts w:ascii="Arial" w:hAnsi="Arial" w:cs="Arial"/>
          <w:b/>
          <w:color w:val="000000" w:themeColor="text1"/>
          <w:sz w:val="22"/>
          <w:szCs w:val="22"/>
        </w:rPr>
        <w:t>Elderly</w:t>
      </w:r>
      <w:r>
        <w:rPr>
          <w:rFonts w:ascii="Arial" w:hAnsi="Arial" w:cs="Arial"/>
          <w:b/>
          <w:color w:val="000000" w:themeColor="text1"/>
          <w:sz w:val="22"/>
          <w:szCs w:val="22"/>
        </w:rPr>
        <w:t xml:space="preserve"> </w:t>
      </w:r>
      <w:r w:rsidRPr="00656009">
        <w:rPr>
          <w:rFonts w:ascii="Arial" w:hAnsi="Arial" w:cs="Arial"/>
          <w:b/>
          <w:i/>
          <w:color w:val="000000" w:themeColor="text1"/>
          <w:sz w:val="22"/>
          <w:szCs w:val="22"/>
        </w:rPr>
        <w:t>(65 years of age and older)</w:t>
      </w:r>
      <w:r w:rsidRPr="003E13BF">
        <w:rPr>
          <w:rFonts w:ascii="Arial" w:hAnsi="Arial" w:cs="Arial"/>
          <w:b/>
          <w:color w:val="000000" w:themeColor="text1"/>
          <w:sz w:val="22"/>
          <w:szCs w:val="22"/>
        </w:rPr>
        <w:t>:</w:t>
      </w:r>
    </w:p>
    <w:p w:rsidR="00E314E4" w:rsidRDefault="00E314E4" w:rsidP="00E314E4">
      <w:pPr>
        <w:pStyle w:val="BodyText120"/>
        <w:rPr>
          <w:b/>
          <w:color w:val="000000" w:themeColor="text1"/>
        </w:rPr>
      </w:pPr>
      <w:r w:rsidRPr="001F536F">
        <w:rPr>
          <w:rFonts w:ascii="Arial" w:hAnsi="Arial" w:cs="Arial"/>
          <w:color w:val="000000" w:themeColor="text1"/>
          <w:sz w:val="22"/>
          <w:szCs w:val="22"/>
        </w:rPr>
        <w:t xml:space="preserve">No dosage adjustment is recommended based on age alone. However, dose adjustment may be required because of age-related decreases in creatinine clearance </w:t>
      </w:r>
      <w:r w:rsidRPr="00CC66E4">
        <w:rPr>
          <w:rFonts w:ascii="Arial" w:hAnsi="Arial" w:cs="Arial"/>
          <w:color w:val="000000" w:themeColor="text1"/>
          <w:sz w:val="22"/>
          <w:szCs w:val="22"/>
        </w:rPr>
        <w:t>(see</w:t>
      </w:r>
      <w:r w:rsidRPr="001F536F">
        <w:rPr>
          <w:rFonts w:ascii="Arial" w:hAnsi="Arial" w:cs="Arial"/>
          <w:i/>
          <w:color w:val="000000" w:themeColor="text1"/>
          <w:sz w:val="22"/>
          <w:szCs w:val="22"/>
        </w:rPr>
        <w:t xml:space="preserve"> </w:t>
      </w:r>
      <w:r w:rsidRPr="00853D2A">
        <w:rPr>
          <w:rFonts w:ascii="Arial" w:hAnsi="Arial" w:cs="Arial"/>
          <w:b/>
          <w:color w:val="000000" w:themeColor="text1"/>
          <w:sz w:val="22"/>
          <w:szCs w:val="22"/>
        </w:rPr>
        <w:t>DOSAGE AND ADMINISTRATION</w:t>
      </w:r>
      <w:r w:rsidRPr="00CC66E4">
        <w:rPr>
          <w:rFonts w:ascii="Arial" w:hAnsi="Arial" w:cs="Arial"/>
          <w:color w:val="000000" w:themeColor="text1"/>
          <w:sz w:val="22"/>
          <w:szCs w:val="22"/>
        </w:rPr>
        <w:t>)</w:t>
      </w:r>
      <w:r>
        <w:rPr>
          <w:rFonts w:ascii="Arial" w:hAnsi="Arial" w:cs="Arial"/>
          <w:color w:val="000000" w:themeColor="text1"/>
          <w:sz w:val="22"/>
          <w:szCs w:val="22"/>
        </w:rPr>
        <w:t>.</w:t>
      </w:r>
      <w:r w:rsidRPr="00CC66E4">
        <w:rPr>
          <w:color w:val="000000" w:themeColor="text1"/>
        </w:rPr>
        <w:t xml:space="preserve"> </w:t>
      </w:r>
    </w:p>
    <w:p w:rsidR="00E314E4" w:rsidRDefault="00E314E4" w:rsidP="00E314E4">
      <w:pPr>
        <w:pStyle w:val="BodyText120"/>
        <w:spacing w:line="240" w:lineRule="auto"/>
        <w:rPr>
          <w:rFonts w:ascii="Arial" w:hAnsi="Arial" w:cs="Arial"/>
          <w:b/>
          <w:i/>
          <w:color w:val="000000" w:themeColor="text1"/>
          <w:sz w:val="22"/>
          <w:szCs w:val="22"/>
        </w:rPr>
      </w:pPr>
      <w:r w:rsidRPr="00985687">
        <w:rPr>
          <w:rFonts w:ascii="Arial" w:hAnsi="Arial" w:cs="Arial"/>
          <w:b/>
          <w:color w:val="000000" w:themeColor="text1"/>
          <w:sz w:val="22"/>
          <w:szCs w:val="22"/>
        </w:rPr>
        <w:t>Race:</w:t>
      </w:r>
    </w:p>
    <w:p w:rsidR="00D109CA" w:rsidRPr="005D174A" w:rsidRDefault="00D109CA" w:rsidP="00D109CA">
      <w:pPr>
        <w:pStyle w:val="Default"/>
        <w:spacing w:line="276" w:lineRule="auto"/>
        <w:jc w:val="both"/>
        <w:rPr>
          <w:rFonts w:ascii="Arial" w:hAnsi="Arial" w:cs="Arial"/>
          <w:sz w:val="22"/>
          <w:szCs w:val="22"/>
        </w:rPr>
      </w:pPr>
      <w:r w:rsidRPr="005D174A">
        <w:rPr>
          <w:rFonts w:ascii="Arial" w:hAnsi="Arial" w:cs="Arial"/>
          <w:sz w:val="22"/>
          <w:szCs w:val="22"/>
        </w:rPr>
        <w:t xml:space="preserve">No dosage adjustment is recommended based on race. In the PopPK analysis of INVEGA TRINZA no influence of race on pharmacokinetics was shown. </w:t>
      </w:r>
    </w:p>
    <w:p w:rsidR="00D109CA" w:rsidRDefault="00D109CA" w:rsidP="00E314E4">
      <w:pPr>
        <w:pStyle w:val="BodyText12"/>
        <w:spacing w:after="80" w:line="240" w:lineRule="auto"/>
        <w:rPr>
          <w:rFonts w:ascii="Arial" w:hAnsi="Arial" w:cs="Arial"/>
          <w:b/>
          <w:color w:val="000000" w:themeColor="text1"/>
          <w:sz w:val="22"/>
          <w:szCs w:val="22"/>
        </w:rPr>
      </w:pPr>
    </w:p>
    <w:p w:rsidR="00E314E4" w:rsidRPr="003E13BF" w:rsidRDefault="00E314E4" w:rsidP="00E314E4">
      <w:pPr>
        <w:pStyle w:val="BodyText12"/>
        <w:spacing w:after="80" w:line="240" w:lineRule="auto"/>
        <w:rPr>
          <w:rFonts w:ascii="Arial" w:hAnsi="Arial" w:cs="Arial"/>
          <w:b/>
          <w:color w:val="000000" w:themeColor="text1"/>
          <w:sz w:val="22"/>
          <w:szCs w:val="22"/>
        </w:rPr>
      </w:pPr>
      <w:r w:rsidRPr="003E13BF">
        <w:rPr>
          <w:rFonts w:ascii="Arial" w:hAnsi="Arial" w:cs="Arial"/>
          <w:b/>
          <w:color w:val="000000" w:themeColor="text1"/>
          <w:sz w:val="22"/>
          <w:szCs w:val="22"/>
        </w:rPr>
        <w:t>Gender:</w:t>
      </w:r>
    </w:p>
    <w:p w:rsidR="003C4CB3" w:rsidRPr="005D174A" w:rsidRDefault="003C4CB3" w:rsidP="00E314E4">
      <w:pPr>
        <w:pStyle w:val="BodyText120"/>
        <w:spacing w:line="240" w:lineRule="auto"/>
        <w:rPr>
          <w:rFonts w:ascii="Arial" w:hAnsi="Arial" w:cs="Arial"/>
          <w:sz w:val="22"/>
          <w:szCs w:val="22"/>
        </w:rPr>
      </w:pPr>
      <w:r w:rsidRPr="005D174A">
        <w:rPr>
          <w:rFonts w:ascii="Arial" w:hAnsi="Arial" w:cs="Arial"/>
          <w:sz w:val="22"/>
          <w:szCs w:val="22"/>
        </w:rPr>
        <w:t>No dosage adjustment is recommended based on gender, although slower absorption was observed in females in a population pharmacokinetic analysis.</w:t>
      </w:r>
    </w:p>
    <w:p w:rsidR="00E314E4" w:rsidRPr="003E13BF" w:rsidRDefault="00E314E4" w:rsidP="00E314E4">
      <w:pPr>
        <w:pStyle w:val="BodyText12"/>
        <w:spacing w:after="80" w:line="240" w:lineRule="auto"/>
        <w:rPr>
          <w:rFonts w:ascii="Arial" w:hAnsi="Arial" w:cs="Arial"/>
          <w:b/>
          <w:color w:val="000000" w:themeColor="text1"/>
          <w:sz w:val="22"/>
          <w:szCs w:val="22"/>
        </w:rPr>
      </w:pPr>
      <w:r w:rsidRPr="003E13BF">
        <w:rPr>
          <w:rFonts w:ascii="Arial" w:hAnsi="Arial" w:cs="Arial"/>
          <w:b/>
          <w:color w:val="000000" w:themeColor="text1"/>
          <w:sz w:val="22"/>
          <w:szCs w:val="22"/>
        </w:rPr>
        <w:t>Smoking:</w:t>
      </w:r>
    </w:p>
    <w:p w:rsidR="00E314E4" w:rsidRPr="001F536F" w:rsidRDefault="007C73DD" w:rsidP="00E314E4">
      <w:pPr>
        <w:pStyle w:val="BodyText120"/>
        <w:spacing w:line="240" w:lineRule="auto"/>
        <w:rPr>
          <w:rFonts w:ascii="Arial" w:hAnsi="Arial" w:cs="Arial"/>
          <w:color w:val="000000" w:themeColor="text1"/>
          <w:sz w:val="22"/>
          <w:szCs w:val="22"/>
        </w:rPr>
      </w:pPr>
      <w:r w:rsidRPr="00554755">
        <w:rPr>
          <w:rFonts w:ascii="Arial" w:hAnsi="Arial" w:cs="Arial"/>
          <w:color w:val="000000"/>
          <w:sz w:val="22"/>
          <w:szCs w:val="22"/>
        </w:rPr>
        <w:t xml:space="preserve">No dosage adjustment is recommended based on smoking status. </w:t>
      </w:r>
      <w:r w:rsidR="00E314E4" w:rsidRPr="001F536F">
        <w:rPr>
          <w:rFonts w:ascii="Arial" w:hAnsi="Arial" w:cs="Arial"/>
          <w:color w:val="000000" w:themeColor="text1"/>
          <w:sz w:val="22"/>
          <w:szCs w:val="22"/>
        </w:rPr>
        <w:t xml:space="preserve">Based on </w:t>
      </w:r>
      <w:r w:rsidR="00E314E4" w:rsidRPr="001F536F">
        <w:rPr>
          <w:rFonts w:ascii="Arial" w:hAnsi="Arial" w:cs="Arial"/>
          <w:i/>
          <w:color w:val="000000" w:themeColor="text1"/>
          <w:sz w:val="22"/>
          <w:szCs w:val="22"/>
        </w:rPr>
        <w:t>in vitro</w:t>
      </w:r>
      <w:r w:rsidR="00E314E4" w:rsidRPr="001F536F">
        <w:rPr>
          <w:rFonts w:ascii="Arial" w:hAnsi="Arial" w:cs="Arial"/>
          <w:color w:val="000000" w:themeColor="text1"/>
          <w:sz w:val="22"/>
          <w:szCs w:val="22"/>
        </w:rPr>
        <w:t xml:space="preserve"> studies </w:t>
      </w:r>
      <w:proofErr w:type="spellStart"/>
      <w:r w:rsidR="00E314E4" w:rsidRPr="001F536F">
        <w:rPr>
          <w:rFonts w:ascii="Arial" w:hAnsi="Arial" w:cs="Arial"/>
          <w:color w:val="000000" w:themeColor="text1"/>
          <w:sz w:val="22"/>
          <w:szCs w:val="22"/>
        </w:rPr>
        <w:t>utili</w:t>
      </w:r>
      <w:r w:rsidR="0063797F">
        <w:rPr>
          <w:rFonts w:ascii="Arial" w:hAnsi="Arial" w:cs="Arial"/>
          <w:color w:val="000000" w:themeColor="text1"/>
          <w:sz w:val="22"/>
          <w:szCs w:val="22"/>
        </w:rPr>
        <w:t>s</w:t>
      </w:r>
      <w:r w:rsidR="00E314E4" w:rsidRPr="001F536F">
        <w:rPr>
          <w:rFonts w:ascii="Arial" w:hAnsi="Arial" w:cs="Arial"/>
          <w:color w:val="000000" w:themeColor="text1"/>
          <w:sz w:val="22"/>
          <w:szCs w:val="22"/>
        </w:rPr>
        <w:t>ing</w:t>
      </w:r>
      <w:proofErr w:type="spellEnd"/>
      <w:r w:rsidR="00E314E4" w:rsidRPr="001F536F">
        <w:rPr>
          <w:rFonts w:ascii="Arial" w:hAnsi="Arial" w:cs="Arial"/>
          <w:color w:val="000000" w:themeColor="text1"/>
          <w:sz w:val="22"/>
          <w:szCs w:val="22"/>
        </w:rPr>
        <w:t xml:space="preserve"> human liver enzymes, paliperidone is not a substrate for CYP1A2; smoking should, therefore, not have an effect on the pharmacokinetics of paliperidone. </w:t>
      </w:r>
    </w:p>
    <w:p w:rsidR="00E314E4" w:rsidRPr="003E13BF" w:rsidRDefault="00E314E4" w:rsidP="00E314E4">
      <w:pPr>
        <w:pStyle w:val="Heading4"/>
        <w:jc w:val="both"/>
        <w:rPr>
          <w:b/>
          <w:color w:val="000000" w:themeColor="text1"/>
          <w:u w:val="none"/>
        </w:rPr>
      </w:pPr>
      <w:r w:rsidRPr="003E13BF">
        <w:rPr>
          <w:b/>
          <w:color w:val="000000" w:themeColor="text1"/>
          <w:u w:val="none"/>
        </w:rPr>
        <w:t xml:space="preserve">Body Mass Index (BMI)/Body Weight </w:t>
      </w:r>
    </w:p>
    <w:p w:rsidR="00E314E4" w:rsidRDefault="00E314E4" w:rsidP="00E314E4">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 xml:space="preserve">No dose adjustment is needed based on BMI. Lower </w:t>
      </w:r>
      <w:proofErr w:type="spellStart"/>
      <w:r w:rsidRPr="001F536F">
        <w:rPr>
          <w:rFonts w:ascii="Arial" w:hAnsi="Arial" w:cs="Arial"/>
          <w:color w:val="000000" w:themeColor="text1"/>
          <w:sz w:val="22"/>
          <w:szCs w:val="22"/>
        </w:rPr>
        <w:t>C</w:t>
      </w:r>
      <w:r w:rsidRPr="001F536F">
        <w:rPr>
          <w:rFonts w:ascii="Arial" w:hAnsi="Arial" w:cs="Arial"/>
          <w:color w:val="000000" w:themeColor="text1"/>
          <w:sz w:val="22"/>
          <w:szCs w:val="22"/>
          <w:vertAlign w:val="subscript"/>
        </w:rPr>
        <w:t>max</w:t>
      </w:r>
      <w:proofErr w:type="spellEnd"/>
      <w:r w:rsidRPr="001F536F">
        <w:rPr>
          <w:rFonts w:ascii="Arial" w:hAnsi="Arial" w:cs="Arial"/>
          <w:color w:val="000000" w:themeColor="text1"/>
          <w:sz w:val="22"/>
          <w:szCs w:val="22"/>
        </w:rPr>
        <w:t xml:space="preserve"> was observed in overweight and obese subjects. At apparent steady-state with INVEGA TRINZA, the trough concentrations were similar among normal, </w:t>
      </w:r>
      <w:r>
        <w:rPr>
          <w:rFonts w:ascii="Arial" w:hAnsi="Arial" w:cs="Arial"/>
          <w:color w:val="000000" w:themeColor="text1"/>
          <w:sz w:val="22"/>
          <w:szCs w:val="22"/>
        </w:rPr>
        <w:t>overweight, and obese subjects.</w:t>
      </w:r>
    </w:p>
    <w:p w:rsidR="009921E8" w:rsidRPr="00E314E4" w:rsidRDefault="009921E8">
      <w:pPr>
        <w:pStyle w:val="PIHEADING2"/>
        <w:spacing w:before="0" w:after="0"/>
        <w:rPr>
          <w:color w:val="FF0000"/>
        </w:rPr>
      </w:pPr>
    </w:p>
    <w:p w:rsidR="00E314E4" w:rsidRPr="001F536F" w:rsidRDefault="00E314E4" w:rsidP="00E314E4">
      <w:pPr>
        <w:pStyle w:val="Heading2"/>
        <w:rPr>
          <w:color w:val="000000" w:themeColor="text1"/>
          <w:sz w:val="22"/>
          <w:szCs w:val="22"/>
        </w:rPr>
      </w:pPr>
      <w:r w:rsidRPr="0029776F">
        <w:rPr>
          <w:color w:val="000000" w:themeColor="text1"/>
          <w:sz w:val="28"/>
          <w:szCs w:val="28"/>
        </w:rPr>
        <w:t>CLINICAL TRIALS</w:t>
      </w:r>
    </w:p>
    <w:p w:rsidR="00E314E4" w:rsidRPr="0076522B" w:rsidRDefault="00E314E4" w:rsidP="00FD4EE8">
      <w:pPr>
        <w:pStyle w:val="BodyText120"/>
        <w:spacing w:line="240" w:lineRule="auto"/>
        <w:rPr>
          <w:rFonts w:ascii="Arial" w:hAnsi="Arial" w:cs="Arial"/>
          <w:sz w:val="22"/>
          <w:szCs w:val="22"/>
        </w:rPr>
      </w:pPr>
      <w:r w:rsidRPr="001F536F">
        <w:rPr>
          <w:rFonts w:ascii="Arial" w:hAnsi="Arial" w:cs="Arial"/>
          <w:color w:val="000000" w:themeColor="text1"/>
          <w:sz w:val="22"/>
          <w:szCs w:val="22"/>
        </w:rPr>
        <w:t>The efficacy of INVEGA TRINZA for the treatment of schizophrenia in subjects who have been adequately treated for at least 4 months with the 1-month paliperidone palmitate injectable product was evaluated in a long-term double-blind, placebo-controlled relapse prevention</w:t>
      </w:r>
      <w:r w:rsidRPr="0076522B">
        <w:rPr>
          <w:rFonts w:ascii="Arial" w:hAnsi="Arial" w:cs="Arial"/>
          <w:color w:val="000000" w:themeColor="text1"/>
          <w:sz w:val="22"/>
          <w:szCs w:val="22"/>
        </w:rPr>
        <w:t xml:space="preserve"> </w:t>
      </w:r>
      <w:r w:rsidR="0076522B" w:rsidRPr="0076522B">
        <w:rPr>
          <w:rFonts w:ascii="Arial" w:hAnsi="Arial" w:cs="Arial"/>
          <w:sz w:val="22"/>
          <w:szCs w:val="22"/>
        </w:rPr>
        <w:t>randomi</w:t>
      </w:r>
      <w:r w:rsidR="008C7B33">
        <w:rPr>
          <w:rFonts w:ascii="Arial" w:hAnsi="Arial" w:cs="Arial"/>
          <w:sz w:val="22"/>
          <w:szCs w:val="22"/>
        </w:rPr>
        <w:t>s</w:t>
      </w:r>
      <w:r w:rsidR="0076522B" w:rsidRPr="0076522B">
        <w:rPr>
          <w:rFonts w:ascii="Arial" w:hAnsi="Arial" w:cs="Arial"/>
          <w:sz w:val="22"/>
          <w:szCs w:val="22"/>
        </w:rPr>
        <w:t>ed withdrawal</w:t>
      </w:r>
      <w:r w:rsidR="0076522B" w:rsidRPr="0076522B">
        <w:rPr>
          <w:rFonts w:ascii="Arial" w:hAnsi="Arial" w:cs="Arial"/>
          <w:color w:val="000000" w:themeColor="text1"/>
          <w:sz w:val="22"/>
          <w:szCs w:val="22"/>
        </w:rPr>
        <w:t xml:space="preserve"> </w:t>
      </w:r>
      <w:r w:rsidRPr="0076522B">
        <w:rPr>
          <w:rFonts w:ascii="Arial" w:hAnsi="Arial" w:cs="Arial"/>
          <w:color w:val="000000" w:themeColor="text1"/>
          <w:sz w:val="22"/>
          <w:szCs w:val="22"/>
        </w:rPr>
        <w:t xml:space="preserve">study </w:t>
      </w:r>
      <w:r w:rsidR="0076522B" w:rsidRPr="0076522B">
        <w:rPr>
          <w:rFonts w:ascii="Arial" w:hAnsi="Arial" w:cs="Arial"/>
          <w:sz w:val="22"/>
          <w:szCs w:val="22"/>
        </w:rPr>
        <w:t xml:space="preserve">and in a long-term double-blind, active-controlled </w:t>
      </w:r>
      <w:proofErr w:type="spellStart"/>
      <w:r w:rsidR="0076522B" w:rsidRPr="0076522B">
        <w:rPr>
          <w:rFonts w:ascii="Arial" w:hAnsi="Arial" w:cs="Arial"/>
          <w:sz w:val="22"/>
          <w:szCs w:val="22"/>
        </w:rPr>
        <w:t>noninferiority</w:t>
      </w:r>
      <w:proofErr w:type="spellEnd"/>
      <w:r w:rsidR="0076522B" w:rsidRPr="0076522B">
        <w:rPr>
          <w:rFonts w:ascii="Arial" w:hAnsi="Arial" w:cs="Arial"/>
          <w:sz w:val="22"/>
          <w:szCs w:val="22"/>
        </w:rPr>
        <w:t xml:space="preserve"> study.</w:t>
      </w:r>
    </w:p>
    <w:p w:rsidR="007B69A9" w:rsidRPr="007B69A9" w:rsidRDefault="007B69A9" w:rsidP="007B69A9">
      <w:pPr>
        <w:pStyle w:val="Heading4"/>
        <w:rPr>
          <w:b/>
          <w:i/>
        </w:rPr>
      </w:pPr>
      <w:r w:rsidRPr="007B69A9">
        <w:rPr>
          <w:b/>
          <w:i/>
        </w:rPr>
        <w:t>Relapse prevention / randomi</w:t>
      </w:r>
      <w:r w:rsidR="0063797F">
        <w:rPr>
          <w:b/>
          <w:i/>
        </w:rPr>
        <w:t>s</w:t>
      </w:r>
      <w:r w:rsidRPr="007B69A9">
        <w:rPr>
          <w:b/>
          <w:i/>
        </w:rPr>
        <w:t>ed withdrawal study</w:t>
      </w:r>
    </w:p>
    <w:p w:rsidR="00E314E4" w:rsidRPr="001F536F" w:rsidRDefault="007B69A9" w:rsidP="00E314E4">
      <w:pPr>
        <w:pStyle w:val="BodyText120"/>
        <w:spacing w:line="240" w:lineRule="auto"/>
        <w:rPr>
          <w:rFonts w:ascii="Arial" w:hAnsi="Arial" w:cs="Arial"/>
          <w:color w:val="000000" w:themeColor="text1"/>
          <w:sz w:val="22"/>
          <w:szCs w:val="22"/>
        </w:rPr>
      </w:pPr>
      <w:r w:rsidRPr="007B69A9">
        <w:rPr>
          <w:rFonts w:ascii="Arial" w:hAnsi="Arial" w:cs="Arial"/>
          <w:sz w:val="22"/>
          <w:szCs w:val="22"/>
        </w:rPr>
        <w:t xml:space="preserve">Adult subjects who met DSM-IV-TR criteria for schizophrenia </w:t>
      </w:r>
      <w:r w:rsidR="00E314E4" w:rsidRPr="001F536F">
        <w:rPr>
          <w:rFonts w:ascii="Arial" w:hAnsi="Arial" w:cs="Arial"/>
          <w:color w:val="000000" w:themeColor="text1"/>
          <w:sz w:val="22"/>
          <w:szCs w:val="22"/>
        </w:rPr>
        <w:t xml:space="preserve">could enter the study with acute symptoms (if previously treated with oral antipsychotics) or be clinically stable (if treated with long-acting injectable antipsychotics [LAI]). All subjects who previously received oral antipsychotics received the paliperidone palmitate 1-month initiation regimen (deltoid injections of </w:t>
      </w:r>
      <w:r w:rsidR="0063797F">
        <w:rPr>
          <w:rFonts w:ascii="Arial" w:hAnsi="Arial" w:cs="Arial"/>
          <w:color w:val="000000" w:themeColor="text1"/>
          <w:sz w:val="22"/>
          <w:szCs w:val="22"/>
        </w:rPr>
        <w:t>150</w:t>
      </w:r>
      <w:r w:rsidR="0063797F" w:rsidRPr="001F536F">
        <w:rPr>
          <w:rFonts w:ascii="Arial" w:hAnsi="Arial" w:cs="Arial"/>
          <w:color w:val="000000" w:themeColor="text1"/>
          <w:sz w:val="22"/>
          <w:szCs w:val="22"/>
        </w:rPr>
        <w:t xml:space="preserve"> </w:t>
      </w:r>
      <w:r w:rsidR="00E314E4" w:rsidRPr="001F536F">
        <w:rPr>
          <w:rFonts w:ascii="Arial" w:hAnsi="Arial" w:cs="Arial"/>
          <w:color w:val="000000" w:themeColor="text1"/>
          <w:sz w:val="22"/>
          <w:szCs w:val="22"/>
        </w:rPr>
        <w:t xml:space="preserve">mg and </w:t>
      </w:r>
      <w:r w:rsidR="0063797F">
        <w:rPr>
          <w:rFonts w:ascii="Arial" w:hAnsi="Arial" w:cs="Arial"/>
          <w:color w:val="000000" w:themeColor="text1"/>
          <w:sz w:val="22"/>
          <w:szCs w:val="22"/>
        </w:rPr>
        <w:t>100</w:t>
      </w:r>
      <w:r w:rsidR="0063797F" w:rsidRPr="001F536F">
        <w:rPr>
          <w:rFonts w:ascii="Arial" w:hAnsi="Arial" w:cs="Arial"/>
          <w:color w:val="000000" w:themeColor="text1"/>
          <w:sz w:val="22"/>
          <w:szCs w:val="22"/>
        </w:rPr>
        <w:t xml:space="preserve"> </w:t>
      </w:r>
      <w:r w:rsidR="00E314E4" w:rsidRPr="001F536F">
        <w:rPr>
          <w:rFonts w:ascii="Arial" w:hAnsi="Arial" w:cs="Arial"/>
          <w:color w:val="000000" w:themeColor="text1"/>
          <w:sz w:val="22"/>
          <w:szCs w:val="22"/>
        </w:rPr>
        <w:t>mg one wee</w:t>
      </w:r>
      <w:r w:rsidR="00E314E4">
        <w:rPr>
          <w:rFonts w:ascii="Arial" w:hAnsi="Arial" w:cs="Arial"/>
          <w:color w:val="000000" w:themeColor="text1"/>
          <w:sz w:val="22"/>
          <w:szCs w:val="22"/>
        </w:rPr>
        <w:t xml:space="preserve">k apart), </w:t>
      </w:r>
      <w:r w:rsidR="00E314E4" w:rsidRPr="001F536F">
        <w:rPr>
          <w:rFonts w:ascii="Arial" w:hAnsi="Arial" w:cs="Arial"/>
          <w:color w:val="000000" w:themeColor="text1"/>
          <w:sz w:val="22"/>
          <w:szCs w:val="22"/>
        </w:rPr>
        <w:t xml:space="preserve">while those subjects switching from LAI medication were treated with the 1-month paliperidone palmitate injectable product in place of the next scheduled injection. Specifically: </w:t>
      </w:r>
    </w:p>
    <w:p w:rsidR="006861C2" w:rsidRPr="001F536F" w:rsidRDefault="00E314E4" w:rsidP="006861C2">
      <w:pPr>
        <w:pStyle w:val="BodyText120"/>
        <w:numPr>
          <w:ilvl w:val="0"/>
          <w:numId w:val="18"/>
        </w:numPr>
        <w:spacing w:after="200" w:line="240" w:lineRule="auto"/>
        <w:ind w:left="360"/>
        <w:rPr>
          <w:rFonts w:ascii="Arial" w:hAnsi="Arial" w:cs="Arial"/>
          <w:color w:val="000000" w:themeColor="text1"/>
          <w:sz w:val="22"/>
          <w:szCs w:val="22"/>
        </w:rPr>
      </w:pPr>
      <w:r w:rsidRPr="003C4CB3">
        <w:rPr>
          <w:rFonts w:ascii="Arial" w:hAnsi="Arial" w:cs="Arial"/>
          <w:color w:val="000000" w:themeColor="text1"/>
          <w:sz w:val="22"/>
          <w:szCs w:val="22"/>
        </w:rPr>
        <w:t xml:space="preserve">For subjects entering the study who were already being treated with the 1-month paliperidone palmitate injectable product, their dosing remained unchanged. </w:t>
      </w:r>
    </w:p>
    <w:p w:rsidR="00E314E4" w:rsidRPr="000737E7" w:rsidRDefault="00E314E4" w:rsidP="003C4CB3">
      <w:pPr>
        <w:pStyle w:val="BodyText120"/>
        <w:numPr>
          <w:ilvl w:val="0"/>
          <w:numId w:val="18"/>
        </w:numPr>
        <w:spacing w:after="200" w:line="240" w:lineRule="auto"/>
        <w:ind w:left="360"/>
        <w:rPr>
          <w:rFonts w:ascii="Arial" w:hAnsi="Arial" w:cs="Arial"/>
          <w:color w:val="000000" w:themeColor="text1"/>
          <w:sz w:val="22"/>
          <w:szCs w:val="22"/>
        </w:rPr>
      </w:pPr>
      <w:r w:rsidRPr="003C4CB3">
        <w:rPr>
          <w:rFonts w:ascii="Arial" w:hAnsi="Arial" w:cs="Arial"/>
          <w:color w:val="000000" w:themeColor="text1"/>
          <w:sz w:val="22"/>
          <w:szCs w:val="22"/>
        </w:rPr>
        <w:t>Subjects entering the study who were being treated with 25 mg, 37.5 mg, or 50 mg of RISPERDAL CONSTA</w:t>
      </w:r>
      <w:r w:rsidRPr="003C4CB3">
        <w:rPr>
          <w:rFonts w:ascii="Arial" w:hAnsi="Arial" w:cs="Arial"/>
          <w:color w:val="000000" w:themeColor="text1"/>
          <w:sz w:val="22"/>
          <w:szCs w:val="22"/>
          <w:vertAlign w:val="superscript"/>
        </w:rPr>
        <w:t>®</w:t>
      </w:r>
      <w:r w:rsidRPr="003C4CB3">
        <w:rPr>
          <w:rFonts w:ascii="Arial" w:hAnsi="Arial" w:cs="Arial"/>
          <w:color w:val="000000" w:themeColor="text1"/>
          <w:sz w:val="22"/>
          <w:szCs w:val="22"/>
        </w:rPr>
        <w:t xml:space="preserve"> (risperidone long-acting injection) were switched to</w:t>
      </w:r>
      <w:r w:rsidRPr="00554755">
        <w:rPr>
          <w:rFonts w:ascii="Arial" w:hAnsi="Arial" w:cs="Arial"/>
          <w:color w:val="000000" w:themeColor="text1"/>
          <w:sz w:val="22"/>
          <w:szCs w:val="22"/>
        </w:rPr>
        <w:t xml:space="preserve"> </w:t>
      </w:r>
      <w:r w:rsidR="00FC493D">
        <w:rPr>
          <w:rFonts w:ascii="Arial" w:hAnsi="Arial" w:cs="Arial"/>
          <w:color w:val="000000"/>
          <w:sz w:val="22"/>
          <w:szCs w:val="22"/>
        </w:rPr>
        <w:t>50-100mg</w:t>
      </w:r>
      <w:r w:rsidR="006861C2" w:rsidRPr="006861C2">
        <w:rPr>
          <w:rFonts w:ascii="Arial" w:hAnsi="Arial" w:cs="Arial"/>
          <w:color w:val="000000" w:themeColor="text1"/>
          <w:sz w:val="22"/>
          <w:szCs w:val="22"/>
        </w:rPr>
        <w:t xml:space="preserve"> </w:t>
      </w:r>
      <w:r w:rsidRPr="000737E7">
        <w:rPr>
          <w:rFonts w:ascii="Arial" w:hAnsi="Arial" w:cs="Arial"/>
          <w:color w:val="000000" w:themeColor="text1"/>
          <w:sz w:val="22"/>
          <w:szCs w:val="22"/>
        </w:rPr>
        <w:t xml:space="preserve">of the 1-month paliperidone palmitate administered in the deltoid muscle. </w:t>
      </w:r>
    </w:p>
    <w:p w:rsidR="00E314E4" w:rsidRPr="001F536F" w:rsidRDefault="00E314E4" w:rsidP="00E314E4">
      <w:pPr>
        <w:pStyle w:val="BodyText120"/>
        <w:numPr>
          <w:ilvl w:val="0"/>
          <w:numId w:val="18"/>
        </w:numPr>
        <w:spacing w:after="200"/>
        <w:ind w:left="360"/>
        <w:rPr>
          <w:rFonts w:ascii="Arial" w:hAnsi="Arial" w:cs="Arial"/>
          <w:color w:val="000000" w:themeColor="text1"/>
          <w:sz w:val="22"/>
          <w:szCs w:val="22"/>
        </w:rPr>
      </w:pPr>
      <w:r w:rsidRPr="001F536F">
        <w:rPr>
          <w:rFonts w:ascii="Arial" w:hAnsi="Arial" w:cs="Arial"/>
          <w:color w:val="000000" w:themeColor="text1"/>
          <w:sz w:val="22"/>
          <w:szCs w:val="22"/>
        </w:rPr>
        <w:lastRenderedPageBreak/>
        <w:t xml:space="preserve">Subjects entering the study who were being treated with any other LAI product were switched to </w:t>
      </w:r>
      <w:r w:rsidR="006861C2">
        <w:rPr>
          <w:rFonts w:ascii="Arial" w:hAnsi="Arial" w:cs="Arial"/>
          <w:color w:val="000000" w:themeColor="text1"/>
          <w:sz w:val="22"/>
          <w:szCs w:val="22"/>
        </w:rPr>
        <w:t xml:space="preserve"> </w:t>
      </w:r>
      <w:r w:rsidR="00FC493D">
        <w:rPr>
          <w:rFonts w:ascii="Arial" w:hAnsi="Arial" w:cs="Arial"/>
          <w:color w:val="000000"/>
          <w:sz w:val="22"/>
          <w:szCs w:val="22"/>
        </w:rPr>
        <w:t>150mg</w:t>
      </w:r>
      <w:r w:rsidR="006861C2" w:rsidRPr="00554755">
        <w:rPr>
          <w:rFonts w:ascii="Arial" w:hAnsi="Arial" w:cs="Arial"/>
          <w:color w:val="000000"/>
          <w:sz w:val="22"/>
          <w:szCs w:val="22"/>
        </w:rPr>
        <w:t xml:space="preserve"> initially then 50-150mg </w:t>
      </w:r>
      <w:r w:rsidR="002342A0" w:rsidRPr="00554755">
        <w:rPr>
          <w:rFonts w:ascii="Arial" w:hAnsi="Arial" w:cs="Arial"/>
          <w:color w:val="000000"/>
          <w:sz w:val="22"/>
          <w:szCs w:val="22"/>
        </w:rPr>
        <w:t xml:space="preserve"> </w:t>
      </w:r>
      <w:r w:rsidRPr="001F536F">
        <w:rPr>
          <w:rFonts w:ascii="Arial" w:hAnsi="Arial" w:cs="Arial"/>
          <w:color w:val="000000" w:themeColor="text1"/>
          <w:sz w:val="22"/>
          <w:szCs w:val="22"/>
        </w:rPr>
        <w:t>of the 1-month paliperidone palmitate administered in the deltoid muscle.</w:t>
      </w:r>
    </w:p>
    <w:p w:rsidR="00E314E4" w:rsidRPr="001F536F" w:rsidRDefault="00E314E4" w:rsidP="00E314E4">
      <w:pPr>
        <w:pStyle w:val="BodyText120"/>
        <w:rPr>
          <w:rFonts w:ascii="Arial" w:hAnsi="Arial" w:cs="Arial"/>
          <w:color w:val="000000" w:themeColor="text1"/>
          <w:sz w:val="22"/>
          <w:szCs w:val="22"/>
        </w:rPr>
      </w:pPr>
      <w:r w:rsidRPr="001F536F">
        <w:rPr>
          <w:rFonts w:ascii="Arial" w:hAnsi="Arial" w:cs="Arial"/>
          <w:color w:val="000000" w:themeColor="text1"/>
          <w:sz w:val="22"/>
          <w:szCs w:val="22"/>
        </w:rPr>
        <w:t>This study consisted of the following three treatment periods:</w:t>
      </w:r>
    </w:p>
    <w:p w:rsidR="00E314E4" w:rsidRPr="001F536F" w:rsidRDefault="00E314E4" w:rsidP="00E314E4">
      <w:pPr>
        <w:pStyle w:val="BodyText120"/>
        <w:numPr>
          <w:ilvl w:val="0"/>
          <w:numId w:val="19"/>
        </w:numPr>
        <w:spacing w:after="200" w:line="240" w:lineRule="auto"/>
        <w:ind w:left="360"/>
        <w:rPr>
          <w:rFonts w:ascii="Arial" w:hAnsi="Arial" w:cs="Arial"/>
          <w:color w:val="000000" w:themeColor="text1"/>
          <w:sz w:val="22"/>
          <w:szCs w:val="22"/>
        </w:rPr>
      </w:pPr>
      <w:r w:rsidRPr="001F536F">
        <w:rPr>
          <w:rFonts w:ascii="Arial" w:hAnsi="Arial" w:cs="Arial"/>
          <w:color w:val="000000" w:themeColor="text1"/>
          <w:sz w:val="22"/>
          <w:szCs w:val="22"/>
        </w:rPr>
        <w:t xml:space="preserve">A 17-week flexible-dose open-label period with the 1-month paliperidone palmitate (first part of a 29-week open-label </w:t>
      </w:r>
      <w:proofErr w:type="spellStart"/>
      <w:r w:rsidRPr="001F536F">
        <w:rPr>
          <w:rFonts w:ascii="Arial" w:hAnsi="Arial" w:cs="Arial"/>
          <w:color w:val="000000" w:themeColor="text1"/>
          <w:sz w:val="22"/>
          <w:szCs w:val="22"/>
        </w:rPr>
        <w:t>stabili</w:t>
      </w:r>
      <w:r w:rsidR="0063797F">
        <w:rPr>
          <w:rFonts w:ascii="Arial" w:hAnsi="Arial" w:cs="Arial"/>
          <w:color w:val="000000" w:themeColor="text1"/>
          <w:sz w:val="22"/>
          <w:szCs w:val="22"/>
        </w:rPr>
        <w:t>s</w:t>
      </w:r>
      <w:r w:rsidRPr="001F536F">
        <w:rPr>
          <w:rFonts w:ascii="Arial" w:hAnsi="Arial" w:cs="Arial"/>
          <w:color w:val="000000" w:themeColor="text1"/>
          <w:sz w:val="22"/>
          <w:szCs w:val="22"/>
        </w:rPr>
        <w:t>ation</w:t>
      </w:r>
      <w:proofErr w:type="spellEnd"/>
      <w:r w:rsidRPr="001F536F">
        <w:rPr>
          <w:rFonts w:ascii="Arial" w:hAnsi="Arial" w:cs="Arial"/>
          <w:color w:val="000000" w:themeColor="text1"/>
          <w:sz w:val="22"/>
          <w:szCs w:val="22"/>
        </w:rPr>
        <w:t xml:space="preserve"> phase). A total of 506 subjects entered this phase of the study. Dosing of the 1-month </w:t>
      </w:r>
      <w:proofErr w:type="spellStart"/>
      <w:r w:rsidRPr="001F536F">
        <w:rPr>
          <w:rFonts w:ascii="Arial" w:hAnsi="Arial" w:cs="Arial"/>
          <w:color w:val="000000" w:themeColor="text1"/>
          <w:sz w:val="22"/>
          <w:szCs w:val="22"/>
        </w:rPr>
        <w:t>paliperidone</w:t>
      </w:r>
      <w:proofErr w:type="spellEnd"/>
      <w:r w:rsidRPr="001F536F">
        <w:rPr>
          <w:rFonts w:ascii="Arial" w:hAnsi="Arial" w:cs="Arial"/>
          <w:color w:val="000000" w:themeColor="text1"/>
          <w:sz w:val="22"/>
          <w:szCs w:val="22"/>
        </w:rPr>
        <w:t xml:space="preserve"> palmitate was </w:t>
      </w:r>
      <w:proofErr w:type="spellStart"/>
      <w:r w:rsidRPr="001F536F">
        <w:rPr>
          <w:rFonts w:ascii="Arial" w:hAnsi="Arial" w:cs="Arial"/>
          <w:color w:val="000000" w:themeColor="text1"/>
          <w:sz w:val="22"/>
          <w:szCs w:val="22"/>
        </w:rPr>
        <w:t>individuali</w:t>
      </w:r>
      <w:r w:rsidR="0063797F">
        <w:rPr>
          <w:rFonts w:ascii="Arial" w:hAnsi="Arial" w:cs="Arial"/>
          <w:color w:val="000000" w:themeColor="text1"/>
          <w:sz w:val="22"/>
          <w:szCs w:val="22"/>
        </w:rPr>
        <w:t>s</w:t>
      </w:r>
      <w:r w:rsidRPr="001F536F">
        <w:rPr>
          <w:rFonts w:ascii="Arial" w:hAnsi="Arial" w:cs="Arial"/>
          <w:color w:val="000000" w:themeColor="text1"/>
          <w:sz w:val="22"/>
          <w:szCs w:val="22"/>
        </w:rPr>
        <w:t>ed</w:t>
      </w:r>
      <w:proofErr w:type="spellEnd"/>
      <w:r w:rsidRPr="001F536F">
        <w:rPr>
          <w:rFonts w:ascii="Arial" w:hAnsi="Arial" w:cs="Arial"/>
          <w:color w:val="000000" w:themeColor="text1"/>
          <w:sz w:val="22"/>
          <w:szCs w:val="22"/>
        </w:rPr>
        <w:t xml:space="preserve"> based on symptom response, tolerability, and previous medication history. Specifically, the dose could be adjusted at the week 5 and 9 injections and the injection site could be deltoid or gluteal. The week 13 dose had to be the same as the week 9 </w:t>
      </w:r>
      <w:proofErr w:type="gramStart"/>
      <w:r w:rsidRPr="001F536F">
        <w:rPr>
          <w:rFonts w:ascii="Arial" w:hAnsi="Arial" w:cs="Arial"/>
          <w:color w:val="000000" w:themeColor="text1"/>
          <w:sz w:val="22"/>
          <w:szCs w:val="22"/>
        </w:rPr>
        <w:t>dose</w:t>
      </w:r>
      <w:proofErr w:type="gramEnd"/>
      <w:r w:rsidRPr="001F536F">
        <w:rPr>
          <w:rFonts w:ascii="Arial" w:hAnsi="Arial" w:cs="Arial"/>
          <w:color w:val="000000" w:themeColor="text1"/>
          <w:sz w:val="22"/>
          <w:szCs w:val="22"/>
        </w:rPr>
        <w:t>. Subjects had to be clinically stable at the end of this period before receiving INVEGA TRINZA at the week 17 visit. Clinical stability was defined as achieving a PANSS total score &lt;70 at week 17.</w:t>
      </w:r>
    </w:p>
    <w:p w:rsidR="00E314E4" w:rsidRPr="001F536F" w:rsidRDefault="00E314E4" w:rsidP="00E314E4">
      <w:pPr>
        <w:pStyle w:val="BodyText120"/>
        <w:numPr>
          <w:ilvl w:val="0"/>
          <w:numId w:val="19"/>
        </w:numPr>
        <w:spacing w:after="200" w:line="240" w:lineRule="auto"/>
        <w:ind w:left="360"/>
        <w:rPr>
          <w:rFonts w:ascii="Arial" w:hAnsi="Arial" w:cs="Arial"/>
          <w:color w:val="000000" w:themeColor="text1"/>
          <w:sz w:val="22"/>
          <w:szCs w:val="22"/>
        </w:rPr>
      </w:pPr>
      <w:r w:rsidRPr="001F536F">
        <w:rPr>
          <w:rFonts w:ascii="Arial" w:hAnsi="Arial" w:cs="Arial"/>
          <w:color w:val="000000" w:themeColor="text1"/>
          <w:sz w:val="22"/>
          <w:szCs w:val="22"/>
        </w:rPr>
        <w:t xml:space="preserve">A 12-week open-label treatment period with INVEGA TRINZA (second part of a 29-week open-label </w:t>
      </w:r>
      <w:proofErr w:type="spellStart"/>
      <w:r w:rsidRPr="001F536F">
        <w:rPr>
          <w:rFonts w:ascii="Arial" w:hAnsi="Arial" w:cs="Arial"/>
          <w:color w:val="000000" w:themeColor="text1"/>
          <w:sz w:val="22"/>
          <w:szCs w:val="22"/>
        </w:rPr>
        <w:t>stabili</w:t>
      </w:r>
      <w:r w:rsidR="0063797F">
        <w:rPr>
          <w:rFonts w:ascii="Arial" w:hAnsi="Arial" w:cs="Arial"/>
          <w:color w:val="000000" w:themeColor="text1"/>
          <w:sz w:val="22"/>
          <w:szCs w:val="22"/>
        </w:rPr>
        <w:t>s</w:t>
      </w:r>
      <w:r w:rsidRPr="001F536F">
        <w:rPr>
          <w:rFonts w:ascii="Arial" w:hAnsi="Arial" w:cs="Arial"/>
          <w:color w:val="000000" w:themeColor="text1"/>
          <w:sz w:val="22"/>
          <w:szCs w:val="22"/>
        </w:rPr>
        <w:t>ation</w:t>
      </w:r>
      <w:proofErr w:type="spellEnd"/>
      <w:r w:rsidRPr="001F536F">
        <w:rPr>
          <w:rFonts w:ascii="Arial" w:hAnsi="Arial" w:cs="Arial"/>
          <w:color w:val="000000" w:themeColor="text1"/>
          <w:sz w:val="22"/>
          <w:szCs w:val="22"/>
        </w:rPr>
        <w:t xml:space="preserve"> phase).  A total of 379 subjects received a single-dose of INVEGA TRINZA which was a 3.5 multiple of the last dose of the 1-month paliperidone palmitate. Subjects had to remain clinically stable before entry into the next period (double-blind). Clinical stability was defined as achieving a PANSS total score &lt;70 and scores of &lt;=4 for PANSS items P1, P2, P3, P6, P7, G8, and G14 at the end of this 12-week period (week 29 of the study).</w:t>
      </w:r>
    </w:p>
    <w:p w:rsidR="00E314E4" w:rsidRPr="001F536F" w:rsidRDefault="00E314E4" w:rsidP="00E314E4">
      <w:pPr>
        <w:pStyle w:val="BodyText120"/>
        <w:numPr>
          <w:ilvl w:val="0"/>
          <w:numId w:val="19"/>
        </w:numPr>
        <w:spacing w:after="200" w:line="240" w:lineRule="auto"/>
        <w:ind w:left="360"/>
        <w:rPr>
          <w:rFonts w:ascii="Arial" w:hAnsi="Arial" w:cs="Arial"/>
          <w:color w:val="000000" w:themeColor="text1"/>
          <w:sz w:val="22"/>
          <w:szCs w:val="22"/>
        </w:rPr>
      </w:pPr>
      <w:r w:rsidRPr="001F536F">
        <w:rPr>
          <w:rFonts w:ascii="Arial" w:hAnsi="Arial" w:cs="Arial"/>
          <w:color w:val="000000" w:themeColor="text1"/>
          <w:sz w:val="22"/>
          <w:szCs w:val="22"/>
        </w:rPr>
        <w:t>A variable length double-blind treatment period. In this period, 305 stabili</w:t>
      </w:r>
      <w:r w:rsidR="0063797F">
        <w:rPr>
          <w:rFonts w:ascii="Arial" w:hAnsi="Arial" w:cs="Arial"/>
          <w:color w:val="000000" w:themeColor="text1"/>
          <w:sz w:val="22"/>
          <w:szCs w:val="22"/>
        </w:rPr>
        <w:t>s</w:t>
      </w:r>
      <w:r w:rsidRPr="001F536F">
        <w:rPr>
          <w:rFonts w:ascii="Arial" w:hAnsi="Arial" w:cs="Arial"/>
          <w:color w:val="000000" w:themeColor="text1"/>
          <w:sz w:val="22"/>
          <w:szCs w:val="22"/>
        </w:rPr>
        <w:t>ed subjects were randomi</w:t>
      </w:r>
      <w:r w:rsidR="0063797F">
        <w:rPr>
          <w:rFonts w:ascii="Arial" w:hAnsi="Arial" w:cs="Arial"/>
          <w:color w:val="000000" w:themeColor="text1"/>
          <w:sz w:val="22"/>
          <w:szCs w:val="22"/>
        </w:rPr>
        <w:t>s</w:t>
      </w:r>
      <w:r w:rsidRPr="001F536F">
        <w:rPr>
          <w:rFonts w:ascii="Arial" w:hAnsi="Arial" w:cs="Arial"/>
          <w:color w:val="000000" w:themeColor="text1"/>
          <w:sz w:val="22"/>
          <w:szCs w:val="22"/>
        </w:rPr>
        <w:t>ed 1:1 to continue treatment with INVEGA TRINZA or placebo until relapse, early withdrawal, or the end of study. Subjects were randomi</w:t>
      </w:r>
      <w:r w:rsidR="0063797F">
        <w:rPr>
          <w:rFonts w:ascii="Arial" w:hAnsi="Arial" w:cs="Arial"/>
          <w:color w:val="000000" w:themeColor="text1"/>
          <w:sz w:val="22"/>
          <w:szCs w:val="22"/>
        </w:rPr>
        <w:t>s</w:t>
      </w:r>
      <w:r w:rsidRPr="001F536F">
        <w:rPr>
          <w:rFonts w:ascii="Arial" w:hAnsi="Arial" w:cs="Arial"/>
          <w:color w:val="000000" w:themeColor="text1"/>
          <w:sz w:val="22"/>
          <w:szCs w:val="22"/>
        </w:rPr>
        <w:t>ed to the same dose of INVEGA TRINZA they received during the open-label phase (i.e., 273 mg, 410 mg, 546 mg, or 819 mg</w:t>
      </w:r>
      <w:r w:rsidR="00DC4C23">
        <w:rPr>
          <w:rFonts w:ascii="Arial" w:hAnsi="Arial" w:cs="Arial"/>
          <w:color w:val="000000" w:themeColor="text1"/>
          <w:sz w:val="22"/>
          <w:szCs w:val="22"/>
        </w:rPr>
        <w:t xml:space="preserve"> </w:t>
      </w:r>
      <w:r w:rsidR="00DC4C23" w:rsidRPr="00554755">
        <w:rPr>
          <w:rFonts w:ascii="Arial" w:hAnsi="Arial" w:cs="Arial"/>
          <w:color w:val="000000"/>
          <w:sz w:val="22"/>
          <w:szCs w:val="22"/>
        </w:rPr>
        <w:t>[</w:t>
      </w:r>
      <w:r w:rsidR="00FC493D">
        <w:rPr>
          <w:rFonts w:ascii="Arial" w:hAnsi="Arial" w:cs="Arial"/>
          <w:color w:val="000000"/>
          <w:sz w:val="22"/>
          <w:szCs w:val="22"/>
        </w:rPr>
        <w:t>175, 263, 350 or 525mg</w:t>
      </w:r>
      <w:r w:rsidR="00DC4C23" w:rsidRPr="00554755">
        <w:rPr>
          <w:rFonts w:ascii="Arial" w:hAnsi="Arial" w:cs="Arial"/>
          <w:color w:val="000000"/>
          <w:sz w:val="22"/>
          <w:szCs w:val="22"/>
        </w:rPr>
        <w:t>]</w:t>
      </w:r>
      <w:r w:rsidRPr="00554755">
        <w:rPr>
          <w:rFonts w:ascii="Arial" w:hAnsi="Arial" w:cs="Arial"/>
          <w:color w:val="000000" w:themeColor="text1"/>
          <w:sz w:val="22"/>
          <w:szCs w:val="22"/>
        </w:rPr>
        <w:t xml:space="preserve">) </w:t>
      </w:r>
      <w:r w:rsidRPr="001F536F">
        <w:rPr>
          <w:rFonts w:ascii="Arial" w:hAnsi="Arial" w:cs="Arial"/>
          <w:color w:val="000000" w:themeColor="text1"/>
          <w:sz w:val="22"/>
          <w:szCs w:val="22"/>
        </w:rPr>
        <w:t xml:space="preserve">or to placebo administered every 12 weeks. The numbers (%) of subjects entering double-blind on each of the dose levels were 6 (4%) for 175 mg, 15 (9%) for 263 mg, 78 (49%) for 350 mg, and 61 (38%) for 525 mg. </w:t>
      </w:r>
    </w:p>
    <w:p w:rsidR="00E314E4" w:rsidRPr="001F536F" w:rsidRDefault="00E314E4" w:rsidP="00E314E4">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 xml:space="preserve">The primary efficacy variable was time to first relapse. Relapse was pre-defined as emergence of one or more of the following: psychiatric </w:t>
      </w:r>
      <w:proofErr w:type="spellStart"/>
      <w:r w:rsidRPr="001F536F">
        <w:rPr>
          <w:rFonts w:ascii="Arial" w:hAnsi="Arial" w:cs="Arial"/>
          <w:color w:val="000000" w:themeColor="text1"/>
          <w:sz w:val="22"/>
          <w:szCs w:val="22"/>
        </w:rPr>
        <w:t>hospitali</w:t>
      </w:r>
      <w:r w:rsidR="0063797F">
        <w:rPr>
          <w:rFonts w:ascii="Arial" w:hAnsi="Arial" w:cs="Arial"/>
          <w:color w:val="000000" w:themeColor="text1"/>
          <w:sz w:val="22"/>
          <w:szCs w:val="22"/>
        </w:rPr>
        <w:t>s</w:t>
      </w:r>
      <w:r w:rsidRPr="001F536F">
        <w:rPr>
          <w:rFonts w:ascii="Arial" w:hAnsi="Arial" w:cs="Arial"/>
          <w:color w:val="000000" w:themeColor="text1"/>
          <w:sz w:val="22"/>
          <w:szCs w:val="22"/>
        </w:rPr>
        <w:t>ation</w:t>
      </w:r>
      <w:proofErr w:type="spellEnd"/>
      <w:r w:rsidRPr="001F536F">
        <w:rPr>
          <w:rFonts w:ascii="Arial" w:hAnsi="Arial" w:cs="Arial"/>
          <w:color w:val="000000" w:themeColor="text1"/>
          <w:sz w:val="22"/>
          <w:szCs w:val="22"/>
        </w:rPr>
        <w:t xml:space="preserve">, ≥ 25% increase (if the baseline score was &gt; 40) or a 10-point increase (if the baseline score was ≤ 40) in total PANSS score on two consecutive assessments, deliberate self-injury, violent behavior, suicidal/homicidal ideation, or a score of ≥ 5 (if the maximum baseline score was ≤ 3) or ≥ 6 (if the maximum baseline score was 4) on two consecutive assessments of the individual PANSS items P1 (Delusions), P2 (Conceptual disorganization), P3 (Hallucinatory behavior), P6 (Suspiciousness/persecution), P7 (Hostility), or G8 (Uncooperativeness). </w:t>
      </w:r>
    </w:p>
    <w:p w:rsidR="00E314E4" w:rsidRPr="001F536F" w:rsidRDefault="00E314E4" w:rsidP="00E314E4">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t>A pre-planned interim analysis showed a statistically significantly</w:t>
      </w:r>
      <w:r w:rsidRPr="002342A0">
        <w:rPr>
          <w:rFonts w:ascii="Arial" w:hAnsi="Arial" w:cs="Arial"/>
          <w:color w:val="000000" w:themeColor="text1"/>
          <w:sz w:val="22"/>
          <w:szCs w:val="22"/>
        </w:rPr>
        <w:t xml:space="preserve"> </w:t>
      </w:r>
      <w:r w:rsidR="00DC4C23" w:rsidRPr="002342A0">
        <w:rPr>
          <w:rFonts w:ascii="Arial" w:hAnsi="Arial" w:cs="Arial"/>
          <w:color w:val="000000"/>
          <w:sz w:val="22"/>
          <w:szCs w:val="22"/>
        </w:rPr>
        <w:t>(p-value &lt;0.001)</w:t>
      </w:r>
      <w:r w:rsidR="002342A0" w:rsidRPr="002342A0">
        <w:rPr>
          <w:rFonts w:ascii="Arial" w:hAnsi="Arial" w:cs="Arial"/>
          <w:color w:val="000000"/>
          <w:sz w:val="22"/>
          <w:szCs w:val="22"/>
        </w:rPr>
        <w:t xml:space="preserve"> </w:t>
      </w:r>
      <w:r w:rsidRPr="002342A0">
        <w:rPr>
          <w:rFonts w:ascii="Arial" w:hAnsi="Arial" w:cs="Arial"/>
          <w:color w:val="000000" w:themeColor="text1"/>
          <w:sz w:val="22"/>
          <w:szCs w:val="22"/>
        </w:rPr>
        <w:t xml:space="preserve">longer time to relapse in subjects treated with INVEGA TRINZA compared to placebo, and the study was stopped early. </w:t>
      </w:r>
      <w:r w:rsidR="002342A0" w:rsidRPr="002342A0">
        <w:rPr>
          <w:rFonts w:ascii="Arial" w:hAnsi="Arial" w:cs="Arial"/>
          <w:color w:val="000000"/>
          <w:sz w:val="22"/>
          <w:szCs w:val="22"/>
        </w:rPr>
        <w:t>The hazard ratio for relapse (placebo/I</w:t>
      </w:r>
      <w:r w:rsidR="0025140E" w:rsidRPr="002342A0">
        <w:rPr>
          <w:rFonts w:ascii="Arial" w:hAnsi="Arial" w:cs="Arial"/>
          <w:color w:val="000000"/>
          <w:sz w:val="22"/>
          <w:szCs w:val="22"/>
        </w:rPr>
        <w:t>NVEGA TRINZA</w:t>
      </w:r>
      <w:r w:rsidR="002342A0" w:rsidRPr="002342A0">
        <w:rPr>
          <w:rFonts w:ascii="Arial" w:hAnsi="Arial" w:cs="Arial"/>
          <w:color w:val="000000"/>
          <w:sz w:val="22"/>
          <w:szCs w:val="22"/>
        </w:rPr>
        <w:t xml:space="preserve">) was 3.45 (95% CI: 1.73, 6.88) indicating a 71% decrease in relapse risk with </w:t>
      </w:r>
      <w:r w:rsidR="0025140E" w:rsidRPr="002342A0">
        <w:rPr>
          <w:rFonts w:ascii="Arial" w:hAnsi="Arial" w:cs="Arial"/>
          <w:color w:val="000000"/>
          <w:sz w:val="22"/>
          <w:szCs w:val="22"/>
        </w:rPr>
        <w:t>INVEGA TRINZA</w:t>
      </w:r>
      <w:r w:rsidR="002342A0" w:rsidRPr="002342A0">
        <w:rPr>
          <w:rFonts w:ascii="Arial" w:hAnsi="Arial" w:cs="Arial"/>
          <w:color w:val="000000"/>
          <w:sz w:val="22"/>
          <w:szCs w:val="22"/>
        </w:rPr>
        <w:t>.</w:t>
      </w:r>
      <w:r w:rsidR="00070C86">
        <w:rPr>
          <w:color w:val="000000"/>
          <w:sz w:val="22"/>
          <w:szCs w:val="22"/>
        </w:rPr>
        <w:t xml:space="preserve"> </w:t>
      </w:r>
      <w:r w:rsidRPr="001F536F">
        <w:rPr>
          <w:rFonts w:ascii="Arial" w:hAnsi="Arial" w:cs="Arial"/>
          <w:color w:val="000000" w:themeColor="text1"/>
          <w:sz w:val="22"/>
          <w:szCs w:val="22"/>
        </w:rPr>
        <w:t xml:space="preserve">The most common reason for relapse observed across both treatment groups was increase in the PANSS total score value, followed by psychiatric </w:t>
      </w:r>
      <w:proofErr w:type="spellStart"/>
      <w:r w:rsidRPr="001F536F">
        <w:rPr>
          <w:rFonts w:ascii="Arial" w:hAnsi="Arial" w:cs="Arial"/>
          <w:color w:val="000000" w:themeColor="text1"/>
          <w:sz w:val="22"/>
          <w:szCs w:val="22"/>
        </w:rPr>
        <w:t>hospitali</w:t>
      </w:r>
      <w:r w:rsidR="0063797F">
        <w:rPr>
          <w:rFonts w:ascii="Arial" w:hAnsi="Arial" w:cs="Arial"/>
          <w:color w:val="000000" w:themeColor="text1"/>
          <w:sz w:val="22"/>
          <w:szCs w:val="22"/>
        </w:rPr>
        <w:t>s</w:t>
      </w:r>
      <w:r w:rsidRPr="001F536F">
        <w:rPr>
          <w:rFonts w:ascii="Arial" w:hAnsi="Arial" w:cs="Arial"/>
          <w:color w:val="000000" w:themeColor="text1"/>
          <w:sz w:val="22"/>
          <w:szCs w:val="22"/>
        </w:rPr>
        <w:t>ation</w:t>
      </w:r>
      <w:proofErr w:type="spellEnd"/>
      <w:r w:rsidRPr="001F536F">
        <w:rPr>
          <w:rFonts w:ascii="Arial" w:hAnsi="Arial" w:cs="Arial"/>
          <w:color w:val="000000" w:themeColor="text1"/>
          <w:sz w:val="22"/>
          <w:szCs w:val="22"/>
        </w:rPr>
        <w:t>.</w:t>
      </w:r>
    </w:p>
    <w:p w:rsidR="002A6369" w:rsidRDefault="00E314E4" w:rsidP="002A6369">
      <w:pPr>
        <w:autoSpaceDE w:val="0"/>
        <w:autoSpaceDN w:val="0"/>
        <w:adjustRightInd w:val="0"/>
        <w:jc w:val="both"/>
      </w:pPr>
      <w:r w:rsidRPr="001F536F">
        <w:rPr>
          <w:color w:val="000000" w:themeColor="text1"/>
        </w:rPr>
        <w:t>The mean (SD) duration of exposure during the double-blind phase was 150 (79) days in the placebo group and 175 (90) days in the INVEGA TRINZA group. Twenty-three percent (23%) of subjects in the placebo group and 7.4% of subjects in the INVEGA TRINZA group experienced a relapse event. The hazard ratio for relapse (placebo/INVEGA TRINZA) was 3.45 (95% CI: 1.73, 6.88) indicating a 71% decrease in relapse risk with INVEGA TRINZA. A Kaplan-Meier plot of time to relapse by trea</w:t>
      </w:r>
      <w:r>
        <w:rPr>
          <w:color w:val="000000" w:themeColor="text1"/>
        </w:rPr>
        <w:t xml:space="preserve">tment group is shown in Figure </w:t>
      </w:r>
      <w:r w:rsidR="000651EA">
        <w:rPr>
          <w:color w:val="000000" w:themeColor="text1"/>
        </w:rPr>
        <w:t>1</w:t>
      </w:r>
      <w:r w:rsidRPr="001F536F">
        <w:rPr>
          <w:color w:val="000000" w:themeColor="text1"/>
        </w:rPr>
        <w:t xml:space="preserve">. </w:t>
      </w:r>
      <w:r w:rsidR="006339FE">
        <w:rPr>
          <w:color w:val="000000" w:themeColor="text1"/>
        </w:rPr>
        <w:t xml:space="preserve"> </w:t>
      </w:r>
      <w:r w:rsidR="006339FE" w:rsidRPr="002A6369">
        <w:t xml:space="preserve">The median time to relapse (the time at which the cumulative survival function equals </w:t>
      </w:r>
      <w:proofErr w:type="gramStart"/>
      <w:r w:rsidR="006339FE" w:rsidRPr="002A6369">
        <w:t>0.5,</w:t>
      </w:r>
      <w:proofErr w:type="gramEnd"/>
      <w:r w:rsidR="006339FE" w:rsidRPr="002A6369">
        <w:t xml:space="preserve"> or 50%) for subjects in the placebo group was 274 days.</w:t>
      </w:r>
    </w:p>
    <w:p w:rsidR="002A6369" w:rsidRPr="002A6369" w:rsidRDefault="002A6369" w:rsidP="002A6369">
      <w:pPr>
        <w:autoSpaceDE w:val="0"/>
        <w:autoSpaceDN w:val="0"/>
        <w:adjustRightInd w:val="0"/>
        <w:jc w:val="both"/>
      </w:pPr>
    </w:p>
    <w:p w:rsidR="002A6369" w:rsidRPr="00553C06" w:rsidRDefault="00E314E4" w:rsidP="00553C06">
      <w:pPr>
        <w:pStyle w:val="BodyText120"/>
        <w:spacing w:line="240" w:lineRule="auto"/>
        <w:rPr>
          <w:rFonts w:ascii="Arial" w:hAnsi="Arial" w:cs="Arial"/>
          <w:color w:val="000000" w:themeColor="text1"/>
          <w:sz w:val="22"/>
          <w:szCs w:val="22"/>
        </w:rPr>
      </w:pPr>
      <w:r w:rsidRPr="001F536F">
        <w:rPr>
          <w:rFonts w:ascii="Arial" w:hAnsi="Arial" w:cs="Arial"/>
          <w:color w:val="000000" w:themeColor="text1"/>
          <w:sz w:val="22"/>
          <w:szCs w:val="22"/>
        </w:rPr>
        <w:lastRenderedPageBreak/>
        <w:t>An examination of population subgroups did not reveal any clinically significant differences in responsiveness on the basis of gender, age, or race.</w:t>
      </w:r>
    </w:p>
    <w:p w:rsidR="00E314E4" w:rsidRPr="001F536F" w:rsidRDefault="00E314E4" w:rsidP="00E314E4">
      <w:pPr>
        <w:keepNext/>
        <w:keepLines/>
        <w:jc w:val="both"/>
        <w:rPr>
          <w:color w:val="000000" w:themeColor="text1"/>
        </w:rPr>
      </w:pPr>
      <w:r w:rsidRPr="008F47F2">
        <w:rPr>
          <w:b/>
          <w:color w:val="000000" w:themeColor="text1"/>
        </w:rPr>
        <w:t xml:space="preserve">Figure </w:t>
      </w:r>
      <w:r w:rsidR="000651EA">
        <w:rPr>
          <w:b/>
          <w:color w:val="000000" w:themeColor="text1"/>
        </w:rPr>
        <w:t>1</w:t>
      </w:r>
      <w:r w:rsidRPr="008F47F2">
        <w:rPr>
          <w:color w:val="000000" w:themeColor="text1"/>
        </w:rPr>
        <w:t xml:space="preserve">: Kaplan-Meier Plot of Time to </w:t>
      </w:r>
      <w:proofErr w:type="spellStart"/>
      <w:r w:rsidRPr="008F47F2">
        <w:rPr>
          <w:color w:val="000000" w:themeColor="text1"/>
        </w:rPr>
        <w:t>Relapse</w:t>
      </w:r>
      <w:r w:rsidRPr="008F47F2">
        <w:rPr>
          <w:color w:val="000000" w:themeColor="text1"/>
          <w:vertAlign w:val="superscript"/>
        </w:rPr>
        <w:t>a</w:t>
      </w:r>
      <w:proofErr w:type="spellEnd"/>
      <w:r w:rsidRPr="008F47F2">
        <w:rPr>
          <w:color w:val="000000" w:themeColor="text1"/>
        </w:rPr>
        <w:t xml:space="preserve"> – Interim Analysis</w:t>
      </w:r>
      <w:r w:rsidRPr="001F536F">
        <w:rPr>
          <w:color w:val="000000" w:themeColor="text1"/>
        </w:rPr>
        <w:t xml:space="preserve"> </w:t>
      </w:r>
    </w:p>
    <w:p w:rsidR="00E314E4" w:rsidRDefault="00E314E4">
      <w:pPr>
        <w:rPr>
          <w:color w:val="auto"/>
        </w:rPr>
      </w:pPr>
    </w:p>
    <w:p w:rsidR="00FC493D" w:rsidRDefault="00FC493D" w:rsidP="00553C06">
      <w:pPr>
        <w:rPr>
          <w:b/>
          <w:bCs/>
          <w:i/>
          <w:color w:val="auto"/>
          <w:u w:val="single"/>
          <w:lang w:val="en-US"/>
        </w:rPr>
      </w:pPr>
      <w:r>
        <w:object w:dxaOrig="8016" w:dyaOrig="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5pt;height:316.05pt" o:ole="">
            <v:imagedata r:id="rId13" o:title="" croptop="1779f" gain="84021f"/>
          </v:shape>
          <o:OLEObject Type="Embed" ProgID="SigmaPlotGraphicObject.11" ShapeID="_x0000_i1025" DrawAspect="Content" ObjectID="_1571644684" r:id="rId14"/>
        </w:object>
      </w:r>
    </w:p>
    <w:p w:rsidR="0063797F" w:rsidRPr="008A30A7" w:rsidRDefault="0063797F" w:rsidP="0063797F">
      <w:pPr>
        <w:jc w:val="both"/>
        <w:rPr>
          <w:b/>
          <w:bCs/>
          <w:i/>
          <w:color w:val="auto"/>
          <w:u w:val="single"/>
          <w:lang w:val="en-US"/>
        </w:rPr>
      </w:pPr>
      <w:r w:rsidRPr="008A30A7">
        <w:rPr>
          <w:b/>
          <w:bCs/>
          <w:i/>
          <w:color w:val="auto"/>
          <w:u w:val="single"/>
          <w:lang w:val="en-US"/>
        </w:rPr>
        <w:t>Non</w:t>
      </w:r>
      <w:r w:rsidRPr="008A30A7">
        <w:rPr>
          <w:rFonts w:ascii="Cambria Math" w:hAnsi="Cambria Math" w:cs="Cambria Math"/>
          <w:b/>
          <w:bCs/>
          <w:i/>
          <w:color w:val="auto"/>
          <w:u w:val="single"/>
          <w:lang w:val="en-US"/>
        </w:rPr>
        <w:t>‐</w:t>
      </w:r>
      <w:r w:rsidRPr="008A30A7">
        <w:rPr>
          <w:b/>
          <w:bCs/>
          <w:i/>
          <w:color w:val="auto"/>
          <w:u w:val="single"/>
          <w:lang w:val="en-US"/>
        </w:rPr>
        <w:t>inferiority study</w:t>
      </w:r>
    </w:p>
    <w:p w:rsidR="0063797F" w:rsidRPr="008A30A7" w:rsidRDefault="0063797F" w:rsidP="0063797F">
      <w:pPr>
        <w:autoSpaceDE w:val="0"/>
        <w:autoSpaceDN w:val="0"/>
        <w:adjustRightInd w:val="0"/>
        <w:jc w:val="both"/>
        <w:rPr>
          <w:color w:val="auto"/>
          <w:lang w:val="en-US"/>
        </w:rPr>
      </w:pPr>
      <w:r w:rsidRPr="008A30A7">
        <w:rPr>
          <w:color w:val="auto"/>
          <w:lang w:val="en-US"/>
        </w:rPr>
        <w:t>This study was a randomised, double</w:t>
      </w:r>
      <w:r w:rsidRPr="008A30A7">
        <w:rPr>
          <w:rFonts w:ascii="Cambria Math" w:hAnsi="Cambria Math" w:cs="Cambria Math"/>
          <w:color w:val="auto"/>
          <w:lang w:val="en-US"/>
        </w:rPr>
        <w:t>‐</w:t>
      </w:r>
      <w:r w:rsidRPr="008A30A7">
        <w:rPr>
          <w:color w:val="auto"/>
          <w:lang w:val="en-US"/>
        </w:rPr>
        <w:t xml:space="preserve">blind, parallel group, </w:t>
      </w:r>
      <w:proofErr w:type="spellStart"/>
      <w:r w:rsidRPr="008A30A7">
        <w:rPr>
          <w:color w:val="auto"/>
          <w:lang w:val="en-US"/>
        </w:rPr>
        <w:t>multicentre</w:t>
      </w:r>
      <w:proofErr w:type="spellEnd"/>
      <w:r w:rsidRPr="008A30A7">
        <w:rPr>
          <w:color w:val="auto"/>
          <w:lang w:val="en-US"/>
        </w:rPr>
        <w:t xml:space="preserve"> non</w:t>
      </w:r>
      <w:r w:rsidRPr="008A30A7">
        <w:rPr>
          <w:rFonts w:ascii="Cambria Math" w:hAnsi="Cambria Math" w:cs="Cambria Math"/>
          <w:color w:val="auto"/>
          <w:lang w:val="en-US"/>
        </w:rPr>
        <w:t>‐</w:t>
      </w:r>
      <w:r w:rsidRPr="008A30A7">
        <w:rPr>
          <w:color w:val="auto"/>
          <w:lang w:val="en-US"/>
        </w:rPr>
        <w:t xml:space="preserve">inferiority study to </w:t>
      </w:r>
      <w:r w:rsidRPr="00307DEF">
        <w:rPr>
          <w:color w:val="auto"/>
          <w:lang w:val="en-US"/>
        </w:rPr>
        <w:t>determine if the efficacy of INVEGA TRINZA was non</w:t>
      </w:r>
      <w:r w:rsidRPr="00307DEF">
        <w:rPr>
          <w:rFonts w:ascii="Cambria Math" w:hAnsi="Cambria Math" w:cs="Cambria Math"/>
          <w:color w:val="auto"/>
          <w:lang w:val="en-US"/>
        </w:rPr>
        <w:t>‐</w:t>
      </w:r>
      <w:r w:rsidRPr="008C0965">
        <w:rPr>
          <w:color w:val="auto"/>
          <w:lang w:val="en-US"/>
        </w:rPr>
        <w:t xml:space="preserve">inferior to the efficacy of </w:t>
      </w:r>
      <w:r w:rsidR="00B103E0">
        <w:rPr>
          <w:color w:val="auto"/>
          <w:lang w:val="en-US"/>
        </w:rPr>
        <w:t xml:space="preserve">the 1-month paliperidone palmitate injectable product </w:t>
      </w:r>
      <w:r w:rsidRPr="008C0965">
        <w:rPr>
          <w:color w:val="auto"/>
          <w:lang w:val="en-US"/>
        </w:rPr>
        <w:t>for the treatment</w:t>
      </w:r>
      <w:r w:rsidRPr="008A30A7">
        <w:rPr>
          <w:color w:val="auto"/>
          <w:lang w:val="en-US"/>
        </w:rPr>
        <w:t xml:space="preserve"> of adults with schizophrenia.</w:t>
      </w:r>
    </w:p>
    <w:p w:rsidR="0063797F" w:rsidRPr="008A30A7" w:rsidRDefault="0063797F" w:rsidP="0063797F">
      <w:pPr>
        <w:autoSpaceDE w:val="0"/>
        <w:autoSpaceDN w:val="0"/>
        <w:adjustRightInd w:val="0"/>
        <w:jc w:val="both"/>
        <w:rPr>
          <w:color w:val="auto"/>
          <w:lang w:val="en-US"/>
        </w:rPr>
      </w:pPr>
      <w:r w:rsidRPr="008A30A7">
        <w:rPr>
          <w:color w:val="auto"/>
          <w:lang w:val="en-US"/>
        </w:rPr>
        <w:t>The primary efficacy endpoint was the percentage of subjects (per protocol analysis) who had not relapsed at the end of the 48</w:t>
      </w:r>
      <w:r w:rsidRPr="008A30A7">
        <w:rPr>
          <w:rFonts w:ascii="Cambria Math" w:hAnsi="Cambria Math" w:cs="Cambria Math"/>
          <w:color w:val="auto"/>
          <w:lang w:val="en-US"/>
        </w:rPr>
        <w:t>‐</w:t>
      </w:r>
      <w:r w:rsidRPr="008A30A7">
        <w:rPr>
          <w:color w:val="auto"/>
          <w:lang w:val="en-US"/>
        </w:rPr>
        <w:t>week Double</w:t>
      </w:r>
      <w:r w:rsidRPr="008A30A7">
        <w:rPr>
          <w:rFonts w:ascii="Cambria Math" w:hAnsi="Cambria Math" w:cs="Cambria Math"/>
          <w:color w:val="auto"/>
          <w:lang w:val="en-US"/>
        </w:rPr>
        <w:t>‐</w:t>
      </w:r>
      <w:r w:rsidRPr="008A30A7">
        <w:rPr>
          <w:color w:val="auto"/>
          <w:lang w:val="en-US"/>
        </w:rPr>
        <w:t>blind Phase. This was determined based on the Kaplan</w:t>
      </w:r>
      <w:r w:rsidRPr="008A30A7">
        <w:rPr>
          <w:rFonts w:ascii="Cambria Math" w:hAnsi="Cambria Math" w:cs="Cambria Math"/>
          <w:color w:val="auto"/>
          <w:lang w:val="en-US"/>
        </w:rPr>
        <w:t>‐</w:t>
      </w:r>
      <w:r w:rsidRPr="008A30A7">
        <w:rPr>
          <w:color w:val="auto"/>
          <w:lang w:val="en-US"/>
        </w:rPr>
        <w:t>Meier 48</w:t>
      </w:r>
      <w:r w:rsidRPr="008A30A7">
        <w:rPr>
          <w:rFonts w:ascii="Cambria Math" w:hAnsi="Cambria Math" w:cs="Cambria Math"/>
          <w:color w:val="auto"/>
          <w:lang w:val="en-US"/>
        </w:rPr>
        <w:t>‐</w:t>
      </w:r>
      <w:r w:rsidRPr="008A30A7">
        <w:rPr>
          <w:color w:val="auto"/>
          <w:lang w:val="en-US"/>
        </w:rPr>
        <w:t xml:space="preserve">week cumulative estimate of survival (i.e., percentage of subjects remaining relapse free). The predefined </w:t>
      </w:r>
      <w:proofErr w:type="spellStart"/>
      <w:r w:rsidRPr="008A30A7">
        <w:rPr>
          <w:color w:val="auto"/>
          <w:lang w:val="en-US"/>
        </w:rPr>
        <w:t>noninferiority</w:t>
      </w:r>
      <w:proofErr w:type="spellEnd"/>
      <w:r w:rsidRPr="008A30A7">
        <w:rPr>
          <w:color w:val="auto"/>
          <w:lang w:val="en-US"/>
        </w:rPr>
        <w:t xml:space="preserve"> margin was 15%</w:t>
      </w:r>
      <w:r>
        <w:rPr>
          <w:color w:val="auto"/>
          <w:lang w:val="en-US"/>
        </w:rPr>
        <w:t>.</w:t>
      </w:r>
    </w:p>
    <w:p w:rsidR="0063797F" w:rsidRDefault="0063797F" w:rsidP="00397A0D">
      <w:pPr>
        <w:jc w:val="both"/>
      </w:pPr>
    </w:p>
    <w:p w:rsidR="00060AFB" w:rsidRPr="00A45291" w:rsidRDefault="00060AFB" w:rsidP="00060AFB">
      <w:pPr>
        <w:autoSpaceDE w:val="0"/>
        <w:autoSpaceDN w:val="0"/>
        <w:adjustRightInd w:val="0"/>
        <w:jc w:val="both"/>
      </w:pPr>
      <w:r w:rsidRPr="00D52BCA">
        <w:t xml:space="preserve">Eligible subjects were </w:t>
      </w:r>
      <w:r>
        <w:t xml:space="preserve">adult </w:t>
      </w:r>
      <w:r w:rsidRPr="00D52BCA">
        <w:t xml:space="preserve">men and women who had a </w:t>
      </w:r>
      <w:r>
        <w:t>DSM</w:t>
      </w:r>
      <w:r>
        <w:noBreakHyphen/>
        <w:t>IV</w:t>
      </w:r>
      <w:r>
        <w:noBreakHyphen/>
        <w:t>TR</w:t>
      </w:r>
      <w:r w:rsidRPr="00D52BCA">
        <w:t xml:space="preserve"> diagnosis of schizophrenia for at least 1 year before screening.</w:t>
      </w:r>
      <w:r>
        <w:t xml:space="preserve"> Subjects were required to have a PANSS total score between 70 and 120 at screening and to have worsening symptoms, in the opinion of the investigator. All subjects must have had a valid reason to discontinue current antipsychotic therapy (including insufficient efficacy with current therapy, safety or tolerability issues, or subject preference for injectable medications). Subjects may not have received a long-acting injectable (LAI) antipsychotic within 4 weeks before screening.</w:t>
      </w:r>
    </w:p>
    <w:p w:rsidR="00060AFB" w:rsidRPr="008A30A7" w:rsidRDefault="00060AFB" w:rsidP="00060AFB">
      <w:pPr>
        <w:tabs>
          <w:tab w:val="left" w:pos="3855"/>
        </w:tabs>
        <w:autoSpaceDE w:val="0"/>
        <w:autoSpaceDN w:val="0"/>
        <w:adjustRightInd w:val="0"/>
        <w:jc w:val="both"/>
        <w:rPr>
          <w:color w:val="auto"/>
          <w:lang w:val="en-US"/>
        </w:rPr>
      </w:pPr>
    </w:p>
    <w:p w:rsidR="00060AFB" w:rsidRDefault="00060AFB" w:rsidP="00060AFB">
      <w:pPr>
        <w:autoSpaceDE w:val="0"/>
        <w:autoSpaceDN w:val="0"/>
        <w:adjustRightInd w:val="0"/>
        <w:jc w:val="both"/>
        <w:rPr>
          <w:rFonts w:ascii="Cambria" w:hAnsi="Cambria" w:cs="Cambria"/>
          <w:color w:val="auto"/>
          <w:sz w:val="21"/>
          <w:szCs w:val="21"/>
          <w:lang w:val="en-US"/>
        </w:rPr>
      </w:pPr>
      <w:r w:rsidRPr="008470BE">
        <w:t xml:space="preserve">Relapse </w:t>
      </w:r>
      <w:r w:rsidRPr="00042D7C">
        <w:t xml:space="preserve">was defined as </w:t>
      </w:r>
      <w:r>
        <w:t>one</w:t>
      </w:r>
      <w:r w:rsidRPr="00042D7C">
        <w:t xml:space="preserve"> or more of the following (identical to the relapse criteria used in </w:t>
      </w:r>
      <w:r>
        <w:t>the placebo-controlled relapse prevention/randomised withdrawal study described above</w:t>
      </w:r>
      <w:r w:rsidRPr="00042D7C">
        <w:t>):</w:t>
      </w:r>
      <w:r w:rsidRPr="002740E3">
        <w:rPr>
          <w:color w:val="000000" w:themeColor="text1"/>
        </w:rPr>
        <w:t xml:space="preserve"> </w:t>
      </w:r>
      <w:r w:rsidRPr="001F536F">
        <w:rPr>
          <w:color w:val="000000" w:themeColor="text1"/>
        </w:rPr>
        <w:t>psychiatric hospitali</w:t>
      </w:r>
      <w:r>
        <w:rPr>
          <w:color w:val="000000" w:themeColor="text1"/>
        </w:rPr>
        <w:t>s</w:t>
      </w:r>
      <w:r w:rsidRPr="001F536F">
        <w:rPr>
          <w:color w:val="000000" w:themeColor="text1"/>
        </w:rPr>
        <w:t xml:space="preserve">ation, ≥ 25% increase (if the baseline score was &gt; 40) or a 10-point increase (if the baseline score was ≤ 40) in total PANSS score on two consecutive assessments, deliberate self-injury, violent </w:t>
      </w:r>
      <w:proofErr w:type="spellStart"/>
      <w:r w:rsidRPr="001F536F">
        <w:rPr>
          <w:color w:val="000000" w:themeColor="text1"/>
        </w:rPr>
        <w:t>behavior</w:t>
      </w:r>
      <w:proofErr w:type="spellEnd"/>
      <w:r w:rsidRPr="001F536F">
        <w:rPr>
          <w:color w:val="000000" w:themeColor="text1"/>
        </w:rPr>
        <w:t xml:space="preserve">, suicidal/homicidal ideation, or a score of ≥ 5 (if the maximum baseline score was ≤ 3) or ≥ 6 (if the maximum baseline score was 4) on two consecutive assessments of </w:t>
      </w:r>
      <w:r w:rsidRPr="001F536F">
        <w:rPr>
          <w:color w:val="000000" w:themeColor="text1"/>
        </w:rPr>
        <w:lastRenderedPageBreak/>
        <w:t xml:space="preserve">the individual PANSS items P1 (Delusions), P2 (Conceptual disorganization), P3 (Hallucinatory </w:t>
      </w:r>
      <w:proofErr w:type="spellStart"/>
      <w:r w:rsidRPr="001F536F">
        <w:rPr>
          <w:color w:val="000000" w:themeColor="text1"/>
        </w:rPr>
        <w:t>behavior</w:t>
      </w:r>
      <w:proofErr w:type="spellEnd"/>
      <w:r w:rsidRPr="001F536F">
        <w:rPr>
          <w:color w:val="000000" w:themeColor="text1"/>
        </w:rPr>
        <w:t>), P6 (Suspiciousness/persecution), P7 (Hostility), or G8 (Uncooperativeness)</w:t>
      </w:r>
      <w:r>
        <w:rPr>
          <w:color w:val="000000" w:themeColor="text1"/>
        </w:rPr>
        <w:t>.</w:t>
      </w:r>
    </w:p>
    <w:p w:rsidR="0063797F" w:rsidRDefault="0063797F" w:rsidP="00397A0D">
      <w:pPr>
        <w:jc w:val="both"/>
      </w:pPr>
    </w:p>
    <w:p w:rsidR="00060AFB" w:rsidRDefault="00060AFB" w:rsidP="00397A0D">
      <w:pPr>
        <w:jc w:val="both"/>
      </w:pPr>
      <w:r>
        <w:t xml:space="preserve">A total of </w:t>
      </w:r>
      <w:r w:rsidR="00397A0D" w:rsidRPr="00791A69">
        <w:t xml:space="preserve">1,429  </w:t>
      </w:r>
      <w:r w:rsidR="00EF5060">
        <w:t xml:space="preserve"> </w:t>
      </w:r>
      <w:r w:rsidR="00397A0D" w:rsidRPr="00791A69">
        <w:t xml:space="preserve">subjects </w:t>
      </w:r>
      <w:r w:rsidR="00EF5060">
        <w:t xml:space="preserve">with worsening of </w:t>
      </w:r>
      <w:proofErr w:type="gramStart"/>
      <w:r w:rsidR="00EF5060">
        <w:t>symptoms</w:t>
      </w:r>
      <w:r w:rsidR="00EF5060" w:rsidDel="00EF5060">
        <w:t xml:space="preserve"> </w:t>
      </w:r>
      <w:r w:rsidR="00EF5060">
        <w:t xml:space="preserve"> </w:t>
      </w:r>
      <w:r w:rsidR="00397A0D" w:rsidRPr="00791A69">
        <w:t>(</w:t>
      </w:r>
      <w:proofErr w:type="gramEnd"/>
      <w:r w:rsidR="00397A0D" w:rsidRPr="00791A69">
        <w:t>baseline mean PANSS total score: 85.7) were enrolled into the open</w:t>
      </w:r>
      <w:r w:rsidR="00397A0D" w:rsidRPr="00791A69">
        <w:noBreakHyphen/>
        <w:t>label phase and treated with the 1</w:t>
      </w:r>
      <w:r w:rsidR="00397A0D" w:rsidRPr="00791A69">
        <w:noBreakHyphen/>
        <w:t>month paliperidone palmitate injectable product for 17 weeks. The dose could be adjusted (i.e., 50 mg, 75 mg, 100 mg, or 150 mg) at the week 5 and 9 injections and the injection site could be deltoid or gluteal. For subjects that met randomisation criteria at weeks 14 and 17, 1,016 were randomised in a 1:1 ratio to continue on monthly injections of the 1</w:t>
      </w:r>
      <w:r w:rsidR="00397A0D" w:rsidRPr="00791A69">
        <w:noBreakHyphen/>
        <w:t xml:space="preserve">month paliperidone palmitate injectable product or to switch to </w:t>
      </w:r>
      <w:r w:rsidR="00397A0D">
        <w:t>INVEGA TRINZA</w:t>
      </w:r>
      <w:r w:rsidR="00397A0D" w:rsidRPr="00791A69">
        <w:t xml:space="preserve"> with a 3.5 multiple of the week 9 and 13 dose of the 1</w:t>
      </w:r>
      <w:r w:rsidR="00397A0D" w:rsidRPr="00791A69">
        <w:noBreakHyphen/>
        <w:t xml:space="preserve">month paliperidone palmitate injectable product for 48 weeks. Subjects received </w:t>
      </w:r>
      <w:r w:rsidR="00397A0D">
        <w:t>INVEGA TRINZA</w:t>
      </w:r>
      <w:r w:rsidR="00397A0D" w:rsidRPr="00791A69">
        <w:t xml:space="preserve"> once every 3 months and received placebo</w:t>
      </w:r>
      <w:r w:rsidR="00397A0D" w:rsidRPr="00791A69">
        <w:noBreakHyphen/>
        <w:t xml:space="preserve">injectable medication for the other months to maintain the blind. </w:t>
      </w:r>
    </w:p>
    <w:p w:rsidR="00060AFB" w:rsidRDefault="00060AFB" w:rsidP="00397A0D">
      <w:pPr>
        <w:jc w:val="both"/>
      </w:pPr>
    </w:p>
    <w:p w:rsidR="00397A0D" w:rsidRPr="00553C06" w:rsidRDefault="00397A0D" w:rsidP="00553C06">
      <w:pPr>
        <w:jc w:val="both"/>
      </w:pPr>
      <w:r w:rsidRPr="00791A69">
        <w:t>The primary efficacy endpoint of the study was the percentage of subjects who had not relapsed at the end of the 48</w:t>
      </w:r>
      <w:r w:rsidRPr="00791A69">
        <w:noBreakHyphen/>
        <w:t>week double</w:t>
      </w:r>
      <w:r w:rsidRPr="00791A69">
        <w:noBreakHyphen/>
        <w:t>blind phase based on the Kaplan</w:t>
      </w:r>
      <w:r w:rsidRPr="00791A69">
        <w:noBreakHyphen/>
        <w:t>Meier 48</w:t>
      </w:r>
      <w:r w:rsidRPr="00791A69">
        <w:noBreakHyphen/>
        <w:t>week estimate (</w:t>
      </w:r>
      <w:r>
        <w:t>INVEGA TRINZA</w:t>
      </w:r>
      <w:r w:rsidRPr="00791A69">
        <w:t xml:space="preserve">: 91.2%, </w:t>
      </w:r>
      <w:r w:rsidRPr="00791A69">
        <w:rPr>
          <w:iCs/>
        </w:rPr>
        <w:t>1</w:t>
      </w:r>
      <w:r w:rsidRPr="00791A69">
        <w:rPr>
          <w:iCs/>
        </w:rPr>
        <w:noBreakHyphen/>
        <w:t>month paliperidone palmitate injectable product</w:t>
      </w:r>
      <w:r w:rsidRPr="00791A69">
        <w:t>: 90.0%). The difference (95% CI) between the treatment groups was 1.2% (</w:t>
      </w:r>
      <w:r w:rsidRPr="00791A69">
        <w:noBreakHyphen/>
        <w:t>2.7%, 5.1%), meeting the pre</w:t>
      </w:r>
      <w:r w:rsidRPr="00791A69">
        <w:noBreakHyphen/>
        <w:t>specified non</w:t>
      </w:r>
      <w:r w:rsidRPr="00791A69">
        <w:noBreakHyphen/>
        <w:t xml:space="preserve">inferiority criterion based on a margin of </w:t>
      </w:r>
      <w:r w:rsidRPr="00791A69">
        <w:noBreakHyphen/>
        <w:t xml:space="preserve">15%. Thus, the </w:t>
      </w:r>
      <w:r>
        <w:t>INVEGA TRINZA</w:t>
      </w:r>
      <w:r w:rsidRPr="00791A69">
        <w:t xml:space="preserve"> treatment group was non</w:t>
      </w:r>
      <w:r w:rsidRPr="00791A69">
        <w:noBreakHyphen/>
        <w:t>inferior to the 1</w:t>
      </w:r>
      <w:r w:rsidRPr="00791A69">
        <w:noBreakHyphen/>
        <w:t xml:space="preserve">month paliperidone palmitate injectable product. </w:t>
      </w:r>
    </w:p>
    <w:p w:rsidR="008F47F2" w:rsidRDefault="008F47F2" w:rsidP="00397A0D">
      <w:pPr>
        <w:rPr>
          <w:b/>
        </w:rPr>
      </w:pPr>
    </w:p>
    <w:p w:rsidR="00397A0D" w:rsidRDefault="00397A0D" w:rsidP="00397A0D">
      <w:r w:rsidRPr="008F47F2">
        <w:rPr>
          <w:b/>
        </w:rPr>
        <w:t>Figure </w:t>
      </w:r>
      <w:r w:rsidR="000651EA">
        <w:rPr>
          <w:b/>
        </w:rPr>
        <w:t>2</w:t>
      </w:r>
      <w:r w:rsidRPr="008F47F2">
        <w:t>: Kaplan</w:t>
      </w:r>
      <w:r w:rsidRPr="008F47F2">
        <w:noBreakHyphen/>
        <w:t>Meier plot of time to relapse com</w:t>
      </w:r>
      <w:r w:rsidR="00757E4A" w:rsidRPr="008F47F2">
        <w:t xml:space="preserve">paring INVEGA TRINZA </w:t>
      </w:r>
      <w:r w:rsidRPr="008F47F2">
        <w:t xml:space="preserve">and </w:t>
      </w:r>
      <w:r w:rsidRPr="008F47F2">
        <w:rPr>
          <w:iCs/>
        </w:rPr>
        <w:t>1</w:t>
      </w:r>
      <w:r w:rsidRPr="008F47F2">
        <w:rPr>
          <w:iCs/>
        </w:rPr>
        <w:noBreakHyphen/>
        <w:t>month paliperidone palmitate injectable product</w:t>
      </w:r>
    </w:p>
    <w:p w:rsidR="00397A0D" w:rsidRPr="00397A0D" w:rsidRDefault="00CD585A" w:rsidP="00397A0D">
      <w:r>
        <w:rPr>
          <w:noProof/>
          <w:lang w:eastAsia="en-AU"/>
        </w:rPr>
        <w:drawing>
          <wp:inline distT="0" distB="0" distL="0" distR="0" wp14:anchorId="74C7256B" wp14:editId="16F36865">
            <wp:extent cx="6073002" cy="3336967"/>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651" cy="3339521"/>
                    </a:xfrm>
                    <a:prstGeom prst="rect">
                      <a:avLst/>
                    </a:prstGeom>
                    <a:noFill/>
                    <a:ln>
                      <a:noFill/>
                    </a:ln>
                  </pic:spPr>
                </pic:pic>
              </a:graphicData>
            </a:graphic>
          </wp:inline>
        </w:drawing>
      </w:r>
    </w:p>
    <w:p w:rsidR="00397A0D" w:rsidRPr="00791A69" w:rsidRDefault="00397A0D" w:rsidP="00397A0D">
      <w:pPr>
        <w:rPr>
          <w:u w:val="single"/>
        </w:rPr>
      </w:pPr>
    </w:p>
    <w:p w:rsidR="00397A0D" w:rsidRPr="00CD585A" w:rsidRDefault="00397A0D" w:rsidP="00CD585A">
      <w:pPr>
        <w:rPr>
          <w:u w:val="single"/>
        </w:rPr>
      </w:pPr>
      <w:r w:rsidRPr="00791A69">
        <w:t>The efficacy results were consistent across population subgroups (gender, age, and race) in both studies.</w:t>
      </w:r>
    </w:p>
    <w:p w:rsidR="00B56A6D" w:rsidRDefault="00B56A6D" w:rsidP="006B0032">
      <w:pPr>
        <w:pStyle w:val="Heading4"/>
        <w:jc w:val="both"/>
        <w:rPr>
          <w:color w:val="000000" w:themeColor="text1"/>
        </w:rPr>
      </w:pPr>
    </w:p>
    <w:p w:rsidR="009921E8" w:rsidRPr="008A22D2" w:rsidRDefault="009921E8">
      <w:pPr>
        <w:pStyle w:val="Heading1"/>
        <w:rPr>
          <w:color w:val="auto"/>
        </w:rPr>
      </w:pPr>
      <w:r w:rsidRPr="008A22D2">
        <w:rPr>
          <w:color w:val="auto"/>
        </w:rPr>
        <w:t>INDICATIONS</w:t>
      </w:r>
    </w:p>
    <w:p w:rsidR="00E314E4" w:rsidRDefault="00E314E4" w:rsidP="00E314E4">
      <w:pPr>
        <w:pStyle w:val="BodyText120"/>
        <w:spacing w:line="240" w:lineRule="auto"/>
        <w:rPr>
          <w:rFonts w:ascii="Arial" w:hAnsi="Arial" w:cs="Arial"/>
          <w:sz w:val="22"/>
          <w:szCs w:val="22"/>
        </w:rPr>
      </w:pPr>
      <w:r w:rsidRPr="00F52D82">
        <w:rPr>
          <w:rFonts w:ascii="Arial" w:hAnsi="Arial" w:cs="Arial"/>
          <w:sz w:val="22"/>
          <w:szCs w:val="22"/>
        </w:rPr>
        <w:t>INVEGA TRINZA</w:t>
      </w:r>
      <w:r>
        <w:rPr>
          <w:rFonts w:ascii="Arial" w:hAnsi="Arial" w:cs="Arial"/>
          <w:sz w:val="22"/>
          <w:szCs w:val="22"/>
        </w:rPr>
        <w:t xml:space="preserve">, </w:t>
      </w:r>
      <w:r w:rsidRPr="00577554">
        <w:rPr>
          <w:rFonts w:ascii="Arial" w:hAnsi="Arial" w:cs="Arial"/>
          <w:sz w:val="22"/>
          <w:szCs w:val="22"/>
        </w:rPr>
        <w:t>a 3-month injection,</w:t>
      </w:r>
      <w:r w:rsidRPr="00F52D82">
        <w:rPr>
          <w:rFonts w:ascii="Arial" w:hAnsi="Arial" w:cs="Arial"/>
          <w:sz w:val="22"/>
          <w:szCs w:val="22"/>
        </w:rPr>
        <w:t xml:space="preserve"> is indicated for the </w:t>
      </w:r>
      <w:r w:rsidR="004E0108">
        <w:rPr>
          <w:rFonts w:ascii="Arial" w:hAnsi="Arial" w:cs="Arial"/>
          <w:sz w:val="22"/>
          <w:szCs w:val="22"/>
        </w:rPr>
        <w:t xml:space="preserve">maintenance </w:t>
      </w:r>
      <w:r w:rsidRPr="00F52D82">
        <w:rPr>
          <w:rFonts w:ascii="Arial" w:hAnsi="Arial" w:cs="Arial"/>
          <w:sz w:val="22"/>
          <w:szCs w:val="22"/>
        </w:rPr>
        <w:t>treatment of schizophrenia in adult patients who have been adequately treated with the 1-month paliperidone palmitate injectable pr</w:t>
      </w:r>
      <w:r>
        <w:rPr>
          <w:rFonts w:ascii="Arial" w:hAnsi="Arial" w:cs="Arial"/>
          <w:sz w:val="22"/>
          <w:szCs w:val="22"/>
        </w:rPr>
        <w:t>oduct for at least four months.</w:t>
      </w:r>
    </w:p>
    <w:p w:rsidR="009921E8" w:rsidRPr="008A22D2" w:rsidRDefault="009921E8">
      <w:pPr>
        <w:pStyle w:val="Heading1"/>
        <w:rPr>
          <w:color w:val="auto"/>
        </w:rPr>
      </w:pPr>
      <w:r w:rsidRPr="008A22D2">
        <w:rPr>
          <w:color w:val="auto"/>
        </w:rPr>
        <w:lastRenderedPageBreak/>
        <w:t>CONTRAINDICATIONS</w:t>
      </w:r>
    </w:p>
    <w:p w:rsidR="00E314E4" w:rsidRDefault="00E314E4" w:rsidP="00E314E4">
      <w:pPr>
        <w:pStyle w:val="BodyText12"/>
        <w:keepNext/>
        <w:keepLines/>
        <w:spacing w:line="240" w:lineRule="auto"/>
        <w:rPr>
          <w:rFonts w:ascii="Arial" w:hAnsi="Arial" w:cs="Arial"/>
          <w:sz w:val="22"/>
          <w:szCs w:val="22"/>
        </w:rPr>
      </w:pPr>
      <w:r w:rsidRPr="00F52D82">
        <w:rPr>
          <w:rFonts w:ascii="Arial" w:hAnsi="Arial" w:cs="Arial"/>
          <w:sz w:val="22"/>
          <w:szCs w:val="22"/>
        </w:rPr>
        <w:t xml:space="preserve">INVEGA TRINZA is contraindicated in patients with a known hypersensitivity to paliperidone or to any of the components in the formulation. Since </w:t>
      </w:r>
      <w:proofErr w:type="spellStart"/>
      <w:r w:rsidRPr="00F52D82">
        <w:rPr>
          <w:rFonts w:ascii="Arial" w:hAnsi="Arial" w:cs="Arial"/>
          <w:sz w:val="22"/>
          <w:szCs w:val="22"/>
        </w:rPr>
        <w:t>paliperdone</w:t>
      </w:r>
      <w:proofErr w:type="spellEnd"/>
      <w:r w:rsidRPr="00F52D82">
        <w:rPr>
          <w:rFonts w:ascii="Arial" w:hAnsi="Arial" w:cs="Arial"/>
          <w:sz w:val="22"/>
          <w:szCs w:val="22"/>
        </w:rPr>
        <w:t xml:space="preserve"> is an active metabolite of risperidone, INVEGA TRINZA is contraindicated in patients with a known hypersensitivity to risperidone.</w:t>
      </w:r>
    </w:p>
    <w:p w:rsidR="009921E8" w:rsidRPr="008A22D2" w:rsidRDefault="009921E8">
      <w:pPr>
        <w:pStyle w:val="Heading1"/>
        <w:rPr>
          <w:color w:val="auto"/>
        </w:rPr>
      </w:pPr>
      <w:r w:rsidRPr="008A22D2">
        <w:rPr>
          <w:color w:val="auto"/>
        </w:rPr>
        <w:t>PRECAUTIONS</w:t>
      </w:r>
    </w:p>
    <w:p w:rsidR="0063797F" w:rsidRDefault="0063797F" w:rsidP="0063797F">
      <w:pPr>
        <w:pStyle w:val="Heading3"/>
        <w:rPr>
          <w:color w:val="auto"/>
        </w:rPr>
      </w:pPr>
      <w:bookmarkStart w:id="37" w:name="_Toc151795478"/>
      <w:bookmarkStart w:id="38" w:name="_Toc151796674"/>
      <w:bookmarkStart w:id="39" w:name="_Toc151796876"/>
      <w:bookmarkStart w:id="40" w:name="_Toc151801631"/>
      <w:bookmarkStart w:id="41" w:name="_Toc219801024"/>
      <w:r>
        <w:rPr>
          <w:color w:val="auto"/>
        </w:rPr>
        <w:t>Use in elderly</w:t>
      </w:r>
    </w:p>
    <w:p w:rsidR="0063797F" w:rsidRPr="008B38D8" w:rsidRDefault="0063797F" w:rsidP="0063797F">
      <w:pPr>
        <w:jc w:val="both"/>
      </w:pPr>
      <w:r w:rsidRPr="008A22D2">
        <w:rPr>
          <w:color w:val="auto"/>
        </w:rPr>
        <w:t xml:space="preserve">This drug is known to be substantially excreted by the kidney and clearance is decreased in patients with renal impairment </w:t>
      </w:r>
      <w:r w:rsidRPr="008A22D2">
        <w:rPr>
          <w:iCs/>
          <w:color w:val="auto"/>
        </w:rPr>
        <w:t>(see</w:t>
      </w:r>
      <w:r w:rsidRPr="008A22D2">
        <w:rPr>
          <w:i/>
          <w:iCs/>
          <w:color w:val="auto"/>
        </w:rPr>
        <w:t xml:space="preserve"> </w:t>
      </w:r>
      <w:r w:rsidRPr="008A22D2">
        <w:rPr>
          <w:b/>
          <w:iCs/>
          <w:color w:val="auto"/>
        </w:rPr>
        <w:t>PHARMACOLOGY</w:t>
      </w:r>
      <w:r w:rsidRPr="008A22D2">
        <w:rPr>
          <w:iCs/>
          <w:color w:val="auto"/>
        </w:rPr>
        <w:t xml:space="preserve"> – Special Populations)</w:t>
      </w:r>
      <w:r w:rsidRPr="008A22D2">
        <w:rPr>
          <w:color w:val="auto"/>
        </w:rPr>
        <w:t xml:space="preserve">, who should be given reduced doses. Because elderly patients are more likely to have decreased renal function, care should be taken in dose selection, and it may be useful to monitor renal function </w:t>
      </w:r>
      <w:r w:rsidRPr="008A22D2">
        <w:rPr>
          <w:i/>
          <w:iCs/>
          <w:color w:val="auto"/>
        </w:rPr>
        <w:t>(</w:t>
      </w:r>
      <w:r w:rsidRPr="008A22D2">
        <w:rPr>
          <w:iCs/>
          <w:color w:val="auto"/>
        </w:rPr>
        <w:t>see</w:t>
      </w:r>
      <w:r w:rsidRPr="008A22D2">
        <w:rPr>
          <w:i/>
          <w:iCs/>
          <w:color w:val="auto"/>
        </w:rPr>
        <w:t xml:space="preserve"> </w:t>
      </w:r>
      <w:r w:rsidRPr="008A22D2">
        <w:rPr>
          <w:b/>
          <w:iCs/>
          <w:color w:val="auto"/>
        </w:rPr>
        <w:t>DOSAGE AND ADMINISTRATION)</w:t>
      </w:r>
    </w:p>
    <w:p w:rsidR="0063797F" w:rsidRPr="005D174A" w:rsidRDefault="0063797F" w:rsidP="0063797F">
      <w:pPr>
        <w:pStyle w:val="Heading3"/>
        <w:rPr>
          <w:color w:val="auto"/>
        </w:rPr>
      </w:pPr>
      <w:r w:rsidRPr="005D174A">
        <w:rPr>
          <w:color w:val="auto"/>
        </w:rPr>
        <w:t>Use in elderly patients with dementia</w:t>
      </w:r>
    </w:p>
    <w:p w:rsidR="0063797F" w:rsidRPr="00D569D1" w:rsidRDefault="0063797F" w:rsidP="0063797F">
      <w:pPr>
        <w:pStyle w:val="Heading4"/>
        <w:jc w:val="both"/>
        <w:rPr>
          <w:b/>
          <w:color w:val="auto"/>
          <w:u w:val="none"/>
        </w:rPr>
      </w:pPr>
      <w:r w:rsidRPr="00D569D1">
        <w:rPr>
          <w:b/>
          <w:color w:val="auto"/>
          <w:kern w:val="24"/>
          <w:u w:val="none"/>
        </w:rPr>
        <w:t xml:space="preserve">Overall </w:t>
      </w:r>
      <w:r w:rsidRPr="00D569D1">
        <w:rPr>
          <w:b/>
          <w:color w:val="auto"/>
          <w:u w:val="none"/>
        </w:rPr>
        <w:t>mortality</w:t>
      </w:r>
    </w:p>
    <w:p w:rsidR="0063797F" w:rsidRPr="005D174A" w:rsidRDefault="0063797F" w:rsidP="0063797F">
      <w:pPr>
        <w:autoSpaceDE w:val="0"/>
        <w:autoSpaceDN w:val="0"/>
        <w:adjustRightInd w:val="0"/>
        <w:jc w:val="both"/>
      </w:pPr>
      <w:r w:rsidRPr="005D174A">
        <w:t xml:space="preserve">Elderly patients with dementia treated with atypical antipsychotic drugs, an increased risk of mortality compared to placebo. INVEGA TRINZA (paliperidone palmitate) is not approved for the treatment of dementia-related psychosis. </w:t>
      </w:r>
    </w:p>
    <w:p w:rsidR="00D569D1" w:rsidRDefault="00D569D1" w:rsidP="0063797F">
      <w:pPr>
        <w:pStyle w:val="Heading4"/>
        <w:jc w:val="both"/>
        <w:rPr>
          <w:color w:val="auto"/>
          <w:u w:val="none"/>
        </w:rPr>
      </w:pPr>
    </w:p>
    <w:p w:rsidR="0063797F" w:rsidRPr="00D569D1" w:rsidRDefault="0063797F" w:rsidP="0063797F">
      <w:pPr>
        <w:pStyle w:val="Heading4"/>
        <w:jc w:val="both"/>
        <w:rPr>
          <w:b/>
          <w:color w:val="auto"/>
          <w:u w:val="none"/>
        </w:rPr>
      </w:pPr>
      <w:r w:rsidRPr="00D569D1">
        <w:rPr>
          <w:b/>
          <w:color w:val="auto"/>
          <w:u w:val="none"/>
        </w:rPr>
        <w:t xml:space="preserve">Cerebrovascular adverse events </w:t>
      </w:r>
      <w:r w:rsidRPr="00D569D1">
        <w:rPr>
          <w:b/>
          <w:u w:val="none"/>
        </w:rPr>
        <w:t>including Stroke, in Elderly Patients with Dementia-Related Psychosis</w:t>
      </w:r>
    </w:p>
    <w:p w:rsidR="0063797F" w:rsidRPr="00FD4EE8" w:rsidRDefault="0063797F" w:rsidP="00FD4EE8">
      <w:pPr>
        <w:pStyle w:val="BodyText12"/>
        <w:spacing w:line="240" w:lineRule="auto"/>
        <w:rPr>
          <w:rFonts w:ascii="Arial" w:hAnsi="Arial" w:cs="Arial"/>
          <w:sz w:val="22"/>
          <w:szCs w:val="22"/>
        </w:rPr>
      </w:pPr>
      <w:r w:rsidRPr="005D174A">
        <w:rPr>
          <w:rFonts w:ascii="Arial" w:hAnsi="Arial" w:cs="Arial"/>
          <w:sz w:val="22"/>
          <w:szCs w:val="22"/>
        </w:rPr>
        <w:t xml:space="preserve">In placebo-controlled trials in elderly patients with dementia treated with some atypical antipsychotic drugs, including risperidone, aripiprazole, and olanzapine, there was a higher incidence of cerebrovascular adverse events (cerebrovascular accidents and transient ischemic attacks) including fatalities, compared to placebo. </w:t>
      </w:r>
      <w:r w:rsidRPr="005D174A">
        <w:rPr>
          <w:rFonts w:ascii="Arial" w:hAnsi="Arial" w:cs="Arial"/>
          <w:color w:val="000000"/>
          <w:sz w:val="22"/>
          <w:szCs w:val="22"/>
        </w:rPr>
        <w:t>Oral paliperidone and INVEGA TRINZA were not marketed at the time these studies were performed and are not approved for the treatment of patients with dementia-related psychosis.</w:t>
      </w:r>
    </w:p>
    <w:p w:rsidR="003778B1" w:rsidRPr="00FD4EE8" w:rsidRDefault="00E314E4" w:rsidP="00FD4EE8">
      <w:pPr>
        <w:pStyle w:val="Heading3"/>
        <w:rPr>
          <w:color w:val="auto"/>
        </w:rPr>
      </w:pPr>
      <w:r w:rsidRPr="00F52D82">
        <w:rPr>
          <w:color w:val="auto"/>
        </w:rPr>
        <w:t>Neuroleptic Malignant Syndrome</w:t>
      </w:r>
    </w:p>
    <w:p w:rsidR="003778B1" w:rsidRDefault="003778B1" w:rsidP="003778B1">
      <w:pPr>
        <w:autoSpaceDE w:val="0"/>
        <w:autoSpaceDN w:val="0"/>
        <w:adjustRightInd w:val="0"/>
        <w:jc w:val="both"/>
      </w:pPr>
      <w:r w:rsidRPr="007D78A0">
        <w:t xml:space="preserve">A potentially fatal symptom complex sometimes referred to as Neuroleptic Malignant Syndrome (NMS) has been reported in association with antipsychotic drugs, including paliperidone. Clinical manifestations of NMS are hyperpyrexia, muscle rigidity, altered mental status, and evidence of autonomic instability (irregular pulse or blood pressure, tachycardia, diaphoresis, and cardiac dysrhythmia). Additional signs may include elevated </w:t>
      </w:r>
      <w:proofErr w:type="spellStart"/>
      <w:r w:rsidRPr="007D78A0">
        <w:t>creatine</w:t>
      </w:r>
      <w:proofErr w:type="spellEnd"/>
      <w:r w:rsidRPr="007D78A0">
        <w:t xml:space="preserve"> phosphokinase, </w:t>
      </w:r>
      <w:proofErr w:type="spellStart"/>
      <w:r w:rsidRPr="007D78A0">
        <w:t>myoglobinuria</w:t>
      </w:r>
      <w:proofErr w:type="spellEnd"/>
      <w:r w:rsidRPr="007D78A0">
        <w:t xml:space="preserve"> (rhabdomyolysis), and acute renal failure. </w:t>
      </w:r>
    </w:p>
    <w:p w:rsidR="003778B1" w:rsidRPr="00126963" w:rsidRDefault="003778B1" w:rsidP="003778B1">
      <w:pPr>
        <w:autoSpaceDE w:val="0"/>
        <w:autoSpaceDN w:val="0"/>
        <w:adjustRightInd w:val="0"/>
        <w:jc w:val="both"/>
      </w:pPr>
    </w:p>
    <w:p w:rsidR="003778B1" w:rsidRDefault="003778B1" w:rsidP="003778B1">
      <w:pPr>
        <w:autoSpaceDE w:val="0"/>
        <w:autoSpaceDN w:val="0"/>
        <w:adjustRightInd w:val="0"/>
        <w:jc w:val="both"/>
      </w:pPr>
      <w:r w:rsidRPr="00550D11">
        <w:t>The diagnostic evaluation of patients with</w:t>
      </w:r>
      <w:r w:rsidRPr="007C23E9">
        <w:t xml:space="preserve"> this syndrome is complicated. In arriving at a diagnosis, it is important to identify cases in which the clinical presentation includes both serious medical illness (e.g., pneumonia, systemic infection, etc.) and untreated or inadequately treated extrapyr</w:t>
      </w:r>
      <w:r w:rsidRPr="006B0032">
        <w:t xml:space="preserve">amidal signs and symptoms (EPS). Other important considerations in the differential diagnosis include central anticholinergic toxicity, heat stroke, drug fever, and primary central nervous system pathology. </w:t>
      </w:r>
    </w:p>
    <w:p w:rsidR="003778B1" w:rsidRPr="006B0032" w:rsidRDefault="003778B1" w:rsidP="003778B1">
      <w:pPr>
        <w:autoSpaceDE w:val="0"/>
        <w:autoSpaceDN w:val="0"/>
        <w:adjustRightInd w:val="0"/>
        <w:jc w:val="both"/>
      </w:pPr>
    </w:p>
    <w:p w:rsidR="003778B1" w:rsidRDefault="003778B1" w:rsidP="003778B1">
      <w:pPr>
        <w:pStyle w:val="BodyText12"/>
        <w:spacing w:line="240" w:lineRule="auto"/>
        <w:rPr>
          <w:rFonts w:ascii="Arial" w:hAnsi="Arial" w:cs="Arial"/>
          <w:color w:val="000000"/>
          <w:sz w:val="22"/>
          <w:szCs w:val="22"/>
        </w:rPr>
      </w:pPr>
      <w:r w:rsidRPr="007D78A0">
        <w:rPr>
          <w:rFonts w:ascii="Arial" w:hAnsi="Arial" w:cs="Arial"/>
          <w:color w:val="000000"/>
          <w:sz w:val="22"/>
          <w:szCs w:val="22"/>
        </w:rPr>
        <w:t xml:space="preserve">The management of NMS should include: (1) immediate discontinuation of antipsychotic drugs and other drugs not essential to concurrent therapy; (2) intensive symptomatic treatment and medical monitoring; and (3) treatment of any concomitant serious medical problems for which specific treatments are available. There is no general agreement about specific pharmacological treatment regimens for uncomplicated NMS. </w:t>
      </w:r>
      <w:r w:rsidRPr="002A6369">
        <w:rPr>
          <w:rFonts w:ascii="Arial" w:hAnsi="Arial" w:cs="Arial"/>
          <w:color w:val="000000"/>
          <w:sz w:val="22"/>
          <w:szCs w:val="22"/>
        </w:rPr>
        <w:t>Consideration should be given to the long-acting nature of INVEGA TRINZA.</w:t>
      </w:r>
    </w:p>
    <w:p w:rsidR="00553C06" w:rsidRPr="002A6369" w:rsidRDefault="00553C06" w:rsidP="003778B1">
      <w:pPr>
        <w:pStyle w:val="BodyText12"/>
        <w:spacing w:line="240" w:lineRule="auto"/>
        <w:rPr>
          <w:rFonts w:ascii="Arial" w:hAnsi="Arial" w:cs="Arial"/>
          <w:color w:val="000000"/>
          <w:sz w:val="22"/>
          <w:szCs w:val="22"/>
        </w:rPr>
      </w:pPr>
    </w:p>
    <w:p w:rsidR="00502478" w:rsidRDefault="003778B1" w:rsidP="00502478">
      <w:pPr>
        <w:pStyle w:val="BodyText12"/>
        <w:spacing w:line="240" w:lineRule="auto"/>
        <w:rPr>
          <w:rFonts w:ascii="Arial" w:hAnsi="Arial" w:cs="Arial"/>
          <w:color w:val="000000"/>
          <w:sz w:val="22"/>
          <w:szCs w:val="22"/>
        </w:rPr>
      </w:pPr>
      <w:r w:rsidRPr="007D78A0">
        <w:rPr>
          <w:rFonts w:ascii="Arial" w:hAnsi="Arial" w:cs="Arial"/>
          <w:color w:val="000000"/>
          <w:sz w:val="22"/>
          <w:szCs w:val="22"/>
        </w:rPr>
        <w:lastRenderedPageBreak/>
        <w:t>If a patient appears to require antipsychotic drug treatment after recovery from NMS, reintroduction of drug therapy should be closely monitored, since recurrences of NMS have been reported.</w:t>
      </w:r>
      <w:r w:rsidR="00502478" w:rsidRPr="00502478">
        <w:rPr>
          <w:rFonts w:ascii="Arial" w:hAnsi="Arial" w:cs="Arial"/>
          <w:color w:val="000000"/>
          <w:sz w:val="22"/>
          <w:szCs w:val="22"/>
        </w:rPr>
        <w:t xml:space="preserve"> </w:t>
      </w:r>
    </w:p>
    <w:p w:rsidR="003144C6" w:rsidRPr="00502478" w:rsidRDefault="003144C6" w:rsidP="00502478">
      <w:pPr>
        <w:pStyle w:val="BodyText12"/>
        <w:spacing w:line="240" w:lineRule="auto"/>
        <w:rPr>
          <w:rFonts w:ascii="Arial" w:hAnsi="Arial" w:cs="Arial"/>
          <w:color w:val="000000"/>
          <w:sz w:val="22"/>
          <w:szCs w:val="22"/>
        </w:rPr>
      </w:pPr>
      <w:r w:rsidRPr="00502478">
        <w:rPr>
          <w:rFonts w:ascii="Arial" w:hAnsi="Arial" w:cs="Arial"/>
          <w:bCs/>
          <w:color w:val="000000"/>
          <w:sz w:val="22"/>
          <w:szCs w:val="22"/>
        </w:rPr>
        <w:t xml:space="preserve">If NMS has occurred with any paliperidone product, </w:t>
      </w:r>
      <w:r w:rsidR="00502478" w:rsidRPr="00502478">
        <w:rPr>
          <w:rFonts w:ascii="Arial" w:hAnsi="Arial" w:cs="Arial"/>
          <w:bCs/>
          <w:color w:val="000000"/>
          <w:sz w:val="22"/>
          <w:szCs w:val="22"/>
        </w:rPr>
        <w:t xml:space="preserve">INVEGA TRINZA </w:t>
      </w:r>
      <w:r w:rsidRPr="00502478">
        <w:rPr>
          <w:rFonts w:ascii="Arial" w:hAnsi="Arial" w:cs="Arial"/>
          <w:bCs/>
          <w:color w:val="000000"/>
          <w:sz w:val="22"/>
          <w:szCs w:val="22"/>
        </w:rPr>
        <w:t>should not be used.</w:t>
      </w:r>
    </w:p>
    <w:p w:rsidR="008F47F2" w:rsidRDefault="00E314E4" w:rsidP="008F47F2">
      <w:pPr>
        <w:pStyle w:val="Heading3"/>
        <w:keepLines/>
        <w:rPr>
          <w:color w:val="auto"/>
        </w:rPr>
      </w:pPr>
      <w:r w:rsidRPr="00F52D82">
        <w:rPr>
          <w:color w:val="auto"/>
        </w:rPr>
        <w:t>Tardive dyskinesia</w:t>
      </w:r>
    </w:p>
    <w:p w:rsidR="004376B2" w:rsidRDefault="004376B2" w:rsidP="002A6369">
      <w:pPr>
        <w:autoSpaceDE w:val="0"/>
        <w:autoSpaceDN w:val="0"/>
        <w:adjustRightInd w:val="0"/>
        <w:jc w:val="both"/>
      </w:pPr>
      <w:r>
        <w:t xml:space="preserve">A syndrome of potentially irreversible, involuntary, </w:t>
      </w:r>
      <w:proofErr w:type="spellStart"/>
      <w:r>
        <w:t>dyskinetic</w:t>
      </w:r>
      <w:proofErr w:type="spellEnd"/>
      <w:r>
        <w:t xml:space="preserve"> movements may develop in patients treated with antipsychotic drugs. Although the prevalence of the syndrome appears to be highest among the elderly, especially elderly women, it is impossible to predict which patients will develop the syndrome. Whether antipsychotic drug products differ in their potential to cause tardive dyskinesia is unknown. </w:t>
      </w:r>
    </w:p>
    <w:p w:rsidR="004376B2" w:rsidRDefault="004376B2" w:rsidP="002A6369">
      <w:pPr>
        <w:autoSpaceDE w:val="0"/>
        <w:autoSpaceDN w:val="0"/>
        <w:adjustRightInd w:val="0"/>
        <w:jc w:val="both"/>
      </w:pPr>
    </w:p>
    <w:p w:rsidR="004376B2" w:rsidRDefault="004376B2" w:rsidP="002A6369">
      <w:pPr>
        <w:autoSpaceDE w:val="0"/>
        <w:autoSpaceDN w:val="0"/>
        <w:adjustRightInd w:val="0"/>
        <w:jc w:val="both"/>
      </w:pPr>
      <w:r>
        <w:t xml:space="preserve">The risk of developing tardive dyskinesia and the likelihood that it will become irreversible appear to increase as the duration of treatment and the total cumulative dose of antipsychotic drugs administered to the patient increase, but the syndrome can develop after relatively brief treatment periods at low doses, although this is uncommon. </w:t>
      </w:r>
    </w:p>
    <w:p w:rsidR="004376B2" w:rsidRDefault="004376B2" w:rsidP="002A6369">
      <w:pPr>
        <w:autoSpaceDE w:val="0"/>
        <w:autoSpaceDN w:val="0"/>
        <w:adjustRightInd w:val="0"/>
        <w:jc w:val="both"/>
      </w:pPr>
    </w:p>
    <w:p w:rsidR="004376B2" w:rsidRDefault="004376B2" w:rsidP="002A6369">
      <w:pPr>
        <w:autoSpaceDE w:val="0"/>
        <w:autoSpaceDN w:val="0"/>
        <w:adjustRightInd w:val="0"/>
        <w:jc w:val="both"/>
      </w:pPr>
      <w:r>
        <w:t xml:space="preserve">There is no known treatment for established tardive dyskinesia, although the syndrome may remit, partially or completely, if antipsychotic treatment is withdrawn. Antipsychotic treatment itself may suppress (or partially suppress) the signs and symptoms of the syndrome and may thus mask the underlying process. The effect of symptomatic suppression on the long-term course of the syndrome is unknown. </w:t>
      </w:r>
    </w:p>
    <w:p w:rsidR="004376B2" w:rsidRDefault="004376B2" w:rsidP="002A6369">
      <w:pPr>
        <w:autoSpaceDE w:val="0"/>
        <w:autoSpaceDN w:val="0"/>
        <w:adjustRightInd w:val="0"/>
        <w:jc w:val="both"/>
      </w:pPr>
    </w:p>
    <w:p w:rsidR="004376B2" w:rsidRDefault="004376B2" w:rsidP="002A6369">
      <w:pPr>
        <w:autoSpaceDE w:val="0"/>
        <w:autoSpaceDN w:val="0"/>
        <w:adjustRightInd w:val="0"/>
        <w:jc w:val="both"/>
      </w:pPr>
      <w:r>
        <w:t xml:space="preserve">Given these considerations, INVEGA TRINZA should be prescribed in a manner that is most likely to minimize the occurrence of tardive dyskinesia. Chronic antipsychotic treatment should generally be reserved for patients who suffer from a chronic illness that is known to respond to antipsychotic drugs. In patients who do require chronic treatment, the smallest dose and the shortest duration of treatment producing a satisfactory clinical response should be sought. The need for continued treatment should be reassessed periodically. </w:t>
      </w:r>
    </w:p>
    <w:p w:rsidR="004376B2" w:rsidRDefault="004376B2" w:rsidP="002A6369">
      <w:pPr>
        <w:autoSpaceDE w:val="0"/>
        <w:autoSpaceDN w:val="0"/>
        <w:adjustRightInd w:val="0"/>
        <w:jc w:val="both"/>
      </w:pPr>
    </w:p>
    <w:p w:rsidR="004376B2" w:rsidRDefault="004376B2" w:rsidP="00FD4EE8">
      <w:pPr>
        <w:autoSpaceDE w:val="0"/>
        <w:autoSpaceDN w:val="0"/>
        <w:adjustRightInd w:val="0"/>
        <w:jc w:val="both"/>
      </w:pPr>
      <w:r>
        <w:t xml:space="preserve">If signs and symptoms of tardive dyskinesia appear in a patient treated with INVEGA </w:t>
      </w:r>
      <w:r w:rsidRPr="002A6369">
        <w:t xml:space="preserve">TRINZA, drug discontinuation should be considered. </w:t>
      </w:r>
      <w:r w:rsidRPr="002A6369">
        <w:rPr>
          <w:szCs w:val="24"/>
        </w:rPr>
        <w:t xml:space="preserve">Consideration should be given to the long-acting nature of INVEGA TRINZA. </w:t>
      </w:r>
      <w:r w:rsidRPr="002A6369">
        <w:t>However, some patients may require treatment with INVEGA TRINZA despite</w:t>
      </w:r>
      <w:r w:rsidR="00FD4EE8">
        <w:t xml:space="preserve"> the presence of the syndrome. </w:t>
      </w:r>
    </w:p>
    <w:p w:rsidR="00FD4EE8" w:rsidRPr="00FD4EE8" w:rsidRDefault="00FD4EE8" w:rsidP="00FD4EE8">
      <w:pPr>
        <w:autoSpaceDE w:val="0"/>
        <w:autoSpaceDN w:val="0"/>
        <w:adjustRightInd w:val="0"/>
        <w:jc w:val="both"/>
      </w:pPr>
    </w:p>
    <w:p w:rsidR="00E314E4" w:rsidRPr="00F52D82" w:rsidRDefault="00E314E4" w:rsidP="00E314E4">
      <w:pPr>
        <w:pStyle w:val="Heading3"/>
        <w:rPr>
          <w:color w:val="auto"/>
        </w:rPr>
      </w:pPr>
      <w:proofErr w:type="gramStart"/>
      <w:r w:rsidRPr="00F52D82">
        <w:rPr>
          <w:color w:val="auto"/>
        </w:rPr>
        <w:t>QT</w:t>
      </w:r>
      <w:r w:rsidR="00C33916">
        <w:rPr>
          <w:color w:val="auto"/>
        </w:rPr>
        <w:t xml:space="preserve"> </w:t>
      </w:r>
      <w:r w:rsidR="00015E3C">
        <w:rPr>
          <w:color w:val="auto"/>
        </w:rPr>
        <w:t xml:space="preserve"> prolongation</w:t>
      </w:r>
      <w:proofErr w:type="gramEnd"/>
    </w:p>
    <w:p w:rsidR="00015E3C" w:rsidRPr="005D174A" w:rsidRDefault="00015E3C" w:rsidP="00015E3C">
      <w:pPr>
        <w:autoSpaceDE w:val="0"/>
        <w:autoSpaceDN w:val="0"/>
        <w:adjustRightInd w:val="0"/>
        <w:jc w:val="both"/>
      </w:pPr>
      <w:r w:rsidRPr="005D174A">
        <w:t>Paliperidone causes a modest increase in the corrected QT (</w:t>
      </w:r>
      <w:proofErr w:type="spellStart"/>
      <w:r w:rsidRPr="005D174A">
        <w:t>QTc</w:t>
      </w:r>
      <w:proofErr w:type="spellEnd"/>
      <w:r w:rsidRPr="005D174A">
        <w:t xml:space="preserve">) interval. The use of paliperidone should be avoided in combination with other drugs that are known to prolong </w:t>
      </w:r>
      <w:proofErr w:type="spellStart"/>
      <w:r w:rsidRPr="005D174A">
        <w:t>QTc</w:t>
      </w:r>
      <w:proofErr w:type="spellEnd"/>
      <w:r w:rsidRPr="005D174A">
        <w:t xml:space="preserve"> including Class 1A (e.g., quinidine, procainamide) or Class III (e.g., amiodarone, </w:t>
      </w:r>
      <w:proofErr w:type="spellStart"/>
      <w:r w:rsidRPr="005D174A">
        <w:t>sotalol</w:t>
      </w:r>
      <w:proofErr w:type="spellEnd"/>
      <w:r w:rsidRPr="005D174A">
        <w:t xml:space="preserve">) antiarrhythmic medications, antipsychotic medications (e.g., chlorpromazine, </w:t>
      </w:r>
      <w:proofErr w:type="spellStart"/>
      <w:r w:rsidRPr="005D174A">
        <w:t>thioridazine</w:t>
      </w:r>
      <w:proofErr w:type="spellEnd"/>
      <w:r w:rsidRPr="005D174A">
        <w:t xml:space="preserve">), antibiotics (e.g., </w:t>
      </w:r>
      <w:proofErr w:type="spellStart"/>
      <w:r w:rsidRPr="005D174A">
        <w:t>gatifloxacin</w:t>
      </w:r>
      <w:proofErr w:type="spellEnd"/>
      <w:r w:rsidRPr="005D174A">
        <w:t xml:space="preserve">, moxifloxacin), or any other class of medications known to prolong the </w:t>
      </w:r>
      <w:proofErr w:type="spellStart"/>
      <w:r w:rsidRPr="005D174A">
        <w:t>QTc</w:t>
      </w:r>
      <w:proofErr w:type="spellEnd"/>
      <w:r w:rsidRPr="005D174A">
        <w:t xml:space="preserve"> interval. Paliperidone should also be avoided in patients with congenital long QT syndrome and in patients with a history of cardiac arrhythmias.</w:t>
      </w:r>
    </w:p>
    <w:p w:rsidR="00015E3C" w:rsidRDefault="00015E3C" w:rsidP="00015E3C">
      <w:pPr>
        <w:autoSpaceDE w:val="0"/>
        <w:autoSpaceDN w:val="0"/>
        <w:adjustRightInd w:val="0"/>
        <w:jc w:val="both"/>
      </w:pPr>
    </w:p>
    <w:p w:rsidR="00015E3C" w:rsidRDefault="00015E3C" w:rsidP="00015E3C">
      <w:pPr>
        <w:autoSpaceDE w:val="0"/>
        <w:autoSpaceDN w:val="0"/>
        <w:adjustRightInd w:val="0"/>
        <w:jc w:val="both"/>
      </w:pPr>
      <w:r w:rsidRPr="005D174A">
        <w:t xml:space="preserve">Certain circumstances may increase the risk of the occurrence of torsade de pointes and/or sudden death in association with the use of drugs that prolong the </w:t>
      </w:r>
      <w:proofErr w:type="spellStart"/>
      <w:r w:rsidRPr="005D174A">
        <w:t>QTc</w:t>
      </w:r>
      <w:proofErr w:type="spellEnd"/>
      <w:r w:rsidRPr="005D174A">
        <w:t xml:space="preserve"> interval, including (1) bradycardia; (2) hypokalaemia or hypomagnesaemia; (3) concomitant use of other drugs that prolong the </w:t>
      </w:r>
      <w:proofErr w:type="spellStart"/>
      <w:r w:rsidRPr="005D174A">
        <w:t>QTc</w:t>
      </w:r>
      <w:proofErr w:type="spellEnd"/>
      <w:r w:rsidRPr="005D174A">
        <w:t xml:space="preserve"> interval; and (4) presence of congenital p</w:t>
      </w:r>
      <w:r>
        <w:t>rolongation of the QT interval.</w:t>
      </w:r>
    </w:p>
    <w:p w:rsidR="00015E3C" w:rsidRDefault="00015E3C" w:rsidP="00554755">
      <w:pPr>
        <w:autoSpaceDE w:val="0"/>
        <w:autoSpaceDN w:val="0"/>
        <w:adjustRightInd w:val="0"/>
        <w:jc w:val="both"/>
      </w:pPr>
    </w:p>
    <w:p w:rsidR="00015E3C" w:rsidRDefault="00015E3C" w:rsidP="00015E3C">
      <w:pPr>
        <w:autoSpaceDE w:val="0"/>
        <w:autoSpaceDN w:val="0"/>
        <w:adjustRightInd w:val="0"/>
        <w:jc w:val="both"/>
      </w:pPr>
      <w:r>
        <w:t xml:space="preserve">The effects of paliperidone on the QT interval were evaluated in a double-blind, active-controlled (moxifloxacin 400 mg single dose), multicentre </w:t>
      </w:r>
      <w:r w:rsidRPr="00577650">
        <w:t>QT study with oral paliperidone in adults with schizophren</w:t>
      </w:r>
      <w:r>
        <w:t>ia and schizoaffective disorder</w:t>
      </w:r>
      <w:r w:rsidRPr="005D174A">
        <w:t xml:space="preserve"> and in three placebo- and active-controlled 6-week, fixed-dose efficacy trials</w:t>
      </w:r>
      <w:r>
        <w:t xml:space="preserve"> in adults with schizophrenia. </w:t>
      </w:r>
    </w:p>
    <w:p w:rsidR="00015E3C" w:rsidRDefault="00015E3C" w:rsidP="00015E3C">
      <w:pPr>
        <w:autoSpaceDE w:val="0"/>
        <w:autoSpaceDN w:val="0"/>
        <w:adjustRightInd w:val="0"/>
        <w:jc w:val="both"/>
      </w:pPr>
    </w:p>
    <w:p w:rsidR="00015E3C" w:rsidRDefault="00015E3C" w:rsidP="00015E3C">
      <w:pPr>
        <w:autoSpaceDE w:val="0"/>
        <w:autoSpaceDN w:val="0"/>
        <w:adjustRightInd w:val="0"/>
        <w:jc w:val="both"/>
      </w:pPr>
      <w:r>
        <w:lastRenderedPageBreak/>
        <w:t xml:space="preserve">In the Thorough QT study (n = 141), the 8 mg dose of immediate-release oral paliperidone (n=50) showed a mean placebo-subtracted increase from baseline in </w:t>
      </w:r>
      <w:proofErr w:type="spellStart"/>
      <w:r>
        <w:t>QTcLD</w:t>
      </w:r>
      <w:proofErr w:type="spellEnd"/>
      <w:r>
        <w:t xml:space="preserve"> (QT interval corrected for heart rate using the population specified linear derived method) of 12.3 </w:t>
      </w:r>
      <w:proofErr w:type="spellStart"/>
      <w:r>
        <w:t>msec</w:t>
      </w:r>
      <w:proofErr w:type="spellEnd"/>
      <w:r>
        <w:t xml:space="preserve"> (90% CI: 8.9; 15.6) on day 8 at 1.5 hours post-dose. The mean steady-state peak plasma concentration for this 8 mg dose of paliperidone immediate release (</w:t>
      </w:r>
      <w:proofErr w:type="spellStart"/>
      <w:r>
        <w:t>C</w:t>
      </w:r>
      <w:r w:rsidRPr="00073D60">
        <w:rPr>
          <w:vertAlign w:val="subscript"/>
        </w:rPr>
        <w:t>max</w:t>
      </w:r>
      <w:proofErr w:type="spellEnd"/>
      <w:r>
        <w:t xml:space="preserve"> </w:t>
      </w:r>
      <w:proofErr w:type="spellStart"/>
      <w:r>
        <w:t>ss</w:t>
      </w:r>
      <w:proofErr w:type="spellEnd"/>
      <w:r>
        <w:t xml:space="preserve"> = 113 ng/mL) was approximately 2-fold the </w:t>
      </w:r>
      <w:r w:rsidRPr="005D174A">
        <w:t xml:space="preserve">PopPK predicted concentration </w:t>
      </w:r>
      <w:r>
        <w:t xml:space="preserve">with the maximum recommended 525 mg dose of INVEGA TRINZA administered in the deltoid muscle (predicted median </w:t>
      </w:r>
      <w:proofErr w:type="spellStart"/>
      <w:r>
        <w:t>C</w:t>
      </w:r>
      <w:r w:rsidRPr="00073D60">
        <w:rPr>
          <w:vertAlign w:val="subscript"/>
        </w:rPr>
        <w:t>max</w:t>
      </w:r>
      <w:proofErr w:type="spellEnd"/>
      <w:r>
        <w:t xml:space="preserve"> </w:t>
      </w:r>
      <w:proofErr w:type="spellStart"/>
      <w:r>
        <w:t>ss</w:t>
      </w:r>
      <w:proofErr w:type="spellEnd"/>
      <w:r>
        <w:t xml:space="preserve"> = 56 ng/mL). In this same study, a 4 mg dose of the immediate-release oral formulation of </w:t>
      </w:r>
      <w:proofErr w:type="spellStart"/>
      <w:r>
        <w:t>paliperidone</w:t>
      </w:r>
      <w:proofErr w:type="spellEnd"/>
      <w:r>
        <w:t xml:space="preserve">, for which </w:t>
      </w:r>
      <w:proofErr w:type="spellStart"/>
      <w:r>
        <w:t>C</w:t>
      </w:r>
      <w:r w:rsidRPr="00073D60">
        <w:rPr>
          <w:vertAlign w:val="subscript"/>
        </w:rPr>
        <w:t>max</w:t>
      </w:r>
      <w:proofErr w:type="spellEnd"/>
      <w:r>
        <w:t xml:space="preserve"> </w:t>
      </w:r>
      <w:proofErr w:type="spellStart"/>
      <w:r>
        <w:t>ss</w:t>
      </w:r>
      <w:proofErr w:type="spellEnd"/>
      <w:r>
        <w:t xml:space="preserve"> = 35 ng/mL, showed an increased placebo-subtracted </w:t>
      </w:r>
      <w:proofErr w:type="spellStart"/>
      <w:r>
        <w:t>QTcLD</w:t>
      </w:r>
      <w:proofErr w:type="spellEnd"/>
      <w:r>
        <w:t xml:space="preserve"> of 6.8 </w:t>
      </w:r>
      <w:proofErr w:type="spellStart"/>
      <w:r>
        <w:t>msec</w:t>
      </w:r>
      <w:proofErr w:type="spellEnd"/>
      <w:r>
        <w:t xml:space="preserve"> (90% CI: 3.6; 10.1) on day 2 at 1.5 hours post-dose. </w:t>
      </w:r>
    </w:p>
    <w:p w:rsidR="00015E3C" w:rsidRDefault="00015E3C" w:rsidP="00015E3C">
      <w:pPr>
        <w:autoSpaceDE w:val="0"/>
        <w:autoSpaceDN w:val="0"/>
        <w:adjustRightInd w:val="0"/>
        <w:jc w:val="both"/>
      </w:pPr>
      <w:r>
        <w:t xml:space="preserve">In the four fixed-dose efficacy studies of the 1-month paliperidone palmitate injectable product, no subject had a change in </w:t>
      </w:r>
      <w:proofErr w:type="spellStart"/>
      <w:r>
        <w:t>QTcLD</w:t>
      </w:r>
      <w:proofErr w:type="spellEnd"/>
      <w:r>
        <w:t xml:space="preserve"> exceeding 60 </w:t>
      </w:r>
      <w:proofErr w:type="spellStart"/>
      <w:r>
        <w:t>msec</w:t>
      </w:r>
      <w:proofErr w:type="spellEnd"/>
      <w:r>
        <w:t xml:space="preserve"> and no subject had a </w:t>
      </w:r>
      <w:proofErr w:type="spellStart"/>
      <w:r>
        <w:t>QTcLD</w:t>
      </w:r>
      <w:proofErr w:type="spellEnd"/>
      <w:r>
        <w:t xml:space="preserve"> value of &gt; 500 </w:t>
      </w:r>
      <w:proofErr w:type="spellStart"/>
      <w:r>
        <w:t>msec</w:t>
      </w:r>
      <w:proofErr w:type="spellEnd"/>
      <w:r>
        <w:t xml:space="preserve"> at any time point. In the </w:t>
      </w:r>
      <w:r w:rsidRPr="005D174A">
        <w:t xml:space="preserve">long-term recurrence prevention </w:t>
      </w:r>
      <w:r>
        <w:t xml:space="preserve">study, no subject had a </w:t>
      </w:r>
      <w:proofErr w:type="spellStart"/>
      <w:r>
        <w:t>QTcLD</w:t>
      </w:r>
      <w:proofErr w:type="spellEnd"/>
      <w:r>
        <w:t xml:space="preserve"> change &gt; 60 </w:t>
      </w:r>
      <w:proofErr w:type="spellStart"/>
      <w:r>
        <w:t>msec</w:t>
      </w:r>
      <w:proofErr w:type="spellEnd"/>
      <w:r>
        <w:t xml:space="preserve">, and one subject had a </w:t>
      </w:r>
      <w:proofErr w:type="spellStart"/>
      <w:r>
        <w:t>QTcLD</w:t>
      </w:r>
      <w:proofErr w:type="spellEnd"/>
      <w:r>
        <w:t xml:space="preserve"> value of 507 </w:t>
      </w:r>
      <w:proofErr w:type="spellStart"/>
      <w:r>
        <w:t>msec</w:t>
      </w:r>
      <w:proofErr w:type="spellEnd"/>
      <w:r>
        <w:t xml:space="preserve"> (</w:t>
      </w:r>
      <w:proofErr w:type="spellStart"/>
      <w:r>
        <w:t>Bazett’s</w:t>
      </w:r>
      <w:proofErr w:type="spellEnd"/>
      <w:r>
        <w:t xml:space="preserve"> QT corrected interval [QTcB] value of 483 </w:t>
      </w:r>
      <w:proofErr w:type="spellStart"/>
      <w:r>
        <w:t>msec</w:t>
      </w:r>
      <w:proofErr w:type="spellEnd"/>
      <w:r>
        <w:t xml:space="preserve">); this latter subject also had a heart rate of 45 beats per minute. </w:t>
      </w:r>
    </w:p>
    <w:p w:rsidR="00015E3C" w:rsidRDefault="00015E3C" w:rsidP="00015E3C">
      <w:pPr>
        <w:autoSpaceDE w:val="0"/>
        <w:autoSpaceDN w:val="0"/>
        <w:adjustRightInd w:val="0"/>
        <w:jc w:val="both"/>
      </w:pPr>
    </w:p>
    <w:p w:rsidR="00015E3C" w:rsidRDefault="00015E3C" w:rsidP="00015E3C">
      <w:pPr>
        <w:autoSpaceDE w:val="0"/>
        <w:autoSpaceDN w:val="0"/>
        <w:adjustRightInd w:val="0"/>
        <w:jc w:val="both"/>
      </w:pPr>
      <w:r>
        <w:t xml:space="preserve">In the long-term relapse prevention trial of INVEGA TRINZA in subjects with schizophrenia, an increase in </w:t>
      </w:r>
      <w:proofErr w:type="spellStart"/>
      <w:r>
        <w:t>QTcLD</w:t>
      </w:r>
      <w:proofErr w:type="spellEnd"/>
      <w:r>
        <w:t xml:space="preserve"> exceeding 60 </w:t>
      </w:r>
      <w:proofErr w:type="spellStart"/>
      <w:r>
        <w:t>msec</w:t>
      </w:r>
      <w:proofErr w:type="spellEnd"/>
      <w:r>
        <w:t xml:space="preserve"> was observed in 1 subject (&lt; 1%) in the open-label phase, no subject had an increase in </w:t>
      </w:r>
      <w:proofErr w:type="spellStart"/>
      <w:r>
        <w:t>QTcLD</w:t>
      </w:r>
      <w:proofErr w:type="spellEnd"/>
      <w:r>
        <w:t xml:space="preserve"> exceeding 60 </w:t>
      </w:r>
      <w:proofErr w:type="spellStart"/>
      <w:r>
        <w:t>msec</w:t>
      </w:r>
      <w:proofErr w:type="spellEnd"/>
      <w:r>
        <w:t xml:space="preserve"> after treatment with INVEGA TRINZA in the double-blind phase, and no subject had a </w:t>
      </w:r>
      <w:proofErr w:type="spellStart"/>
      <w:r>
        <w:t>QTcLD</w:t>
      </w:r>
      <w:proofErr w:type="spellEnd"/>
      <w:r>
        <w:t xml:space="preserve"> value of &gt; 480 </w:t>
      </w:r>
      <w:proofErr w:type="spellStart"/>
      <w:r>
        <w:t>msec</w:t>
      </w:r>
      <w:proofErr w:type="spellEnd"/>
      <w:r>
        <w:t xml:space="preserve"> at any point in the study. </w:t>
      </w:r>
    </w:p>
    <w:p w:rsidR="00015E3C" w:rsidRDefault="00015E3C" w:rsidP="00015E3C">
      <w:pPr>
        <w:autoSpaceDE w:val="0"/>
        <w:autoSpaceDN w:val="0"/>
        <w:adjustRightInd w:val="0"/>
        <w:jc w:val="both"/>
      </w:pPr>
    </w:p>
    <w:p w:rsidR="00502478" w:rsidRDefault="00015E3C" w:rsidP="00502478">
      <w:pPr>
        <w:autoSpaceDE w:val="0"/>
        <w:autoSpaceDN w:val="0"/>
        <w:adjustRightInd w:val="0"/>
        <w:jc w:val="both"/>
        <w:rPr>
          <w:szCs w:val="20"/>
        </w:rPr>
      </w:pPr>
      <w:r w:rsidRPr="005D174A">
        <w:t xml:space="preserve">In the long term non-inferiority study 1 subject each in the INVEGA TRINZA and 1-month paliperidone palmitate groups had a change in the </w:t>
      </w:r>
      <w:proofErr w:type="spellStart"/>
      <w:r w:rsidRPr="005D174A">
        <w:t>QTcLD</w:t>
      </w:r>
      <w:proofErr w:type="spellEnd"/>
      <w:r w:rsidRPr="005D174A">
        <w:t xml:space="preserve"> value of &gt;60msec during the DB Phase relative to the average predose value. In the INVEGA TRINZA subject, the absolute </w:t>
      </w:r>
      <w:proofErr w:type="spellStart"/>
      <w:r w:rsidRPr="005D174A">
        <w:t>QTcLD</w:t>
      </w:r>
      <w:proofErr w:type="spellEnd"/>
      <w:r w:rsidRPr="005D174A">
        <w:t xml:space="preserve"> value at the time of the increase was &lt; </w:t>
      </w:r>
      <w:proofErr w:type="gramStart"/>
      <w:r w:rsidRPr="005D174A">
        <w:t>480msec,</w:t>
      </w:r>
      <w:proofErr w:type="gramEnd"/>
      <w:r w:rsidRPr="005D174A">
        <w:t xml:space="preserve"> and all </w:t>
      </w:r>
      <w:proofErr w:type="spellStart"/>
      <w:r w:rsidRPr="005D174A">
        <w:t>QTc</w:t>
      </w:r>
      <w:proofErr w:type="spellEnd"/>
      <w:r w:rsidRPr="005D174A">
        <w:t xml:space="preserve"> interval values were n</w:t>
      </w:r>
      <w:r>
        <w:t xml:space="preserve">ormal at the next study visit. </w:t>
      </w:r>
    </w:p>
    <w:p w:rsidR="00502478" w:rsidRDefault="00502478" w:rsidP="00502478">
      <w:pPr>
        <w:autoSpaceDE w:val="0"/>
        <w:autoSpaceDN w:val="0"/>
        <w:adjustRightInd w:val="0"/>
        <w:jc w:val="both"/>
        <w:rPr>
          <w:szCs w:val="20"/>
        </w:rPr>
      </w:pPr>
      <w:r>
        <w:rPr>
          <w:szCs w:val="20"/>
        </w:rPr>
        <w:t>If clinically significant QT prolongation has occurred with any paliperidone product, INVEGA TRINZA should not be used.</w:t>
      </w:r>
    </w:p>
    <w:p w:rsidR="00015E3C" w:rsidRDefault="00015E3C" w:rsidP="005D174A">
      <w:pPr>
        <w:pStyle w:val="Heading3"/>
        <w:rPr>
          <w:rFonts w:eastAsia="Arial Unicode MS"/>
        </w:rPr>
      </w:pPr>
    </w:p>
    <w:p w:rsidR="00015E3C" w:rsidRPr="002A6369" w:rsidRDefault="00B17AE0" w:rsidP="002A6369">
      <w:pPr>
        <w:pStyle w:val="Heading3"/>
        <w:rPr>
          <w:rFonts w:eastAsia="Arial Unicode MS"/>
        </w:rPr>
      </w:pPr>
      <w:r w:rsidRPr="004759BE">
        <w:rPr>
          <w:rFonts w:eastAsia="Arial Unicode MS"/>
        </w:rPr>
        <w:t>Hypersensitivity reactions</w:t>
      </w:r>
    </w:p>
    <w:p w:rsidR="00EE761A" w:rsidRDefault="00EE761A" w:rsidP="00EE761A">
      <w:pPr>
        <w:autoSpaceDE w:val="0"/>
        <w:autoSpaceDN w:val="0"/>
        <w:adjustRightInd w:val="0"/>
        <w:jc w:val="both"/>
      </w:pPr>
      <w:r>
        <w:t xml:space="preserve">Although tolerability with oral paliperidone or risperidone should be established prior to initiating treatment with INVEGA </w:t>
      </w:r>
      <w:r w:rsidRPr="005D174A">
        <w:t>TRINZA</w:t>
      </w:r>
      <w:r>
        <w:t xml:space="preserve">, very rare cases of anaphylactic reactions have been reported during </w:t>
      </w:r>
      <w:proofErr w:type="spellStart"/>
      <w:r>
        <w:t>Postmarketing</w:t>
      </w:r>
      <w:proofErr w:type="spellEnd"/>
      <w:r>
        <w:t xml:space="preserve"> experience in patients who have previously tolerated oral risperidone or oral paliperidone (see </w:t>
      </w:r>
      <w:r w:rsidRPr="0013670E">
        <w:rPr>
          <w:b/>
        </w:rPr>
        <w:t>DOSAGE AND ADMINISTRATION</w:t>
      </w:r>
      <w:r>
        <w:t xml:space="preserve"> and </w:t>
      </w:r>
      <w:r w:rsidRPr="0013670E">
        <w:rPr>
          <w:b/>
        </w:rPr>
        <w:t>ADVERSE EFFECTS</w:t>
      </w:r>
      <w:r>
        <w:t xml:space="preserve">). </w:t>
      </w:r>
    </w:p>
    <w:p w:rsidR="00EE761A" w:rsidRDefault="00EE761A" w:rsidP="00EE761A">
      <w:pPr>
        <w:autoSpaceDE w:val="0"/>
        <w:autoSpaceDN w:val="0"/>
        <w:adjustRightInd w:val="0"/>
        <w:jc w:val="both"/>
      </w:pPr>
    </w:p>
    <w:p w:rsidR="00EE761A" w:rsidRDefault="00EE761A" w:rsidP="00EE761A">
      <w:pPr>
        <w:autoSpaceDE w:val="0"/>
        <w:autoSpaceDN w:val="0"/>
        <w:adjustRightInd w:val="0"/>
        <w:jc w:val="both"/>
      </w:pPr>
      <w:r>
        <w:t xml:space="preserve">If hypersensitivity reactions occur, discontinue use of INVEGA </w:t>
      </w:r>
      <w:r w:rsidRPr="005D174A">
        <w:t>TRINZA;</w:t>
      </w:r>
      <w:r>
        <w:t xml:space="preserve"> initiate general supportive measures as clinically appropriate and monitor the patient until signs and symptoms resolve. </w:t>
      </w:r>
      <w:proofErr w:type="gramStart"/>
      <w:r>
        <w:t xml:space="preserve">(See </w:t>
      </w:r>
      <w:r w:rsidRPr="0013670E">
        <w:rPr>
          <w:b/>
        </w:rPr>
        <w:t>CONTRAINDICATIONS</w:t>
      </w:r>
      <w:r>
        <w:t xml:space="preserve"> and </w:t>
      </w:r>
      <w:r w:rsidRPr="0013670E">
        <w:rPr>
          <w:b/>
        </w:rPr>
        <w:t>ADVERSE EFFECTS</w:t>
      </w:r>
      <w:r>
        <w:t>).</w:t>
      </w:r>
      <w:proofErr w:type="gramEnd"/>
      <w:r>
        <w:t xml:space="preserve"> </w:t>
      </w:r>
    </w:p>
    <w:p w:rsidR="00EE761A" w:rsidRDefault="00EE761A" w:rsidP="005D174A">
      <w:pPr>
        <w:pStyle w:val="Heading3"/>
        <w:rPr>
          <w:color w:val="auto"/>
        </w:rPr>
      </w:pPr>
    </w:p>
    <w:p w:rsidR="00E314E4" w:rsidRPr="00F52D82" w:rsidRDefault="00E314E4" w:rsidP="005D174A">
      <w:pPr>
        <w:pStyle w:val="Heading3"/>
        <w:rPr>
          <w:color w:val="auto"/>
        </w:rPr>
      </w:pPr>
      <w:r w:rsidRPr="00F52D82">
        <w:rPr>
          <w:color w:val="auto"/>
        </w:rPr>
        <w:t>Orthostatic hypotension</w:t>
      </w:r>
      <w:r w:rsidR="00FB2784">
        <w:rPr>
          <w:color w:val="auto"/>
        </w:rPr>
        <w:t xml:space="preserve"> </w:t>
      </w:r>
      <w:r w:rsidR="00EE761A">
        <w:rPr>
          <w:color w:val="auto"/>
        </w:rPr>
        <w:t>and Syncope</w:t>
      </w:r>
      <w:r w:rsidR="00EE761A" w:rsidDel="00EE761A">
        <w:rPr>
          <w:color w:val="auto"/>
        </w:rPr>
        <w:t xml:space="preserve"> </w:t>
      </w:r>
    </w:p>
    <w:p w:rsidR="00126963" w:rsidRDefault="00E314E4" w:rsidP="005D174A">
      <w:pPr>
        <w:pStyle w:val="BodyText12"/>
        <w:spacing w:line="240" w:lineRule="auto"/>
        <w:rPr>
          <w:rFonts w:ascii="Arial" w:hAnsi="Arial" w:cs="Arial"/>
          <w:sz w:val="22"/>
          <w:szCs w:val="22"/>
        </w:rPr>
      </w:pPr>
      <w:r w:rsidRPr="00F52D82">
        <w:rPr>
          <w:rFonts w:ascii="Arial" w:hAnsi="Arial" w:cs="Arial"/>
          <w:sz w:val="22"/>
          <w:szCs w:val="22"/>
        </w:rPr>
        <w:t xml:space="preserve">Paliperidone may induce orthostatic hypotension in some patients based on its alpha-adrenergic blocking activity. </w:t>
      </w:r>
    </w:p>
    <w:p w:rsidR="00FB2784" w:rsidRDefault="00EE761A" w:rsidP="002A6369">
      <w:pPr>
        <w:autoSpaceDE w:val="0"/>
        <w:autoSpaceDN w:val="0"/>
        <w:adjustRightInd w:val="0"/>
        <w:jc w:val="both"/>
      </w:pPr>
      <w:r w:rsidRPr="005D174A">
        <w:t>In the non-inferiority study, 2 subjects (0.4%) in the INVEGA TRINZA group and 7 subjects (1.4%) in the 1-month paliperidone palmitate group reported adverse events related to orthostatic hypotension (dizziness postural, orthostatic hypotension). In the long term relapse study, 1 subject (0.3%) on INVEGA TRINZA during the Maintenance phase experienced treatment-emergent adverse event related of orthostatic hypotension and during the Double-blind Phase, 1 subject in the placebo group (0.7%) experienced a treatment-emergent adverse event related to orthostatic hypotension (dizziness postural). No adverse events of syncope were observed following treatment with INVEGA TRINZA in either study.</w:t>
      </w:r>
    </w:p>
    <w:p w:rsidR="002A6369" w:rsidRPr="005D174A" w:rsidRDefault="002A6369" w:rsidP="002A6369">
      <w:pPr>
        <w:autoSpaceDE w:val="0"/>
        <w:autoSpaceDN w:val="0"/>
        <w:adjustRightInd w:val="0"/>
        <w:jc w:val="both"/>
      </w:pPr>
    </w:p>
    <w:p w:rsidR="00E314E4" w:rsidRPr="005D174A" w:rsidRDefault="00E314E4" w:rsidP="005D174A">
      <w:pPr>
        <w:pStyle w:val="BodyText12"/>
        <w:spacing w:line="240" w:lineRule="auto"/>
        <w:rPr>
          <w:rFonts w:ascii="Arial" w:hAnsi="Arial" w:cs="Arial"/>
          <w:sz w:val="22"/>
          <w:szCs w:val="22"/>
        </w:rPr>
      </w:pPr>
      <w:r w:rsidRPr="005D174A">
        <w:rPr>
          <w:rFonts w:ascii="Arial" w:hAnsi="Arial" w:cs="Arial"/>
          <w:sz w:val="22"/>
          <w:szCs w:val="22"/>
        </w:rPr>
        <w:lastRenderedPageBreak/>
        <w:t>INVEGA TRINZA should be used with caution in patients with known cardiovascular disease (e.g., heart failure, myocardial infarction or ischemia, conduction abnormalities), cerebrovascular disease, or conditions that predispose the patient to h</w:t>
      </w:r>
      <w:r w:rsidR="002A6369">
        <w:rPr>
          <w:rFonts w:ascii="Arial" w:hAnsi="Arial" w:cs="Arial"/>
          <w:sz w:val="22"/>
          <w:szCs w:val="22"/>
        </w:rPr>
        <w:t xml:space="preserve">ypotension (e.g., dehydration, </w:t>
      </w:r>
      <w:r w:rsidRPr="005D174A">
        <w:rPr>
          <w:rFonts w:ascii="Arial" w:hAnsi="Arial" w:cs="Arial"/>
          <w:sz w:val="22"/>
          <w:szCs w:val="22"/>
        </w:rPr>
        <w:t>hypovolemia, and treatment with antihypertensive medications).</w:t>
      </w:r>
    </w:p>
    <w:p w:rsidR="002265D0" w:rsidRPr="005D174A" w:rsidRDefault="002265D0" w:rsidP="002265D0">
      <w:pPr>
        <w:keepNext/>
        <w:autoSpaceDE w:val="0"/>
        <w:autoSpaceDN w:val="0"/>
        <w:adjustRightInd w:val="0"/>
        <w:jc w:val="both"/>
        <w:rPr>
          <w:strike/>
          <w:szCs w:val="24"/>
        </w:rPr>
      </w:pPr>
      <w:r w:rsidRPr="005D174A">
        <w:rPr>
          <w:b/>
          <w:szCs w:val="24"/>
        </w:rPr>
        <w:t>Use in Patients with Concomitant Illness</w:t>
      </w:r>
    </w:p>
    <w:p w:rsidR="002265D0" w:rsidRPr="005D174A" w:rsidRDefault="002265D0" w:rsidP="002265D0">
      <w:pPr>
        <w:autoSpaceDE w:val="0"/>
        <w:autoSpaceDN w:val="0"/>
        <w:adjustRightInd w:val="0"/>
        <w:jc w:val="both"/>
        <w:rPr>
          <w:strike/>
          <w:szCs w:val="24"/>
        </w:rPr>
      </w:pPr>
      <w:r w:rsidRPr="005D174A">
        <w:rPr>
          <w:szCs w:val="24"/>
        </w:rPr>
        <w:t>Clinical experience with INVEGA TRINZA in patients with certain concomitant illnesses is</w:t>
      </w:r>
      <w:r w:rsidRPr="005D174A">
        <w:rPr>
          <w:strike/>
          <w:szCs w:val="24"/>
        </w:rPr>
        <w:t xml:space="preserve"> </w:t>
      </w:r>
      <w:r w:rsidRPr="005D174A">
        <w:rPr>
          <w:szCs w:val="24"/>
        </w:rPr>
        <w:t xml:space="preserve">limited. </w:t>
      </w:r>
    </w:p>
    <w:p w:rsidR="002265D0" w:rsidRPr="005D174A" w:rsidRDefault="002265D0" w:rsidP="002265D0">
      <w:pPr>
        <w:autoSpaceDE w:val="0"/>
        <w:autoSpaceDN w:val="0"/>
        <w:adjustRightInd w:val="0"/>
        <w:jc w:val="both"/>
        <w:rPr>
          <w:strike/>
          <w:szCs w:val="24"/>
        </w:rPr>
      </w:pPr>
      <w:r w:rsidRPr="005D174A">
        <w:rPr>
          <w:szCs w:val="24"/>
        </w:rPr>
        <w:t xml:space="preserve">Patients with </w:t>
      </w:r>
      <w:proofErr w:type="gramStart"/>
      <w:r w:rsidRPr="005D174A">
        <w:rPr>
          <w:szCs w:val="24"/>
        </w:rPr>
        <w:t>Parkinson’s Disease</w:t>
      </w:r>
      <w:proofErr w:type="gramEnd"/>
      <w:r w:rsidRPr="005D174A">
        <w:rPr>
          <w:szCs w:val="24"/>
        </w:rPr>
        <w:t xml:space="preserve"> or Dementia with Lewy Bodies are reported to have an</w:t>
      </w:r>
      <w:r w:rsidRPr="005D174A">
        <w:rPr>
          <w:strike/>
          <w:szCs w:val="24"/>
        </w:rPr>
        <w:t xml:space="preserve"> </w:t>
      </w:r>
      <w:r w:rsidRPr="005D174A">
        <w:rPr>
          <w:szCs w:val="24"/>
        </w:rPr>
        <w:t>increased sensitivity to antipsychotic medication. Manifestations of this increased sensitivity</w:t>
      </w:r>
      <w:r w:rsidRPr="005D174A">
        <w:rPr>
          <w:strike/>
          <w:szCs w:val="24"/>
        </w:rPr>
        <w:t xml:space="preserve"> </w:t>
      </w:r>
      <w:r w:rsidRPr="005D174A">
        <w:rPr>
          <w:szCs w:val="24"/>
        </w:rPr>
        <w:t xml:space="preserve">include confusion, </w:t>
      </w:r>
      <w:proofErr w:type="spellStart"/>
      <w:r w:rsidRPr="005D174A">
        <w:rPr>
          <w:szCs w:val="24"/>
        </w:rPr>
        <w:t>obtundation</w:t>
      </w:r>
      <w:proofErr w:type="spellEnd"/>
      <w:r w:rsidRPr="005D174A">
        <w:rPr>
          <w:szCs w:val="24"/>
        </w:rPr>
        <w:t xml:space="preserve">, </w:t>
      </w:r>
      <w:proofErr w:type="gramStart"/>
      <w:r w:rsidRPr="005D174A">
        <w:rPr>
          <w:szCs w:val="24"/>
        </w:rPr>
        <w:t>postural</w:t>
      </w:r>
      <w:proofErr w:type="gramEnd"/>
      <w:r w:rsidRPr="005D174A">
        <w:rPr>
          <w:szCs w:val="24"/>
        </w:rPr>
        <w:t xml:space="preserve"> instability with frequent falls, extrapyramidal symptoms, and clinical features consistent with the neuroleptic malignant syndrome.</w:t>
      </w:r>
    </w:p>
    <w:p w:rsidR="002265D0" w:rsidRPr="005D174A" w:rsidRDefault="002265D0" w:rsidP="002265D0">
      <w:pPr>
        <w:autoSpaceDE w:val="0"/>
        <w:autoSpaceDN w:val="0"/>
        <w:adjustRightInd w:val="0"/>
        <w:jc w:val="both"/>
        <w:rPr>
          <w:strike/>
          <w:szCs w:val="24"/>
        </w:rPr>
      </w:pPr>
    </w:p>
    <w:p w:rsidR="002265D0" w:rsidRPr="005D174A" w:rsidRDefault="002265D0" w:rsidP="002265D0">
      <w:pPr>
        <w:autoSpaceDE w:val="0"/>
        <w:autoSpaceDN w:val="0"/>
        <w:adjustRightInd w:val="0"/>
        <w:jc w:val="both"/>
        <w:rPr>
          <w:strike/>
          <w:szCs w:val="24"/>
        </w:rPr>
      </w:pPr>
      <w:r w:rsidRPr="005D174A">
        <w:rPr>
          <w:szCs w:val="24"/>
        </w:rPr>
        <w:t xml:space="preserve">INVEGA TRINZA has not been evaluated or used to any appreciable extent in patients with a recent history of myocardial infarction or unstable heart disease. Patients with these diagnoses were excluded from premarketing clinical trials. Because of the risk of orthostatic hypotension with INVEGA TRINZA, caution should be observed in patients with known cardiovascular disease (see </w:t>
      </w:r>
      <w:r w:rsidRPr="005D174A">
        <w:rPr>
          <w:b/>
          <w:szCs w:val="24"/>
        </w:rPr>
        <w:t>PRECAUTIONS – Orthostatic Hypotension and Syncope</w:t>
      </w:r>
      <w:r w:rsidRPr="005D174A">
        <w:rPr>
          <w:szCs w:val="24"/>
        </w:rPr>
        <w:t>).</w:t>
      </w:r>
    </w:p>
    <w:p w:rsidR="00126963" w:rsidRPr="005D174A" w:rsidRDefault="00126963" w:rsidP="005D174A">
      <w:pPr>
        <w:autoSpaceDE w:val="0"/>
        <w:autoSpaceDN w:val="0"/>
        <w:adjustRightInd w:val="0"/>
        <w:jc w:val="both"/>
      </w:pPr>
    </w:p>
    <w:p w:rsidR="00E314E4" w:rsidRPr="005D174A" w:rsidRDefault="00E314E4" w:rsidP="005D174A">
      <w:pPr>
        <w:pStyle w:val="Heading3"/>
        <w:rPr>
          <w:color w:val="auto"/>
        </w:rPr>
      </w:pPr>
      <w:r w:rsidRPr="005D174A">
        <w:rPr>
          <w:color w:val="auto"/>
        </w:rPr>
        <w:t>Seizures</w:t>
      </w:r>
    </w:p>
    <w:p w:rsidR="00E314E4" w:rsidRPr="005D174A" w:rsidRDefault="00E314E4" w:rsidP="005D174A">
      <w:pPr>
        <w:jc w:val="both"/>
      </w:pPr>
      <w:r w:rsidRPr="005D174A">
        <w:rPr>
          <w:color w:val="auto"/>
        </w:rPr>
        <w:t xml:space="preserve">As with other antipsychotic drugs, INVEGA TRINZA should be used cautiously in patients with a history of seizures or other conditions that potentially lower the seizure threshold. </w:t>
      </w:r>
    </w:p>
    <w:p w:rsidR="005D174A" w:rsidRDefault="005D174A" w:rsidP="005D174A">
      <w:pPr>
        <w:autoSpaceDE w:val="0"/>
        <w:autoSpaceDN w:val="0"/>
        <w:adjustRightInd w:val="0"/>
        <w:jc w:val="both"/>
        <w:rPr>
          <w:b/>
          <w:bCs/>
          <w:szCs w:val="24"/>
        </w:rPr>
      </w:pPr>
    </w:p>
    <w:p w:rsidR="002265D0" w:rsidRPr="005D174A" w:rsidRDefault="002265D0" w:rsidP="002265D0">
      <w:pPr>
        <w:autoSpaceDE w:val="0"/>
        <w:autoSpaceDN w:val="0"/>
        <w:adjustRightInd w:val="0"/>
        <w:jc w:val="both"/>
        <w:rPr>
          <w:b/>
          <w:bCs/>
          <w:szCs w:val="24"/>
        </w:rPr>
      </w:pPr>
      <w:r w:rsidRPr="005D174A">
        <w:rPr>
          <w:b/>
          <w:bCs/>
          <w:szCs w:val="24"/>
        </w:rPr>
        <w:t>Dysphagia</w:t>
      </w:r>
    </w:p>
    <w:p w:rsidR="002265D0" w:rsidRPr="005D174A" w:rsidRDefault="002265D0" w:rsidP="002265D0">
      <w:pPr>
        <w:pStyle w:val="BodyText12"/>
        <w:spacing w:line="240" w:lineRule="auto"/>
        <w:rPr>
          <w:rFonts w:ascii="Arial" w:hAnsi="Arial" w:cs="Arial"/>
          <w:sz w:val="22"/>
          <w:szCs w:val="22"/>
        </w:rPr>
      </w:pPr>
      <w:r w:rsidRPr="005D174A">
        <w:rPr>
          <w:rFonts w:ascii="Arial" w:hAnsi="Arial" w:cs="Arial"/>
          <w:szCs w:val="24"/>
        </w:rPr>
        <w:t xml:space="preserve">Esophageal </w:t>
      </w:r>
      <w:proofErr w:type="spellStart"/>
      <w:r w:rsidRPr="005D174A">
        <w:rPr>
          <w:rFonts w:ascii="Arial" w:hAnsi="Arial" w:cs="Arial"/>
          <w:szCs w:val="24"/>
        </w:rPr>
        <w:t>dysmotility</w:t>
      </w:r>
      <w:proofErr w:type="spellEnd"/>
      <w:r w:rsidRPr="005D174A">
        <w:rPr>
          <w:rFonts w:ascii="Arial" w:hAnsi="Arial" w:cs="Arial"/>
          <w:szCs w:val="24"/>
        </w:rPr>
        <w:t xml:space="preserve"> and aspiration have been associated with antipsychotic drug use. Aspiration pneumonia is a common cause of morbidity and mortality in patients with advanced Alzheimer’s dementia. INVEGA TRINZA and other antipsychotic drugs should be used cautiously in patients at risk for aspiration pneumonia.</w:t>
      </w:r>
    </w:p>
    <w:p w:rsidR="002265D0" w:rsidRPr="00982D0F" w:rsidRDefault="002265D0" w:rsidP="002265D0">
      <w:pPr>
        <w:autoSpaceDE w:val="0"/>
        <w:autoSpaceDN w:val="0"/>
        <w:adjustRightInd w:val="0"/>
        <w:jc w:val="both"/>
        <w:rPr>
          <w:b/>
          <w:bCs/>
          <w:szCs w:val="24"/>
        </w:rPr>
      </w:pPr>
      <w:r w:rsidRPr="00982D0F">
        <w:rPr>
          <w:b/>
          <w:bCs/>
          <w:szCs w:val="24"/>
        </w:rPr>
        <w:t>Suicide</w:t>
      </w:r>
    </w:p>
    <w:p w:rsidR="002265D0" w:rsidRDefault="002265D0" w:rsidP="002265D0">
      <w:pPr>
        <w:autoSpaceDE w:val="0"/>
        <w:autoSpaceDN w:val="0"/>
        <w:adjustRightInd w:val="0"/>
        <w:jc w:val="both"/>
        <w:rPr>
          <w:szCs w:val="24"/>
        </w:rPr>
      </w:pPr>
      <w:r w:rsidRPr="00982D0F">
        <w:rPr>
          <w:szCs w:val="24"/>
        </w:rPr>
        <w:t>The possibility of suicide attempt is inherent in psychotic illnesses, and close supervision of high-risk patients</w:t>
      </w:r>
      <w:r>
        <w:rPr>
          <w:szCs w:val="24"/>
        </w:rPr>
        <w:t xml:space="preserve"> should accompany drug therapy.</w:t>
      </w:r>
    </w:p>
    <w:p w:rsidR="002265D0" w:rsidRPr="005D174A" w:rsidRDefault="002265D0" w:rsidP="002265D0">
      <w:pPr>
        <w:autoSpaceDE w:val="0"/>
        <w:autoSpaceDN w:val="0"/>
        <w:adjustRightInd w:val="0"/>
        <w:jc w:val="both"/>
        <w:rPr>
          <w:i/>
          <w:szCs w:val="24"/>
        </w:rPr>
      </w:pPr>
    </w:p>
    <w:p w:rsidR="002265D0" w:rsidRPr="005D174A" w:rsidRDefault="002265D0" w:rsidP="002265D0">
      <w:pPr>
        <w:keepNext/>
        <w:autoSpaceDE w:val="0"/>
        <w:autoSpaceDN w:val="0"/>
        <w:adjustRightInd w:val="0"/>
        <w:jc w:val="both"/>
        <w:rPr>
          <w:b/>
          <w:bCs/>
        </w:rPr>
      </w:pPr>
      <w:r w:rsidRPr="005D174A">
        <w:rPr>
          <w:b/>
          <w:bCs/>
        </w:rPr>
        <w:t>Thrombotic Thrombocytopenic Purpura (TTP)</w:t>
      </w:r>
    </w:p>
    <w:p w:rsidR="00127E0A" w:rsidRPr="002A6369" w:rsidRDefault="002265D0" w:rsidP="002A6369">
      <w:pPr>
        <w:pStyle w:val="BodyText12"/>
        <w:spacing w:line="240" w:lineRule="auto"/>
        <w:rPr>
          <w:rFonts w:ascii="Arial" w:hAnsi="Arial" w:cs="Arial"/>
          <w:sz w:val="22"/>
          <w:szCs w:val="22"/>
        </w:rPr>
      </w:pPr>
      <w:r w:rsidRPr="005D174A">
        <w:rPr>
          <w:rFonts w:ascii="Arial" w:hAnsi="Arial" w:cs="Arial"/>
          <w:sz w:val="22"/>
          <w:szCs w:val="22"/>
        </w:rPr>
        <w:t>No cases of TTP were observed during clinical studies with oral paliperidone, the 1-month paliperidone palmitate injectable product, or INVEGA TRINZA. Although cases of TTP have been reported in association with risperidone administration, the relationship to risperidone therapy is unknown.</w:t>
      </w:r>
    </w:p>
    <w:p w:rsidR="00127E0A" w:rsidRPr="005D174A" w:rsidRDefault="00127E0A" w:rsidP="00127E0A">
      <w:pPr>
        <w:autoSpaceDE w:val="0"/>
        <w:autoSpaceDN w:val="0"/>
        <w:adjustRightInd w:val="0"/>
        <w:jc w:val="both"/>
      </w:pPr>
      <w:bookmarkStart w:id="42" w:name="_Toc228682505"/>
      <w:r w:rsidRPr="005D174A">
        <w:rPr>
          <w:b/>
          <w:bCs/>
          <w:iCs/>
        </w:rPr>
        <w:t xml:space="preserve">Hyperprolactinemia </w:t>
      </w:r>
    </w:p>
    <w:p w:rsidR="00127E0A" w:rsidRPr="005D174A" w:rsidRDefault="00127E0A" w:rsidP="00127E0A">
      <w:pPr>
        <w:autoSpaceDE w:val="0"/>
        <w:autoSpaceDN w:val="0"/>
        <w:adjustRightInd w:val="0"/>
        <w:jc w:val="both"/>
      </w:pPr>
      <w:r w:rsidRPr="005D174A">
        <w:t xml:space="preserve">Like other drugs that antagonize dopamine D2 receptors, paliperidone elevates prolactin levels and the elevation persists during chronic administration </w:t>
      </w:r>
      <w:r w:rsidRPr="005D174A">
        <w:rPr>
          <w:szCs w:val="24"/>
        </w:rPr>
        <w:t xml:space="preserve">(see </w:t>
      </w:r>
      <w:r w:rsidRPr="005D174A">
        <w:rPr>
          <w:b/>
          <w:bCs/>
          <w:szCs w:val="24"/>
        </w:rPr>
        <w:t>ADVERSE EFFECTS</w:t>
      </w:r>
      <w:r w:rsidRPr="005D174A">
        <w:rPr>
          <w:bCs/>
          <w:szCs w:val="24"/>
        </w:rPr>
        <w:t xml:space="preserve"> </w:t>
      </w:r>
      <w:r w:rsidRPr="005D174A">
        <w:rPr>
          <w:szCs w:val="24"/>
        </w:rPr>
        <w:t xml:space="preserve">– </w:t>
      </w:r>
      <w:r w:rsidRPr="005D174A">
        <w:rPr>
          <w:bCs/>
          <w:szCs w:val="24"/>
        </w:rPr>
        <w:t>Events of particular interest to the class</w:t>
      </w:r>
      <w:r w:rsidRPr="005D174A">
        <w:rPr>
          <w:b/>
          <w:bCs/>
          <w:szCs w:val="24"/>
        </w:rPr>
        <w:t xml:space="preserve"> </w:t>
      </w:r>
      <w:r w:rsidRPr="005D174A">
        <w:rPr>
          <w:szCs w:val="24"/>
        </w:rPr>
        <w:t xml:space="preserve">– </w:t>
      </w:r>
      <w:r w:rsidRPr="005D174A">
        <w:rPr>
          <w:i/>
          <w:iCs/>
          <w:szCs w:val="24"/>
        </w:rPr>
        <w:t>Laboratory tests: serum prolactin</w:t>
      </w:r>
      <w:r w:rsidRPr="005D174A">
        <w:rPr>
          <w:szCs w:val="24"/>
        </w:rPr>
        <w:t xml:space="preserve">). </w:t>
      </w:r>
      <w:r w:rsidRPr="005D174A">
        <w:t xml:space="preserve">Paliperidone has a prolactin-elevating effect similar to that seen with risperidone, a drug that is associated with higher levels of prolactin than other antipsychotic drugs. </w:t>
      </w:r>
    </w:p>
    <w:p w:rsidR="00127E0A" w:rsidRPr="005D174A" w:rsidRDefault="00127E0A" w:rsidP="00127E0A">
      <w:pPr>
        <w:autoSpaceDE w:val="0"/>
        <w:autoSpaceDN w:val="0"/>
        <w:adjustRightInd w:val="0"/>
        <w:jc w:val="both"/>
      </w:pPr>
    </w:p>
    <w:p w:rsidR="00127E0A" w:rsidRPr="005D174A" w:rsidRDefault="00127E0A" w:rsidP="00127E0A">
      <w:pPr>
        <w:autoSpaceDE w:val="0"/>
        <w:autoSpaceDN w:val="0"/>
        <w:adjustRightInd w:val="0"/>
        <w:jc w:val="both"/>
      </w:pPr>
      <w:r w:rsidRPr="005D174A">
        <w:t xml:space="preserve">Hyperprolactinemia, regardless of aetiology, may suppress hypothalamic GnRH, resulting in reduced pituitary gonadotropin secretion. This, in turn, may inhibit reproductive function by impairing gonadal steroidogenesis in both female and male patients. Galactorrhea, amenorrhea, gynecomastia, and impotence have been reported in patients receiving prolactin-elevating compounds. Long-standing hyperprolactinemia when associated with hypogonadism may lead to decreased bone density in both female and male subjects. </w:t>
      </w:r>
    </w:p>
    <w:p w:rsidR="00127E0A" w:rsidRPr="005D174A" w:rsidRDefault="00127E0A" w:rsidP="00127E0A">
      <w:pPr>
        <w:autoSpaceDE w:val="0"/>
        <w:autoSpaceDN w:val="0"/>
        <w:adjustRightInd w:val="0"/>
        <w:jc w:val="both"/>
      </w:pPr>
    </w:p>
    <w:p w:rsidR="00127E0A" w:rsidRPr="00554755" w:rsidRDefault="00127E0A" w:rsidP="00127E0A">
      <w:pPr>
        <w:autoSpaceDE w:val="0"/>
        <w:autoSpaceDN w:val="0"/>
        <w:adjustRightInd w:val="0"/>
        <w:jc w:val="both"/>
      </w:pPr>
      <w:r w:rsidRPr="005D174A">
        <w:t xml:space="preserve">Tissue culture experiments indicate that approximately one-third of human breast cancers are prolactin dependent </w:t>
      </w:r>
      <w:r w:rsidRPr="00A61377">
        <w:rPr>
          <w:i/>
        </w:rPr>
        <w:t>in vitro</w:t>
      </w:r>
      <w:r w:rsidRPr="005D174A">
        <w:t xml:space="preserve">, a factor of potential importance if the prescription of these drugs is considered in a patient with previously detected breast cancer. An increase in the incidence of </w:t>
      </w:r>
      <w:r w:rsidRPr="005D174A">
        <w:lastRenderedPageBreak/>
        <w:t xml:space="preserve">pituitary gland, mammary gland, and pancreatic islet cell neoplasia (mammary adenocarcinomas, pituitary and pancreatic adenomas) was observed in the risperidone carcinogenicity studies conducted in mice and rats (see </w:t>
      </w:r>
      <w:r w:rsidRPr="005D174A">
        <w:rPr>
          <w:b/>
        </w:rPr>
        <w:t>PRECAUTIONS</w:t>
      </w:r>
      <w:r w:rsidRPr="005D174A">
        <w:t xml:space="preserve"> – Carcinogenicity). </w:t>
      </w:r>
      <w:proofErr w:type="gramStart"/>
      <w:r w:rsidRPr="005D174A">
        <w:t>Neither cli</w:t>
      </w:r>
      <w:r w:rsidR="00D569D1">
        <w:t xml:space="preserve">nical studies nor epidemiologic </w:t>
      </w:r>
      <w:r w:rsidRPr="005D174A">
        <w:t>studies conducted to date have shown an association between chronic administration of this class of drugs and</w:t>
      </w:r>
      <w:proofErr w:type="gramEnd"/>
      <w:r w:rsidRPr="005D174A">
        <w:t xml:space="preserve"> tumorigenesis in humans, but the available evidence is</w:t>
      </w:r>
      <w:r>
        <w:t xml:space="preserve"> too limited to be conclusive. </w:t>
      </w:r>
    </w:p>
    <w:p w:rsidR="009446AB" w:rsidRDefault="009446AB" w:rsidP="005D174A">
      <w:pPr>
        <w:pStyle w:val="Heading3"/>
        <w:rPr>
          <w:color w:val="auto"/>
        </w:rPr>
      </w:pPr>
    </w:p>
    <w:p w:rsidR="00E314E4" w:rsidRPr="00F52D82" w:rsidRDefault="00E314E4" w:rsidP="005D174A">
      <w:pPr>
        <w:pStyle w:val="Heading3"/>
        <w:rPr>
          <w:color w:val="auto"/>
        </w:rPr>
      </w:pPr>
      <w:r w:rsidRPr="00F52D82">
        <w:rPr>
          <w:color w:val="auto"/>
        </w:rPr>
        <w:t>Leukopenia, neutropenia, and agranulocytosis</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Events of leukopenia, neutropenia, and agranulocytosis have been reported with antipsychotic agents, including paliperidone. Agranulocytosis has been reported v</w:t>
      </w:r>
      <w:r w:rsidR="00597359" w:rsidRPr="00FB4A76">
        <w:rPr>
          <w:rFonts w:ascii="Arial" w:hAnsi="Arial" w:cs="Arial"/>
          <w:sz w:val="22"/>
          <w:szCs w:val="22"/>
        </w:rPr>
        <w:t xml:space="preserve">ery rarely (&lt; 1/10,000 patients) during </w:t>
      </w:r>
      <w:proofErr w:type="spellStart"/>
      <w:r w:rsidR="00597359" w:rsidRPr="00FB4A76">
        <w:rPr>
          <w:rFonts w:ascii="Arial" w:hAnsi="Arial" w:cs="Arial"/>
          <w:sz w:val="22"/>
          <w:szCs w:val="22"/>
        </w:rPr>
        <w:t>postmarketing</w:t>
      </w:r>
      <w:proofErr w:type="spellEnd"/>
      <w:r w:rsidR="00597359" w:rsidRPr="00FB4A76">
        <w:rPr>
          <w:rFonts w:ascii="Arial" w:hAnsi="Arial" w:cs="Arial"/>
          <w:sz w:val="22"/>
          <w:szCs w:val="22"/>
        </w:rPr>
        <w:t xml:space="preserve"> surveillance.</w:t>
      </w:r>
    </w:p>
    <w:p w:rsidR="00E314E4" w:rsidRPr="00F52D82" w:rsidRDefault="00127E0A" w:rsidP="005D174A">
      <w:pPr>
        <w:pStyle w:val="BodyText12"/>
        <w:spacing w:line="240" w:lineRule="auto"/>
        <w:rPr>
          <w:rFonts w:ascii="Arial" w:hAnsi="Arial" w:cs="Arial"/>
          <w:sz w:val="22"/>
          <w:szCs w:val="22"/>
        </w:rPr>
      </w:pPr>
      <w:r w:rsidRPr="005D174A">
        <w:rPr>
          <w:rFonts w:ascii="Arial" w:hAnsi="Arial" w:cs="Arial"/>
          <w:color w:val="000000"/>
          <w:sz w:val="22"/>
          <w:szCs w:val="22"/>
        </w:rPr>
        <w:t>Possible risk factors for leukopenia/neutropenia include pre-existing low white blood cell count (WBC) and history of drug-induced leukopenia/neutropenia.</w:t>
      </w:r>
      <w:r>
        <w:rPr>
          <w:rFonts w:ascii="Arial" w:hAnsi="Arial" w:cs="Arial"/>
          <w:color w:val="000000"/>
          <w:sz w:val="22"/>
          <w:szCs w:val="22"/>
        </w:rPr>
        <w:t xml:space="preserve"> </w:t>
      </w:r>
      <w:r w:rsidR="00E314E4" w:rsidRPr="00F52D82">
        <w:rPr>
          <w:rFonts w:ascii="Arial" w:hAnsi="Arial" w:cs="Arial"/>
          <w:sz w:val="22"/>
          <w:szCs w:val="22"/>
        </w:rPr>
        <w:t>Patients with a history of a clinically significant low white blood cell count (WBC) or a drug-induced leukopenia/neutropenia should be monitored during the first few months of therapy and discontinuation of INVEGA TRINZA should be considered at the first sign of a clinically significant decline in WBC in the absence of other causative factors.</w:t>
      </w:r>
    </w:p>
    <w:p w:rsidR="00E314E4" w:rsidRPr="009446AB" w:rsidRDefault="00E314E4" w:rsidP="005D174A">
      <w:pPr>
        <w:pStyle w:val="BodyText12"/>
        <w:spacing w:line="240" w:lineRule="auto"/>
        <w:rPr>
          <w:rFonts w:ascii="Arial" w:hAnsi="Arial" w:cs="Arial"/>
          <w:bCs/>
          <w:color w:val="000000"/>
          <w:sz w:val="22"/>
          <w:szCs w:val="22"/>
        </w:rPr>
      </w:pPr>
      <w:r w:rsidRPr="00F52D82">
        <w:rPr>
          <w:rFonts w:ascii="Arial" w:hAnsi="Arial" w:cs="Arial"/>
          <w:sz w:val="22"/>
          <w:szCs w:val="22"/>
        </w:rPr>
        <w:t xml:space="preserve">Patients with clinically significant neutropenia should be carefully monitored for fever or other symptoms or signs of infection and treated promptly if such symptoms or signs occur. Patients with severe neutropenia (absolute neutrophil count </w:t>
      </w:r>
      <w:proofErr w:type="gramStart"/>
      <w:r w:rsidRPr="00F52D82">
        <w:rPr>
          <w:rFonts w:ascii="Arial" w:hAnsi="Arial" w:cs="Arial"/>
          <w:sz w:val="22"/>
          <w:szCs w:val="22"/>
        </w:rPr>
        <w:t xml:space="preserve">&lt; </w:t>
      </w:r>
      <w:r w:rsidR="00AD7F02">
        <w:rPr>
          <w:rFonts w:ascii="Arial" w:hAnsi="Arial" w:cs="Arial"/>
          <w:sz w:val="22"/>
          <w:szCs w:val="22"/>
        </w:rPr>
        <w:t xml:space="preserve"> 1000</w:t>
      </w:r>
      <w:proofErr w:type="gramEnd"/>
      <w:r w:rsidR="00AD7F02">
        <w:rPr>
          <w:rFonts w:ascii="Arial" w:hAnsi="Arial" w:cs="Arial"/>
          <w:sz w:val="22"/>
          <w:szCs w:val="22"/>
        </w:rPr>
        <w:t>/mm</w:t>
      </w:r>
      <w:r w:rsidR="00AD7F02" w:rsidRPr="00A24BCE">
        <w:rPr>
          <w:rFonts w:ascii="Arial" w:hAnsi="Arial" w:cs="Arial"/>
          <w:sz w:val="22"/>
          <w:szCs w:val="22"/>
          <w:vertAlign w:val="superscript"/>
        </w:rPr>
        <w:t>3</w:t>
      </w:r>
      <w:r w:rsidR="00AD7F02">
        <w:rPr>
          <w:rFonts w:ascii="Arial" w:hAnsi="Arial" w:cs="Arial"/>
          <w:sz w:val="22"/>
          <w:szCs w:val="22"/>
        </w:rPr>
        <w:t xml:space="preserve"> </w:t>
      </w:r>
      <w:r w:rsidRPr="00F52D82">
        <w:rPr>
          <w:rFonts w:ascii="Arial" w:hAnsi="Arial" w:cs="Arial"/>
          <w:sz w:val="22"/>
          <w:szCs w:val="22"/>
        </w:rPr>
        <w:t xml:space="preserve">) should discontinue INVEGA TRINZA and have their WBC followed until </w:t>
      </w:r>
      <w:proofErr w:type="spellStart"/>
      <w:r w:rsidRPr="00F52D82">
        <w:rPr>
          <w:rFonts w:ascii="Arial" w:hAnsi="Arial" w:cs="Arial"/>
          <w:sz w:val="22"/>
          <w:szCs w:val="22"/>
        </w:rPr>
        <w:t>recovery.</w:t>
      </w:r>
      <w:bookmarkEnd w:id="42"/>
      <w:r w:rsidRPr="00502478">
        <w:rPr>
          <w:rFonts w:ascii="Arial" w:hAnsi="Arial" w:cs="Arial"/>
          <w:sz w:val="22"/>
          <w:szCs w:val="22"/>
        </w:rPr>
        <w:t>Consideration</w:t>
      </w:r>
      <w:proofErr w:type="spellEnd"/>
      <w:r w:rsidRPr="00502478">
        <w:rPr>
          <w:rFonts w:ascii="Arial" w:hAnsi="Arial" w:cs="Arial"/>
          <w:sz w:val="22"/>
          <w:szCs w:val="22"/>
        </w:rPr>
        <w:t xml:space="preserve"> should be given to the long-acting nature of INVEGA TRINZA.</w:t>
      </w:r>
      <w:r w:rsidR="00502478" w:rsidRPr="00502478">
        <w:rPr>
          <w:rFonts w:ascii="Arial" w:hAnsi="Arial" w:cs="Arial"/>
          <w:sz w:val="22"/>
          <w:szCs w:val="22"/>
        </w:rPr>
        <w:t xml:space="preserve"> </w:t>
      </w:r>
      <w:r w:rsidR="00502478" w:rsidRPr="00502478">
        <w:rPr>
          <w:rFonts w:ascii="Arial" w:hAnsi="Arial" w:cs="Arial"/>
          <w:bCs/>
          <w:color w:val="000000"/>
          <w:sz w:val="22"/>
          <w:szCs w:val="22"/>
        </w:rPr>
        <w:t>If clinically significant drug</w:t>
      </w:r>
      <w:r w:rsidR="00502478" w:rsidRPr="00502478">
        <w:rPr>
          <w:rFonts w:ascii="Cambria Math" w:eastAsia="MS Gothic" w:hAnsi="Cambria Math" w:cs="Cambria Math"/>
          <w:bCs/>
          <w:color w:val="000000"/>
          <w:sz w:val="22"/>
          <w:szCs w:val="22"/>
        </w:rPr>
        <w:t>‐</w:t>
      </w:r>
      <w:r w:rsidR="00502478" w:rsidRPr="00502478">
        <w:rPr>
          <w:rFonts w:ascii="Arial" w:hAnsi="Arial" w:cs="Arial"/>
          <w:bCs/>
          <w:color w:val="000000"/>
          <w:sz w:val="22"/>
          <w:szCs w:val="22"/>
        </w:rPr>
        <w:t xml:space="preserve">induced leukopenia/neutropenia has occurred with any paliperidone product, </w:t>
      </w:r>
      <w:r w:rsidR="00502478">
        <w:rPr>
          <w:rFonts w:ascii="Arial" w:hAnsi="Arial" w:cs="Arial"/>
          <w:bCs/>
          <w:color w:val="000000"/>
          <w:sz w:val="22"/>
          <w:szCs w:val="22"/>
        </w:rPr>
        <w:t>INVEGA TRINZA</w:t>
      </w:r>
      <w:r w:rsidR="00502478" w:rsidRPr="00502478">
        <w:rPr>
          <w:rFonts w:ascii="Arial" w:hAnsi="Arial" w:cs="Arial"/>
          <w:bCs/>
          <w:color w:val="000000"/>
          <w:sz w:val="22"/>
          <w:szCs w:val="22"/>
        </w:rPr>
        <w:t xml:space="preserve"> should not be used.</w:t>
      </w:r>
    </w:p>
    <w:p w:rsidR="003639C9" w:rsidRPr="009446AB" w:rsidRDefault="003639C9" w:rsidP="009446AB">
      <w:pPr>
        <w:pStyle w:val="Heading3"/>
        <w:jc w:val="left"/>
        <w:rPr>
          <w:bCs/>
          <w:iCs/>
        </w:rPr>
      </w:pPr>
      <w:r w:rsidRPr="00C12577">
        <w:rPr>
          <w:bCs/>
          <w:iCs/>
        </w:rPr>
        <w:t>Potential for Cognitive and Motor Impairment</w:t>
      </w:r>
      <w:r w:rsidRPr="00C12577">
        <w:rPr>
          <w:highlight w:val="yellow"/>
          <w:u w:val="single"/>
        </w:rPr>
        <w:br/>
      </w:r>
      <w:r w:rsidRPr="00C12577">
        <w:rPr>
          <w:b w:val="0"/>
        </w:rPr>
        <w:t xml:space="preserve">Somnolence, sedation, and dizziness were reported as adverse reactions in subjects treated with INVEGA TRINZA (see </w:t>
      </w:r>
      <w:r w:rsidRPr="006F211C">
        <w:t>ADVERSE EFFECTS</w:t>
      </w:r>
      <w:r w:rsidRPr="00C12577">
        <w:rPr>
          <w:b w:val="0"/>
        </w:rPr>
        <w:t xml:space="preserve">). Antipsychotics, </w:t>
      </w:r>
      <w:proofErr w:type="gramStart"/>
      <w:r w:rsidRPr="00C12577">
        <w:rPr>
          <w:b w:val="0"/>
        </w:rPr>
        <w:t xml:space="preserve">including </w:t>
      </w:r>
      <w:r>
        <w:rPr>
          <w:b w:val="0"/>
        </w:rPr>
        <w:t xml:space="preserve"> </w:t>
      </w:r>
      <w:r w:rsidRPr="00C12577">
        <w:rPr>
          <w:b w:val="0"/>
        </w:rPr>
        <w:t>INVEGA</w:t>
      </w:r>
      <w:proofErr w:type="gramEnd"/>
      <w:r w:rsidRPr="00C12577">
        <w:rPr>
          <w:b w:val="0"/>
        </w:rPr>
        <w:t xml:space="preserve"> TRINZA, have the potential to impair judgment, thinking, or motor skills. Patients should be cautioned about performing activities requiring mental alertness, such as operating hazardous machinery or operating a motor vehicle, until they are reasonably certain that paliperidone therapy does not adversely affect them.</w:t>
      </w:r>
    </w:p>
    <w:p w:rsidR="00E314E4" w:rsidRPr="00F52D82" w:rsidRDefault="00E314E4" w:rsidP="005D174A">
      <w:pPr>
        <w:pStyle w:val="Heading3"/>
        <w:rPr>
          <w:color w:val="auto"/>
        </w:rPr>
      </w:pPr>
      <w:r w:rsidRPr="00F52D82">
        <w:rPr>
          <w:color w:val="auto"/>
        </w:rPr>
        <w:t>Venous thromboembolism</w:t>
      </w:r>
    </w:p>
    <w:p w:rsidR="00554755" w:rsidRPr="00554755" w:rsidRDefault="00E314E4" w:rsidP="00554755">
      <w:pPr>
        <w:pStyle w:val="BodyText12"/>
        <w:spacing w:line="240" w:lineRule="auto"/>
        <w:rPr>
          <w:rFonts w:ascii="Arial" w:hAnsi="Arial" w:cs="Arial"/>
          <w:sz w:val="22"/>
          <w:szCs w:val="22"/>
        </w:rPr>
      </w:pPr>
      <w:r w:rsidRPr="00F52D82">
        <w:rPr>
          <w:rFonts w:ascii="Arial" w:hAnsi="Arial" w:cs="Arial"/>
          <w:sz w:val="22"/>
          <w:szCs w:val="22"/>
        </w:rPr>
        <w:t xml:space="preserve">Cases of venous thromboembolism (VTE) have been reported with antipsychotic drugs. Since patients treated with antipsychotics often present with acquired risk factors for VTE, all possible risk factors for VTE should be identified before and during treatment with INVEGA TRINZA and preventive measures </w:t>
      </w:r>
      <w:r w:rsidR="00554755">
        <w:rPr>
          <w:rFonts w:ascii="Arial" w:hAnsi="Arial" w:cs="Arial"/>
          <w:sz w:val="22"/>
          <w:szCs w:val="22"/>
        </w:rPr>
        <w:t>undertaken.</w:t>
      </w:r>
    </w:p>
    <w:p w:rsidR="00E314E4" w:rsidRPr="00F52D82" w:rsidRDefault="00E314E4" w:rsidP="005D174A">
      <w:pPr>
        <w:pStyle w:val="Heading3"/>
        <w:rPr>
          <w:color w:val="auto"/>
        </w:rPr>
      </w:pPr>
      <w:r w:rsidRPr="00F52D82">
        <w:rPr>
          <w:color w:val="auto"/>
        </w:rPr>
        <w:t>Parkinson’s disease and dementia with Lewy bodies</w:t>
      </w:r>
    </w:p>
    <w:p w:rsidR="00E314E4" w:rsidRPr="00F52D82" w:rsidRDefault="00034901" w:rsidP="005D174A">
      <w:pPr>
        <w:pStyle w:val="BodyText12"/>
        <w:spacing w:line="240" w:lineRule="auto"/>
        <w:rPr>
          <w:rFonts w:ascii="Arial" w:hAnsi="Arial" w:cs="Arial"/>
          <w:sz w:val="22"/>
          <w:szCs w:val="22"/>
        </w:rPr>
      </w:pPr>
      <w:r>
        <w:rPr>
          <w:rFonts w:ascii="Arial" w:hAnsi="Arial" w:cs="Arial"/>
          <w:sz w:val="22"/>
          <w:szCs w:val="22"/>
        </w:rPr>
        <w:t>P</w:t>
      </w:r>
      <w:r w:rsidR="00E314E4" w:rsidRPr="00F52D82">
        <w:rPr>
          <w:rFonts w:ascii="Arial" w:hAnsi="Arial" w:cs="Arial"/>
          <w:sz w:val="22"/>
          <w:szCs w:val="22"/>
        </w:rPr>
        <w:t xml:space="preserve">atients with </w:t>
      </w:r>
      <w:proofErr w:type="gramStart"/>
      <w:r w:rsidR="00E314E4" w:rsidRPr="00F52D82">
        <w:rPr>
          <w:rFonts w:ascii="Arial" w:hAnsi="Arial" w:cs="Arial"/>
          <w:sz w:val="22"/>
          <w:szCs w:val="22"/>
        </w:rPr>
        <w:t>Parkinson’s Disease</w:t>
      </w:r>
      <w:proofErr w:type="gramEnd"/>
      <w:r w:rsidR="00E314E4" w:rsidRPr="00F52D82">
        <w:rPr>
          <w:rFonts w:ascii="Arial" w:hAnsi="Arial" w:cs="Arial"/>
          <w:sz w:val="22"/>
          <w:szCs w:val="22"/>
        </w:rPr>
        <w:t xml:space="preserve"> or Dementia with Lewy Bodies (DLB) since both groups may be at increased risk of Neuroleptic Malignant Syndrome as well as having an increased sensitivity to antipsychotic medications. Manifestation of this increased sensitivity can include confusion, </w:t>
      </w:r>
      <w:proofErr w:type="spellStart"/>
      <w:r w:rsidR="00E314E4" w:rsidRPr="00F52D82">
        <w:rPr>
          <w:rFonts w:ascii="Arial" w:hAnsi="Arial" w:cs="Arial"/>
          <w:sz w:val="22"/>
          <w:szCs w:val="22"/>
        </w:rPr>
        <w:t>obtundation</w:t>
      </w:r>
      <w:proofErr w:type="spellEnd"/>
      <w:r w:rsidR="00E314E4" w:rsidRPr="00F52D82">
        <w:rPr>
          <w:rFonts w:ascii="Arial" w:hAnsi="Arial" w:cs="Arial"/>
          <w:sz w:val="22"/>
          <w:szCs w:val="22"/>
        </w:rPr>
        <w:t xml:space="preserve">, </w:t>
      </w:r>
      <w:proofErr w:type="gramStart"/>
      <w:r w:rsidR="00E314E4" w:rsidRPr="00F52D82">
        <w:rPr>
          <w:rFonts w:ascii="Arial" w:hAnsi="Arial" w:cs="Arial"/>
          <w:sz w:val="22"/>
          <w:szCs w:val="22"/>
        </w:rPr>
        <w:t>postural</w:t>
      </w:r>
      <w:proofErr w:type="gramEnd"/>
      <w:r w:rsidR="00E314E4" w:rsidRPr="00F52D82">
        <w:rPr>
          <w:rFonts w:ascii="Arial" w:hAnsi="Arial" w:cs="Arial"/>
          <w:sz w:val="22"/>
          <w:szCs w:val="22"/>
        </w:rPr>
        <w:t xml:space="preserve"> instability with frequent falls, in addition to extrapyramidal symptoms.</w:t>
      </w:r>
    </w:p>
    <w:p w:rsidR="003639C9" w:rsidRPr="00F17206" w:rsidRDefault="003639C9" w:rsidP="003639C9">
      <w:pPr>
        <w:pStyle w:val="Heading2"/>
        <w:rPr>
          <w:color w:val="auto"/>
        </w:rPr>
      </w:pPr>
      <w:r w:rsidRPr="00F17206">
        <w:rPr>
          <w:color w:val="auto"/>
        </w:rPr>
        <w:t>Extrapyramidal symptoms</w:t>
      </w:r>
    </w:p>
    <w:p w:rsidR="00811523" w:rsidRDefault="003639C9" w:rsidP="002A6369">
      <w:pPr>
        <w:pStyle w:val="PIHEADING2"/>
        <w:jc w:val="both"/>
        <w:rPr>
          <w:b w:val="0"/>
          <w:kern w:val="1"/>
        </w:rPr>
      </w:pPr>
      <w:r w:rsidRPr="00F17206">
        <w:rPr>
          <w:b w:val="0"/>
          <w:kern w:val="1"/>
        </w:rPr>
        <w:t xml:space="preserve">As with other antipsychotics, EPS including akathisia have been reported (see </w:t>
      </w:r>
      <w:r w:rsidRPr="00F17206">
        <w:rPr>
          <w:kern w:val="1"/>
        </w:rPr>
        <w:t>ADVERSE EFFECTS</w:t>
      </w:r>
      <w:r w:rsidRPr="00F17206">
        <w:rPr>
          <w:b w:val="0"/>
          <w:kern w:val="1"/>
        </w:rPr>
        <w:t>). The presentation of akathisia may be variable and comprise</w:t>
      </w:r>
      <w:r>
        <w:rPr>
          <w:b w:val="0"/>
          <w:kern w:val="1"/>
        </w:rPr>
        <w:t>s subjective complaints of restl</w:t>
      </w:r>
      <w:r w:rsidRPr="00F17206">
        <w:rPr>
          <w:b w:val="0"/>
          <w:kern w:val="1"/>
        </w:rPr>
        <w:t>essness and an overwhelming urge to move and either distress or motor phenomena such as pacing, swinging of the legs while seated, rocking from foot to foot, or both. Particular attention should be paid to the monitoring for such symptom</w:t>
      </w:r>
      <w:r>
        <w:rPr>
          <w:b w:val="0"/>
          <w:kern w:val="1"/>
        </w:rPr>
        <w:t xml:space="preserve">s and signs as, left </w:t>
      </w:r>
      <w:proofErr w:type="gramStart"/>
      <w:r>
        <w:rPr>
          <w:b w:val="0"/>
          <w:kern w:val="1"/>
        </w:rPr>
        <w:t>untreated,</w:t>
      </w:r>
      <w:proofErr w:type="gramEnd"/>
      <w:r>
        <w:rPr>
          <w:b w:val="0"/>
          <w:kern w:val="1"/>
        </w:rPr>
        <w:t xml:space="preserve"> </w:t>
      </w:r>
      <w:r w:rsidRPr="00F17206">
        <w:rPr>
          <w:b w:val="0"/>
          <w:kern w:val="1"/>
        </w:rPr>
        <w:t>akathisia is associated with poor compliance and an increased risk of relapse.</w:t>
      </w:r>
    </w:p>
    <w:p w:rsidR="00553C06" w:rsidRPr="002A6369" w:rsidRDefault="00553C06" w:rsidP="002A6369">
      <w:pPr>
        <w:pStyle w:val="PIHEADING2"/>
        <w:jc w:val="both"/>
        <w:rPr>
          <w:b w:val="0"/>
          <w:kern w:val="1"/>
        </w:rPr>
      </w:pPr>
    </w:p>
    <w:p w:rsidR="00E314E4" w:rsidRPr="00F52D82" w:rsidRDefault="00E314E4" w:rsidP="005D174A">
      <w:pPr>
        <w:pStyle w:val="Heading3"/>
        <w:rPr>
          <w:color w:val="auto"/>
        </w:rPr>
      </w:pPr>
      <w:r w:rsidRPr="00F52D82">
        <w:rPr>
          <w:color w:val="auto"/>
        </w:rPr>
        <w:lastRenderedPageBreak/>
        <w:t>Priapism</w:t>
      </w:r>
    </w:p>
    <w:p w:rsidR="003639C9" w:rsidRPr="00554755" w:rsidRDefault="00E314E4" w:rsidP="003639C9">
      <w:pPr>
        <w:autoSpaceDE w:val="0"/>
        <w:autoSpaceDN w:val="0"/>
        <w:adjustRightInd w:val="0"/>
        <w:jc w:val="both"/>
        <w:rPr>
          <w:u w:val="single"/>
        </w:rPr>
      </w:pPr>
      <w:r w:rsidRPr="00F52D82">
        <w:t xml:space="preserve">Drugs with alpha-adrenergic blocking effects have been reported to induce priapism. Priapism has been reported with </w:t>
      </w:r>
      <w:proofErr w:type="spellStart"/>
      <w:r w:rsidRPr="00F52D82">
        <w:t>paliperidone</w:t>
      </w:r>
      <w:proofErr w:type="spellEnd"/>
      <w:r w:rsidRPr="00F52D82">
        <w:t xml:space="preserve"> during </w:t>
      </w:r>
      <w:proofErr w:type="spellStart"/>
      <w:r w:rsidRPr="00F52D82">
        <w:t>postmarketing</w:t>
      </w:r>
      <w:proofErr w:type="spellEnd"/>
      <w:r w:rsidRPr="00F52D82">
        <w:t xml:space="preserve"> surveillance (see </w:t>
      </w:r>
      <w:r w:rsidRPr="00E06B2A">
        <w:rPr>
          <w:b/>
        </w:rPr>
        <w:t>ADVERSE EFFECTS</w:t>
      </w:r>
      <w:r w:rsidRPr="00F52D82">
        <w:t>).</w:t>
      </w:r>
      <w:r w:rsidR="00550D11">
        <w:t xml:space="preserve"> </w:t>
      </w:r>
      <w:r w:rsidR="003639C9" w:rsidRPr="005D174A">
        <w:t>Severe priapism may require surgical intervention.</w:t>
      </w:r>
      <w:r w:rsidR="003639C9">
        <w:rPr>
          <w:u w:val="single"/>
        </w:rPr>
        <w:t xml:space="preserve"> </w:t>
      </w:r>
    </w:p>
    <w:p w:rsidR="00E314E4" w:rsidRPr="00554755" w:rsidRDefault="00E314E4" w:rsidP="00554755">
      <w:pPr>
        <w:autoSpaceDE w:val="0"/>
        <w:autoSpaceDN w:val="0"/>
        <w:adjustRightInd w:val="0"/>
        <w:jc w:val="both"/>
        <w:rPr>
          <w:u w:val="single"/>
        </w:rPr>
      </w:pPr>
    </w:p>
    <w:p w:rsidR="00E314E4" w:rsidRPr="00F52D82" w:rsidRDefault="00E314E4" w:rsidP="005D174A">
      <w:pPr>
        <w:pStyle w:val="Heading3"/>
        <w:rPr>
          <w:color w:val="auto"/>
        </w:rPr>
      </w:pPr>
      <w:r w:rsidRPr="00F52D82">
        <w:rPr>
          <w:color w:val="auto"/>
        </w:rPr>
        <w:t>Body temperature regulation</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Disruption of the body’s ability to reduce core body temperature has been attributed to antipsychotic agents. Appropriate care is advised when prescribing INVEGA TRINZA to patients who will be experiencing conditions which may contribute to an elevation in core body temperature, e.g., exercising strenuously, exposure to extreme heat, receiving concomitant medication with anticholinergic activity, or being subject to dehydration.</w:t>
      </w:r>
    </w:p>
    <w:p w:rsidR="00E314E4" w:rsidRPr="00F52D82" w:rsidRDefault="00E314E4" w:rsidP="005D174A">
      <w:pPr>
        <w:pStyle w:val="Heading3"/>
        <w:rPr>
          <w:color w:val="auto"/>
        </w:rPr>
      </w:pPr>
      <w:r w:rsidRPr="00F52D82">
        <w:rPr>
          <w:color w:val="auto"/>
        </w:rPr>
        <w:t>Antiemetic effect</w:t>
      </w:r>
    </w:p>
    <w:p w:rsidR="00FD4EE8" w:rsidRPr="009446AB" w:rsidRDefault="00E314E4" w:rsidP="009446AB">
      <w:pPr>
        <w:pStyle w:val="BodyText12"/>
        <w:spacing w:line="240" w:lineRule="auto"/>
        <w:rPr>
          <w:rFonts w:ascii="Arial" w:hAnsi="Arial" w:cs="Arial"/>
          <w:sz w:val="22"/>
          <w:szCs w:val="22"/>
        </w:rPr>
      </w:pPr>
      <w:r w:rsidRPr="00F52D82">
        <w:rPr>
          <w:rFonts w:ascii="Arial" w:hAnsi="Arial" w:cs="Arial"/>
          <w:sz w:val="22"/>
          <w:szCs w:val="22"/>
        </w:rPr>
        <w:t>An antiemetic effect was observed in preclinical studies with paliperidone. This effect, if it occurs in humans, may mask the signs and symptoms of overdosage with certain drugs or of conditions such as intestinal obstruction, Reye’s syndrome, and brain tumor.</w:t>
      </w:r>
    </w:p>
    <w:p w:rsidR="009446AB" w:rsidRDefault="009446AB" w:rsidP="005D174A">
      <w:pPr>
        <w:pStyle w:val="Heading3"/>
        <w:rPr>
          <w:color w:val="auto"/>
        </w:rPr>
      </w:pPr>
    </w:p>
    <w:p w:rsidR="00E314E4" w:rsidRPr="00F52D82" w:rsidRDefault="00E314E4" w:rsidP="005D174A">
      <w:pPr>
        <w:pStyle w:val="Heading3"/>
        <w:rPr>
          <w:color w:val="auto"/>
        </w:rPr>
      </w:pPr>
      <w:r w:rsidRPr="00F52D82">
        <w:rPr>
          <w:color w:val="auto"/>
        </w:rPr>
        <w:t>Administration</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Care must be taken to avoid inadvertent injection of INVEGA TRINZA into a blood vessel.</w:t>
      </w:r>
    </w:p>
    <w:p w:rsidR="00E314E4" w:rsidRPr="00F52D82" w:rsidRDefault="00E314E4" w:rsidP="005D174A">
      <w:pPr>
        <w:pStyle w:val="Heading3"/>
      </w:pPr>
      <w:r w:rsidRPr="008759C8">
        <w:t>I</w:t>
      </w:r>
      <w:r w:rsidRPr="00F52D82">
        <w:t>ntraoperative floppy iris syndrome</w:t>
      </w:r>
    </w:p>
    <w:p w:rsidR="00E314E4" w:rsidRPr="00F52D82" w:rsidRDefault="00E314E4" w:rsidP="005D174A">
      <w:pPr>
        <w:pStyle w:val="BodyText12"/>
        <w:spacing w:line="240" w:lineRule="auto"/>
        <w:rPr>
          <w:rFonts w:ascii="Arial" w:eastAsia="Arial Unicode MS" w:hAnsi="Arial" w:cs="Arial"/>
          <w:sz w:val="22"/>
          <w:szCs w:val="22"/>
        </w:rPr>
      </w:pPr>
      <w:r w:rsidRPr="00F52D82">
        <w:rPr>
          <w:rFonts w:ascii="Arial" w:eastAsia="Arial Unicode MS" w:hAnsi="Arial" w:cs="Arial"/>
          <w:sz w:val="22"/>
          <w:szCs w:val="22"/>
        </w:rPr>
        <w:t xml:space="preserve">Intraoperative floppy iris syndrome (IFIS) has been observed during cataract surgery in patients treated with medicines with alpha1a-adrenergic antagonist effect, such as INVEGA TRINZA (see </w:t>
      </w:r>
      <w:r w:rsidRPr="00E06B2A">
        <w:rPr>
          <w:rFonts w:ascii="Arial" w:hAnsi="Arial" w:cs="Arial"/>
          <w:b/>
          <w:sz w:val="22"/>
          <w:szCs w:val="22"/>
        </w:rPr>
        <w:t>ADVERSE EFFECTS</w:t>
      </w:r>
      <w:r w:rsidRPr="00F52D82">
        <w:rPr>
          <w:rFonts w:ascii="Arial" w:eastAsia="Arial Unicode MS" w:hAnsi="Arial" w:cs="Arial"/>
          <w:sz w:val="22"/>
          <w:szCs w:val="22"/>
        </w:rPr>
        <w:t>).</w:t>
      </w:r>
    </w:p>
    <w:p w:rsidR="003639C9" w:rsidRPr="002A6369" w:rsidRDefault="00E314E4" w:rsidP="005D174A">
      <w:pPr>
        <w:pStyle w:val="BodyText12"/>
        <w:spacing w:line="240" w:lineRule="auto"/>
        <w:rPr>
          <w:rFonts w:ascii="Arial" w:eastAsia="Arial Unicode MS" w:hAnsi="Arial" w:cs="Arial"/>
          <w:sz w:val="22"/>
          <w:szCs w:val="22"/>
        </w:rPr>
      </w:pPr>
      <w:r w:rsidRPr="00F52D82">
        <w:rPr>
          <w:rFonts w:ascii="Arial" w:eastAsia="Arial Unicode MS" w:hAnsi="Arial" w:cs="Arial"/>
          <w:sz w:val="22"/>
          <w:szCs w:val="22"/>
        </w:rPr>
        <w:t>IFIS may increase the risk of eye complications during and after the operation. Current or past use of medicines with alpha1a-adrenergic antagonist effect should be made known to the ophthalmic surgeon in advance of surgery. The potential benefit of stopping alpha1 blocking therapy prior to cataract surgery has not been established and must be weighed against the risk of stopping the antipsychotic therapy.</w:t>
      </w:r>
    </w:p>
    <w:p w:rsidR="00E314E4" w:rsidRPr="00F52D82" w:rsidRDefault="00E314E4" w:rsidP="005D174A">
      <w:pPr>
        <w:pStyle w:val="Heading2"/>
        <w:rPr>
          <w:color w:val="auto"/>
          <w:sz w:val="22"/>
          <w:szCs w:val="22"/>
        </w:rPr>
      </w:pPr>
      <w:bookmarkStart w:id="43" w:name="_Toc151795482"/>
      <w:bookmarkStart w:id="44" w:name="_Toc151796678"/>
      <w:bookmarkStart w:id="45" w:name="_Toc151796880"/>
      <w:bookmarkStart w:id="46" w:name="_Toc151801635"/>
      <w:bookmarkStart w:id="47" w:name="_Toc219801029"/>
      <w:bookmarkEnd w:id="37"/>
      <w:bookmarkEnd w:id="38"/>
      <w:bookmarkEnd w:id="39"/>
      <w:bookmarkEnd w:id="40"/>
      <w:bookmarkEnd w:id="41"/>
      <w:proofErr w:type="spellStart"/>
      <w:r w:rsidRPr="00F52D82">
        <w:rPr>
          <w:color w:val="auto"/>
          <w:sz w:val="22"/>
          <w:szCs w:val="22"/>
        </w:rPr>
        <w:t>Hyperglycemia</w:t>
      </w:r>
      <w:proofErr w:type="spellEnd"/>
      <w:r w:rsidRPr="00F52D82">
        <w:rPr>
          <w:color w:val="auto"/>
          <w:sz w:val="22"/>
          <w:szCs w:val="22"/>
        </w:rPr>
        <w:t xml:space="preserve"> and Diabetes Mellitus</w:t>
      </w:r>
      <w:bookmarkEnd w:id="43"/>
      <w:bookmarkEnd w:id="44"/>
      <w:bookmarkEnd w:id="45"/>
      <w:bookmarkEnd w:id="46"/>
      <w:bookmarkEnd w:id="47"/>
    </w:p>
    <w:p w:rsidR="00331FCE" w:rsidRDefault="00331FCE" w:rsidP="00331FCE">
      <w:pPr>
        <w:pStyle w:val="Default"/>
        <w:jc w:val="both"/>
        <w:rPr>
          <w:rFonts w:ascii="Arial" w:hAnsi="Arial" w:cs="Arial"/>
          <w:sz w:val="22"/>
          <w:szCs w:val="22"/>
        </w:rPr>
      </w:pPr>
      <w:proofErr w:type="spellStart"/>
      <w:r w:rsidRPr="00550D11">
        <w:rPr>
          <w:rFonts w:ascii="Arial" w:hAnsi="Arial" w:cs="Arial"/>
          <w:sz w:val="22"/>
          <w:szCs w:val="22"/>
        </w:rPr>
        <w:t>Hyperglycaemia</w:t>
      </w:r>
      <w:proofErr w:type="spellEnd"/>
      <w:r w:rsidRPr="00550D11">
        <w:rPr>
          <w:rFonts w:ascii="Arial" w:hAnsi="Arial" w:cs="Arial"/>
          <w:sz w:val="22"/>
          <w:szCs w:val="22"/>
        </w:rPr>
        <w:t xml:space="preserve">, in some cases extreme and associated with ketoacidosis or hyperosmolar coma or death, has been reported in patients treated with all atypical antipsychotics. These cases were, for the most part, seen in post-marketing clinical use and epidemiologic studies, not in clinical trials, and there have been few reports of </w:t>
      </w:r>
      <w:proofErr w:type="spellStart"/>
      <w:r w:rsidRPr="00550D11">
        <w:rPr>
          <w:rFonts w:ascii="Arial" w:hAnsi="Arial" w:cs="Arial"/>
          <w:sz w:val="22"/>
          <w:szCs w:val="22"/>
        </w:rPr>
        <w:t>hyperglycaemia</w:t>
      </w:r>
      <w:proofErr w:type="spellEnd"/>
      <w:r w:rsidRPr="00550D11">
        <w:rPr>
          <w:rFonts w:ascii="Arial" w:hAnsi="Arial" w:cs="Arial"/>
          <w:sz w:val="22"/>
          <w:szCs w:val="22"/>
        </w:rPr>
        <w:t xml:space="preserve"> or diabetes in trial subjects treated with INVEGA </w:t>
      </w:r>
      <w:r w:rsidRPr="005D174A">
        <w:rPr>
          <w:rFonts w:ascii="Arial" w:hAnsi="Arial" w:cs="Arial"/>
          <w:sz w:val="22"/>
          <w:szCs w:val="22"/>
        </w:rPr>
        <w:t xml:space="preserve">TRINZA. </w:t>
      </w:r>
      <w:r w:rsidRPr="00550D11">
        <w:rPr>
          <w:rFonts w:ascii="Arial" w:hAnsi="Arial" w:cs="Arial"/>
          <w:sz w:val="22"/>
          <w:szCs w:val="22"/>
        </w:rPr>
        <w:t xml:space="preserve">Assessment of the relationship between atypical antipsychotic use and glucose abnormalities is complicated by the possibility of an increased background risk of diabetes mellitus in patients with schizophrenia and the increasing incidence of diabetes mellitus in the general population. Given these confounders, the relationship between atypical antipsychotic use and </w:t>
      </w:r>
      <w:proofErr w:type="spellStart"/>
      <w:r w:rsidRPr="00550D11">
        <w:rPr>
          <w:rFonts w:ascii="Arial" w:hAnsi="Arial" w:cs="Arial"/>
          <w:sz w:val="22"/>
          <w:szCs w:val="22"/>
        </w:rPr>
        <w:t>hyperglycaemia</w:t>
      </w:r>
      <w:proofErr w:type="spellEnd"/>
      <w:r w:rsidRPr="00550D11">
        <w:rPr>
          <w:rFonts w:ascii="Arial" w:hAnsi="Arial" w:cs="Arial"/>
          <w:sz w:val="22"/>
          <w:szCs w:val="22"/>
        </w:rPr>
        <w:t xml:space="preserve">-related adverse events is not completely understood. However, epidemiological studies suggest an increased risk of treatment-emergent </w:t>
      </w:r>
      <w:proofErr w:type="spellStart"/>
      <w:r w:rsidRPr="00550D11">
        <w:rPr>
          <w:rFonts w:ascii="Arial" w:hAnsi="Arial" w:cs="Arial"/>
          <w:sz w:val="22"/>
          <w:szCs w:val="22"/>
        </w:rPr>
        <w:t>hyperglycaemia</w:t>
      </w:r>
      <w:proofErr w:type="spellEnd"/>
      <w:r w:rsidRPr="00550D11">
        <w:rPr>
          <w:rFonts w:ascii="Arial" w:hAnsi="Arial" w:cs="Arial"/>
          <w:sz w:val="22"/>
          <w:szCs w:val="22"/>
        </w:rPr>
        <w:t>-related adverse events in patients treated with the atypical antipsychotics. Because INVEGA</w:t>
      </w:r>
      <w:r w:rsidRPr="005D174A">
        <w:rPr>
          <w:rFonts w:ascii="Arial" w:hAnsi="Arial" w:cs="Arial"/>
          <w:sz w:val="22"/>
          <w:szCs w:val="22"/>
        </w:rPr>
        <w:t xml:space="preserve"> TRINZA was not marketed at the time these studies were performed, it is not known if INVEGA TRINZA is</w:t>
      </w:r>
      <w:r w:rsidRPr="00550D11">
        <w:rPr>
          <w:rFonts w:ascii="Arial" w:hAnsi="Arial" w:cs="Arial"/>
          <w:sz w:val="22"/>
          <w:szCs w:val="22"/>
        </w:rPr>
        <w:t xml:space="preserve"> associated with this increased risk. </w:t>
      </w:r>
    </w:p>
    <w:p w:rsidR="00331FCE" w:rsidRPr="00550D11" w:rsidRDefault="00331FCE" w:rsidP="00331FCE">
      <w:pPr>
        <w:pStyle w:val="Default"/>
        <w:jc w:val="both"/>
        <w:rPr>
          <w:rFonts w:ascii="Arial" w:hAnsi="Arial" w:cs="Arial"/>
          <w:sz w:val="22"/>
          <w:szCs w:val="22"/>
        </w:rPr>
      </w:pPr>
    </w:p>
    <w:p w:rsidR="00331FCE" w:rsidRPr="00E37BC9" w:rsidRDefault="00331FCE" w:rsidP="00331FCE">
      <w:pPr>
        <w:autoSpaceDE w:val="0"/>
        <w:autoSpaceDN w:val="0"/>
        <w:adjustRightInd w:val="0"/>
        <w:jc w:val="both"/>
      </w:pPr>
      <w:r w:rsidRPr="00550D11">
        <w:t xml:space="preserve">Patients with an established diagnosis of diabetes mellitus who are started on atypical antipsychotics should be monitored regularly for worsening of glucose control. Patients with risk factors for diabetes mellitus (e.g., obesity, family history of diabetes) who are starting treatment with atypical antipsychotics should undergo fasting blood glucose testing at the beginning of treatment and periodically during treatment. Any patient treated with atypical antipsychotics should be monitored for symptoms of hyperglycaemia including polydipsia, polyuria, polyphagia, and </w:t>
      </w:r>
      <w:r w:rsidRPr="00550D11">
        <w:lastRenderedPageBreak/>
        <w:t>weakness. Patients who develop symptoms of hyperglycaemia during treatment with atypical antipsychotics should undergo fasting blood glucose testing. In some cases, hyperglycaemia has resolved when the atypi</w:t>
      </w:r>
      <w:r w:rsidRPr="00E37BC9">
        <w:t>cal antipsychotic was discontinued; however, some patients required continuation of anti-diabetic treatment despite discontinuation of the suspect drug.</w:t>
      </w:r>
    </w:p>
    <w:p w:rsidR="00550D11" w:rsidRPr="008F47F2" w:rsidRDefault="00550D11" w:rsidP="005D174A">
      <w:pPr>
        <w:pStyle w:val="BodyText12"/>
        <w:spacing w:line="240" w:lineRule="auto"/>
        <w:rPr>
          <w:rFonts w:ascii="Arial" w:hAnsi="Arial" w:cs="Arial"/>
          <w:sz w:val="22"/>
          <w:szCs w:val="22"/>
        </w:rPr>
      </w:pPr>
    </w:p>
    <w:p w:rsidR="00E314E4" w:rsidRPr="00F52D82" w:rsidRDefault="00E314E4" w:rsidP="005D174A">
      <w:pPr>
        <w:pStyle w:val="Heading2"/>
        <w:rPr>
          <w:color w:val="auto"/>
          <w:sz w:val="22"/>
          <w:szCs w:val="22"/>
        </w:rPr>
      </w:pPr>
      <w:bookmarkStart w:id="48" w:name="_Toc219801030"/>
      <w:r w:rsidRPr="00F52D82">
        <w:rPr>
          <w:color w:val="auto"/>
          <w:sz w:val="22"/>
          <w:szCs w:val="22"/>
        </w:rPr>
        <w:t>Weight Gain</w:t>
      </w:r>
    </w:p>
    <w:p w:rsidR="00E314E4" w:rsidRDefault="00E314E4" w:rsidP="005D174A">
      <w:pPr>
        <w:jc w:val="both"/>
        <w:rPr>
          <w:color w:val="auto"/>
        </w:rPr>
      </w:pPr>
      <w:r w:rsidRPr="00F52D82">
        <w:rPr>
          <w:color w:val="auto"/>
        </w:rPr>
        <w:t xml:space="preserve">Weight gain has been observed with INVEGA TRINZA and other atypical antipsychotics. Clinical monitoring of weight is recommended. </w:t>
      </w:r>
      <w:bookmarkEnd w:id="48"/>
    </w:p>
    <w:p w:rsidR="00331FCE" w:rsidRDefault="00331FCE" w:rsidP="00331FCE">
      <w:pPr>
        <w:autoSpaceDE w:val="0"/>
        <w:autoSpaceDN w:val="0"/>
        <w:adjustRightInd w:val="0"/>
        <w:jc w:val="both"/>
        <w:rPr>
          <w:szCs w:val="24"/>
        </w:rPr>
      </w:pPr>
      <w:r w:rsidRPr="005D174A">
        <w:rPr>
          <w:szCs w:val="24"/>
        </w:rPr>
        <w:t>In the double-blind placebo-controlled phase of the long-term relapse prevention trial, abnormal increases of ≥</w:t>
      </w:r>
      <w:r>
        <w:rPr>
          <w:szCs w:val="24"/>
        </w:rPr>
        <w:t xml:space="preserve"> </w:t>
      </w:r>
      <w:r w:rsidRPr="005D174A">
        <w:rPr>
          <w:szCs w:val="24"/>
        </w:rPr>
        <w:t xml:space="preserve">7% in body weight from double-blind baseline to double-blind end point were reported for 15 subjects (10%) in the INVEGA TRINZA group and 1 subject (1%) in the placebo group. Conversely, abnormal decreases in body weight (≥ 7%) from double-blind baseline to double-blind end point were reported for 2 subjects (1%) in the INVEGA TRINZA group and 12 subjects (8%) in the placebo group. The mean changes in body weight from double-blind baseline to double-blind end point were +0.94 kg and </w:t>
      </w:r>
      <w:r w:rsidRPr="005D174A">
        <w:rPr>
          <w:szCs w:val="24"/>
        </w:rPr>
        <w:noBreakHyphen/>
        <w:t>1.28 kg for the INVEGA TRINZA and placebo groups, respectively.</w:t>
      </w:r>
    </w:p>
    <w:p w:rsidR="00331FCE" w:rsidRPr="005D174A" w:rsidRDefault="00331FCE" w:rsidP="00331FCE">
      <w:pPr>
        <w:autoSpaceDE w:val="0"/>
        <w:autoSpaceDN w:val="0"/>
        <w:adjustRightInd w:val="0"/>
        <w:jc w:val="both"/>
        <w:rPr>
          <w:szCs w:val="24"/>
        </w:rPr>
      </w:pPr>
    </w:p>
    <w:p w:rsidR="00814B35" w:rsidRPr="00374DC2" w:rsidRDefault="00814B35" w:rsidP="00814B35">
      <w:pPr>
        <w:autoSpaceDE w:val="0"/>
        <w:autoSpaceDN w:val="0"/>
        <w:adjustRightInd w:val="0"/>
      </w:pPr>
      <w:r w:rsidRPr="00374DC2">
        <w:t xml:space="preserve">In the non-inferiority study, 15% of subjects in the INVEGA TRINZA group and 16% of subjects in the 1-month paliperidone palmitate treatment group had an increase in body weight of ≥ 7% from double-blind baseline to double-blind end point. </w:t>
      </w:r>
    </w:p>
    <w:p w:rsidR="00E37BC9" w:rsidRPr="005D174A" w:rsidRDefault="00E37BC9" w:rsidP="005D174A">
      <w:pPr>
        <w:jc w:val="both"/>
        <w:rPr>
          <w:color w:val="auto"/>
        </w:rPr>
      </w:pPr>
    </w:p>
    <w:p w:rsidR="00331FCE" w:rsidRPr="005D174A" w:rsidRDefault="00331FCE" w:rsidP="00331FCE">
      <w:pPr>
        <w:autoSpaceDE w:val="0"/>
        <w:autoSpaceDN w:val="0"/>
        <w:adjustRightInd w:val="0"/>
        <w:jc w:val="both"/>
      </w:pPr>
      <w:r w:rsidRPr="005D174A">
        <w:rPr>
          <w:b/>
          <w:bCs/>
          <w:iCs/>
        </w:rPr>
        <w:t xml:space="preserve">Use in patients with renal impairment </w:t>
      </w:r>
    </w:p>
    <w:p w:rsidR="00331FCE" w:rsidRPr="005D174A" w:rsidRDefault="00331FCE" w:rsidP="00331FCE">
      <w:pPr>
        <w:autoSpaceDE w:val="0"/>
        <w:autoSpaceDN w:val="0"/>
        <w:adjustRightInd w:val="0"/>
        <w:jc w:val="both"/>
      </w:pPr>
      <w:r w:rsidRPr="005D174A">
        <w:t xml:space="preserve">INVEGA TRINZA has not been systematically studied in patients with renal impairment (see </w:t>
      </w:r>
      <w:r w:rsidRPr="005D174A">
        <w:rPr>
          <w:b/>
        </w:rPr>
        <w:t>PHARMACOLOGY</w:t>
      </w:r>
      <w:r w:rsidRPr="005D174A">
        <w:t xml:space="preserve"> – Special Populations). A reduced dose is recommended in patients with mild renal impairment; INVEGA TRINZA is not recommended in patients with moderate or severe renal impairment (see </w:t>
      </w:r>
      <w:r w:rsidRPr="005D174A">
        <w:rPr>
          <w:b/>
        </w:rPr>
        <w:t>DOSAGE AND ADMINISTRATION</w:t>
      </w:r>
      <w:r w:rsidRPr="005D174A">
        <w:t xml:space="preserve">). </w:t>
      </w:r>
    </w:p>
    <w:p w:rsidR="008F47F2" w:rsidRPr="008F47F2" w:rsidRDefault="008F47F2" w:rsidP="005D174A">
      <w:pPr>
        <w:jc w:val="both"/>
        <w:rPr>
          <w:b/>
          <w:color w:val="auto"/>
        </w:rPr>
      </w:pPr>
    </w:p>
    <w:p w:rsidR="00E314E4" w:rsidRPr="00F52D82" w:rsidRDefault="00E314E4" w:rsidP="005D174A">
      <w:pPr>
        <w:pStyle w:val="Heading2"/>
        <w:rPr>
          <w:color w:val="auto"/>
          <w:sz w:val="22"/>
          <w:szCs w:val="22"/>
        </w:rPr>
      </w:pPr>
      <w:r w:rsidRPr="00F52D82">
        <w:rPr>
          <w:color w:val="auto"/>
          <w:sz w:val="22"/>
          <w:szCs w:val="22"/>
        </w:rPr>
        <w:t>Use in patients with hepatic impairment</w:t>
      </w:r>
    </w:p>
    <w:p w:rsidR="00E314E4" w:rsidRPr="00F52D82" w:rsidRDefault="00E314E4" w:rsidP="005D174A">
      <w:pPr>
        <w:jc w:val="both"/>
        <w:rPr>
          <w:color w:val="auto"/>
          <w:highlight w:val="yellow"/>
        </w:rPr>
      </w:pPr>
      <w:r w:rsidRPr="00F52D82">
        <w:rPr>
          <w:color w:val="auto"/>
        </w:rPr>
        <w:t>INVEGA TRINZA</w:t>
      </w:r>
      <w:r>
        <w:rPr>
          <w:color w:val="auto"/>
          <w:vertAlign w:val="superscript"/>
        </w:rPr>
        <w:t xml:space="preserve"> </w:t>
      </w:r>
      <w:r w:rsidRPr="00F52D82">
        <w:rPr>
          <w:color w:val="auto"/>
        </w:rPr>
        <w:t>has not been studied in patients with hepatic impairment. Based on a study with oral paliperidone, no dose adjustment is required in patients with mild or moderate hepatic impairment. Paliperidone has not been studied in patients with severe hepatic impairment.</w:t>
      </w:r>
    </w:p>
    <w:p w:rsidR="00E314E4" w:rsidRPr="00F52D82" w:rsidRDefault="0001328E" w:rsidP="005D174A">
      <w:pPr>
        <w:pStyle w:val="Heading2"/>
        <w:rPr>
          <w:color w:val="auto"/>
          <w:sz w:val="22"/>
          <w:szCs w:val="22"/>
        </w:rPr>
      </w:pPr>
      <w:r w:rsidRPr="0001328E">
        <w:rPr>
          <w:color w:val="auto"/>
          <w:sz w:val="22"/>
          <w:szCs w:val="22"/>
        </w:rPr>
        <w:t xml:space="preserve"> </w:t>
      </w:r>
      <w:r>
        <w:rPr>
          <w:color w:val="auto"/>
          <w:sz w:val="22"/>
          <w:szCs w:val="22"/>
        </w:rPr>
        <w:t>Paediatric Use</w:t>
      </w:r>
    </w:p>
    <w:p w:rsidR="0001328E" w:rsidRPr="00A55FA3" w:rsidRDefault="0001328E" w:rsidP="0001328E">
      <w:pPr>
        <w:autoSpaceDE w:val="0"/>
        <w:autoSpaceDN w:val="0"/>
        <w:adjustRightInd w:val="0"/>
        <w:jc w:val="both"/>
      </w:pPr>
      <w:bookmarkStart w:id="49" w:name="_Nursing_Mothers"/>
      <w:bookmarkStart w:id="50" w:name="_Pediatric_Use"/>
      <w:bookmarkEnd w:id="49"/>
      <w:bookmarkEnd w:id="50"/>
      <w:r w:rsidRPr="00A55FA3">
        <w:t xml:space="preserve">In a 7-week oral toxicity study in juvenile rats with paliperidone at doses of 0.16, 0.63, and 2.5 mg/kg/day, no effects on growth, sexual maturation or reproductive performance were observed. Doses up to 2.5 mg/kg/day did not affect neurobehavioral development, except for an impairment of learning and memory in females treated at 2.5 mg/kg/day, which was not observed after discontinuation of treatment. Respective exposures (plasma AUC) at these doses were 0.1, 0.4, and 1.3 times exposure in adolescents at the maximal recommended dose (12 mg/day). </w:t>
      </w:r>
    </w:p>
    <w:p w:rsidR="0001328E" w:rsidRPr="00A55FA3" w:rsidRDefault="0001328E" w:rsidP="0001328E">
      <w:pPr>
        <w:autoSpaceDE w:val="0"/>
        <w:autoSpaceDN w:val="0"/>
        <w:adjustRightInd w:val="0"/>
        <w:jc w:val="both"/>
      </w:pPr>
      <w:r w:rsidRPr="00A55FA3">
        <w:t xml:space="preserve">A 39-day oral toxicity study with risperidone (which is extensively converted to paliperidone) in juvenile rats noted increased pup mortality, a delay in physical development and, in a small proportion of animals, impairment of auditory startle, at exposures (plasma AUC) less than that at the maximum recommended paediatric risperidone dose (6 mg/day). </w:t>
      </w:r>
    </w:p>
    <w:p w:rsidR="0001328E" w:rsidRPr="00A55FA3" w:rsidRDefault="0001328E" w:rsidP="0001328E">
      <w:pPr>
        <w:autoSpaceDE w:val="0"/>
        <w:autoSpaceDN w:val="0"/>
        <w:adjustRightInd w:val="0"/>
        <w:jc w:val="both"/>
      </w:pPr>
      <w:r w:rsidRPr="00A55FA3">
        <w:t xml:space="preserve">The clinical relevance of these findings for adolescents is uncertain, given the relative immaturity of the rat pups upon commencement of treatment. </w:t>
      </w:r>
    </w:p>
    <w:p w:rsidR="0001328E" w:rsidRPr="00F52D82" w:rsidRDefault="0001328E" w:rsidP="0001328E">
      <w:pPr>
        <w:jc w:val="both"/>
        <w:rPr>
          <w:color w:val="auto"/>
        </w:rPr>
      </w:pPr>
      <w:r w:rsidRPr="00A55FA3">
        <w:t>A 40-week oral toxicity study with risperidone (which is extensively converted to paliperidone) in juvenile dogs noted delayed sexual maturation, probably secondary to hormonal changes. Long bone growth was slightly reduced at exposures (plasma AUC) of 3 fold and greater than those at the maximum dose in children and adolescents (6 mg/day); exposure at the no-effect dose was similar to human exposure.</w:t>
      </w:r>
    </w:p>
    <w:p w:rsidR="00E314E4" w:rsidRDefault="00E314E4" w:rsidP="0001328E">
      <w:pPr>
        <w:autoSpaceDE w:val="0"/>
        <w:autoSpaceDN w:val="0"/>
        <w:adjustRightInd w:val="0"/>
        <w:jc w:val="both"/>
        <w:rPr>
          <w:color w:val="auto"/>
        </w:rPr>
      </w:pPr>
    </w:p>
    <w:p w:rsidR="00553C06" w:rsidRDefault="00553C06" w:rsidP="0001328E">
      <w:pPr>
        <w:autoSpaceDE w:val="0"/>
        <w:autoSpaceDN w:val="0"/>
        <w:adjustRightInd w:val="0"/>
        <w:jc w:val="both"/>
        <w:rPr>
          <w:color w:val="auto"/>
        </w:rPr>
      </w:pPr>
    </w:p>
    <w:p w:rsidR="00553C06" w:rsidRPr="00F52D82" w:rsidRDefault="00553C06" w:rsidP="0001328E">
      <w:pPr>
        <w:autoSpaceDE w:val="0"/>
        <w:autoSpaceDN w:val="0"/>
        <w:adjustRightInd w:val="0"/>
        <w:jc w:val="both"/>
        <w:rPr>
          <w:color w:val="auto"/>
        </w:rPr>
      </w:pPr>
    </w:p>
    <w:p w:rsidR="00E314E4" w:rsidRPr="00F52D82" w:rsidRDefault="00E314E4" w:rsidP="005D174A">
      <w:pPr>
        <w:pStyle w:val="Heading2"/>
        <w:rPr>
          <w:color w:val="auto"/>
          <w:sz w:val="22"/>
          <w:szCs w:val="22"/>
        </w:rPr>
      </w:pPr>
      <w:r w:rsidRPr="00F52D82">
        <w:rPr>
          <w:color w:val="auto"/>
          <w:sz w:val="22"/>
          <w:szCs w:val="22"/>
        </w:rPr>
        <w:lastRenderedPageBreak/>
        <w:t>Effects on fertility</w:t>
      </w:r>
    </w:p>
    <w:p w:rsidR="0001328E" w:rsidRPr="00044979" w:rsidRDefault="0001328E" w:rsidP="0001328E">
      <w:pPr>
        <w:autoSpaceDE w:val="0"/>
        <w:autoSpaceDN w:val="0"/>
        <w:adjustRightInd w:val="0"/>
        <w:jc w:val="both"/>
      </w:pPr>
      <w:r w:rsidRPr="00044979">
        <w:t xml:space="preserve">Fertility studies of paliperidone palmitate have not been performed. </w:t>
      </w:r>
    </w:p>
    <w:p w:rsidR="0001328E" w:rsidRPr="00044979" w:rsidRDefault="0001328E" w:rsidP="0001328E">
      <w:pPr>
        <w:autoSpaceDE w:val="0"/>
        <w:autoSpaceDN w:val="0"/>
        <w:adjustRightInd w:val="0"/>
        <w:jc w:val="both"/>
      </w:pPr>
      <w:r w:rsidRPr="00044979">
        <w:t>Mating and fertility of male and female rats was not affected at oral paliperidone doses up to 2.5 mg/kg/day (twice the maximum recommended oral clinical dose based on body surface area (mg/m</w:t>
      </w:r>
      <w:r w:rsidRPr="00073D60">
        <w:rPr>
          <w:vertAlign w:val="superscript"/>
        </w:rPr>
        <w:t>2</w:t>
      </w:r>
      <w:r w:rsidRPr="00044979">
        <w:t xml:space="preserve">)). The 2.5 mg/kg/day dose produced slight maternal toxicity, increased pre-implantation loss and slightly reduced the number of live embryos; the no-effect dose was 0.63 mg/kg/day. </w:t>
      </w:r>
    </w:p>
    <w:p w:rsidR="0001328E" w:rsidRPr="00044979" w:rsidRDefault="0001328E" w:rsidP="0001328E">
      <w:pPr>
        <w:pStyle w:val="Numbered12-1"/>
        <w:numPr>
          <w:ilvl w:val="0"/>
          <w:numId w:val="0"/>
        </w:numPr>
        <w:rPr>
          <w:rFonts w:ascii="Arial" w:hAnsi="Arial" w:cs="Arial"/>
          <w:color w:val="000000"/>
          <w:sz w:val="22"/>
          <w:szCs w:val="22"/>
        </w:rPr>
      </w:pPr>
      <w:r w:rsidRPr="00044979">
        <w:rPr>
          <w:rFonts w:ascii="Arial" w:hAnsi="Arial" w:cs="Arial"/>
          <w:color w:val="000000"/>
          <w:sz w:val="22"/>
          <w:szCs w:val="22"/>
        </w:rPr>
        <w:t>In rat fertility studies with risperidone, which is extensively converted to paliperidone in rats and humans, mating (but not fertility) was impaired at doses 0.2 to 5 times the maximum human dose on a mg/m</w:t>
      </w:r>
      <w:r w:rsidRPr="00073D60">
        <w:rPr>
          <w:rFonts w:ascii="Arial" w:hAnsi="Arial" w:cs="Arial"/>
          <w:color w:val="000000"/>
          <w:sz w:val="22"/>
          <w:szCs w:val="22"/>
          <w:vertAlign w:val="superscript"/>
        </w:rPr>
        <w:t>2</w:t>
      </w:r>
      <w:r w:rsidRPr="00044979">
        <w:rPr>
          <w:rFonts w:ascii="Arial" w:hAnsi="Arial" w:cs="Arial"/>
          <w:color w:val="000000"/>
          <w:sz w:val="22"/>
          <w:szCs w:val="22"/>
        </w:rPr>
        <w:t xml:space="preserve"> basis, by an effect on females. In repeat dose toxicity studies in beagle dogs, risperidone at doses of 1 to 17 times the maximum human dose on </w:t>
      </w:r>
      <w:proofErr w:type="gramStart"/>
      <w:r w:rsidRPr="00044979">
        <w:rPr>
          <w:rFonts w:ascii="Arial" w:hAnsi="Arial" w:cs="Arial"/>
          <w:color w:val="000000"/>
          <w:sz w:val="22"/>
          <w:szCs w:val="22"/>
        </w:rPr>
        <w:t>a</w:t>
      </w:r>
      <w:proofErr w:type="gramEnd"/>
      <w:r w:rsidRPr="00044979">
        <w:rPr>
          <w:rFonts w:ascii="Arial" w:hAnsi="Arial" w:cs="Arial"/>
          <w:color w:val="000000"/>
          <w:sz w:val="22"/>
          <w:szCs w:val="22"/>
        </w:rPr>
        <w:t xml:space="preserve"> mg/m</w:t>
      </w:r>
      <w:r w:rsidRPr="00073D60">
        <w:rPr>
          <w:rFonts w:ascii="Arial" w:hAnsi="Arial" w:cs="Arial"/>
          <w:color w:val="000000"/>
          <w:sz w:val="22"/>
          <w:szCs w:val="22"/>
          <w:vertAlign w:val="superscript"/>
        </w:rPr>
        <w:t xml:space="preserve">2 </w:t>
      </w:r>
      <w:r w:rsidRPr="00044979">
        <w:rPr>
          <w:rFonts w:ascii="Arial" w:hAnsi="Arial" w:cs="Arial"/>
          <w:color w:val="000000"/>
          <w:sz w:val="22"/>
          <w:szCs w:val="22"/>
        </w:rPr>
        <w:t>basis was associated with adverse effects on the male reproductive system (inhibited ejaculation, incomplete spermatogenesis, reduced sperm motility and concentration, reduced gonadal and prostatic weight, prostatic immaturity, decreased serum testosterone). Serum testosterone and sperm parameters partially recovered but remained decreased after treatment was discontinued. No-effect doses were not d</w:t>
      </w:r>
      <w:r>
        <w:rPr>
          <w:rFonts w:ascii="Arial" w:hAnsi="Arial" w:cs="Arial"/>
          <w:color w:val="000000"/>
          <w:sz w:val="22"/>
          <w:szCs w:val="22"/>
        </w:rPr>
        <w:t>etermined in either rat or dog.</w:t>
      </w:r>
    </w:p>
    <w:p w:rsidR="00374DC2" w:rsidRDefault="00E314E4" w:rsidP="00374DC2">
      <w:pPr>
        <w:pStyle w:val="Heading2"/>
        <w:rPr>
          <w:color w:val="auto"/>
          <w:sz w:val="22"/>
          <w:szCs w:val="22"/>
        </w:rPr>
      </w:pPr>
      <w:r w:rsidRPr="00044979">
        <w:rPr>
          <w:color w:val="auto"/>
          <w:sz w:val="22"/>
          <w:szCs w:val="22"/>
        </w:rPr>
        <w:t>Use in pregnancy – Category C</w:t>
      </w:r>
    </w:p>
    <w:p w:rsidR="0001328E" w:rsidRPr="00374DC2" w:rsidRDefault="0001328E" w:rsidP="00374DC2">
      <w:pPr>
        <w:pStyle w:val="Heading2"/>
        <w:rPr>
          <w:b w:val="0"/>
          <w:color w:val="auto"/>
          <w:sz w:val="22"/>
          <w:szCs w:val="22"/>
        </w:rPr>
      </w:pPr>
      <w:r w:rsidRPr="00374DC2">
        <w:rPr>
          <w:b w:val="0"/>
          <w:sz w:val="22"/>
          <w:szCs w:val="22"/>
        </w:rPr>
        <w:t xml:space="preserve">The safety of intramuscularly-injected paliperidone palmitate or orally-dosed paliperidone during human pregnancy has not been established. No teratogenicity was observed following a single intramuscular treatment of pregnant rats with paliperidone palmitate in early gestation. The highest dose (160 mg/kg) was </w:t>
      </w:r>
      <w:proofErr w:type="spellStart"/>
      <w:r w:rsidRPr="00374DC2">
        <w:rPr>
          <w:b w:val="0"/>
          <w:sz w:val="22"/>
          <w:szCs w:val="22"/>
        </w:rPr>
        <w:t>maternotoxic</w:t>
      </w:r>
      <w:proofErr w:type="spellEnd"/>
      <w:r w:rsidRPr="00374DC2">
        <w:rPr>
          <w:b w:val="0"/>
          <w:sz w:val="22"/>
          <w:szCs w:val="22"/>
        </w:rPr>
        <w:t xml:space="preserve"> and resulted in paliperidone exposure 4-fold the maximal anticipated clinical exposure based on plasma AUC. No teratogenic effect was noted in rats and rabbits following oral administration of paliperidone during the period of organogenesis at respective exposures up to 28- and 17-fold the maximal anticipated clinical exposure, based on plasma AUC. </w:t>
      </w:r>
      <w:proofErr w:type="spellStart"/>
      <w:r w:rsidRPr="00374DC2">
        <w:rPr>
          <w:b w:val="0"/>
          <w:sz w:val="22"/>
          <w:szCs w:val="22"/>
        </w:rPr>
        <w:t>Maternotoxic</w:t>
      </w:r>
      <w:proofErr w:type="spellEnd"/>
      <w:r w:rsidRPr="00374DC2">
        <w:rPr>
          <w:b w:val="0"/>
          <w:sz w:val="22"/>
          <w:szCs w:val="22"/>
        </w:rPr>
        <w:t xml:space="preserve"> doses in rabbits were associated with increased fetal mortality. Studies with risperidone also found no teratogenic effects in rats and rabbits following oral administration of risperidone during the period of organogenesis at doses up to nine times the human dose on </w:t>
      </w:r>
      <w:proofErr w:type="gramStart"/>
      <w:r w:rsidRPr="00374DC2">
        <w:rPr>
          <w:b w:val="0"/>
          <w:sz w:val="22"/>
          <w:szCs w:val="22"/>
        </w:rPr>
        <w:t>a</w:t>
      </w:r>
      <w:proofErr w:type="gramEnd"/>
      <w:r w:rsidRPr="00374DC2">
        <w:rPr>
          <w:b w:val="0"/>
          <w:sz w:val="22"/>
          <w:szCs w:val="22"/>
        </w:rPr>
        <w:t xml:space="preserve"> mg/m</w:t>
      </w:r>
      <w:r w:rsidRPr="00374DC2">
        <w:rPr>
          <w:b w:val="0"/>
          <w:sz w:val="22"/>
          <w:szCs w:val="22"/>
          <w:vertAlign w:val="superscript"/>
        </w:rPr>
        <w:t>2</w:t>
      </w:r>
      <w:r w:rsidRPr="00374DC2">
        <w:rPr>
          <w:b w:val="0"/>
          <w:sz w:val="22"/>
          <w:szCs w:val="22"/>
        </w:rPr>
        <w:t xml:space="preserve"> basis. </w:t>
      </w:r>
    </w:p>
    <w:p w:rsidR="00E314E4" w:rsidRPr="005D174A" w:rsidRDefault="00E314E4" w:rsidP="005D174A">
      <w:pPr>
        <w:pStyle w:val="BodyText12"/>
        <w:spacing w:line="240" w:lineRule="auto"/>
        <w:rPr>
          <w:rFonts w:ascii="Arial" w:hAnsi="Arial" w:cs="Arial"/>
          <w:sz w:val="22"/>
          <w:szCs w:val="22"/>
        </w:rPr>
      </w:pPr>
      <w:r w:rsidRPr="00F52D82">
        <w:rPr>
          <w:rFonts w:ascii="Arial" w:hAnsi="Arial" w:cs="Arial"/>
          <w:sz w:val="22"/>
          <w:szCs w:val="22"/>
        </w:rPr>
        <w:t xml:space="preserve">Neonates exposed to antipsychotic drugs (including paliperidone) during the third trimester of pregnancy are at risk for extrapyramidal and/or withdrawal symptoms that may vary in severity following delivery. These symptoms in the neonates may include agitation, hypertonia, </w:t>
      </w:r>
      <w:proofErr w:type="spellStart"/>
      <w:r w:rsidRPr="00F52D82">
        <w:rPr>
          <w:rFonts w:ascii="Arial" w:hAnsi="Arial" w:cs="Arial"/>
          <w:sz w:val="22"/>
          <w:szCs w:val="22"/>
        </w:rPr>
        <w:t>hypotonia</w:t>
      </w:r>
      <w:proofErr w:type="spellEnd"/>
      <w:r w:rsidRPr="00F52D82">
        <w:rPr>
          <w:rFonts w:ascii="Arial" w:hAnsi="Arial" w:cs="Arial"/>
          <w:sz w:val="22"/>
          <w:szCs w:val="22"/>
        </w:rPr>
        <w:t xml:space="preserve">, tremor, somnolence, respiratory distress, or feeding disorder. Since paliperidone has been detected in plasma up to 18 months after a single-dose administration of INVEGA TRINZA, consideration should be given to the long-acting nature of INVEGA TRINZA </w:t>
      </w:r>
      <w:proofErr w:type="gramStart"/>
      <w:r w:rsidRPr="00F52D82">
        <w:rPr>
          <w:rFonts w:ascii="Arial" w:hAnsi="Arial" w:cs="Arial"/>
          <w:sz w:val="22"/>
          <w:szCs w:val="22"/>
        </w:rPr>
        <w:t xml:space="preserve">as </w:t>
      </w:r>
      <w:r w:rsidR="0001328E">
        <w:rPr>
          <w:rFonts w:ascii="Arial" w:hAnsi="Arial" w:cs="Arial"/>
          <w:sz w:val="22"/>
          <w:szCs w:val="22"/>
        </w:rPr>
        <w:t xml:space="preserve"> </w:t>
      </w:r>
      <w:r w:rsidR="0001328E" w:rsidRPr="005D174A">
        <w:rPr>
          <w:rFonts w:ascii="Arial" w:hAnsi="Arial" w:cs="Arial"/>
          <w:color w:val="000000"/>
          <w:sz w:val="22"/>
          <w:szCs w:val="22"/>
        </w:rPr>
        <w:t>maternal</w:t>
      </w:r>
      <w:proofErr w:type="gramEnd"/>
      <w:r w:rsidR="0001328E" w:rsidRPr="005D174A">
        <w:rPr>
          <w:rFonts w:ascii="Arial" w:hAnsi="Arial" w:cs="Arial"/>
          <w:color w:val="000000"/>
          <w:sz w:val="22"/>
          <w:szCs w:val="22"/>
        </w:rPr>
        <w:t xml:space="preserve"> exposure to INVEGA TRINZA</w:t>
      </w:r>
      <w:r w:rsidR="0063594F" w:rsidRPr="005D174A">
        <w:rPr>
          <w:rFonts w:ascii="Arial" w:hAnsi="Arial" w:cs="Arial"/>
          <w:sz w:val="22"/>
          <w:szCs w:val="22"/>
        </w:rPr>
        <w:t xml:space="preserve"> </w:t>
      </w:r>
      <w:r w:rsidRPr="005D174A">
        <w:rPr>
          <w:rFonts w:ascii="Arial" w:hAnsi="Arial" w:cs="Arial"/>
          <w:sz w:val="22"/>
          <w:szCs w:val="22"/>
        </w:rPr>
        <w:t>before</w:t>
      </w:r>
      <w:r w:rsidR="0063594F" w:rsidRPr="005D174A">
        <w:rPr>
          <w:rFonts w:ascii="Arial" w:hAnsi="Arial" w:cs="Arial"/>
          <w:sz w:val="22"/>
          <w:szCs w:val="22"/>
        </w:rPr>
        <w:t xml:space="preserve"> </w:t>
      </w:r>
      <w:r w:rsidR="0001328E" w:rsidRPr="005D174A">
        <w:rPr>
          <w:rFonts w:ascii="Arial" w:hAnsi="Arial" w:cs="Arial"/>
          <w:sz w:val="22"/>
          <w:szCs w:val="22"/>
        </w:rPr>
        <w:t>or during</w:t>
      </w:r>
      <w:r w:rsidR="00FD4EE8">
        <w:rPr>
          <w:rFonts w:ascii="Arial" w:hAnsi="Arial" w:cs="Arial"/>
          <w:sz w:val="22"/>
          <w:szCs w:val="22"/>
        </w:rPr>
        <w:t xml:space="preserve"> </w:t>
      </w:r>
      <w:r w:rsidRPr="005D174A">
        <w:rPr>
          <w:rFonts w:ascii="Arial" w:hAnsi="Arial" w:cs="Arial"/>
          <w:sz w:val="22"/>
          <w:szCs w:val="22"/>
        </w:rPr>
        <w:t xml:space="preserve">pregnancy </w:t>
      </w:r>
      <w:r w:rsidR="0001328E" w:rsidRPr="005D174A">
        <w:rPr>
          <w:rFonts w:ascii="Arial" w:hAnsi="Arial" w:cs="Arial"/>
          <w:color w:val="000000"/>
          <w:sz w:val="22"/>
          <w:szCs w:val="22"/>
        </w:rPr>
        <w:t>may lead to adverse reactions in the newborn child.</w:t>
      </w:r>
      <w:r w:rsidR="004255C9">
        <w:rPr>
          <w:rFonts w:ascii="Arial" w:hAnsi="Arial" w:cs="Arial"/>
          <w:sz w:val="22"/>
          <w:szCs w:val="22"/>
        </w:rPr>
        <w:t xml:space="preserve"> </w:t>
      </w:r>
      <w:r w:rsidR="004255C9" w:rsidRPr="00307DEF">
        <w:rPr>
          <w:rFonts w:ascii="Arial" w:hAnsi="Arial" w:cs="Arial"/>
          <w:sz w:val="22"/>
          <w:szCs w:val="22"/>
        </w:rPr>
        <w:t xml:space="preserve">Monitor neonates for extrapyramidal and/or withdrawal symptoms and manage symptoms appropriately. Some neonates recover within hours or days without specific treatment; others may require prolonged </w:t>
      </w:r>
      <w:proofErr w:type="spellStart"/>
      <w:r w:rsidR="004255C9" w:rsidRPr="00307DEF">
        <w:rPr>
          <w:rFonts w:ascii="Arial" w:hAnsi="Arial" w:cs="Arial"/>
          <w:sz w:val="22"/>
          <w:szCs w:val="22"/>
        </w:rPr>
        <w:t>hospitalisation</w:t>
      </w:r>
      <w:proofErr w:type="spellEnd"/>
      <w:r w:rsidR="004255C9" w:rsidRPr="00307DEF">
        <w:rPr>
          <w:rFonts w:ascii="Arial" w:hAnsi="Arial" w:cs="Arial"/>
          <w:sz w:val="22"/>
          <w:szCs w:val="22"/>
        </w:rPr>
        <w:t>.</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INVEGA TRINZA should only be used during pregnancy if the benefits outweigh the risks. The effect of INVEGA TRINZA on labor and delivery in humans is unknown.</w:t>
      </w:r>
    </w:p>
    <w:p w:rsidR="00E314E4" w:rsidRPr="00F52D82" w:rsidRDefault="00E314E4" w:rsidP="005D174A">
      <w:pPr>
        <w:pStyle w:val="Heading2"/>
        <w:rPr>
          <w:color w:val="auto"/>
          <w:sz w:val="22"/>
          <w:szCs w:val="22"/>
        </w:rPr>
      </w:pPr>
      <w:r w:rsidRPr="00F52D82">
        <w:rPr>
          <w:color w:val="auto"/>
          <w:sz w:val="22"/>
          <w:szCs w:val="22"/>
        </w:rPr>
        <w:t>Use in lactation</w:t>
      </w:r>
    </w:p>
    <w:p w:rsidR="00353AF6" w:rsidRDefault="00E314E4" w:rsidP="005D174A">
      <w:pPr>
        <w:pStyle w:val="BodyText12"/>
        <w:widowControl w:val="0"/>
        <w:spacing w:line="240" w:lineRule="auto"/>
        <w:rPr>
          <w:rFonts w:ascii="Arial" w:hAnsi="Arial" w:cs="Arial"/>
          <w:sz w:val="22"/>
          <w:szCs w:val="22"/>
        </w:rPr>
      </w:pPr>
      <w:r w:rsidRPr="00F52D82">
        <w:rPr>
          <w:rFonts w:ascii="Arial" w:hAnsi="Arial" w:cs="Arial"/>
          <w:sz w:val="22"/>
          <w:szCs w:val="22"/>
        </w:rPr>
        <w:t xml:space="preserve">In animal studies with paliperidone and in human studies with risperidone, paliperidone was excreted in the milk. Therefore, women receiving INVEGA TRINZA should not breast-feed infants. </w:t>
      </w:r>
      <w:r w:rsidR="0001328E">
        <w:rPr>
          <w:rFonts w:ascii="Arial" w:hAnsi="Arial" w:cs="Arial"/>
          <w:sz w:val="22"/>
          <w:szCs w:val="22"/>
        </w:rPr>
        <w:t>C</w:t>
      </w:r>
      <w:r w:rsidRPr="00F52D82">
        <w:rPr>
          <w:rFonts w:ascii="Arial" w:hAnsi="Arial" w:cs="Arial"/>
          <w:sz w:val="22"/>
          <w:szCs w:val="22"/>
        </w:rPr>
        <w:t xml:space="preserve">onsideration should be given to the long-acting nature of INVEGA TRINZA as nursing infants may be at risk even from INVEGA TRINZA administration </w:t>
      </w:r>
      <w:r>
        <w:rPr>
          <w:rFonts w:ascii="Arial" w:hAnsi="Arial" w:cs="Arial"/>
          <w:sz w:val="22"/>
          <w:szCs w:val="22"/>
        </w:rPr>
        <w:t>long before nursing.</w:t>
      </w:r>
    </w:p>
    <w:p w:rsidR="009A3662" w:rsidRPr="00044979" w:rsidRDefault="009A3662" w:rsidP="009A3662">
      <w:pPr>
        <w:pStyle w:val="BodyText12"/>
        <w:widowControl w:val="0"/>
        <w:spacing w:line="240" w:lineRule="auto"/>
        <w:rPr>
          <w:rFonts w:ascii="Arial" w:hAnsi="Arial" w:cs="Arial"/>
          <w:sz w:val="22"/>
          <w:szCs w:val="22"/>
        </w:rPr>
      </w:pPr>
      <w:r w:rsidRPr="00044979">
        <w:rPr>
          <w:rFonts w:ascii="Arial" w:hAnsi="Arial" w:cs="Arial"/>
          <w:color w:val="000000"/>
          <w:sz w:val="22"/>
          <w:szCs w:val="22"/>
        </w:rPr>
        <w:t xml:space="preserve">Oral administration of paliperidone to rats from early gestation to lactation was associated with adverse effects in pups (clinical signs, reduced body weight gain and survival, impaired righting reflex) during lactation at doses similar to the maximal recommended clinical dose on </w:t>
      </w:r>
      <w:proofErr w:type="gramStart"/>
      <w:r w:rsidRPr="00044979">
        <w:rPr>
          <w:rFonts w:ascii="Arial" w:hAnsi="Arial" w:cs="Arial"/>
          <w:color w:val="000000"/>
          <w:sz w:val="22"/>
          <w:szCs w:val="22"/>
        </w:rPr>
        <w:t>a</w:t>
      </w:r>
      <w:proofErr w:type="gramEnd"/>
      <w:r w:rsidRPr="00044979">
        <w:rPr>
          <w:rFonts w:ascii="Arial" w:hAnsi="Arial" w:cs="Arial"/>
          <w:color w:val="000000"/>
          <w:sz w:val="22"/>
          <w:szCs w:val="22"/>
        </w:rPr>
        <w:t xml:space="preserve"> mg/m</w:t>
      </w:r>
      <w:r w:rsidRPr="00073D60">
        <w:rPr>
          <w:rFonts w:ascii="Arial" w:hAnsi="Arial" w:cs="Arial"/>
          <w:color w:val="000000"/>
          <w:sz w:val="22"/>
          <w:szCs w:val="22"/>
          <w:vertAlign w:val="superscript"/>
        </w:rPr>
        <w:t>2</w:t>
      </w:r>
      <w:r w:rsidRPr="00044979">
        <w:rPr>
          <w:rFonts w:ascii="Arial" w:hAnsi="Arial" w:cs="Arial"/>
          <w:color w:val="000000"/>
          <w:sz w:val="22"/>
          <w:szCs w:val="22"/>
        </w:rPr>
        <w:t xml:space="preserve"> basis; the no-effect dose was less than the clinical dose. In risperidone studies in rats, oral administration of risperidone during late gestation and lactation was associated with increased pup deaths during early lactation at doses 0.2 to 5 times the maximum human dose on a mg/m</w:t>
      </w:r>
      <w:r w:rsidRPr="00073D60">
        <w:rPr>
          <w:rFonts w:ascii="Arial" w:hAnsi="Arial" w:cs="Arial"/>
          <w:color w:val="000000"/>
          <w:sz w:val="22"/>
          <w:szCs w:val="22"/>
          <w:vertAlign w:val="superscript"/>
        </w:rPr>
        <w:t>2</w:t>
      </w:r>
      <w:r w:rsidRPr="00044979">
        <w:rPr>
          <w:rFonts w:ascii="Arial" w:hAnsi="Arial" w:cs="Arial"/>
          <w:color w:val="000000"/>
          <w:sz w:val="22"/>
          <w:szCs w:val="22"/>
        </w:rPr>
        <w:t xml:space="preserve"> basis (a no-effect dose was not determined) and with reduced pup weight gain at doses fivefold or greater than the maximal recommended human dose on a mg/m</w:t>
      </w:r>
      <w:r w:rsidRPr="00073D60">
        <w:rPr>
          <w:rFonts w:ascii="Arial" w:hAnsi="Arial" w:cs="Arial"/>
          <w:color w:val="000000"/>
          <w:sz w:val="22"/>
          <w:szCs w:val="22"/>
          <w:vertAlign w:val="superscript"/>
        </w:rPr>
        <w:t>2</w:t>
      </w:r>
      <w:r w:rsidRPr="00044979">
        <w:rPr>
          <w:rFonts w:ascii="Arial" w:hAnsi="Arial" w:cs="Arial"/>
          <w:color w:val="000000"/>
          <w:sz w:val="22"/>
          <w:szCs w:val="22"/>
        </w:rPr>
        <w:t xml:space="preserve"> basis. There were also increases </w:t>
      </w:r>
      <w:r w:rsidRPr="00044979">
        <w:rPr>
          <w:rFonts w:ascii="Arial" w:hAnsi="Arial" w:cs="Arial"/>
          <w:color w:val="000000"/>
          <w:sz w:val="22"/>
          <w:szCs w:val="22"/>
        </w:rPr>
        <w:lastRenderedPageBreak/>
        <w:t xml:space="preserve">in stillborn rat pups at an oral risperidone dose 2.5 to 5 times the maximum human dose on </w:t>
      </w:r>
      <w:proofErr w:type="gramStart"/>
      <w:r w:rsidRPr="00044979">
        <w:rPr>
          <w:rFonts w:ascii="Arial" w:hAnsi="Arial" w:cs="Arial"/>
          <w:color w:val="000000"/>
          <w:sz w:val="22"/>
          <w:szCs w:val="22"/>
        </w:rPr>
        <w:t>a</w:t>
      </w:r>
      <w:proofErr w:type="gramEnd"/>
      <w:r w:rsidRPr="00044979">
        <w:rPr>
          <w:rFonts w:ascii="Arial" w:hAnsi="Arial" w:cs="Arial"/>
          <w:color w:val="000000"/>
          <w:sz w:val="22"/>
          <w:szCs w:val="22"/>
        </w:rPr>
        <w:t xml:space="preserve"> mg/m</w:t>
      </w:r>
      <w:r w:rsidRPr="008302CD">
        <w:rPr>
          <w:rFonts w:ascii="Arial" w:hAnsi="Arial" w:cs="Arial"/>
          <w:color w:val="000000"/>
          <w:sz w:val="22"/>
          <w:szCs w:val="22"/>
          <w:vertAlign w:val="superscript"/>
        </w:rPr>
        <w:t>2</w:t>
      </w:r>
      <w:r w:rsidRPr="00044979">
        <w:rPr>
          <w:rFonts w:ascii="Arial" w:hAnsi="Arial" w:cs="Arial"/>
          <w:color w:val="000000"/>
          <w:sz w:val="22"/>
          <w:szCs w:val="22"/>
        </w:rPr>
        <w:t xml:space="preserve"> basis. It is not known whether these effects of risperidone and paliperidone resulted from a direct effect on the fetuses and pups and/or an effect on the dams</w:t>
      </w:r>
      <w:r>
        <w:rPr>
          <w:rFonts w:ascii="Arial" w:hAnsi="Arial" w:cs="Arial"/>
          <w:color w:val="000000"/>
          <w:sz w:val="22"/>
          <w:szCs w:val="22"/>
        </w:rPr>
        <w:t>.</w:t>
      </w:r>
    </w:p>
    <w:p w:rsidR="009A3662" w:rsidRPr="008A22D2" w:rsidRDefault="009A3662" w:rsidP="009A3662">
      <w:pPr>
        <w:pStyle w:val="Heading2"/>
        <w:rPr>
          <w:color w:val="auto"/>
        </w:rPr>
      </w:pPr>
      <w:r w:rsidRPr="008A22D2">
        <w:rPr>
          <w:color w:val="auto"/>
        </w:rPr>
        <w:t>Alcohol</w:t>
      </w:r>
    </w:p>
    <w:p w:rsidR="009A3662" w:rsidRDefault="009A3662" w:rsidP="00374DC2">
      <w:pPr>
        <w:pStyle w:val="PIEXPLAIN"/>
        <w:rPr>
          <w:color w:val="auto"/>
        </w:rPr>
      </w:pPr>
      <w:r w:rsidRPr="008A22D2">
        <w:rPr>
          <w:color w:val="auto"/>
        </w:rPr>
        <w:t xml:space="preserve">Given the primary CNS effects of </w:t>
      </w:r>
      <w:r w:rsidRPr="008A22D2">
        <w:rPr>
          <w:color w:val="auto"/>
          <w:kern w:val="1"/>
        </w:rPr>
        <w:t xml:space="preserve">paliperidone, </w:t>
      </w:r>
      <w:r w:rsidRPr="008A22D2">
        <w:rPr>
          <w:color w:val="auto"/>
        </w:rPr>
        <w:t>patients should be advised to avoid alcohol while taking this medicine.</w:t>
      </w:r>
    </w:p>
    <w:p w:rsidR="00374DC2" w:rsidRDefault="00374DC2" w:rsidP="00374DC2">
      <w:pPr>
        <w:pStyle w:val="PIEXPLAIN"/>
        <w:rPr>
          <w:color w:val="auto"/>
        </w:rPr>
      </w:pPr>
    </w:p>
    <w:p w:rsidR="00E314E4" w:rsidRPr="00F52D82" w:rsidRDefault="00E314E4" w:rsidP="005D174A">
      <w:pPr>
        <w:pStyle w:val="Heading2"/>
        <w:rPr>
          <w:color w:val="auto"/>
          <w:sz w:val="22"/>
          <w:szCs w:val="22"/>
        </w:rPr>
      </w:pPr>
      <w:r w:rsidRPr="00F52D82">
        <w:rPr>
          <w:color w:val="auto"/>
          <w:sz w:val="22"/>
          <w:szCs w:val="22"/>
        </w:rPr>
        <w:t>Carcinogenicity</w:t>
      </w:r>
    </w:p>
    <w:p w:rsidR="007732F9" w:rsidRDefault="007732F9" w:rsidP="007732F9">
      <w:pPr>
        <w:pStyle w:val="Default"/>
        <w:jc w:val="both"/>
        <w:rPr>
          <w:rFonts w:ascii="Arial" w:hAnsi="Arial" w:cs="Arial"/>
          <w:sz w:val="22"/>
          <w:szCs w:val="22"/>
        </w:rPr>
      </w:pPr>
      <w:r w:rsidRPr="007941F2">
        <w:rPr>
          <w:rFonts w:ascii="Arial" w:hAnsi="Arial" w:cs="Arial"/>
          <w:sz w:val="22"/>
          <w:szCs w:val="22"/>
        </w:rPr>
        <w:t xml:space="preserve">No carcinogenicity studies have been conducted with the 3-month paliperidone palmitate extended-release injection. The carcinogenic potential of the 1-month intramuscular paliperidone palmitate injection was assessed in a long-term study in rats. There was an increase in mammary gland adenocarcinomas in female rats at 10, 30 and 60 mg/kg/month, associated with respective exposures (plasma AUC) of 0.4, 1.6 and 3 times clinical exposure at the maximum recommended 150 mg dose of </w:t>
      </w:r>
      <w:r w:rsidR="00D569D1">
        <w:rPr>
          <w:rFonts w:ascii="Arial" w:hAnsi="Arial" w:cs="Arial"/>
          <w:sz w:val="22"/>
          <w:szCs w:val="22"/>
        </w:rPr>
        <w:t xml:space="preserve">the </w:t>
      </w:r>
      <w:r w:rsidR="00D569D1" w:rsidRPr="00592EA7">
        <w:rPr>
          <w:rFonts w:ascii="Arial" w:hAnsi="Arial" w:cs="Arial"/>
          <w:sz w:val="22"/>
          <w:szCs w:val="22"/>
        </w:rPr>
        <w:t>1-month paliperidone</w:t>
      </w:r>
      <w:r w:rsidR="00D569D1">
        <w:rPr>
          <w:rFonts w:ascii="Arial" w:hAnsi="Arial" w:cs="Arial"/>
          <w:sz w:val="22"/>
          <w:szCs w:val="22"/>
        </w:rPr>
        <w:t xml:space="preserve"> </w:t>
      </w:r>
      <w:r w:rsidR="00D569D1" w:rsidRPr="00592EA7">
        <w:rPr>
          <w:rFonts w:ascii="Arial" w:hAnsi="Arial" w:cs="Arial"/>
          <w:sz w:val="22"/>
          <w:szCs w:val="22"/>
        </w:rPr>
        <w:t>palmitate injectable product</w:t>
      </w:r>
      <w:r w:rsidRPr="00811523">
        <w:rPr>
          <w:rFonts w:ascii="Arial" w:hAnsi="Arial" w:cs="Arial"/>
          <w:sz w:val="22"/>
          <w:szCs w:val="22"/>
        </w:rPr>
        <w:t>.</w:t>
      </w:r>
      <w:r w:rsidRPr="007941F2">
        <w:rPr>
          <w:rFonts w:ascii="Arial" w:hAnsi="Arial" w:cs="Arial"/>
          <w:sz w:val="22"/>
          <w:szCs w:val="22"/>
        </w:rPr>
        <w:t xml:space="preserve"> A no-effect dose was not established. Male rats showed an increase in total mammary gland </w:t>
      </w:r>
      <w:proofErr w:type="spellStart"/>
      <w:r w:rsidRPr="007941F2">
        <w:rPr>
          <w:rFonts w:ascii="Arial" w:hAnsi="Arial" w:cs="Arial"/>
          <w:sz w:val="22"/>
          <w:szCs w:val="22"/>
        </w:rPr>
        <w:t>tumours</w:t>
      </w:r>
      <w:proofErr w:type="spellEnd"/>
      <w:r w:rsidRPr="007941F2">
        <w:rPr>
          <w:rFonts w:ascii="Arial" w:hAnsi="Arial" w:cs="Arial"/>
          <w:sz w:val="22"/>
          <w:szCs w:val="22"/>
        </w:rPr>
        <w:t xml:space="preserve"> at 30 and 60 mg/kg/month, associated with respective exposures (plasma AUC) of 1 and 2 times clinical exposure. These rat doses of 10, 30 and 60 mg/kg/month are 0.5, 1.5 and 3 times the maximal recommended clinical dose of INVEGA TRINZA (525 mg/3 months), on </w:t>
      </w:r>
      <w:proofErr w:type="gramStart"/>
      <w:r w:rsidRPr="007941F2">
        <w:rPr>
          <w:rFonts w:ascii="Arial" w:hAnsi="Arial" w:cs="Arial"/>
          <w:sz w:val="22"/>
          <w:szCs w:val="22"/>
        </w:rPr>
        <w:t>a</w:t>
      </w:r>
      <w:proofErr w:type="gramEnd"/>
      <w:r w:rsidRPr="007941F2">
        <w:rPr>
          <w:rFonts w:ascii="Arial" w:hAnsi="Arial" w:cs="Arial"/>
          <w:sz w:val="22"/>
          <w:szCs w:val="22"/>
        </w:rPr>
        <w:t xml:space="preserve"> mg/m</w:t>
      </w:r>
      <w:r w:rsidRPr="00103BDB">
        <w:rPr>
          <w:rFonts w:ascii="Arial" w:hAnsi="Arial" w:cs="Arial"/>
          <w:sz w:val="22"/>
          <w:szCs w:val="22"/>
          <w:vertAlign w:val="superscript"/>
        </w:rPr>
        <w:t>2</w:t>
      </w:r>
      <w:r>
        <w:rPr>
          <w:rFonts w:ascii="Arial" w:hAnsi="Arial" w:cs="Arial"/>
          <w:sz w:val="22"/>
          <w:szCs w:val="22"/>
        </w:rPr>
        <w:t xml:space="preserve"> basis.  </w:t>
      </w:r>
      <w:r w:rsidRPr="007941F2">
        <w:rPr>
          <w:rFonts w:ascii="Arial" w:hAnsi="Arial" w:cs="Arial"/>
          <w:sz w:val="22"/>
          <w:szCs w:val="22"/>
        </w:rPr>
        <w:t xml:space="preserve">A carcinogenicity study in mice has not been conducted with paliperidone palmitate. </w:t>
      </w:r>
    </w:p>
    <w:p w:rsidR="007732F9" w:rsidRPr="00374DC2" w:rsidRDefault="007732F9" w:rsidP="00374DC2">
      <w:pPr>
        <w:pStyle w:val="Heading2"/>
        <w:rPr>
          <w:b w:val="0"/>
          <w:sz w:val="22"/>
          <w:szCs w:val="22"/>
        </w:rPr>
      </w:pPr>
      <w:r w:rsidRPr="005D174A">
        <w:rPr>
          <w:b w:val="0"/>
          <w:sz w:val="22"/>
          <w:szCs w:val="22"/>
        </w:rPr>
        <w:t xml:space="preserve">Carcinogenicity studies of risperidone, which is extensively converted to paliperidone in rats, mice and humans, were conducted in Swiss albino mice and </w:t>
      </w:r>
      <w:proofErr w:type="spellStart"/>
      <w:r w:rsidRPr="005D174A">
        <w:rPr>
          <w:b w:val="0"/>
          <w:sz w:val="22"/>
          <w:szCs w:val="22"/>
        </w:rPr>
        <w:t>Wistar</w:t>
      </w:r>
      <w:proofErr w:type="spellEnd"/>
      <w:r w:rsidRPr="005D174A">
        <w:rPr>
          <w:b w:val="0"/>
          <w:sz w:val="22"/>
          <w:szCs w:val="22"/>
        </w:rPr>
        <w:t xml:space="preserve"> rats. Risperidone was administered in the diet at daily doses of 0.63, 2.5, and 10 mg/kg for 18 months to mice and for 25 months to rats, equivalent to 0.3, 1.3 and 5 times (mice) and 0.6, 2.5 and 10 times (rats) the maximum human dose on </w:t>
      </w:r>
      <w:proofErr w:type="gramStart"/>
      <w:r w:rsidRPr="005D174A">
        <w:rPr>
          <w:b w:val="0"/>
          <w:sz w:val="22"/>
          <w:szCs w:val="22"/>
        </w:rPr>
        <w:t>a</w:t>
      </w:r>
      <w:proofErr w:type="gramEnd"/>
      <w:r w:rsidRPr="005D174A">
        <w:rPr>
          <w:b w:val="0"/>
          <w:sz w:val="22"/>
          <w:szCs w:val="22"/>
        </w:rPr>
        <w:t xml:space="preserve"> mg/m</w:t>
      </w:r>
      <w:r w:rsidRPr="005D174A">
        <w:rPr>
          <w:b w:val="0"/>
          <w:sz w:val="22"/>
          <w:szCs w:val="22"/>
          <w:vertAlign w:val="superscript"/>
        </w:rPr>
        <w:t>2</w:t>
      </w:r>
      <w:r w:rsidRPr="005D174A">
        <w:rPr>
          <w:b w:val="0"/>
          <w:sz w:val="22"/>
          <w:szCs w:val="22"/>
        </w:rPr>
        <w:t xml:space="preserve"> basis. There were statistically significant increases in pituitary gland adenomas in female mice and endocrine pancreas adenomas in male rats at the two highest dose </w:t>
      </w:r>
      <w:proofErr w:type="gramStart"/>
      <w:r w:rsidRPr="005D174A">
        <w:rPr>
          <w:b w:val="0"/>
          <w:sz w:val="22"/>
          <w:szCs w:val="22"/>
        </w:rPr>
        <w:t>levels,</w:t>
      </w:r>
      <w:proofErr w:type="gramEnd"/>
      <w:r w:rsidRPr="005D174A">
        <w:rPr>
          <w:b w:val="0"/>
          <w:sz w:val="22"/>
          <w:szCs w:val="22"/>
        </w:rPr>
        <w:t xml:space="preserve"> and in mammary gland adenocarcinomas at all dose levels in female mice and female rats and at the highest dose in male rats. An increase in mammary, pituitary, and endocrine pancreas neoplasms has been found in rodents after chronic administration of other antipsychotic drugs and is considered to be mediated by prolonged dopamine D2-receptor antagonism and hyperprolactinemia. The relevance of these tumour findings in rodents in terms of human risk is unknown (see </w:t>
      </w:r>
      <w:r w:rsidRPr="005D174A">
        <w:rPr>
          <w:bCs/>
          <w:sz w:val="22"/>
          <w:szCs w:val="22"/>
        </w:rPr>
        <w:t>PRECAUTIONS</w:t>
      </w:r>
      <w:r w:rsidRPr="005D174A">
        <w:rPr>
          <w:b w:val="0"/>
          <w:bCs/>
          <w:sz w:val="22"/>
          <w:szCs w:val="22"/>
        </w:rPr>
        <w:t xml:space="preserve"> </w:t>
      </w:r>
      <w:r w:rsidRPr="005D174A">
        <w:rPr>
          <w:b w:val="0"/>
          <w:sz w:val="22"/>
          <w:szCs w:val="22"/>
        </w:rPr>
        <w:t xml:space="preserve">– </w:t>
      </w:r>
      <w:r w:rsidRPr="005D174A">
        <w:rPr>
          <w:b w:val="0"/>
          <w:bCs/>
          <w:sz w:val="22"/>
          <w:szCs w:val="22"/>
        </w:rPr>
        <w:t>Hyperprolactinemia</w:t>
      </w:r>
      <w:r w:rsidRPr="005D174A">
        <w:rPr>
          <w:b w:val="0"/>
          <w:sz w:val="22"/>
          <w:szCs w:val="22"/>
        </w:rPr>
        <w:t>)</w:t>
      </w:r>
      <w:r>
        <w:rPr>
          <w:b w:val="0"/>
          <w:sz w:val="22"/>
          <w:szCs w:val="22"/>
        </w:rPr>
        <w:t xml:space="preserve">. </w:t>
      </w:r>
    </w:p>
    <w:p w:rsidR="00E314E4" w:rsidRPr="005D174A" w:rsidRDefault="00E314E4" w:rsidP="005D174A">
      <w:pPr>
        <w:pStyle w:val="Heading2"/>
        <w:rPr>
          <w:color w:val="auto"/>
          <w:sz w:val="22"/>
          <w:szCs w:val="22"/>
        </w:rPr>
      </w:pPr>
      <w:r w:rsidRPr="005D174A">
        <w:rPr>
          <w:color w:val="auto"/>
          <w:sz w:val="22"/>
          <w:szCs w:val="22"/>
        </w:rPr>
        <w:t>Genotoxicity</w:t>
      </w:r>
    </w:p>
    <w:p w:rsidR="007732F9" w:rsidRDefault="007732F9" w:rsidP="007732F9">
      <w:pPr>
        <w:pStyle w:val="Heading2"/>
        <w:rPr>
          <w:b w:val="0"/>
          <w:sz w:val="22"/>
          <w:szCs w:val="22"/>
        </w:rPr>
      </w:pPr>
      <w:bookmarkStart w:id="51" w:name="_Labor_and_Delivery"/>
      <w:bookmarkStart w:id="52" w:name="_Geriatric_Use"/>
      <w:bookmarkEnd w:id="51"/>
      <w:bookmarkEnd w:id="52"/>
      <w:r w:rsidRPr="005D174A">
        <w:rPr>
          <w:b w:val="0"/>
          <w:sz w:val="22"/>
          <w:szCs w:val="22"/>
        </w:rPr>
        <w:t xml:space="preserve">Paliperidone palmitate was not genotoxic in </w:t>
      </w:r>
      <w:r w:rsidRPr="005D174A">
        <w:rPr>
          <w:b w:val="0"/>
          <w:i/>
          <w:iCs/>
          <w:sz w:val="22"/>
          <w:szCs w:val="22"/>
        </w:rPr>
        <w:t xml:space="preserve">in vitro </w:t>
      </w:r>
      <w:r w:rsidRPr="005D174A">
        <w:rPr>
          <w:b w:val="0"/>
          <w:sz w:val="22"/>
          <w:szCs w:val="22"/>
        </w:rPr>
        <w:t xml:space="preserve">tests for bacterial reverse gene mutation and forward mutation in mammalian cells (mouse lymphoma). Paliperidone was also not genotoxic in these tests, or in an </w:t>
      </w:r>
      <w:r w:rsidRPr="005D174A">
        <w:rPr>
          <w:b w:val="0"/>
          <w:i/>
          <w:iCs/>
          <w:sz w:val="22"/>
          <w:szCs w:val="22"/>
        </w:rPr>
        <w:t xml:space="preserve">in vivo </w:t>
      </w:r>
      <w:r w:rsidRPr="005D174A">
        <w:rPr>
          <w:b w:val="0"/>
          <w:sz w:val="22"/>
          <w:szCs w:val="22"/>
        </w:rPr>
        <w:t>test for clastogenicity (rat micronucleus assay).</w:t>
      </w:r>
      <w:r>
        <w:rPr>
          <w:b w:val="0"/>
          <w:sz w:val="22"/>
          <w:szCs w:val="22"/>
        </w:rPr>
        <w:t xml:space="preserve"> </w:t>
      </w:r>
    </w:p>
    <w:p w:rsidR="005D174A" w:rsidRDefault="005D174A" w:rsidP="005D174A">
      <w:pPr>
        <w:pStyle w:val="Heading2"/>
        <w:rPr>
          <w:color w:val="auto"/>
          <w:sz w:val="28"/>
          <w:szCs w:val="28"/>
        </w:rPr>
      </w:pPr>
    </w:p>
    <w:p w:rsidR="00E314E4" w:rsidRPr="00CC66E4" w:rsidRDefault="00E314E4" w:rsidP="005D174A">
      <w:pPr>
        <w:pStyle w:val="Heading2"/>
        <w:rPr>
          <w:color w:val="auto"/>
          <w:sz w:val="28"/>
          <w:szCs w:val="28"/>
        </w:rPr>
      </w:pPr>
      <w:r w:rsidRPr="00F52D82">
        <w:rPr>
          <w:color w:val="auto"/>
          <w:sz w:val="28"/>
          <w:szCs w:val="28"/>
        </w:rPr>
        <w:t>INTERACTIONS WITH OTHER MEDICINES</w:t>
      </w:r>
    </w:p>
    <w:p w:rsidR="00E314E4" w:rsidRPr="00F52D82" w:rsidRDefault="00E314E4" w:rsidP="005D174A">
      <w:pPr>
        <w:pStyle w:val="BodyText12"/>
        <w:spacing w:line="240" w:lineRule="auto"/>
        <w:rPr>
          <w:rFonts w:ascii="Arial" w:hAnsi="Arial" w:cs="Arial"/>
          <w:sz w:val="22"/>
          <w:szCs w:val="22"/>
          <w:highlight w:val="yellow"/>
        </w:rPr>
      </w:pPr>
      <w:r w:rsidRPr="00F52D82">
        <w:rPr>
          <w:rFonts w:ascii="Arial" w:hAnsi="Arial" w:cs="Arial"/>
          <w:sz w:val="22"/>
          <w:szCs w:val="22"/>
        </w:rPr>
        <w:t>Caution is advised when prescribing INVEGA TRINZA with drugs known to prolong the QT interval.</w:t>
      </w:r>
    </w:p>
    <w:p w:rsidR="00E314E4" w:rsidRPr="00D07A82" w:rsidRDefault="00E314E4" w:rsidP="005D174A">
      <w:pPr>
        <w:pStyle w:val="BodyText12"/>
        <w:spacing w:line="240" w:lineRule="auto"/>
        <w:rPr>
          <w:rFonts w:ascii="Arial" w:hAnsi="Arial" w:cs="Arial"/>
          <w:sz w:val="22"/>
          <w:szCs w:val="22"/>
        </w:rPr>
      </w:pPr>
      <w:proofErr w:type="gramStart"/>
      <w:r w:rsidRPr="00F52D82">
        <w:rPr>
          <w:rFonts w:ascii="Arial" w:hAnsi="Arial" w:cs="Arial"/>
          <w:sz w:val="22"/>
          <w:szCs w:val="22"/>
        </w:rPr>
        <w:t xml:space="preserve">Since </w:t>
      </w:r>
      <w:proofErr w:type="spellStart"/>
      <w:r w:rsidRPr="00F52D82">
        <w:rPr>
          <w:rFonts w:ascii="Arial" w:hAnsi="Arial" w:cs="Arial"/>
          <w:sz w:val="22"/>
          <w:szCs w:val="22"/>
        </w:rPr>
        <w:t>paliperidone</w:t>
      </w:r>
      <w:proofErr w:type="spellEnd"/>
      <w:r w:rsidRPr="00F52D82">
        <w:rPr>
          <w:rFonts w:ascii="Arial" w:hAnsi="Arial" w:cs="Arial"/>
          <w:sz w:val="22"/>
          <w:szCs w:val="22"/>
        </w:rPr>
        <w:t xml:space="preserve"> palmitate is </w:t>
      </w:r>
      <w:proofErr w:type="spellStart"/>
      <w:r w:rsidRPr="00F52D82">
        <w:rPr>
          <w:rFonts w:ascii="Arial" w:hAnsi="Arial" w:cs="Arial"/>
          <w:sz w:val="22"/>
          <w:szCs w:val="22"/>
        </w:rPr>
        <w:t>hydroly</w:t>
      </w:r>
      <w:r w:rsidR="00AB1A56">
        <w:rPr>
          <w:rFonts w:ascii="Arial" w:hAnsi="Arial" w:cs="Arial"/>
          <w:sz w:val="22"/>
          <w:szCs w:val="22"/>
        </w:rPr>
        <w:t>s</w:t>
      </w:r>
      <w:r w:rsidRPr="00F52D82">
        <w:rPr>
          <w:rFonts w:ascii="Arial" w:hAnsi="Arial" w:cs="Arial"/>
          <w:sz w:val="22"/>
          <w:szCs w:val="22"/>
        </w:rPr>
        <w:t>ed</w:t>
      </w:r>
      <w:proofErr w:type="spellEnd"/>
      <w:r w:rsidRPr="00F52D82">
        <w:rPr>
          <w:rFonts w:ascii="Arial" w:hAnsi="Arial" w:cs="Arial"/>
          <w:sz w:val="22"/>
          <w:szCs w:val="22"/>
        </w:rPr>
        <w:t xml:space="preserve"> to </w:t>
      </w:r>
      <w:proofErr w:type="spellStart"/>
      <w:r w:rsidRPr="00F52D82">
        <w:rPr>
          <w:rFonts w:ascii="Arial" w:hAnsi="Arial" w:cs="Arial"/>
          <w:sz w:val="22"/>
          <w:szCs w:val="22"/>
        </w:rPr>
        <w:t>paliperidone</w:t>
      </w:r>
      <w:proofErr w:type="spellEnd"/>
      <w:r w:rsidRPr="00F52D82">
        <w:rPr>
          <w:rFonts w:ascii="Arial" w:hAnsi="Arial" w:cs="Arial"/>
          <w:sz w:val="22"/>
          <w:szCs w:val="22"/>
        </w:rPr>
        <w:t xml:space="preserve"> (see </w:t>
      </w:r>
      <w:r w:rsidRPr="00D07A82">
        <w:rPr>
          <w:rFonts w:ascii="Arial" w:hAnsi="Arial" w:cs="Arial"/>
          <w:b/>
          <w:sz w:val="22"/>
          <w:szCs w:val="22"/>
        </w:rPr>
        <w:t>Pharmacokinetics</w:t>
      </w:r>
      <w:r w:rsidRPr="00F52D82">
        <w:rPr>
          <w:rFonts w:ascii="Arial" w:hAnsi="Arial" w:cs="Arial"/>
          <w:sz w:val="22"/>
          <w:szCs w:val="22"/>
        </w:rPr>
        <w:t>), results from studies with oral paliperidone should be taken into consideration when assessing d</w:t>
      </w:r>
      <w:r>
        <w:rPr>
          <w:rFonts w:ascii="Arial" w:hAnsi="Arial" w:cs="Arial"/>
          <w:sz w:val="22"/>
          <w:szCs w:val="22"/>
        </w:rPr>
        <w:t>rug-drug interaction potential.</w:t>
      </w:r>
      <w:proofErr w:type="gramEnd"/>
    </w:p>
    <w:p w:rsidR="00E314E4" w:rsidRPr="00F52D82" w:rsidRDefault="00E314E4" w:rsidP="005D174A">
      <w:pPr>
        <w:pStyle w:val="Heading3"/>
        <w:rPr>
          <w:color w:val="auto"/>
        </w:rPr>
      </w:pPr>
      <w:r w:rsidRPr="00F52D82">
        <w:rPr>
          <w:color w:val="auto"/>
        </w:rPr>
        <w:t>Concomitant use of INVEGA TRINZA with risperidone or with oral paliperidone</w:t>
      </w:r>
    </w:p>
    <w:p w:rsidR="00E314E4" w:rsidRPr="00F52D82" w:rsidRDefault="00E314E4" w:rsidP="005D174A">
      <w:pPr>
        <w:pStyle w:val="BodyText120"/>
        <w:spacing w:line="240" w:lineRule="auto"/>
        <w:rPr>
          <w:rFonts w:ascii="Arial" w:hAnsi="Arial" w:cs="Arial"/>
          <w:sz w:val="22"/>
          <w:szCs w:val="22"/>
        </w:rPr>
      </w:pPr>
      <w:bookmarkStart w:id="53" w:name="_Potential_for_INVEGATM"/>
      <w:bookmarkStart w:id="54" w:name="_Toc219801056"/>
      <w:bookmarkEnd w:id="53"/>
      <w:r w:rsidRPr="005D174A">
        <w:rPr>
          <w:rFonts w:ascii="Arial" w:hAnsi="Arial" w:cs="Arial"/>
          <w:sz w:val="22"/>
          <w:szCs w:val="22"/>
        </w:rPr>
        <w:t xml:space="preserve">Since paliperidone is the </w:t>
      </w:r>
      <w:r w:rsidR="00370B88" w:rsidRPr="005D174A">
        <w:rPr>
          <w:rFonts w:ascii="Arial" w:hAnsi="Arial" w:cs="Arial"/>
          <w:sz w:val="22"/>
          <w:szCs w:val="22"/>
        </w:rPr>
        <w:t xml:space="preserve">major </w:t>
      </w:r>
      <w:r w:rsidRPr="005D174A">
        <w:rPr>
          <w:rFonts w:ascii="Arial" w:hAnsi="Arial" w:cs="Arial"/>
          <w:sz w:val="22"/>
          <w:szCs w:val="22"/>
        </w:rPr>
        <w:t>active metabolite of risperidone</w:t>
      </w:r>
      <w:r w:rsidR="006E797B" w:rsidRPr="005D174A">
        <w:rPr>
          <w:rFonts w:ascii="Arial" w:hAnsi="Arial" w:cs="Arial"/>
          <w:sz w:val="22"/>
          <w:szCs w:val="22"/>
        </w:rPr>
        <w:t xml:space="preserve">, </w:t>
      </w:r>
      <w:r w:rsidR="00370B88" w:rsidRPr="005D174A">
        <w:rPr>
          <w:rFonts w:ascii="Arial" w:hAnsi="Arial" w:cs="Arial"/>
          <w:color w:val="000000"/>
          <w:sz w:val="22"/>
          <w:szCs w:val="22"/>
        </w:rPr>
        <w:t>the co-administration of INVEGA TRINZA with oral risperidone or paliperidone is likely to result in an increase in the paliperidone concentration, within the bloodstream.</w:t>
      </w:r>
      <w:r w:rsidR="00370B88">
        <w:rPr>
          <w:rFonts w:ascii="Arial" w:hAnsi="Arial" w:cs="Arial"/>
          <w:color w:val="000000"/>
          <w:sz w:val="22"/>
          <w:szCs w:val="22"/>
        </w:rPr>
        <w:t xml:space="preserve"> </w:t>
      </w:r>
      <w:r w:rsidR="00370B88" w:rsidRPr="005D174A">
        <w:rPr>
          <w:rFonts w:ascii="Arial" w:hAnsi="Arial" w:cs="Arial"/>
          <w:color w:val="000000"/>
          <w:sz w:val="22"/>
          <w:szCs w:val="22"/>
        </w:rPr>
        <w:t>C</w:t>
      </w:r>
      <w:r w:rsidRPr="00F52D82">
        <w:rPr>
          <w:rFonts w:ascii="Arial" w:hAnsi="Arial" w:cs="Arial"/>
          <w:sz w:val="22"/>
          <w:szCs w:val="22"/>
        </w:rPr>
        <w:t xml:space="preserve">aution should be exercised when INVEGA TRINZA is </w:t>
      </w:r>
      <w:proofErr w:type="spellStart"/>
      <w:r w:rsidRPr="00F52D82">
        <w:rPr>
          <w:rFonts w:ascii="Arial" w:hAnsi="Arial" w:cs="Arial"/>
          <w:sz w:val="22"/>
          <w:szCs w:val="22"/>
        </w:rPr>
        <w:t>coadministered</w:t>
      </w:r>
      <w:proofErr w:type="spellEnd"/>
      <w:r w:rsidRPr="00F52D82">
        <w:rPr>
          <w:rFonts w:ascii="Arial" w:hAnsi="Arial" w:cs="Arial"/>
          <w:sz w:val="22"/>
          <w:szCs w:val="22"/>
        </w:rPr>
        <w:t xml:space="preserve"> with risperidone or with oral paliperidone for extended periods of time. Safety data involving concomitant use of INVEGA TRINZA with other </w:t>
      </w:r>
      <w:proofErr w:type="spellStart"/>
      <w:r w:rsidRPr="00F52D82">
        <w:rPr>
          <w:rFonts w:ascii="Arial" w:hAnsi="Arial" w:cs="Arial"/>
          <w:sz w:val="22"/>
          <w:szCs w:val="22"/>
        </w:rPr>
        <w:t>antispychotics</w:t>
      </w:r>
      <w:proofErr w:type="spellEnd"/>
      <w:r w:rsidRPr="00F52D82">
        <w:rPr>
          <w:rFonts w:ascii="Arial" w:hAnsi="Arial" w:cs="Arial"/>
          <w:sz w:val="22"/>
          <w:szCs w:val="22"/>
        </w:rPr>
        <w:t xml:space="preserve"> is limited.</w:t>
      </w:r>
    </w:p>
    <w:p w:rsidR="00E314E4" w:rsidRPr="005D174A" w:rsidRDefault="00E314E4" w:rsidP="005D174A">
      <w:pPr>
        <w:pStyle w:val="Heading4"/>
        <w:jc w:val="both"/>
        <w:rPr>
          <w:color w:val="auto"/>
          <w:u w:val="none"/>
        </w:rPr>
      </w:pPr>
      <w:r w:rsidRPr="005D174A">
        <w:rPr>
          <w:color w:val="auto"/>
          <w:u w:val="none"/>
        </w:rPr>
        <w:lastRenderedPageBreak/>
        <w:t>Potential for INVEGA TRINZA to Affect Other Drugs</w:t>
      </w:r>
      <w:bookmarkEnd w:id="54"/>
      <w:r w:rsidRPr="005D174A">
        <w:rPr>
          <w:color w:val="auto"/>
          <w:u w:val="none"/>
        </w:rPr>
        <w:t>:</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 xml:space="preserve">Paliperidone is not expected to cause clinically important pharmacokinetic interactions with drugs that are </w:t>
      </w:r>
      <w:proofErr w:type="spellStart"/>
      <w:r w:rsidRPr="00F52D82">
        <w:rPr>
          <w:rFonts w:ascii="Arial" w:hAnsi="Arial" w:cs="Arial"/>
          <w:sz w:val="22"/>
          <w:szCs w:val="22"/>
        </w:rPr>
        <w:t>metaboli</w:t>
      </w:r>
      <w:r w:rsidR="004255C9">
        <w:rPr>
          <w:rFonts w:ascii="Arial" w:hAnsi="Arial" w:cs="Arial"/>
          <w:sz w:val="22"/>
          <w:szCs w:val="22"/>
        </w:rPr>
        <w:t>s</w:t>
      </w:r>
      <w:r w:rsidRPr="00F52D82">
        <w:rPr>
          <w:rFonts w:ascii="Arial" w:hAnsi="Arial" w:cs="Arial"/>
          <w:sz w:val="22"/>
          <w:szCs w:val="22"/>
        </w:rPr>
        <w:t>ed</w:t>
      </w:r>
      <w:proofErr w:type="spellEnd"/>
      <w:r w:rsidRPr="00F52D82">
        <w:rPr>
          <w:rFonts w:ascii="Arial" w:hAnsi="Arial" w:cs="Arial"/>
          <w:sz w:val="22"/>
          <w:szCs w:val="22"/>
        </w:rPr>
        <w:t xml:space="preserve"> by cytochrome P-450 isozymes. </w:t>
      </w:r>
      <w:r w:rsidRPr="00812108">
        <w:rPr>
          <w:rFonts w:ascii="Arial" w:hAnsi="Arial" w:cs="Arial"/>
          <w:i/>
          <w:sz w:val="22"/>
          <w:szCs w:val="22"/>
        </w:rPr>
        <w:t>In vitro</w:t>
      </w:r>
      <w:r w:rsidRPr="00F52D82">
        <w:rPr>
          <w:rFonts w:ascii="Arial" w:hAnsi="Arial" w:cs="Arial"/>
          <w:sz w:val="22"/>
          <w:szCs w:val="22"/>
        </w:rPr>
        <w:t xml:space="preserve"> studies in human liver microsomes showed that paliperidone does not substantially inhibit the metabolism of drugs </w:t>
      </w:r>
      <w:proofErr w:type="spellStart"/>
      <w:r w:rsidRPr="00F52D82">
        <w:rPr>
          <w:rFonts w:ascii="Arial" w:hAnsi="Arial" w:cs="Arial"/>
          <w:sz w:val="22"/>
          <w:szCs w:val="22"/>
        </w:rPr>
        <w:t>metaboli</w:t>
      </w:r>
      <w:r w:rsidR="004255C9">
        <w:rPr>
          <w:rFonts w:ascii="Arial" w:hAnsi="Arial" w:cs="Arial"/>
          <w:sz w:val="22"/>
          <w:szCs w:val="22"/>
        </w:rPr>
        <w:t>s</w:t>
      </w:r>
      <w:r w:rsidRPr="00F52D82">
        <w:rPr>
          <w:rFonts w:ascii="Arial" w:hAnsi="Arial" w:cs="Arial"/>
          <w:sz w:val="22"/>
          <w:szCs w:val="22"/>
        </w:rPr>
        <w:t>ed</w:t>
      </w:r>
      <w:proofErr w:type="spellEnd"/>
      <w:r w:rsidRPr="00F52D82">
        <w:rPr>
          <w:rFonts w:ascii="Arial" w:hAnsi="Arial" w:cs="Arial"/>
          <w:sz w:val="22"/>
          <w:szCs w:val="22"/>
        </w:rPr>
        <w:t xml:space="preserve"> by cytochrome P450 isozymes, including CYP1A2, CYP2A6, CYP2C8/9/10, CYP2D6, CYP2E1, CYP3A4, and CYP3A5. Therefore, paliperidone is not expected to inhibit clearance of drugs that are </w:t>
      </w:r>
      <w:proofErr w:type="spellStart"/>
      <w:r w:rsidRPr="00F52D82">
        <w:rPr>
          <w:rFonts w:ascii="Arial" w:hAnsi="Arial" w:cs="Arial"/>
          <w:sz w:val="22"/>
          <w:szCs w:val="22"/>
        </w:rPr>
        <w:t>metaboli</w:t>
      </w:r>
      <w:r w:rsidR="004255C9">
        <w:rPr>
          <w:rFonts w:ascii="Arial" w:hAnsi="Arial" w:cs="Arial"/>
          <w:sz w:val="22"/>
          <w:szCs w:val="22"/>
        </w:rPr>
        <w:t>s</w:t>
      </w:r>
      <w:r w:rsidRPr="00F52D82">
        <w:rPr>
          <w:rFonts w:ascii="Arial" w:hAnsi="Arial" w:cs="Arial"/>
          <w:sz w:val="22"/>
          <w:szCs w:val="22"/>
        </w:rPr>
        <w:t>ed</w:t>
      </w:r>
      <w:proofErr w:type="spellEnd"/>
      <w:r w:rsidRPr="00F52D82">
        <w:rPr>
          <w:rFonts w:ascii="Arial" w:hAnsi="Arial" w:cs="Arial"/>
          <w:sz w:val="22"/>
          <w:szCs w:val="22"/>
        </w:rPr>
        <w:t xml:space="preserve"> by these metabolic pathways in a clinically relevant manner. Paliperidone is also not expected to have enzyme inducing properties.</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Paliperidone is a weak inhibitor of P-glycoprotein (P-</w:t>
      </w:r>
      <w:proofErr w:type="spellStart"/>
      <w:r w:rsidRPr="00F52D82">
        <w:rPr>
          <w:rFonts w:ascii="Arial" w:hAnsi="Arial" w:cs="Arial"/>
          <w:sz w:val="22"/>
          <w:szCs w:val="22"/>
        </w:rPr>
        <w:t>gp</w:t>
      </w:r>
      <w:proofErr w:type="spellEnd"/>
      <w:r w:rsidRPr="00F52D82">
        <w:rPr>
          <w:rFonts w:ascii="Arial" w:hAnsi="Arial" w:cs="Arial"/>
          <w:sz w:val="22"/>
          <w:szCs w:val="22"/>
        </w:rPr>
        <w:t xml:space="preserve">) at high concentrations. No </w:t>
      </w:r>
      <w:r w:rsidRPr="00D07A82">
        <w:rPr>
          <w:rFonts w:ascii="Arial" w:hAnsi="Arial" w:cs="Arial"/>
          <w:i/>
          <w:sz w:val="22"/>
          <w:szCs w:val="22"/>
        </w:rPr>
        <w:t>in vivo</w:t>
      </w:r>
      <w:r w:rsidRPr="00F52D82">
        <w:rPr>
          <w:rFonts w:ascii="Arial" w:hAnsi="Arial" w:cs="Arial"/>
          <w:sz w:val="22"/>
          <w:szCs w:val="22"/>
        </w:rPr>
        <w:t xml:space="preserve"> data are available and the clinical relevance is unknown.</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 xml:space="preserve">Given the primary CNS effects of paliperidone (see </w:t>
      </w:r>
      <w:r w:rsidRPr="00D07A82">
        <w:rPr>
          <w:rFonts w:ascii="Arial" w:hAnsi="Arial" w:cs="Arial"/>
          <w:b/>
          <w:sz w:val="22"/>
          <w:szCs w:val="22"/>
        </w:rPr>
        <w:t>ADVERSE EFFECTS</w:t>
      </w:r>
      <w:r w:rsidRPr="00F52D82">
        <w:rPr>
          <w:rFonts w:ascii="Arial" w:hAnsi="Arial" w:cs="Arial"/>
          <w:sz w:val="22"/>
          <w:szCs w:val="22"/>
        </w:rPr>
        <w:t>)</w:t>
      </w:r>
      <w:proofErr w:type="gramStart"/>
      <w:r w:rsidRPr="00F52D82">
        <w:rPr>
          <w:rFonts w:ascii="Arial" w:hAnsi="Arial" w:cs="Arial"/>
          <w:sz w:val="22"/>
          <w:szCs w:val="22"/>
        </w:rPr>
        <w:t>,</w:t>
      </w:r>
      <w:proofErr w:type="gramEnd"/>
      <w:r w:rsidRPr="00F52D82">
        <w:rPr>
          <w:rFonts w:ascii="Arial" w:hAnsi="Arial" w:cs="Arial"/>
          <w:sz w:val="22"/>
          <w:szCs w:val="22"/>
        </w:rPr>
        <w:t xml:space="preserve"> INVEGA TRINZA should be used with caution in combination with other centrally acting drugs and alcohol. Paliperidone may antagonize the effect of levodopa and other dopamine agonists.</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 xml:space="preserve">Because of its potential for inducing orthostatic hypotension (see </w:t>
      </w:r>
      <w:r w:rsidRPr="0076252F">
        <w:rPr>
          <w:rFonts w:ascii="Arial" w:hAnsi="Arial" w:cs="Arial"/>
          <w:b/>
          <w:sz w:val="22"/>
          <w:szCs w:val="22"/>
        </w:rPr>
        <w:t>PRECAUTIONS</w:t>
      </w:r>
      <w:r w:rsidRPr="00F52D82">
        <w:rPr>
          <w:rFonts w:ascii="Arial" w:hAnsi="Arial" w:cs="Arial"/>
          <w:sz w:val="22"/>
          <w:szCs w:val="22"/>
        </w:rPr>
        <w:t>: Orthostatic hypotension), an additive effect may be observed when INVEGA TRINZA is administered with other therapeutic agents that have this potential.</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Co-administration of oral paliperidone extended-release tablets at steady-state (12 mg once daily) with divalproex sodium extended-release tablets (500 mg to 2000 mg once daily) did not affect the steady-state pharmacokinetics of valproate.</w:t>
      </w:r>
    </w:p>
    <w:p w:rsidR="00E314E4" w:rsidRPr="0076252F" w:rsidRDefault="00E314E4" w:rsidP="005D174A">
      <w:pPr>
        <w:pStyle w:val="BodyText12"/>
        <w:spacing w:line="240" w:lineRule="auto"/>
        <w:rPr>
          <w:rFonts w:ascii="Arial" w:hAnsi="Arial" w:cs="Arial"/>
          <w:sz w:val="22"/>
          <w:szCs w:val="22"/>
        </w:rPr>
      </w:pPr>
      <w:r w:rsidRPr="00F52D82">
        <w:rPr>
          <w:rFonts w:ascii="Arial" w:hAnsi="Arial" w:cs="Arial"/>
          <w:sz w:val="22"/>
          <w:szCs w:val="22"/>
        </w:rPr>
        <w:t>Pharmacokinetic interaction between INVEGA TRINZA</w:t>
      </w:r>
      <w:r>
        <w:rPr>
          <w:rFonts w:ascii="Arial" w:hAnsi="Arial" w:cs="Arial"/>
          <w:sz w:val="22"/>
          <w:szCs w:val="22"/>
        </w:rPr>
        <w:t xml:space="preserve"> and lithium is unlikely.</w:t>
      </w:r>
    </w:p>
    <w:p w:rsidR="00E314E4" w:rsidRPr="005D174A" w:rsidRDefault="00E314E4" w:rsidP="005D174A">
      <w:pPr>
        <w:pStyle w:val="Heading4"/>
        <w:jc w:val="both"/>
        <w:rPr>
          <w:color w:val="auto"/>
          <w:u w:val="none"/>
        </w:rPr>
      </w:pPr>
      <w:bookmarkStart w:id="55" w:name="_Toc219801057"/>
      <w:r w:rsidRPr="005D174A">
        <w:rPr>
          <w:color w:val="auto"/>
          <w:u w:val="none"/>
        </w:rPr>
        <w:t>Potential for Other Drugs to Affect INVEGA TRINZA</w:t>
      </w:r>
      <w:bookmarkEnd w:id="55"/>
      <w:r w:rsidRPr="005D174A">
        <w:rPr>
          <w:color w:val="auto"/>
          <w:u w:val="none"/>
        </w:rPr>
        <w:t>:</w:t>
      </w:r>
    </w:p>
    <w:p w:rsidR="00554755" w:rsidRDefault="007E2DBE" w:rsidP="005D174A">
      <w:pPr>
        <w:autoSpaceDE w:val="0"/>
        <w:autoSpaceDN w:val="0"/>
        <w:adjustRightInd w:val="0"/>
        <w:jc w:val="both"/>
      </w:pPr>
      <w:r w:rsidRPr="005D174A">
        <w:t xml:space="preserve">Paliperidone is not a substrate of CYP1A2, CYP2A6, CYP2C9, and CYP2C19, so that an interaction with inhibitors or inducers of these isozymes is unlikely. While </w:t>
      </w:r>
      <w:r w:rsidRPr="00A61377">
        <w:rPr>
          <w:i/>
        </w:rPr>
        <w:t>in vitro</w:t>
      </w:r>
      <w:r w:rsidRPr="005D174A">
        <w:t xml:space="preserve"> studies indicate that CYP2D6 and CYP3A4 may be minimally involved in paliperidone metabolism, </w:t>
      </w:r>
      <w:r w:rsidRPr="00A61377">
        <w:rPr>
          <w:i/>
        </w:rPr>
        <w:t>in vivo</w:t>
      </w:r>
      <w:r w:rsidRPr="005D174A">
        <w:t xml:space="preserve"> studies do not show decreased elimination by these isozymes and they contribute to only a small fraction of total body clearance. </w:t>
      </w:r>
      <w:r w:rsidRPr="00A61377">
        <w:rPr>
          <w:i/>
        </w:rPr>
        <w:t>In vitro</w:t>
      </w:r>
      <w:r w:rsidRPr="005D174A">
        <w:t xml:space="preserve"> studies have shown that </w:t>
      </w:r>
      <w:proofErr w:type="spellStart"/>
      <w:r w:rsidRPr="005D174A">
        <w:t>paliperidone</w:t>
      </w:r>
      <w:proofErr w:type="spellEnd"/>
      <w:r w:rsidRPr="005D174A">
        <w:t xml:space="preserve"> is a P-</w:t>
      </w:r>
      <w:proofErr w:type="spellStart"/>
      <w:r w:rsidRPr="005D174A">
        <w:t>gp</w:t>
      </w:r>
      <w:proofErr w:type="spellEnd"/>
      <w:r w:rsidRPr="005D174A">
        <w:t xml:space="preserve"> substrate.</w:t>
      </w:r>
    </w:p>
    <w:p w:rsidR="007E2DBE" w:rsidRDefault="007E2DBE" w:rsidP="007E2DBE">
      <w:pPr>
        <w:autoSpaceDE w:val="0"/>
        <w:autoSpaceDN w:val="0"/>
        <w:adjustRightInd w:val="0"/>
        <w:jc w:val="both"/>
      </w:pPr>
    </w:p>
    <w:p w:rsidR="007E2DBE" w:rsidRDefault="004255C9" w:rsidP="007E2DBE">
      <w:pPr>
        <w:autoSpaceDE w:val="0"/>
        <w:autoSpaceDN w:val="0"/>
        <w:adjustRightInd w:val="0"/>
        <w:jc w:val="both"/>
      </w:pPr>
      <w:r>
        <w:t>Paliperidone is metabolis</w:t>
      </w:r>
      <w:r w:rsidR="007E2DBE" w:rsidRPr="005D174A">
        <w:t xml:space="preserve">ed to a limited extent by CYP2D6 (see </w:t>
      </w:r>
      <w:r w:rsidR="007E2DBE" w:rsidRPr="005D174A">
        <w:rPr>
          <w:b/>
        </w:rPr>
        <w:t>PHARMACOLOGY</w:t>
      </w:r>
      <w:r w:rsidR="007E2DBE" w:rsidRPr="005D174A">
        <w:t xml:space="preserve"> – Pharmacokinetics). In an interaction study in healthy subjects in which a single 3 mg dose of oral paliperidone modified release was administered concomitantly with 20 mg per day of paroxetine (a potent CYP2D6 inhibitor), paliperidone exposures were on average 16% (90% CI: 4, 30) higher in CYP2D6 extensive metabolisers. Higher doses of paroxetine have not been studied. The clinical relevance is unknown. </w:t>
      </w:r>
    </w:p>
    <w:p w:rsidR="007E2DBE" w:rsidRDefault="007E2DBE" w:rsidP="007E2DBE">
      <w:pPr>
        <w:autoSpaceDE w:val="0"/>
        <w:autoSpaceDN w:val="0"/>
        <w:adjustRightInd w:val="0"/>
        <w:jc w:val="both"/>
      </w:pP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 xml:space="preserve">Co-administration of oral paliperidone extended release once daily with carbamazepine 200 mg twice daily caused a decrease of approximately 37% in the mean steady-state </w:t>
      </w:r>
      <w:proofErr w:type="spellStart"/>
      <w:r w:rsidRPr="00F52D82">
        <w:rPr>
          <w:rFonts w:ascii="Arial" w:hAnsi="Arial" w:cs="Arial"/>
          <w:sz w:val="22"/>
          <w:szCs w:val="22"/>
        </w:rPr>
        <w:t>C</w:t>
      </w:r>
      <w:r w:rsidRPr="00073D60">
        <w:rPr>
          <w:rFonts w:ascii="Arial" w:hAnsi="Arial" w:cs="Arial"/>
          <w:sz w:val="22"/>
          <w:szCs w:val="22"/>
          <w:vertAlign w:val="subscript"/>
        </w:rPr>
        <w:t>max</w:t>
      </w:r>
      <w:proofErr w:type="spellEnd"/>
      <w:r w:rsidRPr="00F52D82">
        <w:rPr>
          <w:rFonts w:ascii="Arial" w:hAnsi="Arial" w:cs="Arial"/>
          <w:sz w:val="22"/>
          <w:szCs w:val="22"/>
        </w:rPr>
        <w:t xml:space="preserve"> and AUC of paliperidone. This decrease is caused, to a substantial degree, by a 35% increase in renal clearance of paliperidone. A minor decrease in the amount of drug excreted unchanged in the urine suggests that there was little effect on the CYP metabolism or bioavailability of paliperidone during carbamazepine co-administration. On initiation of carbamazepine, the dose of INVEGA TRINZA should be re-evaluated and increased if necessary. Conversely, on discontinuation of carbamazepine, the dose of INVEGA TRINZA should be re-evaluated and decreased if necessary. Consideration should be given to the long-acting nature of INVEGA TRINZA.</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t>Paliperidone, a cation under physiological pH, is primarily excreted unchanged by the kidneys, approximately half via filtration and half via active secretion. Concomitant administration of trimethoprim, a drug known to inhibit active renal cation drug transport, did not influence the pharmacokinetics of paliperidone.</w:t>
      </w:r>
    </w:p>
    <w:p w:rsidR="00E314E4" w:rsidRPr="00F52D82" w:rsidRDefault="00E314E4" w:rsidP="005D174A">
      <w:pPr>
        <w:pStyle w:val="BodyText12"/>
        <w:spacing w:line="240" w:lineRule="auto"/>
        <w:rPr>
          <w:rFonts w:ascii="Arial" w:hAnsi="Arial" w:cs="Arial"/>
          <w:sz w:val="22"/>
          <w:szCs w:val="22"/>
        </w:rPr>
      </w:pPr>
      <w:r w:rsidRPr="00F52D82">
        <w:rPr>
          <w:rFonts w:ascii="Arial" w:hAnsi="Arial" w:cs="Arial"/>
          <w:sz w:val="22"/>
          <w:szCs w:val="22"/>
        </w:rPr>
        <w:lastRenderedPageBreak/>
        <w:t xml:space="preserve">Co-administration of a single dose of an oral paliperidone extended-release tablet 12 mg with divalproex sodium extended-release tablets (two 500 mg tablets once daily) resulted in an increase of approximately 50% in the </w:t>
      </w:r>
      <w:proofErr w:type="spellStart"/>
      <w:r w:rsidRPr="00F52D82">
        <w:rPr>
          <w:rFonts w:ascii="Arial" w:hAnsi="Arial" w:cs="Arial"/>
          <w:sz w:val="22"/>
          <w:szCs w:val="22"/>
        </w:rPr>
        <w:t>C</w:t>
      </w:r>
      <w:r w:rsidRPr="00073D60">
        <w:rPr>
          <w:rFonts w:ascii="Arial" w:hAnsi="Arial" w:cs="Arial"/>
          <w:sz w:val="22"/>
          <w:szCs w:val="22"/>
          <w:vertAlign w:val="subscript"/>
        </w:rPr>
        <w:t>max</w:t>
      </w:r>
      <w:proofErr w:type="spellEnd"/>
      <w:r w:rsidRPr="00F52D82">
        <w:rPr>
          <w:rFonts w:ascii="Arial" w:hAnsi="Arial" w:cs="Arial"/>
          <w:sz w:val="22"/>
          <w:szCs w:val="22"/>
        </w:rPr>
        <w:t xml:space="preserve"> and AUC of</w:t>
      </w:r>
      <w:r w:rsidRPr="005D174A">
        <w:rPr>
          <w:rFonts w:ascii="Arial" w:hAnsi="Arial" w:cs="Arial"/>
          <w:sz w:val="22"/>
          <w:szCs w:val="22"/>
        </w:rPr>
        <w:t xml:space="preserve"> paliperidone</w:t>
      </w:r>
      <w:r w:rsidR="008B3E59">
        <w:rPr>
          <w:rFonts w:ascii="Arial" w:hAnsi="Arial" w:cs="Arial"/>
          <w:sz w:val="22"/>
          <w:szCs w:val="22"/>
        </w:rPr>
        <w:t>.</w:t>
      </w:r>
      <w:r w:rsidR="008B3E59" w:rsidRPr="008B3E59">
        <w:rPr>
          <w:rFonts w:ascii="Arial" w:hAnsi="Arial" w:cs="Arial"/>
          <w:color w:val="000000"/>
          <w:sz w:val="22"/>
          <w:szCs w:val="22"/>
        </w:rPr>
        <w:t xml:space="preserve"> </w:t>
      </w:r>
      <w:r w:rsidR="008B3E59" w:rsidRPr="005D174A">
        <w:rPr>
          <w:rFonts w:ascii="Arial" w:hAnsi="Arial" w:cs="Arial"/>
          <w:color w:val="000000"/>
          <w:sz w:val="22"/>
          <w:szCs w:val="22"/>
        </w:rPr>
        <w:t xml:space="preserve">Although this interaction has not been studied with INVEGA TRINZA </w:t>
      </w:r>
      <w:r w:rsidRPr="00F52D82">
        <w:rPr>
          <w:rFonts w:ascii="Arial" w:hAnsi="Arial" w:cs="Arial"/>
          <w:sz w:val="22"/>
          <w:szCs w:val="22"/>
        </w:rPr>
        <w:t>a clinically significant interaction would not be expected between divalproex sodium extended-release tablets and INVEGA TRINZA intramuscular injection. This interaction has not been studied with INVEGA TRINZA.</w:t>
      </w:r>
    </w:p>
    <w:p w:rsidR="00E314E4" w:rsidRPr="00D534A0" w:rsidRDefault="00E314E4" w:rsidP="005D174A">
      <w:pPr>
        <w:pStyle w:val="BodyText12"/>
        <w:spacing w:line="240" w:lineRule="auto"/>
        <w:rPr>
          <w:rFonts w:ascii="Arial" w:hAnsi="Arial" w:cs="Arial"/>
          <w:sz w:val="22"/>
          <w:szCs w:val="22"/>
        </w:rPr>
      </w:pPr>
      <w:r w:rsidRPr="00F52D82">
        <w:rPr>
          <w:rFonts w:ascii="Arial" w:hAnsi="Arial" w:cs="Arial"/>
          <w:sz w:val="22"/>
          <w:szCs w:val="22"/>
        </w:rPr>
        <w:t>Pharmacokinetic interaction between lithium and INVEGA TRINZA</w:t>
      </w:r>
      <w:r>
        <w:rPr>
          <w:rFonts w:ascii="Arial" w:hAnsi="Arial" w:cs="Arial"/>
          <w:sz w:val="22"/>
          <w:szCs w:val="22"/>
        </w:rPr>
        <w:t xml:space="preserve"> is unlikely.</w:t>
      </w:r>
    </w:p>
    <w:p w:rsidR="00E314E4" w:rsidRPr="00F52D82" w:rsidRDefault="00E314E4" w:rsidP="005D174A">
      <w:pPr>
        <w:pStyle w:val="Heading2"/>
        <w:rPr>
          <w:color w:val="auto"/>
          <w:sz w:val="22"/>
          <w:szCs w:val="22"/>
        </w:rPr>
      </w:pPr>
      <w:r w:rsidRPr="00F52D82">
        <w:rPr>
          <w:color w:val="auto"/>
          <w:sz w:val="22"/>
          <w:szCs w:val="22"/>
        </w:rPr>
        <w:t>Effect on ability to drive or operate machinery</w:t>
      </w:r>
    </w:p>
    <w:p w:rsidR="0036679E" w:rsidRPr="002A6829" w:rsidRDefault="0036679E" w:rsidP="0036679E">
      <w:pPr>
        <w:autoSpaceDE w:val="0"/>
        <w:autoSpaceDN w:val="0"/>
        <w:adjustRightInd w:val="0"/>
        <w:jc w:val="both"/>
      </w:pPr>
      <w:r>
        <w:t>As INVEGA</w:t>
      </w:r>
      <w:r w:rsidRPr="005D174A">
        <w:t xml:space="preserve"> TRINZA has the potential to impair judgment, thinking, or motor skills, patients should be cautioned about operating hazardous ma</w:t>
      </w:r>
      <w:r w:rsidR="004255C9">
        <w:t xml:space="preserve">chinery, including automobiles, </w:t>
      </w:r>
      <w:r w:rsidRPr="005D174A">
        <w:t>until they are reasonably certain that INVEGA TRINZA the</w:t>
      </w:r>
      <w:r>
        <w:t xml:space="preserve">rapy does not </w:t>
      </w:r>
      <w:proofErr w:type="gramStart"/>
      <w:r>
        <w:t xml:space="preserve">affect  </w:t>
      </w:r>
      <w:r w:rsidRPr="002A6829">
        <w:t>them</w:t>
      </w:r>
      <w:proofErr w:type="gramEnd"/>
      <w:r w:rsidRPr="002A6829">
        <w:t xml:space="preserve"> adversely (see </w:t>
      </w:r>
      <w:r w:rsidRPr="0013670E">
        <w:rPr>
          <w:b/>
        </w:rPr>
        <w:t>PRECAUTIONS</w:t>
      </w:r>
      <w:r w:rsidRPr="002A6829">
        <w:t xml:space="preserve"> – Potential for Cognitive and Motor Impairment).</w:t>
      </w:r>
    </w:p>
    <w:p w:rsidR="0036679E" w:rsidRDefault="0036679E" w:rsidP="005D174A">
      <w:pPr>
        <w:autoSpaceDE w:val="0"/>
        <w:autoSpaceDN w:val="0"/>
        <w:adjustRightInd w:val="0"/>
        <w:jc w:val="both"/>
      </w:pPr>
    </w:p>
    <w:p w:rsidR="00E314E4" w:rsidRPr="00F52D82" w:rsidRDefault="00E314E4" w:rsidP="005D174A">
      <w:pPr>
        <w:pStyle w:val="Heading1"/>
        <w:rPr>
          <w:color w:val="auto"/>
          <w:szCs w:val="28"/>
        </w:rPr>
      </w:pPr>
      <w:r w:rsidRPr="00F52D82">
        <w:rPr>
          <w:color w:val="auto"/>
          <w:szCs w:val="28"/>
        </w:rPr>
        <w:t>ADVERSE EFFECTS</w:t>
      </w:r>
    </w:p>
    <w:p w:rsidR="0036679E" w:rsidRPr="005D174A" w:rsidRDefault="0036679E" w:rsidP="0036679E">
      <w:pPr>
        <w:autoSpaceDE w:val="0"/>
        <w:autoSpaceDN w:val="0"/>
        <w:adjustRightInd w:val="0"/>
        <w:jc w:val="both"/>
      </w:pPr>
      <w:r w:rsidRPr="005D174A">
        <w:t>Adverse events during exposure to study treatment were obtained by general inquiry and recorded by clinical investigators using their own terminology. Consequently, to provide a meaningful estimate of the proportion of individuals experiencing adverse events, e</w:t>
      </w:r>
      <w:r w:rsidR="004255C9">
        <w:t>vents were grouped in standardis</w:t>
      </w:r>
      <w:r w:rsidRPr="005D174A">
        <w:t xml:space="preserve">ed categories using </w:t>
      </w:r>
      <w:proofErr w:type="spellStart"/>
      <w:r w:rsidRPr="005D174A">
        <w:t>MedDRA</w:t>
      </w:r>
      <w:proofErr w:type="spellEnd"/>
      <w:r w:rsidRPr="005D174A">
        <w:t xml:space="preserve"> terminology. </w:t>
      </w:r>
    </w:p>
    <w:p w:rsidR="006F211C" w:rsidRPr="002A6829" w:rsidRDefault="006F211C" w:rsidP="005D174A">
      <w:pPr>
        <w:autoSpaceDE w:val="0"/>
        <w:autoSpaceDN w:val="0"/>
        <w:adjustRightInd w:val="0"/>
        <w:jc w:val="both"/>
        <w:rPr>
          <w:u w:val="single"/>
        </w:rPr>
      </w:pPr>
    </w:p>
    <w:p w:rsidR="00374DC2" w:rsidRPr="009446AB" w:rsidRDefault="00E314E4" w:rsidP="009446AB">
      <w:pPr>
        <w:pStyle w:val="BodyText120"/>
        <w:spacing w:line="240" w:lineRule="auto"/>
        <w:rPr>
          <w:rFonts w:ascii="Arial" w:hAnsi="Arial" w:cs="Arial"/>
          <w:sz w:val="22"/>
          <w:szCs w:val="22"/>
        </w:rPr>
      </w:pPr>
      <w:r w:rsidRPr="002A6829">
        <w:rPr>
          <w:rFonts w:ascii="Arial" w:hAnsi="Arial" w:cs="Arial"/>
          <w:sz w:val="22"/>
          <w:szCs w:val="22"/>
        </w:rPr>
        <w:t>Throughout this</w:t>
      </w:r>
      <w:r w:rsidR="00554755">
        <w:rPr>
          <w:rFonts w:ascii="Arial" w:hAnsi="Arial" w:cs="Arial"/>
          <w:sz w:val="22"/>
          <w:szCs w:val="22"/>
        </w:rPr>
        <w:t xml:space="preserve"> section, adverse reactions are</w:t>
      </w:r>
      <w:r w:rsidR="0036679E">
        <w:rPr>
          <w:rFonts w:ascii="Arial" w:hAnsi="Arial" w:cs="Arial"/>
          <w:sz w:val="22"/>
          <w:szCs w:val="22"/>
        </w:rPr>
        <w:t xml:space="preserve"> </w:t>
      </w:r>
      <w:r w:rsidR="0036679E" w:rsidRPr="002A6829">
        <w:rPr>
          <w:rFonts w:ascii="Arial" w:hAnsi="Arial" w:cs="Arial"/>
          <w:sz w:val="22"/>
          <w:szCs w:val="22"/>
        </w:rPr>
        <w:t>reported</w:t>
      </w:r>
      <w:r w:rsidRPr="002A6829">
        <w:rPr>
          <w:rFonts w:ascii="Arial" w:hAnsi="Arial" w:cs="Arial"/>
          <w:sz w:val="22"/>
          <w:szCs w:val="22"/>
        </w:rPr>
        <w:t>.</w:t>
      </w:r>
      <w:r w:rsidRPr="00F52D82">
        <w:rPr>
          <w:rFonts w:ascii="Arial" w:hAnsi="Arial" w:cs="Arial"/>
          <w:sz w:val="22"/>
          <w:szCs w:val="22"/>
        </w:rPr>
        <w:t xml:space="preserve"> Adverse reactions are adverse events that were considered to be reasonably associated with the use of paliperidone palmitate based on the comprehensive assessment of the available adverse event information. A causal relationship with paliperidone palmitate cannot be reliably established in individual cases. Further, because clinical trials are conducted under widely varying conditions, adverse reaction rates observed in the clinical trials of a drug cannot be directly compared to rates in the clinical trials of another drug and may not reflect the rates observed in clinical practice.</w:t>
      </w:r>
    </w:p>
    <w:p w:rsidR="00E314E4" w:rsidRPr="00F52D82" w:rsidRDefault="00E314E4" w:rsidP="005D174A">
      <w:pPr>
        <w:pStyle w:val="Heading2"/>
        <w:rPr>
          <w:color w:val="auto"/>
          <w:sz w:val="22"/>
          <w:szCs w:val="22"/>
        </w:rPr>
      </w:pPr>
      <w:r w:rsidRPr="00F52D82">
        <w:rPr>
          <w:color w:val="auto"/>
          <w:sz w:val="22"/>
          <w:szCs w:val="22"/>
        </w:rPr>
        <w:t xml:space="preserve">Clinical Trial Data </w:t>
      </w:r>
    </w:p>
    <w:p w:rsidR="00C60006" w:rsidRDefault="00E314E4" w:rsidP="005D174A">
      <w:pPr>
        <w:pStyle w:val="BodyText12"/>
        <w:widowControl w:val="0"/>
        <w:spacing w:line="240" w:lineRule="auto"/>
        <w:rPr>
          <w:rFonts w:ascii="Arial" w:hAnsi="Arial" w:cs="Arial"/>
          <w:color w:val="000000" w:themeColor="text1"/>
          <w:sz w:val="22"/>
          <w:szCs w:val="22"/>
        </w:rPr>
      </w:pPr>
      <w:r w:rsidRPr="005D174A">
        <w:rPr>
          <w:rFonts w:ascii="Arial" w:hAnsi="Arial" w:cs="Arial"/>
          <w:color w:val="000000" w:themeColor="text1"/>
          <w:sz w:val="22"/>
          <w:szCs w:val="22"/>
        </w:rPr>
        <w:t xml:space="preserve">The data described in this section include data from two clinical trials. One </w:t>
      </w:r>
      <w:r w:rsidR="00AF04CD" w:rsidRPr="005D174A">
        <w:rPr>
          <w:rFonts w:ascii="Arial" w:hAnsi="Arial" w:cs="Arial"/>
          <w:color w:val="000000" w:themeColor="text1"/>
          <w:sz w:val="22"/>
          <w:szCs w:val="22"/>
        </w:rPr>
        <w:t>was</w:t>
      </w:r>
      <w:r w:rsidR="00CB2293" w:rsidRPr="005D174A">
        <w:rPr>
          <w:rFonts w:ascii="Arial" w:hAnsi="Arial" w:cs="Arial"/>
          <w:color w:val="000000" w:themeColor="text1"/>
          <w:sz w:val="22"/>
          <w:szCs w:val="22"/>
        </w:rPr>
        <w:t xml:space="preserve"> </w:t>
      </w:r>
      <w:r w:rsidRPr="005D174A">
        <w:rPr>
          <w:rFonts w:ascii="Arial" w:hAnsi="Arial" w:cs="Arial"/>
          <w:color w:val="000000" w:themeColor="text1"/>
          <w:sz w:val="22"/>
          <w:szCs w:val="22"/>
        </w:rPr>
        <w:t>a long-term relapse</w:t>
      </w:r>
      <w:r w:rsidR="00AF04CD" w:rsidRPr="005D174A">
        <w:rPr>
          <w:rFonts w:ascii="Arial" w:hAnsi="Arial" w:cs="Arial"/>
          <w:color w:val="000000" w:themeColor="text1"/>
          <w:sz w:val="22"/>
          <w:szCs w:val="22"/>
        </w:rPr>
        <w:t>-</w:t>
      </w:r>
      <w:r w:rsidRPr="005D174A">
        <w:rPr>
          <w:rFonts w:ascii="Arial" w:hAnsi="Arial" w:cs="Arial"/>
          <w:color w:val="000000" w:themeColor="text1"/>
          <w:sz w:val="22"/>
          <w:szCs w:val="22"/>
        </w:rPr>
        <w:t>prevention</w:t>
      </w:r>
      <w:r w:rsidR="00AF04CD" w:rsidRPr="005D174A">
        <w:rPr>
          <w:rFonts w:ascii="Arial" w:hAnsi="Arial" w:cs="Arial"/>
          <w:color w:val="000000" w:themeColor="text1"/>
          <w:sz w:val="22"/>
          <w:szCs w:val="22"/>
        </w:rPr>
        <w:t>/randomi</w:t>
      </w:r>
      <w:r w:rsidR="002A2342">
        <w:rPr>
          <w:rFonts w:ascii="Arial" w:hAnsi="Arial" w:cs="Arial"/>
          <w:color w:val="000000" w:themeColor="text1"/>
          <w:sz w:val="22"/>
          <w:szCs w:val="22"/>
        </w:rPr>
        <w:t>s</w:t>
      </w:r>
      <w:r w:rsidR="00AF04CD" w:rsidRPr="005D174A">
        <w:rPr>
          <w:rFonts w:ascii="Arial" w:hAnsi="Arial" w:cs="Arial"/>
          <w:color w:val="000000" w:themeColor="text1"/>
          <w:sz w:val="22"/>
          <w:szCs w:val="22"/>
        </w:rPr>
        <w:t>ed withdraw</w:t>
      </w:r>
      <w:r w:rsidR="00554755">
        <w:rPr>
          <w:rFonts w:ascii="Arial" w:hAnsi="Arial" w:cs="Arial"/>
          <w:color w:val="000000" w:themeColor="text1"/>
          <w:sz w:val="22"/>
          <w:szCs w:val="22"/>
        </w:rPr>
        <w:t>a</w:t>
      </w:r>
      <w:r w:rsidR="00AF04CD" w:rsidRPr="005D174A">
        <w:rPr>
          <w:rFonts w:ascii="Arial" w:hAnsi="Arial" w:cs="Arial"/>
          <w:color w:val="000000" w:themeColor="text1"/>
          <w:sz w:val="22"/>
          <w:szCs w:val="22"/>
        </w:rPr>
        <w:t xml:space="preserve">l </w:t>
      </w:r>
      <w:r w:rsidRPr="005D174A">
        <w:rPr>
          <w:rFonts w:ascii="Arial" w:hAnsi="Arial" w:cs="Arial"/>
          <w:color w:val="000000" w:themeColor="text1"/>
          <w:sz w:val="22"/>
          <w:szCs w:val="22"/>
        </w:rPr>
        <w:t xml:space="preserve"> trial, </w:t>
      </w:r>
      <w:r w:rsidR="0036679E" w:rsidRPr="005D174A">
        <w:rPr>
          <w:rFonts w:ascii="Arial" w:hAnsi="Arial" w:cs="Arial"/>
          <w:color w:val="000000"/>
          <w:sz w:val="22"/>
          <w:szCs w:val="22"/>
        </w:rPr>
        <w:t>in which 379 subjects with schizophrenia during the open-label phase received a single injection of INVEGA TRINZA and 160 sub</w:t>
      </w:r>
      <w:r w:rsidR="002A2342">
        <w:rPr>
          <w:rFonts w:ascii="Arial" w:hAnsi="Arial" w:cs="Arial"/>
          <w:color w:val="000000"/>
          <w:sz w:val="22"/>
          <w:szCs w:val="22"/>
        </w:rPr>
        <w:t>jects were subsequently randomis</w:t>
      </w:r>
      <w:r w:rsidR="0036679E" w:rsidRPr="005D174A">
        <w:rPr>
          <w:rFonts w:ascii="Arial" w:hAnsi="Arial" w:cs="Arial"/>
          <w:color w:val="000000"/>
          <w:sz w:val="22"/>
          <w:szCs w:val="22"/>
        </w:rPr>
        <w:t xml:space="preserve">ed to receive at least one further dose of INVEGA TRINZA and 145 subjects received placebo during the double-blind placebo-controlled phase. The mean (Standard Deviation [SD]) duration of exposure during the double-blind phase was 150 (79) days in the placebo group and 175 (90) days in the INVEGA TRINZA group. </w:t>
      </w:r>
    </w:p>
    <w:p w:rsidR="00564B34" w:rsidRDefault="00AF04CD" w:rsidP="00564B34">
      <w:pPr>
        <w:autoSpaceDE w:val="0"/>
        <w:autoSpaceDN w:val="0"/>
        <w:adjustRightInd w:val="0"/>
        <w:rPr>
          <w:rFonts w:eastAsia="TimesNewRoman,BoldItalic"/>
          <w:bCs/>
          <w:iCs/>
          <w:color w:val="auto"/>
          <w:lang w:val="en-US"/>
        </w:rPr>
      </w:pPr>
      <w:r w:rsidRPr="00AF04CD">
        <w:rPr>
          <w:rFonts w:eastAsia="TimesNewRoman,BoldItalic"/>
          <w:bCs/>
          <w:iCs/>
          <w:color w:val="auto"/>
          <w:lang w:val="en-US"/>
        </w:rPr>
        <w:t>The second trial was a long-term double-blind, active-controlled</w:t>
      </w:r>
      <w:r>
        <w:rPr>
          <w:rFonts w:eastAsia="TimesNewRoman,BoldItalic"/>
          <w:bCs/>
          <w:iCs/>
          <w:color w:val="auto"/>
          <w:lang w:val="en-US"/>
        </w:rPr>
        <w:t xml:space="preserve"> </w:t>
      </w:r>
      <w:proofErr w:type="spellStart"/>
      <w:r>
        <w:rPr>
          <w:rFonts w:eastAsia="TimesNewRoman,BoldItalic"/>
          <w:bCs/>
          <w:iCs/>
          <w:color w:val="auto"/>
          <w:lang w:val="en-US"/>
        </w:rPr>
        <w:t>noninferiority</w:t>
      </w:r>
      <w:proofErr w:type="spellEnd"/>
      <w:r>
        <w:rPr>
          <w:rFonts w:eastAsia="TimesNewRoman,BoldItalic"/>
          <w:bCs/>
          <w:iCs/>
          <w:color w:val="auto"/>
          <w:lang w:val="en-US"/>
        </w:rPr>
        <w:t xml:space="preserve"> study, in which </w:t>
      </w:r>
      <w:r w:rsidRPr="00AF04CD">
        <w:rPr>
          <w:rFonts w:eastAsia="TimesNewRoman,BoldItalic"/>
          <w:bCs/>
          <w:iCs/>
          <w:color w:val="auto"/>
          <w:lang w:val="en-US"/>
        </w:rPr>
        <w:t>1429</w:t>
      </w:r>
      <w:r w:rsidR="00095A4F">
        <w:rPr>
          <w:rFonts w:eastAsia="TimesNewRoman,BoldItalic"/>
          <w:bCs/>
          <w:iCs/>
          <w:color w:val="auto"/>
          <w:lang w:val="en-US"/>
        </w:rPr>
        <w:t xml:space="preserve"> </w:t>
      </w:r>
      <w:r w:rsidRPr="00AF04CD">
        <w:rPr>
          <w:rFonts w:eastAsia="TimesNewRoman,BoldItalic"/>
          <w:bCs/>
          <w:iCs/>
          <w:color w:val="auto"/>
          <w:lang w:val="en-US"/>
        </w:rPr>
        <w:t>subjects were enrolled into the open-label pha</w:t>
      </w:r>
      <w:r>
        <w:rPr>
          <w:rFonts w:eastAsia="TimesNewRoman,BoldItalic"/>
          <w:bCs/>
          <w:iCs/>
          <w:color w:val="auto"/>
          <w:lang w:val="en-US"/>
        </w:rPr>
        <w:t xml:space="preserve">se and treated with the 1 month </w:t>
      </w:r>
      <w:r w:rsidRPr="00AF04CD">
        <w:rPr>
          <w:rFonts w:eastAsia="TimesNewRoman,BoldItalic"/>
          <w:bCs/>
          <w:iCs/>
          <w:color w:val="auto"/>
          <w:lang w:val="en-US"/>
        </w:rPr>
        <w:t xml:space="preserve">paliperidone palmitate injectable product. Subjects who met </w:t>
      </w:r>
      <w:r>
        <w:rPr>
          <w:rFonts w:eastAsia="TimesNewRoman,BoldItalic"/>
          <w:bCs/>
          <w:iCs/>
          <w:color w:val="auto"/>
          <w:lang w:val="en-US"/>
        </w:rPr>
        <w:t xml:space="preserve">the </w:t>
      </w:r>
      <w:proofErr w:type="spellStart"/>
      <w:r>
        <w:rPr>
          <w:rFonts w:eastAsia="TimesNewRoman,BoldItalic"/>
          <w:bCs/>
          <w:iCs/>
          <w:color w:val="auto"/>
          <w:lang w:val="en-US"/>
        </w:rPr>
        <w:t>randomi</w:t>
      </w:r>
      <w:r w:rsidR="002A2342">
        <w:rPr>
          <w:rFonts w:eastAsia="TimesNewRoman,BoldItalic"/>
          <w:bCs/>
          <w:iCs/>
          <w:color w:val="auto"/>
          <w:lang w:val="en-US"/>
        </w:rPr>
        <w:t>s</w:t>
      </w:r>
      <w:r>
        <w:rPr>
          <w:rFonts w:eastAsia="TimesNewRoman,BoldItalic"/>
          <w:bCs/>
          <w:iCs/>
          <w:color w:val="auto"/>
          <w:lang w:val="en-US"/>
        </w:rPr>
        <w:t>ation</w:t>
      </w:r>
      <w:proofErr w:type="spellEnd"/>
      <w:r>
        <w:rPr>
          <w:rFonts w:eastAsia="TimesNewRoman,BoldItalic"/>
          <w:bCs/>
          <w:iCs/>
          <w:color w:val="auto"/>
          <w:lang w:val="en-US"/>
        </w:rPr>
        <w:t xml:space="preserve"> criteria were </w:t>
      </w:r>
      <w:proofErr w:type="spellStart"/>
      <w:r w:rsidRPr="00AF04CD">
        <w:rPr>
          <w:rFonts w:eastAsia="TimesNewRoman,BoldItalic"/>
          <w:bCs/>
          <w:iCs/>
          <w:color w:val="auto"/>
          <w:lang w:val="en-US"/>
        </w:rPr>
        <w:t>randomi</w:t>
      </w:r>
      <w:r w:rsidR="002A2342">
        <w:rPr>
          <w:rFonts w:eastAsia="TimesNewRoman,BoldItalic"/>
          <w:bCs/>
          <w:iCs/>
          <w:color w:val="auto"/>
          <w:lang w:val="en-US"/>
        </w:rPr>
        <w:t>s</w:t>
      </w:r>
      <w:r w:rsidRPr="00AF04CD">
        <w:rPr>
          <w:rFonts w:eastAsia="TimesNewRoman,BoldItalic"/>
          <w:bCs/>
          <w:iCs/>
          <w:color w:val="auto"/>
          <w:lang w:val="en-US"/>
        </w:rPr>
        <w:t>ed</w:t>
      </w:r>
      <w:proofErr w:type="spellEnd"/>
      <w:r w:rsidRPr="00AF04CD">
        <w:rPr>
          <w:rFonts w:eastAsia="TimesNewRoman,BoldItalic"/>
          <w:bCs/>
          <w:iCs/>
          <w:color w:val="auto"/>
          <w:lang w:val="en-US"/>
        </w:rPr>
        <w:t xml:space="preserve"> in a 1:1 ratio to continue on monthly injecti</w:t>
      </w:r>
      <w:r>
        <w:rPr>
          <w:rFonts w:eastAsia="TimesNewRoman,BoldItalic"/>
          <w:bCs/>
          <w:iCs/>
          <w:color w:val="auto"/>
          <w:lang w:val="en-US"/>
        </w:rPr>
        <w:t xml:space="preserve">ons of the 1-month paliperidone </w:t>
      </w:r>
      <w:r w:rsidRPr="00AF04CD">
        <w:rPr>
          <w:rFonts w:eastAsia="TimesNewRoman,BoldItalic"/>
          <w:bCs/>
          <w:iCs/>
          <w:color w:val="auto"/>
          <w:lang w:val="en-US"/>
        </w:rPr>
        <w:t xml:space="preserve">palmitate injectable product (n=512) or to switch to </w:t>
      </w:r>
      <w:r>
        <w:rPr>
          <w:rFonts w:eastAsia="TimesNewRoman,BoldItalic"/>
          <w:bCs/>
          <w:iCs/>
          <w:color w:val="auto"/>
          <w:lang w:val="en-US"/>
        </w:rPr>
        <w:t xml:space="preserve">INVEGA TRINZA (n=504) for 48 weeks. </w:t>
      </w:r>
    </w:p>
    <w:p w:rsidR="00AF04CD" w:rsidRPr="00AF04CD" w:rsidRDefault="00AF04CD" w:rsidP="005D174A">
      <w:pPr>
        <w:autoSpaceDE w:val="0"/>
        <w:autoSpaceDN w:val="0"/>
        <w:adjustRightInd w:val="0"/>
        <w:rPr>
          <w:rFonts w:eastAsia="TimesNewRoman,BoldItalic"/>
          <w:bCs/>
          <w:iCs/>
          <w:color w:val="auto"/>
          <w:lang w:val="en-US"/>
        </w:rPr>
      </w:pPr>
    </w:p>
    <w:p w:rsidR="00E314E4" w:rsidRPr="003E13BF" w:rsidRDefault="00E314E4" w:rsidP="005D174A">
      <w:pPr>
        <w:pStyle w:val="BodyText12"/>
        <w:widowControl w:val="0"/>
        <w:spacing w:line="240" w:lineRule="auto"/>
        <w:rPr>
          <w:rFonts w:ascii="Arial" w:hAnsi="Arial" w:cs="Arial"/>
          <w:bCs/>
          <w:color w:val="000000" w:themeColor="text1"/>
          <w:sz w:val="22"/>
          <w:szCs w:val="22"/>
        </w:rPr>
      </w:pPr>
      <w:r w:rsidRPr="00AF04CD">
        <w:rPr>
          <w:rFonts w:ascii="Arial" w:hAnsi="Arial" w:cs="Arial"/>
          <w:color w:val="000000" w:themeColor="text1"/>
          <w:sz w:val="22"/>
          <w:szCs w:val="22"/>
        </w:rPr>
        <w:t>T</w:t>
      </w:r>
      <w:r w:rsidRPr="003E13BF">
        <w:rPr>
          <w:rFonts w:ascii="Arial" w:hAnsi="Arial" w:cs="Arial"/>
          <w:color w:val="000000" w:themeColor="text1"/>
          <w:sz w:val="22"/>
          <w:szCs w:val="22"/>
        </w:rPr>
        <w:t>he</w:t>
      </w:r>
      <w:r w:rsidR="00C60006">
        <w:rPr>
          <w:rFonts w:ascii="Arial" w:hAnsi="Arial" w:cs="Arial"/>
          <w:color w:val="000000" w:themeColor="text1"/>
          <w:sz w:val="22"/>
          <w:szCs w:val="22"/>
        </w:rPr>
        <w:t>r</w:t>
      </w:r>
      <w:r w:rsidR="00564B34">
        <w:rPr>
          <w:rFonts w:ascii="Arial" w:hAnsi="Arial" w:cs="Arial"/>
          <w:color w:val="000000" w:themeColor="text1"/>
          <w:sz w:val="22"/>
          <w:szCs w:val="22"/>
        </w:rPr>
        <w:t xml:space="preserve">e also was a </w:t>
      </w:r>
      <w:r w:rsidRPr="003E13BF">
        <w:rPr>
          <w:rFonts w:ascii="Arial" w:hAnsi="Arial" w:cs="Arial"/>
          <w:color w:val="000000" w:themeColor="text1"/>
          <w:sz w:val="22"/>
          <w:szCs w:val="22"/>
        </w:rPr>
        <w:t>Phase 1 study, in which 308 subjects with schizophrenia or schizoaffective disorder received a single injection of INVEGA TRINZA concomitantly with other oral antipsychotics.</w:t>
      </w:r>
    </w:p>
    <w:p w:rsidR="009921E8" w:rsidRPr="00E314E4" w:rsidRDefault="00E314E4" w:rsidP="005D174A">
      <w:pPr>
        <w:pStyle w:val="BodyText12"/>
        <w:widowControl w:val="0"/>
        <w:spacing w:line="240" w:lineRule="auto"/>
        <w:rPr>
          <w:rFonts w:ascii="Arial" w:hAnsi="Arial" w:cs="Arial"/>
          <w:color w:val="000000" w:themeColor="text1"/>
          <w:sz w:val="22"/>
          <w:szCs w:val="22"/>
        </w:rPr>
      </w:pPr>
      <w:r w:rsidRPr="003E13BF">
        <w:rPr>
          <w:rFonts w:ascii="Arial" w:hAnsi="Arial" w:cs="Arial"/>
          <w:color w:val="000000" w:themeColor="text1"/>
          <w:sz w:val="22"/>
          <w:szCs w:val="22"/>
        </w:rPr>
        <w:t>The majority of adverse reactions were mild to moderate in severity.</w:t>
      </w:r>
    </w:p>
    <w:p w:rsidR="005D174A" w:rsidRPr="00553C06" w:rsidRDefault="00E314E4" w:rsidP="00553C06">
      <w:pPr>
        <w:widowControl w:val="0"/>
        <w:spacing w:after="200"/>
        <w:jc w:val="both"/>
        <w:rPr>
          <w:color w:val="000000" w:themeColor="text1"/>
        </w:rPr>
      </w:pPr>
      <w:bookmarkStart w:id="56" w:name="_Commonly-Observed_Adverse_Reactions"/>
      <w:bookmarkStart w:id="57" w:name="_Toc219801046"/>
      <w:bookmarkEnd w:id="56"/>
      <w:r w:rsidRPr="003E13BF">
        <w:rPr>
          <w:color w:val="000000" w:themeColor="text1"/>
        </w:rPr>
        <w:t xml:space="preserve">Adverse </w:t>
      </w:r>
      <w:r w:rsidR="00564B34">
        <w:rPr>
          <w:color w:val="000000" w:themeColor="text1"/>
        </w:rPr>
        <w:t xml:space="preserve">events </w:t>
      </w:r>
      <w:r w:rsidRPr="003E13BF">
        <w:rPr>
          <w:color w:val="000000" w:themeColor="text1"/>
        </w:rPr>
        <w:t>reported in the long-term relapse-preve</w:t>
      </w:r>
      <w:r w:rsidR="00FD4EE8">
        <w:rPr>
          <w:color w:val="000000" w:themeColor="text1"/>
        </w:rPr>
        <w:t xml:space="preserve">ntion trial are shown in Table 1 </w:t>
      </w:r>
      <w:r w:rsidR="00564B34">
        <w:rPr>
          <w:color w:val="000000" w:themeColor="text1"/>
        </w:rPr>
        <w:t>and 2</w:t>
      </w:r>
      <w:bookmarkStart w:id="58" w:name="_Ref448753263"/>
      <w:bookmarkStart w:id="59" w:name="_Toc449453631"/>
      <w:bookmarkEnd w:id="57"/>
    </w:p>
    <w:tbl>
      <w:tblPr>
        <w:tblW w:w="8726" w:type="dxa"/>
        <w:tblInd w:w="-1" w:type="dxa"/>
        <w:tblLayout w:type="fixed"/>
        <w:tblCellMar>
          <w:left w:w="0" w:type="dxa"/>
          <w:right w:w="0" w:type="dxa"/>
        </w:tblCellMar>
        <w:tblLook w:val="0000" w:firstRow="0" w:lastRow="0" w:firstColumn="0" w:lastColumn="0" w:noHBand="0" w:noVBand="0"/>
      </w:tblPr>
      <w:tblGrid>
        <w:gridCol w:w="3976"/>
        <w:gridCol w:w="1611"/>
        <w:gridCol w:w="1364"/>
        <w:gridCol w:w="1775"/>
      </w:tblGrid>
      <w:tr w:rsidR="00A7761D" w:rsidRPr="00BD6C9A" w:rsidTr="000359CC">
        <w:tc>
          <w:tcPr>
            <w:tcW w:w="3976" w:type="dxa"/>
            <w:tcBorders>
              <w:top w:val="nil"/>
              <w:left w:val="nil"/>
              <w:right w:val="nil"/>
            </w:tcBorders>
          </w:tcPr>
          <w:p w:rsidR="00A7761D" w:rsidRPr="00BD6C9A" w:rsidRDefault="00A7761D" w:rsidP="000359CC">
            <w:pPr>
              <w:keepNext/>
              <w:keepLines/>
              <w:autoSpaceDE w:val="0"/>
              <w:autoSpaceDN w:val="0"/>
              <w:spacing w:before="20" w:after="10" w:line="276" w:lineRule="auto"/>
              <w:rPr>
                <w:rFonts w:eastAsia="Calibri"/>
                <w:color w:val="FF0000"/>
                <w:sz w:val="20"/>
                <w:szCs w:val="20"/>
              </w:rPr>
            </w:pPr>
          </w:p>
        </w:tc>
        <w:tc>
          <w:tcPr>
            <w:tcW w:w="1611" w:type="dxa"/>
            <w:tcBorders>
              <w:top w:val="nil"/>
              <w:left w:val="nil"/>
              <w:right w:val="nil"/>
            </w:tcBorders>
          </w:tcPr>
          <w:p w:rsidR="00A7761D" w:rsidRPr="00BD6C9A" w:rsidRDefault="00A7761D" w:rsidP="000359CC">
            <w:pPr>
              <w:keepNext/>
              <w:keepLines/>
              <w:widowControl w:val="0"/>
              <w:autoSpaceDE w:val="0"/>
              <w:autoSpaceDN w:val="0"/>
              <w:adjustRightInd w:val="0"/>
              <w:spacing w:before="20" w:after="10" w:line="276" w:lineRule="auto"/>
              <w:jc w:val="center"/>
              <w:rPr>
                <w:rFonts w:eastAsia="Calibri"/>
                <w:color w:val="FF0000"/>
                <w:sz w:val="20"/>
                <w:szCs w:val="20"/>
              </w:rPr>
            </w:pPr>
          </w:p>
        </w:tc>
        <w:tc>
          <w:tcPr>
            <w:tcW w:w="1364" w:type="dxa"/>
            <w:tcBorders>
              <w:top w:val="nil"/>
              <w:left w:val="nil"/>
              <w:right w:val="nil"/>
            </w:tcBorders>
          </w:tcPr>
          <w:p w:rsidR="00A7761D" w:rsidRPr="00BD6C9A" w:rsidRDefault="00A7761D" w:rsidP="000359CC">
            <w:pPr>
              <w:keepNext/>
              <w:keepLines/>
              <w:widowControl w:val="0"/>
              <w:autoSpaceDE w:val="0"/>
              <w:autoSpaceDN w:val="0"/>
              <w:adjustRightInd w:val="0"/>
              <w:spacing w:before="20" w:after="10" w:line="276" w:lineRule="auto"/>
              <w:jc w:val="center"/>
              <w:rPr>
                <w:rFonts w:eastAsia="Calibri"/>
                <w:color w:val="FF0000"/>
                <w:sz w:val="20"/>
                <w:szCs w:val="20"/>
              </w:rPr>
            </w:pPr>
          </w:p>
        </w:tc>
        <w:tc>
          <w:tcPr>
            <w:tcW w:w="1775" w:type="dxa"/>
            <w:tcBorders>
              <w:top w:val="nil"/>
              <w:left w:val="nil"/>
              <w:right w:val="nil"/>
            </w:tcBorders>
          </w:tcPr>
          <w:p w:rsidR="00A7761D" w:rsidRPr="00BD6C9A" w:rsidRDefault="00A7761D" w:rsidP="000359CC">
            <w:pPr>
              <w:keepNext/>
              <w:keepLines/>
              <w:widowControl w:val="0"/>
              <w:autoSpaceDE w:val="0"/>
              <w:autoSpaceDN w:val="0"/>
              <w:adjustRightInd w:val="0"/>
              <w:spacing w:before="20" w:after="10" w:line="276" w:lineRule="auto"/>
              <w:jc w:val="center"/>
              <w:rPr>
                <w:rFonts w:eastAsia="Calibri"/>
                <w:color w:val="FF0000"/>
                <w:sz w:val="20"/>
                <w:szCs w:val="20"/>
              </w:rPr>
            </w:pPr>
          </w:p>
        </w:tc>
      </w:tr>
    </w:tbl>
    <w:p w:rsidR="00A7761D" w:rsidRDefault="00A7761D">
      <w:pPr>
        <w:rPr>
          <w:rFonts w:cs="Times New Roman"/>
          <w:b/>
          <w:color w:val="auto"/>
          <w:sz w:val="20"/>
          <w:szCs w:val="24"/>
          <w:lang w:val="en-US"/>
        </w:rPr>
      </w:pPr>
    </w:p>
    <w:bookmarkEnd w:id="58"/>
    <w:bookmarkEnd w:id="59"/>
    <w:p w:rsidR="00A7761D" w:rsidRDefault="00A7761D" w:rsidP="00A7761D">
      <w:pPr>
        <w:pStyle w:val="MarkforTOC"/>
        <w:rPr>
          <w:i/>
          <w:color w:val="FF0000"/>
        </w:rPr>
      </w:pPr>
      <w:proofErr w:type="gramStart"/>
      <w:r>
        <w:rPr>
          <w:szCs w:val="24"/>
        </w:rPr>
        <w:lastRenderedPageBreak/>
        <w:t>Table  </w:t>
      </w:r>
      <w:proofErr w:type="gramEnd"/>
      <w:r w:rsidR="00317724">
        <w:fldChar w:fldCharType="begin"/>
      </w:r>
      <w:r w:rsidR="00317724">
        <w:instrText xml:space="preserve"> SEQ Attachment \* ARABIC </w:instrText>
      </w:r>
      <w:r w:rsidR="00317724">
        <w:fldChar w:fldCharType="separate"/>
      </w:r>
      <w:r w:rsidR="00C27F37">
        <w:rPr>
          <w:noProof/>
        </w:rPr>
        <w:t>1</w:t>
      </w:r>
      <w:r w:rsidR="00317724">
        <w:rPr>
          <w:noProof/>
        </w:rPr>
        <w:fldChar w:fldCharType="end"/>
      </w:r>
      <w:r>
        <w:t>:</w:t>
      </w:r>
      <w:r>
        <w:tab/>
      </w:r>
      <w:r w:rsidRPr="00100708">
        <w:rPr>
          <w:szCs w:val="24"/>
        </w:rPr>
        <w:t>T</w:t>
      </w:r>
      <w:r>
        <w:t xml:space="preserve">reatment-Emergent Adverse Events in at Least 2% of Subjects in Either Treatment Group by </w:t>
      </w:r>
      <w:proofErr w:type="spellStart"/>
      <w:r>
        <w:t>MedDRA</w:t>
      </w:r>
      <w:proofErr w:type="spellEnd"/>
      <w:r>
        <w:t xml:space="preserve"> System Organ Class and Preferred Term During the Double-blind Phase (Study PSY-3012)</w:t>
      </w:r>
    </w:p>
    <w:p w:rsidR="00A7761D" w:rsidRPr="00100708" w:rsidRDefault="00A7761D" w:rsidP="00A7761D">
      <w:pPr>
        <w:pStyle w:val="Basic11"/>
      </w:pPr>
    </w:p>
    <w:tbl>
      <w:tblPr>
        <w:tblW w:w="0" w:type="auto"/>
        <w:tblLayout w:type="fixed"/>
        <w:tblCellMar>
          <w:left w:w="0" w:type="dxa"/>
          <w:right w:w="0" w:type="dxa"/>
        </w:tblCellMar>
        <w:tblLook w:val="0000" w:firstRow="0" w:lastRow="0" w:firstColumn="0" w:lastColumn="0" w:noHBand="0" w:noVBand="0"/>
      </w:tblPr>
      <w:tblGrid>
        <w:gridCol w:w="4233"/>
        <w:gridCol w:w="1437"/>
        <w:gridCol w:w="1843"/>
      </w:tblGrid>
      <w:tr w:rsidR="00A7761D" w:rsidRPr="000F42D9" w:rsidTr="000359CC">
        <w:tc>
          <w:tcPr>
            <w:tcW w:w="4233" w:type="dxa"/>
            <w:tcBorders>
              <w:top w:val="single" w:sz="6" w:space="0" w:color="auto"/>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single" w:sz="6" w:space="0" w:color="auto"/>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Placebo</w:t>
            </w:r>
          </w:p>
        </w:tc>
        <w:tc>
          <w:tcPr>
            <w:tcW w:w="1843" w:type="dxa"/>
            <w:tcBorders>
              <w:top w:val="single" w:sz="6" w:space="0" w:color="auto"/>
              <w:left w:val="nil"/>
              <w:bottom w:val="nil"/>
              <w:right w:val="nil"/>
            </w:tcBorders>
          </w:tcPr>
          <w:p w:rsidR="00A7761D" w:rsidRPr="000F42D9" w:rsidRDefault="002A2342" w:rsidP="000359CC">
            <w:pPr>
              <w:widowControl w:val="0"/>
              <w:autoSpaceDE w:val="0"/>
              <w:autoSpaceDN w:val="0"/>
              <w:adjustRightInd w:val="0"/>
              <w:spacing w:before="20" w:after="10"/>
              <w:jc w:val="center"/>
              <w:rPr>
                <w:sz w:val="20"/>
                <w:szCs w:val="20"/>
              </w:rPr>
            </w:pPr>
            <w:r>
              <w:rPr>
                <w:sz w:val="20"/>
                <w:szCs w:val="20"/>
              </w:rPr>
              <w:t>INVEGA TRINZA</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Body System Or Organ Class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(N=145)</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(N=160)</w:t>
            </w:r>
          </w:p>
        </w:tc>
      </w:tr>
      <w:tr w:rsidR="00A7761D" w:rsidRPr="000F42D9" w:rsidTr="000359CC">
        <w:tc>
          <w:tcPr>
            <w:tcW w:w="4233" w:type="dxa"/>
            <w:tcBorders>
              <w:top w:val="nil"/>
              <w:left w:val="nil"/>
              <w:bottom w:val="single" w:sz="6" w:space="0" w:color="auto"/>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Dictionary-Derived Term</w:t>
            </w:r>
          </w:p>
        </w:tc>
        <w:tc>
          <w:tcPr>
            <w:tcW w:w="1437"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proofErr w:type="gramStart"/>
            <w:r w:rsidRPr="000F42D9">
              <w:rPr>
                <w:sz w:val="20"/>
                <w:szCs w:val="20"/>
              </w:rPr>
              <w:t>n</w:t>
            </w:r>
            <w:proofErr w:type="gramEnd"/>
            <w:r w:rsidRPr="000F42D9">
              <w:rPr>
                <w:sz w:val="20"/>
                <w:szCs w:val="20"/>
              </w:rPr>
              <w:t xml:space="preserve"> (%)</w:t>
            </w:r>
          </w:p>
        </w:tc>
        <w:tc>
          <w:tcPr>
            <w:tcW w:w="1843"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proofErr w:type="gramStart"/>
            <w:r w:rsidRPr="000F42D9">
              <w:rPr>
                <w:sz w:val="20"/>
                <w:szCs w:val="20"/>
              </w:rPr>
              <w:t>n</w:t>
            </w:r>
            <w:proofErr w:type="gramEnd"/>
            <w:r w:rsidRPr="000F42D9">
              <w:rPr>
                <w:sz w:val="20"/>
                <w:szCs w:val="20"/>
              </w:rPr>
              <w:t xml:space="preserve"> (%)</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Total no. subjects with adverse events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84 (57.9)</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99 (61.9)</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Psychiatric disorders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46 (31.7)</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30 (18.8)</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Anxiety</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16 (11.0)</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13 ( 8.1)</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Insomnia</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17 (11.7)</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11 ( 6.9)</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Agitation</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 ( 1.3)</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Schizophrenia</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15 (10.3)</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 ( 1.3)</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Suicidal ideation</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0</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Infections and infestations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16 (11.0)</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28 (17.5)</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Nasopharyngitis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 ( 1.4)</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9 ( 5.6)</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Upper respiratory tract infection</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( 3.8)</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Urinary tract infection</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 ( 1.4)</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 ( 3.1)</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Influenza</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( 1.9)</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Investigations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25 (17.2)</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27 (16.9)</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Weight increased</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 ( 3.4)</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( 8.8)</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Blood glucose increased</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( 1.9)</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Weight decreased</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11 ( 7.6)</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 ( 1.3)</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Nervous system disorders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10 ( 6.9)</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25 (15.6)</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Headache</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( 4.1)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( 8.8)</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Akathisia</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 ( 0.7)</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7 ( 4.4)</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General disorders and administration site conditions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( 4.1)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11 ( 6.9)</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Irritability</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 ( 0.6)</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Respiratory, thoracic and mediastinal disorders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 ( 3.4)</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( 3.8)</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Cough</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 ( 3.1)</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Metabolism and nutrition disorders</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8 ( 5.5)</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 ( 3.1)</w:t>
            </w:r>
          </w:p>
        </w:tc>
      </w:tr>
      <w:tr w:rsidR="00A7761D" w:rsidRPr="000F42D9" w:rsidTr="000359CC">
        <w:tc>
          <w:tcPr>
            <w:tcW w:w="4233" w:type="dxa"/>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Decreased appetite</w:t>
            </w:r>
          </w:p>
        </w:tc>
        <w:tc>
          <w:tcPr>
            <w:tcW w:w="1437"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 ( 2.1)</w:t>
            </w:r>
          </w:p>
        </w:tc>
        <w:tc>
          <w:tcPr>
            <w:tcW w:w="184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 ( 0.6)</w:t>
            </w:r>
          </w:p>
        </w:tc>
      </w:tr>
      <w:tr w:rsidR="00A7761D" w:rsidRPr="000F42D9" w:rsidTr="000359CC">
        <w:tc>
          <w:tcPr>
            <w:tcW w:w="4233" w:type="dxa"/>
            <w:tcBorders>
              <w:top w:val="nil"/>
              <w:left w:val="nil"/>
              <w:bottom w:val="single" w:sz="6" w:space="0" w:color="auto"/>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Hyperglycaemia</w:t>
            </w:r>
          </w:p>
        </w:tc>
        <w:tc>
          <w:tcPr>
            <w:tcW w:w="1437"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4 ( 2.8)</w:t>
            </w:r>
          </w:p>
        </w:tc>
        <w:tc>
          <w:tcPr>
            <w:tcW w:w="1843"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0</w:t>
            </w:r>
          </w:p>
        </w:tc>
      </w:tr>
      <w:tr w:rsidR="00A7761D" w:rsidRPr="00662662" w:rsidTr="000359CC">
        <w:trPr>
          <w:trHeight w:val="1035"/>
        </w:trPr>
        <w:tc>
          <w:tcPr>
            <w:tcW w:w="7513" w:type="dxa"/>
            <w:gridSpan w:val="3"/>
            <w:tcBorders>
              <w:top w:val="nil"/>
              <w:left w:val="nil"/>
              <w:right w:val="nil"/>
            </w:tcBorders>
          </w:tcPr>
          <w:p w:rsidR="00A7761D" w:rsidRPr="005D174A" w:rsidRDefault="00A7761D" w:rsidP="000359CC">
            <w:pPr>
              <w:autoSpaceDE w:val="0"/>
              <w:autoSpaceDN w:val="0"/>
              <w:rPr>
                <w:sz w:val="16"/>
                <w:szCs w:val="16"/>
              </w:rPr>
            </w:pPr>
            <w:r w:rsidRPr="005D174A">
              <w:rPr>
                <w:sz w:val="16"/>
                <w:szCs w:val="16"/>
              </w:rPr>
              <w:t xml:space="preserve">Note: Incidence is based on the number of subjects experiencing at least one adverse event, not the number of events. </w:t>
            </w:r>
          </w:p>
          <w:p w:rsidR="00A7761D" w:rsidRPr="005D174A" w:rsidRDefault="00A7761D" w:rsidP="002A2342">
            <w:pPr>
              <w:autoSpaceDE w:val="0"/>
              <w:autoSpaceDN w:val="0"/>
              <w:rPr>
                <w:sz w:val="16"/>
                <w:szCs w:val="16"/>
              </w:rPr>
            </w:pPr>
            <w:r w:rsidRPr="005D174A">
              <w:rPr>
                <w:sz w:val="16"/>
                <w:szCs w:val="16"/>
              </w:rPr>
              <w:t xml:space="preserve">Note: A subject in the </w:t>
            </w:r>
            <w:r w:rsidR="002A2342">
              <w:rPr>
                <w:sz w:val="16"/>
                <w:szCs w:val="16"/>
              </w:rPr>
              <w:t xml:space="preserve">INVEGA </w:t>
            </w:r>
            <w:proofErr w:type="gramStart"/>
            <w:r w:rsidR="002A2342">
              <w:rPr>
                <w:sz w:val="16"/>
                <w:szCs w:val="16"/>
              </w:rPr>
              <w:t xml:space="preserve">TRINZA </w:t>
            </w:r>
            <w:r w:rsidRPr="005D174A">
              <w:rPr>
                <w:sz w:val="16"/>
                <w:szCs w:val="16"/>
              </w:rPr>
              <w:t xml:space="preserve"> group</w:t>
            </w:r>
            <w:proofErr w:type="gramEnd"/>
            <w:r w:rsidRPr="005D174A">
              <w:rPr>
                <w:sz w:val="16"/>
                <w:szCs w:val="16"/>
              </w:rPr>
              <w:t xml:space="preserve"> had a TEAE of influenza (</w:t>
            </w:r>
            <w:proofErr w:type="spellStart"/>
            <w:r w:rsidRPr="005D174A">
              <w:rPr>
                <w:sz w:val="16"/>
                <w:szCs w:val="16"/>
              </w:rPr>
              <w:t>nonserious</w:t>
            </w:r>
            <w:proofErr w:type="spellEnd"/>
            <w:r w:rsidRPr="005D174A">
              <w:rPr>
                <w:sz w:val="16"/>
                <w:szCs w:val="16"/>
              </w:rPr>
              <w:t xml:space="preserve">) during the Double-blind Phase that was not entered in the database before database lock and thus could not be included in the summary table. </w:t>
            </w:r>
          </w:p>
        </w:tc>
      </w:tr>
      <w:tr w:rsidR="00A7761D" w:rsidRPr="00662662" w:rsidTr="000359CC">
        <w:tc>
          <w:tcPr>
            <w:tcW w:w="7513" w:type="dxa"/>
            <w:gridSpan w:val="3"/>
            <w:tcBorders>
              <w:top w:val="nil"/>
              <w:left w:val="nil"/>
              <w:bottom w:val="nil"/>
              <w:right w:val="nil"/>
            </w:tcBorders>
          </w:tcPr>
          <w:p w:rsidR="00A7761D" w:rsidRPr="005D174A" w:rsidRDefault="00A7761D" w:rsidP="000359CC">
            <w:pPr>
              <w:autoSpaceDE w:val="0"/>
              <w:autoSpaceDN w:val="0"/>
              <w:rPr>
                <w:sz w:val="16"/>
                <w:szCs w:val="16"/>
              </w:rPr>
            </w:pPr>
            <w:r w:rsidRPr="005D174A">
              <w:rPr>
                <w:sz w:val="16"/>
                <w:szCs w:val="16"/>
              </w:rPr>
              <w:t xml:space="preserve">Adverse events are coded using </w:t>
            </w:r>
            <w:proofErr w:type="spellStart"/>
            <w:r w:rsidRPr="005D174A">
              <w:rPr>
                <w:sz w:val="16"/>
                <w:szCs w:val="16"/>
              </w:rPr>
              <w:t>MedDRA</w:t>
            </w:r>
            <w:proofErr w:type="spellEnd"/>
            <w:r w:rsidRPr="005D174A">
              <w:rPr>
                <w:sz w:val="16"/>
                <w:szCs w:val="16"/>
              </w:rPr>
              <w:t xml:space="preserve"> version 16.0 </w:t>
            </w:r>
          </w:p>
        </w:tc>
      </w:tr>
      <w:tr w:rsidR="00A7761D" w:rsidRPr="00662662" w:rsidTr="000359CC">
        <w:tc>
          <w:tcPr>
            <w:tcW w:w="7513" w:type="dxa"/>
            <w:gridSpan w:val="3"/>
            <w:tcBorders>
              <w:top w:val="nil"/>
              <w:left w:val="nil"/>
              <w:bottom w:val="nil"/>
              <w:right w:val="nil"/>
            </w:tcBorders>
          </w:tcPr>
          <w:p w:rsidR="00A7761D" w:rsidRPr="005D174A" w:rsidRDefault="00A7761D" w:rsidP="000359CC">
            <w:pPr>
              <w:autoSpaceDE w:val="0"/>
              <w:autoSpaceDN w:val="0"/>
              <w:rPr>
                <w:sz w:val="16"/>
                <w:szCs w:val="16"/>
              </w:rPr>
            </w:pPr>
            <w:r w:rsidRPr="005D174A">
              <w:rPr>
                <w:sz w:val="16"/>
                <w:szCs w:val="16"/>
              </w:rPr>
              <w:t xml:space="preserve">tsfae03b_corr.rtf generated by tsfae03b_corr.sas, 05MAR2015 10:14 </w:t>
            </w:r>
          </w:p>
        </w:tc>
      </w:tr>
    </w:tbl>
    <w:p w:rsidR="00A7761D" w:rsidRDefault="00A7761D" w:rsidP="00A7761D"/>
    <w:p w:rsidR="00A7761D" w:rsidRDefault="00A7761D" w:rsidP="00A7761D"/>
    <w:p w:rsidR="00A7761D" w:rsidRDefault="00A7761D" w:rsidP="00A7761D"/>
    <w:p w:rsidR="00A7761D" w:rsidRDefault="00A7761D" w:rsidP="00A7761D"/>
    <w:p w:rsidR="00A7761D" w:rsidRDefault="00A7761D" w:rsidP="00A7761D"/>
    <w:p w:rsidR="00A7761D" w:rsidRDefault="00A7761D" w:rsidP="00A7761D"/>
    <w:p w:rsidR="00A7761D" w:rsidRDefault="00A7761D" w:rsidP="00A7761D"/>
    <w:p w:rsidR="00A7761D" w:rsidRDefault="00A7761D" w:rsidP="00A7761D">
      <w:pPr>
        <w:pStyle w:val="MarkforTOC"/>
      </w:pPr>
      <w:bookmarkStart w:id="60" w:name="_Ref448499005"/>
      <w:bookmarkStart w:id="61" w:name="_Toc449453632"/>
      <w:proofErr w:type="gramStart"/>
      <w:r>
        <w:rPr>
          <w:szCs w:val="24"/>
        </w:rPr>
        <w:lastRenderedPageBreak/>
        <w:t>Table  </w:t>
      </w:r>
      <w:proofErr w:type="gramEnd"/>
      <w:r w:rsidR="00317724">
        <w:fldChar w:fldCharType="begin"/>
      </w:r>
      <w:r w:rsidR="00317724">
        <w:instrText xml:space="preserve"> SEQ Attachment \* ARABIC </w:instrText>
      </w:r>
      <w:r w:rsidR="00317724">
        <w:fldChar w:fldCharType="separate"/>
      </w:r>
      <w:r w:rsidR="00C27F37">
        <w:rPr>
          <w:noProof/>
        </w:rPr>
        <w:t>2</w:t>
      </w:r>
      <w:r w:rsidR="00317724">
        <w:rPr>
          <w:noProof/>
        </w:rPr>
        <w:fldChar w:fldCharType="end"/>
      </w:r>
      <w:bookmarkEnd w:id="60"/>
      <w:r>
        <w:t>:</w:t>
      </w:r>
      <w:r>
        <w:tab/>
      </w:r>
      <w:r>
        <w:rPr>
          <w:szCs w:val="24"/>
        </w:rPr>
        <w:t>T</w:t>
      </w:r>
      <w:r>
        <w:t xml:space="preserve">reatment-Emergent Adverse Events in at Least 2% of Subjects in Either Treatment Group by </w:t>
      </w:r>
      <w:proofErr w:type="spellStart"/>
      <w:r>
        <w:t>MedDRA</w:t>
      </w:r>
      <w:proofErr w:type="spellEnd"/>
      <w:r>
        <w:t xml:space="preserve"> System Organ Class and Preferred Term During the Double-blind Phase (Study PSY-3011)</w:t>
      </w:r>
      <w:bookmarkEnd w:id="61"/>
    </w:p>
    <w:p w:rsidR="00A7761D" w:rsidRDefault="00A7761D" w:rsidP="00A7761D">
      <w:pPr>
        <w:pStyle w:val="Basic11"/>
      </w:pPr>
    </w:p>
    <w:tbl>
      <w:tblPr>
        <w:tblW w:w="0" w:type="auto"/>
        <w:tblLayout w:type="fixed"/>
        <w:tblCellMar>
          <w:left w:w="0" w:type="dxa"/>
          <w:right w:w="0" w:type="dxa"/>
        </w:tblCellMar>
        <w:tblLook w:val="0000" w:firstRow="0" w:lastRow="0" w:firstColumn="0" w:lastColumn="0" w:noHBand="0" w:noVBand="0"/>
      </w:tblPr>
      <w:tblGrid>
        <w:gridCol w:w="142"/>
        <w:gridCol w:w="4091"/>
        <w:gridCol w:w="1394"/>
        <w:gridCol w:w="1753"/>
        <w:gridCol w:w="360"/>
        <w:gridCol w:w="1899"/>
      </w:tblGrid>
      <w:tr w:rsidR="00A7761D" w:rsidRPr="00D84602" w:rsidTr="00553C06">
        <w:trPr>
          <w:gridAfter w:val="2"/>
          <w:wAfter w:w="2259" w:type="dxa"/>
        </w:trPr>
        <w:tc>
          <w:tcPr>
            <w:tcW w:w="4233" w:type="dxa"/>
            <w:gridSpan w:val="2"/>
            <w:tcBorders>
              <w:top w:val="single" w:sz="6" w:space="0" w:color="auto"/>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single" w:sz="6" w:space="0" w:color="auto"/>
              <w:left w:val="nil"/>
              <w:bottom w:val="nil"/>
              <w:right w:val="nil"/>
            </w:tcBorders>
          </w:tcPr>
          <w:p w:rsidR="00A7761D" w:rsidRPr="000F42D9" w:rsidRDefault="002A2342" w:rsidP="000359CC">
            <w:pPr>
              <w:widowControl w:val="0"/>
              <w:autoSpaceDE w:val="0"/>
              <w:autoSpaceDN w:val="0"/>
              <w:adjustRightInd w:val="0"/>
              <w:spacing w:before="20" w:after="10"/>
              <w:jc w:val="center"/>
              <w:rPr>
                <w:sz w:val="20"/>
                <w:szCs w:val="20"/>
              </w:rPr>
            </w:pPr>
            <w:r>
              <w:rPr>
                <w:sz w:val="20"/>
                <w:szCs w:val="20"/>
              </w:rPr>
              <w:t>INVEGA TRINZA</w:t>
            </w:r>
          </w:p>
        </w:tc>
        <w:tc>
          <w:tcPr>
            <w:tcW w:w="1753" w:type="dxa"/>
            <w:tcBorders>
              <w:top w:val="single" w:sz="6" w:space="0" w:color="auto"/>
              <w:left w:val="nil"/>
              <w:bottom w:val="nil"/>
              <w:right w:val="nil"/>
            </w:tcBorders>
          </w:tcPr>
          <w:p w:rsidR="00A7761D" w:rsidRPr="000F42D9" w:rsidRDefault="00552223" w:rsidP="000359CC">
            <w:pPr>
              <w:widowControl w:val="0"/>
              <w:autoSpaceDE w:val="0"/>
              <w:autoSpaceDN w:val="0"/>
              <w:adjustRightInd w:val="0"/>
              <w:spacing w:before="20" w:after="10"/>
              <w:jc w:val="center"/>
              <w:rPr>
                <w:sz w:val="20"/>
                <w:szCs w:val="20"/>
              </w:rPr>
            </w:pPr>
            <w:r w:rsidRPr="00592EA7">
              <w:rPr>
                <w:sz w:val="20"/>
                <w:szCs w:val="20"/>
              </w:rPr>
              <w:t>1-month paliperidone palmitate injectable product</w:t>
            </w:r>
          </w:p>
        </w:tc>
      </w:tr>
      <w:tr w:rsidR="00A7761D" w:rsidRPr="00D84602" w:rsidTr="00553C06">
        <w:trPr>
          <w:gridAfter w:val="2"/>
          <w:wAfter w:w="225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Body System Or Organ Class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(N=504)</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(N=512)</w:t>
            </w:r>
          </w:p>
        </w:tc>
      </w:tr>
      <w:tr w:rsidR="00A7761D" w:rsidRPr="00D84602" w:rsidTr="00553C06">
        <w:trPr>
          <w:gridAfter w:val="2"/>
          <w:wAfter w:w="2259" w:type="dxa"/>
        </w:trPr>
        <w:tc>
          <w:tcPr>
            <w:tcW w:w="4233" w:type="dxa"/>
            <w:gridSpan w:val="2"/>
            <w:tcBorders>
              <w:top w:val="nil"/>
              <w:left w:val="nil"/>
              <w:bottom w:val="single" w:sz="6" w:space="0" w:color="auto"/>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Dictionary-Derived Term</w:t>
            </w:r>
          </w:p>
        </w:tc>
        <w:tc>
          <w:tcPr>
            <w:tcW w:w="1394"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proofErr w:type="gramStart"/>
            <w:r w:rsidRPr="000F42D9">
              <w:rPr>
                <w:sz w:val="20"/>
                <w:szCs w:val="20"/>
              </w:rPr>
              <w:t>n</w:t>
            </w:r>
            <w:proofErr w:type="gramEnd"/>
            <w:r w:rsidRPr="000F42D9">
              <w:rPr>
                <w:sz w:val="20"/>
                <w:szCs w:val="20"/>
              </w:rPr>
              <w:t xml:space="preserve"> (%)</w:t>
            </w:r>
          </w:p>
        </w:tc>
        <w:tc>
          <w:tcPr>
            <w:tcW w:w="1753"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proofErr w:type="gramStart"/>
            <w:r w:rsidRPr="000F42D9">
              <w:rPr>
                <w:sz w:val="20"/>
                <w:szCs w:val="20"/>
              </w:rPr>
              <w:t>n</w:t>
            </w:r>
            <w:proofErr w:type="gramEnd"/>
            <w:r w:rsidRPr="000F42D9">
              <w:rPr>
                <w:sz w:val="20"/>
                <w:szCs w:val="20"/>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Total no. subjects with adverse events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342 (67.9)</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340 (66.4)</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Investigations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143 (28.4)</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152 (29.7)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Weight increased</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105 (20.8)</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109 (21.3)</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Weight decreased</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( 2.8)</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( 2.7)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Psychiatric disorders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89 (17.7)</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85 (16.6)</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Anxiety</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27 ( 5.4)</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24 ( 4.7)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Schizophrenia</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18 ( 3.6)</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( 2.7)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Insomnia</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16 ( 3.2)</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24 ( 4.7)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Depression</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11 ( 2.2)</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( 1.2)</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Infections and infestations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82 (16.3)</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81 (15.8)</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Nasopharyngitis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36 ( 7.1)</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33 ( 6.4)</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Nervous system disorders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66 (13.1)</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67 (13.1)</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Akathisia</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20 ( 4.0)</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( 2.7)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Headache</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18 ( 3.6)</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26 ( 5.1)</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General disorders and administration site conditions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51 (10.1)</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35 ( 6.8)</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Injection site induration</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( 2.8)</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( 1.2)</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Injection site pain</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12 ( 2.4)</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14 ( 2.7)</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Fatigue</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10 ( 2.0)</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5 ( 1.0)</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Gastrointestinal disorders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49 ( 9.7)</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40 ( 7.8)</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Diarrhoea</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10 ( 2.0)</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6 ( 1.2)</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Metabolism and nutrition disorders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22 ( 4.4)</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22 ( 4.3)</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Hyperglycaemia</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4 ( 0.8)</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10 ( 2.0)</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nil"/>
              <w:right w:val="nil"/>
            </w:tcBorders>
          </w:tcPr>
          <w:p w:rsidR="00A7761D" w:rsidRPr="000F42D9" w:rsidRDefault="00A7761D" w:rsidP="000359CC">
            <w:pPr>
              <w:autoSpaceDE w:val="0"/>
              <w:autoSpaceDN w:val="0"/>
              <w:spacing w:before="20" w:after="10"/>
              <w:rPr>
                <w:sz w:val="20"/>
                <w:szCs w:val="20"/>
              </w:rPr>
            </w:pPr>
            <w:r w:rsidRPr="000F42D9">
              <w:rPr>
                <w:b/>
                <w:bCs/>
                <w:sz w:val="20"/>
                <w:szCs w:val="20"/>
              </w:rPr>
              <w:t>Vascular disorders</w:t>
            </w:r>
          </w:p>
        </w:tc>
        <w:tc>
          <w:tcPr>
            <w:tcW w:w="1394"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18 ( 3.6)</w:t>
            </w:r>
          </w:p>
        </w:tc>
        <w:tc>
          <w:tcPr>
            <w:tcW w:w="1753" w:type="dxa"/>
            <w:tcBorders>
              <w:top w:val="nil"/>
              <w:left w:val="nil"/>
              <w:bottom w:val="nil"/>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12 ( 2.3)</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1"/>
          <w:wAfter w:w="1899" w:type="dxa"/>
        </w:trPr>
        <w:tc>
          <w:tcPr>
            <w:tcW w:w="4233" w:type="dxa"/>
            <w:gridSpan w:val="2"/>
            <w:tcBorders>
              <w:top w:val="nil"/>
              <w:left w:val="nil"/>
              <w:bottom w:val="single" w:sz="6" w:space="0" w:color="auto"/>
              <w:right w:val="nil"/>
            </w:tcBorders>
          </w:tcPr>
          <w:p w:rsidR="00A7761D" w:rsidRPr="000F42D9" w:rsidRDefault="00A7761D" w:rsidP="000359CC">
            <w:pPr>
              <w:autoSpaceDE w:val="0"/>
              <w:autoSpaceDN w:val="0"/>
              <w:spacing w:before="20" w:after="10"/>
              <w:rPr>
                <w:sz w:val="20"/>
                <w:szCs w:val="20"/>
              </w:rPr>
            </w:pPr>
            <w:r w:rsidRPr="000F42D9">
              <w:rPr>
                <w:sz w:val="20"/>
                <w:szCs w:val="20"/>
              </w:rPr>
              <w:t xml:space="preserve"> Hypertension</w:t>
            </w:r>
          </w:p>
        </w:tc>
        <w:tc>
          <w:tcPr>
            <w:tcW w:w="1394"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12 ( 2.4)</w:t>
            </w:r>
          </w:p>
        </w:tc>
        <w:tc>
          <w:tcPr>
            <w:tcW w:w="1753" w:type="dxa"/>
            <w:tcBorders>
              <w:top w:val="nil"/>
              <w:left w:val="nil"/>
              <w:bottom w:val="single" w:sz="6" w:space="0" w:color="auto"/>
              <w:right w:val="nil"/>
            </w:tcBorders>
          </w:tcPr>
          <w:p w:rsidR="00A7761D" w:rsidRPr="000F42D9" w:rsidRDefault="00A7761D" w:rsidP="000359CC">
            <w:pPr>
              <w:widowControl w:val="0"/>
              <w:autoSpaceDE w:val="0"/>
              <w:autoSpaceDN w:val="0"/>
              <w:adjustRightInd w:val="0"/>
              <w:spacing w:before="20" w:after="10"/>
              <w:jc w:val="center"/>
              <w:rPr>
                <w:sz w:val="20"/>
                <w:szCs w:val="20"/>
              </w:rPr>
            </w:pPr>
            <w:r w:rsidRPr="000F42D9">
              <w:rPr>
                <w:sz w:val="20"/>
                <w:szCs w:val="20"/>
              </w:rPr>
              <w:t>7 ( 1.4)</w:t>
            </w:r>
          </w:p>
        </w:tc>
        <w:tc>
          <w:tcPr>
            <w:tcW w:w="360" w:type="dxa"/>
          </w:tcPr>
          <w:p w:rsidR="00A7761D" w:rsidRPr="00D84602" w:rsidRDefault="00A7761D" w:rsidP="000359CC">
            <w:pPr>
              <w:rPr>
                <w:sz w:val="18"/>
                <w:szCs w:val="18"/>
              </w:rPr>
            </w:pPr>
            <w:r w:rsidRPr="00D84602">
              <w:rPr>
                <w:sz w:val="18"/>
                <w:szCs w:val="18"/>
              </w:rPr>
              <w:t xml:space="preserve">  </w:t>
            </w:r>
          </w:p>
        </w:tc>
      </w:tr>
      <w:tr w:rsidR="00A7761D" w:rsidRPr="00D84602" w:rsidTr="00553C06">
        <w:trPr>
          <w:gridAfter w:val="2"/>
          <w:wAfter w:w="2259" w:type="dxa"/>
        </w:trPr>
        <w:tc>
          <w:tcPr>
            <w:tcW w:w="7380" w:type="dxa"/>
            <w:gridSpan w:val="4"/>
            <w:tcBorders>
              <w:top w:val="nil"/>
              <w:left w:val="nil"/>
              <w:bottom w:val="nil"/>
              <w:right w:val="nil"/>
            </w:tcBorders>
          </w:tcPr>
          <w:p w:rsidR="00A7761D" w:rsidRPr="00D84602" w:rsidRDefault="00A7761D" w:rsidP="000359CC">
            <w:pPr>
              <w:autoSpaceDE w:val="0"/>
              <w:autoSpaceDN w:val="0"/>
              <w:rPr>
                <w:sz w:val="18"/>
                <w:szCs w:val="18"/>
              </w:rPr>
            </w:pPr>
            <w:r w:rsidRPr="00D84602">
              <w:rPr>
                <w:sz w:val="18"/>
                <w:szCs w:val="18"/>
              </w:rPr>
              <w:t xml:space="preserve">Note: Incidence is based on the number of subjects experiencing at least one adverse event, not the number of events. </w:t>
            </w:r>
          </w:p>
        </w:tc>
      </w:tr>
      <w:tr w:rsidR="00A7761D" w:rsidRPr="00D84602" w:rsidTr="00553C06">
        <w:trPr>
          <w:gridAfter w:val="2"/>
          <w:wAfter w:w="2259" w:type="dxa"/>
        </w:trPr>
        <w:tc>
          <w:tcPr>
            <w:tcW w:w="7380" w:type="dxa"/>
            <w:gridSpan w:val="4"/>
            <w:tcBorders>
              <w:top w:val="nil"/>
              <w:left w:val="nil"/>
              <w:bottom w:val="nil"/>
              <w:right w:val="nil"/>
            </w:tcBorders>
          </w:tcPr>
          <w:p w:rsidR="00A7761D" w:rsidRPr="00D84602" w:rsidRDefault="00A7761D" w:rsidP="000359CC">
            <w:pPr>
              <w:autoSpaceDE w:val="0"/>
              <w:autoSpaceDN w:val="0"/>
              <w:rPr>
                <w:sz w:val="18"/>
                <w:szCs w:val="18"/>
              </w:rPr>
            </w:pPr>
            <w:r w:rsidRPr="00D84602">
              <w:rPr>
                <w:sz w:val="18"/>
                <w:szCs w:val="18"/>
              </w:rPr>
              <w:t xml:space="preserve">Adverse events are coded using </w:t>
            </w:r>
            <w:proofErr w:type="spellStart"/>
            <w:r w:rsidRPr="00D84602">
              <w:rPr>
                <w:sz w:val="18"/>
                <w:szCs w:val="18"/>
              </w:rPr>
              <w:t>MedDRA</w:t>
            </w:r>
            <w:proofErr w:type="spellEnd"/>
            <w:r w:rsidRPr="00D84602">
              <w:rPr>
                <w:sz w:val="18"/>
                <w:szCs w:val="18"/>
              </w:rPr>
              <w:t xml:space="preserve"> version 17.1 </w:t>
            </w:r>
          </w:p>
        </w:tc>
      </w:tr>
      <w:tr w:rsidR="00A7761D" w:rsidRPr="00D84602" w:rsidTr="00553C06">
        <w:trPr>
          <w:gridAfter w:val="2"/>
          <w:wAfter w:w="2259" w:type="dxa"/>
        </w:trPr>
        <w:tc>
          <w:tcPr>
            <w:tcW w:w="7380" w:type="dxa"/>
            <w:gridSpan w:val="4"/>
            <w:tcBorders>
              <w:top w:val="nil"/>
              <w:left w:val="nil"/>
              <w:bottom w:val="nil"/>
              <w:right w:val="nil"/>
            </w:tcBorders>
          </w:tcPr>
          <w:p w:rsidR="00A7761D" w:rsidRPr="00D84602" w:rsidRDefault="00A7761D" w:rsidP="000359CC">
            <w:pPr>
              <w:autoSpaceDE w:val="0"/>
              <w:autoSpaceDN w:val="0"/>
              <w:rPr>
                <w:sz w:val="18"/>
                <w:szCs w:val="18"/>
              </w:rPr>
            </w:pPr>
            <w:r w:rsidRPr="00D84602">
              <w:rPr>
                <w:sz w:val="16"/>
                <w:szCs w:val="16"/>
              </w:rPr>
              <w:t>tsfae31b.rtf generated by tsfae31b.sas, 10MAR2015 13:18</w:t>
            </w:r>
            <w:r w:rsidRPr="00D84602">
              <w:rPr>
                <w:sz w:val="18"/>
                <w:szCs w:val="18"/>
              </w:rPr>
              <w:t xml:space="preserve"> </w:t>
            </w:r>
          </w:p>
        </w:tc>
      </w:tr>
      <w:tr w:rsidR="00A7761D" w:rsidRPr="00C23104" w:rsidTr="00553C06">
        <w:trPr>
          <w:gridBefore w:val="1"/>
          <w:wBefore w:w="142" w:type="dxa"/>
        </w:trPr>
        <w:tc>
          <w:tcPr>
            <w:tcW w:w="9497" w:type="dxa"/>
            <w:gridSpan w:val="5"/>
          </w:tcPr>
          <w:p w:rsidR="00A7761D" w:rsidRPr="00C23104" w:rsidRDefault="00A7761D" w:rsidP="000359CC">
            <w:pPr>
              <w:pStyle w:val="TableFootnote"/>
              <w:tabs>
                <w:tab w:val="clear" w:pos="360"/>
              </w:tabs>
              <w:ind w:left="91" w:firstLine="0"/>
              <w:rPr>
                <w:rFonts w:eastAsia="Calibri"/>
                <w:bCs/>
                <w:color w:val="FF0000"/>
                <w:sz w:val="20"/>
              </w:rPr>
            </w:pPr>
          </w:p>
        </w:tc>
      </w:tr>
      <w:tr w:rsidR="00A7761D" w:rsidRPr="00A600A0" w:rsidTr="00553C06">
        <w:trPr>
          <w:gridBefore w:val="1"/>
          <w:wBefore w:w="142" w:type="dxa"/>
        </w:trPr>
        <w:tc>
          <w:tcPr>
            <w:tcW w:w="9497" w:type="dxa"/>
            <w:gridSpan w:val="5"/>
          </w:tcPr>
          <w:p w:rsidR="00A7761D" w:rsidRPr="00A600A0" w:rsidRDefault="00A7761D" w:rsidP="000359CC">
            <w:pPr>
              <w:rPr>
                <w:sz w:val="20"/>
                <w:szCs w:val="20"/>
              </w:rPr>
            </w:pPr>
          </w:p>
        </w:tc>
      </w:tr>
    </w:tbl>
    <w:p w:rsidR="00553C06" w:rsidRDefault="00553C06" w:rsidP="007019AD">
      <w:pPr>
        <w:autoSpaceDE w:val="0"/>
        <w:autoSpaceDN w:val="0"/>
        <w:adjustRightInd w:val="0"/>
        <w:rPr>
          <w:b/>
        </w:rPr>
      </w:pPr>
    </w:p>
    <w:p w:rsidR="00553C06" w:rsidRDefault="00553C06">
      <w:pPr>
        <w:rPr>
          <w:b/>
        </w:rPr>
      </w:pPr>
      <w:r>
        <w:rPr>
          <w:b/>
        </w:rPr>
        <w:br w:type="page"/>
      </w:r>
    </w:p>
    <w:p w:rsidR="007019AD" w:rsidRDefault="007019AD" w:rsidP="007019AD">
      <w:pPr>
        <w:autoSpaceDE w:val="0"/>
        <w:autoSpaceDN w:val="0"/>
        <w:adjustRightInd w:val="0"/>
        <w:rPr>
          <w:b/>
        </w:rPr>
      </w:pPr>
      <w:r w:rsidRPr="00374DC2">
        <w:rPr>
          <w:b/>
        </w:rPr>
        <w:lastRenderedPageBreak/>
        <w:t xml:space="preserve">Pain Assessment and Local Injection Site Reaction </w:t>
      </w:r>
    </w:p>
    <w:p w:rsidR="00553C06" w:rsidRPr="00374DC2" w:rsidRDefault="00553C06" w:rsidP="007019AD">
      <w:pPr>
        <w:autoSpaceDE w:val="0"/>
        <w:autoSpaceDN w:val="0"/>
        <w:adjustRightInd w:val="0"/>
        <w:rPr>
          <w:b/>
        </w:rPr>
      </w:pPr>
    </w:p>
    <w:p w:rsidR="007019AD" w:rsidRPr="00374DC2" w:rsidRDefault="007019AD" w:rsidP="007019AD">
      <w:pPr>
        <w:autoSpaceDE w:val="0"/>
        <w:autoSpaceDN w:val="0"/>
        <w:adjustRightInd w:val="0"/>
        <w:jc w:val="both"/>
      </w:pPr>
      <w:r w:rsidRPr="00374DC2">
        <w:t xml:space="preserve">In the long-term relapse prevention trial of INVEGA TRINZA in subjects with schizophrenia, the mean intensity of pain reported by subjects using a visual </w:t>
      </w:r>
      <w:proofErr w:type="spellStart"/>
      <w:r w:rsidRPr="00374DC2">
        <w:t>analog</w:t>
      </w:r>
      <w:proofErr w:type="spellEnd"/>
      <w:r w:rsidRPr="00374DC2">
        <w:t xml:space="preserve"> scale (0 = no pain to 100 = unbearable pain) was 16.0 for the single INVEGA TRINZA injection during the Open-label Maintenance Phase. The mean intensity of pain for INVEGA TRINZA injections was 15.8 at double-blind baseline and 15.1 at double-blind endpoint. Blinded investigators’ evaluation of the injection site for induration, redness and swelling was performed over time during the Double-blind Phase. The level of redness was generally similar between the Placebo and INVEGA TRINZA groups (</w:t>
      </w:r>
      <w:proofErr w:type="spellStart"/>
      <w:r w:rsidRPr="00374DC2">
        <w:t>ie</w:t>
      </w:r>
      <w:proofErr w:type="spellEnd"/>
      <w:r w:rsidRPr="00374DC2">
        <w:t xml:space="preserve">, redness being absent in 100% and ≥98% of subjects, respectively) over time. The occurrence of swelling was similar between the Placebo and INVEGA TRINZA groups (absent in ≥99% in each group) over time. Induration was absent during the entire Double-blind Phase for both groups. </w:t>
      </w:r>
    </w:p>
    <w:p w:rsidR="007019AD" w:rsidRPr="00374DC2" w:rsidRDefault="007019AD" w:rsidP="007019AD">
      <w:pPr>
        <w:autoSpaceDE w:val="0"/>
        <w:autoSpaceDN w:val="0"/>
        <w:adjustRightInd w:val="0"/>
      </w:pPr>
    </w:p>
    <w:p w:rsidR="007019AD" w:rsidRDefault="007019AD" w:rsidP="00374DC2">
      <w:pPr>
        <w:autoSpaceDE w:val="0"/>
        <w:autoSpaceDN w:val="0"/>
        <w:adjustRightInd w:val="0"/>
        <w:jc w:val="both"/>
      </w:pPr>
      <w:r w:rsidRPr="00374DC2">
        <w:t>In the long term non-inferiority study, the mean intensity of pain reported by subjects ranged from14.0 to 19.5 in subjects who received INVEGA TRINZA injections, and 14.9 to 18.4 in subjects who received 1-month paliperidone palmitate injections during the Double-blind Phase. Blinded investigators’ evaluation of the injection site for induration, redness and swelling was performed over time during the Double-blind Phase. Induration, redness, and swelling were observed in ≤5% of subjects in both treatment groups and were mostly mild in nature. The level of induration, redness and swelling was generally similar between the INVEGA TRINZA and 1-month paliperidone palmitate groups over time.</w:t>
      </w:r>
    </w:p>
    <w:p w:rsidR="00374DC2" w:rsidRDefault="00374DC2" w:rsidP="00374DC2">
      <w:pPr>
        <w:autoSpaceDE w:val="0"/>
        <w:autoSpaceDN w:val="0"/>
        <w:adjustRightInd w:val="0"/>
        <w:jc w:val="both"/>
      </w:pPr>
    </w:p>
    <w:p w:rsidR="00C5649A" w:rsidRPr="0085714B" w:rsidRDefault="00C5649A" w:rsidP="00C5649A">
      <w:pPr>
        <w:keepNext/>
        <w:autoSpaceDE w:val="0"/>
        <w:autoSpaceDN w:val="0"/>
        <w:adjustRightInd w:val="0"/>
      </w:pPr>
      <w:r w:rsidRPr="0085714B">
        <w:rPr>
          <w:b/>
          <w:bCs/>
        </w:rPr>
        <w:t xml:space="preserve">Other Adverse Reactions Observed During the Clinical Trial Evaluation of Paliperidone and/or Risperidone </w:t>
      </w:r>
    </w:p>
    <w:p w:rsidR="00C5649A" w:rsidRPr="00374DC2" w:rsidRDefault="00C5649A" w:rsidP="00374DC2">
      <w:pPr>
        <w:pStyle w:val="BodyText120"/>
        <w:rPr>
          <w:rFonts w:ascii="Arial" w:hAnsi="Arial" w:cs="Arial"/>
          <w:color w:val="000000"/>
          <w:sz w:val="22"/>
          <w:szCs w:val="22"/>
        </w:rPr>
      </w:pPr>
      <w:proofErr w:type="spellStart"/>
      <w:r w:rsidRPr="0085714B">
        <w:rPr>
          <w:rFonts w:ascii="Arial" w:hAnsi="Arial" w:cs="Arial"/>
          <w:color w:val="000000"/>
          <w:sz w:val="22"/>
          <w:szCs w:val="22"/>
        </w:rPr>
        <w:t>Pa</w:t>
      </w:r>
      <w:r w:rsidR="00AB1A56">
        <w:rPr>
          <w:rFonts w:ascii="Arial" w:hAnsi="Arial" w:cs="Arial"/>
          <w:color w:val="000000"/>
          <w:sz w:val="22"/>
          <w:szCs w:val="22"/>
        </w:rPr>
        <w:t>liperidone</w:t>
      </w:r>
      <w:proofErr w:type="spellEnd"/>
      <w:r w:rsidR="00AB1A56">
        <w:rPr>
          <w:rFonts w:ascii="Arial" w:hAnsi="Arial" w:cs="Arial"/>
          <w:color w:val="000000"/>
          <w:sz w:val="22"/>
          <w:szCs w:val="22"/>
        </w:rPr>
        <w:t xml:space="preserve"> palmitate is </w:t>
      </w:r>
      <w:proofErr w:type="spellStart"/>
      <w:r w:rsidR="00AB1A56">
        <w:rPr>
          <w:rFonts w:ascii="Arial" w:hAnsi="Arial" w:cs="Arial"/>
          <w:color w:val="000000"/>
          <w:sz w:val="22"/>
          <w:szCs w:val="22"/>
        </w:rPr>
        <w:t>hydrolys</w:t>
      </w:r>
      <w:r w:rsidRPr="0085714B">
        <w:rPr>
          <w:rFonts w:ascii="Arial" w:hAnsi="Arial" w:cs="Arial"/>
          <w:color w:val="000000"/>
          <w:sz w:val="22"/>
          <w:szCs w:val="22"/>
        </w:rPr>
        <w:t>ed</w:t>
      </w:r>
      <w:proofErr w:type="spellEnd"/>
      <w:r w:rsidRPr="0085714B">
        <w:rPr>
          <w:rFonts w:ascii="Arial" w:hAnsi="Arial" w:cs="Arial"/>
          <w:color w:val="000000"/>
          <w:sz w:val="22"/>
          <w:szCs w:val="22"/>
        </w:rPr>
        <w:t xml:space="preserve"> to </w:t>
      </w:r>
      <w:proofErr w:type="spellStart"/>
      <w:r w:rsidRPr="0085714B">
        <w:rPr>
          <w:rFonts w:ascii="Arial" w:hAnsi="Arial" w:cs="Arial"/>
          <w:color w:val="000000"/>
          <w:sz w:val="22"/>
          <w:szCs w:val="22"/>
        </w:rPr>
        <w:t>paliperidone</w:t>
      </w:r>
      <w:proofErr w:type="spellEnd"/>
      <w:r w:rsidRPr="0085714B">
        <w:rPr>
          <w:rFonts w:ascii="Arial" w:hAnsi="Arial" w:cs="Arial"/>
          <w:color w:val="000000"/>
          <w:sz w:val="22"/>
          <w:szCs w:val="22"/>
        </w:rPr>
        <w:t xml:space="preserve">. Paliperidone is the active metabolite of </w:t>
      </w:r>
      <w:proofErr w:type="gramStart"/>
      <w:r w:rsidRPr="0085714B">
        <w:rPr>
          <w:rFonts w:ascii="Arial" w:hAnsi="Arial" w:cs="Arial"/>
          <w:color w:val="000000"/>
          <w:sz w:val="22"/>
          <w:szCs w:val="22"/>
        </w:rPr>
        <w:t>risperidone,</w:t>
      </w:r>
      <w:proofErr w:type="gramEnd"/>
      <w:r w:rsidRPr="0085714B">
        <w:rPr>
          <w:rFonts w:ascii="Arial" w:hAnsi="Arial" w:cs="Arial"/>
          <w:color w:val="000000"/>
          <w:sz w:val="22"/>
          <w:szCs w:val="22"/>
        </w:rPr>
        <w:t xml:space="preserve"> therefore, the adverse reaction profiles of these compounds (including both the oral and injectable formulations) are relevant to one another. This subsection includes additional adverse reactions reported with paliperidone and/or risperidone in clinical trials. Table 3 lists adverse reactions that were reported with paliperidone and/or risperidone by frequency category estimated from subjects who received at least one injection of INVEGA TRINZA in two long-term, double-blind clinical trials. The following terms and frequencies are applied: very common (≥ 1/10), common (≥ 1/100 to &lt; 1/10), uncommon (≥ 1/1,000 to &lt; 1/100), rare (≥ 1/10,000 to &lt; 1/1,000), very rare (&lt; 1/10,000), and not known (cannot be estimated from the available data).</w:t>
      </w:r>
    </w:p>
    <w:p w:rsidR="006D27EB" w:rsidRPr="006D27EB" w:rsidRDefault="006D27EB" w:rsidP="006D27EB">
      <w:pPr>
        <w:autoSpaceDE w:val="0"/>
        <w:autoSpaceDN w:val="0"/>
        <w:adjustRightInd w:val="0"/>
        <w:rPr>
          <w:b/>
          <w:bCs/>
          <w:color w:val="auto"/>
          <w:sz w:val="20"/>
          <w:szCs w:val="20"/>
          <w:lang w:val="en-US"/>
        </w:rPr>
      </w:pPr>
      <w:r w:rsidRPr="006D27EB">
        <w:rPr>
          <w:b/>
          <w:bCs/>
          <w:color w:val="auto"/>
          <w:sz w:val="20"/>
          <w:szCs w:val="20"/>
          <w:lang w:val="en-US"/>
        </w:rPr>
        <w:t>Table 3: Adverse Reactions Reported with Paliperidone and/or Risperidone, Reported in Subjects</w:t>
      </w:r>
    </w:p>
    <w:p w:rsidR="00C5649A" w:rsidRDefault="006D27EB" w:rsidP="006D27EB">
      <w:pPr>
        <w:autoSpaceDE w:val="0"/>
        <w:autoSpaceDN w:val="0"/>
        <w:adjustRightInd w:val="0"/>
        <w:ind w:left="709" w:firstLine="11"/>
        <w:rPr>
          <w:b/>
          <w:bCs/>
          <w:color w:val="auto"/>
          <w:sz w:val="20"/>
          <w:szCs w:val="20"/>
          <w:lang w:val="en-US"/>
        </w:rPr>
      </w:pPr>
      <w:r w:rsidRPr="006D27EB">
        <w:rPr>
          <w:b/>
          <w:bCs/>
          <w:color w:val="auto"/>
          <w:sz w:val="20"/>
          <w:szCs w:val="20"/>
          <w:lang w:val="en-US"/>
        </w:rPr>
        <w:t>who Received at Least One Injection of INVEGA TRINZA in two Long-ter</w:t>
      </w:r>
      <w:r>
        <w:rPr>
          <w:b/>
          <w:bCs/>
          <w:color w:val="auto"/>
          <w:sz w:val="20"/>
          <w:szCs w:val="20"/>
          <w:lang w:val="en-US"/>
        </w:rPr>
        <w:t xml:space="preserve">m, Double-blind </w:t>
      </w:r>
      <w:r w:rsidRPr="006D27EB">
        <w:rPr>
          <w:b/>
          <w:bCs/>
          <w:color w:val="auto"/>
          <w:sz w:val="20"/>
          <w:szCs w:val="20"/>
          <w:lang w:val="en-US"/>
        </w:rPr>
        <w:t>Clinical</w:t>
      </w:r>
      <w:r>
        <w:rPr>
          <w:b/>
          <w:bCs/>
          <w:color w:val="auto"/>
          <w:sz w:val="20"/>
          <w:szCs w:val="20"/>
          <w:lang w:val="en-US"/>
        </w:rPr>
        <w:t xml:space="preserve"> </w:t>
      </w:r>
      <w:r w:rsidRPr="006D27EB">
        <w:rPr>
          <w:b/>
          <w:bCs/>
          <w:color w:val="auto"/>
          <w:sz w:val="20"/>
          <w:szCs w:val="20"/>
          <w:lang w:val="en-US"/>
        </w:rPr>
        <w:t xml:space="preserve">Trials (Not already Listed in Table 1, Table 2, or the </w:t>
      </w:r>
      <w:proofErr w:type="spellStart"/>
      <w:r w:rsidRPr="006D27EB">
        <w:rPr>
          <w:b/>
          <w:bCs/>
          <w:color w:val="auto"/>
          <w:sz w:val="20"/>
          <w:szCs w:val="20"/>
          <w:lang w:val="en-US"/>
        </w:rPr>
        <w:t>Postmarketing</w:t>
      </w:r>
      <w:proofErr w:type="spellEnd"/>
      <w:r w:rsidRPr="006D27EB">
        <w:rPr>
          <w:b/>
          <w:bCs/>
          <w:color w:val="auto"/>
          <w:sz w:val="20"/>
          <w:szCs w:val="20"/>
          <w:lang w:val="en-US"/>
        </w:rPr>
        <w:t xml:space="preserve"> Data section)</w:t>
      </w:r>
    </w:p>
    <w:p w:rsidR="006D27EB" w:rsidRDefault="006D27EB" w:rsidP="006D27EB">
      <w:pPr>
        <w:autoSpaceDE w:val="0"/>
        <w:autoSpaceDN w:val="0"/>
        <w:adjustRightInd w:val="0"/>
        <w:ind w:left="709" w:firstLine="11"/>
        <w:rPr>
          <w:b/>
          <w:bCs/>
          <w:color w:val="auto"/>
          <w:sz w:val="20"/>
          <w:szCs w:val="20"/>
          <w:lang w:val="en-US"/>
        </w:rPr>
      </w:pPr>
    </w:p>
    <w:p w:rsidR="006D27EB" w:rsidRDefault="006D27EB" w:rsidP="006D27EB">
      <w:pPr>
        <w:autoSpaceDE w:val="0"/>
        <w:autoSpaceDN w:val="0"/>
        <w:adjustRightInd w:val="0"/>
        <w:rPr>
          <w:b/>
          <w:bCs/>
          <w:color w:val="auto"/>
          <w:sz w:val="20"/>
          <w:szCs w:val="20"/>
          <w:lang w:val="en-US"/>
        </w:rPr>
      </w:pP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0"/>
        <w:gridCol w:w="2133"/>
        <w:gridCol w:w="2560"/>
        <w:gridCol w:w="2545"/>
        <w:gridCol w:w="163"/>
      </w:tblGrid>
      <w:tr w:rsidR="006D27EB" w:rsidRPr="00FD4EE8" w:rsidTr="00553C06">
        <w:trPr>
          <w:tblHeader/>
        </w:trPr>
        <w:tc>
          <w:tcPr>
            <w:tcW w:w="2130" w:type="dxa"/>
          </w:tcPr>
          <w:p w:rsidR="006D27EB" w:rsidRPr="006D27EB" w:rsidRDefault="006D27EB" w:rsidP="006D79B2">
            <w:pPr>
              <w:pStyle w:val="TableText0"/>
              <w:rPr>
                <w:rFonts w:ascii="Arial" w:hAnsi="Arial" w:cs="Arial"/>
                <w:b/>
                <w:u w:val="single"/>
              </w:rPr>
            </w:pPr>
          </w:p>
        </w:tc>
        <w:tc>
          <w:tcPr>
            <w:tcW w:w="7401" w:type="dxa"/>
            <w:gridSpan w:val="4"/>
          </w:tcPr>
          <w:p w:rsidR="006D27EB" w:rsidRPr="00FD4EE8" w:rsidRDefault="006D27EB" w:rsidP="006D79B2">
            <w:pPr>
              <w:pStyle w:val="TableText0"/>
              <w:jc w:val="center"/>
              <w:rPr>
                <w:rFonts w:ascii="Arial" w:hAnsi="Arial" w:cs="Arial"/>
                <w:b/>
              </w:rPr>
            </w:pPr>
            <w:proofErr w:type="spellStart"/>
            <w:r w:rsidRPr="00FD4EE8">
              <w:rPr>
                <w:rFonts w:ascii="Arial" w:hAnsi="Arial" w:cs="Arial"/>
                <w:b/>
              </w:rPr>
              <w:t>Frequency</w:t>
            </w:r>
            <w:r w:rsidRPr="00FD4EE8">
              <w:rPr>
                <w:rFonts w:ascii="Arial" w:hAnsi="Arial" w:cs="Arial"/>
                <w:b/>
                <w:vertAlign w:val="superscript"/>
              </w:rPr>
              <w:t>a</w:t>
            </w:r>
            <w:proofErr w:type="spellEnd"/>
          </w:p>
        </w:tc>
      </w:tr>
      <w:tr w:rsidR="006D27EB" w:rsidRPr="00FD4EE8" w:rsidTr="00553C06">
        <w:trPr>
          <w:tblHeader/>
        </w:trPr>
        <w:tc>
          <w:tcPr>
            <w:tcW w:w="2130" w:type="dxa"/>
          </w:tcPr>
          <w:p w:rsidR="006D27EB" w:rsidRPr="00FD4EE8" w:rsidRDefault="006D27EB" w:rsidP="006D79B2">
            <w:pPr>
              <w:pStyle w:val="TableText0"/>
              <w:rPr>
                <w:rFonts w:ascii="Arial" w:hAnsi="Arial" w:cs="Arial"/>
                <w:b/>
              </w:rPr>
            </w:pPr>
            <w:r w:rsidRPr="00FD4EE8">
              <w:rPr>
                <w:rFonts w:ascii="Arial" w:hAnsi="Arial" w:cs="Arial"/>
                <w:b/>
              </w:rPr>
              <w:t>System Organ Class</w:t>
            </w:r>
          </w:p>
        </w:tc>
        <w:tc>
          <w:tcPr>
            <w:tcW w:w="2133" w:type="dxa"/>
          </w:tcPr>
          <w:p w:rsidR="006D27EB" w:rsidRPr="00FD4EE8" w:rsidRDefault="006D27EB" w:rsidP="006D79B2">
            <w:pPr>
              <w:pStyle w:val="TableText0"/>
              <w:jc w:val="center"/>
              <w:rPr>
                <w:rFonts w:ascii="Arial" w:hAnsi="Arial" w:cs="Arial"/>
                <w:b/>
              </w:rPr>
            </w:pPr>
            <w:r w:rsidRPr="00FD4EE8">
              <w:rPr>
                <w:rFonts w:ascii="Arial" w:hAnsi="Arial" w:cs="Arial"/>
                <w:b/>
              </w:rPr>
              <w:t>Common</w:t>
            </w:r>
          </w:p>
        </w:tc>
        <w:tc>
          <w:tcPr>
            <w:tcW w:w="2560" w:type="dxa"/>
          </w:tcPr>
          <w:p w:rsidR="006D27EB" w:rsidRPr="00FD4EE8" w:rsidRDefault="006D27EB" w:rsidP="006D79B2">
            <w:pPr>
              <w:pStyle w:val="TableText0"/>
              <w:jc w:val="center"/>
              <w:rPr>
                <w:rFonts w:ascii="Arial" w:hAnsi="Arial" w:cs="Arial"/>
                <w:b/>
              </w:rPr>
            </w:pPr>
            <w:r w:rsidRPr="00FD4EE8">
              <w:rPr>
                <w:rFonts w:ascii="Arial" w:hAnsi="Arial" w:cs="Arial"/>
                <w:b/>
              </w:rPr>
              <w:t>Uncommon</w:t>
            </w:r>
          </w:p>
        </w:tc>
        <w:tc>
          <w:tcPr>
            <w:tcW w:w="2708" w:type="dxa"/>
            <w:gridSpan w:val="2"/>
          </w:tcPr>
          <w:p w:rsidR="006D27EB" w:rsidRPr="00FD4EE8" w:rsidRDefault="006D27EB" w:rsidP="006D79B2">
            <w:pPr>
              <w:pStyle w:val="TableText0"/>
              <w:jc w:val="center"/>
              <w:rPr>
                <w:rFonts w:ascii="Arial" w:hAnsi="Arial" w:cs="Arial"/>
                <w:b/>
              </w:rPr>
            </w:pPr>
            <w:r w:rsidRPr="00FD4EE8">
              <w:rPr>
                <w:rFonts w:ascii="Arial" w:hAnsi="Arial" w:cs="Arial"/>
                <w:b/>
              </w:rPr>
              <w:t xml:space="preserve">Not </w:t>
            </w:r>
            <w:proofErr w:type="spellStart"/>
            <w:r w:rsidRPr="00FD4EE8">
              <w:rPr>
                <w:rFonts w:ascii="Arial" w:hAnsi="Arial" w:cs="Arial"/>
                <w:b/>
              </w:rPr>
              <w:t>Known</w:t>
            </w:r>
            <w:r w:rsidRPr="00FD4EE8">
              <w:rPr>
                <w:rFonts w:ascii="Arial" w:hAnsi="Arial" w:cs="Arial"/>
                <w:b/>
                <w:vertAlign w:val="superscript"/>
              </w:rPr>
              <w:t>b</w:t>
            </w:r>
            <w:proofErr w:type="spellEnd"/>
          </w:p>
        </w:tc>
      </w:tr>
      <w:tr w:rsidR="006D27EB" w:rsidRPr="00FD4EE8" w:rsidTr="00553C06">
        <w:trPr>
          <w:trHeight w:val="80"/>
        </w:trPr>
        <w:tc>
          <w:tcPr>
            <w:tcW w:w="2130" w:type="dxa"/>
          </w:tcPr>
          <w:p w:rsidR="006D27EB" w:rsidRPr="00FD4EE8" w:rsidRDefault="006D27EB" w:rsidP="006D79B2">
            <w:pPr>
              <w:pStyle w:val="TableText0"/>
              <w:rPr>
                <w:rFonts w:ascii="Arial" w:hAnsi="Arial" w:cs="Arial"/>
                <w:b/>
              </w:rPr>
            </w:pPr>
            <w:r w:rsidRPr="00FD4EE8">
              <w:rPr>
                <w:rFonts w:ascii="Arial" w:hAnsi="Arial" w:cs="Arial"/>
                <w:b/>
              </w:rPr>
              <w:t>Infections and infestations</w:t>
            </w:r>
          </w:p>
        </w:tc>
        <w:tc>
          <w:tcPr>
            <w:tcW w:w="2133" w:type="dxa"/>
          </w:tcPr>
          <w:p w:rsidR="006D27EB" w:rsidRPr="00FD4EE8" w:rsidRDefault="006D27EB" w:rsidP="006D79B2">
            <w:pPr>
              <w:pStyle w:val="TableText0"/>
              <w:rPr>
                <w:rFonts w:ascii="Arial" w:hAnsi="Arial" w:cs="Arial"/>
                <w:strike/>
              </w:rPr>
            </w:pPr>
          </w:p>
        </w:tc>
        <w:tc>
          <w:tcPr>
            <w:tcW w:w="2560" w:type="dxa"/>
          </w:tcPr>
          <w:p w:rsidR="006D27EB" w:rsidRPr="00FD4EE8" w:rsidRDefault="006D27EB" w:rsidP="006D79B2">
            <w:pPr>
              <w:pStyle w:val="TableText0"/>
              <w:rPr>
                <w:rFonts w:ascii="Arial" w:hAnsi="Arial" w:cs="Arial"/>
              </w:rPr>
            </w:pPr>
            <w:r w:rsidRPr="00FD4EE8">
              <w:rPr>
                <w:rFonts w:ascii="Arial" w:hAnsi="Arial" w:cs="Arial"/>
              </w:rPr>
              <w:t xml:space="preserve">Pneumonia, Bronchitis, Respiratory tract infection, Sinusitis, Cystitis, Tonsillitis, Onychomycosis, Cellulitis </w:t>
            </w:r>
            <w:proofErr w:type="spellStart"/>
            <w:r w:rsidRPr="00FD4EE8">
              <w:rPr>
                <w:rFonts w:ascii="Arial" w:hAnsi="Arial" w:cs="Arial"/>
              </w:rPr>
              <w:t>Acarodermatitis</w:t>
            </w:r>
            <w:proofErr w:type="spellEnd"/>
          </w:p>
        </w:tc>
        <w:tc>
          <w:tcPr>
            <w:tcW w:w="2708" w:type="dxa"/>
            <w:gridSpan w:val="2"/>
          </w:tcPr>
          <w:p w:rsidR="006D27EB" w:rsidRPr="00FD4EE8" w:rsidRDefault="006D27EB" w:rsidP="006D79B2">
            <w:pPr>
              <w:pStyle w:val="TableText0"/>
              <w:rPr>
                <w:rFonts w:ascii="Arial" w:hAnsi="Arial" w:cs="Arial"/>
              </w:rPr>
            </w:pPr>
            <w:r w:rsidRPr="00FD4EE8">
              <w:rPr>
                <w:rFonts w:ascii="Arial" w:hAnsi="Arial" w:cs="Arial"/>
              </w:rPr>
              <w:t>Ear infection, Eye infection, Subcutaneous abscess</w:t>
            </w:r>
          </w:p>
        </w:tc>
      </w:tr>
      <w:tr w:rsidR="006D27EB" w:rsidRPr="00FD4EE8" w:rsidTr="00553C06">
        <w:trPr>
          <w:trHeight w:val="95"/>
        </w:trPr>
        <w:tc>
          <w:tcPr>
            <w:tcW w:w="2130" w:type="dxa"/>
          </w:tcPr>
          <w:p w:rsidR="006D27EB" w:rsidRPr="00FD4EE8" w:rsidRDefault="006D27EB" w:rsidP="006D79B2">
            <w:pPr>
              <w:pStyle w:val="TableText0"/>
              <w:rPr>
                <w:rFonts w:ascii="Arial" w:hAnsi="Arial" w:cs="Arial"/>
                <w:b/>
              </w:rPr>
            </w:pPr>
            <w:r w:rsidRPr="00FD4EE8">
              <w:rPr>
                <w:rFonts w:ascii="Arial" w:hAnsi="Arial" w:cs="Arial"/>
                <w:b/>
              </w:rPr>
              <w:t>Blood and lymphatic system disorders</w:t>
            </w:r>
          </w:p>
        </w:tc>
        <w:tc>
          <w:tcPr>
            <w:tcW w:w="2133" w:type="dxa"/>
          </w:tcPr>
          <w:p w:rsidR="006D27EB" w:rsidRPr="00FD4EE8" w:rsidRDefault="006D27EB" w:rsidP="006D79B2">
            <w:pPr>
              <w:pStyle w:val="TableText0"/>
              <w:rPr>
                <w:rFonts w:ascii="Arial" w:hAnsi="Arial" w:cs="Arial"/>
              </w:rPr>
            </w:pPr>
          </w:p>
        </w:tc>
        <w:tc>
          <w:tcPr>
            <w:tcW w:w="2560" w:type="dxa"/>
          </w:tcPr>
          <w:p w:rsidR="006D27EB" w:rsidRPr="00FD4EE8" w:rsidRDefault="006D27EB" w:rsidP="006D79B2">
            <w:pPr>
              <w:pStyle w:val="TableText0"/>
              <w:rPr>
                <w:rFonts w:ascii="Arial" w:hAnsi="Arial" w:cs="Arial"/>
              </w:rPr>
            </w:pPr>
            <w:r w:rsidRPr="00FD4EE8">
              <w:rPr>
                <w:rFonts w:ascii="Arial" w:hAnsi="Arial" w:cs="Arial"/>
              </w:rPr>
              <w:t>Neutropenia, White blood cell count decreased, Anemia</w:t>
            </w:r>
          </w:p>
        </w:tc>
        <w:tc>
          <w:tcPr>
            <w:tcW w:w="2708" w:type="dxa"/>
            <w:gridSpan w:val="2"/>
          </w:tcPr>
          <w:p w:rsidR="006D27EB" w:rsidRPr="00FD4EE8" w:rsidRDefault="006D27EB" w:rsidP="006D79B2">
            <w:pPr>
              <w:pStyle w:val="TableText0"/>
              <w:rPr>
                <w:rFonts w:ascii="Arial" w:hAnsi="Arial" w:cs="Arial"/>
                <w:strike/>
              </w:rPr>
            </w:pPr>
            <w:r w:rsidRPr="00FD4EE8">
              <w:rPr>
                <w:rFonts w:ascii="Arial" w:hAnsi="Arial" w:cs="Arial"/>
              </w:rPr>
              <w:t>Eosinophil count increased</w:t>
            </w:r>
          </w:p>
        </w:tc>
      </w:tr>
      <w:tr w:rsidR="006D27EB" w:rsidRPr="00FD4EE8" w:rsidTr="00553C06">
        <w:trPr>
          <w:trHeight w:val="95"/>
        </w:trPr>
        <w:tc>
          <w:tcPr>
            <w:tcW w:w="2130" w:type="dxa"/>
          </w:tcPr>
          <w:p w:rsidR="006D27EB" w:rsidRPr="00FD4EE8" w:rsidRDefault="006D27EB" w:rsidP="006D79B2">
            <w:pPr>
              <w:pStyle w:val="TableText0"/>
              <w:rPr>
                <w:rFonts w:ascii="Arial" w:hAnsi="Arial" w:cs="Arial"/>
                <w:b/>
              </w:rPr>
            </w:pPr>
            <w:r w:rsidRPr="00FD4EE8">
              <w:rPr>
                <w:rFonts w:ascii="Arial" w:hAnsi="Arial" w:cs="Arial"/>
                <w:b/>
              </w:rPr>
              <w:t>Immune system disorders</w:t>
            </w:r>
          </w:p>
        </w:tc>
        <w:tc>
          <w:tcPr>
            <w:tcW w:w="2133" w:type="dxa"/>
          </w:tcPr>
          <w:p w:rsidR="006D27EB" w:rsidRPr="00FD4EE8" w:rsidRDefault="006D27EB" w:rsidP="006D79B2">
            <w:pPr>
              <w:pStyle w:val="TableText0"/>
              <w:rPr>
                <w:rFonts w:ascii="Arial" w:hAnsi="Arial" w:cs="Arial"/>
              </w:rPr>
            </w:pPr>
          </w:p>
        </w:tc>
        <w:tc>
          <w:tcPr>
            <w:tcW w:w="2560" w:type="dxa"/>
          </w:tcPr>
          <w:p w:rsidR="006D27EB" w:rsidRPr="00FD4EE8" w:rsidRDefault="006D27EB" w:rsidP="006D79B2">
            <w:pPr>
              <w:pStyle w:val="TableText0"/>
              <w:rPr>
                <w:rFonts w:ascii="Arial" w:hAnsi="Arial" w:cs="Arial"/>
              </w:rPr>
            </w:pPr>
            <w:r w:rsidRPr="00FD4EE8">
              <w:rPr>
                <w:rFonts w:ascii="Arial" w:hAnsi="Arial" w:cs="Arial"/>
              </w:rPr>
              <w:t>Hypersensitivity</w:t>
            </w:r>
          </w:p>
        </w:tc>
        <w:tc>
          <w:tcPr>
            <w:tcW w:w="2708" w:type="dxa"/>
            <w:gridSpan w:val="2"/>
          </w:tcPr>
          <w:p w:rsidR="006D27EB" w:rsidRPr="00FD4EE8" w:rsidRDefault="006D27EB" w:rsidP="006D79B2">
            <w:pPr>
              <w:pStyle w:val="TableText0"/>
              <w:rPr>
                <w:rFonts w:ascii="Arial" w:hAnsi="Arial" w:cs="Arial"/>
              </w:rPr>
            </w:pPr>
            <w:r w:rsidRPr="00FD4EE8">
              <w:rPr>
                <w:rFonts w:ascii="Arial" w:hAnsi="Arial" w:cs="Arial"/>
              </w:rPr>
              <w:t>Anaphylactic reaction</w:t>
            </w:r>
          </w:p>
        </w:tc>
      </w:tr>
      <w:tr w:rsidR="006D27EB" w:rsidRPr="00FD4EE8" w:rsidTr="00553C06">
        <w:trPr>
          <w:trHeight w:val="569"/>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Endocrine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Glucose urine present, Hyperprolactinemia</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r>
      <w:tr w:rsidR="006D27EB" w:rsidRPr="00FD4EE8" w:rsidTr="00553C06">
        <w:trPr>
          <w:trHeight w:val="1130"/>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lastRenderedPageBreak/>
              <w:t>Metabolism and nutrition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Hyperinsulinemia, Increased appetite, Blood triglycerides increased, Blood cholesterol increased</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 Polydipsia Anorexia</w:t>
            </w:r>
          </w:p>
        </w:tc>
      </w:tr>
      <w:tr w:rsidR="006D27EB" w:rsidRPr="00FD4EE8" w:rsidTr="00553C06">
        <w:trPr>
          <w:trHeight w:val="1118"/>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Psychiatric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Sleep disorder, Blunted affect, Nightmare</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roofErr w:type="spellStart"/>
            <w:r w:rsidRPr="00FD4EE8">
              <w:rPr>
                <w:rFonts w:ascii="Arial" w:hAnsi="Arial" w:cs="Arial"/>
              </w:rPr>
              <w:t>Confusional</w:t>
            </w:r>
            <w:proofErr w:type="spellEnd"/>
            <w:r w:rsidRPr="00FD4EE8">
              <w:rPr>
                <w:rFonts w:ascii="Arial" w:hAnsi="Arial" w:cs="Arial"/>
              </w:rPr>
              <w:t xml:space="preserve"> state, Libido decreased, Anorgasmia, Nervousness</w:t>
            </w:r>
          </w:p>
        </w:tc>
      </w:tr>
      <w:tr w:rsidR="006D27EB" w:rsidRPr="00FD4EE8" w:rsidTr="00553C06">
        <w:trPr>
          <w:trHeight w:val="95"/>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Nervous system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roofErr w:type="spellStart"/>
            <w:r w:rsidRPr="00FD4EE8">
              <w:rPr>
                <w:rFonts w:ascii="Arial" w:hAnsi="Arial" w:cs="Arial"/>
              </w:rPr>
              <w:t>Parkinsonism</w:t>
            </w:r>
            <w:r w:rsidRPr="00FD4EE8">
              <w:rPr>
                <w:rFonts w:ascii="Arial" w:hAnsi="Arial" w:cs="Arial"/>
                <w:vertAlign w:val="superscript"/>
              </w:rPr>
              <w:t>c</w:t>
            </w:r>
            <w:proofErr w:type="spellEnd"/>
            <w:r w:rsidRPr="00FD4EE8">
              <w:rPr>
                <w:rFonts w:ascii="Arial" w:hAnsi="Arial" w:cs="Arial"/>
              </w:rPr>
              <w:t>, Sedation/somnolence, Tremor</w:t>
            </w: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Tardive dyskinesia, Dystonia, Dizziness postural, Disturbance in attention, Dizziness, Dyskinesia, Hypoesthesia</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Neuroleptic malignant syndrome, Cerebral ischemia, Unresponsive to stimuli, Loss of consciousness, Depressed level of consciousness, Diabetic coma, Convulsion, Syncope, Psychomotor hyperactivity, Balance disorder, Coordination abnormal, Dysarthria, Head titubation, Paresthesia</w:t>
            </w:r>
          </w:p>
        </w:tc>
      </w:tr>
      <w:tr w:rsidR="006D27EB" w:rsidRPr="00FD4EE8" w:rsidTr="00553C06">
        <w:trPr>
          <w:trHeight w:val="95"/>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Eye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Vision blurred, Lacrimation increased</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Glaucoma, Eye movement disorder, Eye rolling, Photophobia, Conjunctivitis, Dry eye, Ocular hyperemia</w:t>
            </w:r>
          </w:p>
        </w:tc>
      </w:tr>
      <w:tr w:rsidR="006D27EB" w:rsidRPr="00FD4EE8" w:rsidTr="00553C06">
        <w:trPr>
          <w:trHeight w:val="723"/>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Ear and labyrinth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Vertigo, Tinnitus</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Ear pain</w:t>
            </w:r>
          </w:p>
        </w:tc>
      </w:tr>
      <w:tr w:rsidR="003A457E" w:rsidRPr="00FD4EE8" w:rsidTr="00553C06">
        <w:trPr>
          <w:trHeight w:val="1683"/>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27EB">
            <w:pPr>
              <w:pStyle w:val="TableText0"/>
              <w:rPr>
                <w:rFonts w:ascii="Arial" w:hAnsi="Arial" w:cs="Arial"/>
                <w:b/>
              </w:rPr>
            </w:pPr>
            <w:r w:rsidRPr="00FD4EE8">
              <w:rPr>
                <w:rFonts w:ascii="Arial" w:hAnsi="Arial" w:cs="Arial"/>
                <w:b/>
              </w:rPr>
              <w:t>Cardiac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27EB">
            <w:pPr>
              <w:pStyle w:val="TableText0"/>
              <w:rPr>
                <w:rFonts w:ascii="Arial" w:hAnsi="Arial" w:cs="Arial"/>
              </w:rPr>
            </w:pPr>
            <w:proofErr w:type="spellStart"/>
            <w:r w:rsidRPr="00FD4EE8">
              <w:rPr>
                <w:rFonts w:ascii="Arial" w:hAnsi="Arial" w:cs="Arial"/>
              </w:rPr>
              <w:t>Tachycardia</w:t>
            </w:r>
            <w:r w:rsidRPr="00FD4EE8">
              <w:rPr>
                <w:rFonts w:ascii="Arial" w:hAnsi="Arial" w:cs="Arial"/>
                <w:vertAlign w:val="superscript"/>
              </w:rPr>
              <w:t>c</w:t>
            </w:r>
            <w:proofErr w:type="spellEnd"/>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27EB">
            <w:pPr>
              <w:pStyle w:val="TableText0"/>
              <w:rPr>
                <w:rFonts w:ascii="Arial" w:hAnsi="Arial" w:cs="Arial"/>
              </w:rPr>
            </w:pPr>
            <w:r w:rsidRPr="00FD4EE8">
              <w:rPr>
                <w:rFonts w:ascii="Arial" w:hAnsi="Arial" w:cs="Arial"/>
              </w:rPr>
              <w:t>Atrioventricular block, Conduction disorder, Electrocardiogram QT prolonged, Bradycardia, Electrocardiogram abnormal, Palpitations</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27EB">
            <w:pPr>
              <w:pStyle w:val="TableText0"/>
              <w:rPr>
                <w:rFonts w:ascii="Arial" w:hAnsi="Arial" w:cs="Arial"/>
              </w:rPr>
            </w:pPr>
            <w:r w:rsidRPr="00FD4EE8">
              <w:rPr>
                <w:rFonts w:ascii="Arial" w:hAnsi="Arial" w:cs="Arial"/>
              </w:rPr>
              <w:t>Postural orthostatic tachycardia syndrome, Sinus arrhythmia</w:t>
            </w:r>
          </w:p>
        </w:tc>
      </w:tr>
      <w:tr w:rsidR="003A457E" w:rsidRPr="00FD4EE8" w:rsidTr="00553C06">
        <w:trPr>
          <w:trHeight w:val="573"/>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Vascular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 Hypotension, Orthostatic hypotension</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Pulmonary embolism, Ischemia, Flushing</w:t>
            </w:r>
          </w:p>
        </w:tc>
      </w:tr>
      <w:tr w:rsidR="003A457E" w:rsidRPr="00FD4EE8" w:rsidTr="00553C06">
        <w:trPr>
          <w:trHeight w:val="1262"/>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Respiratory, thoracic and mediastinal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Dyspnea, </w:t>
            </w:r>
            <w:proofErr w:type="spellStart"/>
            <w:r w:rsidRPr="00FD4EE8">
              <w:rPr>
                <w:rFonts w:ascii="Arial" w:hAnsi="Arial" w:cs="Arial"/>
              </w:rPr>
              <w:t>Pharyngolaryngeal</w:t>
            </w:r>
            <w:proofErr w:type="spellEnd"/>
            <w:r w:rsidRPr="00FD4EE8">
              <w:rPr>
                <w:rFonts w:ascii="Arial" w:hAnsi="Arial" w:cs="Arial"/>
              </w:rPr>
              <w:t xml:space="preserve"> pain, Epistaxis, Nasal congestion</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Hyperventilation, Pneumonia aspiration, Pulmonary congestion, Respiratory tract congestion, Rales, Wheezing, Dysphonia</w:t>
            </w:r>
          </w:p>
        </w:tc>
      </w:tr>
      <w:tr w:rsidR="003A457E" w:rsidRPr="00FD4EE8" w:rsidTr="00553C06">
        <w:trPr>
          <w:trHeight w:val="1549"/>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Gastrointestinal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Nausea</w:t>
            </w: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Abdominal pain, Abdominal discomfort, Vomiting, Constipation, Gastroenteritis, Dysphagia, Dyspepsia, Dry mouth, Toothache, Flatulence</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Intestinal obstruction, Swollen tongue, Fecal incontinence, Fecaloma, </w:t>
            </w:r>
            <w:proofErr w:type="spellStart"/>
            <w:r w:rsidRPr="00FD4EE8">
              <w:rPr>
                <w:rFonts w:ascii="Arial" w:hAnsi="Arial" w:cs="Arial"/>
              </w:rPr>
              <w:t>Cheilitis</w:t>
            </w:r>
            <w:proofErr w:type="spellEnd"/>
          </w:p>
        </w:tc>
      </w:tr>
      <w:tr w:rsidR="003A457E" w:rsidRPr="00FD4EE8" w:rsidTr="00553C06">
        <w:trPr>
          <w:trHeight w:val="834"/>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Hepatobiliary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Transaminases increased</w:t>
            </w: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Gamma-</w:t>
            </w:r>
            <w:proofErr w:type="spellStart"/>
            <w:r w:rsidRPr="00FD4EE8">
              <w:rPr>
                <w:rFonts w:ascii="Arial" w:hAnsi="Arial" w:cs="Arial"/>
              </w:rPr>
              <w:t>glutamyltransferase</w:t>
            </w:r>
            <w:proofErr w:type="spellEnd"/>
            <w:r w:rsidRPr="00FD4EE8">
              <w:rPr>
                <w:rFonts w:ascii="Arial" w:hAnsi="Arial" w:cs="Arial"/>
              </w:rPr>
              <w:t xml:space="preserve"> increased, Hepatic enzyme increased</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r>
      <w:tr w:rsidR="003A457E" w:rsidRPr="00FD4EE8" w:rsidTr="00553C06">
        <w:trPr>
          <w:trHeight w:val="1257"/>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lastRenderedPageBreak/>
              <w:t>Skin and subcutaneous tissue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Pruritus, Rash, Eczema</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Drug eruption, Urticaria, Hyperkeratosis Dry skin, Erythema, Skin discoloration, Acne, Seborrheic dermatitis, Dandruff</w:t>
            </w:r>
          </w:p>
        </w:tc>
      </w:tr>
      <w:tr w:rsidR="003A457E" w:rsidRPr="00FD4EE8" w:rsidTr="00553C06">
        <w:trPr>
          <w:trHeight w:val="1432"/>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Musculoskeletal and connective tissue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Musculoskeletal pain, Back pain</w:t>
            </w: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Joint stiffness, Muscular weakness, Arthralgia</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Rhabdomyolysis, Blood </w:t>
            </w:r>
            <w:proofErr w:type="spellStart"/>
            <w:r w:rsidRPr="00FD4EE8">
              <w:rPr>
                <w:rFonts w:ascii="Arial" w:hAnsi="Arial" w:cs="Arial"/>
              </w:rPr>
              <w:t>creatine</w:t>
            </w:r>
            <w:proofErr w:type="spellEnd"/>
            <w:r w:rsidRPr="00FD4EE8">
              <w:rPr>
                <w:rFonts w:ascii="Arial" w:hAnsi="Arial" w:cs="Arial"/>
              </w:rPr>
              <w:t xml:space="preserve"> phosphokinase increased, Muscle spasms, Posture abnormal, Joint swelling, Neck pain</w:t>
            </w:r>
          </w:p>
        </w:tc>
      </w:tr>
      <w:tr w:rsidR="006D27EB" w:rsidRPr="00FD4EE8" w:rsidTr="00553C06">
        <w:trPr>
          <w:trHeight w:val="672"/>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Renal and urinary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Dysuria</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Urinary incontinence, </w:t>
            </w:r>
            <w:proofErr w:type="spellStart"/>
            <w:r w:rsidRPr="00FD4EE8">
              <w:rPr>
                <w:rFonts w:ascii="Arial" w:hAnsi="Arial" w:cs="Arial"/>
              </w:rPr>
              <w:t>Pollakiuria</w:t>
            </w:r>
            <w:proofErr w:type="spellEnd"/>
          </w:p>
        </w:tc>
      </w:tr>
      <w:tr w:rsidR="006D27EB" w:rsidRPr="00FD4EE8" w:rsidTr="00553C06">
        <w:trPr>
          <w:trHeight w:val="95"/>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Reproductive system and breast disorders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Amenorrhea, Menstrual </w:t>
            </w:r>
            <w:proofErr w:type="spellStart"/>
            <w:r w:rsidRPr="00FD4EE8">
              <w:rPr>
                <w:rFonts w:ascii="Arial" w:hAnsi="Arial" w:cs="Arial"/>
              </w:rPr>
              <w:t>disorder</w:t>
            </w:r>
            <w:r w:rsidRPr="00FD4EE8">
              <w:rPr>
                <w:rFonts w:ascii="Arial" w:hAnsi="Arial" w:cs="Arial"/>
                <w:vertAlign w:val="superscript"/>
              </w:rPr>
              <w:t>c</w:t>
            </w:r>
            <w:proofErr w:type="spellEnd"/>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Erectile dysfunction, Ejaculation disorder, Gynecomastia, Galactorrhea, Sexual dysfunction, Breast pain, Breast discomfort</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Breast engorgement, Breast enlargement, Vaginal discharge</w:t>
            </w:r>
          </w:p>
        </w:tc>
      </w:tr>
      <w:tr w:rsidR="006D27EB" w:rsidRPr="00FD4EE8" w:rsidTr="00553C06">
        <w:trPr>
          <w:trHeight w:val="1460"/>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General disorders and administration site conditions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 xml:space="preserve">Face edema, </w:t>
            </w:r>
            <w:proofErr w:type="spellStart"/>
            <w:r w:rsidRPr="00FD4EE8">
              <w:rPr>
                <w:rFonts w:ascii="Arial" w:hAnsi="Arial" w:cs="Arial"/>
              </w:rPr>
              <w:t>Edema</w:t>
            </w:r>
            <w:r w:rsidRPr="00FD4EE8">
              <w:rPr>
                <w:rFonts w:ascii="Arial" w:hAnsi="Arial" w:cs="Arial"/>
                <w:vertAlign w:val="superscript"/>
              </w:rPr>
              <w:t>c</w:t>
            </w:r>
            <w:proofErr w:type="spellEnd"/>
            <w:r w:rsidRPr="00FD4EE8">
              <w:rPr>
                <w:rFonts w:ascii="Arial" w:hAnsi="Arial" w:cs="Arial"/>
              </w:rPr>
              <w:t>, Pyrexia, Body temperature increased, Chest pain, Chest discomfort, Asthenia, Malaise</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Body temperature decreased, Chills, Gait abnormal, Thirst, Drug withdrawal syndrome, Induration</w:t>
            </w:r>
          </w:p>
        </w:tc>
      </w:tr>
      <w:tr w:rsidR="006D27EB" w:rsidRPr="00FD4EE8" w:rsidTr="00553C06">
        <w:trPr>
          <w:trHeight w:val="970"/>
        </w:trPr>
        <w:tc>
          <w:tcPr>
            <w:tcW w:w="213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b/>
              </w:rPr>
            </w:pPr>
            <w:r w:rsidRPr="00FD4EE8">
              <w:rPr>
                <w:rFonts w:ascii="Arial" w:hAnsi="Arial" w:cs="Arial"/>
                <w:b/>
              </w:rPr>
              <w:t>Injury, poisoning and procedural complications</w:t>
            </w:r>
          </w:p>
        </w:tc>
        <w:tc>
          <w:tcPr>
            <w:tcW w:w="2133"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c>
          <w:tcPr>
            <w:tcW w:w="2560" w:type="dxa"/>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r w:rsidRPr="00FD4EE8">
              <w:rPr>
                <w:rFonts w:ascii="Arial" w:hAnsi="Arial" w:cs="Arial"/>
              </w:rPr>
              <w:t>Fall</w:t>
            </w:r>
          </w:p>
        </w:tc>
        <w:tc>
          <w:tcPr>
            <w:tcW w:w="2708" w:type="dxa"/>
            <w:gridSpan w:val="2"/>
            <w:tcBorders>
              <w:top w:val="single" w:sz="4" w:space="0" w:color="auto"/>
              <w:left w:val="single" w:sz="4" w:space="0" w:color="auto"/>
              <w:bottom w:val="single" w:sz="4" w:space="0" w:color="auto"/>
              <w:right w:val="single" w:sz="4" w:space="0" w:color="auto"/>
            </w:tcBorders>
          </w:tcPr>
          <w:p w:rsidR="006D27EB" w:rsidRPr="00FD4EE8" w:rsidRDefault="006D27EB" w:rsidP="006D79B2">
            <w:pPr>
              <w:pStyle w:val="TableText0"/>
              <w:rPr>
                <w:rFonts w:ascii="Arial" w:hAnsi="Arial" w:cs="Arial"/>
              </w:rPr>
            </w:pPr>
          </w:p>
        </w:tc>
      </w:tr>
      <w:tr w:rsidR="006D27EB" w:rsidRPr="00FD4EE8" w:rsidTr="00553C06">
        <w:tblPrEx>
          <w:jc w:val="center"/>
          <w:tblCellMar>
            <w:left w:w="108" w:type="dxa"/>
            <w:right w:w="108" w:type="dxa"/>
          </w:tblCellMar>
        </w:tblPrEx>
        <w:trPr>
          <w:gridAfter w:val="1"/>
          <w:wAfter w:w="163" w:type="dxa"/>
          <w:cantSplit/>
          <w:jc w:val="center"/>
        </w:trPr>
        <w:tc>
          <w:tcPr>
            <w:tcW w:w="9368" w:type="dxa"/>
            <w:gridSpan w:val="4"/>
            <w:tcBorders>
              <w:left w:val="nil"/>
              <w:bottom w:val="nil"/>
              <w:right w:val="nil"/>
            </w:tcBorders>
            <w:tcMar>
              <w:left w:w="57" w:type="dxa"/>
              <w:right w:w="57" w:type="dxa"/>
            </w:tcMar>
          </w:tcPr>
          <w:p w:rsidR="006D27EB" w:rsidRPr="00FD4EE8" w:rsidRDefault="006D27EB" w:rsidP="006D79B2">
            <w:pPr>
              <w:pStyle w:val="TableFootnote"/>
              <w:rPr>
                <w:rFonts w:ascii="Arial" w:hAnsi="Arial" w:cs="Arial"/>
                <w:i/>
                <w:iCs/>
                <w:color w:val="000000"/>
                <w:sz w:val="18"/>
                <w:szCs w:val="18"/>
              </w:rPr>
            </w:pPr>
            <w:proofErr w:type="gramStart"/>
            <w:r w:rsidRPr="00FD4EE8">
              <w:rPr>
                <w:rFonts w:ascii="Arial" w:hAnsi="Arial" w:cs="Arial"/>
                <w:color w:val="000000"/>
                <w:sz w:val="18"/>
                <w:szCs w:val="18"/>
                <w:vertAlign w:val="superscript"/>
              </w:rPr>
              <w:t>a</w:t>
            </w:r>
            <w:proofErr w:type="gramEnd"/>
            <w:r w:rsidRPr="00FD4EE8">
              <w:rPr>
                <w:rFonts w:ascii="Arial" w:hAnsi="Arial" w:cs="Arial"/>
                <w:color w:val="000000"/>
                <w:sz w:val="18"/>
                <w:szCs w:val="18"/>
              </w:rPr>
              <w:tab/>
              <w:t>No adverse reactions fell within the category of ‘</w:t>
            </w:r>
            <w:r w:rsidRPr="00FD4EE8">
              <w:rPr>
                <w:rFonts w:ascii="Arial" w:hAnsi="Arial" w:cs="Arial"/>
                <w:i/>
                <w:color w:val="000000"/>
                <w:sz w:val="18"/>
                <w:szCs w:val="18"/>
              </w:rPr>
              <w:t>very common’</w:t>
            </w:r>
            <w:r w:rsidRPr="00FD4EE8">
              <w:rPr>
                <w:rFonts w:ascii="Arial" w:hAnsi="Arial" w:cs="Arial"/>
                <w:color w:val="000000"/>
                <w:sz w:val="18"/>
                <w:szCs w:val="18"/>
              </w:rPr>
              <w:t>, ‘</w:t>
            </w:r>
            <w:r w:rsidRPr="00FD4EE8">
              <w:rPr>
                <w:rFonts w:ascii="Arial" w:hAnsi="Arial" w:cs="Arial"/>
                <w:i/>
                <w:color w:val="000000"/>
                <w:sz w:val="18"/>
                <w:szCs w:val="18"/>
              </w:rPr>
              <w:t>rare’</w:t>
            </w:r>
            <w:r w:rsidRPr="00FD4EE8">
              <w:rPr>
                <w:rFonts w:ascii="Arial" w:hAnsi="Arial" w:cs="Arial"/>
                <w:color w:val="000000"/>
                <w:sz w:val="18"/>
                <w:szCs w:val="18"/>
              </w:rPr>
              <w:t>, or ‘</w:t>
            </w:r>
            <w:r w:rsidRPr="00FD4EE8">
              <w:rPr>
                <w:rFonts w:ascii="Arial" w:hAnsi="Arial" w:cs="Arial"/>
                <w:i/>
                <w:iCs/>
                <w:color w:val="000000"/>
                <w:sz w:val="18"/>
                <w:szCs w:val="18"/>
              </w:rPr>
              <w:t>very rare’.</w:t>
            </w:r>
          </w:p>
          <w:p w:rsidR="006D27EB" w:rsidRPr="00FD4EE8" w:rsidRDefault="006D27EB" w:rsidP="006D79B2">
            <w:pPr>
              <w:pStyle w:val="TableFootnote"/>
              <w:rPr>
                <w:rFonts w:ascii="Arial" w:hAnsi="Arial" w:cs="Arial"/>
                <w:color w:val="000000"/>
                <w:sz w:val="18"/>
                <w:szCs w:val="18"/>
              </w:rPr>
            </w:pPr>
            <w:proofErr w:type="gramStart"/>
            <w:r w:rsidRPr="00FD4EE8">
              <w:rPr>
                <w:rFonts w:ascii="Arial" w:hAnsi="Arial" w:cs="Arial"/>
                <w:color w:val="000000"/>
                <w:sz w:val="18"/>
                <w:szCs w:val="18"/>
                <w:vertAlign w:val="superscript"/>
              </w:rPr>
              <w:t>b</w:t>
            </w:r>
            <w:proofErr w:type="gramEnd"/>
            <w:r w:rsidRPr="00FD4EE8">
              <w:rPr>
                <w:rFonts w:ascii="Arial" w:hAnsi="Arial" w:cs="Arial"/>
                <w:color w:val="000000"/>
                <w:sz w:val="18"/>
                <w:szCs w:val="18"/>
              </w:rPr>
              <w:tab/>
            </w:r>
            <w:r w:rsidRPr="00FD4EE8">
              <w:rPr>
                <w:rFonts w:ascii="Arial" w:hAnsi="Arial" w:cs="Arial"/>
                <w:i/>
                <w:color w:val="000000"/>
                <w:sz w:val="18"/>
                <w:szCs w:val="18"/>
              </w:rPr>
              <w:t>‘Not known’</w:t>
            </w:r>
            <w:r w:rsidRPr="00FD4EE8">
              <w:rPr>
                <w:rFonts w:ascii="Arial" w:hAnsi="Arial" w:cs="Arial"/>
                <w:color w:val="000000"/>
                <w:sz w:val="18"/>
                <w:szCs w:val="18"/>
              </w:rPr>
              <w:t xml:space="preserve"> adverse reactions include adverse reactions reported with paliperidone and/or risperidone in other clinical trials but not reported by INVEGA TRINZA-treated subjects during the double-blind studies. </w:t>
            </w:r>
          </w:p>
          <w:p w:rsidR="006D27EB" w:rsidRPr="00FD4EE8" w:rsidRDefault="006D27EB" w:rsidP="006D79B2">
            <w:pPr>
              <w:pStyle w:val="TableFootnote"/>
              <w:rPr>
                <w:color w:val="000000"/>
              </w:rPr>
            </w:pPr>
            <w:r w:rsidRPr="00FD4EE8">
              <w:rPr>
                <w:rFonts w:ascii="Arial" w:hAnsi="Arial" w:cs="Arial"/>
                <w:color w:val="000000"/>
                <w:sz w:val="18"/>
                <w:szCs w:val="18"/>
                <w:vertAlign w:val="superscript"/>
              </w:rPr>
              <w:t>c</w:t>
            </w:r>
            <w:r w:rsidRPr="00FD4EE8">
              <w:rPr>
                <w:rFonts w:ascii="Arial" w:hAnsi="Arial" w:cs="Arial"/>
                <w:color w:val="000000"/>
                <w:sz w:val="18"/>
                <w:szCs w:val="18"/>
              </w:rPr>
              <w:tab/>
            </w:r>
            <w:r w:rsidRPr="00FD4EE8">
              <w:rPr>
                <w:rFonts w:ascii="Arial" w:hAnsi="Arial" w:cs="Arial"/>
                <w:b/>
                <w:color w:val="000000"/>
                <w:sz w:val="18"/>
                <w:szCs w:val="18"/>
              </w:rPr>
              <w:t>Menstrual disorder includes</w:t>
            </w:r>
            <w:r w:rsidRPr="00FD4EE8">
              <w:rPr>
                <w:rFonts w:ascii="Arial" w:hAnsi="Arial" w:cs="Arial"/>
                <w:color w:val="000000"/>
                <w:sz w:val="18"/>
                <w:szCs w:val="18"/>
              </w:rPr>
              <w:t xml:space="preserve">: menstrual delayed and menstrual irregular; </w:t>
            </w:r>
            <w:r w:rsidRPr="00FD4EE8">
              <w:rPr>
                <w:rFonts w:ascii="Arial" w:hAnsi="Arial" w:cs="Arial"/>
                <w:b/>
                <w:color w:val="000000"/>
                <w:sz w:val="18"/>
                <w:szCs w:val="18"/>
              </w:rPr>
              <w:t xml:space="preserve">Edema includes: </w:t>
            </w:r>
            <w:r w:rsidRPr="00FD4EE8">
              <w:rPr>
                <w:rFonts w:ascii="Arial" w:hAnsi="Arial" w:cs="Arial"/>
                <w:color w:val="000000"/>
                <w:sz w:val="18"/>
                <w:szCs w:val="18"/>
              </w:rPr>
              <w:t xml:space="preserve">edema peripheral; </w:t>
            </w:r>
            <w:r w:rsidRPr="00FD4EE8">
              <w:rPr>
                <w:rFonts w:ascii="Arial" w:hAnsi="Arial" w:cs="Arial"/>
                <w:b/>
                <w:color w:val="000000"/>
                <w:sz w:val="18"/>
                <w:szCs w:val="18"/>
              </w:rPr>
              <w:t xml:space="preserve">Parkinsonism includes: </w:t>
            </w:r>
            <w:r w:rsidRPr="00FD4EE8">
              <w:rPr>
                <w:rFonts w:ascii="Arial" w:hAnsi="Arial" w:cs="Arial"/>
                <w:color w:val="000000"/>
                <w:sz w:val="18"/>
                <w:szCs w:val="18"/>
              </w:rPr>
              <w:t xml:space="preserve">bradykinesia, cogwheel rigidity, drooling, extrapyramidal disorder, </w:t>
            </w:r>
            <w:proofErr w:type="spellStart"/>
            <w:r w:rsidRPr="00FD4EE8">
              <w:rPr>
                <w:rFonts w:ascii="Arial" w:hAnsi="Arial" w:cs="Arial"/>
                <w:color w:val="000000"/>
                <w:sz w:val="18"/>
                <w:szCs w:val="18"/>
              </w:rPr>
              <w:t>hypokinesia</w:t>
            </w:r>
            <w:proofErr w:type="spellEnd"/>
            <w:r w:rsidRPr="00FD4EE8">
              <w:rPr>
                <w:rFonts w:ascii="Arial" w:hAnsi="Arial" w:cs="Arial"/>
                <w:color w:val="000000"/>
                <w:sz w:val="18"/>
                <w:szCs w:val="18"/>
              </w:rPr>
              <w:t xml:space="preserve">, muscle rigidity, muscle tightness, musculoskeletal stiffness, Parkinsonian gait, salivary hypersecretion; </w:t>
            </w:r>
            <w:r w:rsidRPr="00FD4EE8">
              <w:rPr>
                <w:rFonts w:ascii="Arial" w:hAnsi="Arial" w:cs="Arial"/>
                <w:b/>
                <w:color w:val="000000"/>
                <w:sz w:val="18"/>
                <w:szCs w:val="18"/>
              </w:rPr>
              <w:t>Tachycardia includes:</w:t>
            </w:r>
            <w:r w:rsidRPr="00FD4EE8">
              <w:rPr>
                <w:rFonts w:ascii="Arial" w:hAnsi="Arial" w:cs="Arial"/>
                <w:sz w:val="18"/>
                <w:szCs w:val="18"/>
              </w:rPr>
              <w:t xml:space="preserve"> sinus tachycardia</w:t>
            </w:r>
          </w:p>
        </w:tc>
      </w:tr>
    </w:tbl>
    <w:p w:rsidR="006D27EB" w:rsidRPr="006D27EB" w:rsidRDefault="006D27EB" w:rsidP="006D27EB">
      <w:pPr>
        <w:autoSpaceDE w:val="0"/>
        <w:autoSpaceDN w:val="0"/>
        <w:adjustRightInd w:val="0"/>
        <w:rPr>
          <w:b/>
          <w:bCs/>
          <w:color w:val="auto"/>
          <w:sz w:val="20"/>
          <w:szCs w:val="20"/>
          <w:lang w:val="en-US"/>
        </w:rPr>
      </w:pPr>
    </w:p>
    <w:p w:rsidR="00C5649A" w:rsidRPr="007019AD" w:rsidRDefault="00C5649A" w:rsidP="007019AD">
      <w:pPr>
        <w:pStyle w:val="BodyText12"/>
        <w:rPr>
          <w:lang w:val="en-AU"/>
        </w:rPr>
      </w:pPr>
    </w:p>
    <w:p w:rsidR="00E314E4" w:rsidRPr="00A600A0" w:rsidRDefault="00E314E4" w:rsidP="00E314E4">
      <w:pPr>
        <w:pStyle w:val="Heading3"/>
        <w:rPr>
          <w:b w:val="0"/>
          <w:color w:val="000000" w:themeColor="text1"/>
        </w:rPr>
      </w:pPr>
      <w:proofErr w:type="spellStart"/>
      <w:r w:rsidRPr="00A600A0">
        <w:rPr>
          <w:color w:val="000000" w:themeColor="text1"/>
        </w:rPr>
        <w:t>Postmarketing</w:t>
      </w:r>
      <w:proofErr w:type="spellEnd"/>
      <w:r w:rsidRPr="00A600A0">
        <w:rPr>
          <w:color w:val="000000" w:themeColor="text1"/>
        </w:rPr>
        <w:t xml:space="preserve"> data </w:t>
      </w:r>
    </w:p>
    <w:p w:rsidR="00E314E4" w:rsidRPr="00A600A0" w:rsidRDefault="00E314E4" w:rsidP="00E314E4">
      <w:pPr>
        <w:pStyle w:val="BodyText120"/>
        <w:spacing w:line="240" w:lineRule="auto"/>
        <w:rPr>
          <w:rFonts w:ascii="Arial" w:hAnsi="Arial" w:cs="Arial"/>
          <w:color w:val="000000" w:themeColor="text1"/>
          <w:sz w:val="22"/>
          <w:szCs w:val="22"/>
        </w:rPr>
      </w:pPr>
      <w:r w:rsidRPr="00A600A0">
        <w:rPr>
          <w:rFonts w:ascii="Arial" w:hAnsi="Arial" w:cs="Arial"/>
          <w:color w:val="000000" w:themeColor="text1"/>
          <w:sz w:val="22"/>
          <w:szCs w:val="22"/>
        </w:rPr>
        <w:t xml:space="preserve">In addition to the adverse reactions reported during clinical studies and listed above, the following adverse reactions have been reported during </w:t>
      </w:r>
      <w:proofErr w:type="spellStart"/>
      <w:r w:rsidRPr="00A600A0">
        <w:rPr>
          <w:rFonts w:ascii="Arial" w:hAnsi="Arial" w:cs="Arial"/>
          <w:color w:val="000000" w:themeColor="text1"/>
          <w:sz w:val="22"/>
          <w:szCs w:val="22"/>
        </w:rPr>
        <w:t>postmarketing</w:t>
      </w:r>
      <w:proofErr w:type="spellEnd"/>
      <w:r w:rsidRPr="00A600A0">
        <w:rPr>
          <w:rFonts w:ascii="Arial" w:hAnsi="Arial" w:cs="Arial"/>
          <w:color w:val="000000" w:themeColor="text1"/>
          <w:sz w:val="22"/>
          <w:szCs w:val="22"/>
        </w:rPr>
        <w:t xml:space="preserve"> experience with </w:t>
      </w:r>
      <w:proofErr w:type="spellStart"/>
      <w:r w:rsidRPr="00A600A0">
        <w:rPr>
          <w:rFonts w:ascii="Arial" w:hAnsi="Arial" w:cs="Arial"/>
          <w:color w:val="000000" w:themeColor="text1"/>
          <w:sz w:val="22"/>
          <w:szCs w:val="22"/>
        </w:rPr>
        <w:t>paliperid</w:t>
      </w:r>
      <w:r>
        <w:rPr>
          <w:rFonts w:ascii="Arial" w:hAnsi="Arial" w:cs="Arial"/>
          <w:color w:val="000000" w:themeColor="text1"/>
          <w:sz w:val="22"/>
          <w:szCs w:val="22"/>
        </w:rPr>
        <w:t>one</w:t>
      </w:r>
      <w:proofErr w:type="spellEnd"/>
      <w:r>
        <w:rPr>
          <w:rFonts w:ascii="Arial" w:hAnsi="Arial" w:cs="Arial"/>
          <w:color w:val="000000" w:themeColor="text1"/>
          <w:sz w:val="22"/>
          <w:szCs w:val="22"/>
        </w:rPr>
        <w:t xml:space="preserve"> and/or risperidone (Table</w:t>
      </w:r>
      <w:r w:rsidR="000359CC">
        <w:rPr>
          <w:rFonts w:ascii="Arial" w:hAnsi="Arial" w:cs="Arial"/>
          <w:color w:val="000000" w:themeColor="text1"/>
          <w:sz w:val="22"/>
          <w:szCs w:val="22"/>
        </w:rPr>
        <w:t>4)</w:t>
      </w:r>
      <w:r w:rsidRPr="00A600A0">
        <w:rPr>
          <w:rFonts w:ascii="Arial" w:hAnsi="Arial" w:cs="Arial"/>
          <w:color w:val="000000" w:themeColor="text1"/>
          <w:sz w:val="22"/>
          <w:szCs w:val="22"/>
        </w:rPr>
        <w:t>. In each table, the frequencies are provided according to the following convention:</w:t>
      </w:r>
    </w:p>
    <w:p w:rsidR="00E314E4" w:rsidRPr="00A600A0" w:rsidRDefault="00E314E4" w:rsidP="00E314E4">
      <w:pPr>
        <w:pStyle w:val="BodyText"/>
        <w:tabs>
          <w:tab w:val="left" w:pos="2970"/>
        </w:tabs>
        <w:spacing w:after="100"/>
        <w:rPr>
          <w:color w:val="000000" w:themeColor="text1"/>
        </w:rPr>
      </w:pPr>
      <w:r w:rsidRPr="00A600A0">
        <w:rPr>
          <w:color w:val="000000" w:themeColor="text1"/>
        </w:rPr>
        <w:t>Very common</w:t>
      </w:r>
      <w:r w:rsidRPr="00A600A0">
        <w:rPr>
          <w:color w:val="000000" w:themeColor="text1"/>
        </w:rPr>
        <w:tab/>
        <w:t>≥ 1/10</w:t>
      </w:r>
    </w:p>
    <w:p w:rsidR="00E314E4" w:rsidRPr="00A600A0" w:rsidRDefault="00E314E4" w:rsidP="00E314E4">
      <w:pPr>
        <w:pStyle w:val="BodyText"/>
        <w:tabs>
          <w:tab w:val="left" w:pos="2970"/>
        </w:tabs>
        <w:spacing w:after="100"/>
        <w:rPr>
          <w:color w:val="000000" w:themeColor="text1"/>
        </w:rPr>
      </w:pPr>
      <w:r w:rsidRPr="00A600A0">
        <w:rPr>
          <w:color w:val="000000" w:themeColor="text1"/>
        </w:rPr>
        <w:t>Common</w:t>
      </w:r>
      <w:r w:rsidRPr="00A600A0">
        <w:rPr>
          <w:color w:val="000000" w:themeColor="text1"/>
        </w:rPr>
        <w:tab/>
        <w:t>≥ 1/100 and &lt; 1/10</w:t>
      </w:r>
    </w:p>
    <w:p w:rsidR="00E314E4" w:rsidRPr="00A600A0" w:rsidRDefault="00E314E4" w:rsidP="00E314E4">
      <w:pPr>
        <w:pStyle w:val="BodyText"/>
        <w:tabs>
          <w:tab w:val="left" w:pos="2970"/>
        </w:tabs>
        <w:spacing w:after="100"/>
        <w:rPr>
          <w:color w:val="000000" w:themeColor="text1"/>
        </w:rPr>
      </w:pPr>
      <w:r w:rsidRPr="00A600A0">
        <w:rPr>
          <w:color w:val="000000" w:themeColor="text1"/>
        </w:rPr>
        <w:t>Uncommon</w:t>
      </w:r>
      <w:r w:rsidRPr="00A600A0">
        <w:rPr>
          <w:color w:val="000000" w:themeColor="text1"/>
        </w:rPr>
        <w:tab/>
        <w:t>≥ 1/ 1000 and &lt; 1/100</w:t>
      </w:r>
    </w:p>
    <w:p w:rsidR="00E314E4" w:rsidRPr="00A600A0" w:rsidRDefault="00E314E4" w:rsidP="00E314E4">
      <w:pPr>
        <w:pStyle w:val="BodyText"/>
        <w:tabs>
          <w:tab w:val="left" w:pos="2970"/>
        </w:tabs>
        <w:spacing w:after="100"/>
        <w:rPr>
          <w:color w:val="000000" w:themeColor="text1"/>
        </w:rPr>
      </w:pPr>
      <w:r w:rsidRPr="00A600A0">
        <w:rPr>
          <w:color w:val="000000" w:themeColor="text1"/>
        </w:rPr>
        <w:t>Rare</w:t>
      </w:r>
      <w:r w:rsidRPr="00A600A0">
        <w:rPr>
          <w:color w:val="000000" w:themeColor="text1"/>
        </w:rPr>
        <w:tab/>
        <w:t>≥ 1/10000 and &lt; 1/1000</w:t>
      </w:r>
    </w:p>
    <w:p w:rsidR="00E314E4" w:rsidRPr="00A600A0" w:rsidRDefault="00AC42AB" w:rsidP="00E314E4">
      <w:pPr>
        <w:pStyle w:val="BodyText"/>
        <w:tabs>
          <w:tab w:val="left" w:pos="2970"/>
        </w:tabs>
        <w:rPr>
          <w:color w:val="000000" w:themeColor="text1"/>
        </w:rPr>
      </w:pPr>
      <w:proofErr w:type="gramStart"/>
      <w:r>
        <w:rPr>
          <w:color w:val="000000" w:themeColor="text1"/>
        </w:rPr>
        <w:t>Very rare</w:t>
      </w:r>
      <w:r>
        <w:rPr>
          <w:color w:val="000000" w:themeColor="text1"/>
        </w:rPr>
        <w:tab/>
        <w:t xml:space="preserve">&lt; 1/10000, </w:t>
      </w:r>
      <w:r w:rsidR="00E314E4" w:rsidRPr="00A600A0">
        <w:rPr>
          <w:color w:val="000000" w:themeColor="text1"/>
        </w:rPr>
        <w:t>including isolated reports.</w:t>
      </w:r>
      <w:proofErr w:type="gramEnd"/>
    </w:p>
    <w:p w:rsidR="00E314E4" w:rsidRDefault="00E314E4" w:rsidP="00E314E4">
      <w:pPr>
        <w:pStyle w:val="BodyText12"/>
        <w:rPr>
          <w:lang w:val="en-A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0"/>
        <w:gridCol w:w="6071"/>
      </w:tblGrid>
      <w:tr w:rsidR="00E314E4" w:rsidRPr="00A600A0" w:rsidTr="00E314E4">
        <w:trPr>
          <w:trHeight w:val="995"/>
        </w:trPr>
        <w:tc>
          <w:tcPr>
            <w:tcW w:w="9781" w:type="dxa"/>
            <w:gridSpan w:val="2"/>
            <w:tcBorders>
              <w:top w:val="nil"/>
              <w:left w:val="nil"/>
              <w:bottom w:val="single" w:sz="4" w:space="0" w:color="auto"/>
              <w:right w:val="nil"/>
            </w:tcBorders>
          </w:tcPr>
          <w:p w:rsidR="00E314E4" w:rsidRDefault="00E314E4" w:rsidP="00E314E4">
            <w:pPr>
              <w:pStyle w:val="MarkTable"/>
              <w:ind w:left="34" w:firstLine="0"/>
              <w:rPr>
                <w:rFonts w:ascii="Arial" w:hAnsi="Arial" w:cs="Arial"/>
                <w:color w:val="000000" w:themeColor="text1"/>
                <w:sz w:val="22"/>
                <w:szCs w:val="22"/>
              </w:rPr>
            </w:pPr>
          </w:p>
          <w:p w:rsidR="008636DE" w:rsidRDefault="00E314E4" w:rsidP="008636DE">
            <w:pPr>
              <w:pStyle w:val="MarkTable"/>
              <w:ind w:left="34" w:firstLine="0"/>
              <w:rPr>
                <w:rFonts w:ascii="Arial" w:hAnsi="Arial" w:cs="Arial"/>
                <w:color w:val="000000" w:themeColor="text1"/>
                <w:sz w:val="22"/>
                <w:szCs w:val="22"/>
              </w:rPr>
            </w:pPr>
            <w:r>
              <w:rPr>
                <w:rFonts w:ascii="Arial" w:hAnsi="Arial" w:cs="Arial"/>
                <w:color w:val="000000" w:themeColor="text1"/>
                <w:sz w:val="22"/>
                <w:szCs w:val="22"/>
              </w:rPr>
              <w:t xml:space="preserve">In Table </w:t>
            </w:r>
            <w:r w:rsidR="00C5649A">
              <w:rPr>
                <w:rFonts w:ascii="Arial" w:hAnsi="Arial" w:cs="Arial"/>
                <w:color w:val="000000" w:themeColor="text1"/>
                <w:sz w:val="22"/>
                <w:szCs w:val="22"/>
              </w:rPr>
              <w:t>4</w:t>
            </w:r>
            <w:r w:rsidRPr="00A600A0">
              <w:rPr>
                <w:rFonts w:ascii="Arial" w:hAnsi="Arial" w:cs="Arial"/>
                <w:color w:val="000000" w:themeColor="text1"/>
                <w:sz w:val="22"/>
                <w:szCs w:val="22"/>
              </w:rPr>
              <w:t>, adverse reactions are presented by frequency category based</w:t>
            </w:r>
            <w:r w:rsidR="00852E54">
              <w:rPr>
                <w:rFonts w:ascii="Arial" w:hAnsi="Arial" w:cs="Arial"/>
                <w:color w:val="000000" w:themeColor="text1"/>
                <w:sz w:val="22"/>
                <w:szCs w:val="22"/>
              </w:rPr>
              <w:t xml:space="preserve"> </w:t>
            </w:r>
            <w:r w:rsidRPr="00A600A0">
              <w:rPr>
                <w:rFonts w:ascii="Arial" w:hAnsi="Arial" w:cs="Arial"/>
                <w:color w:val="000000" w:themeColor="text1"/>
                <w:sz w:val="22"/>
                <w:szCs w:val="22"/>
              </w:rPr>
              <w:t>on spontaneous reporting rates</w:t>
            </w:r>
            <w:r w:rsidR="008636DE">
              <w:rPr>
                <w:rFonts w:ascii="Arial" w:hAnsi="Arial" w:cs="Arial"/>
                <w:color w:val="000000" w:themeColor="text1"/>
                <w:sz w:val="22"/>
                <w:szCs w:val="22"/>
              </w:rPr>
              <w:t xml:space="preserve"> , </w:t>
            </w:r>
          </w:p>
          <w:p w:rsidR="00E314E4" w:rsidRDefault="00E314E4" w:rsidP="00E314E4">
            <w:pPr>
              <w:pStyle w:val="MarkTable"/>
              <w:ind w:left="34" w:firstLine="0"/>
              <w:rPr>
                <w:rFonts w:ascii="Arial" w:hAnsi="Arial" w:cs="Arial"/>
                <w:color w:val="000000" w:themeColor="text1"/>
                <w:sz w:val="22"/>
                <w:szCs w:val="22"/>
              </w:rPr>
            </w:pPr>
          </w:p>
          <w:p w:rsidR="00E314E4" w:rsidRDefault="00E314E4" w:rsidP="00E314E4">
            <w:pPr>
              <w:pStyle w:val="MarkTable"/>
              <w:rPr>
                <w:rFonts w:ascii="Arial" w:hAnsi="Arial" w:cs="Arial"/>
                <w:color w:val="000000" w:themeColor="text1"/>
                <w:sz w:val="22"/>
                <w:szCs w:val="22"/>
              </w:rPr>
            </w:pPr>
          </w:p>
          <w:p w:rsidR="00E314E4" w:rsidRPr="00D22882" w:rsidRDefault="00E314E4" w:rsidP="00C5649A">
            <w:pPr>
              <w:pStyle w:val="MarkTable"/>
              <w:rPr>
                <w:rFonts w:ascii="Arial" w:hAnsi="Arial" w:cs="Arial"/>
                <w:color w:val="000000" w:themeColor="text1"/>
              </w:rPr>
            </w:pPr>
            <w:r w:rsidRPr="00D22882">
              <w:rPr>
                <w:rFonts w:ascii="Arial" w:hAnsi="Arial" w:cs="Arial"/>
                <w:b/>
                <w:bCs/>
                <w:color w:val="000000" w:themeColor="text1"/>
              </w:rPr>
              <w:t xml:space="preserve">Table </w:t>
            </w:r>
            <w:r w:rsidR="00C5649A">
              <w:rPr>
                <w:rFonts w:ascii="Arial" w:hAnsi="Arial" w:cs="Arial"/>
                <w:b/>
                <w:bCs/>
                <w:color w:val="000000" w:themeColor="text1"/>
              </w:rPr>
              <w:t>4</w:t>
            </w:r>
            <w:r w:rsidRPr="00D22882">
              <w:rPr>
                <w:rFonts w:ascii="Arial" w:hAnsi="Arial" w:cs="Arial"/>
                <w:b/>
                <w:bCs/>
                <w:color w:val="000000" w:themeColor="text1"/>
              </w:rPr>
              <w:t>.</w:t>
            </w:r>
            <w:r w:rsidRPr="00D22882">
              <w:rPr>
                <w:rFonts w:ascii="Arial" w:hAnsi="Arial" w:cs="Arial"/>
                <w:color w:val="000000" w:themeColor="text1"/>
              </w:rPr>
              <w:tab/>
            </w:r>
            <w:r w:rsidRPr="00D22882">
              <w:rPr>
                <w:rFonts w:ascii="Arial" w:hAnsi="Arial" w:cs="Arial"/>
                <w:b/>
                <w:color w:val="000000" w:themeColor="text1"/>
              </w:rPr>
              <w:t xml:space="preserve">Adverse Reactions Identified During </w:t>
            </w:r>
            <w:proofErr w:type="spellStart"/>
            <w:r w:rsidRPr="00D22882">
              <w:rPr>
                <w:rFonts w:ascii="Arial" w:hAnsi="Arial" w:cs="Arial"/>
                <w:b/>
                <w:color w:val="000000" w:themeColor="text1"/>
              </w:rPr>
              <w:t>Postmarketing</w:t>
            </w:r>
            <w:proofErr w:type="spellEnd"/>
            <w:r w:rsidRPr="00D22882">
              <w:rPr>
                <w:rFonts w:ascii="Arial" w:hAnsi="Arial" w:cs="Arial"/>
                <w:b/>
                <w:color w:val="000000" w:themeColor="text1"/>
              </w:rPr>
              <w:t xml:space="preserve"> Experience with </w:t>
            </w:r>
            <w:proofErr w:type="spellStart"/>
            <w:r w:rsidRPr="00D22882">
              <w:rPr>
                <w:rFonts w:ascii="Arial" w:hAnsi="Arial" w:cs="Arial"/>
                <w:b/>
                <w:color w:val="000000" w:themeColor="text1"/>
              </w:rPr>
              <w:t>Paliperidone</w:t>
            </w:r>
            <w:proofErr w:type="spellEnd"/>
            <w:r w:rsidRPr="00D22882">
              <w:rPr>
                <w:rFonts w:ascii="Arial" w:hAnsi="Arial" w:cs="Arial"/>
                <w:b/>
                <w:color w:val="000000" w:themeColor="text1"/>
              </w:rPr>
              <w:t xml:space="preserve"> and/or Risperidone by Frequency Category Estimated from Spontaneous Reporting Rates with Paliperidone</w:t>
            </w:r>
          </w:p>
        </w:tc>
      </w:tr>
      <w:tr w:rsidR="00E314E4" w:rsidRPr="00A600A0" w:rsidTr="00E314E4">
        <w:tblPrEx>
          <w:tblBorders>
            <w:insideH w:val="none" w:sz="0" w:space="0" w:color="auto"/>
            <w:insideV w:val="none" w:sz="0" w:space="0" w:color="auto"/>
          </w:tblBorders>
        </w:tblPrEx>
        <w:trPr>
          <w:cantSplit/>
          <w:trHeight w:val="226"/>
        </w:trPr>
        <w:tc>
          <w:tcPr>
            <w:tcW w:w="9781" w:type="dxa"/>
            <w:gridSpan w:val="2"/>
          </w:tcPr>
          <w:p w:rsidR="00E314E4" w:rsidRDefault="00E314E4" w:rsidP="00E314E4">
            <w:pPr>
              <w:keepNext/>
              <w:keepLines/>
              <w:rPr>
                <w:b/>
                <w:bCs/>
                <w:color w:val="000000" w:themeColor="text1"/>
                <w:sz w:val="20"/>
                <w:szCs w:val="20"/>
              </w:rPr>
            </w:pPr>
          </w:p>
          <w:p w:rsidR="00E314E4" w:rsidRPr="00F52D82" w:rsidRDefault="00E314E4" w:rsidP="00E314E4">
            <w:pPr>
              <w:keepNext/>
              <w:keepLines/>
              <w:rPr>
                <w:b/>
                <w:bCs/>
                <w:color w:val="000000" w:themeColor="text1"/>
                <w:sz w:val="20"/>
                <w:szCs w:val="20"/>
              </w:rPr>
            </w:pPr>
            <w:r w:rsidRPr="00F52D82">
              <w:rPr>
                <w:b/>
                <w:bCs/>
                <w:color w:val="000000" w:themeColor="text1"/>
                <w:sz w:val="20"/>
                <w:szCs w:val="20"/>
              </w:rPr>
              <w:t>Blood and lymphatic system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Agranulocytosis, Thrombocytopenia</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Endocrine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Not known</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Inappropriate antidiuretic hormone secretion</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Metabolism and nutrition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 xml:space="preserve">Diabetes mellitus, Diabetic ketoacidosis, </w:t>
            </w:r>
            <w:proofErr w:type="spellStart"/>
            <w:r w:rsidRPr="00F52D82">
              <w:rPr>
                <w:color w:val="000000" w:themeColor="text1"/>
                <w:sz w:val="20"/>
                <w:szCs w:val="20"/>
              </w:rPr>
              <w:t>Hypoglycemia</w:t>
            </w:r>
            <w:proofErr w:type="spellEnd"/>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Not known</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 xml:space="preserve">Water intoxication </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Psychiatric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Mania</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Nervous system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b/>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proofErr w:type="spellStart"/>
            <w:r w:rsidRPr="00F52D82">
              <w:rPr>
                <w:color w:val="000000" w:themeColor="text1"/>
                <w:sz w:val="20"/>
                <w:szCs w:val="20"/>
              </w:rPr>
              <w:t>Dysgeusia</w:t>
            </w:r>
            <w:proofErr w:type="spellEnd"/>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Eye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Not known</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Floppy iris syndrome (intraoperative)</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Cardiac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Atrial fibrillation</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Vascular disorder</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b/>
                <w:color w:val="000000" w:themeColor="text1"/>
                <w:sz w:val="20"/>
                <w:szCs w:val="20"/>
              </w:rPr>
            </w:pPr>
            <w:r w:rsidRPr="00F52D82">
              <w:rPr>
                <w:i/>
                <w:iCs/>
                <w:color w:val="000000" w:themeColor="text1"/>
                <w:sz w:val="20"/>
                <w:szCs w:val="20"/>
              </w:rPr>
              <w:t>Very rare</w:t>
            </w:r>
          </w:p>
        </w:tc>
        <w:tc>
          <w:tcPr>
            <w:tcW w:w="6071" w:type="dxa"/>
          </w:tcPr>
          <w:p w:rsidR="00E314E4" w:rsidRPr="00F52D82" w:rsidRDefault="00B230AA" w:rsidP="00E314E4">
            <w:pPr>
              <w:keepNext/>
              <w:keepLines/>
              <w:rPr>
                <w:color w:val="000000" w:themeColor="text1"/>
                <w:sz w:val="20"/>
                <w:szCs w:val="20"/>
              </w:rPr>
            </w:pPr>
            <w:r>
              <w:rPr>
                <w:color w:val="000000" w:themeColor="text1"/>
                <w:sz w:val="20"/>
                <w:szCs w:val="20"/>
              </w:rPr>
              <w:t>Venous</w:t>
            </w:r>
            <w:r w:rsidR="00E314E4" w:rsidRPr="00F52D82">
              <w:rPr>
                <w:color w:val="000000" w:themeColor="text1"/>
                <w:sz w:val="20"/>
                <w:szCs w:val="20"/>
              </w:rPr>
              <w:t xml:space="preserve"> thrombosis, Pulmonary embolism</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Respiratory, thoracic and mediastinal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 xml:space="preserve">Sleep </w:t>
            </w:r>
            <w:proofErr w:type="spellStart"/>
            <w:r w:rsidRPr="00F52D82">
              <w:rPr>
                <w:color w:val="000000" w:themeColor="text1"/>
                <w:sz w:val="20"/>
                <w:szCs w:val="20"/>
              </w:rPr>
              <w:t>apnea</w:t>
            </w:r>
            <w:proofErr w:type="spellEnd"/>
            <w:r w:rsidRPr="00F52D82">
              <w:rPr>
                <w:color w:val="000000" w:themeColor="text1"/>
                <w:sz w:val="20"/>
                <w:szCs w:val="20"/>
              </w:rPr>
              <w:t xml:space="preserve"> syndrome</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Gastrointestinal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Pancreatitis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Ileus</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Hepatobiliary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Not known</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Jaundice</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Skin and subcutaneous tissue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Angioedema</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 xml:space="preserve">Alopecia </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Renal and urinary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Urinary retention</w:t>
            </w:r>
          </w:p>
        </w:tc>
      </w:tr>
      <w:tr w:rsidR="00E314E4" w:rsidRPr="00A600A0" w:rsidTr="00E314E4">
        <w:tblPrEx>
          <w:tblBorders>
            <w:insideH w:val="none" w:sz="0" w:space="0" w:color="auto"/>
            <w:insideV w:val="none" w:sz="0" w:space="0" w:color="auto"/>
          </w:tblBorders>
        </w:tblPrEx>
        <w:trPr>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Pregnancy, puerperium and perinatal conditions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Drug withdrawal syndrome neonatal</w:t>
            </w:r>
          </w:p>
        </w:tc>
      </w:tr>
      <w:tr w:rsidR="00E314E4" w:rsidRPr="00A600A0" w:rsidTr="00E314E4">
        <w:tblPrEx>
          <w:tblBorders>
            <w:insideH w:val="none" w:sz="0" w:space="0" w:color="auto"/>
            <w:insideV w:val="none" w:sz="0" w:space="0" w:color="auto"/>
          </w:tblBorders>
        </w:tblPrEx>
        <w:trPr>
          <w:cantSplit/>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Reproductive system and breast disorders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Priapism</w:t>
            </w:r>
          </w:p>
        </w:tc>
      </w:tr>
      <w:tr w:rsidR="00E314E4" w:rsidRPr="00A600A0" w:rsidTr="00E314E4">
        <w:tblPrEx>
          <w:tblBorders>
            <w:insideH w:val="none" w:sz="0" w:space="0" w:color="auto"/>
            <w:insideV w:val="none" w:sz="0" w:space="0" w:color="auto"/>
          </w:tblBorders>
        </w:tblPrEx>
        <w:trPr>
          <w:cantSplit/>
          <w:trHeight w:val="226"/>
        </w:trPr>
        <w:tc>
          <w:tcPr>
            <w:tcW w:w="9781" w:type="dxa"/>
            <w:gridSpan w:val="2"/>
          </w:tcPr>
          <w:p w:rsidR="00E314E4" w:rsidRPr="00F52D82" w:rsidRDefault="00E314E4" w:rsidP="00E314E4">
            <w:pPr>
              <w:keepNext/>
              <w:keepLines/>
              <w:rPr>
                <w:b/>
                <w:color w:val="000000" w:themeColor="text1"/>
                <w:sz w:val="20"/>
                <w:szCs w:val="20"/>
              </w:rPr>
            </w:pPr>
            <w:r w:rsidRPr="00F52D82">
              <w:rPr>
                <w:b/>
                <w:color w:val="000000" w:themeColor="text1"/>
                <w:sz w:val="20"/>
                <w:szCs w:val="20"/>
              </w:rPr>
              <w:t>General disorders and administration site conditions</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Very rare</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Hypothermia, Injection site abscess, Injection site cellulitis, Injection site hematoma</w:t>
            </w:r>
          </w:p>
        </w:tc>
      </w:tr>
      <w:tr w:rsidR="00E314E4" w:rsidRPr="00A600A0" w:rsidTr="00E314E4">
        <w:tblPrEx>
          <w:tblBorders>
            <w:insideH w:val="none" w:sz="0" w:space="0" w:color="auto"/>
            <w:insideV w:val="none" w:sz="0" w:space="0" w:color="auto"/>
          </w:tblBorders>
        </w:tblPrEx>
        <w:trPr>
          <w:trHeight w:val="226"/>
        </w:trPr>
        <w:tc>
          <w:tcPr>
            <w:tcW w:w="3710" w:type="dxa"/>
          </w:tcPr>
          <w:p w:rsidR="00E314E4" w:rsidRPr="00F52D82" w:rsidRDefault="00E314E4" w:rsidP="00E314E4">
            <w:pPr>
              <w:keepNext/>
              <w:keepLines/>
              <w:rPr>
                <w:i/>
                <w:iCs/>
                <w:color w:val="000000" w:themeColor="text1"/>
                <w:sz w:val="20"/>
                <w:szCs w:val="20"/>
              </w:rPr>
            </w:pPr>
            <w:r w:rsidRPr="00F52D82">
              <w:rPr>
                <w:i/>
                <w:iCs/>
                <w:color w:val="000000" w:themeColor="text1"/>
                <w:sz w:val="20"/>
                <w:szCs w:val="20"/>
              </w:rPr>
              <w:t>Not known</w:t>
            </w:r>
          </w:p>
        </w:tc>
        <w:tc>
          <w:tcPr>
            <w:tcW w:w="6071" w:type="dxa"/>
          </w:tcPr>
          <w:p w:rsidR="00E314E4" w:rsidRPr="00F52D82" w:rsidRDefault="00E314E4" w:rsidP="00E314E4">
            <w:pPr>
              <w:keepNext/>
              <w:keepLines/>
              <w:rPr>
                <w:color w:val="000000" w:themeColor="text1"/>
                <w:sz w:val="20"/>
                <w:szCs w:val="20"/>
              </w:rPr>
            </w:pPr>
            <w:r w:rsidRPr="00F52D82">
              <w:rPr>
                <w:color w:val="000000" w:themeColor="text1"/>
                <w:sz w:val="20"/>
                <w:szCs w:val="20"/>
              </w:rPr>
              <w:t>Injection site cyst, Injection site necrosis, Injection site ulcer</w:t>
            </w:r>
          </w:p>
        </w:tc>
      </w:tr>
    </w:tbl>
    <w:p w:rsidR="00E314E4" w:rsidRPr="00A600A0" w:rsidRDefault="00E314E4" w:rsidP="00E314E4">
      <w:pPr>
        <w:pStyle w:val="BodyText"/>
        <w:rPr>
          <w:color w:val="000000" w:themeColor="text1"/>
          <w:sz w:val="20"/>
          <w:szCs w:val="20"/>
        </w:rPr>
      </w:pPr>
    </w:p>
    <w:p w:rsidR="00E314E4" w:rsidRPr="00E314E4" w:rsidRDefault="00E314E4" w:rsidP="00E314E4">
      <w:pPr>
        <w:pStyle w:val="BodyText120"/>
        <w:rPr>
          <w:rFonts w:ascii="Arial" w:hAnsi="Arial" w:cs="Arial"/>
          <w:sz w:val="22"/>
          <w:szCs w:val="22"/>
        </w:rPr>
      </w:pPr>
      <w:r w:rsidRPr="00F52D82">
        <w:rPr>
          <w:rFonts w:ascii="Arial" w:hAnsi="Arial" w:cs="Arial"/>
          <w:sz w:val="22"/>
          <w:szCs w:val="22"/>
        </w:rPr>
        <w:t xml:space="preserve">Very rarely, cases of anaphylactic </w:t>
      </w:r>
      <w:r w:rsidR="004759BE">
        <w:rPr>
          <w:rFonts w:ascii="Arial" w:hAnsi="Arial" w:cs="Arial"/>
          <w:sz w:val="22"/>
          <w:szCs w:val="22"/>
        </w:rPr>
        <w:t>reaction after administration</w:t>
      </w:r>
      <w:r w:rsidR="0076522B">
        <w:rPr>
          <w:rFonts w:ascii="Arial" w:hAnsi="Arial" w:cs="Arial"/>
          <w:sz w:val="22"/>
          <w:szCs w:val="22"/>
        </w:rPr>
        <w:t xml:space="preserve"> </w:t>
      </w:r>
      <w:r w:rsidR="0076522B" w:rsidRPr="004759BE">
        <w:rPr>
          <w:rFonts w:ascii="Arial" w:hAnsi="Arial" w:cs="Arial"/>
          <w:sz w:val="22"/>
          <w:szCs w:val="22"/>
        </w:rPr>
        <w:t>of the 1-month paliperidone palmitate</w:t>
      </w:r>
      <w:r w:rsidRPr="0076522B">
        <w:rPr>
          <w:rFonts w:ascii="Arial" w:hAnsi="Arial" w:cs="Arial"/>
          <w:sz w:val="22"/>
          <w:szCs w:val="22"/>
        </w:rPr>
        <w:t xml:space="preserve"> injectable </w:t>
      </w:r>
      <w:r w:rsidR="0076522B" w:rsidRPr="0076522B">
        <w:rPr>
          <w:rFonts w:ascii="Arial" w:hAnsi="Arial" w:cs="Arial"/>
          <w:sz w:val="22"/>
          <w:szCs w:val="22"/>
        </w:rPr>
        <w:t xml:space="preserve">product </w:t>
      </w:r>
      <w:r w:rsidRPr="00F52D82">
        <w:rPr>
          <w:rFonts w:ascii="Arial" w:hAnsi="Arial" w:cs="Arial"/>
          <w:sz w:val="22"/>
          <w:szCs w:val="22"/>
        </w:rPr>
        <w:t xml:space="preserve">have been reported during </w:t>
      </w:r>
      <w:proofErr w:type="spellStart"/>
      <w:r w:rsidRPr="00F52D82">
        <w:rPr>
          <w:rFonts w:ascii="Arial" w:hAnsi="Arial" w:cs="Arial"/>
          <w:sz w:val="22"/>
          <w:szCs w:val="22"/>
        </w:rPr>
        <w:t>postmarketing</w:t>
      </w:r>
      <w:proofErr w:type="spellEnd"/>
      <w:r w:rsidRPr="00F52D82">
        <w:rPr>
          <w:rFonts w:ascii="Arial" w:hAnsi="Arial" w:cs="Arial"/>
          <w:sz w:val="22"/>
          <w:szCs w:val="22"/>
        </w:rPr>
        <w:t xml:space="preserve"> experience in patients who have previously tolerated oral risperidone or oral paliperidone.</w:t>
      </w:r>
      <w:bookmarkStart w:id="62" w:name="_Discontinuations_Due_to"/>
      <w:bookmarkEnd w:id="62"/>
    </w:p>
    <w:p w:rsidR="009921E8" w:rsidRPr="007B6CEF" w:rsidRDefault="009921E8">
      <w:pPr>
        <w:pStyle w:val="Heading1"/>
        <w:rPr>
          <w:color w:val="auto"/>
          <w:sz w:val="20"/>
        </w:rPr>
      </w:pPr>
      <w:r w:rsidRPr="007B6CEF">
        <w:rPr>
          <w:color w:val="auto"/>
        </w:rPr>
        <w:t>DOSAGE AND ADMINISTRATION</w:t>
      </w:r>
    </w:p>
    <w:p w:rsidR="00E314E4" w:rsidRDefault="00E314E4" w:rsidP="00E314E4">
      <w:pPr>
        <w:pStyle w:val="Heading2"/>
        <w:rPr>
          <w:b w:val="0"/>
          <w:color w:val="auto"/>
          <w:sz w:val="22"/>
          <w:szCs w:val="22"/>
        </w:rPr>
      </w:pPr>
      <w:bookmarkStart w:id="63" w:name="_Toc219801019"/>
      <w:bookmarkStart w:id="64" w:name="_Toc219801013"/>
      <w:r w:rsidRPr="00FE0AF2">
        <w:rPr>
          <w:b w:val="0"/>
          <w:color w:val="auto"/>
          <w:sz w:val="22"/>
          <w:szCs w:val="22"/>
        </w:rPr>
        <w:t>INVEGA TRINZA is to be used only after the 1</w:t>
      </w:r>
      <w:r w:rsidRPr="00FE0AF2">
        <w:rPr>
          <w:b w:val="0"/>
          <w:color w:val="auto"/>
          <w:sz w:val="22"/>
          <w:szCs w:val="22"/>
        </w:rPr>
        <w:noBreakHyphen/>
        <w:t>month paliperidone palmitate injectable product has been established as adequate treatment for at least four months. In order to establish a consistent maintenance dose, it is recommended that the last two doses of the 1-month injection be the same dosage strength before starting INVEGA TRINZA.</w:t>
      </w:r>
    </w:p>
    <w:p w:rsidR="00E314E4" w:rsidRPr="00C77433" w:rsidRDefault="00E314E4" w:rsidP="00E314E4"/>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lastRenderedPageBreak/>
        <w:t xml:space="preserve">Initiate INVEGA TRINZA at the time when the next 1-month paliperidone palmitate dose was to be scheduled with </w:t>
      </w:r>
      <w:proofErr w:type="gramStart"/>
      <w:r w:rsidRPr="00F52D82">
        <w:rPr>
          <w:rFonts w:ascii="Arial" w:hAnsi="Arial" w:cs="Arial"/>
          <w:sz w:val="22"/>
          <w:szCs w:val="22"/>
        </w:rPr>
        <w:t>a</w:t>
      </w:r>
      <w:proofErr w:type="gramEnd"/>
      <w:r w:rsidRPr="00F52D82">
        <w:rPr>
          <w:rFonts w:ascii="Arial" w:hAnsi="Arial" w:cs="Arial"/>
          <w:sz w:val="22"/>
          <w:szCs w:val="22"/>
        </w:rPr>
        <w:t xml:space="preserve"> INVEGA TRINZA dose based on the previous 1-month injection dose as shown </w:t>
      </w:r>
      <w:r>
        <w:rPr>
          <w:rFonts w:ascii="Arial" w:hAnsi="Arial" w:cs="Arial"/>
          <w:sz w:val="22"/>
          <w:szCs w:val="22"/>
        </w:rPr>
        <w:t xml:space="preserve">in Table </w:t>
      </w:r>
      <w:r w:rsidR="00C5649A">
        <w:rPr>
          <w:rFonts w:ascii="Arial" w:hAnsi="Arial" w:cs="Arial"/>
          <w:sz w:val="22"/>
          <w:szCs w:val="22"/>
        </w:rPr>
        <w:t>5</w:t>
      </w:r>
      <w:r w:rsidRPr="00F52D82">
        <w:rPr>
          <w:rFonts w:ascii="Arial" w:hAnsi="Arial" w:cs="Arial"/>
          <w:sz w:val="22"/>
          <w:szCs w:val="22"/>
        </w:rPr>
        <w:t>. INVEGA TRINZA may be administered up to 7 days before or after the monthly time point of the next scheduled paliperidone palmitate 1-month dose.</w:t>
      </w:r>
    </w:p>
    <w:p w:rsidR="00E314E4" w:rsidRPr="00D22882" w:rsidRDefault="00E314E4" w:rsidP="00E314E4">
      <w:pPr>
        <w:keepNext/>
        <w:shd w:val="clear" w:color="auto" w:fill="FFFFFF" w:themeFill="background1"/>
        <w:ind w:left="2160" w:hanging="1440"/>
        <w:rPr>
          <w:b/>
          <w:sz w:val="20"/>
          <w:szCs w:val="20"/>
        </w:rPr>
      </w:pPr>
      <w:proofErr w:type="gramStart"/>
      <w:r w:rsidRPr="00D22882">
        <w:rPr>
          <w:b/>
          <w:sz w:val="20"/>
          <w:szCs w:val="20"/>
        </w:rPr>
        <w:t xml:space="preserve">Table </w:t>
      </w:r>
      <w:r w:rsidR="00C5649A">
        <w:rPr>
          <w:b/>
          <w:sz w:val="20"/>
          <w:szCs w:val="20"/>
        </w:rPr>
        <w:t>5</w:t>
      </w:r>
      <w:r w:rsidRPr="00D22882">
        <w:rPr>
          <w:b/>
          <w:sz w:val="20"/>
          <w:szCs w:val="20"/>
        </w:rPr>
        <w:t>.</w:t>
      </w:r>
      <w:proofErr w:type="gramEnd"/>
      <w:r w:rsidRPr="00D22882">
        <w:rPr>
          <w:b/>
          <w:sz w:val="20"/>
          <w:szCs w:val="20"/>
        </w:rPr>
        <w:t xml:space="preserve"> </w:t>
      </w:r>
      <w:r w:rsidRPr="00D22882">
        <w:rPr>
          <w:b/>
          <w:sz w:val="20"/>
          <w:szCs w:val="20"/>
        </w:rPr>
        <w:tab/>
        <w:t xml:space="preserve">Conversion </w:t>
      </w:r>
      <w:proofErr w:type="gramStart"/>
      <w:r w:rsidRPr="00D22882">
        <w:rPr>
          <w:b/>
          <w:sz w:val="20"/>
          <w:szCs w:val="20"/>
        </w:rPr>
        <w:t>From</w:t>
      </w:r>
      <w:proofErr w:type="gramEnd"/>
      <w:r w:rsidRPr="00D22882">
        <w:rPr>
          <w:b/>
          <w:sz w:val="20"/>
          <w:szCs w:val="20"/>
        </w:rPr>
        <w:t xml:space="preserve"> the Last Paliperidone Palmitate 1-Month Injectable Product Dose To the Paliperidone Palmitate 3-Month Injectable Product</w:t>
      </w:r>
    </w:p>
    <w:p w:rsidR="00E314E4" w:rsidRPr="00D22882" w:rsidRDefault="00E314E4" w:rsidP="00E314E4">
      <w:pPr>
        <w:keepNext/>
        <w:ind w:left="1440" w:firstLine="720"/>
        <w:rPr>
          <w:b/>
          <w:sz w:val="20"/>
          <w:szCs w:val="20"/>
        </w:rPr>
      </w:pPr>
      <w:r w:rsidRPr="00D22882">
        <w:rPr>
          <w:b/>
          <w:sz w:val="20"/>
          <w:szCs w:val="20"/>
        </w:rPr>
        <w:t>(INVEGA TRINZA) Dose Using 3.5 as a Multiplier</w:t>
      </w:r>
    </w:p>
    <w:p w:rsidR="00E314E4" w:rsidRPr="000619F2" w:rsidRDefault="00E314E4" w:rsidP="00E314E4">
      <w:pPr>
        <w:keepNext/>
        <w:ind w:left="3600" w:firstLine="720"/>
      </w:pPr>
    </w:p>
    <w:tbl>
      <w:tblPr>
        <w:tblW w:w="0" w:type="auto"/>
        <w:tblInd w:w="3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450"/>
        <w:gridCol w:w="2070"/>
      </w:tblGrid>
      <w:tr w:rsidR="00E314E4" w:rsidRPr="000619F2" w:rsidTr="00E314E4">
        <w:tc>
          <w:tcPr>
            <w:tcW w:w="2138" w:type="dxa"/>
            <w:shd w:val="clear" w:color="auto" w:fill="auto"/>
          </w:tcPr>
          <w:p w:rsidR="00E314E4" w:rsidRPr="008C2BC9" w:rsidRDefault="00E314E4" w:rsidP="00E314E4">
            <w:pPr>
              <w:keepNext/>
              <w:jc w:val="center"/>
              <w:rPr>
                <w:b/>
                <w:sz w:val="20"/>
                <w:szCs w:val="20"/>
              </w:rPr>
            </w:pPr>
            <w:r w:rsidRPr="008C2BC9">
              <w:rPr>
                <w:b/>
                <w:sz w:val="20"/>
                <w:szCs w:val="20"/>
              </w:rPr>
              <w:t>If the last</w:t>
            </w:r>
          </w:p>
          <w:p w:rsidR="00E314E4" w:rsidRPr="008C2BC9" w:rsidRDefault="00E314E4" w:rsidP="00E314E4">
            <w:pPr>
              <w:keepNext/>
              <w:jc w:val="center"/>
              <w:rPr>
                <w:b/>
                <w:sz w:val="20"/>
                <w:szCs w:val="20"/>
              </w:rPr>
            </w:pPr>
            <w:r w:rsidRPr="008C2BC9">
              <w:rPr>
                <w:b/>
                <w:sz w:val="20"/>
                <w:szCs w:val="20"/>
              </w:rPr>
              <w:t>1-month paliperidone palmitate injection dose is:</w:t>
            </w:r>
          </w:p>
          <w:p w:rsidR="00E314E4" w:rsidRPr="008C2BC9" w:rsidRDefault="00E314E4" w:rsidP="00E314E4">
            <w:pPr>
              <w:keepNext/>
              <w:jc w:val="center"/>
              <w:rPr>
                <w:b/>
                <w:sz w:val="20"/>
                <w:szCs w:val="20"/>
              </w:rPr>
            </w:pPr>
          </w:p>
        </w:tc>
        <w:tc>
          <w:tcPr>
            <w:tcW w:w="450" w:type="dxa"/>
            <w:tcBorders>
              <w:bottom w:val="single" w:sz="4" w:space="0" w:color="auto"/>
            </w:tcBorders>
            <w:shd w:val="clear" w:color="auto" w:fill="auto"/>
          </w:tcPr>
          <w:p w:rsidR="00E314E4" w:rsidRPr="008C2BC9" w:rsidRDefault="00E314E4" w:rsidP="00E314E4">
            <w:pPr>
              <w:keepNext/>
              <w:jc w:val="center"/>
              <w:rPr>
                <w:b/>
                <w:sz w:val="20"/>
                <w:szCs w:val="20"/>
              </w:rPr>
            </w:pPr>
          </w:p>
        </w:tc>
        <w:tc>
          <w:tcPr>
            <w:tcW w:w="2070" w:type="dxa"/>
            <w:shd w:val="clear" w:color="auto" w:fill="auto"/>
          </w:tcPr>
          <w:p w:rsidR="00E314E4" w:rsidRPr="008C2BC9" w:rsidRDefault="00E314E4" w:rsidP="00E314E4">
            <w:pPr>
              <w:keepNext/>
              <w:jc w:val="center"/>
              <w:rPr>
                <w:b/>
                <w:sz w:val="20"/>
                <w:szCs w:val="20"/>
              </w:rPr>
            </w:pPr>
            <w:r w:rsidRPr="008C2BC9">
              <w:rPr>
                <w:b/>
                <w:sz w:val="20"/>
                <w:szCs w:val="20"/>
              </w:rPr>
              <w:t>Initiate INVEGA TRINZA at the following dose:</w:t>
            </w:r>
          </w:p>
          <w:p w:rsidR="00E314E4" w:rsidRPr="008C2BC9" w:rsidRDefault="00E314E4" w:rsidP="00E314E4">
            <w:pPr>
              <w:keepNext/>
              <w:jc w:val="center"/>
              <w:rPr>
                <w:b/>
                <w:sz w:val="20"/>
                <w:szCs w:val="20"/>
              </w:rPr>
            </w:pPr>
          </w:p>
        </w:tc>
      </w:tr>
      <w:tr w:rsidR="00E314E4" w:rsidRPr="000619F2" w:rsidTr="00E314E4">
        <w:tc>
          <w:tcPr>
            <w:tcW w:w="2138" w:type="dxa"/>
            <w:tcBorders>
              <w:right w:val="nil"/>
            </w:tcBorders>
            <w:shd w:val="clear" w:color="auto" w:fill="auto"/>
          </w:tcPr>
          <w:p w:rsidR="00E314E4" w:rsidRPr="008C2BC9" w:rsidRDefault="00E314E4" w:rsidP="00E314E4">
            <w:pPr>
              <w:keepNext/>
              <w:jc w:val="center"/>
              <w:rPr>
                <w:sz w:val="20"/>
                <w:szCs w:val="20"/>
              </w:rPr>
            </w:pPr>
            <w:r w:rsidRPr="008C2BC9">
              <w:rPr>
                <w:sz w:val="20"/>
                <w:szCs w:val="20"/>
              </w:rPr>
              <w:t>50 mg</w:t>
            </w:r>
          </w:p>
        </w:tc>
        <w:tc>
          <w:tcPr>
            <w:tcW w:w="450" w:type="dxa"/>
            <w:tcBorders>
              <w:left w:val="nil"/>
              <w:right w:val="nil"/>
            </w:tcBorders>
            <w:shd w:val="clear" w:color="auto" w:fill="auto"/>
          </w:tcPr>
          <w:p w:rsidR="00E314E4" w:rsidRPr="008C2BC9" w:rsidRDefault="00E314E4" w:rsidP="00E314E4">
            <w:pPr>
              <w:keepNext/>
              <w:jc w:val="center"/>
              <w:rPr>
                <w:sz w:val="20"/>
                <w:szCs w:val="20"/>
              </w:rPr>
            </w:pPr>
            <w:r w:rsidRPr="008C2BC9">
              <w:rPr>
                <w:sz w:val="20"/>
                <w:szCs w:val="20"/>
              </w:rPr>
              <w:sym w:font="Wingdings" w:char="F0E0"/>
            </w:r>
          </w:p>
        </w:tc>
        <w:tc>
          <w:tcPr>
            <w:tcW w:w="2070" w:type="dxa"/>
            <w:tcBorders>
              <w:left w:val="nil"/>
            </w:tcBorders>
            <w:shd w:val="clear" w:color="auto" w:fill="auto"/>
          </w:tcPr>
          <w:p w:rsidR="00E314E4" w:rsidRPr="008C2BC9" w:rsidRDefault="00E314E4" w:rsidP="00E314E4">
            <w:pPr>
              <w:keepNext/>
              <w:jc w:val="center"/>
              <w:rPr>
                <w:sz w:val="20"/>
                <w:szCs w:val="20"/>
              </w:rPr>
            </w:pPr>
            <w:r w:rsidRPr="008C2BC9">
              <w:rPr>
                <w:sz w:val="20"/>
                <w:szCs w:val="20"/>
              </w:rPr>
              <w:t>175 mg</w:t>
            </w:r>
          </w:p>
        </w:tc>
      </w:tr>
      <w:tr w:rsidR="00E314E4" w:rsidRPr="000619F2" w:rsidTr="00E314E4">
        <w:tc>
          <w:tcPr>
            <w:tcW w:w="2138" w:type="dxa"/>
            <w:tcBorders>
              <w:right w:val="nil"/>
            </w:tcBorders>
            <w:shd w:val="clear" w:color="auto" w:fill="auto"/>
          </w:tcPr>
          <w:p w:rsidR="00E314E4" w:rsidRPr="008C2BC9" w:rsidRDefault="00E314E4" w:rsidP="00E314E4">
            <w:pPr>
              <w:keepNext/>
              <w:jc w:val="center"/>
              <w:rPr>
                <w:sz w:val="20"/>
                <w:szCs w:val="20"/>
              </w:rPr>
            </w:pPr>
            <w:r w:rsidRPr="008C2BC9">
              <w:rPr>
                <w:sz w:val="20"/>
                <w:szCs w:val="20"/>
              </w:rPr>
              <w:t>75 mg</w:t>
            </w:r>
          </w:p>
        </w:tc>
        <w:tc>
          <w:tcPr>
            <w:tcW w:w="450" w:type="dxa"/>
            <w:tcBorders>
              <w:left w:val="nil"/>
              <w:right w:val="nil"/>
            </w:tcBorders>
            <w:shd w:val="clear" w:color="auto" w:fill="auto"/>
          </w:tcPr>
          <w:p w:rsidR="00E314E4" w:rsidRPr="008C2BC9" w:rsidRDefault="00E314E4" w:rsidP="00E314E4">
            <w:pPr>
              <w:keepNext/>
              <w:jc w:val="center"/>
              <w:rPr>
                <w:sz w:val="20"/>
                <w:szCs w:val="20"/>
              </w:rPr>
            </w:pPr>
            <w:r w:rsidRPr="008C2BC9">
              <w:rPr>
                <w:sz w:val="20"/>
                <w:szCs w:val="20"/>
              </w:rPr>
              <w:sym w:font="Wingdings" w:char="F0E0"/>
            </w:r>
          </w:p>
        </w:tc>
        <w:tc>
          <w:tcPr>
            <w:tcW w:w="2070" w:type="dxa"/>
            <w:tcBorders>
              <w:left w:val="nil"/>
            </w:tcBorders>
            <w:shd w:val="clear" w:color="auto" w:fill="auto"/>
          </w:tcPr>
          <w:p w:rsidR="00E314E4" w:rsidRPr="008C2BC9" w:rsidRDefault="00E314E4" w:rsidP="00E314E4">
            <w:pPr>
              <w:keepNext/>
              <w:jc w:val="center"/>
              <w:rPr>
                <w:sz w:val="20"/>
                <w:szCs w:val="20"/>
              </w:rPr>
            </w:pPr>
            <w:r w:rsidRPr="008C2BC9">
              <w:rPr>
                <w:sz w:val="20"/>
                <w:szCs w:val="20"/>
              </w:rPr>
              <w:t>263 mg</w:t>
            </w:r>
          </w:p>
        </w:tc>
      </w:tr>
      <w:tr w:rsidR="00E314E4" w:rsidRPr="000619F2" w:rsidTr="00E314E4">
        <w:tc>
          <w:tcPr>
            <w:tcW w:w="2138" w:type="dxa"/>
            <w:tcBorders>
              <w:right w:val="nil"/>
            </w:tcBorders>
            <w:shd w:val="clear" w:color="auto" w:fill="auto"/>
          </w:tcPr>
          <w:p w:rsidR="00E314E4" w:rsidRPr="008C2BC9" w:rsidRDefault="00E314E4" w:rsidP="00E314E4">
            <w:pPr>
              <w:keepNext/>
              <w:jc w:val="center"/>
              <w:rPr>
                <w:sz w:val="20"/>
                <w:szCs w:val="20"/>
              </w:rPr>
            </w:pPr>
            <w:r w:rsidRPr="008C2BC9">
              <w:rPr>
                <w:sz w:val="20"/>
                <w:szCs w:val="20"/>
              </w:rPr>
              <w:t>100 mg</w:t>
            </w:r>
          </w:p>
        </w:tc>
        <w:tc>
          <w:tcPr>
            <w:tcW w:w="450" w:type="dxa"/>
            <w:tcBorders>
              <w:left w:val="nil"/>
              <w:right w:val="nil"/>
            </w:tcBorders>
            <w:shd w:val="clear" w:color="auto" w:fill="auto"/>
          </w:tcPr>
          <w:p w:rsidR="00E314E4" w:rsidRPr="008C2BC9" w:rsidRDefault="00E314E4" w:rsidP="00E314E4">
            <w:pPr>
              <w:keepNext/>
              <w:jc w:val="center"/>
              <w:rPr>
                <w:sz w:val="20"/>
                <w:szCs w:val="20"/>
              </w:rPr>
            </w:pPr>
            <w:r w:rsidRPr="008C2BC9">
              <w:rPr>
                <w:sz w:val="20"/>
                <w:szCs w:val="20"/>
              </w:rPr>
              <w:sym w:font="Wingdings" w:char="F0E0"/>
            </w:r>
          </w:p>
        </w:tc>
        <w:tc>
          <w:tcPr>
            <w:tcW w:w="2070" w:type="dxa"/>
            <w:tcBorders>
              <w:left w:val="nil"/>
            </w:tcBorders>
            <w:shd w:val="clear" w:color="auto" w:fill="auto"/>
          </w:tcPr>
          <w:p w:rsidR="00E314E4" w:rsidRPr="008C2BC9" w:rsidRDefault="00E314E4" w:rsidP="00E314E4">
            <w:pPr>
              <w:keepNext/>
              <w:jc w:val="center"/>
              <w:rPr>
                <w:sz w:val="20"/>
                <w:szCs w:val="20"/>
              </w:rPr>
            </w:pPr>
            <w:r w:rsidRPr="008C2BC9">
              <w:rPr>
                <w:sz w:val="20"/>
                <w:szCs w:val="20"/>
              </w:rPr>
              <w:t>350 mg</w:t>
            </w:r>
          </w:p>
        </w:tc>
      </w:tr>
      <w:tr w:rsidR="00E314E4" w:rsidRPr="000619F2" w:rsidTr="00E314E4">
        <w:tc>
          <w:tcPr>
            <w:tcW w:w="2138" w:type="dxa"/>
            <w:tcBorders>
              <w:right w:val="nil"/>
            </w:tcBorders>
            <w:shd w:val="clear" w:color="auto" w:fill="auto"/>
          </w:tcPr>
          <w:p w:rsidR="00E314E4" w:rsidRPr="008C2BC9" w:rsidRDefault="00E314E4" w:rsidP="00E314E4">
            <w:pPr>
              <w:keepNext/>
              <w:jc w:val="center"/>
              <w:rPr>
                <w:sz w:val="20"/>
                <w:szCs w:val="20"/>
              </w:rPr>
            </w:pPr>
            <w:r w:rsidRPr="008C2BC9">
              <w:rPr>
                <w:sz w:val="20"/>
                <w:szCs w:val="20"/>
              </w:rPr>
              <w:t>150 mg</w:t>
            </w:r>
          </w:p>
        </w:tc>
        <w:tc>
          <w:tcPr>
            <w:tcW w:w="450" w:type="dxa"/>
            <w:tcBorders>
              <w:left w:val="nil"/>
              <w:right w:val="nil"/>
            </w:tcBorders>
            <w:shd w:val="clear" w:color="auto" w:fill="auto"/>
          </w:tcPr>
          <w:p w:rsidR="00E314E4" w:rsidRPr="008C2BC9" w:rsidRDefault="00E314E4" w:rsidP="00E314E4">
            <w:pPr>
              <w:keepNext/>
              <w:jc w:val="center"/>
              <w:rPr>
                <w:sz w:val="20"/>
                <w:szCs w:val="20"/>
              </w:rPr>
            </w:pPr>
            <w:r w:rsidRPr="008C2BC9">
              <w:rPr>
                <w:sz w:val="20"/>
                <w:szCs w:val="20"/>
              </w:rPr>
              <w:sym w:font="Wingdings" w:char="F0E0"/>
            </w:r>
          </w:p>
        </w:tc>
        <w:tc>
          <w:tcPr>
            <w:tcW w:w="2070" w:type="dxa"/>
            <w:tcBorders>
              <w:left w:val="nil"/>
            </w:tcBorders>
            <w:shd w:val="clear" w:color="auto" w:fill="auto"/>
          </w:tcPr>
          <w:p w:rsidR="00E314E4" w:rsidRPr="008C2BC9" w:rsidRDefault="00E314E4" w:rsidP="00E314E4">
            <w:pPr>
              <w:keepNext/>
              <w:jc w:val="center"/>
              <w:rPr>
                <w:sz w:val="20"/>
                <w:szCs w:val="20"/>
              </w:rPr>
            </w:pPr>
            <w:r w:rsidRPr="008C2BC9">
              <w:rPr>
                <w:sz w:val="20"/>
                <w:szCs w:val="20"/>
              </w:rPr>
              <w:t>525 mg</w:t>
            </w:r>
          </w:p>
        </w:tc>
      </w:tr>
    </w:tbl>
    <w:p w:rsidR="00E314E4" w:rsidRDefault="00E314E4" w:rsidP="00E314E4">
      <w:pPr>
        <w:keepNext/>
        <w:keepLines/>
      </w:pPr>
    </w:p>
    <w:p w:rsidR="00E314E4" w:rsidRPr="00D22882" w:rsidRDefault="00E314E4" w:rsidP="00E314E4">
      <w:pPr>
        <w:keepNext/>
        <w:keepLines/>
        <w:ind w:left="720"/>
        <w:jc w:val="center"/>
        <w:rPr>
          <w:sz w:val="20"/>
          <w:szCs w:val="20"/>
        </w:rPr>
      </w:pPr>
      <w:r w:rsidRPr="00D22882">
        <w:rPr>
          <w:sz w:val="20"/>
          <w:szCs w:val="20"/>
        </w:rPr>
        <w:t>Conversion from the 25 mg 1-month paliperidone</w:t>
      </w:r>
    </w:p>
    <w:p w:rsidR="00E314E4" w:rsidRPr="00D22882" w:rsidRDefault="00E314E4" w:rsidP="00E314E4">
      <w:pPr>
        <w:keepNext/>
        <w:keepLines/>
        <w:tabs>
          <w:tab w:val="left" w:pos="1440"/>
        </w:tabs>
        <w:ind w:left="720"/>
        <w:jc w:val="center"/>
        <w:rPr>
          <w:sz w:val="20"/>
          <w:szCs w:val="20"/>
        </w:rPr>
      </w:pPr>
      <w:proofErr w:type="gramStart"/>
      <w:r w:rsidRPr="00D22882">
        <w:rPr>
          <w:sz w:val="20"/>
          <w:szCs w:val="20"/>
        </w:rPr>
        <w:t>palmitate</w:t>
      </w:r>
      <w:proofErr w:type="gramEnd"/>
      <w:r w:rsidRPr="00D22882">
        <w:rPr>
          <w:sz w:val="20"/>
          <w:szCs w:val="20"/>
        </w:rPr>
        <w:t xml:space="preserve"> injectable product was not studied.</w:t>
      </w:r>
    </w:p>
    <w:p w:rsidR="00E314E4" w:rsidRPr="00181C97" w:rsidRDefault="00E314E4" w:rsidP="00E314E4">
      <w:pPr>
        <w:keepNext/>
        <w:keepLines/>
        <w:tabs>
          <w:tab w:val="left" w:pos="1440"/>
        </w:tabs>
        <w:ind w:left="720"/>
        <w:jc w:val="center"/>
      </w:pPr>
    </w:p>
    <w:p w:rsidR="00E314E4" w:rsidRPr="00984637" w:rsidRDefault="00E314E4" w:rsidP="00E314E4">
      <w:pPr>
        <w:pStyle w:val="BodyText120"/>
        <w:spacing w:line="240" w:lineRule="auto"/>
        <w:rPr>
          <w:rFonts w:ascii="Arial" w:hAnsi="Arial" w:cs="Arial"/>
          <w:sz w:val="22"/>
          <w:szCs w:val="22"/>
        </w:rPr>
      </w:pPr>
      <w:r w:rsidRPr="00F52D82">
        <w:rPr>
          <w:rFonts w:ascii="Arial" w:hAnsi="Arial" w:cs="Arial"/>
          <w:sz w:val="22"/>
          <w:szCs w:val="22"/>
        </w:rPr>
        <w:t xml:space="preserve">Following the initial INVEGA TRINZA dose, INVEGA TRINZA should be administered every 3 months. If needed, dose adjustment can be made every 3 months in increments within the range of 175 mg to 525 mg based on individual patient tolerability and/or efficacy. Due to the long-acting nature of INVEGA TRINZA, the patient’s response to an adjusted dose may not be apparent for several months (see </w:t>
      </w:r>
      <w:r w:rsidRPr="00C77433">
        <w:rPr>
          <w:rFonts w:ascii="Arial" w:hAnsi="Arial" w:cs="Arial"/>
          <w:b/>
          <w:sz w:val="22"/>
          <w:szCs w:val="22"/>
        </w:rPr>
        <w:t>Pharmacokinetics</w:t>
      </w:r>
      <w:r>
        <w:rPr>
          <w:rFonts w:ascii="Arial" w:hAnsi="Arial" w:cs="Arial"/>
          <w:sz w:val="22"/>
          <w:szCs w:val="22"/>
        </w:rPr>
        <w:t>).</w:t>
      </w:r>
    </w:p>
    <w:p w:rsidR="00E314E4" w:rsidRPr="00F52D82" w:rsidRDefault="00E314E4" w:rsidP="00E314E4">
      <w:pPr>
        <w:pStyle w:val="Heading2"/>
        <w:rPr>
          <w:sz w:val="22"/>
          <w:szCs w:val="22"/>
        </w:rPr>
      </w:pPr>
      <w:r w:rsidRPr="00F52D82">
        <w:rPr>
          <w:sz w:val="22"/>
          <w:szCs w:val="22"/>
        </w:rPr>
        <w:t>Switching from Other Antipsychotics</w:t>
      </w:r>
      <w:bookmarkEnd w:id="63"/>
    </w:p>
    <w:p w:rsidR="00E314E4" w:rsidRPr="00F52D82" w:rsidRDefault="00E314E4" w:rsidP="00E314E4">
      <w:pPr>
        <w:pStyle w:val="BodyText12"/>
        <w:spacing w:line="240" w:lineRule="auto"/>
        <w:rPr>
          <w:rFonts w:ascii="Arial" w:hAnsi="Arial" w:cs="Arial"/>
          <w:sz w:val="22"/>
          <w:szCs w:val="22"/>
        </w:rPr>
      </w:pPr>
      <w:r w:rsidRPr="00F52D82">
        <w:rPr>
          <w:rFonts w:ascii="Arial" w:hAnsi="Arial" w:cs="Arial"/>
          <w:sz w:val="22"/>
          <w:szCs w:val="22"/>
        </w:rPr>
        <w:t>INVEGA TRINZA is to be used only after the patient has been adequately treated with the 1</w:t>
      </w:r>
      <w:r w:rsidRPr="00F52D82">
        <w:rPr>
          <w:rFonts w:ascii="Arial" w:hAnsi="Arial" w:cs="Arial"/>
          <w:sz w:val="22"/>
          <w:szCs w:val="22"/>
        </w:rPr>
        <w:noBreakHyphen/>
        <w:t xml:space="preserve">month paliperidone palmitate injectable product for at least 4 months (see </w:t>
      </w:r>
      <w:r w:rsidRPr="00984637">
        <w:rPr>
          <w:rFonts w:ascii="Arial" w:hAnsi="Arial" w:cs="Arial"/>
          <w:b/>
          <w:sz w:val="22"/>
          <w:szCs w:val="22"/>
        </w:rPr>
        <w:t>INDICATIONS</w:t>
      </w:r>
      <w:r w:rsidRPr="00F52D82">
        <w:rPr>
          <w:rFonts w:ascii="Arial" w:hAnsi="Arial" w:cs="Arial"/>
          <w:sz w:val="22"/>
          <w:szCs w:val="22"/>
        </w:rPr>
        <w:t xml:space="preserve"> and </w:t>
      </w:r>
      <w:r w:rsidRPr="00984637">
        <w:rPr>
          <w:rFonts w:ascii="Arial" w:hAnsi="Arial" w:cs="Arial"/>
          <w:b/>
          <w:sz w:val="22"/>
          <w:szCs w:val="22"/>
        </w:rPr>
        <w:t>DOSAGE AND ADMINISTRATION</w:t>
      </w:r>
      <w:r w:rsidRPr="00F52D82">
        <w:rPr>
          <w:rFonts w:ascii="Arial" w:hAnsi="Arial" w:cs="Arial"/>
          <w:sz w:val="22"/>
          <w:szCs w:val="22"/>
        </w:rPr>
        <w:t>).</w:t>
      </w:r>
    </w:p>
    <w:p w:rsidR="00E314E4" w:rsidRPr="00984637" w:rsidRDefault="00E314E4" w:rsidP="00E314E4">
      <w:pPr>
        <w:pStyle w:val="BodyText120"/>
        <w:spacing w:line="240" w:lineRule="auto"/>
        <w:rPr>
          <w:rFonts w:ascii="Arial" w:hAnsi="Arial" w:cs="Arial"/>
          <w:sz w:val="22"/>
          <w:szCs w:val="22"/>
        </w:rPr>
      </w:pPr>
      <w:r w:rsidRPr="00F52D82">
        <w:rPr>
          <w:rFonts w:ascii="Arial" w:hAnsi="Arial" w:cs="Arial"/>
          <w:sz w:val="22"/>
          <w:szCs w:val="22"/>
        </w:rPr>
        <w:t>If INVEGA TRINZA is discontinued, its prolonged-release characteristics must be considered. As recommended with other antipsychotic medications, the need for continuing existing extrapyramidal symptoms (EPS) medication shoul</w:t>
      </w:r>
      <w:r>
        <w:rPr>
          <w:rFonts w:ascii="Arial" w:hAnsi="Arial" w:cs="Arial"/>
          <w:sz w:val="22"/>
          <w:szCs w:val="22"/>
        </w:rPr>
        <w:t>d be re</w:t>
      </w:r>
      <w:r>
        <w:rPr>
          <w:rFonts w:ascii="Arial" w:hAnsi="Arial" w:cs="Arial"/>
          <w:sz w:val="22"/>
          <w:szCs w:val="22"/>
        </w:rPr>
        <w:noBreakHyphen/>
        <w:t>evaluated periodically.</w:t>
      </w:r>
    </w:p>
    <w:p w:rsidR="00E314E4" w:rsidRPr="00984637" w:rsidRDefault="00E314E4" w:rsidP="00E314E4">
      <w:pPr>
        <w:jc w:val="both"/>
        <w:rPr>
          <w:b/>
        </w:rPr>
      </w:pPr>
      <w:r w:rsidRPr="00984637">
        <w:rPr>
          <w:b/>
        </w:rPr>
        <w:t>Switching from INVEGA TRINZA to the 1-Month Paliperidone Palmitate Injectable Product</w:t>
      </w:r>
    </w:p>
    <w:p w:rsidR="005D174A" w:rsidRPr="00335DB0" w:rsidRDefault="00E314E4" w:rsidP="00335DB0">
      <w:pPr>
        <w:pStyle w:val="BodyText120"/>
        <w:spacing w:line="240" w:lineRule="auto"/>
        <w:rPr>
          <w:rFonts w:ascii="Arial" w:eastAsia="Calibri" w:hAnsi="Arial" w:cs="Arial"/>
          <w:sz w:val="22"/>
          <w:szCs w:val="22"/>
        </w:rPr>
      </w:pPr>
      <w:r w:rsidRPr="00F52D82">
        <w:rPr>
          <w:rFonts w:ascii="Arial" w:eastAsia="Calibri" w:hAnsi="Arial" w:cs="Arial"/>
          <w:sz w:val="22"/>
          <w:szCs w:val="22"/>
        </w:rPr>
        <w:t>For switching from INVEGA TRINZA to the 1-month paliperidone palmitate injectable product, the 1-month paliperidone palmitate injectable product should be administered at the time the next INVEGA TRINZA dose was to be administered using the equivalent 3.5-fol</w:t>
      </w:r>
      <w:r>
        <w:rPr>
          <w:rFonts w:ascii="Arial" w:eastAsia="Calibri" w:hAnsi="Arial" w:cs="Arial"/>
          <w:sz w:val="22"/>
          <w:szCs w:val="22"/>
        </w:rPr>
        <w:t xml:space="preserve">d lower dose as shown in Table </w:t>
      </w:r>
      <w:r w:rsidR="00C5649A">
        <w:rPr>
          <w:rFonts w:ascii="Arial" w:eastAsia="Calibri" w:hAnsi="Arial" w:cs="Arial"/>
          <w:sz w:val="22"/>
          <w:szCs w:val="22"/>
        </w:rPr>
        <w:t>6</w:t>
      </w:r>
      <w:r w:rsidRPr="00F52D82">
        <w:rPr>
          <w:rFonts w:ascii="Arial" w:eastAsia="Calibri" w:hAnsi="Arial" w:cs="Arial"/>
          <w:sz w:val="22"/>
          <w:szCs w:val="22"/>
        </w:rPr>
        <w:t>. The 1-month paliperidone palmitate injectable product should then continue dosed at monthly intervals.</w:t>
      </w:r>
    </w:p>
    <w:p w:rsidR="00C81444" w:rsidRDefault="00C81444">
      <w:pPr>
        <w:rPr>
          <w:b/>
          <w:color w:val="auto"/>
          <w:sz w:val="20"/>
          <w:szCs w:val="20"/>
          <w:lang w:val="en-US"/>
        </w:rPr>
      </w:pPr>
      <w:r>
        <w:rPr>
          <w:b/>
          <w:sz w:val="20"/>
        </w:rPr>
        <w:br w:type="page"/>
      </w:r>
    </w:p>
    <w:p w:rsidR="00E314E4" w:rsidRPr="00D22882" w:rsidRDefault="00E314E4" w:rsidP="00554755">
      <w:pPr>
        <w:pStyle w:val="BodyText120"/>
        <w:spacing w:line="240" w:lineRule="auto"/>
        <w:ind w:left="1701" w:hanging="1559"/>
        <w:jc w:val="left"/>
        <w:rPr>
          <w:rFonts w:ascii="Arial" w:eastAsia="Calibri" w:hAnsi="Arial" w:cs="Arial"/>
          <w:b/>
          <w:sz w:val="20"/>
        </w:rPr>
      </w:pPr>
      <w:proofErr w:type="gramStart"/>
      <w:r w:rsidRPr="00D22882">
        <w:rPr>
          <w:rFonts w:ascii="Arial" w:hAnsi="Arial" w:cs="Arial"/>
          <w:b/>
          <w:sz w:val="20"/>
        </w:rPr>
        <w:lastRenderedPageBreak/>
        <w:t>Table</w:t>
      </w:r>
      <w:r w:rsidR="00C5649A">
        <w:rPr>
          <w:rFonts w:ascii="Arial" w:hAnsi="Arial" w:cs="Arial"/>
          <w:b/>
          <w:sz w:val="20"/>
        </w:rPr>
        <w:t xml:space="preserve"> 6</w:t>
      </w:r>
      <w:r w:rsidRPr="00D22882">
        <w:rPr>
          <w:rFonts w:ascii="Arial" w:hAnsi="Arial" w:cs="Arial"/>
          <w:b/>
          <w:sz w:val="20"/>
        </w:rPr>
        <w:t>.</w:t>
      </w:r>
      <w:proofErr w:type="gramEnd"/>
      <w:r w:rsidRPr="00D22882">
        <w:rPr>
          <w:rFonts w:ascii="Arial" w:hAnsi="Arial" w:cs="Arial"/>
          <w:b/>
          <w:sz w:val="20"/>
        </w:rPr>
        <w:t xml:space="preserve"> </w:t>
      </w:r>
      <w:r w:rsidRPr="00D22882">
        <w:rPr>
          <w:rFonts w:ascii="Arial" w:hAnsi="Arial" w:cs="Arial"/>
          <w:b/>
          <w:sz w:val="20"/>
        </w:rPr>
        <w:tab/>
        <w:t>Conversion From the Last Paliperidone  Palmitate 3-Month Injectable Product (INVEGA TRINZA) Dose To the Paliperidone Palmitate 1-Month Injectable  Product Dose Using 3.5 as a Multiplier</w:t>
      </w:r>
    </w:p>
    <w:tbl>
      <w:tblPr>
        <w:tblW w:w="0" w:type="auto"/>
        <w:jc w:val="center"/>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731"/>
        <w:gridCol w:w="3221"/>
      </w:tblGrid>
      <w:tr w:rsidR="00E314E4" w:rsidRPr="00984637" w:rsidTr="00E314E4">
        <w:trPr>
          <w:jc w:val="center"/>
        </w:trPr>
        <w:tc>
          <w:tcPr>
            <w:tcW w:w="2252" w:type="dxa"/>
            <w:shd w:val="clear" w:color="auto" w:fill="auto"/>
          </w:tcPr>
          <w:p w:rsidR="00E314E4" w:rsidRPr="00827202" w:rsidRDefault="00E314E4" w:rsidP="00E314E4">
            <w:pPr>
              <w:keepNext/>
              <w:shd w:val="clear" w:color="auto" w:fill="FFFFFF" w:themeFill="background1"/>
              <w:jc w:val="center"/>
              <w:rPr>
                <w:b/>
                <w:sz w:val="20"/>
                <w:szCs w:val="20"/>
              </w:rPr>
            </w:pPr>
            <w:r w:rsidRPr="00827202">
              <w:rPr>
                <w:b/>
                <w:sz w:val="20"/>
                <w:szCs w:val="20"/>
              </w:rPr>
              <w:t>If the last</w:t>
            </w:r>
          </w:p>
          <w:p w:rsidR="00E314E4" w:rsidRPr="00827202" w:rsidRDefault="00E314E4" w:rsidP="00E314E4">
            <w:pPr>
              <w:keepNext/>
              <w:shd w:val="clear" w:color="auto" w:fill="FFFFFF" w:themeFill="background1"/>
              <w:jc w:val="center"/>
              <w:rPr>
                <w:b/>
                <w:sz w:val="20"/>
                <w:szCs w:val="20"/>
              </w:rPr>
            </w:pPr>
            <w:r w:rsidRPr="00827202">
              <w:rPr>
                <w:b/>
                <w:sz w:val="20"/>
                <w:szCs w:val="20"/>
              </w:rPr>
              <w:t>INVEGA TRINZA dose is:</w:t>
            </w:r>
          </w:p>
          <w:p w:rsidR="00E314E4" w:rsidRPr="00827202" w:rsidRDefault="00E314E4" w:rsidP="00E314E4">
            <w:pPr>
              <w:keepNext/>
              <w:shd w:val="clear" w:color="auto" w:fill="FFFFFF" w:themeFill="background1"/>
              <w:jc w:val="center"/>
              <w:rPr>
                <w:b/>
                <w:sz w:val="20"/>
                <w:szCs w:val="20"/>
              </w:rPr>
            </w:pPr>
          </w:p>
        </w:tc>
        <w:tc>
          <w:tcPr>
            <w:tcW w:w="731" w:type="dxa"/>
            <w:tcBorders>
              <w:bottom w:val="single" w:sz="4" w:space="0" w:color="auto"/>
            </w:tcBorders>
            <w:shd w:val="clear" w:color="auto" w:fill="auto"/>
          </w:tcPr>
          <w:p w:rsidR="00E314E4" w:rsidRPr="00827202" w:rsidRDefault="00E314E4" w:rsidP="00E314E4">
            <w:pPr>
              <w:keepNext/>
              <w:shd w:val="clear" w:color="auto" w:fill="FFFFFF" w:themeFill="background1"/>
              <w:jc w:val="center"/>
              <w:rPr>
                <w:b/>
                <w:sz w:val="20"/>
                <w:szCs w:val="20"/>
              </w:rPr>
            </w:pPr>
          </w:p>
        </w:tc>
        <w:tc>
          <w:tcPr>
            <w:tcW w:w="3221" w:type="dxa"/>
            <w:shd w:val="clear" w:color="auto" w:fill="auto"/>
          </w:tcPr>
          <w:p w:rsidR="00E314E4" w:rsidRPr="00827202" w:rsidRDefault="00E314E4" w:rsidP="00E314E4">
            <w:pPr>
              <w:keepNext/>
              <w:shd w:val="clear" w:color="auto" w:fill="FFFFFF" w:themeFill="background1"/>
              <w:jc w:val="center"/>
              <w:rPr>
                <w:b/>
                <w:sz w:val="20"/>
                <w:szCs w:val="20"/>
              </w:rPr>
            </w:pPr>
            <w:r w:rsidRPr="00827202">
              <w:rPr>
                <w:b/>
                <w:sz w:val="20"/>
                <w:szCs w:val="20"/>
              </w:rPr>
              <w:t>Administer 1-Month Paliperidone Palmitate at the following dose:</w:t>
            </w:r>
          </w:p>
          <w:p w:rsidR="00E314E4" w:rsidRPr="00827202" w:rsidRDefault="00E314E4" w:rsidP="00E314E4">
            <w:pPr>
              <w:keepNext/>
              <w:shd w:val="clear" w:color="auto" w:fill="FFFFFF" w:themeFill="background1"/>
              <w:jc w:val="center"/>
              <w:rPr>
                <w:b/>
                <w:sz w:val="20"/>
                <w:szCs w:val="20"/>
              </w:rPr>
            </w:pPr>
          </w:p>
        </w:tc>
      </w:tr>
      <w:tr w:rsidR="00E314E4" w:rsidRPr="00984637" w:rsidTr="00E314E4">
        <w:trPr>
          <w:jc w:val="center"/>
        </w:trPr>
        <w:tc>
          <w:tcPr>
            <w:tcW w:w="2252" w:type="dxa"/>
            <w:tcBorders>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175 mg</w:t>
            </w:r>
          </w:p>
        </w:tc>
        <w:tc>
          <w:tcPr>
            <w:tcW w:w="731" w:type="dxa"/>
            <w:tcBorders>
              <w:left w:val="nil"/>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sym w:font="Wingdings" w:char="F0E0"/>
            </w:r>
          </w:p>
        </w:tc>
        <w:tc>
          <w:tcPr>
            <w:tcW w:w="3221" w:type="dxa"/>
            <w:tcBorders>
              <w:lef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50 mg</w:t>
            </w:r>
          </w:p>
        </w:tc>
      </w:tr>
      <w:tr w:rsidR="00E314E4" w:rsidRPr="00984637" w:rsidTr="00E314E4">
        <w:trPr>
          <w:jc w:val="center"/>
        </w:trPr>
        <w:tc>
          <w:tcPr>
            <w:tcW w:w="2252" w:type="dxa"/>
            <w:tcBorders>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263 mg</w:t>
            </w:r>
          </w:p>
        </w:tc>
        <w:tc>
          <w:tcPr>
            <w:tcW w:w="731" w:type="dxa"/>
            <w:tcBorders>
              <w:left w:val="nil"/>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sym w:font="Wingdings" w:char="F0E0"/>
            </w:r>
          </w:p>
        </w:tc>
        <w:tc>
          <w:tcPr>
            <w:tcW w:w="3221" w:type="dxa"/>
            <w:tcBorders>
              <w:lef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75 mg</w:t>
            </w:r>
          </w:p>
        </w:tc>
      </w:tr>
      <w:tr w:rsidR="00E314E4" w:rsidRPr="00984637" w:rsidTr="00E314E4">
        <w:trPr>
          <w:jc w:val="center"/>
        </w:trPr>
        <w:tc>
          <w:tcPr>
            <w:tcW w:w="2252" w:type="dxa"/>
            <w:tcBorders>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350 mg</w:t>
            </w:r>
          </w:p>
        </w:tc>
        <w:tc>
          <w:tcPr>
            <w:tcW w:w="731" w:type="dxa"/>
            <w:tcBorders>
              <w:left w:val="nil"/>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sym w:font="Wingdings" w:char="F0E0"/>
            </w:r>
          </w:p>
        </w:tc>
        <w:tc>
          <w:tcPr>
            <w:tcW w:w="3221" w:type="dxa"/>
            <w:tcBorders>
              <w:lef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100 mg</w:t>
            </w:r>
          </w:p>
        </w:tc>
      </w:tr>
      <w:tr w:rsidR="00E314E4" w:rsidRPr="00984637" w:rsidTr="00E314E4">
        <w:trPr>
          <w:jc w:val="center"/>
        </w:trPr>
        <w:tc>
          <w:tcPr>
            <w:tcW w:w="2252" w:type="dxa"/>
            <w:tcBorders>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525 mg</w:t>
            </w:r>
          </w:p>
        </w:tc>
        <w:tc>
          <w:tcPr>
            <w:tcW w:w="731" w:type="dxa"/>
            <w:tcBorders>
              <w:left w:val="nil"/>
              <w:righ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sym w:font="Wingdings" w:char="F0E0"/>
            </w:r>
          </w:p>
        </w:tc>
        <w:tc>
          <w:tcPr>
            <w:tcW w:w="3221" w:type="dxa"/>
            <w:tcBorders>
              <w:left w:val="nil"/>
            </w:tcBorders>
            <w:shd w:val="clear" w:color="auto" w:fill="auto"/>
          </w:tcPr>
          <w:p w:rsidR="00E314E4" w:rsidRPr="00827202" w:rsidRDefault="00E314E4" w:rsidP="00E314E4">
            <w:pPr>
              <w:keepNext/>
              <w:shd w:val="clear" w:color="auto" w:fill="FFFFFF" w:themeFill="background1"/>
              <w:jc w:val="center"/>
              <w:rPr>
                <w:sz w:val="20"/>
                <w:szCs w:val="20"/>
              </w:rPr>
            </w:pPr>
            <w:r w:rsidRPr="00827202">
              <w:rPr>
                <w:sz w:val="20"/>
                <w:szCs w:val="20"/>
              </w:rPr>
              <w:t>150 mg</w:t>
            </w:r>
          </w:p>
        </w:tc>
      </w:tr>
    </w:tbl>
    <w:p w:rsidR="00E314E4" w:rsidRPr="00827202" w:rsidRDefault="00E314E4" w:rsidP="00E314E4">
      <w:pPr>
        <w:keepNext/>
        <w:keepLines/>
        <w:shd w:val="clear" w:color="auto" w:fill="FFFFFF" w:themeFill="background1"/>
        <w:tabs>
          <w:tab w:val="left" w:pos="1440"/>
        </w:tabs>
        <w:ind w:left="720"/>
        <w:jc w:val="center"/>
        <w:rPr>
          <w:rFonts w:eastAsia="Calibri"/>
          <w:sz w:val="20"/>
          <w:szCs w:val="20"/>
        </w:rPr>
      </w:pPr>
      <w:r w:rsidRPr="00827202">
        <w:rPr>
          <w:rFonts w:eastAsia="Calibri"/>
          <w:sz w:val="20"/>
          <w:szCs w:val="20"/>
        </w:rPr>
        <w:t>The initiation dosing as described in the prescribing information for the 1-month paliperidone palmitate injectable product is not required.</w:t>
      </w:r>
    </w:p>
    <w:p w:rsidR="00335DB0" w:rsidRDefault="00335DB0" w:rsidP="00E314E4">
      <w:pPr>
        <w:pStyle w:val="Heading3"/>
      </w:pPr>
    </w:p>
    <w:p w:rsidR="00E314E4" w:rsidRPr="00F52D82" w:rsidRDefault="00E314E4" w:rsidP="00E314E4">
      <w:pPr>
        <w:pStyle w:val="Heading3"/>
      </w:pPr>
      <w:r w:rsidRPr="00F52D82">
        <w:t xml:space="preserve">Switching from INVEGA TRINZA to Oral Paliperidone Extended-Release Tablets </w:t>
      </w:r>
    </w:p>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 xml:space="preserve">For switching from INVEGA TRINZA to oral paliperidone extended-release tablets, the daily dosing of the paliperidone extended-release tablets should be started 3 months after the last INVEGA TRINZA dose and transitioned over the next several months following the last INVEGA TRINZA dose as described in Table </w:t>
      </w:r>
      <w:r w:rsidR="00C5649A">
        <w:rPr>
          <w:rFonts w:ascii="Arial" w:hAnsi="Arial" w:cs="Arial"/>
          <w:sz w:val="22"/>
          <w:szCs w:val="22"/>
        </w:rPr>
        <w:t>7</w:t>
      </w:r>
      <w:r w:rsidRPr="00F52D82">
        <w:rPr>
          <w:rFonts w:ascii="Arial" w:hAnsi="Arial" w:cs="Arial"/>
          <w:sz w:val="22"/>
          <w:szCs w:val="22"/>
        </w:rPr>
        <w:t xml:space="preserve">. Table </w:t>
      </w:r>
      <w:r w:rsidR="00C5649A">
        <w:rPr>
          <w:rFonts w:ascii="Arial" w:hAnsi="Arial" w:cs="Arial"/>
          <w:sz w:val="22"/>
          <w:szCs w:val="22"/>
        </w:rPr>
        <w:t>7</w:t>
      </w:r>
      <w:r w:rsidR="007766AC" w:rsidRPr="00F52D82">
        <w:rPr>
          <w:rFonts w:ascii="Arial" w:hAnsi="Arial" w:cs="Arial"/>
          <w:sz w:val="22"/>
          <w:szCs w:val="22"/>
        </w:rPr>
        <w:t xml:space="preserve"> </w:t>
      </w:r>
      <w:r w:rsidRPr="00F52D82">
        <w:rPr>
          <w:rFonts w:ascii="Arial" w:hAnsi="Arial" w:cs="Arial"/>
          <w:sz w:val="22"/>
          <w:szCs w:val="22"/>
        </w:rPr>
        <w:t>provides dose conversion regimens to allow patients previously stabili</w:t>
      </w:r>
      <w:r w:rsidR="002A2342">
        <w:rPr>
          <w:rFonts w:ascii="Arial" w:hAnsi="Arial" w:cs="Arial"/>
          <w:sz w:val="22"/>
          <w:szCs w:val="22"/>
        </w:rPr>
        <w:t>s</w:t>
      </w:r>
      <w:r w:rsidRPr="00F52D82">
        <w:rPr>
          <w:rFonts w:ascii="Arial" w:hAnsi="Arial" w:cs="Arial"/>
          <w:sz w:val="22"/>
          <w:szCs w:val="22"/>
        </w:rPr>
        <w:t>ed on different doses of INVEGA TRINZA to attain similar paliperidone exposure with once daily paliperidone extended-release tablets.</w:t>
      </w:r>
    </w:p>
    <w:p w:rsidR="00E314E4" w:rsidRPr="00D22882" w:rsidRDefault="00E314E4" w:rsidP="00E314E4">
      <w:pPr>
        <w:keepNext/>
        <w:keepLines/>
        <w:shd w:val="clear" w:color="auto" w:fill="FFFFFF" w:themeFill="background1"/>
        <w:ind w:left="1080" w:hanging="1066"/>
        <w:jc w:val="both"/>
        <w:rPr>
          <w:b/>
          <w:sz w:val="20"/>
          <w:szCs w:val="20"/>
        </w:rPr>
      </w:pPr>
      <w:proofErr w:type="gramStart"/>
      <w:r w:rsidRPr="00D22882">
        <w:rPr>
          <w:b/>
          <w:sz w:val="20"/>
          <w:szCs w:val="20"/>
        </w:rPr>
        <w:t xml:space="preserve">Table </w:t>
      </w:r>
      <w:r w:rsidR="00C5649A">
        <w:rPr>
          <w:b/>
          <w:sz w:val="20"/>
          <w:szCs w:val="20"/>
        </w:rPr>
        <w:t>7</w:t>
      </w:r>
      <w:r w:rsidRPr="00D22882">
        <w:rPr>
          <w:b/>
          <w:sz w:val="20"/>
          <w:szCs w:val="20"/>
        </w:rPr>
        <w:t>.</w:t>
      </w:r>
      <w:proofErr w:type="gramEnd"/>
      <w:r w:rsidRPr="00D22882">
        <w:rPr>
          <w:b/>
          <w:sz w:val="20"/>
          <w:szCs w:val="20"/>
        </w:rPr>
        <w:t xml:space="preserve"> </w:t>
      </w:r>
      <w:r>
        <w:rPr>
          <w:b/>
          <w:sz w:val="20"/>
          <w:szCs w:val="20"/>
        </w:rPr>
        <w:t xml:space="preserve">  </w:t>
      </w:r>
      <w:r w:rsidRPr="00D22882">
        <w:rPr>
          <w:b/>
          <w:sz w:val="20"/>
          <w:szCs w:val="20"/>
        </w:rPr>
        <w:t>INVEGA TRINZA doses and once-daily paliperidone extended-rele</w:t>
      </w:r>
      <w:r>
        <w:rPr>
          <w:b/>
          <w:sz w:val="20"/>
          <w:szCs w:val="20"/>
        </w:rPr>
        <w:t xml:space="preserve">ase conversion regimens </w:t>
      </w:r>
      <w:proofErr w:type="gramStart"/>
      <w:r w:rsidRPr="00D22882">
        <w:rPr>
          <w:b/>
          <w:sz w:val="20"/>
          <w:szCs w:val="20"/>
        </w:rPr>
        <w:t>needed  to</w:t>
      </w:r>
      <w:proofErr w:type="gramEnd"/>
      <w:r w:rsidRPr="00D22882">
        <w:rPr>
          <w:b/>
          <w:sz w:val="20"/>
          <w:szCs w:val="20"/>
        </w:rPr>
        <w:t xml:space="preserve"> attain similar paliperidone exposures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340"/>
        <w:gridCol w:w="2250"/>
        <w:gridCol w:w="2160"/>
      </w:tblGrid>
      <w:tr w:rsidR="00E314E4" w:rsidRPr="00F52D82" w:rsidTr="00E314E4">
        <w:trPr>
          <w:trHeight w:val="144"/>
          <w:jc w:val="center"/>
        </w:trPr>
        <w:tc>
          <w:tcPr>
            <w:tcW w:w="2448" w:type="dxa"/>
            <w:shd w:val="clear" w:color="auto" w:fill="auto"/>
          </w:tcPr>
          <w:p w:rsidR="00E314E4" w:rsidRPr="00F52D82" w:rsidRDefault="00E314E4" w:rsidP="00E314E4">
            <w:pPr>
              <w:keepNext/>
              <w:keepLines/>
              <w:shd w:val="clear" w:color="auto" w:fill="FFFFFF" w:themeFill="background1"/>
              <w:spacing w:after="200" w:line="300" w:lineRule="auto"/>
              <w:jc w:val="both"/>
            </w:pPr>
          </w:p>
        </w:tc>
        <w:tc>
          <w:tcPr>
            <w:tcW w:w="6750" w:type="dxa"/>
            <w:gridSpan w:val="3"/>
            <w:shd w:val="clear" w:color="auto" w:fill="auto"/>
            <w:vAlign w:val="center"/>
          </w:tcPr>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Weeks since last INVEGA TRINZA dose</w:t>
            </w:r>
          </w:p>
        </w:tc>
      </w:tr>
      <w:tr w:rsidR="00E314E4" w:rsidRPr="00F52D82" w:rsidTr="00E314E4">
        <w:trPr>
          <w:trHeight w:val="144"/>
          <w:jc w:val="center"/>
        </w:trPr>
        <w:tc>
          <w:tcPr>
            <w:tcW w:w="2448" w:type="dxa"/>
            <w:shd w:val="clear" w:color="auto" w:fill="auto"/>
          </w:tcPr>
          <w:p w:rsidR="00E314E4" w:rsidRPr="00F52D82" w:rsidRDefault="00E314E4" w:rsidP="00E314E4">
            <w:pPr>
              <w:keepNext/>
              <w:keepLines/>
              <w:shd w:val="clear" w:color="auto" w:fill="FFFFFF" w:themeFill="background1"/>
              <w:spacing w:line="300" w:lineRule="auto"/>
              <w:jc w:val="both"/>
            </w:pPr>
          </w:p>
        </w:tc>
        <w:tc>
          <w:tcPr>
            <w:tcW w:w="2340" w:type="dxa"/>
            <w:shd w:val="clear" w:color="auto" w:fill="auto"/>
            <w:vAlign w:val="center"/>
          </w:tcPr>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 3 months to</w:t>
            </w:r>
          </w:p>
          <w:p w:rsidR="00E314E4" w:rsidRPr="00827202" w:rsidRDefault="00E314E4" w:rsidP="00E314E4">
            <w:pPr>
              <w:keepNext/>
              <w:keepLines/>
              <w:shd w:val="clear" w:color="auto" w:fill="FFFFFF" w:themeFill="background1"/>
              <w:spacing w:line="300" w:lineRule="auto"/>
              <w:jc w:val="center"/>
              <w:rPr>
                <w:b/>
              </w:rPr>
            </w:pPr>
            <w:r w:rsidRPr="00827202">
              <w:rPr>
                <w:b/>
                <w:sz w:val="20"/>
                <w:szCs w:val="20"/>
              </w:rPr>
              <w:t>≤ 18 weeks</w:t>
            </w:r>
          </w:p>
        </w:tc>
        <w:tc>
          <w:tcPr>
            <w:tcW w:w="2250" w:type="dxa"/>
            <w:shd w:val="clear" w:color="auto" w:fill="auto"/>
            <w:vAlign w:val="center"/>
          </w:tcPr>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&gt; 18 weeks to</w:t>
            </w:r>
          </w:p>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 24 weeks</w:t>
            </w:r>
          </w:p>
        </w:tc>
        <w:tc>
          <w:tcPr>
            <w:tcW w:w="2160" w:type="dxa"/>
            <w:shd w:val="clear" w:color="auto" w:fill="auto"/>
            <w:vAlign w:val="center"/>
          </w:tcPr>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&gt; 24 weeks</w:t>
            </w:r>
          </w:p>
        </w:tc>
      </w:tr>
      <w:tr w:rsidR="00E314E4" w:rsidRPr="00F52D82" w:rsidTr="00E314E4">
        <w:trPr>
          <w:trHeight w:val="432"/>
          <w:jc w:val="center"/>
        </w:trPr>
        <w:tc>
          <w:tcPr>
            <w:tcW w:w="2448" w:type="dxa"/>
            <w:shd w:val="clear" w:color="auto" w:fill="auto"/>
            <w:vAlign w:val="center"/>
          </w:tcPr>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Last INVEGA TRINZA Dose</w:t>
            </w:r>
          </w:p>
        </w:tc>
        <w:tc>
          <w:tcPr>
            <w:tcW w:w="6750" w:type="dxa"/>
            <w:gridSpan w:val="3"/>
            <w:shd w:val="clear" w:color="auto" w:fill="auto"/>
            <w:vAlign w:val="center"/>
          </w:tcPr>
          <w:p w:rsidR="00E314E4" w:rsidRPr="00827202" w:rsidRDefault="00E314E4" w:rsidP="00E314E4">
            <w:pPr>
              <w:keepNext/>
              <w:keepLines/>
              <w:shd w:val="clear" w:color="auto" w:fill="FFFFFF" w:themeFill="background1"/>
              <w:spacing w:line="300" w:lineRule="auto"/>
              <w:jc w:val="center"/>
              <w:rPr>
                <w:b/>
                <w:sz w:val="20"/>
                <w:szCs w:val="20"/>
              </w:rPr>
            </w:pPr>
            <w:r w:rsidRPr="00827202">
              <w:rPr>
                <w:b/>
                <w:sz w:val="20"/>
                <w:szCs w:val="20"/>
              </w:rPr>
              <w:t>Doses of  oral paliperidone extended-release tablets</w:t>
            </w:r>
          </w:p>
        </w:tc>
      </w:tr>
      <w:tr w:rsidR="00E314E4" w:rsidRPr="00F52D82" w:rsidTr="00E314E4">
        <w:trPr>
          <w:cantSplit/>
          <w:trHeight w:val="144"/>
          <w:jc w:val="center"/>
        </w:trPr>
        <w:tc>
          <w:tcPr>
            <w:tcW w:w="2448"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175 mg</w:t>
            </w:r>
          </w:p>
        </w:tc>
        <w:tc>
          <w:tcPr>
            <w:tcW w:w="234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 mg</w:t>
            </w:r>
          </w:p>
        </w:tc>
        <w:tc>
          <w:tcPr>
            <w:tcW w:w="225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 mg</w:t>
            </w:r>
          </w:p>
        </w:tc>
        <w:tc>
          <w:tcPr>
            <w:tcW w:w="216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 mg</w:t>
            </w:r>
          </w:p>
        </w:tc>
      </w:tr>
      <w:tr w:rsidR="00E314E4" w:rsidRPr="00F52D82" w:rsidTr="00E314E4">
        <w:trPr>
          <w:cantSplit/>
          <w:trHeight w:val="144"/>
          <w:jc w:val="center"/>
        </w:trPr>
        <w:tc>
          <w:tcPr>
            <w:tcW w:w="2448"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263 mg</w:t>
            </w:r>
          </w:p>
        </w:tc>
        <w:tc>
          <w:tcPr>
            <w:tcW w:w="234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 mg</w:t>
            </w:r>
          </w:p>
        </w:tc>
        <w:tc>
          <w:tcPr>
            <w:tcW w:w="225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 mg</w:t>
            </w:r>
          </w:p>
        </w:tc>
        <w:tc>
          <w:tcPr>
            <w:tcW w:w="216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6 mg</w:t>
            </w:r>
          </w:p>
        </w:tc>
      </w:tr>
      <w:tr w:rsidR="00E314E4" w:rsidRPr="00F52D82" w:rsidTr="00E314E4">
        <w:trPr>
          <w:cantSplit/>
          <w:trHeight w:val="144"/>
          <w:jc w:val="center"/>
        </w:trPr>
        <w:tc>
          <w:tcPr>
            <w:tcW w:w="2448"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350 mg</w:t>
            </w:r>
          </w:p>
        </w:tc>
        <w:tc>
          <w:tcPr>
            <w:tcW w:w="234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3 mg</w:t>
            </w:r>
          </w:p>
        </w:tc>
        <w:tc>
          <w:tcPr>
            <w:tcW w:w="225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6 mg</w:t>
            </w:r>
          </w:p>
        </w:tc>
        <w:tc>
          <w:tcPr>
            <w:tcW w:w="216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9 mg</w:t>
            </w:r>
          </w:p>
        </w:tc>
      </w:tr>
      <w:tr w:rsidR="00E314E4" w:rsidRPr="00F52D82" w:rsidTr="00E314E4">
        <w:trPr>
          <w:cantSplit/>
          <w:trHeight w:val="144"/>
          <w:jc w:val="center"/>
        </w:trPr>
        <w:tc>
          <w:tcPr>
            <w:tcW w:w="2448"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525 mg</w:t>
            </w:r>
          </w:p>
        </w:tc>
        <w:tc>
          <w:tcPr>
            <w:tcW w:w="234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6 mg</w:t>
            </w:r>
          </w:p>
        </w:tc>
        <w:tc>
          <w:tcPr>
            <w:tcW w:w="225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9 mg</w:t>
            </w:r>
          </w:p>
        </w:tc>
        <w:tc>
          <w:tcPr>
            <w:tcW w:w="2160" w:type="dxa"/>
            <w:shd w:val="clear" w:color="auto" w:fill="auto"/>
          </w:tcPr>
          <w:p w:rsidR="00E314E4" w:rsidRPr="00827202" w:rsidRDefault="00E314E4" w:rsidP="00E314E4">
            <w:pPr>
              <w:keepNext/>
              <w:keepLines/>
              <w:shd w:val="clear" w:color="auto" w:fill="FFFFFF" w:themeFill="background1"/>
              <w:spacing w:after="200" w:line="300" w:lineRule="auto"/>
              <w:jc w:val="center"/>
              <w:rPr>
                <w:sz w:val="20"/>
                <w:szCs w:val="20"/>
              </w:rPr>
            </w:pPr>
            <w:r w:rsidRPr="00827202">
              <w:rPr>
                <w:sz w:val="20"/>
                <w:szCs w:val="20"/>
              </w:rPr>
              <w:t>12 mg</w:t>
            </w:r>
          </w:p>
        </w:tc>
      </w:tr>
    </w:tbl>
    <w:p w:rsidR="00E314E4" w:rsidRPr="00F52D82" w:rsidRDefault="00E314E4" w:rsidP="00E314E4">
      <w:pPr>
        <w:jc w:val="both"/>
      </w:pPr>
    </w:p>
    <w:bookmarkEnd w:id="64"/>
    <w:p w:rsidR="00E314E4" w:rsidRPr="00F52D82" w:rsidRDefault="00E314E4" w:rsidP="00E314E4">
      <w:pPr>
        <w:jc w:val="both"/>
      </w:pPr>
    </w:p>
    <w:p w:rsidR="00E314E4" w:rsidRPr="00F52D82" w:rsidRDefault="00E314E4" w:rsidP="00E314E4">
      <w:pPr>
        <w:pStyle w:val="Heading2"/>
        <w:rPr>
          <w:sz w:val="22"/>
          <w:szCs w:val="22"/>
        </w:rPr>
      </w:pPr>
      <w:r w:rsidRPr="00F52D82">
        <w:rPr>
          <w:sz w:val="22"/>
          <w:szCs w:val="22"/>
        </w:rPr>
        <w:t>Dosage in Special Populations</w:t>
      </w:r>
    </w:p>
    <w:p w:rsidR="00E314E4" w:rsidRPr="00F52D82" w:rsidRDefault="00E314E4" w:rsidP="00E314E4">
      <w:pPr>
        <w:pStyle w:val="Heading3"/>
      </w:pPr>
      <w:r w:rsidRPr="00F52D82">
        <w:t>Renal Impairment</w:t>
      </w:r>
    </w:p>
    <w:p w:rsidR="00E314E4" w:rsidRPr="00F52D82" w:rsidRDefault="00E314E4" w:rsidP="00E314E4">
      <w:pPr>
        <w:pStyle w:val="BodyText12"/>
        <w:widowControl w:val="0"/>
        <w:spacing w:line="240" w:lineRule="auto"/>
        <w:rPr>
          <w:rFonts w:ascii="Arial" w:hAnsi="Arial" w:cs="Arial"/>
          <w:sz w:val="22"/>
          <w:szCs w:val="22"/>
        </w:rPr>
      </w:pPr>
      <w:r w:rsidRPr="00F52D82">
        <w:rPr>
          <w:rFonts w:ascii="Arial" w:hAnsi="Arial" w:cs="Arial"/>
          <w:sz w:val="22"/>
          <w:szCs w:val="22"/>
        </w:rPr>
        <w:t xml:space="preserve">INVEGA TRINZA has not been systematically studied in patients with renal impairment (see </w:t>
      </w:r>
      <w:r w:rsidRPr="00496DEA">
        <w:rPr>
          <w:rFonts w:ascii="Arial" w:hAnsi="Arial" w:cs="Arial"/>
          <w:b/>
          <w:sz w:val="22"/>
          <w:szCs w:val="22"/>
        </w:rPr>
        <w:t>Pharmacokinetics</w:t>
      </w:r>
      <w:r w:rsidRPr="00F52D82">
        <w:rPr>
          <w:rFonts w:ascii="Arial" w:hAnsi="Arial" w:cs="Arial"/>
          <w:sz w:val="22"/>
          <w:szCs w:val="22"/>
        </w:rPr>
        <w:t>). For patients with mild renal impairment (creatinine clearance ≥ 50 to &lt; 80 mL/min), dose adjustment is done when initiating treatment with the 1-month paliperidone palmitate injectable product; no dose adjustment of INVEGA TRINZA is required. Transition to INVEGA TRINZA is with a dose in a 3.5 to 1 ratio to the previous stabilized 1-month paliperidone palmitate injectable product as described in Dosage above. The maximum recommended dose of INVEGA TRINZA in patients with mild renal impairment is 350 mg.</w:t>
      </w:r>
    </w:p>
    <w:p w:rsidR="00554755" w:rsidRPr="00335DB0" w:rsidRDefault="00E314E4" w:rsidP="00335DB0">
      <w:pPr>
        <w:pStyle w:val="BodyText12"/>
        <w:widowControl w:val="0"/>
        <w:spacing w:line="240" w:lineRule="auto"/>
        <w:rPr>
          <w:rFonts w:ascii="Arial" w:hAnsi="Arial" w:cs="Arial"/>
          <w:sz w:val="22"/>
          <w:szCs w:val="22"/>
        </w:rPr>
      </w:pPr>
      <w:r w:rsidRPr="00F52D82">
        <w:rPr>
          <w:rFonts w:ascii="Arial" w:hAnsi="Arial" w:cs="Arial"/>
          <w:sz w:val="22"/>
          <w:szCs w:val="22"/>
        </w:rPr>
        <w:t>INVEGA TRINZA is not recommended in patients with moderate or severe renal impairment (creatinine clearance &lt; 50 m</w:t>
      </w:r>
      <w:r w:rsidR="00597359">
        <w:rPr>
          <w:rFonts w:ascii="Arial" w:hAnsi="Arial" w:cs="Arial"/>
          <w:sz w:val="22"/>
          <w:szCs w:val="22"/>
        </w:rPr>
        <w:t>L</w:t>
      </w:r>
      <w:r>
        <w:rPr>
          <w:rFonts w:ascii="Arial" w:hAnsi="Arial" w:cs="Arial"/>
          <w:sz w:val="22"/>
          <w:szCs w:val="22"/>
        </w:rPr>
        <w:t>/min).</w:t>
      </w:r>
    </w:p>
    <w:p w:rsidR="00E314E4" w:rsidRPr="00F52D82" w:rsidRDefault="00E314E4" w:rsidP="00E314E4">
      <w:pPr>
        <w:pStyle w:val="Heading3"/>
      </w:pPr>
      <w:r w:rsidRPr="00F52D82">
        <w:lastRenderedPageBreak/>
        <w:t>Hepatic Impairment</w:t>
      </w:r>
    </w:p>
    <w:p w:rsidR="00E314E4" w:rsidRPr="00554755" w:rsidRDefault="00E314E4" w:rsidP="00554755">
      <w:pPr>
        <w:pStyle w:val="BodyText12"/>
        <w:spacing w:line="240" w:lineRule="auto"/>
        <w:rPr>
          <w:rFonts w:ascii="Arial" w:hAnsi="Arial" w:cs="Arial"/>
          <w:sz w:val="22"/>
          <w:szCs w:val="22"/>
        </w:rPr>
      </w:pPr>
      <w:r w:rsidRPr="00F52D82">
        <w:rPr>
          <w:rFonts w:ascii="Arial" w:hAnsi="Arial" w:cs="Arial"/>
          <w:sz w:val="22"/>
          <w:szCs w:val="22"/>
        </w:rPr>
        <w:t xml:space="preserve">INVEGA TRINZA has not been studied in patients with hepatic impairment. Based on a study with oral paliperidone, no dose adjustment is required in patients with mild or moderate hepatic impairment. Paliperidone has not been studied in patients </w:t>
      </w:r>
      <w:r w:rsidR="00554755">
        <w:rPr>
          <w:rFonts w:ascii="Arial" w:hAnsi="Arial" w:cs="Arial"/>
          <w:sz w:val="22"/>
          <w:szCs w:val="22"/>
        </w:rPr>
        <w:t xml:space="preserve">with severe hepatic impairment. </w:t>
      </w:r>
      <w:r w:rsidRPr="00554755">
        <w:rPr>
          <w:rFonts w:ascii="Arial" w:hAnsi="Arial" w:cs="Arial"/>
          <w:sz w:val="22"/>
          <w:szCs w:val="22"/>
        </w:rPr>
        <w:t>(</w:t>
      </w:r>
      <w:proofErr w:type="gramStart"/>
      <w:r w:rsidRPr="00554755">
        <w:rPr>
          <w:rFonts w:ascii="Arial" w:hAnsi="Arial" w:cs="Arial"/>
          <w:sz w:val="22"/>
          <w:szCs w:val="22"/>
        </w:rPr>
        <w:t>see</w:t>
      </w:r>
      <w:proofErr w:type="gramEnd"/>
      <w:r w:rsidRPr="00554755">
        <w:rPr>
          <w:rFonts w:ascii="Arial" w:hAnsi="Arial" w:cs="Arial"/>
          <w:sz w:val="22"/>
          <w:szCs w:val="22"/>
        </w:rPr>
        <w:t xml:space="preserve"> </w:t>
      </w:r>
      <w:r w:rsidRPr="00554755">
        <w:rPr>
          <w:rFonts w:ascii="Arial" w:hAnsi="Arial" w:cs="Arial"/>
          <w:b/>
          <w:sz w:val="22"/>
          <w:szCs w:val="22"/>
        </w:rPr>
        <w:t xml:space="preserve">PHARMACOLOGY – </w:t>
      </w:r>
      <w:r w:rsidRPr="00554755">
        <w:rPr>
          <w:rFonts w:ascii="Arial" w:hAnsi="Arial" w:cs="Arial"/>
          <w:sz w:val="22"/>
          <w:szCs w:val="22"/>
        </w:rPr>
        <w:t>Pharmacokinetics).</w:t>
      </w:r>
    </w:p>
    <w:p w:rsidR="00E314E4" w:rsidRPr="00F52D82" w:rsidRDefault="00E314E4" w:rsidP="00E314E4">
      <w:pPr>
        <w:pStyle w:val="Heading4"/>
        <w:jc w:val="both"/>
      </w:pPr>
      <w:r w:rsidRPr="00F52D82">
        <w:t>P</w:t>
      </w:r>
      <w:r w:rsidR="002A2342">
        <w:t>a</w:t>
      </w:r>
      <w:r w:rsidRPr="00F52D82">
        <w:t>ediatric Use</w:t>
      </w:r>
    </w:p>
    <w:p w:rsidR="00E314E4" w:rsidRPr="00496DEA" w:rsidRDefault="00E314E4" w:rsidP="00E314E4">
      <w:pPr>
        <w:pStyle w:val="BodyText12"/>
        <w:spacing w:line="240" w:lineRule="auto"/>
        <w:rPr>
          <w:rFonts w:ascii="Arial" w:hAnsi="Arial" w:cs="Arial"/>
          <w:sz w:val="22"/>
          <w:szCs w:val="22"/>
        </w:rPr>
      </w:pPr>
      <w:r w:rsidRPr="00F52D82">
        <w:rPr>
          <w:rFonts w:ascii="Arial" w:hAnsi="Arial" w:cs="Arial"/>
          <w:sz w:val="22"/>
          <w:szCs w:val="22"/>
        </w:rPr>
        <w:t>Safety and effectiveness of INVEGA TRINZA in patients &lt; 18 year</w:t>
      </w:r>
      <w:r>
        <w:rPr>
          <w:rFonts w:ascii="Arial" w:hAnsi="Arial" w:cs="Arial"/>
          <w:sz w:val="22"/>
          <w:szCs w:val="22"/>
        </w:rPr>
        <w:t>s of age have not been studied.</w:t>
      </w:r>
      <w:r w:rsidR="002A2342">
        <w:rPr>
          <w:rFonts w:ascii="Arial" w:hAnsi="Arial" w:cs="Arial"/>
          <w:sz w:val="22"/>
          <w:szCs w:val="22"/>
        </w:rPr>
        <w:t xml:space="preserve"> U</w:t>
      </w:r>
      <w:r w:rsidR="002A2342" w:rsidRPr="00C37E39">
        <w:rPr>
          <w:rFonts w:ascii="Arial" w:hAnsi="Arial" w:cs="Arial"/>
          <w:sz w:val="22"/>
          <w:szCs w:val="22"/>
        </w:rPr>
        <w:t>se in these patients is not recommended.</w:t>
      </w:r>
    </w:p>
    <w:p w:rsidR="00E314E4" w:rsidRPr="00F52D82" w:rsidRDefault="00E314E4" w:rsidP="00E314E4">
      <w:pPr>
        <w:pStyle w:val="Heading4"/>
        <w:jc w:val="both"/>
      </w:pPr>
      <w:r w:rsidRPr="00F52D82">
        <w:t>Use in the Elderly</w:t>
      </w:r>
    </w:p>
    <w:p w:rsidR="00E314E4" w:rsidRPr="00554755" w:rsidRDefault="00E314E4" w:rsidP="00554755">
      <w:pPr>
        <w:pStyle w:val="BodyText12"/>
        <w:widowControl w:val="0"/>
        <w:spacing w:line="240" w:lineRule="auto"/>
        <w:rPr>
          <w:rFonts w:ascii="Arial" w:hAnsi="Arial" w:cs="Arial"/>
          <w:sz w:val="22"/>
          <w:szCs w:val="22"/>
        </w:rPr>
      </w:pPr>
      <w:r w:rsidRPr="00F52D82">
        <w:rPr>
          <w:rFonts w:ascii="Arial" w:hAnsi="Arial" w:cs="Arial"/>
          <w:sz w:val="22"/>
          <w:szCs w:val="22"/>
        </w:rPr>
        <w:t xml:space="preserve">In general, recommended dosing of INVEGA TRINZA for elderly patients with normal renal function is the same as for younger adult patients with normal renal function. As elderly patients may have reduced renal function, see </w:t>
      </w:r>
      <w:proofErr w:type="gramStart"/>
      <w:r w:rsidRPr="00F52D82">
        <w:rPr>
          <w:rFonts w:ascii="Arial" w:hAnsi="Arial" w:cs="Arial"/>
          <w:sz w:val="22"/>
          <w:szCs w:val="22"/>
        </w:rPr>
        <w:t>Renal</w:t>
      </w:r>
      <w:proofErr w:type="gramEnd"/>
      <w:r w:rsidRPr="00F52D82">
        <w:rPr>
          <w:rFonts w:ascii="Arial" w:hAnsi="Arial" w:cs="Arial"/>
          <w:sz w:val="22"/>
          <w:szCs w:val="22"/>
        </w:rPr>
        <w:t xml:space="preserve"> impairment below for dosing recommendations in </w:t>
      </w:r>
      <w:r w:rsidR="00554755">
        <w:rPr>
          <w:rFonts w:ascii="Arial" w:hAnsi="Arial" w:cs="Arial"/>
          <w:sz w:val="22"/>
          <w:szCs w:val="22"/>
        </w:rPr>
        <w:t>patients with renal impairment.</w:t>
      </w:r>
    </w:p>
    <w:p w:rsidR="00E314E4" w:rsidRPr="00F52D82" w:rsidRDefault="00E314E4" w:rsidP="00E314E4">
      <w:pPr>
        <w:pStyle w:val="Heading4"/>
        <w:jc w:val="both"/>
      </w:pPr>
      <w:r>
        <w:t>Other populations</w:t>
      </w:r>
    </w:p>
    <w:p w:rsidR="00E314E4" w:rsidRPr="00BF23DB" w:rsidRDefault="00E314E4" w:rsidP="00E314E4">
      <w:pPr>
        <w:pStyle w:val="BodyText12"/>
        <w:spacing w:line="240" w:lineRule="auto"/>
        <w:rPr>
          <w:rFonts w:ascii="Arial" w:hAnsi="Arial" w:cs="Arial"/>
          <w:sz w:val="22"/>
          <w:szCs w:val="22"/>
        </w:rPr>
      </w:pPr>
      <w:r w:rsidRPr="00F52D82">
        <w:rPr>
          <w:rFonts w:ascii="Arial" w:hAnsi="Arial" w:cs="Arial"/>
          <w:sz w:val="22"/>
          <w:szCs w:val="22"/>
        </w:rPr>
        <w:t>No dose adjustment for INVEGA TRINZA is recommended based on gender, race, or smoking status. (For pregnant women and nursing mothers, see</w:t>
      </w:r>
      <w:bookmarkStart w:id="65" w:name="_Toc219801014"/>
      <w:r>
        <w:rPr>
          <w:rFonts w:ascii="Arial" w:hAnsi="Arial" w:cs="Arial"/>
          <w:sz w:val="22"/>
          <w:szCs w:val="22"/>
        </w:rPr>
        <w:t xml:space="preserve"> </w:t>
      </w:r>
      <w:r w:rsidRPr="00BF23DB">
        <w:rPr>
          <w:rFonts w:ascii="Arial" w:hAnsi="Arial" w:cs="Arial"/>
          <w:b/>
          <w:sz w:val="22"/>
          <w:szCs w:val="22"/>
        </w:rPr>
        <w:t>Use in Pregnancy</w:t>
      </w:r>
      <w:r>
        <w:rPr>
          <w:rFonts w:ascii="Arial" w:hAnsi="Arial" w:cs="Arial"/>
          <w:sz w:val="22"/>
          <w:szCs w:val="22"/>
        </w:rPr>
        <w:t>)</w:t>
      </w:r>
    </w:p>
    <w:p w:rsidR="00E314E4" w:rsidRPr="00F52D82" w:rsidRDefault="00E314E4" w:rsidP="00E314E4">
      <w:pPr>
        <w:pStyle w:val="Heading2"/>
        <w:rPr>
          <w:sz w:val="22"/>
          <w:szCs w:val="22"/>
        </w:rPr>
      </w:pPr>
      <w:r w:rsidRPr="00F52D82">
        <w:rPr>
          <w:sz w:val="22"/>
          <w:szCs w:val="22"/>
        </w:rPr>
        <w:t>Missed Doses</w:t>
      </w:r>
      <w:bookmarkEnd w:id="65"/>
    </w:p>
    <w:p w:rsidR="00E314E4" w:rsidRPr="00F52D82" w:rsidRDefault="00335DB0" w:rsidP="00E314E4">
      <w:pPr>
        <w:pStyle w:val="BodyText120"/>
        <w:spacing w:line="240" w:lineRule="auto"/>
        <w:rPr>
          <w:rFonts w:ascii="Arial" w:hAnsi="Arial" w:cs="Arial"/>
          <w:sz w:val="22"/>
          <w:szCs w:val="22"/>
        </w:rPr>
      </w:pPr>
      <w:proofErr w:type="gramStart"/>
      <w:r>
        <w:rPr>
          <w:rFonts w:ascii="Arial" w:hAnsi="Arial" w:cs="Arial"/>
          <w:sz w:val="22"/>
          <w:szCs w:val="22"/>
        </w:rPr>
        <w:t xml:space="preserve">Dosing </w:t>
      </w:r>
      <w:r w:rsidR="00E314E4" w:rsidRPr="00F52D82">
        <w:rPr>
          <w:rFonts w:ascii="Arial" w:hAnsi="Arial" w:cs="Arial"/>
          <w:sz w:val="22"/>
          <w:szCs w:val="22"/>
        </w:rPr>
        <w:t>Window.</w:t>
      </w:r>
      <w:proofErr w:type="gramEnd"/>
      <w:r w:rsidR="00E314E4" w:rsidRPr="00F52D82">
        <w:rPr>
          <w:rFonts w:ascii="Arial" w:hAnsi="Arial" w:cs="Arial"/>
          <w:sz w:val="22"/>
          <w:szCs w:val="22"/>
        </w:rPr>
        <w:t xml:space="preserve"> Missing doses of INVEGA TRINZA should be avoided. However, on exceptional occasions, patients may be given the injection up to 2 weeks before or after the 3-month time point.</w:t>
      </w:r>
    </w:p>
    <w:p w:rsidR="00E314E4" w:rsidRDefault="00E314E4" w:rsidP="00E314E4">
      <w:pPr>
        <w:pStyle w:val="BodyText120"/>
        <w:spacing w:line="240" w:lineRule="auto"/>
        <w:rPr>
          <w:rFonts w:ascii="Arial" w:hAnsi="Arial" w:cs="Arial"/>
          <w:sz w:val="22"/>
          <w:szCs w:val="22"/>
        </w:rPr>
      </w:pPr>
      <w:r w:rsidRPr="00496DEA">
        <w:rPr>
          <w:rFonts w:ascii="Arial" w:hAnsi="Arial" w:cs="Arial"/>
          <w:sz w:val="22"/>
          <w:szCs w:val="22"/>
          <w:u w:val="single"/>
        </w:rPr>
        <w:t xml:space="preserve">Missed </w:t>
      </w:r>
      <w:r>
        <w:rPr>
          <w:rFonts w:ascii="Arial" w:hAnsi="Arial" w:cs="Arial"/>
          <w:sz w:val="22"/>
          <w:szCs w:val="22"/>
          <w:u w:val="single"/>
        </w:rPr>
        <w:t>Dose &gt; 3½ Months up to 4 Months</w:t>
      </w:r>
    </w:p>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If more than 3½ months (up to 4 months) have elapsed since the last injection of INVEGA TRINZA, the previously administered INVEGA TRINZA dose should be administered as soon as possible, then continue with the 3-month injections following this dose.</w:t>
      </w:r>
    </w:p>
    <w:p w:rsidR="00E314E4" w:rsidRDefault="00E314E4" w:rsidP="00E314E4">
      <w:pPr>
        <w:pStyle w:val="BodyText120"/>
        <w:spacing w:line="240" w:lineRule="auto"/>
        <w:rPr>
          <w:rFonts w:ascii="Arial" w:hAnsi="Arial" w:cs="Arial"/>
          <w:sz w:val="22"/>
          <w:szCs w:val="22"/>
        </w:rPr>
      </w:pPr>
      <w:r w:rsidRPr="00496DEA">
        <w:rPr>
          <w:rFonts w:ascii="Arial" w:hAnsi="Arial" w:cs="Arial"/>
          <w:sz w:val="22"/>
          <w:szCs w:val="22"/>
          <w:u w:val="single"/>
        </w:rPr>
        <w:t>Missed</w:t>
      </w:r>
      <w:r>
        <w:rPr>
          <w:rFonts w:ascii="Arial" w:hAnsi="Arial" w:cs="Arial"/>
          <w:sz w:val="22"/>
          <w:szCs w:val="22"/>
          <w:u w:val="single"/>
        </w:rPr>
        <w:t xml:space="preserve"> Dose &gt; 4 Months up to 9 Months</w:t>
      </w:r>
      <w:r w:rsidRPr="00F52D82">
        <w:rPr>
          <w:rFonts w:ascii="Arial" w:hAnsi="Arial" w:cs="Arial"/>
          <w:sz w:val="22"/>
          <w:szCs w:val="22"/>
        </w:rPr>
        <w:t xml:space="preserve"> </w:t>
      </w:r>
    </w:p>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If more than 4 months (up to 9 months) have elapsed since the last injection of INVEGA TRINZA, do NOT administer the next dose of INVEGA TRINZA. Instead, use the re-initiation regimen shown in Table </w:t>
      </w:r>
      <w:r w:rsidR="00C5649A">
        <w:rPr>
          <w:rFonts w:ascii="Arial" w:hAnsi="Arial" w:cs="Arial"/>
          <w:sz w:val="22"/>
          <w:szCs w:val="22"/>
        </w:rPr>
        <w:t>8</w:t>
      </w:r>
      <w:r w:rsidRPr="00F52D82">
        <w:rPr>
          <w:rFonts w:ascii="Arial" w:hAnsi="Arial" w:cs="Arial"/>
          <w:sz w:val="22"/>
          <w:szCs w:val="22"/>
        </w:rPr>
        <w:t>.</w:t>
      </w:r>
    </w:p>
    <w:p w:rsidR="00E314E4" w:rsidRPr="00213EF3" w:rsidRDefault="00E314E4" w:rsidP="00E314E4">
      <w:pPr>
        <w:keepNext/>
        <w:jc w:val="both"/>
        <w:rPr>
          <w:b/>
          <w:sz w:val="20"/>
          <w:szCs w:val="20"/>
        </w:rPr>
      </w:pPr>
      <w:r>
        <w:rPr>
          <w:b/>
        </w:rPr>
        <w:t xml:space="preserve"> </w:t>
      </w:r>
      <w:proofErr w:type="gramStart"/>
      <w:r w:rsidRPr="00213EF3">
        <w:rPr>
          <w:b/>
          <w:sz w:val="20"/>
          <w:szCs w:val="20"/>
        </w:rPr>
        <w:t xml:space="preserve">Table </w:t>
      </w:r>
      <w:r w:rsidR="00C5649A">
        <w:rPr>
          <w:b/>
          <w:sz w:val="20"/>
          <w:szCs w:val="20"/>
        </w:rPr>
        <w:t>8</w:t>
      </w:r>
      <w:r w:rsidRPr="00213EF3">
        <w:rPr>
          <w:b/>
          <w:sz w:val="20"/>
          <w:szCs w:val="20"/>
        </w:rPr>
        <w:t>.</w:t>
      </w:r>
      <w:proofErr w:type="gramEnd"/>
      <w:r w:rsidRPr="00213EF3">
        <w:rPr>
          <w:b/>
          <w:sz w:val="20"/>
          <w:szCs w:val="20"/>
        </w:rPr>
        <w:t xml:space="preserve">  Re-initiation regimen after missing &gt;4 months up to 9 months of INVEGA TRINZA</w:t>
      </w:r>
    </w:p>
    <w:p w:rsidR="00E314E4" w:rsidRPr="00496DEA" w:rsidRDefault="00E314E4" w:rsidP="00E314E4">
      <w:pPr>
        <w:keepNext/>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08"/>
        <w:gridCol w:w="1890"/>
        <w:gridCol w:w="1710"/>
        <w:gridCol w:w="2241"/>
      </w:tblGrid>
      <w:tr w:rsidR="00E314E4" w:rsidRPr="00213EF3" w:rsidTr="00E314E4">
        <w:trPr>
          <w:jc w:val="center"/>
        </w:trPr>
        <w:tc>
          <w:tcPr>
            <w:tcW w:w="1908" w:type="dxa"/>
            <w:shd w:val="clear" w:color="auto" w:fill="FFFFFF" w:themeFill="background1"/>
            <w:vAlign w:val="center"/>
          </w:tcPr>
          <w:p w:rsidR="00E314E4" w:rsidRPr="00213EF3" w:rsidRDefault="00E314E4" w:rsidP="00E314E4">
            <w:pPr>
              <w:keepNext/>
              <w:jc w:val="center"/>
              <w:rPr>
                <w:rFonts w:eastAsia="Calibri"/>
                <w:b/>
                <w:sz w:val="20"/>
                <w:szCs w:val="20"/>
              </w:rPr>
            </w:pPr>
          </w:p>
          <w:p w:rsidR="00E314E4" w:rsidRPr="00213EF3" w:rsidRDefault="00E314E4" w:rsidP="00E314E4">
            <w:pPr>
              <w:keepNext/>
              <w:jc w:val="center"/>
              <w:rPr>
                <w:rFonts w:eastAsia="Calibri"/>
                <w:b/>
                <w:sz w:val="20"/>
                <w:szCs w:val="20"/>
              </w:rPr>
            </w:pPr>
            <w:r w:rsidRPr="00213EF3">
              <w:rPr>
                <w:rFonts w:eastAsia="Calibri"/>
                <w:b/>
                <w:sz w:val="20"/>
                <w:szCs w:val="20"/>
              </w:rPr>
              <w:t>Last INVEGA TRINZA 3</w:t>
            </w:r>
            <w:r w:rsidRPr="00213EF3">
              <w:rPr>
                <w:rFonts w:eastAsia="Calibri"/>
                <w:b/>
                <w:sz w:val="20"/>
                <w:szCs w:val="20"/>
              </w:rPr>
              <w:noBreakHyphen/>
              <w:t>Month Injectable</w:t>
            </w:r>
          </w:p>
          <w:p w:rsidR="00E314E4" w:rsidRPr="00213EF3" w:rsidRDefault="00E314E4" w:rsidP="00E314E4">
            <w:pPr>
              <w:keepNext/>
              <w:jc w:val="center"/>
              <w:rPr>
                <w:rFonts w:eastAsia="Calibri"/>
                <w:b/>
                <w:sz w:val="20"/>
                <w:szCs w:val="20"/>
              </w:rPr>
            </w:pPr>
            <w:r w:rsidRPr="00213EF3">
              <w:rPr>
                <w:rFonts w:eastAsia="Calibri"/>
                <w:b/>
                <w:sz w:val="20"/>
                <w:szCs w:val="20"/>
              </w:rPr>
              <w:t>Product Dose</w:t>
            </w:r>
          </w:p>
          <w:p w:rsidR="00E314E4" w:rsidRPr="00213EF3" w:rsidRDefault="00E314E4" w:rsidP="00E314E4">
            <w:pPr>
              <w:keepNext/>
              <w:jc w:val="center"/>
              <w:rPr>
                <w:rFonts w:eastAsia="Calibri"/>
                <w:b/>
                <w:sz w:val="20"/>
                <w:szCs w:val="20"/>
              </w:rPr>
            </w:pPr>
          </w:p>
        </w:tc>
        <w:tc>
          <w:tcPr>
            <w:tcW w:w="3600" w:type="dxa"/>
            <w:gridSpan w:val="2"/>
            <w:shd w:val="clear" w:color="auto" w:fill="FFFFFF" w:themeFill="background1"/>
          </w:tcPr>
          <w:p w:rsidR="00E314E4" w:rsidRPr="00213EF3" w:rsidRDefault="00E314E4" w:rsidP="00E314E4">
            <w:pPr>
              <w:keepNext/>
              <w:jc w:val="center"/>
              <w:rPr>
                <w:rFonts w:eastAsia="Calibri"/>
                <w:b/>
                <w:sz w:val="20"/>
                <w:szCs w:val="20"/>
              </w:rPr>
            </w:pPr>
          </w:p>
          <w:p w:rsidR="00E314E4" w:rsidRPr="00213EF3" w:rsidRDefault="00E314E4" w:rsidP="00E314E4">
            <w:pPr>
              <w:keepNext/>
              <w:jc w:val="center"/>
              <w:rPr>
                <w:rFonts w:eastAsia="Calibri"/>
                <w:b/>
                <w:sz w:val="20"/>
                <w:szCs w:val="20"/>
              </w:rPr>
            </w:pPr>
            <w:r w:rsidRPr="00213EF3">
              <w:rPr>
                <w:rFonts w:eastAsia="Calibri"/>
                <w:b/>
                <w:sz w:val="20"/>
                <w:szCs w:val="20"/>
              </w:rPr>
              <w:t>Administer Paliperidone Palmitate</w:t>
            </w:r>
          </w:p>
          <w:p w:rsidR="00E314E4" w:rsidRPr="00213EF3" w:rsidRDefault="00E314E4" w:rsidP="00E314E4">
            <w:pPr>
              <w:keepNext/>
              <w:jc w:val="center"/>
              <w:rPr>
                <w:rFonts w:eastAsia="Calibri"/>
                <w:b/>
                <w:sz w:val="20"/>
                <w:szCs w:val="20"/>
              </w:rPr>
            </w:pPr>
            <w:r w:rsidRPr="00213EF3">
              <w:rPr>
                <w:rFonts w:eastAsia="Calibri"/>
                <w:b/>
                <w:sz w:val="20"/>
                <w:szCs w:val="20"/>
              </w:rPr>
              <w:t>1-Month Injectable Product,</w:t>
            </w:r>
          </w:p>
          <w:p w:rsidR="00E314E4" w:rsidRPr="00213EF3" w:rsidRDefault="00E314E4" w:rsidP="00E314E4">
            <w:pPr>
              <w:keepNext/>
              <w:jc w:val="center"/>
              <w:rPr>
                <w:rFonts w:eastAsia="Calibri"/>
                <w:b/>
                <w:sz w:val="20"/>
                <w:szCs w:val="20"/>
              </w:rPr>
            </w:pPr>
            <w:r w:rsidRPr="00213EF3">
              <w:rPr>
                <w:rFonts w:eastAsia="Calibri"/>
                <w:b/>
                <w:sz w:val="20"/>
                <w:szCs w:val="20"/>
              </w:rPr>
              <w:t>two doses one week apart</w:t>
            </w:r>
          </w:p>
          <w:p w:rsidR="00E314E4" w:rsidRPr="00213EF3" w:rsidRDefault="00E314E4" w:rsidP="00E314E4">
            <w:pPr>
              <w:keepNext/>
              <w:jc w:val="center"/>
              <w:rPr>
                <w:rFonts w:eastAsia="Calibri"/>
                <w:b/>
                <w:sz w:val="20"/>
                <w:szCs w:val="20"/>
              </w:rPr>
            </w:pPr>
            <w:r w:rsidRPr="00213EF3">
              <w:rPr>
                <w:rFonts w:eastAsia="Calibri"/>
                <w:b/>
                <w:sz w:val="20"/>
                <w:szCs w:val="20"/>
              </w:rPr>
              <w:t>(into deltoid muscle)</w:t>
            </w:r>
          </w:p>
        </w:tc>
        <w:tc>
          <w:tcPr>
            <w:tcW w:w="2241" w:type="dxa"/>
            <w:shd w:val="clear" w:color="auto" w:fill="FFFFFF" w:themeFill="background1"/>
          </w:tcPr>
          <w:p w:rsidR="00E314E4" w:rsidRPr="00213EF3" w:rsidRDefault="00E314E4" w:rsidP="00E314E4">
            <w:pPr>
              <w:keepNext/>
              <w:jc w:val="center"/>
              <w:rPr>
                <w:rFonts w:eastAsia="Calibri"/>
                <w:b/>
                <w:sz w:val="20"/>
                <w:szCs w:val="20"/>
              </w:rPr>
            </w:pPr>
          </w:p>
          <w:p w:rsidR="00E314E4" w:rsidRPr="00213EF3" w:rsidRDefault="00E314E4" w:rsidP="00E314E4">
            <w:pPr>
              <w:keepNext/>
              <w:jc w:val="center"/>
              <w:rPr>
                <w:rFonts w:eastAsia="Calibri"/>
                <w:b/>
                <w:sz w:val="20"/>
                <w:szCs w:val="20"/>
              </w:rPr>
            </w:pPr>
            <w:r w:rsidRPr="00213EF3">
              <w:rPr>
                <w:rFonts w:eastAsia="Calibri"/>
                <w:b/>
                <w:sz w:val="20"/>
                <w:szCs w:val="20"/>
              </w:rPr>
              <w:t>Then administer</w:t>
            </w:r>
          </w:p>
          <w:p w:rsidR="00E314E4" w:rsidRPr="00213EF3" w:rsidRDefault="00E314E4" w:rsidP="00E314E4">
            <w:pPr>
              <w:keepNext/>
              <w:jc w:val="center"/>
              <w:rPr>
                <w:rFonts w:eastAsia="Calibri"/>
                <w:b/>
                <w:sz w:val="20"/>
                <w:szCs w:val="20"/>
              </w:rPr>
            </w:pPr>
            <w:r w:rsidRPr="00213EF3">
              <w:rPr>
                <w:rFonts w:eastAsia="Calibri"/>
                <w:b/>
                <w:sz w:val="20"/>
                <w:szCs w:val="20"/>
              </w:rPr>
              <w:t>INVEGA TRINZA 3</w:t>
            </w:r>
            <w:r w:rsidRPr="00213EF3">
              <w:rPr>
                <w:rFonts w:eastAsia="Calibri"/>
                <w:b/>
                <w:sz w:val="20"/>
                <w:szCs w:val="20"/>
              </w:rPr>
              <w:noBreakHyphen/>
              <w:t>Month Injectable</w:t>
            </w:r>
          </w:p>
          <w:p w:rsidR="00E314E4" w:rsidRPr="00213EF3" w:rsidRDefault="00E314E4" w:rsidP="00E314E4">
            <w:pPr>
              <w:keepNext/>
              <w:jc w:val="center"/>
              <w:rPr>
                <w:rFonts w:eastAsia="Calibri"/>
                <w:b/>
                <w:sz w:val="20"/>
                <w:szCs w:val="20"/>
              </w:rPr>
            </w:pPr>
            <w:r w:rsidRPr="00213EF3">
              <w:rPr>
                <w:rFonts w:eastAsia="Calibri"/>
                <w:b/>
                <w:sz w:val="20"/>
                <w:szCs w:val="20"/>
              </w:rPr>
              <w:t>Product Dose</w:t>
            </w:r>
          </w:p>
          <w:p w:rsidR="00E314E4" w:rsidRPr="00213EF3" w:rsidRDefault="00E314E4" w:rsidP="00E314E4">
            <w:pPr>
              <w:keepNext/>
              <w:jc w:val="center"/>
              <w:rPr>
                <w:rFonts w:eastAsia="Calibri"/>
                <w:b/>
                <w:sz w:val="20"/>
                <w:szCs w:val="20"/>
              </w:rPr>
            </w:pPr>
            <w:r w:rsidRPr="00213EF3">
              <w:rPr>
                <w:rFonts w:eastAsia="Calibri"/>
                <w:b/>
                <w:sz w:val="20"/>
                <w:szCs w:val="20"/>
              </w:rPr>
              <w:t xml:space="preserve">(into </w:t>
            </w:r>
            <w:proofErr w:type="spellStart"/>
            <w:r w:rsidRPr="00213EF3">
              <w:rPr>
                <w:rFonts w:eastAsia="Calibri"/>
                <w:b/>
                <w:sz w:val="20"/>
                <w:szCs w:val="20"/>
              </w:rPr>
              <w:t>deltoid</w:t>
            </w:r>
            <w:r w:rsidRPr="00213EF3">
              <w:rPr>
                <w:rFonts w:eastAsia="Calibri"/>
                <w:b/>
                <w:sz w:val="20"/>
                <w:szCs w:val="20"/>
                <w:vertAlign w:val="superscript"/>
              </w:rPr>
              <w:t>a</w:t>
            </w:r>
            <w:proofErr w:type="spellEnd"/>
            <w:r w:rsidRPr="00213EF3">
              <w:rPr>
                <w:rFonts w:eastAsia="Calibri"/>
                <w:b/>
                <w:sz w:val="20"/>
                <w:szCs w:val="20"/>
              </w:rPr>
              <w:t xml:space="preserve"> or</w:t>
            </w:r>
          </w:p>
          <w:p w:rsidR="00E314E4" w:rsidRPr="00213EF3" w:rsidRDefault="00E314E4" w:rsidP="00E314E4">
            <w:pPr>
              <w:keepNext/>
              <w:jc w:val="center"/>
              <w:rPr>
                <w:rFonts w:eastAsia="Calibri"/>
                <w:b/>
                <w:sz w:val="20"/>
                <w:szCs w:val="20"/>
              </w:rPr>
            </w:pPr>
            <w:r w:rsidRPr="00213EF3">
              <w:rPr>
                <w:rFonts w:eastAsia="Calibri"/>
                <w:b/>
                <w:sz w:val="20"/>
                <w:szCs w:val="20"/>
              </w:rPr>
              <w:t>gluteal muscle)</w:t>
            </w:r>
          </w:p>
          <w:p w:rsidR="00E314E4" w:rsidRPr="00213EF3" w:rsidRDefault="00E314E4" w:rsidP="00E314E4">
            <w:pPr>
              <w:keepNext/>
              <w:jc w:val="center"/>
              <w:rPr>
                <w:rFonts w:eastAsia="Calibri"/>
                <w:b/>
                <w:sz w:val="20"/>
                <w:szCs w:val="20"/>
              </w:rPr>
            </w:pPr>
          </w:p>
        </w:tc>
      </w:tr>
      <w:tr w:rsidR="00E314E4" w:rsidRPr="00213EF3" w:rsidTr="00E314E4">
        <w:trPr>
          <w:trHeight w:val="288"/>
          <w:jc w:val="center"/>
        </w:trPr>
        <w:tc>
          <w:tcPr>
            <w:tcW w:w="1908" w:type="dxa"/>
            <w:shd w:val="clear" w:color="auto" w:fill="FFFFFF" w:themeFill="background1"/>
          </w:tcPr>
          <w:p w:rsidR="00E314E4" w:rsidRPr="00213EF3" w:rsidRDefault="00E314E4" w:rsidP="00E314E4">
            <w:pPr>
              <w:jc w:val="both"/>
              <w:rPr>
                <w:rFonts w:eastAsia="Calibri"/>
                <w:sz w:val="20"/>
                <w:szCs w:val="20"/>
              </w:rPr>
            </w:pPr>
          </w:p>
        </w:tc>
        <w:tc>
          <w:tcPr>
            <w:tcW w:w="1890" w:type="dxa"/>
            <w:shd w:val="clear" w:color="auto" w:fill="FFFFFF" w:themeFill="background1"/>
          </w:tcPr>
          <w:p w:rsidR="00E314E4" w:rsidRPr="00213EF3" w:rsidRDefault="00E314E4" w:rsidP="00E314E4">
            <w:pPr>
              <w:jc w:val="center"/>
              <w:rPr>
                <w:rFonts w:eastAsia="Calibri"/>
                <w:b/>
                <w:sz w:val="20"/>
                <w:szCs w:val="20"/>
              </w:rPr>
            </w:pPr>
            <w:r w:rsidRPr="00213EF3">
              <w:rPr>
                <w:rFonts w:eastAsia="Calibri"/>
                <w:b/>
                <w:sz w:val="20"/>
                <w:szCs w:val="20"/>
              </w:rPr>
              <w:t xml:space="preserve">Day 1  </w:t>
            </w:r>
            <w:r w:rsidRPr="00213EF3">
              <w:rPr>
                <w:rFonts w:eastAsia="Calibri"/>
                <w:b/>
                <w:sz w:val="20"/>
                <w:szCs w:val="20"/>
              </w:rPr>
              <w:sym w:font="Wingdings" w:char="F0E0"/>
            </w:r>
          </w:p>
        </w:tc>
        <w:tc>
          <w:tcPr>
            <w:tcW w:w="1710" w:type="dxa"/>
            <w:shd w:val="clear" w:color="auto" w:fill="FFFFFF" w:themeFill="background1"/>
          </w:tcPr>
          <w:p w:rsidR="00E314E4" w:rsidRPr="00213EF3" w:rsidRDefault="00E314E4" w:rsidP="00E314E4">
            <w:pPr>
              <w:jc w:val="center"/>
              <w:rPr>
                <w:rFonts w:eastAsia="Calibri"/>
                <w:b/>
                <w:sz w:val="20"/>
                <w:szCs w:val="20"/>
              </w:rPr>
            </w:pPr>
            <w:r w:rsidRPr="00213EF3">
              <w:rPr>
                <w:rFonts w:eastAsia="Calibri"/>
                <w:b/>
                <w:sz w:val="20"/>
                <w:szCs w:val="20"/>
              </w:rPr>
              <w:t xml:space="preserve">Day 8  </w:t>
            </w:r>
            <w:r w:rsidRPr="00213EF3">
              <w:rPr>
                <w:rFonts w:eastAsia="Calibri"/>
                <w:b/>
                <w:sz w:val="20"/>
                <w:szCs w:val="20"/>
              </w:rPr>
              <w:sym w:font="Wingdings" w:char="F0E0"/>
            </w:r>
          </w:p>
        </w:tc>
        <w:tc>
          <w:tcPr>
            <w:tcW w:w="2241" w:type="dxa"/>
            <w:shd w:val="clear" w:color="auto" w:fill="FFFFFF" w:themeFill="background1"/>
          </w:tcPr>
          <w:p w:rsidR="00E314E4" w:rsidRPr="00213EF3" w:rsidRDefault="00E314E4" w:rsidP="00E314E4">
            <w:pPr>
              <w:jc w:val="center"/>
              <w:rPr>
                <w:rFonts w:eastAsia="Calibri"/>
                <w:b/>
                <w:sz w:val="20"/>
                <w:szCs w:val="20"/>
              </w:rPr>
            </w:pPr>
            <w:r w:rsidRPr="00213EF3">
              <w:rPr>
                <w:rFonts w:eastAsia="Calibri"/>
                <w:b/>
                <w:sz w:val="20"/>
                <w:szCs w:val="20"/>
              </w:rPr>
              <w:t>1 month after Day 8</w:t>
            </w:r>
          </w:p>
        </w:tc>
      </w:tr>
      <w:tr w:rsidR="00E314E4" w:rsidRPr="00213EF3" w:rsidTr="00E314E4">
        <w:trPr>
          <w:trHeight w:val="288"/>
          <w:jc w:val="center"/>
        </w:trPr>
        <w:tc>
          <w:tcPr>
            <w:tcW w:w="1908"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175 mg</w:t>
            </w:r>
          </w:p>
        </w:tc>
        <w:tc>
          <w:tcPr>
            <w:tcW w:w="189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50 mg  </w:t>
            </w:r>
            <w:r w:rsidRPr="00213EF3">
              <w:rPr>
                <w:rFonts w:eastAsia="Calibri"/>
                <w:sz w:val="20"/>
                <w:szCs w:val="20"/>
              </w:rPr>
              <w:sym w:font="Wingdings" w:char="F0E0"/>
            </w:r>
          </w:p>
        </w:tc>
        <w:tc>
          <w:tcPr>
            <w:tcW w:w="171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50 mg  </w:t>
            </w:r>
            <w:r w:rsidRPr="00213EF3">
              <w:rPr>
                <w:rFonts w:eastAsia="Calibri"/>
                <w:sz w:val="20"/>
                <w:szCs w:val="20"/>
              </w:rPr>
              <w:sym w:font="Wingdings" w:char="F0E0"/>
            </w:r>
          </w:p>
        </w:tc>
        <w:tc>
          <w:tcPr>
            <w:tcW w:w="2241"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175 mg</w:t>
            </w:r>
          </w:p>
        </w:tc>
      </w:tr>
      <w:tr w:rsidR="00E314E4" w:rsidRPr="00213EF3" w:rsidTr="00E314E4">
        <w:trPr>
          <w:trHeight w:val="288"/>
          <w:jc w:val="center"/>
        </w:trPr>
        <w:tc>
          <w:tcPr>
            <w:tcW w:w="1908"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263 mg</w:t>
            </w:r>
          </w:p>
        </w:tc>
        <w:tc>
          <w:tcPr>
            <w:tcW w:w="189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75 mg  </w:t>
            </w:r>
            <w:r w:rsidRPr="00213EF3">
              <w:rPr>
                <w:rFonts w:eastAsia="Calibri"/>
                <w:sz w:val="20"/>
                <w:szCs w:val="20"/>
              </w:rPr>
              <w:sym w:font="Wingdings" w:char="F0E0"/>
            </w:r>
          </w:p>
        </w:tc>
        <w:tc>
          <w:tcPr>
            <w:tcW w:w="171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75 mg  </w:t>
            </w:r>
            <w:r w:rsidRPr="00213EF3">
              <w:rPr>
                <w:rFonts w:eastAsia="Calibri"/>
                <w:sz w:val="20"/>
                <w:szCs w:val="20"/>
              </w:rPr>
              <w:sym w:font="Wingdings" w:char="F0E0"/>
            </w:r>
          </w:p>
        </w:tc>
        <w:tc>
          <w:tcPr>
            <w:tcW w:w="2241"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263 mg</w:t>
            </w:r>
          </w:p>
        </w:tc>
      </w:tr>
      <w:tr w:rsidR="00E314E4" w:rsidRPr="00213EF3" w:rsidTr="00E314E4">
        <w:trPr>
          <w:trHeight w:val="288"/>
          <w:jc w:val="center"/>
        </w:trPr>
        <w:tc>
          <w:tcPr>
            <w:tcW w:w="1908"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350 mg</w:t>
            </w:r>
          </w:p>
        </w:tc>
        <w:tc>
          <w:tcPr>
            <w:tcW w:w="189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100 mg  </w:t>
            </w:r>
            <w:r w:rsidRPr="00213EF3">
              <w:rPr>
                <w:rFonts w:eastAsia="Calibri"/>
                <w:sz w:val="20"/>
                <w:szCs w:val="20"/>
              </w:rPr>
              <w:sym w:font="Wingdings" w:char="F0E0"/>
            </w:r>
          </w:p>
        </w:tc>
        <w:tc>
          <w:tcPr>
            <w:tcW w:w="171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100 mg  </w:t>
            </w:r>
            <w:r w:rsidRPr="00213EF3">
              <w:rPr>
                <w:rFonts w:eastAsia="Calibri"/>
                <w:sz w:val="20"/>
                <w:szCs w:val="20"/>
              </w:rPr>
              <w:sym w:font="Wingdings" w:char="F0E0"/>
            </w:r>
          </w:p>
        </w:tc>
        <w:tc>
          <w:tcPr>
            <w:tcW w:w="2241"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350 mg</w:t>
            </w:r>
          </w:p>
        </w:tc>
      </w:tr>
      <w:tr w:rsidR="00E314E4" w:rsidRPr="00213EF3" w:rsidTr="00E314E4">
        <w:trPr>
          <w:trHeight w:val="288"/>
          <w:jc w:val="center"/>
        </w:trPr>
        <w:tc>
          <w:tcPr>
            <w:tcW w:w="1908"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525 mg</w:t>
            </w:r>
          </w:p>
        </w:tc>
        <w:tc>
          <w:tcPr>
            <w:tcW w:w="189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100 mg  </w:t>
            </w:r>
            <w:r w:rsidRPr="00213EF3">
              <w:rPr>
                <w:rFonts w:eastAsia="Calibri"/>
                <w:sz w:val="20"/>
                <w:szCs w:val="20"/>
              </w:rPr>
              <w:sym w:font="Wingdings" w:char="F0E0"/>
            </w:r>
          </w:p>
        </w:tc>
        <w:tc>
          <w:tcPr>
            <w:tcW w:w="1710"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 xml:space="preserve">100 mg  </w:t>
            </w:r>
            <w:r w:rsidRPr="00213EF3">
              <w:rPr>
                <w:rFonts w:eastAsia="Calibri"/>
                <w:sz w:val="20"/>
                <w:szCs w:val="20"/>
              </w:rPr>
              <w:sym w:font="Wingdings" w:char="F0E0"/>
            </w:r>
          </w:p>
        </w:tc>
        <w:tc>
          <w:tcPr>
            <w:tcW w:w="2241" w:type="dxa"/>
            <w:shd w:val="clear" w:color="auto" w:fill="FFFFFF" w:themeFill="background1"/>
          </w:tcPr>
          <w:p w:rsidR="00E314E4" w:rsidRPr="00213EF3" w:rsidRDefault="00E314E4" w:rsidP="00E314E4">
            <w:pPr>
              <w:jc w:val="center"/>
              <w:rPr>
                <w:rFonts w:eastAsia="Calibri"/>
                <w:sz w:val="20"/>
                <w:szCs w:val="20"/>
              </w:rPr>
            </w:pPr>
            <w:r w:rsidRPr="00213EF3">
              <w:rPr>
                <w:rFonts w:eastAsia="Calibri"/>
                <w:sz w:val="20"/>
                <w:szCs w:val="20"/>
              </w:rPr>
              <w:t>525 mg</w:t>
            </w:r>
          </w:p>
        </w:tc>
      </w:tr>
    </w:tbl>
    <w:p w:rsidR="00E314E4" w:rsidRPr="00213EF3" w:rsidRDefault="00E314E4" w:rsidP="00E314E4">
      <w:pPr>
        <w:keepNext/>
        <w:keepLines/>
        <w:tabs>
          <w:tab w:val="left" w:pos="1440"/>
        </w:tabs>
        <w:ind w:left="810"/>
        <w:jc w:val="both"/>
        <w:rPr>
          <w:sz w:val="20"/>
          <w:szCs w:val="20"/>
        </w:rPr>
      </w:pPr>
      <w:proofErr w:type="gramStart"/>
      <w:r w:rsidRPr="00213EF3">
        <w:rPr>
          <w:sz w:val="20"/>
          <w:szCs w:val="20"/>
          <w:vertAlign w:val="superscript"/>
        </w:rPr>
        <w:t>a</w:t>
      </w:r>
      <w:proofErr w:type="gramEnd"/>
      <w:r w:rsidRPr="00213EF3">
        <w:rPr>
          <w:sz w:val="20"/>
          <w:szCs w:val="20"/>
          <w:vertAlign w:val="superscript"/>
        </w:rPr>
        <w:t xml:space="preserve"> </w:t>
      </w:r>
      <w:r w:rsidRPr="00213EF3">
        <w:rPr>
          <w:sz w:val="20"/>
          <w:szCs w:val="20"/>
        </w:rPr>
        <w:t>See Instructions for Use for deltoid injection needle selection based on body weight.</w:t>
      </w:r>
    </w:p>
    <w:p w:rsidR="00E314E4" w:rsidRPr="00F52D82" w:rsidRDefault="00E314E4" w:rsidP="00E314E4">
      <w:pPr>
        <w:pStyle w:val="BodyText120"/>
        <w:rPr>
          <w:rFonts w:ascii="Arial" w:hAnsi="Arial" w:cs="Arial"/>
          <w:sz w:val="22"/>
          <w:szCs w:val="22"/>
        </w:rPr>
      </w:pPr>
    </w:p>
    <w:p w:rsidR="00E314E4" w:rsidRDefault="00E314E4" w:rsidP="00E314E4">
      <w:pPr>
        <w:pStyle w:val="BodyText120"/>
        <w:spacing w:line="240" w:lineRule="auto"/>
        <w:rPr>
          <w:rFonts w:ascii="Arial" w:hAnsi="Arial" w:cs="Arial"/>
          <w:sz w:val="22"/>
          <w:szCs w:val="22"/>
        </w:rPr>
      </w:pPr>
      <w:r>
        <w:rPr>
          <w:rFonts w:ascii="Arial" w:hAnsi="Arial" w:cs="Arial"/>
          <w:sz w:val="22"/>
          <w:szCs w:val="22"/>
          <w:u w:val="single"/>
        </w:rPr>
        <w:lastRenderedPageBreak/>
        <w:t>Missed Dose &gt; 9 Months</w:t>
      </w:r>
      <w:r w:rsidRPr="00F52D82">
        <w:rPr>
          <w:rFonts w:ascii="Arial" w:hAnsi="Arial" w:cs="Arial"/>
          <w:sz w:val="22"/>
          <w:szCs w:val="22"/>
        </w:rPr>
        <w:t xml:space="preserve"> </w:t>
      </w:r>
    </w:p>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If more than 9 months have elapsed since the last injection of INVEGA TRINZA, re-initiate treatment with the 1-month paliperidone palmitate injectable product as described in the prescribing information for that product. INVEGA TRINZA can then be resumed after the patient has been adequately treated with the 1-month paliperidone palmitate injectable product for at least 4 months.</w:t>
      </w:r>
    </w:p>
    <w:p w:rsidR="00E314E4" w:rsidRPr="00F52D82" w:rsidRDefault="00E314E4" w:rsidP="00E314E4">
      <w:pPr>
        <w:pStyle w:val="Heading2"/>
        <w:rPr>
          <w:sz w:val="22"/>
          <w:szCs w:val="22"/>
        </w:rPr>
      </w:pPr>
      <w:bookmarkStart w:id="66" w:name="_Toc219801015"/>
      <w:r w:rsidRPr="00F52D82">
        <w:rPr>
          <w:sz w:val="22"/>
          <w:szCs w:val="22"/>
        </w:rPr>
        <w:t>Administration Instructions</w:t>
      </w:r>
      <w:bookmarkEnd w:id="66"/>
    </w:p>
    <w:p w:rsidR="00E314E4" w:rsidRPr="00F52D82" w:rsidRDefault="00E314E4" w:rsidP="00E314E4">
      <w:pPr>
        <w:pStyle w:val="BodyText12"/>
        <w:spacing w:line="240" w:lineRule="auto"/>
        <w:rPr>
          <w:rFonts w:ascii="Arial" w:hAnsi="Arial" w:cs="Arial"/>
          <w:sz w:val="22"/>
          <w:szCs w:val="22"/>
        </w:rPr>
      </w:pPr>
      <w:bookmarkStart w:id="67" w:name="_Toc219801017"/>
      <w:r w:rsidRPr="00F52D82">
        <w:rPr>
          <w:rFonts w:ascii="Arial" w:hAnsi="Arial" w:cs="Arial"/>
          <w:sz w:val="22"/>
          <w:szCs w:val="22"/>
        </w:rPr>
        <w:t>Parenteral drug products should be inspected visually for foreign matter and discoloration prior to administration. Within 5 minutes prior to administration of INVEGA TRINZA to the patient, it is important to shake the syringe vigorously for at least 15 seconds to e</w:t>
      </w:r>
      <w:r>
        <w:rPr>
          <w:rFonts w:ascii="Arial" w:hAnsi="Arial" w:cs="Arial"/>
          <w:sz w:val="22"/>
          <w:szCs w:val="22"/>
        </w:rPr>
        <w:t>nsure a homogeneous suspension (</w:t>
      </w:r>
      <w:r w:rsidRPr="00F52D82">
        <w:rPr>
          <w:rFonts w:ascii="Arial" w:hAnsi="Arial" w:cs="Arial"/>
          <w:sz w:val="22"/>
          <w:szCs w:val="22"/>
        </w:rPr>
        <w:t xml:space="preserve">see </w:t>
      </w:r>
      <w:r w:rsidRPr="00496DEA">
        <w:rPr>
          <w:rFonts w:ascii="Arial" w:hAnsi="Arial" w:cs="Arial"/>
          <w:b/>
          <w:sz w:val="22"/>
          <w:szCs w:val="22"/>
        </w:rPr>
        <w:t>Instructions for Use</w:t>
      </w:r>
      <w:r>
        <w:rPr>
          <w:rFonts w:ascii="Arial" w:hAnsi="Arial" w:cs="Arial"/>
          <w:sz w:val="22"/>
          <w:szCs w:val="22"/>
        </w:rPr>
        <w:t>)</w:t>
      </w:r>
      <w:r w:rsidRPr="00F52D82">
        <w:rPr>
          <w:rFonts w:ascii="Arial" w:hAnsi="Arial" w:cs="Arial"/>
          <w:sz w:val="22"/>
          <w:szCs w:val="22"/>
        </w:rPr>
        <w:t>.</w:t>
      </w:r>
    </w:p>
    <w:p w:rsidR="008636DE" w:rsidRPr="00CD2F5B" w:rsidRDefault="00E314E4" w:rsidP="008636DE">
      <w:pPr>
        <w:pStyle w:val="BodyText120"/>
        <w:spacing w:line="240" w:lineRule="auto"/>
        <w:rPr>
          <w:rFonts w:ascii="Arial" w:hAnsi="Arial" w:cs="Arial"/>
          <w:sz w:val="22"/>
          <w:szCs w:val="22"/>
        </w:rPr>
      </w:pPr>
      <w:r w:rsidRPr="00F52D82">
        <w:rPr>
          <w:rFonts w:ascii="Arial" w:hAnsi="Arial" w:cs="Arial"/>
          <w:sz w:val="22"/>
          <w:szCs w:val="22"/>
        </w:rPr>
        <w:t>INVEGA TRINZA is intended for intramuscular use only. Do not administer intravascularly or subcutaneously. Avoid inadvertent injection into a blood vessel. Each injection must be administered only by a health care professional. Administer the dose in a single injection; do not administer the dose in divided injections. Inject slowly, deep into the deltoid or gluteal muscle.</w:t>
      </w:r>
      <w:r w:rsidR="00CD2F5B">
        <w:rPr>
          <w:rFonts w:ascii="Arial" w:hAnsi="Arial" w:cs="Arial"/>
          <w:sz w:val="22"/>
          <w:szCs w:val="22"/>
        </w:rPr>
        <w:t xml:space="preserve"> </w:t>
      </w:r>
      <w:r w:rsidR="008636DE" w:rsidRPr="00CD2F5B">
        <w:rPr>
          <w:rFonts w:ascii="Arial" w:hAnsi="Arial" w:cs="Arial"/>
          <w:sz w:val="22"/>
          <w:szCs w:val="22"/>
        </w:rPr>
        <w:t>Product is for single use in one patient only. Discard any residue.</w:t>
      </w:r>
    </w:p>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INVEGA TRINZA must be administered using only the thin wall needles that are provided in the INVEGA TRINZA pack. Needles from the 1-month paliperidone palmitate injectable product pack or other commercially-available needles are not to be used when administering INVEGA TRINZA.</w:t>
      </w:r>
    </w:p>
    <w:p w:rsidR="00E314E4" w:rsidRPr="00333C50" w:rsidRDefault="00E314E4" w:rsidP="00E314E4">
      <w:pPr>
        <w:pStyle w:val="Heading2"/>
        <w:rPr>
          <w:b w:val="0"/>
          <w:sz w:val="22"/>
          <w:szCs w:val="22"/>
        </w:rPr>
      </w:pPr>
      <w:r w:rsidRPr="00333C50">
        <w:rPr>
          <w:b w:val="0"/>
          <w:sz w:val="22"/>
          <w:szCs w:val="22"/>
        </w:rPr>
        <w:t xml:space="preserve">The recommended needle size for administration of INVEGA TRINZA into the deltoid muscle is determined by the patient’s weight. For those </w:t>
      </w:r>
      <w:r w:rsidRPr="00333C50">
        <w:rPr>
          <w:b w:val="0"/>
          <w:sz w:val="22"/>
          <w:szCs w:val="22"/>
        </w:rPr>
        <w:sym w:font="Symbol" w:char="F0B3"/>
      </w:r>
      <w:r w:rsidRPr="00333C50">
        <w:rPr>
          <w:b w:val="0"/>
          <w:sz w:val="22"/>
          <w:szCs w:val="22"/>
        </w:rPr>
        <w:t xml:space="preserve"> 90 kg (≥ 200 lbs), the 1½-inch, 22 gauge thin wall needle is recommended. For those &lt; 90 kg (&lt; 200 lbs), the 1-inch, 22 gauge thin wall needle is recommended. Administer into the </w:t>
      </w:r>
      <w:proofErr w:type="spellStart"/>
      <w:r w:rsidRPr="00333C50">
        <w:rPr>
          <w:b w:val="0"/>
          <w:sz w:val="22"/>
          <w:szCs w:val="22"/>
        </w:rPr>
        <w:t>center</w:t>
      </w:r>
      <w:proofErr w:type="spellEnd"/>
      <w:r w:rsidRPr="00333C50">
        <w:rPr>
          <w:b w:val="0"/>
          <w:sz w:val="22"/>
          <w:szCs w:val="22"/>
        </w:rPr>
        <w:t xml:space="preserve"> of the deltoid muscle. Deltoid injections should be alternated between the two deltoid muscles.</w:t>
      </w:r>
    </w:p>
    <w:p w:rsidR="00E314E4" w:rsidRPr="00496DEA" w:rsidRDefault="00E314E4" w:rsidP="00E314E4"/>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The recommended needle size for administration of INVEGA TRINZA into the gluteal muscle regardless of body weight is the 1½-inch, 22 gauge thin wall needle. Administer into the upper-outer quadrant of the gluteal muscle. Gluteal injections should be alternated between the two gluteal muscles.</w:t>
      </w:r>
    </w:p>
    <w:p w:rsidR="00E314E4" w:rsidRPr="00F52D82" w:rsidRDefault="00E314E4" w:rsidP="00E314E4">
      <w:pPr>
        <w:pStyle w:val="BodyText120"/>
        <w:spacing w:line="240" w:lineRule="auto"/>
        <w:rPr>
          <w:rFonts w:ascii="Arial" w:hAnsi="Arial" w:cs="Arial"/>
          <w:sz w:val="22"/>
          <w:szCs w:val="22"/>
        </w:rPr>
      </w:pPr>
      <w:r w:rsidRPr="00F52D82">
        <w:rPr>
          <w:rFonts w:ascii="Arial" w:hAnsi="Arial" w:cs="Arial"/>
          <w:sz w:val="22"/>
          <w:szCs w:val="22"/>
        </w:rPr>
        <w:t xml:space="preserve">Since paliperidone is the active metabolite of risperidone, caution should be exercised when INVEGA TRINZA is </w:t>
      </w:r>
      <w:proofErr w:type="spellStart"/>
      <w:r w:rsidRPr="00F52D82">
        <w:rPr>
          <w:rFonts w:ascii="Arial" w:hAnsi="Arial" w:cs="Arial"/>
          <w:sz w:val="22"/>
          <w:szCs w:val="22"/>
        </w:rPr>
        <w:t>coadministered</w:t>
      </w:r>
      <w:proofErr w:type="spellEnd"/>
      <w:r w:rsidRPr="00F52D82">
        <w:rPr>
          <w:rFonts w:ascii="Arial" w:hAnsi="Arial" w:cs="Arial"/>
          <w:sz w:val="22"/>
          <w:szCs w:val="22"/>
        </w:rPr>
        <w:t xml:space="preserve"> with risperidone or with oral paliperidone for extended periods of time. Safety data involving concomitant use of INVEGA TRINZA with other </w:t>
      </w:r>
      <w:proofErr w:type="spellStart"/>
      <w:r w:rsidRPr="00F52D82">
        <w:rPr>
          <w:rFonts w:ascii="Arial" w:hAnsi="Arial" w:cs="Arial"/>
          <w:sz w:val="22"/>
          <w:szCs w:val="22"/>
        </w:rPr>
        <w:t>antispychotics</w:t>
      </w:r>
      <w:proofErr w:type="spellEnd"/>
      <w:r w:rsidRPr="00F52D82">
        <w:rPr>
          <w:rFonts w:ascii="Arial" w:hAnsi="Arial" w:cs="Arial"/>
          <w:sz w:val="22"/>
          <w:szCs w:val="22"/>
        </w:rPr>
        <w:t xml:space="preserve"> is limited.</w:t>
      </w:r>
    </w:p>
    <w:p w:rsidR="00E314E4" w:rsidRPr="00F52D82" w:rsidRDefault="00E314E4" w:rsidP="00E314E4">
      <w:pPr>
        <w:pStyle w:val="BodyText120"/>
        <w:spacing w:line="240" w:lineRule="auto"/>
        <w:rPr>
          <w:rFonts w:ascii="Arial" w:hAnsi="Arial" w:cs="Arial"/>
          <w:sz w:val="22"/>
          <w:szCs w:val="22"/>
        </w:rPr>
      </w:pPr>
      <w:proofErr w:type="gramStart"/>
      <w:r w:rsidRPr="006C22F8">
        <w:rPr>
          <w:rFonts w:ascii="Arial" w:hAnsi="Arial" w:cs="Arial"/>
          <w:sz w:val="22"/>
          <w:szCs w:val="22"/>
          <w:u w:val="single"/>
        </w:rPr>
        <w:t>Incomplete Administration.</w:t>
      </w:r>
      <w:proofErr w:type="gramEnd"/>
      <w:r w:rsidRPr="00F52D82">
        <w:rPr>
          <w:rFonts w:ascii="Arial" w:hAnsi="Arial" w:cs="Arial"/>
          <w:sz w:val="22"/>
          <w:szCs w:val="22"/>
        </w:rPr>
        <w:t xml:space="preserve"> To avoid an incomplete administration of INVEGA TRINZA, ensure that the prefilled syringe is </w:t>
      </w:r>
      <w:r w:rsidRPr="006C22F8">
        <w:rPr>
          <w:rFonts w:ascii="Arial" w:hAnsi="Arial" w:cs="Arial"/>
          <w:sz w:val="22"/>
          <w:szCs w:val="22"/>
        </w:rPr>
        <w:t xml:space="preserve">shaken vigorously for at least 15 seconds within 5 minutes prior to administration to ensure a homogeneous suspension </w:t>
      </w:r>
      <w:r>
        <w:rPr>
          <w:rFonts w:ascii="Arial" w:hAnsi="Arial" w:cs="Arial"/>
          <w:sz w:val="22"/>
          <w:szCs w:val="22"/>
        </w:rPr>
        <w:t>(</w:t>
      </w:r>
      <w:r w:rsidRPr="00F52D82">
        <w:rPr>
          <w:rFonts w:ascii="Arial" w:hAnsi="Arial" w:cs="Arial"/>
          <w:sz w:val="22"/>
          <w:szCs w:val="22"/>
        </w:rPr>
        <w:t xml:space="preserve">see </w:t>
      </w:r>
      <w:r w:rsidRPr="00333C50">
        <w:rPr>
          <w:rFonts w:ascii="Arial" w:hAnsi="Arial" w:cs="Arial"/>
          <w:b/>
          <w:sz w:val="22"/>
          <w:szCs w:val="22"/>
        </w:rPr>
        <w:t>Instructions for Use</w:t>
      </w:r>
      <w:r>
        <w:rPr>
          <w:rFonts w:ascii="Arial" w:hAnsi="Arial" w:cs="Arial"/>
          <w:sz w:val="22"/>
          <w:szCs w:val="22"/>
        </w:rPr>
        <w:t>).</w:t>
      </w:r>
      <w:r w:rsidRPr="00F52D82">
        <w:rPr>
          <w:rFonts w:ascii="Arial" w:hAnsi="Arial" w:cs="Arial"/>
          <w:sz w:val="22"/>
          <w:szCs w:val="22"/>
        </w:rPr>
        <w:t xml:space="preserve"> However, in the event of an incompletely administered dose, do not re-inject the dose remaining in the syringe and do not administer another dose. Closely monitor and treat the patient appropriately until the next scheduled 3-month injection of INVEGA TRINZA.</w:t>
      </w:r>
    </w:p>
    <w:bookmarkEnd w:id="67"/>
    <w:p w:rsidR="00C81444" w:rsidRDefault="00C81444">
      <w:pPr>
        <w:rPr>
          <w:b/>
          <w:color w:val="auto"/>
          <w:spacing w:val="-2"/>
          <w:sz w:val="24"/>
          <w:szCs w:val="24"/>
        </w:rPr>
      </w:pPr>
      <w:r>
        <w:rPr>
          <w:color w:val="auto"/>
        </w:rPr>
        <w:br w:type="page"/>
      </w:r>
    </w:p>
    <w:p w:rsidR="009921E8" w:rsidRPr="0091469D" w:rsidRDefault="00E314E4" w:rsidP="0091469D">
      <w:pPr>
        <w:pStyle w:val="Heading2"/>
        <w:rPr>
          <w:sz w:val="22"/>
          <w:szCs w:val="22"/>
        </w:rPr>
      </w:pPr>
      <w:r w:rsidRPr="0029776F">
        <w:rPr>
          <w:color w:val="auto"/>
        </w:rPr>
        <w:lastRenderedPageBreak/>
        <w:t>Instructions for Use</w:t>
      </w:r>
    </w:p>
    <w:p w:rsidR="00E314E4" w:rsidRDefault="00E314E4" w:rsidP="00E314E4">
      <w:pPr>
        <w:jc w:val="center"/>
        <w:rPr>
          <w:color w:val="FF0000"/>
        </w:rPr>
      </w:pPr>
    </w:p>
    <w:p w:rsidR="00A66E4D" w:rsidRPr="00BB693D" w:rsidRDefault="00A66E4D" w:rsidP="00A66E4D">
      <w:pPr>
        <w:keepNext/>
        <w:keepLines/>
        <w:widowControl w:val="0"/>
        <w:autoSpaceDE w:val="0"/>
        <w:autoSpaceDN w:val="0"/>
        <w:adjustRightInd w:val="0"/>
        <w:spacing w:line="420" w:lineRule="atLeast"/>
        <w:textAlignment w:val="center"/>
        <w:rPr>
          <w:rFonts w:ascii="BentonSans-Bold" w:eastAsia="Calibri" w:hAnsi="BentonSans-Bold" w:cs="BentonSans-Bold"/>
          <w:b/>
          <w:noProof/>
          <w:sz w:val="32"/>
          <w:szCs w:val="32"/>
        </w:rPr>
      </w:pPr>
      <w:r>
        <w:rPr>
          <w:noProof/>
          <w:lang w:eastAsia="en-AU"/>
        </w:rPr>
        <mc:AlternateContent>
          <mc:Choice Requires="wps">
            <w:drawing>
              <wp:anchor distT="0" distB="0" distL="114300" distR="114300" simplePos="0" relativeHeight="251659264" behindDoc="0" locked="0" layoutInCell="1" allowOverlap="1" wp14:anchorId="2D01EE2E" wp14:editId="3E1B141B">
                <wp:simplePos x="0" y="0"/>
                <wp:positionH relativeFrom="column">
                  <wp:posOffset>685800</wp:posOffset>
                </wp:positionH>
                <wp:positionV relativeFrom="paragraph">
                  <wp:posOffset>35560</wp:posOffset>
                </wp:positionV>
                <wp:extent cx="3152775" cy="1115060"/>
                <wp:effectExtent l="0" t="0" r="0" b="8890"/>
                <wp:wrapThrough wrapText="bothSides">
                  <wp:wrapPolygon edited="0">
                    <wp:start x="261" y="0"/>
                    <wp:lineTo x="261" y="21403"/>
                    <wp:lineTo x="21143" y="21403"/>
                    <wp:lineTo x="21143" y="0"/>
                    <wp:lineTo x="261" y="0"/>
                  </wp:wrapPolygon>
                </wp:wrapThrough>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115060"/>
                        </a:xfrm>
                        <a:prstGeom prst="rect">
                          <a:avLst/>
                        </a:prstGeom>
                        <a:noFill/>
                        <a:ln>
                          <a:noFill/>
                        </a:ln>
                        <a:effectLst/>
                        <a:extLst>
                          <a:ext uri="{C572A759-6A51-4108-AA02-DFA0A04FC94B}"/>
                        </a:extLst>
                      </wps:spPr>
                      <wps:txbx>
                        <w:txbxContent>
                          <w:p w:rsidR="00553C06"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p>
                          <w:p w:rsidR="00553C06" w:rsidRPr="00BB693D"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r w:rsidRPr="00BB693D">
                              <w:rPr>
                                <w:rFonts w:eastAsia="Calibri"/>
                                <w:lang w:val="en-GB"/>
                              </w:rPr>
                              <w:t>Administer every 3 months</w:t>
                            </w:r>
                          </w:p>
                          <w:p w:rsidR="00553C06" w:rsidRPr="00BB693D"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p>
                          <w:p w:rsidR="00553C06"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p>
                          <w:p w:rsidR="00553C06" w:rsidRPr="00BB693D"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r w:rsidRPr="00BB693D">
                              <w:rPr>
                                <w:rFonts w:eastAsia="Calibri"/>
                                <w:lang w:val="en-GB"/>
                              </w:rPr>
                              <w:t>Shake syringe vigorously for at least 15 seconds</w:t>
                            </w:r>
                          </w:p>
                          <w:p w:rsidR="00553C06" w:rsidRPr="00BB693D" w:rsidRDefault="00553C06" w:rsidP="00A66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4pt;margin-top:2.8pt;width:248.25pt;height:8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" filled="f" stroked="f">
                <v:path arrowok="t"/>
                <v:textbox>
                  <w:txbxContent>
                    <w:p w:rsidR="00553C06"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p>
                    <w:p w:rsidR="00553C06" w:rsidRPr="00BB693D"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r w:rsidRPr="00BB693D">
                        <w:rPr>
                          <w:rFonts w:eastAsia="Calibri"/>
                          <w:lang w:val="en-GB"/>
                        </w:rPr>
                        <w:t>Administer every 3 months</w:t>
                      </w:r>
                    </w:p>
                    <w:p w:rsidR="00553C06" w:rsidRPr="00BB693D"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p>
                    <w:p w:rsidR="00553C06"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p>
                    <w:p w:rsidR="00553C06" w:rsidRPr="00BB693D" w:rsidRDefault="00553C06" w:rsidP="00A66E4D">
                      <w:pPr>
                        <w:widowControl w:val="0"/>
                        <w:tabs>
                          <w:tab w:val="left" w:pos="216"/>
                          <w:tab w:val="left" w:pos="360"/>
                          <w:tab w:val="left" w:pos="540"/>
                        </w:tabs>
                        <w:suppressAutoHyphens/>
                        <w:autoSpaceDE w:val="0"/>
                        <w:autoSpaceDN w:val="0"/>
                        <w:adjustRightInd w:val="0"/>
                        <w:spacing w:line="230" w:lineRule="atLeast"/>
                        <w:textAlignment w:val="center"/>
                        <w:rPr>
                          <w:rFonts w:eastAsia="Calibri"/>
                          <w:lang w:val="en-GB"/>
                        </w:rPr>
                      </w:pPr>
                      <w:r w:rsidRPr="00BB693D">
                        <w:rPr>
                          <w:rFonts w:eastAsia="Calibri"/>
                          <w:lang w:val="en-GB"/>
                        </w:rPr>
                        <w:t>Shake syringe vigorously for at least 15 seconds</w:t>
                      </w:r>
                    </w:p>
                    <w:p w:rsidR="00553C06" w:rsidRPr="00BB693D" w:rsidRDefault="00553C06" w:rsidP="00A66E4D"/>
                  </w:txbxContent>
                </v:textbox>
                <w10:wrap type="through"/>
              </v:shape>
            </w:pict>
          </mc:Fallback>
        </mc:AlternateContent>
      </w:r>
      <w:r>
        <w:rPr>
          <w:rFonts w:ascii="BentonSans-Bold" w:eastAsia="Calibri" w:hAnsi="BentonSans-Bold" w:cs="BentonSans-Bold"/>
          <w:b/>
          <w:noProof/>
          <w:sz w:val="32"/>
          <w:szCs w:val="32"/>
          <w:lang w:eastAsia="en-AU"/>
        </w:rPr>
        <w:drawing>
          <wp:inline distT="0" distB="0" distL="0" distR="0" wp14:anchorId="2FDF2EE5" wp14:editId="2016CDED">
            <wp:extent cx="657225" cy="561975"/>
            <wp:effectExtent l="0" t="0" r="9525" b="9525"/>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p w:rsidR="00A66E4D" w:rsidRPr="006A4FDB" w:rsidRDefault="00A66E4D" w:rsidP="00A66E4D">
      <w:pPr>
        <w:keepNext/>
        <w:keepLines/>
        <w:autoSpaceDE w:val="0"/>
        <w:autoSpaceDN w:val="0"/>
        <w:adjustRightInd w:val="0"/>
        <w:rPr>
          <w:rFonts w:ascii="Verdana" w:hAnsi="Verdana"/>
          <w:b/>
          <w:sz w:val="40"/>
          <w:szCs w:val="40"/>
        </w:rPr>
      </w:pPr>
      <w:r>
        <w:rPr>
          <w:noProof/>
          <w:lang w:eastAsia="en-AU"/>
        </w:rPr>
        <w:drawing>
          <wp:inline distT="0" distB="0" distL="0" distR="0" wp14:anchorId="25E6C28F" wp14:editId="20C2AA0A">
            <wp:extent cx="590550" cy="619125"/>
            <wp:effectExtent l="0" t="0" r="0" b="9525"/>
            <wp:docPr id="24" name="Picture 1" descr="C:\Users\EKorzin\AppData\Local\Microsoft\Windows\Temporary Internet Files\Content.Outlook\YBNWLRJQ\InvegaSustenna_TipUpshakeIcon_150318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rzin\AppData\Local\Microsoft\Windows\Temporary Internet Files\Content.Outlook\YBNWLRJQ\InvegaSustenna_TipUpshakeIcon_150318_FI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619125"/>
                    </a:xfrm>
                    <a:prstGeom prst="rect">
                      <a:avLst/>
                    </a:prstGeom>
                    <a:noFill/>
                    <a:ln>
                      <a:noFill/>
                    </a:ln>
                  </pic:spPr>
                </pic:pic>
              </a:graphicData>
            </a:graphic>
          </wp:inline>
        </w:drawing>
      </w:r>
    </w:p>
    <w:p w:rsidR="00A66E4D" w:rsidRDefault="00A66E4D" w:rsidP="00A66E4D">
      <w:pPr>
        <w:widowControl w:val="0"/>
        <w:tabs>
          <w:tab w:val="left" w:pos="216"/>
          <w:tab w:val="left" w:pos="360"/>
          <w:tab w:val="left" w:pos="540"/>
        </w:tabs>
        <w:suppressAutoHyphens/>
        <w:autoSpaceDE w:val="0"/>
        <w:autoSpaceDN w:val="0"/>
        <w:adjustRightInd w:val="0"/>
        <w:spacing w:after="100" w:line="230" w:lineRule="atLeast"/>
        <w:textAlignment w:val="center"/>
        <w:rPr>
          <w:rFonts w:ascii="Verdana" w:eastAsia="Calibri" w:hAnsi="Verdana" w:cs="BentonSans-Bold"/>
          <w:b/>
          <w:bCs/>
          <w:lang w:val="en-GB"/>
        </w:rPr>
      </w:pPr>
    </w:p>
    <w:p w:rsidR="00554755" w:rsidRDefault="00554755" w:rsidP="00A66E4D">
      <w:pPr>
        <w:pStyle w:val="BodyText120"/>
        <w:rPr>
          <w:rFonts w:ascii="Arial" w:eastAsia="Calibri" w:hAnsi="Arial" w:cs="Arial"/>
          <w:b/>
          <w:bCs/>
          <w:sz w:val="22"/>
          <w:szCs w:val="22"/>
          <w:lang w:val="en-GB"/>
        </w:rPr>
      </w:pPr>
    </w:p>
    <w:p w:rsidR="00A66E4D" w:rsidRPr="00554755" w:rsidRDefault="00A66E4D" w:rsidP="00554755">
      <w:pPr>
        <w:pStyle w:val="BodyText120"/>
        <w:rPr>
          <w:rFonts w:ascii="Arial" w:eastAsia="Calibri" w:hAnsi="Arial" w:cs="Arial"/>
          <w:sz w:val="22"/>
          <w:szCs w:val="22"/>
          <w:lang w:val="en-GB"/>
        </w:rPr>
      </w:pPr>
      <w:proofErr w:type="gramStart"/>
      <w:r w:rsidRPr="00A66E4D">
        <w:rPr>
          <w:rFonts w:ascii="Arial" w:eastAsia="Calibri" w:hAnsi="Arial" w:cs="Arial"/>
          <w:b/>
          <w:bCs/>
          <w:sz w:val="22"/>
          <w:szCs w:val="22"/>
          <w:lang w:val="en-GB"/>
        </w:rPr>
        <w:t>For intramuscular injection only.</w:t>
      </w:r>
      <w:proofErr w:type="gramEnd"/>
      <w:r w:rsidRPr="00A66E4D">
        <w:rPr>
          <w:rFonts w:ascii="Arial" w:eastAsia="Calibri" w:hAnsi="Arial" w:cs="Arial"/>
          <w:b/>
          <w:bCs/>
          <w:sz w:val="22"/>
          <w:szCs w:val="22"/>
          <w:lang w:val="en-GB"/>
        </w:rPr>
        <w:t xml:space="preserve"> Do not </w:t>
      </w:r>
      <w:r w:rsidR="00554755">
        <w:rPr>
          <w:rFonts w:ascii="Arial" w:eastAsia="Calibri" w:hAnsi="Arial" w:cs="Arial"/>
          <w:sz w:val="22"/>
          <w:szCs w:val="22"/>
          <w:lang w:val="en-GB"/>
        </w:rPr>
        <w:t>administer by any other route.</w:t>
      </w:r>
    </w:p>
    <w:p w:rsidR="0091469D" w:rsidRPr="0091469D" w:rsidRDefault="0091469D" w:rsidP="0091469D">
      <w:pPr>
        <w:pStyle w:val="BodyText120"/>
        <w:spacing w:after="0"/>
        <w:rPr>
          <w:rFonts w:ascii="Arial" w:hAnsi="Arial" w:cs="Arial"/>
          <w:b/>
          <w:sz w:val="22"/>
          <w:szCs w:val="22"/>
        </w:rPr>
      </w:pPr>
      <w:r w:rsidRPr="0091469D">
        <w:rPr>
          <w:rFonts w:ascii="Arial" w:hAnsi="Arial" w:cs="Arial"/>
          <w:b/>
          <w:sz w:val="22"/>
          <w:szCs w:val="22"/>
        </w:rPr>
        <w:t xml:space="preserve">Important </w:t>
      </w:r>
    </w:p>
    <w:p w:rsidR="0091469D" w:rsidRPr="0091469D" w:rsidRDefault="0091469D" w:rsidP="0091469D">
      <w:pPr>
        <w:pStyle w:val="BodyText120"/>
        <w:spacing w:after="0"/>
        <w:rPr>
          <w:rFonts w:ascii="Arial" w:hAnsi="Arial" w:cs="Arial"/>
          <w:b/>
          <w:caps/>
          <w:sz w:val="22"/>
          <w:szCs w:val="22"/>
        </w:rPr>
      </w:pPr>
      <w:r w:rsidRPr="0091469D">
        <w:rPr>
          <w:rFonts w:ascii="Arial" w:hAnsi="Arial" w:cs="Arial"/>
          <w:noProof/>
          <w:sz w:val="22"/>
          <w:szCs w:val="22"/>
          <w:lang w:val="en-AU" w:eastAsia="en-AU"/>
        </w:rPr>
        <mc:AlternateContent>
          <mc:Choice Requires="wps">
            <w:drawing>
              <wp:anchor distT="4294967294" distB="4294967294" distL="114300" distR="114300" simplePos="0" relativeHeight="251661312" behindDoc="0" locked="0" layoutInCell="1" allowOverlap="1" wp14:anchorId="6701FD0D" wp14:editId="5255B722">
                <wp:simplePos x="0" y="0"/>
                <wp:positionH relativeFrom="column">
                  <wp:posOffset>0</wp:posOffset>
                </wp:positionH>
                <wp:positionV relativeFrom="paragraph">
                  <wp:posOffset>71491</wp:posOffset>
                </wp:positionV>
                <wp:extent cx="5257800" cy="0"/>
                <wp:effectExtent l="0" t="0" r="19050" b="19050"/>
                <wp:wrapNone/>
                <wp:docPr id="8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5.65pt" to="41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">
                <o:lock v:ext="edit" shapetype="f"/>
              </v:line>
            </w:pict>
          </mc:Fallback>
        </mc:AlternateContent>
      </w:r>
    </w:p>
    <w:p w:rsidR="0091469D" w:rsidRPr="0091469D" w:rsidRDefault="00A72BC5" w:rsidP="0091469D">
      <w:pPr>
        <w:pStyle w:val="BodyText120"/>
        <w:rPr>
          <w:rFonts w:ascii="Arial" w:hAnsi="Arial" w:cs="Arial"/>
          <w:sz w:val="22"/>
          <w:szCs w:val="22"/>
        </w:rPr>
      </w:pPr>
      <w:r>
        <w:rPr>
          <w:rFonts w:ascii="Arial" w:hAnsi="Arial" w:cs="Arial"/>
          <w:sz w:val="22"/>
          <w:szCs w:val="22"/>
        </w:rPr>
        <w:t>INVEGA TRINZA</w:t>
      </w:r>
      <w:r w:rsidR="0091469D" w:rsidRPr="0091469D">
        <w:rPr>
          <w:rFonts w:ascii="Arial" w:hAnsi="Arial" w:cs="Arial"/>
          <w:sz w:val="22"/>
          <w:szCs w:val="22"/>
        </w:rPr>
        <w:t xml:space="preserve"> should be administered by a healthcare professional as a single injection. </w:t>
      </w:r>
      <w:r w:rsidR="0091469D" w:rsidRPr="0091469D">
        <w:rPr>
          <w:rStyle w:val="DoNots"/>
          <w:rFonts w:ascii="Arial" w:hAnsi="Arial" w:cs="Arial"/>
          <w:b/>
          <w:sz w:val="22"/>
          <w:szCs w:val="22"/>
        </w:rPr>
        <w:t>Do not</w:t>
      </w:r>
      <w:r w:rsidR="0091469D" w:rsidRPr="0091469D">
        <w:rPr>
          <w:rFonts w:ascii="Arial" w:hAnsi="Arial" w:cs="Arial"/>
          <w:sz w:val="22"/>
          <w:szCs w:val="22"/>
        </w:rPr>
        <w:t xml:space="preserve"> divide dose into multiple injections.</w:t>
      </w:r>
    </w:p>
    <w:p w:rsidR="0091469D" w:rsidRPr="0091469D" w:rsidRDefault="00A72BC5" w:rsidP="0091469D">
      <w:pPr>
        <w:pStyle w:val="BodyText120"/>
        <w:rPr>
          <w:rFonts w:ascii="Arial" w:hAnsi="Arial" w:cs="Arial"/>
          <w:sz w:val="22"/>
          <w:szCs w:val="22"/>
        </w:rPr>
      </w:pPr>
      <w:r>
        <w:rPr>
          <w:rFonts w:ascii="Arial" w:hAnsi="Arial" w:cs="Arial"/>
          <w:sz w:val="22"/>
          <w:szCs w:val="22"/>
        </w:rPr>
        <w:t>INVEGA TRINZA</w:t>
      </w:r>
      <w:r w:rsidR="0091469D" w:rsidRPr="0091469D">
        <w:rPr>
          <w:rFonts w:ascii="Arial" w:hAnsi="Arial" w:cs="Arial"/>
          <w:sz w:val="22"/>
          <w:szCs w:val="22"/>
        </w:rPr>
        <w:t xml:space="preserve"> is intended for intramuscular use only. Inject slowly, deep into the muscle taking care to avoid injection into a blood vessel.  </w:t>
      </w:r>
    </w:p>
    <w:p w:rsidR="0091469D" w:rsidRPr="00554755" w:rsidRDefault="0091469D" w:rsidP="00554755">
      <w:pPr>
        <w:pStyle w:val="BodyText120"/>
        <w:rPr>
          <w:rFonts w:ascii="Arial" w:hAnsi="Arial" w:cs="Arial"/>
          <w:b/>
          <w:spacing w:val="-1"/>
          <w:sz w:val="22"/>
          <w:szCs w:val="22"/>
        </w:rPr>
      </w:pPr>
      <w:r w:rsidRPr="008F47F2">
        <w:rPr>
          <w:rFonts w:ascii="Arial" w:hAnsi="Arial" w:cs="Arial"/>
          <w:b/>
          <w:spacing w:val="-1"/>
          <w:sz w:val="22"/>
          <w:szCs w:val="22"/>
        </w:rPr>
        <w:t>Read comp</w:t>
      </w:r>
      <w:r w:rsidR="00554755">
        <w:rPr>
          <w:rFonts w:ascii="Arial" w:hAnsi="Arial" w:cs="Arial"/>
          <w:b/>
          <w:spacing w:val="-1"/>
          <w:sz w:val="22"/>
          <w:szCs w:val="22"/>
        </w:rPr>
        <w:t>lete instructions prior to use.</w:t>
      </w:r>
    </w:p>
    <w:p w:rsidR="00335DB0" w:rsidRDefault="00335DB0" w:rsidP="0091469D">
      <w:pPr>
        <w:pStyle w:val="Heading3"/>
        <w:ind w:left="720" w:hanging="720"/>
        <w:rPr>
          <w:b w:val="0"/>
          <w:bCs/>
          <w:u w:val="single"/>
        </w:rPr>
      </w:pPr>
    </w:p>
    <w:p w:rsidR="0091469D" w:rsidRPr="0091469D" w:rsidRDefault="0091469D" w:rsidP="0091469D">
      <w:pPr>
        <w:pStyle w:val="Heading3"/>
        <w:ind w:left="720" w:hanging="720"/>
        <w:rPr>
          <w:b w:val="0"/>
          <w:u w:val="single"/>
        </w:rPr>
      </w:pPr>
      <w:r w:rsidRPr="0091469D">
        <w:rPr>
          <w:b w:val="0"/>
          <w:bCs/>
          <w:u w:val="single"/>
        </w:rPr>
        <w:t>Dosing</w:t>
      </w:r>
      <w:r w:rsidRPr="0091469D">
        <w:rPr>
          <w:b w:val="0"/>
          <w:u w:val="single"/>
        </w:rPr>
        <w:t xml:space="preserve">  </w:t>
      </w:r>
    </w:p>
    <w:p w:rsidR="0091469D" w:rsidRPr="0091469D" w:rsidRDefault="0091469D" w:rsidP="0091469D">
      <w:pPr>
        <w:pStyle w:val="BodyText120"/>
        <w:keepNext/>
        <w:keepLines/>
        <w:spacing w:line="240" w:lineRule="auto"/>
        <w:rPr>
          <w:rStyle w:val="Bold"/>
          <w:rFonts w:ascii="Arial" w:hAnsi="Arial" w:cs="Arial"/>
          <w:bCs w:val="0"/>
          <w:sz w:val="22"/>
          <w:szCs w:val="22"/>
        </w:rPr>
      </w:pPr>
      <w:r w:rsidRPr="0091469D">
        <w:rPr>
          <w:rFonts w:ascii="Arial" w:hAnsi="Arial" w:cs="Arial"/>
          <w:sz w:val="22"/>
          <w:szCs w:val="22"/>
        </w:rPr>
        <w:t xml:space="preserve">This medication should be administered </w:t>
      </w:r>
      <w:r w:rsidRPr="0091469D">
        <w:rPr>
          <w:rFonts w:ascii="Arial" w:hAnsi="Arial" w:cs="Arial"/>
          <w:b/>
          <w:sz w:val="22"/>
          <w:szCs w:val="22"/>
        </w:rPr>
        <w:t>once every 3 months</w:t>
      </w:r>
      <w:r w:rsidRPr="0091469D">
        <w:rPr>
          <w:rFonts w:ascii="Arial" w:hAnsi="Arial" w:cs="Arial"/>
          <w:sz w:val="22"/>
          <w:szCs w:val="22"/>
        </w:rPr>
        <w:t xml:space="preserve">. </w:t>
      </w:r>
    </w:p>
    <w:p w:rsidR="0091469D" w:rsidRPr="0091469D" w:rsidRDefault="0091469D" w:rsidP="0091469D">
      <w:pPr>
        <w:pStyle w:val="Heading3"/>
        <w:ind w:left="720" w:hanging="720"/>
        <w:rPr>
          <w:b w:val="0"/>
          <w:u w:val="single"/>
        </w:rPr>
      </w:pPr>
      <w:r w:rsidRPr="0091469D">
        <w:rPr>
          <w:b w:val="0"/>
          <w:u w:val="single"/>
        </w:rPr>
        <w:t>Preparation</w:t>
      </w:r>
    </w:p>
    <w:p w:rsidR="0091469D" w:rsidRPr="0091469D" w:rsidRDefault="0091469D" w:rsidP="0091469D">
      <w:pPr>
        <w:pStyle w:val="BodyText120"/>
        <w:spacing w:line="240" w:lineRule="auto"/>
        <w:rPr>
          <w:rFonts w:ascii="Arial" w:hAnsi="Arial" w:cs="Arial"/>
          <w:sz w:val="22"/>
          <w:szCs w:val="22"/>
        </w:rPr>
      </w:pPr>
      <w:r w:rsidRPr="0091469D">
        <w:rPr>
          <w:rFonts w:ascii="Arial" w:hAnsi="Arial" w:cs="Arial"/>
          <w:sz w:val="22"/>
          <w:szCs w:val="22"/>
        </w:rPr>
        <w:t xml:space="preserve">Peel off tab label from the syringe and place in patient record. </w:t>
      </w:r>
    </w:p>
    <w:p w:rsidR="0091469D" w:rsidRPr="0091469D" w:rsidRDefault="00A72BC5" w:rsidP="0091469D">
      <w:pPr>
        <w:pStyle w:val="BodyText120"/>
        <w:spacing w:line="240" w:lineRule="auto"/>
        <w:rPr>
          <w:rFonts w:ascii="Arial" w:hAnsi="Arial" w:cs="Arial"/>
          <w:sz w:val="22"/>
          <w:szCs w:val="22"/>
        </w:rPr>
      </w:pPr>
      <w:r>
        <w:rPr>
          <w:rFonts w:ascii="Arial" w:hAnsi="Arial" w:cs="Arial"/>
          <w:sz w:val="22"/>
          <w:szCs w:val="22"/>
        </w:rPr>
        <w:t>INVEGA TRINZA</w:t>
      </w:r>
      <w:r w:rsidR="0091469D" w:rsidRPr="0091469D">
        <w:rPr>
          <w:rFonts w:ascii="Arial" w:hAnsi="Arial" w:cs="Arial"/>
          <w:sz w:val="22"/>
          <w:szCs w:val="22"/>
        </w:rPr>
        <w:t xml:space="preserve"> requires longer and more vigorous shaking than INVEGA SUSTENNA (1-month paliperidone palmitate </w:t>
      </w:r>
      <w:r w:rsidR="0020407F">
        <w:rPr>
          <w:rFonts w:ascii="Arial" w:hAnsi="Arial" w:cs="Arial"/>
          <w:sz w:val="22"/>
          <w:szCs w:val="22"/>
        </w:rPr>
        <w:t>modified</w:t>
      </w:r>
      <w:r w:rsidR="0091469D" w:rsidRPr="0091469D">
        <w:rPr>
          <w:rFonts w:ascii="Arial" w:hAnsi="Arial" w:cs="Arial"/>
          <w:sz w:val="22"/>
          <w:szCs w:val="22"/>
        </w:rPr>
        <w:t xml:space="preserve">-release injectable suspension). Shake the syringe </w:t>
      </w:r>
      <w:proofErr w:type="gramStart"/>
      <w:r w:rsidR="0091469D" w:rsidRPr="0091469D">
        <w:rPr>
          <w:rFonts w:ascii="Arial" w:hAnsi="Arial" w:cs="Arial"/>
          <w:sz w:val="22"/>
          <w:szCs w:val="22"/>
        </w:rPr>
        <w:t>vigorously,</w:t>
      </w:r>
      <w:proofErr w:type="gramEnd"/>
      <w:r w:rsidR="0091469D" w:rsidRPr="0091469D">
        <w:rPr>
          <w:rFonts w:ascii="Arial" w:hAnsi="Arial" w:cs="Arial"/>
          <w:sz w:val="22"/>
          <w:szCs w:val="22"/>
        </w:rPr>
        <w:t xml:space="preserve"> with the syringe tip pointing up, for </w:t>
      </w:r>
      <w:r w:rsidR="0091469D" w:rsidRPr="0091469D">
        <w:rPr>
          <w:rFonts w:ascii="Arial" w:hAnsi="Arial" w:cs="Arial"/>
          <w:b/>
          <w:sz w:val="22"/>
          <w:szCs w:val="22"/>
        </w:rPr>
        <w:t>at least 15 seconds within 5 minutes prior to administration</w:t>
      </w:r>
      <w:r w:rsidR="0091469D" w:rsidRPr="0091469D">
        <w:rPr>
          <w:rFonts w:ascii="Arial" w:hAnsi="Arial" w:cs="Arial"/>
          <w:sz w:val="22"/>
          <w:szCs w:val="22"/>
        </w:rPr>
        <w:t xml:space="preserve"> (see Step 2).</w:t>
      </w:r>
    </w:p>
    <w:p w:rsidR="0091469D" w:rsidRPr="0091469D" w:rsidRDefault="0091469D" w:rsidP="0091469D">
      <w:pPr>
        <w:pStyle w:val="Heading3"/>
        <w:ind w:left="720" w:hanging="720"/>
        <w:rPr>
          <w:b w:val="0"/>
          <w:u w:val="single"/>
        </w:rPr>
      </w:pPr>
      <w:r w:rsidRPr="0091469D">
        <w:rPr>
          <w:b w:val="0"/>
          <w:u w:val="single"/>
        </w:rPr>
        <w:t xml:space="preserve">Thin Wall Safety Needle Selection </w:t>
      </w:r>
    </w:p>
    <w:p w:rsidR="0091469D" w:rsidRPr="0091469D" w:rsidRDefault="0091469D" w:rsidP="0091469D">
      <w:pPr>
        <w:pStyle w:val="BodyText120"/>
        <w:keepNext/>
        <w:keepLines/>
        <w:spacing w:line="240" w:lineRule="auto"/>
        <w:rPr>
          <w:rFonts w:ascii="Arial" w:hAnsi="Arial" w:cs="Arial"/>
          <w:sz w:val="22"/>
          <w:szCs w:val="22"/>
        </w:rPr>
      </w:pPr>
      <w:r w:rsidRPr="0091469D">
        <w:rPr>
          <w:rFonts w:ascii="Arial" w:hAnsi="Arial" w:cs="Arial"/>
          <w:sz w:val="22"/>
          <w:szCs w:val="22"/>
        </w:rPr>
        <w:t xml:space="preserve">Thin wall safety needles are designed to be used with </w:t>
      </w:r>
      <w:r w:rsidR="00A72BC5">
        <w:rPr>
          <w:rFonts w:ascii="Arial" w:hAnsi="Arial" w:cs="Arial"/>
          <w:sz w:val="22"/>
          <w:szCs w:val="22"/>
        </w:rPr>
        <w:t>INVEGA TRINZA</w:t>
      </w:r>
      <w:r w:rsidRPr="0091469D">
        <w:rPr>
          <w:rFonts w:ascii="Arial" w:hAnsi="Arial" w:cs="Arial"/>
          <w:sz w:val="22"/>
          <w:szCs w:val="22"/>
        </w:rPr>
        <w:t xml:space="preserve">. Therefore, it is important to </w:t>
      </w:r>
      <w:r w:rsidRPr="0091469D">
        <w:rPr>
          <w:rFonts w:ascii="Arial" w:hAnsi="Arial" w:cs="Arial"/>
          <w:b/>
          <w:sz w:val="22"/>
          <w:szCs w:val="22"/>
        </w:rPr>
        <w:t xml:space="preserve">only use the needles provided in the </w:t>
      </w:r>
      <w:r w:rsidR="00A72BC5">
        <w:rPr>
          <w:rFonts w:ascii="Arial" w:hAnsi="Arial" w:cs="Arial"/>
          <w:b/>
          <w:sz w:val="22"/>
          <w:szCs w:val="22"/>
        </w:rPr>
        <w:t>INVEGA TRINZA</w:t>
      </w:r>
      <w:r w:rsidRPr="0091469D">
        <w:rPr>
          <w:rFonts w:ascii="Arial" w:hAnsi="Arial" w:cs="Arial"/>
          <w:b/>
          <w:sz w:val="22"/>
          <w:szCs w:val="22"/>
        </w:rPr>
        <w:t xml:space="preserve"> kit</w:t>
      </w:r>
      <w:r w:rsidRPr="0091469D">
        <w:rPr>
          <w:rFonts w:ascii="Arial" w:hAnsi="Arial" w:cs="Arial"/>
          <w:sz w:val="22"/>
          <w:szCs w:val="22"/>
        </w:rPr>
        <w:t xml:space="preserve">. </w:t>
      </w:r>
    </w:p>
    <w:p w:rsidR="0091469D" w:rsidRPr="00E314E4" w:rsidRDefault="0091469D" w:rsidP="00E314E4">
      <w:pPr>
        <w:jc w:val="center"/>
        <w:rPr>
          <w:color w:val="FF0000"/>
        </w:rPr>
      </w:pPr>
    </w:p>
    <w:p w:rsidR="00C81444" w:rsidRDefault="00C81444">
      <w:pPr>
        <w:rPr>
          <w:b/>
          <w:spacing w:val="-2"/>
        </w:rPr>
      </w:pPr>
      <w:bookmarkStart w:id="68" w:name="_Instructions_for_Use"/>
      <w:bookmarkStart w:id="69" w:name="_Toc156819950"/>
      <w:bookmarkStart w:id="70" w:name="_Toc219801020"/>
      <w:bookmarkEnd w:id="68"/>
      <w:r>
        <w:br w:type="page"/>
      </w:r>
    </w:p>
    <w:p w:rsidR="0091469D" w:rsidRPr="00464F36" w:rsidRDefault="0091469D" w:rsidP="0091469D">
      <w:pPr>
        <w:pStyle w:val="Heading3"/>
        <w:ind w:left="720" w:hanging="720"/>
      </w:pPr>
      <w:r w:rsidRPr="00464F36">
        <w:lastRenderedPageBreak/>
        <w:t>Dose pack contents</w:t>
      </w:r>
    </w:p>
    <w:p w:rsidR="0091469D" w:rsidRPr="00BE6CB6" w:rsidRDefault="0091469D" w:rsidP="0091469D">
      <w:pPr>
        <w:keepNext/>
        <w:keepLines/>
        <w:tabs>
          <w:tab w:val="left" w:pos="1890"/>
        </w:tabs>
        <w:autoSpaceDE w:val="0"/>
        <w:autoSpaceDN w:val="0"/>
        <w:adjustRightInd w:val="0"/>
        <w:jc w:val="center"/>
        <w:rPr>
          <w:b/>
        </w:rPr>
      </w:pPr>
      <w:r w:rsidRPr="00BE6CB6">
        <w:rPr>
          <w:b/>
        </w:rPr>
        <w:t xml:space="preserve">Prefilled </w:t>
      </w:r>
      <w:r w:rsidRPr="00BE6CB6">
        <w:rPr>
          <w:b/>
        </w:rPr>
        <w:tab/>
        <w:t>Thin Wall</w:t>
      </w:r>
    </w:p>
    <w:p w:rsidR="0091469D" w:rsidRDefault="0091469D" w:rsidP="0091469D">
      <w:pPr>
        <w:keepNext/>
        <w:keepLines/>
        <w:tabs>
          <w:tab w:val="left" w:pos="1890"/>
        </w:tabs>
        <w:autoSpaceDE w:val="0"/>
        <w:autoSpaceDN w:val="0"/>
        <w:adjustRightInd w:val="0"/>
        <w:jc w:val="center"/>
        <w:rPr>
          <w:b/>
        </w:rPr>
      </w:pPr>
      <w:r>
        <w:rPr>
          <w:b/>
        </w:rPr>
        <w:t xml:space="preserve">    </w:t>
      </w:r>
      <w:r w:rsidRPr="00BE6CB6">
        <w:rPr>
          <w:b/>
        </w:rPr>
        <w:t>Syringe</w:t>
      </w:r>
      <w:r w:rsidRPr="00BE6CB6">
        <w:rPr>
          <w:b/>
        </w:rPr>
        <w:tab/>
        <w:t>Safety Needles</w:t>
      </w:r>
    </w:p>
    <w:p w:rsidR="0091469D" w:rsidRDefault="0091469D" w:rsidP="0091469D">
      <w:pPr>
        <w:keepNext/>
        <w:keepLines/>
        <w:tabs>
          <w:tab w:val="left" w:pos="1890"/>
        </w:tabs>
        <w:autoSpaceDE w:val="0"/>
        <w:autoSpaceDN w:val="0"/>
        <w:adjustRightInd w:val="0"/>
        <w:rPr>
          <w:b/>
        </w:rPr>
      </w:pPr>
      <w:r>
        <w:rPr>
          <w:noProof/>
          <w:lang w:eastAsia="en-AU"/>
        </w:rPr>
        <mc:AlternateContent>
          <mc:Choice Requires="wps">
            <w:drawing>
              <wp:anchor distT="4294967294" distB="4294967294" distL="114300" distR="114300" simplePos="0" relativeHeight="251663360" behindDoc="0" locked="0" layoutInCell="1" allowOverlap="1" wp14:anchorId="1B5486F1" wp14:editId="14C98D57">
                <wp:simplePos x="0" y="0"/>
                <wp:positionH relativeFrom="column">
                  <wp:posOffset>0</wp:posOffset>
                </wp:positionH>
                <wp:positionV relativeFrom="paragraph">
                  <wp:posOffset>59689</wp:posOffset>
                </wp:positionV>
                <wp:extent cx="5257800" cy="0"/>
                <wp:effectExtent l="0" t="0" r="19050" b="19050"/>
                <wp:wrapNone/>
                <wp:docPr id="8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4.7pt" to="41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">
                <o:lock v:ext="edit" shapetype="f"/>
              </v:line>
            </w:pict>
          </mc:Fallback>
        </mc:AlternateContent>
      </w:r>
    </w:p>
    <w:p w:rsidR="0091469D" w:rsidRDefault="0091469D" w:rsidP="0091469D">
      <w:pPr>
        <w:keepNext/>
        <w:keepLines/>
        <w:autoSpaceDE w:val="0"/>
        <w:autoSpaceDN w:val="0"/>
        <w:adjustRightInd w:val="0"/>
        <w:ind w:left="-450"/>
        <w:jc w:val="center"/>
        <w:rPr>
          <w:rFonts w:ascii="Verdana" w:hAnsi="Verdana"/>
          <w:b/>
        </w:rPr>
      </w:pPr>
      <w:r>
        <w:rPr>
          <w:rFonts w:ascii="Verdana" w:hAnsi="Verdana"/>
          <w:b/>
          <w:noProof/>
          <w:lang w:eastAsia="en-AU"/>
        </w:rPr>
        <w:drawing>
          <wp:inline distT="0" distB="0" distL="0" distR="0" wp14:anchorId="13400884" wp14:editId="1A93757D">
            <wp:extent cx="1850127" cy="3360717"/>
            <wp:effectExtent l="0" t="0" r="0" b="0"/>
            <wp:docPr id="25" name="Picture 25" descr="InvegaSustenna_IFU_needle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vegaSustenna_IFU_needleSelec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566" cy="3366965"/>
                    </a:xfrm>
                    <a:prstGeom prst="rect">
                      <a:avLst/>
                    </a:prstGeom>
                    <a:noFill/>
                    <a:ln>
                      <a:noFill/>
                    </a:ln>
                  </pic:spPr>
                </pic:pic>
              </a:graphicData>
            </a:graphic>
          </wp:inline>
        </w:drawing>
      </w:r>
    </w:p>
    <w:p w:rsidR="0091469D" w:rsidRPr="00980BDD" w:rsidRDefault="0091469D" w:rsidP="0091469D">
      <w:pPr>
        <w:autoSpaceDE w:val="0"/>
        <w:autoSpaceDN w:val="0"/>
        <w:adjustRightInd w:val="0"/>
        <w:rPr>
          <w:rFonts w:ascii="Verdana" w:hAnsi="Verdana"/>
          <w:b/>
        </w:rPr>
      </w:pPr>
      <w:r>
        <w:rPr>
          <w:rFonts w:ascii="Verdana" w:hAnsi="Verdana"/>
          <w:b/>
        </w:rPr>
        <w:br w:type="page"/>
      </w:r>
    </w:p>
    <w:p w:rsidR="0091469D" w:rsidRPr="00A72BC5" w:rsidRDefault="0091469D" w:rsidP="0091469D">
      <w:pPr>
        <w:pStyle w:val="BodyText120"/>
        <w:rPr>
          <w:rFonts w:ascii="Arial" w:eastAsia="Calibri" w:hAnsi="Arial" w:cs="Arial"/>
          <w:b/>
          <w:sz w:val="22"/>
          <w:szCs w:val="22"/>
          <w:lang w:val="en-GB"/>
        </w:rPr>
      </w:pPr>
      <w:r w:rsidRPr="00A72BC5">
        <w:rPr>
          <w:rFonts w:ascii="Arial" w:hAnsi="Arial" w:cs="Arial"/>
          <w:noProof/>
          <w:sz w:val="22"/>
          <w:szCs w:val="22"/>
          <w:lang w:val="en-AU" w:eastAsia="en-AU"/>
        </w:rPr>
        <w:lastRenderedPageBreak/>
        <mc:AlternateContent>
          <mc:Choice Requires="wpg">
            <w:drawing>
              <wp:inline distT="0" distB="0" distL="0" distR="0" wp14:anchorId="260F0578" wp14:editId="295183E4">
                <wp:extent cx="5943600" cy="445533"/>
                <wp:effectExtent l="0" t="0" r="0" b="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5533"/>
                          <a:chOff x="0" y="0"/>
                          <a:chExt cx="53149" cy="4476"/>
                        </a:xfrm>
                      </wpg:grpSpPr>
                      <wps:wsp>
                        <wps:cNvPr id="7" name="Pentagon 1"/>
                        <wps:cNvSpPr>
                          <a:spLocks noChangeArrowheads="1"/>
                        </wps:cNvSpPr>
                        <wps:spPr bwMode="auto">
                          <a:xfrm>
                            <a:off x="3429" y="0"/>
                            <a:ext cx="49720" cy="4476"/>
                          </a:xfrm>
                          <a:prstGeom prst="homePlate">
                            <a:avLst>
                              <a:gd name="adj" fmla="val 49987"/>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ind w:left="720"/>
                                <w:rPr>
                                  <w:rFonts w:ascii="Arial" w:eastAsia="Calibri" w:hAnsi="Arial" w:cs="Arial"/>
                                  <w:b/>
                                  <w:color w:val="FFFFFF"/>
                                  <w:sz w:val="36"/>
                                  <w:szCs w:val="36"/>
                                </w:rPr>
                              </w:pPr>
                              <w:r>
                                <w:rPr>
                                  <w:rFonts w:ascii="Arial" w:eastAsia="Calibri" w:hAnsi="Arial" w:cs="Arial"/>
                                  <w:b/>
                                  <w:color w:val="FFFFFF"/>
                                  <w:sz w:val="36"/>
                                  <w:szCs w:val="36"/>
                                </w:rPr>
                                <w:t>Select needle</w:t>
                              </w:r>
                            </w:p>
                          </w:txbxContent>
                        </wps:txbx>
                        <wps:bodyPr rot="0" vert="horz" wrap="square" lIns="91440" tIns="45720" rIns="91440" bIns="45720" anchor="ctr" anchorCtr="0" upright="1">
                          <a:noAutofit/>
                        </wps:bodyPr>
                      </wps:wsp>
                      <wps:wsp>
                        <wps:cNvPr id="8" name="Pentagon 2"/>
                        <wps:cNvSpPr>
                          <a:spLocks noChangeArrowheads="1"/>
                        </wps:cNvSpPr>
                        <wps:spPr bwMode="auto">
                          <a:xfrm>
                            <a:off x="0" y="0"/>
                            <a:ext cx="6191" cy="4476"/>
                          </a:xfrm>
                          <a:prstGeom prst="homePlate">
                            <a:avLst>
                              <a:gd name="adj" fmla="val 50005"/>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1</w:t>
                              </w:r>
                            </w:p>
                          </w:txbxContent>
                        </wps:txbx>
                        <wps:bodyPr rot="0" vert="horz" wrap="square" lIns="91440" tIns="45720" rIns="91440" bIns="45720" anchor="ctr" anchorCtr="0" upright="1">
                          <a:noAutofit/>
                        </wps:bodyPr>
                      </wps:wsp>
                    </wpg:wgp>
                  </a:graphicData>
                </a:graphic>
              </wp:inline>
            </w:drawing>
          </mc:Choice>
          <mc:Fallback>
            <w:pict>
              <v:group id="Group 3" o:spid="_x0000_s1027" style="width:468pt;height:35.1pt;mso-position-horizontal-relative:char;mso-position-vertical-relative:line" coordsize="53149,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8" type="#_x0000_t15" style="position:absolute;left:3429;width:49720;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16cIA&#10;AADaAAAADwAAAGRycy9kb3ducmV2LnhtbESPQUvDQBSE7wX/w/IEb+1GD1Fit6EqgsVTqwePj+xr&#10;NiT7Nuy+tNFf3xUEj8PMfMOs69kP6kQxdYEN3K4KUMRNsB23Bj4/XpcPoJIgWxwCk4FvSlBvrhZr&#10;rGw4855OB2lVhnCq0IATGSutU+PIY1qFkTh7xxA9Spax1TbiOcP9oO+KotQeO84LDkd6dtT0h8kb&#10;KGVfTl9Iu74JEgsnL/3T+48xN9fz9hGU0Cz/4b/2mzVwD79X8g3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XpwgAAANoAAAAPAAAAAAAAAAAAAAAAAJgCAABkcnMvZG93&#10;bnJldi54bWxQSwUGAAAAAAQABAD1AAAAhwMAAAAA&#10;" adj="20628" fillcolor="#a6a6a6" stroked="f" strokeweight="2pt">
                  <v:textbox>
                    <w:txbxContent>
                      <w:p w:rsidR="00553C06" w:rsidRDefault="00553C06" w:rsidP="0091469D">
                        <w:pPr>
                          <w:pStyle w:val="BodyText120"/>
                          <w:spacing w:after="0"/>
                          <w:ind w:left="720"/>
                          <w:rPr>
                            <w:rFonts w:ascii="Arial" w:eastAsia="Calibri" w:hAnsi="Arial" w:cs="Arial"/>
                            <w:b/>
                            <w:color w:val="FFFFFF"/>
                            <w:sz w:val="36"/>
                            <w:szCs w:val="36"/>
                          </w:rPr>
                        </w:pPr>
                        <w:r>
                          <w:rPr>
                            <w:rFonts w:ascii="Arial" w:eastAsia="Calibri" w:hAnsi="Arial" w:cs="Arial"/>
                            <w:b/>
                            <w:color w:val="FFFFFF"/>
                            <w:sz w:val="36"/>
                            <w:szCs w:val="36"/>
                          </w:rPr>
                          <w:t>Select needle</w:t>
                        </w:r>
                      </w:p>
                    </w:txbxContent>
                  </v:textbox>
                </v:shape>
                <v:shape id="Pentagon 2" o:spid="_x0000_s1029" type="#_x0000_t15" style="position:absolute;width:6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IvL4A&#10;AADaAAAADwAAAGRycy9kb3ducmV2LnhtbERPzWrCQBC+F3yHZQRvdaJIDdFVRLB6aqn6AGN2zEaz&#10;syG71fTtu4dCjx/f/3Ldu0Y9uAu1Fw2TcQaKpfSmlkrD+bR7zUGFSGKo8cIafjjAejV4WVJh/FO+&#10;+HGMlUohEgrSYGNsC8RQWnYUxr5lSdzVd45igl2FpqNnCncNTrPsDR3Vkhostby1XN6P306DmX/Y&#10;2xRn1318n3/ixeSnBnOtR8N+swAVuY//4j/3wWhIW9OVdANw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TSLy+AAAA2gAAAA8AAAAAAAAAAAAAAAAAmAIAAGRycy9kb3ducmV2&#10;LnhtbFBLBQYAAAAABAAEAPUAAACDAwAAAAA=&#10;" adj="13791" fillcolor="black" stroked="f" strokeweight="2pt">
                  <v:textbo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1</w:t>
                        </w:r>
                      </w:p>
                    </w:txbxContent>
                  </v:textbox>
                </v:shape>
                <w10:anchorlock/>
              </v:group>
            </w:pict>
          </mc:Fallback>
        </mc:AlternateContent>
      </w:r>
    </w:p>
    <w:p w:rsidR="0091469D" w:rsidRPr="00A72BC5" w:rsidRDefault="0091469D" w:rsidP="0091469D">
      <w:pPr>
        <w:pStyle w:val="BodyText120"/>
        <w:keepNext/>
        <w:keepLines/>
        <w:pBdr>
          <w:bottom w:val="single" w:sz="4" w:space="1" w:color="auto"/>
        </w:pBdr>
        <w:rPr>
          <w:rFonts w:ascii="Arial" w:eastAsia="Calibri" w:hAnsi="Arial" w:cs="Arial"/>
          <w:b/>
          <w:bCs/>
          <w:color w:val="000000"/>
          <w:sz w:val="22"/>
          <w:szCs w:val="22"/>
          <w:lang w:val="en-GB"/>
        </w:rPr>
      </w:pPr>
      <w:r w:rsidRPr="00A72BC5">
        <w:rPr>
          <w:rFonts w:ascii="Arial" w:eastAsia="Calibri" w:hAnsi="Arial" w:cs="Arial"/>
          <w:b/>
          <w:sz w:val="22"/>
          <w:szCs w:val="22"/>
          <w:lang w:val="en-GB"/>
        </w:rPr>
        <w:t>Needle selection is determined by injection area and patient weight.</w:t>
      </w:r>
    </w:p>
    <w:tbl>
      <w:tblPr>
        <w:tblW w:w="0" w:type="auto"/>
        <w:tblLook w:val="04A0" w:firstRow="1" w:lastRow="0" w:firstColumn="1" w:lastColumn="0" w:noHBand="0" w:noVBand="1"/>
      </w:tblPr>
      <w:tblGrid>
        <w:gridCol w:w="4621"/>
        <w:gridCol w:w="4621"/>
      </w:tblGrid>
      <w:tr w:rsidR="0091469D" w:rsidRPr="00321C29" w:rsidTr="00397A0D">
        <w:tc>
          <w:tcPr>
            <w:tcW w:w="4621" w:type="dxa"/>
          </w:tcPr>
          <w:p w:rsidR="0091469D" w:rsidRPr="00321C29" w:rsidRDefault="0091469D" w:rsidP="00397A0D">
            <w:pPr>
              <w:keepNext/>
              <w:keepLines/>
              <w:spacing w:line="264" w:lineRule="auto"/>
              <w:jc w:val="center"/>
              <w:rPr>
                <w:rFonts w:eastAsia="Calibri"/>
              </w:rPr>
            </w:pPr>
            <w:r w:rsidRPr="00321C29">
              <w:rPr>
                <w:rFonts w:eastAsia="Calibri"/>
              </w:rPr>
              <w:t>If administering a</w:t>
            </w:r>
            <w:r w:rsidRPr="00321C29">
              <w:rPr>
                <w:rFonts w:eastAsia="Calibri"/>
                <w:b/>
              </w:rPr>
              <w:t xml:space="preserve"> Deltoid </w:t>
            </w:r>
            <w:r w:rsidRPr="00321C29">
              <w:rPr>
                <w:rFonts w:eastAsia="Calibri"/>
              </w:rPr>
              <w:t>injection</w:t>
            </w:r>
          </w:p>
          <w:p w:rsidR="0091469D" w:rsidRPr="00321C29" w:rsidRDefault="0091469D" w:rsidP="00397A0D">
            <w:pPr>
              <w:keepNext/>
              <w:keepLines/>
              <w:spacing w:line="264" w:lineRule="auto"/>
              <w:jc w:val="center"/>
              <w:rPr>
                <w:rFonts w:eastAsia="Calibri"/>
              </w:rPr>
            </w:pPr>
            <w:r w:rsidRPr="00321C29">
              <w:rPr>
                <w:b/>
                <w:noProof/>
                <w:lang w:eastAsia="en-AU"/>
              </w:rPr>
              <w:drawing>
                <wp:inline distT="0" distB="0" distL="0" distR="0" wp14:anchorId="373D9D9E" wp14:editId="51D47D6E">
                  <wp:extent cx="1038225" cy="990600"/>
                  <wp:effectExtent l="0" t="0" r="9525"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p w:rsidR="0091469D" w:rsidRPr="00321C29" w:rsidRDefault="0091469D" w:rsidP="00397A0D">
            <w:pPr>
              <w:keepNext/>
              <w:keepLines/>
              <w:spacing w:line="264" w:lineRule="auto"/>
              <w:jc w:val="center"/>
              <w:rPr>
                <w:rFonts w:eastAsia="Calibri"/>
              </w:rPr>
            </w:pPr>
            <w:r w:rsidRPr="00321C29">
              <w:rPr>
                <w:rFonts w:eastAsia="Calibri"/>
              </w:rPr>
              <w:t>If patient weighs:</w:t>
            </w:r>
          </w:p>
          <w:p w:rsidR="0091469D" w:rsidRPr="00321C29" w:rsidRDefault="0091469D" w:rsidP="00397A0D">
            <w:pPr>
              <w:keepNext/>
              <w:keepLines/>
              <w:spacing w:line="264" w:lineRule="auto"/>
              <w:jc w:val="center"/>
              <w:rPr>
                <w:rFonts w:eastAsia="Calibri"/>
                <w:b/>
              </w:rPr>
            </w:pPr>
            <w:r w:rsidRPr="00321C29">
              <w:rPr>
                <w:rFonts w:eastAsia="Calibri"/>
                <w:b/>
              </w:rPr>
              <w:t>Less than 90 kg</w:t>
            </w:r>
          </w:p>
          <w:p w:rsidR="0091469D" w:rsidRPr="00321C29" w:rsidRDefault="0091469D" w:rsidP="00397A0D">
            <w:pPr>
              <w:keepNext/>
              <w:keepLines/>
              <w:spacing w:line="264" w:lineRule="auto"/>
              <w:jc w:val="center"/>
              <w:rPr>
                <w:rFonts w:eastAsia="Calibri"/>
              </w:rPr>
            </w:pPr>
            <w:r w:rsidRPr="00321C29">
              <w:rPr>
                <w:rFonts w:eastAsia="Calibri"/>
              </w:rPr>
              <w:t>pink hub</w:t>
            </w:r>
          </w:p>
          <w:p w:rsidR="0091469D" w:rsidRPr="00321C29" w:rsidRDefault="0091469D" w:rsidP="00397A0D">
            <w:pPr>
              <w:keepNext/>
              <w:keepLines/>
              <w:spacing w:line="264" w:lineRule="auto"/>
              <w:jc w:val="center"/>
              <w:rPr>
                <w:rFonts w:eastAsia="Calibri"/>
              </w:rPr>
            </w:pPr>
            <w:r w:rsidRPr="00321C29">
              <w:rPr>
                <w:b/>
                <w:noProof/>
                <w:lang w:eastAsia="en-AU"/>
              </w:rPr>
              <w:drawing>
                <wp:inline distT="0" distB="0" distL="0" distR="0" wp14:anchorId="5FDCC64B" wp14:editId="33B00337">
                  <wp:extent cx="1333500" cy="352425"/>
                  <wp:effectExtent l="0" t="0" r="0" b="9525"/>
                  <wp:docPr id="10" name="Picture 4" descr="needleSize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edleSize_pin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352425"/>
                          </a:xfrm>
                          <a:prstGeom prst="rect">
                            <a:avLst/>
                          </a:prstGeom>
                          <a:noFill/>
                          <a:ln>
                            <a:noFill/>
                          </a:ln>
                        </pic:spPr>
                      </pic:pic>
                    </a:graphicData>
                  </a:graphic>
                </wp:inline>
              </w:drawing>
            </w:r>
          </w:p>
          <w:p w:rsidR="0091469D" w:rsidRDefault="0091469D" w:rsidP="00397A0D">
            <w:pPr>
              <w:keepNext/>
              <w:keepLines/>
              <w:spacing w:line="264" w:lineRule="auto"/>
              <w:jc w:val="center"/>
              <w:rPr>
                <w:rFonts w:eastAsia="Calibri"/>
                <w:b/>
                <w:noProof/>
              </w:rPr>
            </w:pPr>
          </w:p>
          <w:p w:rsidR="0091469D" w:rsidRPr="00321C29" w:rsidRDefault="0091469D" w:rsidP="00397A0D">
            <w:pPr>
              <w:keepNext/>
              <w:keepLines/>
              <w:spacing w:line="264" w:lineRule="auto"/>
              <w:jc w:val="center"/>
              <w:rPr>
                <w:rFonts w:eastAsia="Calibri"/>
                <w:b/>
                <w:noProof/>
              </w:rPr>
            </w:pPr>
            <w:r w:rsidRPr="00321C29">
              <w:rPr>
                <w:rFonts w:eastAsia="Calibri"/>
                <w:b/>
                <w:noProof/>
              </w:rPr>
              <w:t>90 kg or more</w:t>
            </w:r>
          </w:p>
          <w:p w:rsidR="0091469D" w:rsidRPr="00321C29" w:rsidRDefault="0091469D" w:rsidP="00397A0D">
            <w:pPr>
              <w:keepNext/>
              <w:keepLines/>
              <w:spacing w:line="264" w:lineRule="auto"/>
              <w:jc w:val="center"/>
              <w:rPr>
                <w:rFonts w:eastAsia="Calibri"/>
              </w:rPr>
            </w:pPr>
            <w:r w:rsidRPr="00321C29">
              <w:rPr>
                <w:rFonts w:eastAsia="Calibri"/>
              </w:rPr>
              <w:t>yellow hub</w:t>
            </w:r>
          </w:p>
          <w:p w:rsidR="0091469D" w:rsidRPr="00321C29" w:rsidRDefault="0091469D" w:rsidP="00397A0D">
            <w:pPr>
              <w:keepNext/>
              <w:keepLines/>
              <w:spacing w:line="264" w:lineRule="auto"/>
              <w:jc w:val="center"/>
              <w:rPr>
                <w:rFonts w:eastAsia="Calibri"/>
              </w:rPr>
            </w:pPr>
            <w:r w:rsidRPr="00321C29">
              <w:rPr>
                <w:b/>
                <w:noProof/>
                <w:lang w:eastAsia="en-AU"/>
              </w:rPr>
              <w:drawing>
                <wp:inline distT="0" distB="0" distL="0" distR="0" wp14:anchorId="027811E7" wp14:editId="535371E1">
                  <wp:extent cx="1257300" cy="333375"/>
                  <wp:effectExtent l="0" t="0" r="0" b="9525"/>
                  <wp:docPr id="26" name="Picture 7" descr="needleSize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dleSize_yel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p w:rsidR="0091469D" w:rsidRPr="00321C29" w:rsidRDefault="0091469D" w:rsidP="00397A0D">
            <w:pPr>
              <w:keepNext/>
              <w:keepLines/>
              <w:spacing w:line="264" w:lineRule="auto"/>
              <w:jc w:val="center"/>
              <w:rPr>
                <w:rFonts w:eastAsia="Calibri"/>
              </w:rPr>
            </w:pPr>
          </w:p>
        </w:tc>
        <w:tc>
          <w:tcPr>
            <w:tcW w:w="4621" w:type="dxa"/>
            <w:hideMark/>
          </w:tcPr>
          <w:p w:rsidR="0091469D" w:rsidRPr="00321C29" w:rsidRDefault="0091469D" w:rsidP="00397A0D">
            <w:pPr>
              <w:keepNext/>
              <w:keepLines/>
              <w:spacing w:line="264" w:lineRule="auto"/>
              <w:jc w:val="center"/>
              <w:rPr>
                <w:rFonts w:eastAsia="Calibri"/>
              </w:rPr>
            </w:pPr>
            <w:r w:rsidRPr="00321C29">
              <w:rPr>
                <w:rFonts w:eastAsia="Calibri"/>
              </w:rPr>
              <w:t>If administering a</w:t>
            </w:r>
            <w:r w:rsidRPr="00321C29">
              <w:rPr>
                <w:rFonts w:eastAsia="Calibri"/>
                <w:b/>
              </w:rPr>
              <w:t xml:space="preserve"> Gluteal </w:t>
            </w:r>
            <w:r w:rsidRPr="00321C29">
              <w:rPr>
                <w:rFonts w:eastAsia="Calibri"/>
              </w:rPr>
              <w:t>injection</w:t>
            </w:r>
          </w:p>
          <w:p w:rsidR="0091469D" w:rsidRPr="00321C29" w:rsidRDefault="0091469D" w:rsidP="00397A0D">
            <w:pPr>
              <w:keepNext/>
              <w:keepLines/>
              <w:spacing w:line="264" w:lineRule="auto"/>
              <w:jc w:val="center"/>
              <w:rPr>
                <w:rFonts w:eastAsia="Calibri"/>
                <w:b/>
              </w:rPr>
            </w:pPr>
            <w:r w:rsidRPr="00321C29">
              <w:rPr>
                <w:b/>
                <w:noProof/>
                <w:lang w:eastAsia="en-AU"/>
              </w:rPr>
              <w:drawing>
                <wp:inline distT="0" distB="0" distL="0" distR="0" wp14:anchorId="4344AFF7" wp14:editId="3D1F5E70">
                  <wp:extent cx="1057275" cy="1019175"/>
                  <wp:effectExtent l="0" t="0" r="9525" b="952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p w:rsidR="0091469D" w:rsidRPr="00C33874" w:rsidRDefault="00C33874" w:rsidP="00397A0D">
            <w:pPr>
              <w:keepNext/>
              <w:keepLines/>
              <w:spacing w:line="264" w:lineRule="auto"/>
              <w:jc w:val="center"/>
              <w:rPr>
                <w:rFonts w:eastAsia="Calibri"/>
                <w:b/>
              </w:rPr>
            </w:pPr>
            <w:r w:rsidRPr="00C33874">
              <w:rPr>
                <w:rFonts w:eastAsia="Calibri"/>
                <w:b/>
              </w:rPr>
              <w:t>Regardless of patient weight</w:t>
            </w:r>
          </w:p>
          <w:p w:rsidR="0091469D" w:rsidRPr="00321C29" w:rsidRDefault="0091469D" w:rsidP="00397A0D">
            <w:pPr>
              <w:keepNext/>
              <w:keepLines/>
              <w:spacing w:line="264" w:lineRule="auto"/>
              <w:jc w:val="center"/>
              <w:rPr>
                <w:rFonts w:eastAsia="Calibri"/>
              </w:rPr>
            </w:pPr>
            <w:r w:rsidRPr="00321C29">
              <w:rPr>
                <w:rFonts w:eastAsia="Calibri"/>
              </w:rPr>
              <w:t>yellow hub</w:t>
            </w:r>
          </w:p>
          <w:p w:rsidR="0091469D" w:rsidRPr="00321C29" w:rsidRDefault="0091469D" w:rsidP="00397A0D">
            <w:pPr>
              <w:keepNext/>
              <w:keepLines/>
              <w:spacing w:line="264" w:lineRule="auto"/>
              <w:jc w:val="center"/>
              <w:rPr>
                <w:rFonts w:eastAsia="Calibri"/>
                <w:b/>
              </w:rPr>
            </w:pPr>
            <w:r w:rsidRPr="00321C29">
              <w:rPr>
                <w:b/>
                <w:noProof/>
                <w:lang w:eastAsia="en-AU"/>
              </w:rPr>
              <w:drawing>
                <wp:inline distT="0" distB="0" distL="0" distR="0" wp14:anchorId="7776C201" wp14:editId="21FD9FF8">
                  <wp:extent cx="1257300" cy="333375"/>
                  <wp:effectExtent l="0" t="0" r="0" b="9525"/>
                  <wp:docPr id="16" name="Picture 5" descr="needleSize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edleSize_yel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p w:rsidR="0091469D" w:rsidRDefault="0091469D" w:rsidP="00397A0D">
            <w:pPr>
              <w:keepNext/>
              <w:keepLines/>
              <w:spacing w:line="264" w:lineRule="auto"/>
              <w:jc w:val="center"/>
              <w:rPr>
                <w:rFonts w:eastAsia="Calibri"/>
                <w:b/>
                <w:noProof/>
              </w:rPr>
            </w:pPr>
          </w:p>
          <w:p w:rsidR="0091469D" w:rsidRPr="00321C29" w:rsidRDefault="0091469D" w:rsidP="00397A0D">
            <w:pPr>
              <w:keepNext/>
              <w:keepLines/>
              <w:spacing w:line="264" w:lineRule="auto"/>
              <w:jc w:val="center"/>
              <w:rPr>
                <w:rFonts w:eastAsia="Calibri"/>
              </w:rPr>
            </w:pPr>
          </w:p>
        </w:tc>
      </w:tr>
    </w:tbl>
    <w:p w:rsidR="0091469D" w:rsidRPr="00321C29" w:rsidRDefault="0091469D" w:rsidP="0091469D">
      <w:pPr>
        <w:spacing w:after="200" w:line="264" w:lineRule="auto"/>
        <w:jc w:val="center"/>
        <w:rPr>
          <w:rFonts w:eastAsia="Calibri"/>
          <w:bCs/>
          <w:spacing w:val="-2"/>
        </w:rPr>
      </w:pPr>
      <w:r w:rsidRPr="00321C29">
        <w:rPr>
          <w:noProof/>
          <w:lang w:eastAsia="en-AU"/>
        </w:rPr>
        <mc:AlternateContent>
          <mc:Choice Requires="wpg">
            <w:drawing>
              <wp:inline distT="0" distB="0" distL="0" distR="0" wp14:anchorId="19EEAD76" wp14:editId="74813C77">
                <wp:extent cx="4133850" cy="1028700"/>
                <wp:effectExtent l="19050" t="0" r="19050" b="19050"/>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028700"/>
                          <a:chOff x="1809" y="95"/>
                          <a:chExt cx="41338" cy="10287"/>
                        </a:xfrm>
                      </wpg:grpSpPr>
                      <wps:wsp>
                        <wps:cNvPr id="14" name="Rounded Rectangle 10"/>
                        <wps:cNvSpPr>
                          <a:spLocks/>
                        </wps:cNvSpPr>
                        <wps:spPr bwMode="auto">
                          <a:xfrm>
                            <a:off x="1809" y="2381"/>
                            <a:ext cx="41339" cy="8001"/>
                          </a:xfrm>
                          <a:prstGeom prst="roundRect">
                            <a:avLst>
                              <a:gd name="adj" fmla="val 16667"/>
                            </a:avLst>
                          </a:prstGeom>
                          <a:solidFill>
                            <a:srgbClr val="FFFFFF"/>
                          </a:solidFill>
                          <a:ln w="25400">
                            <a:solidFill>
                              <a:srgbClr val="BFBFBF"/>
                            </a:solidFill>
                            <a:round/>
                            <a:headEnd/>
                            <a:tailEnd/>
                          </a:ln>
                        </wps:spPr>
                        <wps:txbx>
                          <w:txbxContent>
                            <w:p w:rsidR="00553C06" w:rsidRPr="00A72BC5" w:rsidRDefault="00553C06" w:rsidP="0091469D">
                              <w:pPr>
                                <w:pStyle w:val="BodyText120"/>
                                <w:spacing w:before="240"/>
                                <w:rPr>
                                  <w:rFonts w:ascii="Arial" w:hAnsi="Arial" w:cs="Arial"/>
                                  <w:sz w:val="22"/>
                                  <w:szCs w:val="22"/>
                                </w:rPr>
                              </w:pPr>
                              <w:r w:rsidRPr="00A72BC5">
                                <w:rPr>
                                  <w:rFonts w:ascii="Arial" w:hAnsi="Arial" w:cs="Arial"/>
                                  <w:sz w:val="22"/>
                                  <w:szCs w:val="22"/>
                                </w:rPr>
                                <w:t>Immediately discard the unused needle in an approved sharps container. Do not save for future use.</w:t>
                              </w:r>
                            </w:p>
                          </w:txbxContent>
                        </wps:txbx>
                        <wps:bodyPr rot="0" vert="horz" wrap="square" lIns="91440" tIns="45720" rIns="91440" bIns="45720" anchor="ctr" anchorCtr="0" upright="1">
                          <a:noAutofit/>
                        </wps:bodyPr>
                      </wps:wsp>
                      <pic:pic xmlns:pic="http://schemas.openxmlformats.org/drawingml/2006/picture">
                        <pic:nvPicPr>
                          <pic:cNvPr id="15" name="Picture 3" descr="GDS:Pharma:INVEGA SUSTENNA:Design:WordDoc_IFU_regulatory:images141028:exclamationMark_141028.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286" y="95"/>
                            <a:ext cx="3238" cy="3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 o:spid="_x0000_s1030" style="width:325.5pt;height:81pt;mso-position-horizontal-relative:char;mso-position-vertical-relative:line" coordorigin="1809,95" coordsize="4133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">
                <v:roundrect id="Rounded Rectangle 10" o:spid="_x0000_s1031" style="position:absolute;left:1809;top:2381;width:41339;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AyMIA&#10;AADbAAAADwAAAGRycy9kb3ducmV2LnhtbESPzarCMBCF9xd8hzCCu2uqiJVqFBEEkbvxZ+FyaMa2&#10;2ExqEmt9e3NBcDfDOd+ZM4tVZ2rRkvOVZQWjYQKCOLe64kLB+bT9nYHwAVljbZkUvMjDatn7WWCm&#10;7ZMP1B5DIWII+wwVlCE0mZQ+L8mgH9qGOGpX6wyGuLpCaofPGG5qOU6SqTRYcbxQYkObkvLb8WFi&#10;jeu52FymLaa8/9unLp3c6+Si1KDfrecgAnXha/7QOx25Cfz/Ege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IDIwgAAANsAAAAPAAAAAAAAAAAAAAAAAJgCAABkcnMvZG93&#10;bnJldi54bWxQSwUGAAAAAAQABAD1AAAAhwMAAAAA&#10;" strokecolor="#bfbfbf" strokeweight="2pt">
                  <v:path arrowok="t"/>
                  <v:textbox>
                    <w:txbxContent>
                      <w:p w:rsidR="00553C06" w:rsidRPr="00A72BC5" w:rsidRDefault="00553C06" w:rsidP="0091469D">
                        <w:pPr>
                          <w:pStyle w:val="BodyText120"/>
                          <w:spacing w:before="240"/>
                          <w:rPr>
                            <w:rFonts w:ascii="Arial" w:hAnsi="Arial" w:cs="Arial"/>
                            <w:sz w:val="22"/>
                            <w:szCs w:val="22"/>
                          </w:rPr>
                        </w:pPr>
                        <w:r w:rsidRPr="00A72BC5">
                          <w:rPr>
                            <w:rFonts w:ascii="Arial" w:hAnsi="Arial" w:cs="Arial"/>
                            <w:sz w:val="22"/>
                            <w:szCs w:val="22"/>
                          </w:rPr>
                          <w:t>Immediately discard the unused needle in an approved sharps container. Do not save for future use.</w:t>
                        </w:r>
                      </w:p>
                    </w:txbxContent>
                  </v:textbox>
                </v:roundrect>
                <v:shape id="Picture 3" o:spid="_x0000_s1032" type="#_x0000_t75" alt="GDS:Pharma:INVEGA SUSTENNA:Design:WordDoc_IFU_regulatory:images141028:exclamationMark_141028.jpg" style="position:absolute;left:4286;top:95;width:323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i47CAAAA2wAAAA8AAABkcnMvZG93bnJldi54bWxET9tqAjEQfS/4D2GEvohmK1h0NYoIBWkr&#10;eAP1bdiMu4ubyZKkuv69KQi+zeFcZzJrTCWu5HxpWcFHLwFBnFldcq5gv/vqDkH4gKyxskwK7uRh&#10;Nm29TTDV9sYbum5DLmII+xQVFCHUqZQ+K8ig79maOHJn6wyGCF0utcNbDDeV7CfJpzRYcmwosKZF&#10;Qdll+2cU6G8cjg6/p8Wqc27mnbVxx9XuR6n3djMfgwjUhJf46V7qOH8A/7/EA+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4uOwgAAANsAAAAPAAAAAAAAAAAAAAAAAJ8C&#10;AABkcnMvZG93bnJldi54bWxQSwUGAAAAAAQABAD3AAAAjgMAAAAA&#10;">
                  <v:imagedata r:id="rId24" o:title="exclamationMark_141028"/>
                  <v:path arrowok="t"/>
                </v:shape>
                <w10:anchorlock/>
              </v:group>
            </w:pict>
          </mc:Fallback>
        </mc:AlternateContent>
      </w:r>
    </w:p>
    <w:p w:rsidR="0091469D" w:rsidRDefault="0091469D" w:rsidP="0091469D">
      <w:pPr>
        <w:pStyle w:val="BodyText120"/>
        <w:rPr>
          <w:rFonts w:eastAsia="Calibri"/>
          <w:b/>
          <w:lang w:val="en-GB"/>
        </w:rPr>
      </w:pPr>
    </w:p>
    <w:p w:rsidR="0091469D" w:rsidRDefault="0091469D" w:rsidP="0091469D">
      <w:pPr>
        <w:pStyle w:val="BodyText120"/>
        <w:rPr>
          <w:rFonts w:eastAsia="Calibri"/>
          <w:b/>
          <w:lang w:val="en-GB"/>
        </w:rPr>
      </w:pPr>
    </w:p>
    <w:p w:rsidR="0091469D" w:rsidRPr="00980BDD" w:rsidRDefault="0091469D" w:rsidP="0091469D">
      <w:pPr>
        <w:tabs>
          <w:tab w:val="left" w:pos="1710"/>
        </w:tabs>
        <w:jc w:val="center"/>
        <w:rPr>
          <w:rFonts w:ascii="Verdana" w:hAnsi="Verdana"/>
          <w:b/>
          <w:bCs/>
        </w:rPr>
      </w:pPr>
    </w:p>
    <w:p w:rsidR="0091469D" w:rsidRPr="00980BDD" w:rsidRDefault="0091469D" w:rsidP="0091469D">
      <w:pPr>
        <w:autoSpaceDE w:val="0"/>
        <w:autoSpaceDN w:val="0"/>
        <w:adjustRightInd w:val="0"/>
        <w:jc w:val="center"/>
        <w:rPr>
          <w:rFonts w:ascii="Verdana" w:hAnsi="Verdana"/>
          <w:b/>
        </w:rPr>
      </w:pPr>
    </w:p>
    <w:p w:rsidR="0091469D" w:rsidRDefault="0091469D" w:rsidP="0091469D">
      <w:pPr>
        <w:autoSpaceDE w:val="0"/>
        <w:autoSpaceDN w:val="0"/>
        <w:adjustRightInd w:val="0"/>
        <w:rPr>
          <w:rFonts w:ascii="Verdana" w:hAnsi="Verdana"/>
          <w:noProof/>
          <w:sz w:val="28"/>
          <w:szCs w:val="28"/>
        </w:rPr>
      </w:pPr>
      <w:r>
        <w:rPr>
          <w:rFonts w:ascii="Verdana" w:hAnsi="Verdana"/>
          <w:noProof/>
          <w:sz w:val="28"/>
          <w:szCs w:val="28"/>
        </w:rPr>
        <w:br w:type="page"/>
      </w:r>
    </w:p>
    <w:p w:rsidR="0091469D" w:rsidRDefault="0091469D" w:rsidP="0091469D">
      <w:pPr>
        <w:pStyle w:val="BodyText12"/>
      </w:pPr>
      <w:r>
        <w:rPr>
          <w:noProof/>
          <w:lang w:val="en-AU" w:eastAsia="en-AU"/>
        </w:rPr>
        <w:lastRenderedPageBreak/>
        <mc:AlternateContent>
          <mc:Choice Requires="wpg">
            <w:drawing>
              <wp:inline distT="0" distB="0" distL="0" distR="0" wp14:anchorId="1CF98EB4" wp14:editId="2CE45167">
                <wp:extent cx="5731510" cy="429895"/>
                <wp:effectExtent l="0" t="0" r="2540" b="8255"/>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29895"/>
                          <a:chOff x="0" y="0"/>
                          <a:chExt cx="53149" cy="4476"/>
                        </a:xfrm>
                      </wpg:grpSpPr>
                      <wps:wsp>
                        <wps:cNvPr id="19" name="Pentagon 13"/>
                        <wps:cNvSpPr>
                          <a:spLocks noChangeArrowheads="1"/>
                        </wps:cNvSpPr>
                        <wps:spPr bwMode="auto">
                          <a:xfrm>
                            <a:off x="3429" y="0"/>
                            <a:ext cx="49720" cy="4476"/>
                          </a:xfrm>
                          <a:prstGeom prst="homePlate">
                            <a:avLst>
                              <a:gd name="adj" fmla="val 49987"/>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ind w:left="720"/>
                                <w:rPr>
                                  <w:rFonts w:ascii="Arial" w:eastAsia="Calibri" w:hAnsi="Arial" w:cs="Arial"/>
                                  <w:b/>
                                  <w:color w:val="FFFFFF"/>
                                  <w:sz w:val="36"/>
                                  <w:szCs w:val="36"/>
                                </w:rPr>
                              </w:pPr>
                              <w:r>
                                <w:rPr>
                                  <w:rFonts w:ascii="Arial" w:eastAsia="Calibri" w:hAnsi="Arial" w:cs="Arial"/>
                                  <w:b/>
                                  <w:color w:val="FFFFFF"/>
                                  <w:sz w:val="36"/>
                                  <w:szCs w:val="36"/>
                                </w:rPr>
                                <w:t>Prepare for injection</w:t>
                              </w:r>
                            </w:p>
                          </w:txbxContent>
                        </wps:txbx>
                        <wps:bodyPr rot="0" vert="horz" wrap="square" lIns="91440" tIns="45720" rIns="91440" bIns="45720" anchor="ctr" anchorCtr="0" upright="1">
                          <a:noAutofit/>
                        </wps:bodyPr>
                      </wps:wsp>
                      <wps:wsp>
                        <wps:cNvPr id="20" name="Pentagon 14"/>
                        <wps:cNvSpPr>
                          <a:spLocks noChangeArrowheads="1"/>
                        </wps:cNvSpPr>
                        <wps:spPr bwMode="auto">
                          <a:xfrm>
                            <a:off x="0" y="0"/>
                            <a:ext cx="6191" cy="4476"/>
                          </a:xfrm>
                          <a:prstGeom prst="homePlate">
                            <a:avLst>
                              <a:gd name="adj" fmla="val 50005"/>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2</w:t>
                              </w:r>
                            </w:p>
                          </w:txbxContent>
                        </wps:txbx>
                        <wps:bodyPr rot="0" vert="horz" wrap="square" lIns="91440" tIns="45720" rIns="91440" bIns="45720" anchor="ctr" anchorCtr="0" upright="1">
                          <a:noAutofit/>
                        </wps:bodyPr>
                      </wps:wsp>
                    </wpg:wgp>
                  </a:graphicData>
                </a:graphic>
              </wp:inline>
            </w:drawing>
          </mc:Choice>
          <mc:Fallback>
            <w:pict>
              <v:group id="Group 12" o:spid="_x0000_s1033" style="width:451.3pt;height:33.85pt;mso-position-horizontal-relative:char;mso-position-vertical-relative:line" coordsize="53149,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">
                <v:shape id="Pentagon 13" o:spid="_x0000_s1034" type="#_x0000_t15" style="position:absolute;left:3429;width:49720;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XKcAA&#10;AADbAAAADwAAAGRycy9kb3ducmV2LnhtbERPTUvDQBC9F/wPywje2o0egsZuQ1UEi6dWDx6H7DQb&#10;kp0Nu5M2+uu7guBtHu9z1vXsB3WimLrABm5XBSjiJtiOWwOfH6/Le1BJkC0OgcnANyWoN1eLNVY2&#10;nHlPp4O0KodwqtCAExkrrVPjyGNahZE4c8cQPUqGsdU24jmH+0HfFUWpPXacGxyO9Oyo6Q+TN1DK&#10;vpy+kHZ9EyQWTl76p/cfY26u5+0jKKFZ/sV/7jeb5z/A7y/5AL2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CXKcAAAADbAAAADwAAAAAAAAAAAAAAAACYAgAAZHJzL2Rvd25y&#10;ZXYueG1sUEsFBgAAAAAEAAQA9QAAAIUDAAAAAA==&#10;" adj="20628" fillcolor="#a6a6a6" stroked="f" strokeweight="2pt">
                  <v:textbox>
                    <w:txbxContent>
                      <w:p w:rsidR="00553C06" w:rsidRDefault="00553C06" w:rsidP="0091469D">
                        <w:pPr>
                          <w:pStyle w:val="BodyText120"/>
                          <w:spacing w:after="0"/>
                          <w:ind w:left="720"/>
                          <w:rPr>
                            <w:rFonts w:ascii="Arial" w:eastAsia="Calibri" w:hAnsi="Arial" w:cs="Arial"/>
                            <w:b/>
                            <w:color w:val="FFFFFF"/>
                            <w:sz w:val="36"/>
                            <w:szCs w:val="36"/>
                          </w:rPr>
                        </w:pPr>
                        <w:r>
                          <w:rPr>
                            <w:rFonts w:ascii="Arial" w:eastAsia="Calibri" w:hAnsi="Arial" w:cs="Arial"/>
                            <w:b/>
                            <w:color w:val="FFFFFF"/>
                            <w:sz w:val="36"/>
                            <w:szCs w:val="36"/>
                          </w:rPr>
                          <w:t>Prepare for injection</w:t>
                        </w:r>
                      </w:p>
                    </w:txbxContent>
                  </v:textbox>
                </v:shape>
                <v:shape id="Pentagon 14" o:spid="_x0000_s1035" type="#_x0000_t15" style="position:absolute;width:6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wL8A&#10;AADbAAAADwAAAGRycy9kb3ducmV2LnhtbERPzWrCQBC+F3yHZYTe6sQgNURXEcHaU0vVBxizYzaa&#10;nQ3ZraZv3z0Uevz4/pfrwbXqzn1ovGiYTjJQLJU3jdQaTsfdSwEqRBJDrRfW8MMB1qvR05JK4x/y&#10;xfdDrFUKkVCSBhtjVyKGyrKjMPEdS+IuvncUE+xrND09UrhrMc+yV3TUSGqw1PHWcnU7fDsNZv5h&#10;rznOLvv4Nv/EsymOLRZaP4+HzQJU5CH+i//c70ZDntanL+kH4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9/AvwAAANsAAAAPAAAAAAAAAAAAAAAAAJgCAABkcnMvZG93bnJl&#10;di54bWxQSwUGAAAAAAQABAD1AAAAhAMAAAAA&#10;" adj="13791" fillcolor="black" stroked="f" strokeweight="2pt">
                  <v:textbo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2</w:t>
                        </w:r>
                      </w:p>
                    </w:txbxContent>
                  </v:textbox>
                </v:shape>
                <w10:anchorlock/>
              </v:group>
            </w:pict>
          </mc:Fallback>
        </mc:AlternateContent>
      </w:r>
    </w:p>
    <w:p w:rsidR="0091469D" w:rsidRDefault="0091469D" w:rsidP="0091469D">
      <w:pPr>
        <w:pStyle w:val="BodyText12"/>
      </w:pPr>
      <w:r>
        <w:rPr>
          <w:rFonts w:ascii="Verdana" w:eastAsia="Calibri" w:hAnsi="Verdana"/>
          <w:bCs/>
          <w:noProof/>
          <w:sz w:val="22"/>
          <w:szCs w:val="22"/>
          <w:lang w:val="en-AU" w:eastAsia="en-AU"/>
        </w:rPr>
        <mc:AlternateContent>
          <mc:Choice Requires="wpg">
            <w:drawing>
              <wp:inline distT="0" distB="0" distL="0" distR="0" wp14:anchorId="4E13B73B" wp14:editId="656931F7">
                <wp:extent cx="2999740" cy="7481045"/>
                <wp:effectExtent l="0" t="0" r="0" b="571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740" cy="7481045"/>
                          <a:chOff x="0" y="78828"/>
                          <a:chExt cx="3086100" cy="7819302"/>
                        </a:xfrm>
                      </wpg:grpSpPr>
                      <pic:pic xmlns:pic="http://schemas.openxmlformats.org/drawingml/2006/picture">
                        <pic:nvPicPr>
                          <pic:cNvPr id="5" name="Picture 8" descr="C:\Users\imoger1\AppData\Local\Microsoft\Windows\Temporary Internet Files\Content.Outlook\6F6IG8ZR\step2_d (3).jpg"/>
                          <pic:cNvPicPr>
                            <a:picLocks noChangeAspect="1"/>
                          </pic:cNvPicPr>
                        </pic:nvPicPr>
                        <pic:blipFill>
                          <a:blip r:embed="rId25" cstate="print">
                            <a:extLst>
                              <a:ext uri="{28A0092B-C50C-407E-A947-70E740481C1C}">
                                <a14:useLocalDpi xmlns:a14="http://schemas.microsoft.com/office/drawing/2010/main" val="0"/>
                              </a:ext>
                            </a:extLst>
                          </a:blip>
                          <a:srcRect t="983" b="1636"/>
                          <a:stretch>
                            <a:fillRect/>
                          </a:stretch>
                        </pic:blipFill>
                        <pic:spPr bwMode="auto">
                          <a:xfrm>
                            <a:off x="0" y="78828"/>
                            <a:ext cx="3086100" cy="781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ounded Rectangle 10"/>
                        <wps:cNvSpPr>
                          <a:spLocks/>
                        </wps:cNvSpPr>
                        <wps:spPr bwMode="auto">
                          <a:xfrm>
                            <a:off x="285750" y="5965011"/>
                            <a:ext cx="2428875" cy="1823294"/>
                          </a:xfrm>
                          <a:prstGeom prst="roundRect">
                            <a:avLst>
                              <a:gd name="adj" fmla="val 9338"/>
                            </a:avLst>
                          </a:prstGeom>
                          <a:solidFill>
                            <a:srgbClr val="FFFFFF"/>
                          </a:solidFill>
                          <a:ln w="25400" algn="ctr">
                            <a:solidFill>
                              <a:srgbClr val="BFBFBF"/>
                            </a:solidFill>
                            <a:round/>
                            <a:headEnd/>
                            <a:tailEnd/>
                          </a:ln>
                        </wps:spPr>
                        <wps:txbx>
                          <w:txbxContent>
                            <w:p w:rsidR="00553C06" w:rsidRPr="00A72BC5" w:rsidRDefault="00553C06" w:rsidP="0091469D">
                              <w:pPr>
                                <w:pStyle w:val="BodyText120"/>
                                <w:spacing w:after="0"/>
                                <w:jc w:val="left"/>
                                <w:rPr>
                                  <w:rFonts w:ascii="Arial" w:hAnsi="Arial" w:cs="Arial"/>
                                  <w:sz w:val="22"/>
                                  <w:szCs w:val="22"/>
                                </w:rPr>
                              </w:pPr>
                              <w:r w:rsidRPr="00A72BC5">
                                <w:rPr>
                                  <w:rFonts w:ascii="Arial" w:hAnsi="Arial" w:cs="Arial"/>
                                  <w:sz w:val="22"/>
                                  <w:szCs w:val="22"/>
                                </w:rPr>
                                <w:t xml:space="preserve">Proceed to the next step immediately after shaking. </w:t>
                              </w:r>
                              <w:r w:rsidRPr="00A72BC5">
                                <w:rPr>
                                  <w:rFonts w:ascii="Arial" w:hAnsi="Arial" w:cs="Arial"/>
                                  <w:b/>
                                  <w:sz w:val="22"/>
                                  <w:szCs w:val="22"/>
                                </w:rPr>
                                <w:t xml:space="preserve">If more than </w:t>
                              </w:r>
                              <w:r w:rsidRPr="00A72BC5">
                                <w:rPr>
                                  <w:rFonts w:ascii="Arial" w:hAnsi="Arial" w:cs="Arial"/>
                                  <w:b/>
                                  <w:sz w:val="22"/>
                                  <w:szCs w:val="22"/>
                                  <w:u w:val="single"/>
                                </w:rPr>
                                <w:t>5 minutes</w:t>
                              </w:r>
                              <w:r w:rsidRPr="00A72BC5">
                                <w:rPr>
                                  <w:rFonts w:ascii="Arial" w:hAnsi="Arial" w:cs="Arial"/>
                                  <w:b/>
                                  <w:sz w:val="22"/>
                                  <w:szCs w:val="22"/>
                                </w:rPr>
                                <w:t xml:space="preserve"> pass before injection, shake vigorously, with the syringe tip pointing up, again</w:t>
                              </w:r>
                              <w:r w:rsidRPr="00A72BC5">
                                <w:rPr>
                                  <w:rFonts w:ascii="Arial" w:hAnsi="Arial" w:cs="Arial"/>
                                  <w:sz w:val="22"/>
                                  <w:szCs w:val="22"/>
                                </w:rPr>
                                <w:t xml:space="preserve"> for at least 15 seconds to re</w:t>
                              </w:r>
                              <w:r w:rsidRPr="00A72BC5">
                                <w:rPr>
                                  <w:rFonts w:ascii="Arial" w:hAnsi="Arial" w:cs="Arial"/>
                                  <w:sz w:val="22"/>
                                  <w:szCs w:val="22"/>
                                </w:rPr>
                                <w:noBreakHyphen/>
                                <w:t>suspend the medication.</w:t>
                              </w:r>
                            </w:p>
                          </w:txbxContent>
                        </wps:txbx>
                        <wps:bodyPr rot="0" vert="horz" wrap="square" lIns="91440" tIns="45720" rIns="91440" bIns="45720" anchor="ctr" anchorCtr="0" upright="1">
                          <a:noAutofit/>
                        </wps:bodyPr>
                      </wps:wsp>
                      <wps:wsp>
                        <wps:cNvPr id="22" name="Text Box 10"/>
                        <wps:cNvSpPr txBox="1">
                          <a:spLocks noChangeArrowheads="1"/>
                        </wps:cNvSpPr>
                        <wps:spPr bwMode="auto">
                          <a:xfrm>
                            <a:off x="333375" y="3162074"/>
                            <a:ext cx="2381250" cy="28025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53C06" w:rsidRPr="00A72BC5" w:rsidRDefault="00553C06" w:rsidP="0091469D">
                              <w:pPr>
                                <w:pStyle w:val="BodyText120"/>
                                <w:keepNext/>
                                <w:spacing w:after="120"/>
                                <w:jc w:val="left"/>
                                <w:rPr>
                                  <w:rFonts w:ascii="Arial" w:eastAsia="Calibri" w:hAnsi="Arial" w:cs="Arial"/>
                                  <w:b/>
                                  <w:sz w:val="22"/>
                                  <w:szCs w:val="22"/>
                                </w:rPr>
                              </w:pPr>
                              <w:r w:rsidRPr="00A72BC5">
                                <w:rPr>
                                  <w:rFonts w:ascii="Arial" w:eastAsia="Calibri" w:hAnsi="Arial" w:cs="Arial"/>
                                  <w:b/>
                                  <w:sz w:val="22"/>
                                  <w:szCs w:val="22"/>
                                </w:rPr>
                                <w:t xml:space="preserve">SHAKE </w:t>
                              </w:r>
                              <w:r w:rsidRPr="00A72BC5">
                                <w:rPr>
                                  <w:rFonts w:ascii="Arial" w:eastAsia="Calibri" w:hAnsi="Arial" w:cs="Arial"/>
                                  <w:b/>
                                  <w:caps/>
                                  <w:sz w:val="22"/>
                                  <w:szCs w:val="22"/>
                                </w:rPr>
                                <w:t xml:space="preserve">vigorously </w:t>
                              </w:r>
                              <w:r w:rsidRPr="00A72BC5">
                                <w:rPr>
                                  <w:rFonts w:ascii="Arial" w:eastAsia="Calibri" w:hAnsi="Arial" w:cs="Arial"/>
                                  <w:b/>
                                  <w:sz w:val="22"/>
                                  <w:szCs w:val="22"/>
                                </w:rPr>
                                <w:br/>
                                <w:t>for at least 15 seconds</w:t>
                              </w:r>
                            </w:p>
                            <w:p w:rsidR="00553C06" w:rsidRPr="00A72BC5" w:rsidRDefault="00553C06" w:rsidP="0091469D">
                              <w:pPr>
                                <w:pStyle w:val="BodyText120"/>
                                <w:keepNext/>
                                <w:spacing w:after="120"/>
                                <w:jc w:val="left"/>
                                <w:rPr>
                                  <w:rFonts w:ascii="Arial" w:eastAsia="Calibri" w:hAnsi="Arial" w:cs="Arial"/>
                                  <w:sz w:val="22"/>
                                  <w:szCs w:val="22"/>
                                </w:rPr>
                              </w:pPr>
                              <w:r w:rsidRPr="00A72BC5">
                                <w:rPr>
                                  <w:rFonts w:ascii="Arial" w:eastAsia="Calibri" w:hAnsi="Arial" w:cs="Arial"/>
                                  <w:b/>
                                  <w:sz w:val="22"/>
                                  <w:szCs w:val="22"/>
                                </w:rPr>
                                <w:t>With the syringe tip pointing up,</w:t>
                              </w:r>
                              <w:r w:rsidRPr="00A72BC5">
                                <w:rPr>
                                  <w:rFonts w:ascii="Arial" w:eastAsia="Calibri" w:hAnsi="Arial" w:cs="Arial"/>
                                  <w:sz w:val="22"/>
                                  <w:szCs w:val="22"/>
                                </w:rPr>
                                <w:t xml:space="preserve"> SHAKE VIGOROUSLY with a </w:t>
                              </w:r>
                              <w:r w:rsidRPr="00A72BC5">
                                <w:rPr>
                                  <w:rFonts w:ascii="Arial" w:eastAsia="Calibri" w:hAnsi="Arial" w:cs="Arial"/>
                                  <w:b/>
                                  <w:sz w:val="22"/>
                                  <w:szCs w:val="22"/>
                                </w:rPr>
                                <w:t>loose wrist</w:t>
                              </w:r>
                              <w:r w:rsidRPr="00A72BC5">
                                <w:rPr>
                                  <w:rFonts w:ascii="Arial" w:eastAsia="Calibri" w:hAnsi="Arial" w:cs="Arial"/>
                                  <w:sz w:val="22"/>
                                  <w:szCs w:val="22"/>
                                </w:rPr>
                                <w:t xml:space="preserve"> for at least 15 seconds to ensure a homogeneous suspension.</w:t>
                              </w:r>
                            </w:p>
                            <w:p w:rsidR="00553C06" w:rsidRPr="00A72BC5" w:rsidRDefault="00553C06" w:rsidP="007B185E">
                              <w:pPr>
                                <w:pStyle w:val="BodyText120"/>
                                <w:keepNext/>
                                <w:jc w:val="center"/>
                                <w:rPr>
                                  <w:rFonts w:ascii="Arial" w:eastAsia="Calibri" w:hAnsi="Arial" w:cs="Arial"/>
                                  <w:spacing w:val="-2"/>
                                  <w:sz w:val="22"/>
                                  <w:szCs w:val="22"/>
                                </w:rPr>
                              </w:pPr>
                              <w:r w:rsidRPr="00A72BC5">
                                <w:rPr>
                                  <w:rFonts w:ascii="Arial" w:eastAsia="Calibri" w:hAnsi="Arial" w:cs="Arial"/>
                                  <w:b/>
                                  <w:caps/>
                                  <w:spacing w:val="5"/>
                                  <w:sz w:val="22"/>
                                  <w:szCs w:val="22"/>
                                </w:rPr>
                                <w:t>NOTE:</w:t>
                              </w:r>
                              <w:r w:rsidRPr="00A72BC5">
                                <w:rPr>
                                  <w:rFonts w:ascii="Arial" w:eastAsia="Calibri" w:hAnsi="Arial" w:cs="Arial"/>
                                  <w:sz w:val="22"/>
                                  <w:szCs w:val="22"/>
                                </w:rPr>
                                <w:t xml:space="preserve"> This medication requires longer and more vigorous shaking </w:t>
                              </w:r>
                              <w:r w:rsidRPr="00A72BC5">
                                <w:rPr>
                                  <w:rFonts w:ascii="Arial" w:eastAsia="Calibri" w:hAnsi="Arial" w:cs="Arial"/>
                                  <w:spacing w:val="-2"/>
                                  <w:sz w:val="22"/>
                                  <w:szCs w:val="22"/>
                                </w:rPr>
                                <w:t>than the 1</w:t>
                              </w:r>
                              <w:r w:rsidRPr="00A72BC5">
                                <w:rPr>
                                  <w:rFonts w:ascii="Arial" w:eastAsia="Calibri" w:hAnsi="Arial" w:cs="Arial"/>
                                  <w:spacing w:val="-2"/>
                                  <w:sz w:val="22"/>
                                  <w:szCs w:val="22"/>
                                </w:rPr>
                                <w:noBreakHyphen/>
                                <w:t xml:space="preserve">month paliperidone palmitate </w:t>
                              </w:r>
                              <w:r>
                                <w:rPr>
                                  <w:rFonts w:ascii="Arial" w:eastAsia="Calibri" w:hAnsi="Arial" w:cs="Arial"/>
                                  <w:spacing w:val="-2"/>
                                  <w:sz w:val="22"/>
                                  <w:szCs w:val="22"/>
                                </w:rPr>
                                <w:t>modified</w:t>
                              </w:r>
                              <w:r w:rsidRPr="00A72BC5">
                                <w:rPr>
                                  <w:rFonts w:ascii="Arial" w:eastAsia="Calibri" w:hAnsi="Arial" w:cs="Arial"/>
                                  <w:spacing w:val="-2"/>
                                  <w:sz w:val="22"/>
                                  <w:szCs w:val="22"/>
                                </w:rPr>
                                <w:noBreakHyphen/>
                                <w:t>release injectable suspension.</w:t>
                              </w:r>
                            </w:p>
                            <w:p w:rsidR="00553C06" w:rsidRPr="001E1011" w:rsidRDefault="00553C06" w:rsidP="0091469D"/>
                          </w:txbxContent>
                        </wps:txbx>
                        <wps:bodyPr rot="0" vert="horz" wrap="square" lIns="91440" tIns="45720" rIns="91440" bIns="45720" anchor="t" anchorCtr="0" upright="1">
                          <a:noAutofit/>
                        </wps:bodyPr>
                      </wps:wsp>
                      <pic:pic xmlns:pic="http://schemas.openxmlformats.org/drawingml/2006/picture">
                        <pic:nvPicPr>
                          <pic:cNvPr id="27" name="Picture 3" descr="GDS:Pharma:INVEGA SUSTENNA:Design:WordDoc_IFU_regulatory:images141028:exclamationMark_141028.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17352" y="5814268"/>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 o:spid="_x0000_s1036" style="width:236.2pt;height:589.05pt;mso-position-horizontal-relative:char;mso-position-vertical-relative:line" coordorigin=",788" coordsize="30861,78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">
                <v:shape id="Picture 8" o:spid="_x0000_s1037" type="#_x0000_t75" style="position:absolute;top:788;width:30861;height:78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2aW/AAAA2gAAAA8AAABkcnMvZG93bnJldi54bWxET8uKwjAU3Qv+Q7iCO00dfFGNooIwsxF8&#10;4PraXJtic1OaTK1/PxkQXB7Oe7lubSkaqn3hWMFomIAgzpwuOFdwOe8HcxA+IGssHZOCF3lYr7qd&#10;JabaPflIzSnkIoawT1GBCaFKpfSZIYt+6CriyN1dbTFEWOdS1/iM4baUX0kylRYLjg0GK9oZyh6n&#10;XxtnzB9T01wv2/F1dHvtDrOf+347UarfazcLEIHa8BG/3d9awQT+r0Q/y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JdmlvwAAANoAAAAPAAAAAAAAAAAAAAAAAJ8CAABk&#10;cnMvZG93bnJldi54bWxQSwUGAAAAAAQABAD3AAAAiwMAAAAA&#10;">
                  <v:imagedata r:id="rId26" o:title="step2_d (3)" croptop="644f" cropbottom="1072f"/>
                  <v:path arrowok="t"/>
                </v:shape>
                <v:roundrect id="Rounded Rectangle 10" o:spid="_x0000_s1038" style="position:absolute;left:2857;top:59650;width:24289;height:18233;visibility:visible;mso-wrap-style:square;v-text-anchor:middle" arcsize="61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4rsAA&#10;AADbAAAADwAAAGRycy9kb3ducmV2LnhtbESPzarCMBSE98J9h3AuuLOpiqK9RhFRcOvPwuWhObct&#10;Niclibb69EYQXA4z8w2zWHWmFndyvrKsYJikIIhzqysuFJxPu8EMhA/IGmvLpOBBHlbLn94CM21b&#10;PtD9GAoRIewzVFCG0GRS+rwkgz6xDXH0/q0zGKJ0hdQO2wg3tRyl6VQarDgulNjQpqT8erwZBYfn&#10;fJu7ib8G/ZyfbDpuJxduler/dus/EIG68A1/2nutYDSE9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g4rsAAAADbAAAADwAAAAAAAAAAAAAAAACYAgAAZHJzL2Rvd25y&#10;ZXYueG1sUEsFBgAAAAAEAAQA9QAAAIUDAAAAAA==&#10;" strokecolor="#bfbfbf" strokeweight="2pt">
                  <v:path arrowok="t"/>
                  <v:textbox>
                    <w:txbxContent>
                      <w:p w:rsidR="00553C06" w:rsidRPr="00A72BC5" w:rsidRDefault="00553C06" w:rsidP="0091469D">
                        <w:pPr>
                          <w:pStyle w:val="BodyText120"/>
                          <w:spacing w:after="0"/>
                          <w:jc w:val="left"/>
                          <w:rPr>
                            <w:rFonts w:ascii="Arial" w:hAnsi="Arial" w:cs="Arial"/>
                            <w:sz w:val="22"/>
                            <w:szCs w:val="22"/>
                          </w:rPr>
                        </w:pPr>
                        <w:r w:rsidRPr="00A72BC5">
                          <w:rPr>
                            <w:rFonts w:ascii="Arial" w:hAnsi="Arial" w:cs="Arial"/>
                            <w:sz w:val="22"/>
                            <w:szCs w:val="22"/>
                          </w:rPr>
                          <w:t xml:space="preserve">Proceed to the next step immediately after shaking. </w:t>
                        </w:r>
                        <w:r w:rsidRPr="00A72BC5">
                          <w:rPr>
                            <w:rFonts w:ascii="Arial" w:hAnsi="Arial" w:cs="Arial"/>
                            <w:b/>
                            <w:sz w:val="22"/>
                            <w:szCs w:val="22"/>
                          </w:rPr>
                          <w:t xml:space="preserve">If more than </w:t>
                        </w:r>
                        <w:r w:rsidRPr="00A72BC5">
                          <w:rPr>
                            <w:rFonts w:ascii="Arial" w:hAnsi="Arial" w:cs="Arial"/>
                            <w:b/>
                            <w:sz w:val="22"/>
                            <w:szCs w:val="22"/>
                            <w:u w:val="single"/>
                          </w:rPr>
                          <w:t>5 minutes</w:t>
                        </w:r>
                        <w:r w:rsidRPr="00A72BC5">
                          <w:rPr>
                            <w:rFonts w:ascii="Arial" w:hAnsi="Arial" w:cs="Arial"/>
                            <w:b/>
                            <w:sz w:val="22"/>
                            <w:szCs w:val="22"/>
                          </w:rPr>
                          <w:t xml:space="preserve"> pass before injection, shake vigorously, with the syringe tip pointing up, again</w:t>
                        </w:r>
                        <w:r w:rsidRPr="00A72BC5">
                          <w:rPr>
                            <w:rFonts w:ascii="Arial" w:hAnsi="Arial" w:cs="Arial"/>
                            <w:sz w:val="22"/>
                            <w:szCs w:val="22"/>
                          </w:rPr>
                          <w:t xml:space="preserve"> for at least 15 seconds to re</w:t>
                        </w:r>
                        <w:r w:rsidRPr="00A72BC5">
                          <w:rPr>
                            <w:rFonts w:ascii="Arial" w:hAnsi="Arial" w:cs="Arial"/>
                            <w:sz w:val="22"/>
                            <w:szCs w:val="22"/>
                          </w:rPr>
                          <w:noBreakHyphen/>
                          <w:t>suspend the medication.</w:t>
                        </w:r>
                      </w:p>
                    </w:txbxContent>
                  </v:textbox>
                </v:roundrect>
                <v:shape id="Text Box 10" o:spid="_x0000_s1039" type="#_x0000_t202" style="position:absolute;left:3333;top:31620;width:23813;height:28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I6MEA&#10;AADbAAAADwAAAGRycy9kb3ducmV2LnhtbESPT4vCMBTE78J+h/AWvGnasohUYxFB8CSs/86P5m1T&#10;tnkpSdTqpzcLCx6HmfkNs6wG24kb+dA6VpBPMxDEtdMtNwpOx+1kDiJEZI2dY1LwoADV6mO0xFK7&#10;O3/T7RAbkSAcSlRgYuxLKUNtyGKYup44eT/OW4xJ+kZqj/cEt50ssmwmLbacFgz2tDFU/x6uVsGl&#10;sc/LOe+90bb74v3zcTy5Vqnx57BegIg0xHf4v73TCooC/r6k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xCOjBAAAA2wAAAA8AAAAAAAAAAAAAAAAAmAIAAGRycy9kb3du&#10;cmV2LnhtbFBLBQYAAAAABAAEAPUAAACGAwAAAAA=&#10;" stroked="f" strokeweight=".5pt">
                  <v:textbox>
                    <w:txbxContent>
                      <w:p w:rsidR="00553C06" w:rsidRPr="00A72BC5" w:rsidRDefault="00553C06" w:rsidP="0091469D">
                        <w:pPr>
                          <w:pStyle w:val="BodyText120"/>
                          <w:keepNext/>
                          <w:spacing w:after="120"/>
                          <w:jc w:val="left"/>
                          <w:rPr>
                            <w:rFonts w:ascii="Arial" w:eastAsia="Calibri" w:hAnsi="Arial" w:cs="Arial"/>
                            <w:b/>
                            <w:sz w:val="22"/>
                            <w:szCs w:val="22"/>
                          </w:rPr>
                        </w:pPr>
                        <w:r w:rsidRPr="00A72BC5">
                          <w:rPr>
                            <w:rFonts w:ascii="Arial" w:eastAsia="Calibri" w:hAnsi="Arial" w:cs="Arial"/>
                            <w:b/>
                            <w:sz w:val="22"/>
                            <w:szCs w:val="22"/>
                          </w:rPr>
                          <w:t xml:space="preserve">SHAKE </w:t>
                        </w:r>
                        <w:r w:rsidRPr="00A72BC5">
                          <w:rPr>
                            <w:rFonts w:ascii="Arial" w:eastAsia="Calibri" w:hAnsi="Arial" w:cs="Arial"/>
                            <w:b/>
                            <w:caps/>
                            <w:sz w:val="22"/>
                            <w:szCs w:val="22"/>
                          </w:rPr>
                          <w:t xml:space="preserve">vigorously </w:t>
                        </w:r>
                        <w:r w:rsidRPr="00A72BC5">
                          <w:rPr>
                            <w:rFonts w:ascii="Arial" w:eastAsia="Calibri" w:hAnsi="Arial" w:cs="Arial"/>
                            <w:b/>
                            <w:sz w:val="22"/>
                            <w:szCs w:val="22"/>
                          </w:rPr>
                          <w:br/>
                          <w:t>for at least 15 seconds</w:t>
                        </w:r>
                      </w:p>
                      <w:p w:rsidR="00553C06" w:rsidRPr="00A72BC5" w:rsidRDefault="00553C06" w:rsidP="0091469D">
                        <w:pPr>
                          <w:pStyle w:val="BodyText120"/>
                          <w:keepNext/>
                          <w:spacing w:after="120"/>
                          <w:jc w:val="left"/>
                          <w:rPr>
                            <w:rFonts w:ascii="Arial" w:eastAsia="Calibri" w:hAnsi="Arial" w:cs="Arial"/>
                            <w:sz w:val="22"/>
                            <w:szCs w:val="22"/>
                          </w:rPr>
                        </w:pPr>
                        <w:r w:rsidRPr="00A72BC5">
                          <w:rPr>
                            <w:rFonts w:ascii="Arial" w:eastAsia="Calibri" w:hAnsi="Arial" w:cs="Arial"/>
                            <w:b/>
                            <w:sz w:val="22"/>
                            <w:szCs w:val="22"/>
                          </w:rPr>
                          <w:t>With the syringe tip pointing up,</w:t>
                        </w:r>
                        <w:r w:rsidRPr="00A72BC5">
                          <w:rPr>
                            <w:rFonts w:ascii="Arial" w:eastAsia="Calibri" w:hAnsi="Arial" w:cs="Arial"/>
                            <w:sz w:val="22"/>
                            <w:szCs w:val="22"/>
                          </w:rPr>
                          <w:t xml:space="preserve"> SHAKE VIGOROUSLY with a </w:t>
                        </w:r>
                        <w:r w:rsidRPr="00A72BC5">
                          <w:rPr>
                            <w:rFonts w:ascii="Arial" w:eastAsia="Calibri" w:hAnsi="Arial" w:cs="Arial"/>
                            <w:b/>
                            <w:sz w:val="22"/>
                            <w:szCs w:val="22"/>
                          </w:rPr>
                          <w:t>loose wrist</w:t>
                        </w:r>
                        <w:r w:rsidRPr="00A72BC5">
                          <w:rPr>
                            <w:rFonts w:ascii="Arial" w:eastAsia="Calibri" w:hAnsi="Arial" w:cs="Arial"/>
                            <w:sz w:val="22"/>
                            <w:szCs w:val="22"/>
                          </w:rPr>
                          <w:t xml:space="preserve"> for at least 15 seconds to ensure a homogeneous suspension.</w:t>
                        </w:r>
                      </w:p>
                      <w:p w:rsidR="00553C06" w:rsidRPr="00A72BC5" w:rsidRDefault="00553C06" w:rsidP="007B185E">
                        <w:pPr>
                          <w:pStyle w:val="BodyText120"/>
                          <w:keepNext/>
                          <w:jc w:val="center"/>
                          <w:rPr>
                            <w:rFonts w:ascii="Arial" w:eastAsia="Calibri" w:hAnsi="Arial" w:cs="Arial"/>
                            <w:spacing w:val="-2"/>
                            <w:sz w:val="22"/>
                            <w:szCs w:val="22"/>
                          </w:rPr>
                        </w:pPr>
                        <w:r w:rsidRPr="00A72BC5">
                          <w:rPr>
                            <w:rFonts w:ascii="Arial" w:eastAsia="Calibri" w:hAnsi="Arial" w:cs="Arial"/>
                            <w:b/>
                            <w:caps/>
                            <w:spacing w:val="5"/>
                            <w:sz w:val="22"/>
                            <w:szCs w:val="22"/>
                          </w:rPr>
                          <w:t>NOTE:</w:t>
                        </w:r>
                        <w:r w:rsidRPr="00A72BC5">
                          <w:rPr>
                            <w:rFonts w:ascii="Arial" w:eastAsia="Calibri" w:hAnsi="Arial" w:cs="Arial"/>
                            <w:sz w:val="22"/>
                            <w:szCs w:val="22"/>
                          </w:rPr>
                          <w:t xml:space="preserve"> This medication requires longer and more vigorous shaking </w:t>
                        </w:r>
                        <w:r w:rsidRPr="00A72BC5">
                          <w:rPr>
                            <w:rFonts w:ascii="Arial" w:eastAsia="Calibri" w:hAnsi="Arial" w:cs="Arial"/>
                            <w:spacing w:val="-2"/>
                            <w:sz w:val="22"/>
                            <w:szCs w:val="22"/>
                          </w:rPr>
                          <w:t>than the 1</w:t>
                        </w:r>
                        <w:r w:rsidRPr="00A72BC5">
                          <w:rPr>
                            <w:rFonts w:ascii="Arial" w:eastAsia="Calibri" w:hAnsi="Arial" w:cs="Arial"/>
                            <w:spacing w:val="-2"/>
                            <w:sz w:val="22"/>
                            <w:szCs w:val="22"/>
                          </w:rPr>
                          <w:noBreakHyphen/>
                          <w:t xml:space="preserve">month paliperidone palmitate </w:t>
                        </w:r>
                        <w:r>
                          <w:rPr>
                            <w:rFonts w:ascii="Arial" w:eastAsia="Calibri" w:hAnsi="Arial" w:cs="Arial"/>
                            <w:spacing w:val="-2"/>
                            <w:sz w:val="22"/>
                            <w:szCs w:val="22"/>
                          </w:rPr>
                          <w:t>modified</w:t>
                        </w:r>
                        <w:r w:rsidRPr="00A72BC5">
                          <w:rPr>
                            <w:rFonts w:ascii="Arial" w:eastAsia="Calibri" w:hAnsi="Arial" w:cs="Arial"/>
                            <w:spacing w:val="-2"/>
                            <w:sz w:val="22"/>
                            <w:szCs w:val="22"/>
                          </w:rPr>
                          <w:noBreakHyphen/>
                          <w:t>release injectable suspension.</w:t>
                        </w:r>
                      </w:p>
                      <w:p w:rsidR="00553C06" w:rsidRPr="001E1011" w:rsidRDefault="00553C06" w:rsidP="0091469D"/>
                    </w:txbxContent>
                  </v:textbox>
                </v:shape>
                <v:shape id="Picture 3" o:spid="_x0000_s1040" type="#_x0000_t75" alt="GDS:Pharma:INVEGA SUSTENNA:Design:WordDoc_IFU_regulatory:images141028:exclamationMark_141028.jpg" style="position:absolute;left:5173;top:58142;width:323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et/GAAAA2wAAAA8AAABkcnMvZG93bnJldi54bWxEj09rAjEUxO+FfofwCr1IzerB6rpRRCiU&#10;toKuBfX22Lz9g5uXJUl1/fZNoeBxmJnfMNmyN624kPONZQWjYQKCuLC64UrB9/7tZQrCB2SNrWVS&#10;cCMPy8XjQ4aptlfe0SUPlYgQ9ikqqEPoUil9UZNBP7QdcfRK6wyGKF0ltcNrhJtWjpNkIg02HBdq&#10;7GhdU3HOf4wC/YHT2eHrtN4Myn412Bp33Ow/lXp+6ldzEIH6cA//t9+1gvEr/H2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l638YAAADbAAAADwAAAAAAAAAAAAAA&#10;AACfAgAAZHJzL2Rvd25yZXYueG1sUEsFBgAAAAAEAAQA9wAAAJIDAAAAAA==&#10;">
                  <v:imagedata r:id="rId24" o:title="exclamationMark_141028"/>
                  <v:path arrowok="t"/>
                </v:shape>
                <w10:anchorlock/>
              </v:group>
            </w:pict>
          </mc:Fallback>
        </mc:AlternateContent>
      </w:r>
    </w:p>
    <w:p w:rsidR="0091469D" w:rsidRDefault="0091469D" w:rsidP="0091469D">
      <w:pPr>
        <w:pStyle w:val="Heading3"/>
        <w:ind w:left="720" w:hanging="720"/>
        <w:rPr>
          <w:rFonts w:eastAsia="Calibri"/>
        </w:rPr>
      </w:pPr>
    </w:p>
    <w:p w:rsidR="0091469D" w:rsidRDefault="0091469D" w:rsidP="0091469D">
      <w:pPr>
        <w:pStyle w:val="Heading3"/>
        <w:ind w:left="720" w:hanging="720"/>
        <w:rPr>
          <w:rFonts w:eastAsia="Calibri"/>
        </w:rPr>
      </w:pPr>
    </w:p>
    <w:p w:rsidR="0091469D" w:rsidRDefault="0091469D" w:rsidP="0091469D">
      <w:pPr>
        <w:pStyle w:val="Heading3"/>
        <w:ind w:left="720" w:hanging="720"/>
        <w:rPr>
          <w:rFonts w:eastAsia="Calibri"/>
        </w:rPr>
      </w:pPr>
    </w:p>
    <w:p w:rsidR="0091469D" w:rsidRDefault="0091469D" w:rsidP="0091469D">
      <w:pPr>
        <w:pStyle w:val="Heading3"/>
        <w:ind w:left="720" w:hanging="720"/>
        <w:rPr>
          <w:rFonts w:eastAsia="Calibri"/>
        </w:rPr>
      </w:pPr>
    </w:p>
    <w:p w:rsidR="0091469D" w:rsidRPr="00464F36" w:rsidRDefault="0091469D" w:rsidP="0091469D">
      <w:pPr>
        <w:pStyle w:val="Heading3"/>
        <w:ind w:left="720" w:hanging="720"/>
        <w:rPr>
          <w:rFonts w:eastAsia="Calibri"/>
        </w:rPr>
      </w:pPr>
      <w:r w:rsidRPr="00464F36">
        <w:rPr>
          <w:rFonts w:eastAsia="Calibri"/>
        </w:rPr>
        <w:t>Check suspension</w:t>
      </w:r>
    </w:p>
    <w:p w:rsidR="0091469D" w:rsidRDefault="0091469D" w:rsidP="0091469D">
      <w:pPr>
        <w:pStyle w:val="BodyText120"/>
        <w:jc w:val="center"/>
        <w:rPr>
          <w:rFonts w:eastAsia="Calibri"/>
          <w:noProof/>
        </w:rPr>
      </w:pPr>
      <w:bookmarkStart w:id="71" w:name="_Toc414272461"/>
      <w:r>
        <w:rPr>
          <w:rFonts w:eastAsia="Calibri"/>
          <w:noProof/>
          <w:lang w:val="en-AU" w:eastAsia="en-AU"/>
        </w:rPr>
        <w:drawing>
          <wp:inline distT="0" distB="0" distL="0" distR="0" wp14:anchorId="0FAEC147" wp14:editId="3E396D87">
            <wp:extent cx="2228850" cy="2466975"/>
            <wp:effectExtent l="0" t="0" r="0" b="9525"/>
            <wp:docPr id="32" name="Picture 6" descr="GDS:Pharma:INVEGA SUSTENNA:Design:WordDoc_IFU_regulatory:images:CheckSu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S:Pharma:INVEGA SUSTENNA:Design:WordDoc_IFU_regulatory:images:CheckSuspens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2466975"/>
                    </a:xfrm>
                    <a:prstGeom prst="rect">
                      <a:avLst/>
                    </a:prstGeom>
                    <a:noFill/>
                    <a:ln>
                      <a:noFill/>
                    </a:ln>
                  </pic:spPr>
                </pic:pic>
              </a:graphicData>
            </a:graphic>
          </wp:inline>
        </w:drawing>
      </w:r>
      <w:bookmarkEnd w:id="71"/>
    </w:p>
    <w:p w:rsidR="0091469D" w:rsidRPr="0091469D" w:rsidRDefault="0091469D" w:rsidP="0091469D">
      <w:pPr>
        <w:pStyle w:val="BodyText120"/>
        <w:spacing w:line="240" w:lineRule="auto"/>
        <w:rPr>
          <w:rFonts w:ascii="Arial" w:eastAsia="Calibri" w:hAnsi="Arial" w:cs="Arial"/>
          <w:sz w:val="22"/>
          <w:szCs w:val="22"/>
          <w:lang w:val="en-GB"/>
        </w:rPr>
      </w:pPr>
      <w:r w:rsidRPr="0091469D">
        <w:rPr>
          <w:rFonts w:ascii="Arial" w:eastAsia="Calibri" w:hAnsi="Arial" w:cs="Arial"/>
          <w:sz w:val="22"/>
          <w:szCs w:val="22"/>
          <w:lang w:val="en-GB"/>
        </w:rPr>
        <w:t xml:space="preserve">After shaking the syringe for at least 15 seconds, check the liquid in the viewing window. </w:t>
      </w:r>
    </w:p>
    <w:p w:rsidR="0091469D" w:rsidRPr="0091469D" w:rsidRDefault="0091469D" w:rsidP="0091469D">
      <w:pPr>
        <w:pStyle w:val="BodyText120"/>
        <w:spacing w:line="240" w:lineRule="auto"/>
        <w:rPr>
          <w:rFonts w:ascii="Arial" w:eastAsia="Calibri" w:hAnsi="Arial" w:cs="Arial"/>
          <w:sz w:val="22"/>
          <w:szCs w:val="22"/>
          <w:lang w:val="en-GB"/>
        </w:rPr>
      </w:pPr>
      <w:r w:rsidRPr="0091469D">
        <w:rPr>
          <w:rFonts w:ascii="Arial" w:eastAsia="Calibri" w:hAnsi="Arial" w:cs="Arial"/>
          <w:sz w:val="22"/>
          <w:szCs w:val="22"/>
          <w:lang w:val="en-GB"/>
        </w:rPr>
        <w:t>The suspension should appear uniform and milky white in colo</w:t>
      </w:r>
      <w:r w:rsidR="00A72BC5">
        <w:rPr>
          <w:rFonts w:ascii="Arial" w:eastAsia="Calibri" w:hAnsi="Arial" w:cs="Arial"/>
          <w:sz w:val="22"/>
          <w:szCs w:val="22"/>
          <w:lang w:val="en-GB"/>
        </w:rPr>
        <w:t>u</w:t>
      </w:r>
      <w:r w:rsidRPr="0091469D">
        <w:rPr>
          <w:rFonts w:ascii="Arial" w:eastAsia="Calibri" w:hAnsi="Arial" w:cs="Arial"/>
          <w:sz w:val="22"/>
          <w:szCs w:val="22"/>
          <w:lang w:val="en-GB"/>
        </w:rPr>
        <w:t xml:space="preserve">r. </w:t>
      </w:r>
    </w:p>
    <w:p w:rsidR="0091469D" w:rsidRPr="0091469D" w:rsidRDefault="0091469D" w:rsidP="0091469D">
      <w:pPr>
        <w:pStyle w:val="BodyText120"/>
        <w:spacing w:line="240" w:lineRule="auto"/>
        <w:rPr>
          <w:rFonts w:ascii="Arial" w:hAnsi="Arial" w:cs="Arial"/>
          <w:b/>
          <w:bCs/>
          <w:color w:val="000000"/>
          <w:sz w:val="22"/>
          <w:szCs w:val="22"/>
          <w:lang w:val="en-GB"/>
        </w:rPr>
      </w:pPr>
      <w:r w:rsidRPr="0091469D">
        <w:rPr>
          <w:rFonts w:ascii="Arial" w:eastAsia="Calibri" w:hAnsi="Arial" w:cs="Arial"/>
          <w:sz w:val="22"/>
          <w:szCs w:val="22"/>
          <w:lang w:val="en-GB"/>
        </w:rPr>
        <w:t xml:space="preserve">It is also normal to see small air bubbles.  </w:t>
      </w:r>
    </w:p>
    <w:p w:rsidR="0091469D" w:rsidRDefault="0091469D" w:rsidP="0091469D">
      <w:pPr>
        <w:widowControl w:val="0"/>
        <w:tabs>
          <w:tab w:val="left" w:pos="216"/>
          <w:tab w:val="left" w:pos="360"/>
          <w:tab w:val="left" w:pos="540"/>
        </w:tabs>
        <w:suppressAutoHyphens/>
        <w:autoSpaceDE w:val="0"/>
        <w:autoSpaceDN w:val="0"/>
        <w:adjustRightInd w:val="0"/>
        <w:spacing w:line="270" w:lineRule="atLeast"/>
        <w:textAlignment w:val="center"/>
        <w:rPr>
          <w:b/>
          <w:bCs/>
          <w:lang w:val="en-GB"/>
        </w:rPr>
      </w:pPr>
    </w:p>
    <w:p w:rsidR="0091469D" w:rsidRPr="00464F36" w:rsidRDefault="0091469D" w:rsidP="0091469D">
      <w:pPr>
        <w:pStyle w:val="Heading3"/>
        <w:ind w:left="720" w:hanging="720"/>
      </w:pPr>
      <w:r w:rsidRPr="00464F36">
        <w:t>Open needle pouch and remove cap</w:t>
      </w:r>
    </w:p>
    <w:p w:rsidR="0091469D" w:rsidRPr="0045513A" w:rsidRDefault="0091469D" w:rsidP="0091469D">
      <w:pPr>
        <w:widowControl w:val="0"/>
        <w:tabs>
          <w:tab w:val="left" w:pos="216"/>
          <w:tab w:val="left" w:pos="360"/>
          <w:tab w:val="left" w:pos="540"/>
        </w:tabs>
        <w:suppressAutoHyphens/>
        <w:autoSpaceDE w:val="0"/>
        <w:autoSpaceDN w:val="0"/>
        <w:adjustRightInd w:val="0"/>
        <w:spacing w:line="270" w:lineRule="atLeast"/>
        <w:textAlignment w:val="center"/>
        <w:rPr>
          <w:b/>
          <w:bCs/>
          <w:lang w:val="en-GB"/>
        </w:rPr>
      </w:pPr>
    </w:p>
    <w:p w:rsidR="0091469D" w:rsidRDefault="0091469D" w:rsidP="0091469D">
      <w:pPr>
        <w:pStyle w:val="BodyText12"/>
        <w:jc w:val="center"/>
        <w:rPr>
          <w:b/>
          <w:noProof/>
          <w:color w:val="FF0000"/>
        </w:rPr>
      </w:pPr>
      <w:r>
        <w:rPr>
          <w:b/>
          <w:noProof/>
          <w:color w:val="FF0000"/>
          <w:lang w:val="en-AU" w:eastAsia="en-AU"/>
        </w:rPr>
        <w:drawing>
          <wp:inline distT="0" distB="0" distL="0" distR="0" wp14:anchorId="3C2B9861" wp14:editId="6F818DE3">
            <wp:extent cx="2057400" cy="2266950"/>
            <wp:effectExtent l="0" t="0" r="0" b="0"/>
            <wp:docPr id="33" name="Picture 2" descr="GDS:Pharma:INVEGA SUSTENNA:Design:WordDoc_IFU_regulatory:images:openpuchAND remove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Pharma:INVEGA SUSTENNA:Design:WordDoc_IFU_regulatory:images:openpuchAND removec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266950"/>
                    </a:xfrm>
                    <a:prstGeom prst="rect">
                      <a:avLst/>
                    </a:prstGeom>
                    <a:noFill/>
                    <a:ln>
                      <a:noFill/>
                    </a:ln>
                  </pic:spPr>
                </pic:pic>
              </a:graphicData>
            </a:graphic>
          </wp:inline>
        </w:drawing>
      </w:r>
    </w:p>
    <w:p w:rsidR="0091469D" w:rsidRPr="0091469D" w:rsidRDefault="0091469D" w:rsidP="0091469D">
      <w:pPr>
        <w:pStyle w:val="BodyText120"/>
        <w:rPr>
          <w:rFonts w:ascii="Arial" w:hAnsi="Arial" w:cs="Arial"/>
          <w:sz w:val="22"/>
          <w:szCs w:val="22"/>
          <w:lang w:val="en-GB"/>
        </w:rPr>
      </w:pPr>
      <w:r w:rsidRPr="0091469D">
        <w:rPr>
          <w:rFonts w:ascii="Arial" w:hAnsi="Arial" w:cs="Arial"/>
          <w:sz w:val="22"/>
          <w:szCs w:val="22"/>
          <w:lang w:val="en-GB"/>
        </w:rPr>
        <w:t xml:space="preserve">First, open needle pouch by peeling the cover back half way. Place on a clean surface. </w:t>
      </w:r>
    </w:p>
    <w:p w:rsidR="0091469D" w:rsidRPr="0091469D" w:rsidRDefault="0091469D" w:rsidP="0091469D">
      <w:pPr>
        <w:pStyle w:val="BodyText120"/>
        <w:rPr>
          <w:rFonts w:ascii="Arial" w:hAnsi="Arial" w:cs="Arial"/>
          <w:sz w:val="22"/>
          <w:szCs w:val="22"/>
          <w:lang w:val="en-GB"/>
        </w:rPr>
      </w:pPr>
      <w:r w:rsidRPr="0091469D">
        <w:rPr>
          <w:rFonts w:ascii="Arial" w:hAnsi="Arial" w:cs="Arial"/>
          <w:sz w:val="22"/>
          <w:szCs w:val="22"/>
          <w:lang w:val="en-GB"/>
        </w:rPr>
        <w:t>Then, holding the syringe upright, twist and pull the rubber cap to remove.</w:t>
      </w:r>
    </w:p>
    <w:p w:rsidR="0091469D" w:rsidRDefault="0091469D" w:rsidP="0091469D">
      <w:pPr>
        <w:pStyle w:val="BodyText12"/>
      </w:pPr>
    </w:p>
    <w:p w:rsidR="0091469D" w:rsidRDefault="0091469D" w:rsidP="0091469D">
      <w:pPr>
        <w:pStyle w:val="Heading3"/>
        <w:ind w:left="720" w:hanging="720"/>
      </w:pPr>
    </w:p>
    <w:p w:rsidR="0091469D" w:rsidRDefault="0091469D" w:rsidP="0091469D">
      <w:pPr>
        <w:pStyle w:val="Heading3"/>
        <w:ind w:left="720" w:hanging="720"/>
      </w:pPr>
    </w:p>
    <w:p w:rsidR="0091469D" w:rsidRDefault="0091469D" w:rsidP="0091469D">
      <w:pPr>
        <w:pStyle w:val="Heading3"/>
        <w:ind w:left="720" w:hanging="720"/>
      </w:pPr>
    </w:p>
    <w:p w:rsidR="0091469D" w:rsidRDefault="0091469D" w:rsidP="0091469D">
      <w:pPr>
        <w:pStyle w:val="Heading3"/>
        <w:ind w:left="720" w:hanging="720"/>
      </w:pPr>
    </w:p>
    <w:p w:rsidR="0091469D" w:rsidRDefault="0091469D" w:rsidP="0091469D">
      <w:pPr>
        <w:pStyle w:val="Heading3"/>
        <w:ind w:left="720" w:hanging="720"/>
      </w:pPr>
    </w:p>
    <w:p w:rsidR="0091469D" w:rsidRDefault="0091469D" w:rsidP="0091469D">
      <w:pPr>
        <w:pStyle w:val="Heading3"/>
        <w:ind w:left="720" w:hanging="720"/>
      </w:pPr>
    </w:p>
    <w:p w:rsidR="0091469D" w:rsidRDefault="0091469D" w:rsidP="0091469D">
      <w:pPr>
        <w:pStyle w:val="Heading3"/>
        <w:ind w:left="720" w:hanging="720"/>
      </w:pPr>
    </w:p>
    <w:p w:rsidR="0091469D" w:rsidRDefault="0091469D" w:rsidP="0091469D">
      <w:pPr>
        <w:pStyle w:val="Heading3"/>
        <w:ind w:left="720" w:hanging="720"/>
      </w:pPr>
    </w:p>
    <w:p w:rsidR="0091469D" w:rsidRPr="00464F36" w:rsidRDefault="0091469D" w:rsidP="0091469D">
      <w:pPr>
        <w:pStyle w:val="Heading3"/>
        <w:ind w:left="720" w:hanging="720"/>
      </w:pPr>
      <w:r w:rsidRPr="00464F36">
        <w:t>Grasp needle pouch</w:t>
      </w:r>
    </w:p>
    <w:p w:rsidR="0091469D" w:rsidRDefault="0091469D" w:rsidP="0091469D">
      <w:pPr>
        <w:pStyle w:val="BodyText12"/>
        <w:keepNext/>
        <w:keepLines/>
        <w:jc w:val="center"/>
        <w:rPr>
          <w:rFonts w:ascii="Verdana" w:hAnsi="Verdana"/>
          <w:b/>
          <w:noProof/>
          <w:sz w:val="22"/>
          <w:szCs w:val="22"/>
        </w:rPr>
      </w:pPr>
      <w:r>
        <w:rPr>
          <w:rFonts w:ascii="Verdana" w:hAnsi="Verdana"/>
          <w:b/>
          <w:noProof/>
          <w:sz w:val="22"/>
          <w:szCs w:val="22"/>
          <w:lang w:val="en-AU" w:eastAsia="en-AU"/>
        </w:rPr>
        <w:drawing>
          <wp:inline distT="0" distB="0" distL="0" distR="0" wp14:anchorId="582D36B3" wp14:editId="599846D2">
            <wp:extent cx="2047875" cy="2219325"/>
            <wp:effectExtent l="0" t="0" r="9525" b="9525"/>
            <wp:docPr id="34" name="Picture 46" descr="GDS:Pharma:INVEGA SUSTENNA:Design:WordDoc_IFU_regulatory:images:Invega_Sustena_IFU_Illustrations_updated_140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DS:Pharma:INVEGA SUSTENNA:Design:WordDoc_IFU_regulatory:images:Invega_Sustena_IFU_Illustrations_updated_140619-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2219325"/>
                    </a:xfrm>
                    <a:prstGeom prst="rect">
                      <a:avLst/>
                    </a:prstGeom>
                    <a:noFill/>
                    <a:ln>
                      <a:noFill/>
                    </a:ln>
                  </pic:spPr>
                </pic:pic>
              </a:graphicData>
            </a:graphic>
          </wp:inline>
        </w:drawing>
      </w:r>
    </w:p>
    <w:p w:rsidR="0091469D" w:rsidRPr="0091469D" w:rsidRDefault="0091469D" w:rsidP="0091469D">
      <w:pPr>
        <w:pStyle w:val="BodyText120"/>
        <w:rPr>
          <w:rFonts w:ascii="Arial" w:hAnsi="Arial" w:cs="Arial"/>
          <w:sz w:val="22"/>
          <w:szCs w:val="22"/>
          <w:lang w:val="en-GB"/>
        </w:rPr>
      </w:pPr>
      <w:r w:rsidRPr="0091469D">
        <w:rPr>
          <w:rFonts w:ascii="Arial" w:hAnsi="Arial" w:cs="Arial"/>
          <w:sz w:val="22"/>
          <w:szCs w:val="22"/>
          <w:lang w:val="en-GB"/>
        </w:rPr>
        <w:t>Fold back needle cover and plastic tray. Then, firmly grasp the needle sheath through the pouch, as shown.</w:t>
      </w:r>
    </w:p>
    <w:p w:rsidR="0091469D" w:rsidRPr="00464F36" w:rsidRDefault="0091469D" w:rsidP="0091469D">
      <w:pPr>
        <w:pStyle w:val="Heading3"/>
        <w:ind w:left="720" w:hanging="720"/>
      </w:pPr>
      <w:r w:rsidRPr="00464F36">
        <w:rPr>
          <w:rFonts w:eastAsia="Calibri"/>
        </w:rPr>
        <w:t>Attach needle</w:t>
      </w:r>
    </w:p>
    <w:p w:rsidR="0091469D" w:rsidRDefault="0091469D" w:rsidP="0091469D">
      <w:pPr>
        <w:pStyle w:val="BodyText12"/>
        <w:jc w:val="center"/>
        <w:rPr>
          <w:noProof/>
        </w:rPr>
      </w:pPr>
      <w:r>
        <w:rPr>
          <w:noProof/>
          <w:lang w:val="en-AU" w:eastAsia="en-AU"/>
        </w:rPr>
        <w:drawing>
          <wp:inline distT="0" distB="0" distL="0" distR="0" wp14:anchorId="41E1BF4E" wp14:editId="0C74E516">
            <wp:extent cx="2219325" cy="2219325"/>
            <wp:effectExtent l="0" t="0" r="9525" b="9525"/>
            <wp:docPr id="35" name="Picture 47" descr="GDS:Pharma:INVEGA SUSTENNA:Design:WordDoc_IFU_regulatory:images:Invega_Sustena_IFU_Illustrations_updated_1406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DS:Pharma:INVEGA SUSTENNA:Design:WordDoc_IFU_regulatory:images:Invega_Sustena_IFU_Illustrations_updated_140619-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91469D" w:rsidRPr="0091469D" w:rsidRDefault="0091469D" w:rsidP="0091469D">
      <w:pPr>
        <w:pStyle w:val="BodyText120"/>
        <w:rPr>
          <w:rFonts w:ascii="Arial" w:eastAsia="Calibri" w:hAnsi="Arial" w:cs="Arial"/>
          <w:sz w:val="22"/>
          <w:szCs w:val="22"/>
          <w:lang w:val="en-GB"/>
        </w:rPr>
      </w:pPr>
      <w:r w:rsidRPr="0091469D">
        <w:rPr>
          <w:rFonts w:ascii="Arial" w:eastAsia="Calibri" w:hAnsi="Arial" w:cs="Arial"/>
          <w:sz w:val="22"/>
          <w:szCs w:val="22"/>
          <w:lang w:val="en-GB"/>
        </w:rPr>
        <w:t xml:space="preserve">With your other hand, hold the syringe by the luer connection and attach it to the safety needle with a gentle clockwise twisting motion. </w:t>
      </w:r>
    </w:p>
    <w:p w:rsidR="0091469D" w:rsidRPr="0091469D" w:rsidRDefault="0091469D" w:rsidP="0091469D">
      <w:pPr>
        <w:pStyle w:val="BodyText120"/>
        <w:rPr>
          <w:rFonts w:ascii="Arial" w:eastAsia="Calibri" w:hAnsi="Arial" w:cs="Arial"/>
          <w:sz w:val="22"/>
          <w:szCs w:val="22"/>
          <w:lang w:val="en-GB"/>
        </w:rPr>
      </w:pPr>
      <w:r w:rsidRPr="0091469D">
        <w:rPr>
          <w:rFonts w:ascii="Arial" w:eastAsia="Calibri" w:hAnsi="Arial" w:cs="Arial"/>
          <w:b/>
          <w:bCs/>
          <w:sz w:val="22"/>
          <w:szCs w:val="22"/>
          <w:lang w:val="en-GB"/>
        </w:rPr>
        <w:t>Do not</w:t>
      </w:r>
      <w:r w:rsidRPr="0091469D">
        <w:rPr>
          <w:rFonts w:ascii="Arial" w:eastAsia="Calibri" w:hAnsi="Arial" w:cs="Arial"/>
          <w:sz w:val="22"/>
          <w:szCs w:val="22"/>
          <w:lang w:val="en-GB"/>
        </w:rPr>
        <w:t xml:space="preserve"> remove the pouch until the syringe and needle are securely attached.</w:t>
      </w:r>
    </w:p>
    <w:p w:rsidR="0091469D" w:rsidRDefault="0091469D" w:rsidP="0091469D">
      <w:pPr>
        <w:pStyle w:val="Heading3"/>
        <w:rPr>
          <w:rFonts w:eastAsia="Calibri"/>
        </w:rPr>
      </w:pPr>
    </w:p>
    <w:p w:rsidR="0091469D" w:rsidRDefault="0091469D" w:rsidP="0091469D">
      <w:pPr>
        <w:pStyle w:val="Heading3"/>
        <w:rPr>
          <w:rFonts w:eastAsia="Calibri"/>
        </w:rPr>
      </w:pPr>
    </w:p>
    <w:p w:rsidR="0091469D" w:rsidRDefault="0091469D" w:rsidP="0091469D">
      <w:pPr>
        <w:pStyle w:val="Heading3"/>
        <w:rPr>
          <w:rFonts w:eastAsia="Calibri"/>
        </w:rPr>
      </w:pPr>
    </w:p>
    <w:p w:rsidR="0091469D" w:rsidRDefault="0091469D" w:rsidP="0091469D">
      <w:pPr>
        <w:pStyle w:val="Heading3"/>
        <w:rPr>
          <w:rFonts w:eastAsia="Calibri"/>
        </w:rPr>
      </w:pPr>
    </w:p>
    <w:p w:rsidR="0091469D" w:rsidRDefault="0091469D" w:rsidP="0091469D">
      <w:pPr>
        <w:pStyle w:val="Heading3"/>
        <w:rPr>
          <w:rFonts w:eastAsia="Calibri"/>
        </w:rPr>
      </w:pPr>
    </w:p>
    <w:p w:rsidR="0091469D" w:rsidRDefault="0091469D" w:rsidP="0091469D">
      <w:pPr>
        <w:pStyle w:val="Heading3"/>
        <w:rPr>
          <w:rFonts w:eastAsia="Calibri"/>
        </w:rPr>
      </w:pPr>
    </w:p>
    <w:p w:rsidR="0091469D" w:rsidRDefault="0091469D" w:rsidP="0091469D">
      <w:pPr>
        <w:pStyle w:val="Heading3"/>
        <w:rPr>
          <w:rFonts w:eastAsia="Calibri"/>
        </w:rPr>
      </w:pPr>
      <w:bookmarkStart w:id="72" w:name="_GoBack"/>
      <w:bookmarkEnd w:id="72"/>
    </w:p>
    <w:p w:rsidR="0091469D" w:rsidRPr="00464F36" w:rsidRDefault="0091469D" w:rsidP="0091469D">
      <w:pPr>
        <w:pStyle w:val="Heading3"/>
        <w:rPr>
          <w:rFonts w:eastAsia="Calibri"/>
        </w:rPr>
      </w:pPr>
      <w:r w:rsidRPr="00464F36">
        <w:rPr>
          <w:rFonts w:eastAsia="Calibri"/>
        </w:rPr>
        <w:t>Remove needle sheath</w:t>
      </w:r>
    </w:p>
    <w:p w:rsidR="0091469D" w:rsidRDefault="0091469D" w:rsidP="0091469D">
      <w:pPr>
        <w:pStyle w:val="BodyText12"/>
        <w:keepNext/>
        <w:keepLines/>
        <w:jc w:val="center"/>
        <w:rPr>
          <w:rFonts w:ascii="Verdana" w:hAnsi="Verdana"/>
          <w:b/>
          <w:noProof/>
          <w:sz w:val="22"/>
          <w:szCs w:val="22"/>
        </w:rPr>
      </w:pPr>
      <w:r>
        <w:rPr>
          <w:rFonts w:ascii="Verdana" w:hAnsi="Verdana"/>
          <w:b/>
          <w:noProof/>
          <w:sz w:val="22"/>
          <w:szCs w:val="22"/>
          <w:lang w:val="en-AU" w:eastAsia="en-AU"/>
        </w:rPr>
        <w:drawing>
          <wp:inline distT="0" distB="0" distL="0" distR="0" wp14:anchorId="7B8536FC" wp14:editId="409B5204">
            <wp:extent cx="2047875" cy="2219325"/>
            <wp:effectExtent l="0" t="0" r="9525" b="9525"/>
            <wp:docPr id="36" name="Picture 48" descr="GDS:Pharma:INVEGA SUSTENNA:Design:WordDoc_IFU_regulatory:images:Invega_Sustena_IFU_Illustrations_updated_1406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DS:Pharma:INVEGA SUSTENNA:Design:WordDoc_IFU_regulatory:images:Invega_Sustena_IFU_Illustrations_updated_140619-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875" cy="2219325"/>
                    </a:xfrm>
                    <a:prstGeom prst="rect">
                      <a:avLst/>
                    </a:prstGeom>
                    <a:noFill/>
                    <a:ln>
                      <a:noFill/>
                    </a:ln>
                  </pic:spPr>
                </pic:pic>
              </a:graphicData>
            </a:graphic>
          </wp:inline>
        </w:drawing>
      </w:r>
    </w:p>
    <w:p w:rsidR="0091469D" w:rsidRPr="0091469D" w:rsidRDefault="0091469D" w:rsidP="0091469D">
      <w:pPr>
        <w:pStyle w:val="BodyText120"/>
        <w:rPr>
          <w:rFonts w:ascii="Arial" w:eastAsia="Calibri" w:hAnsi="Arial" w:cs="Arial"/>
          <w:sz w:val="22"/>
          <w:szCs w:val="22"/>
          <w:lang w:val="en-GB"/>
        </w:rPr>
      </w:pPr>
      <w:r w:rsidRPr="0091469D">
        <w:rPr>
          <w:rFonts w:ascii="Arial" w:eastAsia="Calibri" w:hAnsi="Arial" w:cs="Arial"/>
          <w:sz w:val="22"/>
          <w:szCs w:val="22"/>
          <w:lang w:val="en-GB"/>
        </w:rPr>
        <w:t xml:space="preserve">Pull the needle sheath away from the needle in a straight motion. </w:t>
      </w:r>
    </w:p>
    <w:p w:rsidR="0091469D" w:rsidRPr="0091469D" w:rsidRDefault="0091469D" w:rsidP="0091469D">
      <w:pPr>
        <w:pStyle w:val="BodyText120"/>
        <w:rPr>
          <w:rFonts w:ascii="Arial" w:hAnsi="Arial" w:cs="Arial"/>
          <w:b/>
          <w:sz w:val="22"/>
          <w:szCs w:val="22"/>
        </w:rPr>
      </w:pPr>
      <w:r w:rsidRPr="0091469D">
        <w:rPr>
          <w:rFonts w:ascii="Arial" w:eastAsia="Calibri" w:hAnsi="Arial" w:cs="Arial"/>
          <w:b/>
          <w:bCs/>
          <w:sz w:val="22"/>
          <w:szCs w:val="22"/>
          <w:lang w:val="en-GB"/>
        </w:rPr>
        <w:t>Do not</w:t>
      </w:r>
      <w:r w:rsidRPr="0091469D">
        <w:rPr>
          <w:rFonts w:ascii="Arial" w:eastAsia="Calibri" w:hAnsi="Arial" w:cs="Arial"/>
          <w:sz w:val="22"/>
          <w:szCs w:val="22"/>
          <w:lang w:val="en-GB"/>
        </w:rPr>
        <w:t xml:space="preserve"> twist the sheath, as this may loosen the needle from the syringe.</w:t>
      </w:r>
    </w:p>
    <w:p w:rsidR="0091469D" w:rsidRDefault="0091469D" w:rsidP="0091469D">
      <w:pPr>
        <w:pStyle w:val="BodyText120"/>
        <w:rPr>
          <w:rFonts w:eastAsia="Calibri"/>
          <w:b/>
          <w:bCs/>
          <w:lang w:val="en-GB"/>
        </w:rPr>
      </w:pPr>
    </w:p>
    <w:p w:rsidR="0091469D" w:rsidRPr="00464F36" w:rsidRDefault="0091469D" w:rsidP="0091469D">
      <w:pPr>
        <w:pStyle w:val="Heading3"/>
        <w:ind w:left="720" w:hanging="720"/>
        <w:rPr>
          <w:rFonts w:eastAsia="Calibri"/>
        </w:rPr>
      </w:pPr>
      <w:r w:rsidRPr="00464F36">
        <w:rPr>
          <w:rFonts w:eastAsia="Calibri"/>
        </w:rPr>
        <w:t>Remove air bubbles</w:t>
      </w:r>
    </w:p>
    <w:p w:rsidR="0091469D" w:rsidRDefault="0091469D" w:rsidP="0091469D">
      <w:pPr>
        <w:pStyle w:val="BodyText12"/>
        <w:jc w:val="center"/>
        <w:rPr>
          <w:b/>
          <w:noProof/>
        </w:rPr>
      </w:pPr>
      <w:r>
        <w:rPr>
          <w:b/>
          <w:noProof/>
          <w:lang w:val="en-AU" w:eastAsia="en-AU"/>
        </w:rPr>
        <w:drawing>
          <wp:inline distT="0" distB="0" distL="0" distR="0" wp14:anchorId="21A62FA8" wp14:editId="7F7F0F74">
            <wp:extent cx="2047875" cy="2219325"/>
            <wp:effectExtent l="0" t="0" r="9525" b="9525"/>
            <wp:docPr id="37" name="Picture 49" descr="GDS:Pharma:INVEGA SUSTENNA:Design:WordDoc_IFU_regulatory:images:Invega_Sustena_IFU_Illustrations_updated_1406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DS:Pharma:INVEGA SUSTENNA:Design:WordDoc_IFU_regulatory:images:Invega_Sustena_IFU_Illustrations_updated_140619-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7875" cy="2219325"/>
                    </a:xfrm>
                    <a:prstGeom prst="rect">
                      <a:avLst/>
                    </a:prstGeom>
                    <a:noFill/>
                    <a:ln>
                      <a:noFill/>
                    </a:ln>
                  </pic:spPr>
                </pic:pic>
              </a:graphicData>
            </a:graphic>
          </wp:inline>
        </w:drawing>
      </w:r>
    </w:p>
    <w:p w:rsidR="0091469D" w:rsidRPr="0091469D" w:rsidRDefault="0091469D" w:rsidP="0091469D">
      <w:pPr>
        <w:widowControl w:val="0"/>
        <w:tabs>
          <w:tab w:val="left" w:pos="216"/>
          <w:tab w:val="left" w:pos="360"/>
          <w:tab w:val="left" w:pos="540"/>
        </w:tabs>
        <w:suppressAutoHyphens/>
        <w:autoSpaceDE w:val="0"/>
        <w:autoSpaceDN w:val="0"/>
        <w:adjustRightInd w:val="0"/>
        <w:spacing w:before="40" w:after="80" w:line="270" w:lineRule="atLeast"/>
        <w:textAlignment w:val="center"/>
        <w:rPr>
          <w:rFonts w:eastAsia="Calibri"/>
          <w:lang w:val="en-GB"/>
        </w:rPr>
      </w:pPr>
      <w:r w:rsidRPr="0091469D">
        <w:rPr>
          <w:rFonts w:eastAsia="Calibri"/>
          <w:lang w:val="en-GB"/>
        </w:rPr>
        <w:t xml:space="preserve">Hold the syringe upright and tap gently to make any air bubbles rise to the top. </w:t>
      </w:r>
    </w:p>
    <w:p w:rsidR="0091469D" w:rsidRDefault="0091469D" w:rsidP="0091469D">
      <w:pPr>
        <w:widowControl w:val="0"/>
        <w:tabs>
          <w:tab w:val="left" w:pos="216"/>
          <w:tab w:val="left" w:pos="360"/>
          <w:tab w:val="left" w:pos="540"/>
        </w:tabs>
        <w:suppressAutoHyphens/>
        <w:autoSpaceDE w:val="0"/>
        <w:autoSpaceDN w:val="0"/>
        <w:adjustRightInd w:val="0"/>
        <w:spacing w:after="158" w:line="240" w:lineRule="atLeast"/>
        <w:textAlignment w:val="center"/>
        <w:rPr>
          <w:rFonts w:eastAsia="Calibri"/>
          <w:lang w:val="en-GB"/>
        </w:rPr>
      </w:pPr>
      <w:r w:rsidRPr="0091469D">
        <w:rPr>
          <w:rFonts w:eastAsia="Calibri"/>
          <w:lang w:val="en-GB"/>
        </w:rPr>
        <w:t>Remove air by pressing the plunger rod upward carefully until a drop of liquid comes out of the needle tip.</w:t>
      </w:r>
    </w:p>
    <w:p w:rsidR="0091469D" w:rsidRDefault="0091469D">
      <w:pPr>
        <w:rPr>
          <w:rFonts w:eastAsia="Calibri"/>
          <w:lang w:val="en-GB"/>
        </w:rPr>
      </w:pPr>
      <w:r>
        <w:rPr>
          <w:rFonts w:eastAsia="Calibri"/>
          <w:lang w:val="en-GB"/>
        </w:rPr>
        <w:br w:type="page"/>
      </w:r>
    </w:p>
    <w:p w:rsidR="0091469D" w:rsidRPr="0091469D" w:rsidRDefault="0091469D" w:rsidP="0091469D">
      <w:pPr>
        <w:widowControl w:val="0"/>
        <w:tabs>
          <w:tab w:val="left" w:pos="216"/>
          <w:tab w:val="left" w:pos="360"/>
          <w:tab w:val="left" w:pos="540"/>
        </w:tabs>
        <w:suppressAutoHyphens/>
        <w:autoSpaceDE w:val="0"/>
        <w:autoSpaceDN w:val="0"/>
        <w:adjustRightInd w:val="0"/>
        <w:spacing w:after="158" w:line="240" w:lineRule="atLeast"/>
        <w:textAlignment w:val="center"/>
        <w:rPr>
          <w:rFonts w:eastAsia="Calibri"/>
          <w:lang w:val="en-GB"/>
        </w:rPr>
      </w:pPr>
    </w:p>
    <w:p w:rsidR="0091469D" w:rsidRDefault="0091469D" w:rsidP="0091469D">
      <w:pPr>
        <w:keepNext/>
        <w:keepLines/>
        <w:widowControl w:val="0"/>
        <w:tabs>
          <w:tab w:val="left" w:pos="216"/>
          <w:tab w:val="left" w:pos="360"/>
          <w:tab w:val="left" w:pos="540"/>
        </w:tabs>
        <w:autoSpaceDE w:val="0"/>
        <w:autoSpaceDN w:val="0"/>
        <w:adjustRightInd w:val="0"/>
        <w:spacing w:before="40" w:after="40" w:line="270" w:lineRule="atLeast"/>
        <w:textAlignment w:val="center"/>
        <w:rPr>
          <w:rFonts w:eastAsia="Calibri"/>
          <w:b/>
          <w:bCs/>
          <w:lang w:val="en-GB"/>
        </w:rPr>
      </w:pPr>
      <w:r>
        <w:rPr>
          <w:noProof/>
          <w:lang w:eastAsia="en-AU"/>
        </w:rPr>
        <mc:AlternateContent>
          <mc:Choice Requires="wpg">
            <w:drawing>
              <wp:inline distT="0" distB="0" distL="0" distR="0" wp14:anchorId="4880C3A9" wp14:editId="0EDF013D">
                <wp:extent cx="5731510" cy="429260"/>
                <wp:effectExtent l="0" t="0" r="2540" b="8890"/>
                <wp:docPr id="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29260"/>
                          <a:chOff x="0" y="0"/>
                          <a:chExt cx="53149" cy="4476"/>
                        </a:xfrm>
                      </wpg:grpSpPr>
                      <wps:wsp>
                        <wps:cNvPr id="57" name="Pentagon 25"/>
                        <wps:cNvSpPr>
                          <a:spLocks noChangeArrowheads="1"/>
                        </wps:cNvSpPr>
                        <wps:spPr bwMode="auto">
                          <a:xfrm>
                            <a:off x="3429" y="0"/>
                            <a:ext cx="49720" cy="4476"/>
                          </a:xfrm>
                          <a:prstGeom prst="homePlate">
                            <a:avLst>
                              <a:gd name="adj" fmla="val 49987"/>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ind w:left="720"/>
                                <w:rPr>
                                  <w:rFonts w:ascii="Arial" w:hAnsi="Arial" w:cs="Arial"/>
                                  <w:b/>
                                  <w:color w:val="FFFFFF"/>
                                  <w:sz w:val="36"/>
                                  <w:szCs w:val="36"/>
                                </w:rPr>
                              </w:pPr>
                              <w:r>
                                <w:rPr>
                                  <w:rFonts w:ascii="Arial" w:eastAsia="Calibri" w:hAnsi="Arial" w:cs="Arial"/>
                                  <w:b/>
                                  <w:color w:val="FFFFFF"/>
                                  <w:sz w:val="36"/>
                                  <w:szCs w:val="36"/>
                                </w:rPr>
                                <w:t>Inject</w:t>
                              </w:r>
                            </w:p>
                          </w:txbxContent>
                        </wps:txbx>
                        <wps:bodyPr rot="0" vert="horz" wrap="square" lIns="91440" tIns="45720" rIns="91440" bIns="45720" anchor="ctr" anchorCtr="0" upright="1">
                          <a:noAutofit/>
                        </wps:bodyPr>
                      </wps:wsp>
                      <wps:wsp>
                        <wps:cNvPr id="58" name="Pentagon 41"/>
                        <wps:cNvSpPr>
                          <a:spLocks noChangeArrowheads="1"/>
                        </wps:cNvSpPr>
                        <wps:spPr bwMode="auto">
                          <a:xfrm>
                            <a:off x="0" y="0"/>
                            <a:ext cx="6191" cy="4476"/>
                          </a:xfrm>
                          <a:prstGeom prst="homePlate">
                            <a:avLst>
                              <a:gd name="adj" fmla="val 50005"/>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3</w:t>
                              </w:r>
                            </w:p>
                          </w:txbxContent>
                        </wps:txbx>
                        <wps:bodyPr rot="0" vert="horz" wrap="square" lIns="91440" tIns="45720" rIns="91440" bIns="45720" anchor="ctr" anchorCtr="0" upright="1">
                          <a:noAutofit/>
                        </wps:bodyPr>
                      </wps:wsp>
                    </wpg:wgp>
                  </a:graphicData>
                </a:graphic>
              </wp:inline>
            </w:drawing>
          </mc:Choice>
          <mc:Fallback>
            <w:pict>
              <v:group id="Group 24" o:spid="_x0000_s1041" style="width:451.3pt;height:33.8pt;mso-position-horizontal-relative:char;mso-position-vertical-relative:line" coordsize="53149,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">
                <v:shape id="Pentagon 25" o:spid="_x0000_s1042" type="#_x0000_t15" style="position:absolute;left:3429;width:49720;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fAMMA&#10;AADbAAAADwAAAGRycy9kb3ducmV2LnhtbESPQUsDMRSE7wX/Q3iCtzZrwa2sTYtWBMVTWw8eH5vn&#10;ZtnNy5K8tmt/fSMIPQ4z8w2zXI++V0eKqQ1s4H5WgCKug225MfC1f5s+gkqCbLEPTAZ+KcF6dTNZ&#10;YmXDibd03EmjMoRThQacyFBpnWpHHtMsDMTZ+wnRo2QZG20jnjLc93peFKX22HJecDjQxlHd7Q7e&#10;QCnb8vCN9NHVQWLh5LV7+Twbc3c7Pj+BEhrlGv5vv1sDDwv4+5J/gF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fAMMAAADbAAAADwAAAAAAAAAAAAAAAACYAgAAZHJzL2Rv&#10;d25yZXYueG1sUEsFBgAAAAAEAAQA9QAAAIgDAAAAAA==&#10;" adj="20628" fillcolor="#a6a6a6" stroked="f" strokeweight="2pt">
                  <v:textbox>
                    <w:txbxContent>
                      <w:p w:rsidR="00553C06" w:rsidRDefault="00553C06" w:rsidP="0091469D">
                        <w:pPr>
                          <w:pStyle w:val="BodyText120"/>
                          <w:spacing w:after="0"/>
                          <w:ind w:left="720"/>
                          <w:rPr>
                            <w:rFonts w:ascii="Arial" w:hAnsi="Arial" w:cs="Arial"/>
                            <w:b/>
                            <w:color w:val="FFFFFF"/>
                            <w:sz w:val="36"/>
                            <w:szCs w:val="36"/>
                          </w:rPr>
                        </w:pPr>
                        <w:r>
                          <w:rPr>
                            <w:rFonts w:ascii="Arial" w:eastAsia="Calibri" w:hAnsi="Arial" w:cs="Arial"/>
                            <w:b/>
                            <w:color w:val="FFFFFF"/>
                            <w:sz w:val="36"/>
                            <w:szCs w:val="36"/>
                          </w:rPr>
                          <w:t>Inject</w:t>
                        </w:r>
                      </w:p>
                    </w:txbxContent>
                  </v:textbox>
                </v:shape>
                <v:shape id="Pentagon 41" o:spid="_x0000_s1043" type="#_x0000_t15" style="position:absolute;width:6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u8AA&#10;AADbAAAADwAAAGRycy9kb3ducmV2LnhtbERPzWrCQBC+F3yHZQRvdaJoDdFVpFDrqaXaBxizYzaa&#10;nQ3ZVdO37x4KPX58/6tN7xp15y7UXjRMxhkoltKbWioN38e35xxUiCSGGi+s4YcDbNaDpxUVxj/k&#10;i++HWKkUIqEgDTbGtkAMpWVHYexblsSdfecoJthVaDp6pHDX4DTLXtBRLanBUsuvlsvr4eY0mMWH&#10;vUxxdn6Pu8Unnkx+bDDXejTst0tQkfv4L/5z742GeRqbvq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gu8AAAADbAAAADwAAAAAAAAAAAAAAAACYAgAAZHJzL2Rvd25y&#10;ZXYueG1sUEsFBgAAAAAEAAQA9QAAAIUDAAAAAA==&#10;" adj="13791" fillcolor="black" stroked="f" strokeweight="2pt">
                  <v:textbo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3</w:t>
                        </w:r>
                      </w:p>
                    </w:txbxContent>
                  </v:textbox>
                </v:shape>
                <w10:anchorlock/>
              </v:group>
            </w:pict>
          </mc:Fallback>
        </mc:AlternateContent>
      </w:r>
    </w:p>
    <w:p w:rsidR="0091469D" w:rsidRDefault="0091469D" w:rsidP="0091469D">
      <w:pPr>
        <w:pStyle w:val="Heading3"/>
        <w:ind w:left="720" w:hanging="720"/>
        <w:rPr>
          <w:rFonts w:eastAsia="Calibri"/>
        </w:rPr>
      </w:pPr>
    </w:p>
    <w:p w:rsidR="0091469D" w:rsidRPr="00464F36" w:rsidRDefault="0091469D" w:rsidP="0091469D">
      <w:pPr>
        <w:pStyle w:val="Heading3"/>
        <w:ind w:left="720" w:hanging="720"/>
        <w:rPr>
          <w:rFonts w:eastAsia="Calibri"/>
        </w:rPr>
      </w:pPr>
      <w:r w:rsidRPr="00464F36">
        <w:rPr>
          <w:rFonts w:eastAsia="Calibri"/>
        </w:rPr>
        <w:t>Inject dose</w:t>
      </w:r>
    </w:p>
    <w:p w:rsidR="0091469D" w:rsidRDefault="00C33874" w:rsidP="0091469D">
      <w:pPr>
        <w:keepNext/>
        <w:keepLines/>
        <w:widowControl w:val="0"/>
        <w:tabs>
          <w:tab w:val="left" w:pos="216"/>
          <w:tab w:val="left" w:pos="360"/>
          <w:tab w:val="left" w:pos="540"/>
        </w:tabs>
        <w:autoSpaceDE w:val="0"/>
        <w:autoSpaceDN w:val="0"/>
        <w:adjustRightInd w:val="0"/>
        <w:spacing w:after="158" w:line="240" w:lineRule="atLeast"/>
        <w:jc w:val="center"/>
        <w:textAlignment w:val="center"/>
        <w:rPr>
          <w:rFonts w:ascii="Verdana" w:hAnsi="Verdana"/>
          <w:noProof/>
        </w:rPr>
      </w:pPr>
      <w:r>
        <w:rPr>
          <w:rFonts w:ascii="Verdana" w:hAnsi="Verdana"/>
          <w:noProof/>
          <w:lang w:eastAsia="en-AU"/>
        </w:rPr>
        <w:drawing>
          <wp:inline distT="0" distB="0" distL="0" distR="0" wp14:anchorId="1C3F48A5" wp14:editId="42D2A05B">
            <wp:extent cx="2244725" cy="2434590"/>
            <wp:effectExtent l="0" t="0" r="3175" b="3810"/>
            <wp:docPr id="11" name="Picture 11" descr="Invega_Sustena_IFU_Illustrations_EUPI_CCDS_15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ga_Sustena_IFU_Illustrations_EUPI_CCDS_1507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4725" cy="2434590"/>
                    </a:xfrm>
                    <a:prstGeom prst="rect">
                      <a:avLst/>
                    </a:prstGeom>
                    <a:noFill/>
                    <a:ln>
                      <a:noFill/>
                    </a:ln>
                  </pic:spPr>
                </pic:pic>
              </a:graphicData>
            </a:graphic>
          </wp:inline>
        </w:drawing>
      </w:r>
    </w:p>
    <w:p w:rsidR="0091469D" w:rsidRPr="0091469D" w:rsidRDefault="0091469D" w:rsidP="0091469D">
      <w:pPr>
        <w:pStyle w:val="BodyText120"/>
        <w:rPr>
          <w:rFonts w:ascii="Arial" w:eastAsia="Calibri" w:hAnsi="Arial" w:cs="Arial"/>
          <w:sz w:val="22"/>
          <w:szCs w:val="22"/>
          <w:lang w:val="en-GB"/>
        </w:rPr>
      </w:pPr>
      <w:r w:rsidRPr="0091469D">
        <w:rPr>
          <w:rFonts w:ascii="Arial" w:eastAsia="Calibri" w:hAnsi="Arial" w:cs="Arial"/>
          <w:b/>
          <w:sz w:val="22"/>
          <w:szCs w:val="22"/>
          <w:lang w:val="en-GB"/>
        </w:rPr>
        <w:t>Slowly inject the entire contents of the syringe</w:t>
      </w:r>
      <w:r w:rsidRPr="0091469D">
        <w:rPr>
          <w:rFonts w:ascii="Arial" w:eastAsia="Calibri" w:hAnsi="Arial" w:cs="Arial"/>
          <w:sz w:val="22"/>
          <w:szCs w:val="22"/>
          <w:lang w:val="en-GB"/>
        </w:rPr>
        <w:t xml:space="preserve"> </w:t>
      </w:r>
      <w:r w:rsidRPr="0091469D">
        <w:rPr>
          <w:rFonts w:ascii="Arial" w:eastAsia="Calibri" w:hAnsi="Arial" w:cs="Arial"/>
          <w:bCs/>
          <w:sz w:val="22"/>
          <w:szCs w:val="22"/>
          <w:lang w:val="en-GB"/>
        </w:rPr>
        <w:t>intramuscularly, deep</w:t>
      </w:r>
      <w:r w:rsidRPr="0091469D">
        <w:rPr>
          <w:rFonts w:ascii="Arial" w:eastAsia="Calibri" w:hAnsi="Arial" w:cs="Arial"/>
          <w:sz w:val="22"/>
          <w:szCs w:val="22"/>
          <w:lang w:val="en-GB"/>
        </w:rPr>
        <w:t xml:space="preserve"> into the selected deltoid or gluteal muscle.</w:t>
      </w:r>
    </w:p>
    <w:p w:rsidR="0091469D" w:rsidRPr="0091469D" w:rsidRDefault="0091469D" w:rsidP="0091469D">
      <w:pPr>
        <w:pStyle w:val="BodyText120"/>
        <w:rPr>
          <w:rFonts w:ascii="Arial" w:hAnsi="Arial" w:cs="Arial"/>
          <w:b/>
          <w:sz w:val="22"/>
          <w:szCs w:val="22"/>
        </w:rPr>
      </w:pPr>
      <w:r w:rsidRPr="0091469D">
        <w:rPr>
          <w:rFonts w:ascii="Arial" w:hAnsi="Arial" w:cs="Arial"/>
          <w:b/>
          <w:sz w:val="22"/>
          <w:szCs w:val="22"/>
        </w:rPr>
        <w:t>Do not administer by any other route.</w:t>
      </w:r>
    </w:p>
    <w:p w:rsidR="0091469D" w:rsidRDefault="0091469D" w:rsidP="0091469D">
      <w:pPr>
        <w:pStyle w:val="BodyText120"/>
        <w:rPr>
          <w:b/>
        </w:rPr>
      </w:pPr>
    </w:p>
    <w:p w:rsidR="0091469D" w:rsidRDefault="0091469D" w:rsidP="0091469D">
      <w:pPr>
        <w:widowControl w:val="0"/>
        <w:tabs>
          <w:tab w:val="left" w:pos="216"/>
          <w:tab w:val="left" w:pos="360"/>
          <w:tab w:val="left" w:pos="540"/>
        </w:tabs>
        <w:suppressAutoHyphens/>
        <w:autoSpaceDE w:val="0"/>
        <w:autoSpaceDN w:val="0"/>
        <w:adjustRightInd w:val="0"/>
        <w:spacing w:after="158" w:line="240" w:lineRule="atLeast"/>
        <w:textAlignment w:val="center"/>
        <w:rPr>
          <w:rFonts w:ascii="Verdana" w:hAnsi="Verdana"/>
          <w:noProof/>
        </w:rPr>
      </w:pPr>
      <w:r>
        <w:rPr>
          <w:noProof/>
          <w:lang w:eastAsia="en-AU"/>
        </w:rPr>
        <mc:AlternateContent>
          <mc:Choice Requires="wpg">
            <w:drawing>
              <wp:inline distT="0" distB="0" distL="0" distR="0" wp14:anchorId="255EA8AA" wp14:editId="3B7940EC">
                <wp:extent cx="5731510" cy="429260"/>
                <wp:effectExtent l="0" t="0" r="2540" b="8890"/>
                <wp:docPr id="6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29260"/>
                          <a:chOff x="0" y="0"/>
                          <a:chExt cx="53149" cy="4476"/>
                        </a:xfrm>
                      </wpg:grpSpPr>
                      <wps:wsp>
                        <wps:cNvPr id="61" name="Pentagon 43"/>
                        <wps:cNvSpPr>
                          <a:spLocks noChangeArrowheads="1"/>
                        </wps:cNvSpPr>
                        <wps:spPr bwMode="auto">
                          <a:xfrm>
                            <a:off x="3429" y="0"/>
                            <a:ext cx="49720" cy="4476"/>
                          </a:xfrm>
                          <a:prstGeom prst="homePlate">
                            <a:avLst>
                              <a:gd name="adj" fmla="val 49987"/>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ind w:left="720"/>
                                <w:rPr>
                                  <w:rFonts w:ascii="Arial" w:eastAsia="Calibri" w:hAnsi="Arial" w:cs="Arial"/>
                                  <w:b/>
                                  <w:color w:val="FFFFFF"/>
                                  <w:sz w:val="36"/>
                                  <w:szCs w:val="36"/>
                                </w:rPr>
                              </w:pPr>
                              <w:r>
                                <w:rPr>
                                  <w:rFonts w:ascii="Arial" w:eastAsia="Calibri" w:hAnsi="Arial" w:cs="Arial"/>
                                  <w:b/>
                                  <w:color w:val="FFFFFF"/>
                                  <w:sz w:val="36"/>
                                  <w:szCs w:val="36"/>
                                </w:rPr>
                                <w:t>After injection</w:t>
                              </w:r>
                            </w:p>
                          </w:txbxContent>
                        </wps:txbx>
                        <wps:bodyPr rot="0" vert="horz" wrap="square" lIns="91440" tIns="45720" rIns="91440" bIns="45720" anchor="ctr" anchorCtr="0" upright="1">
                          <a:noAutofit/>
                        </wps:bodyPr>
                      </wps:wsp>
                      <wps:wsp>
                        <wps:cNvPr id="62" name="Pentagon 44"/>
                        <wps:cNvSpPr>
                          <a:spLocks noChangeArrowheads="1"/>
                        </wps:cNvSpPr>
                        <wps:spPr bwMode="auto">
                          <a:xfrm>
                            <a:off x="0" y="0"/>
                            <a:ext cx="6191" cy="4476"/>
                          </a:xfrm>
                          <a:prstGeom prst="homePlate">
                            <a:avLst>
                              <a:gd name="adj" fmla="val 50005"/>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4</w:t>
                              </w:r>
                            </w:p>
                          </w:txbxContent>
                        </wps:txbx>
                        <wps:bodyPr rot="0" vert="horz" wrap="square" lIns="91440" tIns="45720" rIns="91440" bIns="45720" anchor="ctr" anchorCtr="0" upright="1">
                          <a:noAutofit/>
                        </wps:bodyPr>
                      </wps:wsp>
                    </wpg:wgp>
                  </a:graphicData>
                </a:graphic>
              </wp:inline>
            </w:drawing>
          </mc:Choice>
          <mc:Fallback>
            <w:pict>
              <v:group id="Group 42" o:spid="_x0000_s1044" style="width:451.3pt;height:33.8pt;mso-position-horizontal-relative:char;mso-position-vertical-relative:line" coordsize="53149,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">
                <v:shape id="Pentagon 43" o:spid="_x0000_s1045" type="#_x0000_t15" style="position:absolute;left:3429;width:49720;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oUsIA&#10;AADbAAAADwAAAGRycy9kb3ducmV2LnhtbESPT2sCMRTE70K/Q3gFb5rVw1K2RukfBKUnbQ89Pjav&#10;m2U3L0vy1NVPbwqFHoeZ3wyz2oy+V2eKqQ1sYDEvQBHXwbbcGPj63M6eQCVBttgHJgNXSrBZP0xW&#10;WNlw4QOdj9KoXMKpQgNOZKi0TrUjj2keBuLs/YToUbKMjbYRL7nc93pZFKX22HJecDjQm6O6O568&#10;gVIO5ekbad/VQWLh5L17/bgZM30cX55BCY3yH/6jdzZzC/j9kn+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OhSwgAAANsAAAAPAAAAAAAAAAAAAAAAAJgCAABkcnMvZG93&#10;bnJldi54bWxQSwUGAAAAAAQABAD1AAAAhwMAAAAA&#10;" adj="20628" fillcolor="#a6a6a6" stroked="f" strokeweight="2pt">
                  <v:textbox>
                    <w:txbxContent>
                      <w:p w:rsidR="00553C06" w:rsidRDefault="00553C06" w:rsidP="0091469D">
                        <w:pPr>
                          <w:pStyle w:val="BodyText120"/>
                          <w:spacing w:after="0"/>
                          <w:ind w:left="720"/>
                          <w:rPr>
                            <w:rFonts w:ascii="Arial" w:eastAsia="Calibri" w:hAnsi="Arial" w:cs="Arial"/>
                            <w:b/>
                            <w:color w:val="FFFFFF"/>
                            <w:sz w:val="36"/>
                            <w:szCs w:val="36"/>
                          </w:rPr>
                        </w:pPr>
                        <w:r>
                          <w:rPr>
                            <w:rFonts w:ascii="Arial" w:eastAsia="Calibri" w:hAnsi="Arial" w:cs="Arial"/>
                            <w:b/>
                            <w:color w:val="FFFFFF"/>
                            <w:sz w:val="36"/>
                            <w:szCs w:val="36"/>
                          </w:rPr>
                          <w:t>After injection</w:t>
                        </w:r>
                      </w:p>
                    </w:txbxContent>
                  </v:textbox>
                </v:shape>
                <v:shape id="Pentagon 44" o:spid="_x0000_s1046" type="#_x0000_t15" style="position:absolute;width:619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d7MMA&#10;AADbAAAADwAAAGRycy9kb3ducmV2LnhtbESPUWvCQBCE34X+h2MLfdONoWhIPUUE2z5Zqv6AbW7N&#10;RXN7IXfV9N/3hEIfh5n5hlmsBteqK/eh8aJhOslAsVTeNFJrOB624wJUiCSGWi+s4YcDrJYPowWV&#10;xt/kk6/7WKsEkVCSBhtjVyKGyrKjMPEdS/JOvncUk+xrND3dEty1mGfZDB01khYsdbyxXF32306D&#10;me/sOcfn01t8nX/glykOLRZaPz0O6xdQkYf4H/5rvxsNsxzu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td7MMAAADbAAAADwAAAAAAAAAAAAAAAACYAgAAZHJzL2Rv&#10;d25yZXYueG1sUEsFBgAAAAAEAAQA9QAAAIgDAAAAAA==&#10;" adj="13791" fillcolor="black" stroked="f" strokeweight="2pt">
                  <v:textbox>
                    <w:txbxContent>
                      <w:p w:rsidR="00553C06" w:rsidRDefault="00553C06" w:rsidP="0091469D">
                        <w:pPr>
                          <w:pStyle w:val="BodyText120"/>
                          <w:spacing w:after="0"/>
                          <w:jc w:val="center"/>
                          <w:rPr>
                            <w:rFonts w:ascii="Arial" w:eastAsia="Calibri" w:hAnsi="Arial" w:cs="Arial"/>
                            <w:b/>
                            <w:color w:val="FFFFFF"/>
                            <w:sz w:val="36"/>
                            <w:szCs w:val="36"/>
                          </w:rPr>
                        </w:pPr>
                        <w:r>
                          <w:rPr>
                            <w:rFonts w:ascii="Arial" w:eastAsia="Calibri" w:hAnsi="Arial" w:cs="Arial"/>
                            <w:b/>
                            <w:color w:val="FFFFFF"/>
                            <w:sz w:val="36"/>
                            <w:szCs w:val="36"/>
                          </w:rPr>
                          <w:t>4</w:t>
                        </w:r>
                      </w:p>
                    </w:txbxContent>
                  </v:textbox>
                </v:shape>
                <w10:anchorlock/>
              </v:group>
            </w:pict>
          </mc:Fallback>
        </mc:AlternateContent>
      </w:r>
    </w:p>
    <w:p w:rsidR="0091469D" w:rsidRPr="00592F83" w:rsidRDefault="0091469D" w:rsidP="0091469D">
      <w:pPr>
        <w:pStyle w:val="Heading3"/>
        <w:ind w:left="720" w:hanging="720"/>
        <w:rPr>
          <w:rFonts w:eastAsia="Calibri"/>
        </w:rPr>
      </w:pPr>
      <w:r w:rsidRPr="00592F83">
        <w:rPr>
          <w:rFonts w:eastAsia="Calibri"/>
        </w:rPr>
        <w:t>Secure needle</w:t>
      </w:r>
    </w:p>
    <w:p w:rsidR="0091469D" w:rsidRDefault="0091469D" w:rsidP="0091469D">
      <w:pPr>
        <w:widowControl w:val="0"/>
        <w:tabs>
          <w:tab w:val="left" w:pos="216"/>
          <w:tab w:val="left" w:pos="360"/>
          <w:tab w:val="left" w:pos="540"/>
        </w:tabs>
        <w:suppressAutoHyphens/>
        <w:autoSpaceDE w:val="0"/>
        <w:autoSpaceDN w:val="0"/>
        <w:adjustRightInd w:val="0"/>
        <w:spacing w:after="158" w:line="240" w:lineRule="atLeast"/>
        <w:jc w:val="center"/>
        <w:textAlignment w:val="center"/>
        <w:rPr>
          <w:rFonts w:ascii="Verdana" w:hAnsi="Verdana"/>
          <w:noProof/>
        </w:rPr>
      </w:pPr>
      <w:r>
        <w:rPr>
          <w:rFonts w:ascii="Verdana" w:hAnsi="Verdana"/>
          <w:noProof/>
          <w:lang w:eastAsia="en-AU"/>
        </w:rPr>
        <w:drawing>
          <wp:inline distT="0" distB="0" distL="0" distR="0" wp14:anchorId="35BC7C4B" wp14:editId="1AF92BEE">
            <wp:extent cx="2219325" cy="2219325"/>
            <wp:effectExtent l="0" t="0" r="9525" b="9525"/>
            <wp:docPr id="39" name="Picture 51" descr="GDS:Pharma:INVEGA SUSTENNA:Design:WordDoc_IFU_regulatory:images:Invega_Sustena_IFU_Illustrations_updated_140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DS:Pharma:INVEGA SUSTENNA:Design:WordDoc_IFU_regulatory:images:Invega_Sustena_IFU_Illustrations_updated_140619-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91469D" w:rsidRPr="00351CB2" w:rsidRDefault="0091469D" w:rsidP="0091469D">
      <w:pPr>
        <w:widowControl w:val="0"/>
        <w:tabs>
          <w:tab w:val="left" w:pos="216"/>
          <w:tab w:val="left" w:pos="360"/>
          <w:tab w:val="left" w:pos="540"/>
        </w:tabs>
        <w:suppressAutoHyphens/>
        <w:autoSpaceDE w:val="0"/>
        <w:autoSpaceDN w:val="0"/>
        <w:adjustRightInd w:val="0"/>
        <w:spacing w:before="40" w:after="80" w:line="270" w:lineRule="atLeast"/>
        <w:textAlignment w:val="center"/>
        <w:rPr>
          <w:rFonts w:eastAsia="Calibri"/>
          <w:lang w:val="en-GB"/>
        </w:rPr>
      </w:pPr>
      <w:r w:rsidRPr="00351CB2">
        <w:rPr>
          <w:rFonts w:eastAsia="Calibri"/>
          <w:lang w:val="en-GB"/>
        </w:rPr>
        <w:t>After the injection is complete,</w:t>
      </w:r>
      <w:r>
        <w:rPr>
          <w:rFonts w:eastAsia="Calibri"/>
          <w:lang w:val="en-GB"/>
        </w:rPr>
        <w:t xml:space="preserve"> </w:t>
      </w:r>
      <w:r w:rsidRPr="00351CB2">
        <w:rPr>
          <w:rFonts w:eastAsia="Calibri"/>
          <w:lang w:val="en-GB"/>
        </w:rPr>
        <w:t>use y</w:t>
      </w:r>
      <w:r>
        <w:rPr>
          <w:rFonts w:eastAsia="Calibri"/>
          <w:lang w:val="en-GB"/>
        </w:rPr>
        <w:t xml:space="preserve">our thumb or a flat surface to </w:t>
      </w:r>
      <w:r w:rsidRPr="00351CB2">
        <w:rPr>
          <w:rFonts w:eastAsia="Calibri"/>
          <w:lang w:val="en-GB"/>
        </w:rPr>
        <w:t>secure the needle in the safety device.</w:t>
      </w:r>
      <w:r>
        <w:rPr>
          <w:rFonts w:eastAsia="Calibri"/>
          <w:lang w:val="en-GB"/>
        </w:rPr>
        <w:t xml:space="preserve"> </w:t>
      </w:r>
      <w:r w:rsidRPr="00351CB2">
        <w:rPr>
          <w:rFonts w:eastAsia="Calibri"/>
          <w:lang w:val="en-GB"/>
        </w:rPr>
        <w:t>The needle is secure when a</w:t>
      </w:r>
      <w:r>
        <w:rPr>
          <w:rFonts w:eastAsia="Calibri"/>
          <w:lang w:val="en-GB"/>
        </w:rPr>
        <w:t xml:space="preserve"> </w:t>
      </w:r>
      <w:r w:rsidRPr="00351CB2">
        <w:rPr>
          <w:rFonts w:eastAsia="Calibri"/>
          <w:lang w:val="en-GB"/>
        </w:rPr>
        <w:t>“click” sound is heard.</w:t>
      </w:r>
    </w:p>
    <w:p w:rsidR="0091469D" w:rsidRDefault="0091469D" w:rsidP="0091469D">
      <w:pPr>
        <w:pStyle w:val="Heading3"/>
        <w:ind w:left="720" w:hanging="720"/>
        <w:rPr>
          <w:rFonts w:eastAsia="Calibri"/>
        </w:rPr>
      </w:pPr>
    </w:p>
    <w:p w:rsidR="0091469D" w:rsidRDefault="0091469D" w:rsidP="0091469D">
      <w:pPr>
        <w:pStyle w:val="Heading3"/>
        <w:ind w:left="720" w:hanging="720"/>
        <w:rPr>
          <w:rFonts w:eastAsia="Calibri"/>
        </w:rPr>
      </w:pPr>
    </w:p>
    <w:p w:rsidR="0091469D" w:rsidRDefault="0091469D" w:rsidP="0091469D">
      <w:pPr>
        <w:pStyle w:val="Heading3"/>
        <w:ind w:left="720" w:hanging="720"/>
        <w:rPr>
          <w:rFonts w:eastAsia="Calibri"/>
        </w:rPr>
      </w:pPr>
    </w:p>
    <w:p w:rsidR="0091469D" w:rsidRDefault="0091469D" w:rsidP="0091469D">
      <w:pPr>
        <w:pStyle w:val="Heading3"/>
        <w:ind w:left="720" w:hanging="720"/>
        <w:rPr>
          <w:rFonts w:eastAsia="Calibri"/>
        </w:rPr>
      </w:pPr>
    </w:p>
    <w:p w:rsidR="0091469D" w:rsidRPr="00592F83" w:rsidRDefault="0091469D" w:rsidP="0091469D">
      <w:pPr>
        <w:pStyle w:val="Heading3"/>
        <w:ind w:left="720" w:hanging="720"/>
        <w:rPr>
          <w:rFonts w:eastAsia="Calibri"/>
        </w:rPr>
      </w:pPr>
      <w:r w:rsidRPr="00592F83">
        <w:rPr>
          <w:rFonts w:eastAsia="Calibri"/>
        </w:rPr>
        <w:t>Dispose properly</w:t>
      </w:r>
    </w:p>
    <w:p w:rsidR="0091469D" w:rsidRDefault="0091469D" w:rsidP="0091469D">
      <w:pPr>
        <w:widowControl w:val="0"/>
        <w:tabs>
          <w:tab w:val="left" w:pos="216"/>
          <w:tab w:val="left" w:pos="360"/>
          <w:tab w:val="left" w:pos="540"/>
        </w:tabs>
        <w:suppressAutoHyphens/>
        <w:autoSpaceDE w:val="0"/>
        <w:autoSpaceDN w:val="0"/>
        <w:adjustRightInd w:val="0"/>
        <w:spacing w:after="158" w:line="240" w:lineRule="atLeast"/>
        <w:textAlignment w:val="center"/>
        <w:rPr>
          <w:rFonts w:ascii="Verdana" w:eastAsia="Calibri" w:hAnsi="Verdana" w:cs="BentonSans-Regular"/>
          <w:lang w:val="en-GB"/>
        </w:rPr>
      </w:pPr>
    </w:p>
    <w:p w:rsidR="0091469D" w:rsidRDefault="0091469D" w:rsidP="0091469D">
      <w:pPr>
        <w:widowControl w:val="0"/>
        <w:tabs>
          <w:tab w:val="left" w:pos="216"/>
          <w:tab w:val="left" w:pos="360"/>
          <w:tab w:val="left" w:pos="540"/>
        </w:tabs>
        <w:suppressAutoHyphens/>
        <w:autoSpaceDE w:val="0"/>
        <w:autoSpaceDN w:val="0"/>
        <w:adjustRightInd w:val="0"/>
        <w:spacing w:after="158" w:line="240" w:lineRule="atLeast"/>
        <w:jc w:val="center"/>
        <w:textAlignment w:val="center"/>
        <w:rPr>
          <w:rFonts w:ascii="Verdana" w:hAnsi="Verdana"/>
          <w:b/>
          <w:noProof/>
          <w:color w:val="FF0000"/>
        </w:rPr>
      </w:pPr>
      <w:r>
        <w:rPr>
          <w:rFonts w:ascii="Verdana" w:hAnsi="Verdana"/>
          <w:b/>
          <w:noProof/>
          <w:color w:val="FF0000"/>
          <w:lang w:eastAsia="en-AU"/>
        </w:rPr>
        <w:drawing>
          <wp:inline distT="0" distB="0" distL="0" distR="0" wp14:anchorId="64170567" wp14:editId="6237263E">
            <wp:extent cx="2124075" cy="2276475"/>
            <wp:effectExtent l="0" t="0" r="9525" b="9525"/>
            <wp:docPr id="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4075" cy="2276475"/>
                    </a:xfrm>
                    <a:prstGeom prst="rect">
                      <a:avLst/>
                    </a:prstGeom>
                    <a:noFill/>
                    <a:ln>
                      <a:noFill/>
                    </a:ln>
                  </pic:spPr>
                </pic:pic>
              </a:graphicData>
            </a:graphic>
          </wp:inline>
        </w:drawing>
      </w:r>
    </w:p>
    <w:p w:rsidR="0091469D" w:rsidRPr="0091469D" w:rsidRDefault="0091469D" w:rsidP="0091469D">
      <w:pPr>
        <w:pStyle w:val="BodyText120"/>
        <w:rPr>
          <w:rFonts w:ascii="Arial" w:eastAsia="Calibri" w:hAnsi="Arial" w:cs="Arial"/>
          <w:sz w:val="22"/>
          <w:szCs w:val="22"/>
          <w:lang w:val="en-GB"/>
        </w:rPr>
      </w:pPr>
      <w:r w:rsidRPr="0091469D">
        <w:rPr>
          <w:rFonts w:ascii="Arial" w:eastAsia="Calibri" w:hAnsi="Arial" w:cs="Arial"/>
          <w:sz w:val="22"/>
          <w:szCs w:val="22"/>
          <w:lang w:val="en-GB"/>
        </w:rPr>
        <w:t>Dispose of the syringe and unused needle in an approved sharps container.</w:t>
      </w:r>
    </w:p>
    <w:p w:rsidR="0091469D" w:rsidRPr="0091469D" w:rsidRDefault="0091469D" w:rsidP="0091469D">
      <w:pPr>
        <w:widowControl w:val="0"/>
        <w:tabs>
          <w:tab w:val="left" w:pos="216"/>
          <w:tab w:val="left" w:pos="360"/>
          <w:tab w:val="left" w:pos="540"/>
        </w:tabs>
        <w:suppressAutoHyphens/>
        <w:autoSpaceDE w:val="0"/>
        <w:autoSpaceDN w:val="0"/>
        <w:adjustRightInd w:val="0"/>
        <w:spacing w:after="158" w:line="240" w:lineRule="atLeast"/>
        <w:textAlignment w:val="center"/>
        <w:rPr>
          <w:rFonts w:eastAsia="Calibri"/>
          <w:lang w:val="en-GB"/>
        </w:rPr>
      </w:pPr>
      <w:r w:rsidRPr="0091469D">
        <w:rPr>
          <w:rFonts w:eastAsia="Calibri"/>
          <w:noProof/>
          <w:lang w:eastAsia="en-AU"/>
        </w:rPr>
        <w:drawing>
          <wp:anchor distT="0" distB="0" distL="114300" distR="114300" simplePos="0" relativeHeight="251665408" behindDoc="0" locked="0" layoutInCell="1" allowOverlap="1" wp14:anchorId="78C312F4" wp14:editId="6EBB1333">
            <wp:simplePos x="0" y="0"/>
            <wp:positionH relativeFrom="column">
              <wp:posOffset>1518285</wp:posOffset>
            </wp:positionH>
            <wp:positionV relativeFrom="paragraph">
              <wp:posOffset>74930</wp:posOffset>
            </wp:positionV>
            <wp:extent cx="327660" cy="367030"/>
            <wp:effectExtent l="0" t="0" r="0" b="0"/>
            <wp:wrapThrough wrapText="bothSides">
              <wp:wrapPolygon edited="0">
                <wp:start x="0" y="0"/>
                <wp:lineTo x="0" y="20180"/>
                <wp:lineTo x="20093" y="20180"/>
                <wp:lineTo x="20093" y="0"/>
                <wp:lineTo x="0" y="0"/>
              </wp:wrapPolygon>
            </wp:wrapThrough>
            <wp:docPr id="78" name="Picture 4" descr="GDS:Pharma:INVEGA SUSTENNA:Design:WordDoc_IFU_regulatory:images141028:exclamationMark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Pharma:INVEGA SUSTENNA:Design:WordDoc_IFU_regulatory:images141028:exclamationMark_141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69D">
        <w:rPr>
          <w:rFonts w:eastAsia="Calibri"/>
          <w:noProof/>
          <w:lang w:eastAsia="en-AU"/>
        </w:rPr>
        <mc:AlternateContent>
          <mc:Choice Requires="wps">
            <w:drawing>
              <wp:anchor distT="0" distB="0" distL="114300" distR="114300" simplePos="0" relativeHeight="251664384" behindDoc="0" locked="0" layoutInCell="1" allowOverlap="1" wp14:anchorId="19DC6F69" wp14:editId="38AAC791">
                <wp:simplePos x="0" y="0"/>
                <wp:positionH relativeFrom="column">
                  <wp:posOffset>1685925</wp:posOffset>
                </wp:positionH>
                <wp:positionV relativeFrom="paragraph">
                  <wp:posOffset>223520</wp:posOffset>
                </wp:positionV>
                <wp:extent cx="2509520" cy="1366520"/>
                <wp:effectExtent l="0" t="0" r="24130" b="2413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1366520"/>
                        </a:xfrm>
                        <a:prstGeom prst="rect">
                          <a:avLst/>
                        </a:prstGeom>
                        <a:solidFill>
                          <a:srgbClr val="FFFFFF"/>
                        </a:solidFill>
                        <a:ln w="9525">
                          <a:solidFill>
                            <a:srgbClr val="000000"/>
                          </a:solidFill>
                          <a:miter lim="800000"/>
                          <a:headEnd/>
                          <a:tailEnd/>
                        </a:ln>
                      </wps:spPr>
                      <wps:txbx>
                        <w:txbxContent>
                          <w:p w:rsidR="00553C06" w:rsidRDefault="00553C06" w:rsidP="0091469D">
                            <w:pPr>
                              <w:widowControl w:val="0"/>
                              <w:suppressAutoHyphens/>
                              <w:autoSpaceDE w:val="0"/>
                              <w:autoSpaceDN w:val="0"/>
                              <w:adjustRightInd w:val="0"/>
                              <w:spacing w:after="80"/>
                              <w:textAlignment w:val="center"/>
                              <w:rPr>
                                <w:rFonts w:eastAsia="Calibri"/>
                              </w:rPr>
                            </w:pPr>
                          </w:p>
                          <w:p w:rsidR="00553C06" w:rsidRPr="00351CB2" w:rsidRDefault="00553C06" w:rsidP="0091469D">
                            <w:pPr>
                              <w:widowControl w:val="0"/>
                              <w:suppressAutoHyphens/>
                              <w:autoSpaceDE w:val="0"/>
                              <w:autoSpaceDN w:val="0"/>
                              <w:adjustRightInd w:val="0"/>
                              <w:spacing w:after="80"/>
                              <w:textAlignment w:val="center"/>
                              <w:rPr>
                                <w:rFonts w:eastAsia="Calibri"/>
                              </w:rPr>
                            </w:pPr>
                            <w:r w:rsidRPr="00351CB2">
                              <w:rPr>
                                <w:rFonts w:eastAsia="Calibri"/>
                              </w:rPr>
                              <w:t xml:space="preserve">Thin wall safety needles are designed specifically for use </w:t>
                            </w:r>
                            <w:r>
                              <w:rPr>
                                <w:rFonts w:eastAsia="Calibri"/>
                              </w:rPr>
                              <w:t xml:space="preserve">with </w:t>
                            </w:r>
                            <w:r>
                              <w:t>INVEGA TRINZA</w:t>
                            </w:r>
                            <w:r w:rsidRPr="00351CB2">
                              <w:rPr>
                                <w:rFonts w:eastAsia="Calibri"/>
                              </w:rPr>
                              <w:t xml:space="preserve">. Unused needle </w:t>
                            </w:r>
                            <w:r>
                              <w:rPr>
                                <w:rFonts w:eastAsia="Calibri"/>
                              </w:rPr>
                              <w:br/>
                              <w:t xml:space="preserve">should be discarded </w:t>
                            </w:r>
                            <w:r w:rsidRPr="00351CB2">
                              <w:rPr>
                                <w:rFonts w:eastAsia="Calibri"/>
                              </w:rPr>
                              <w:t xml:space="preserve">and not saved </w:t>
                            </w:r>
                            <w:r>
                              <w:rPr>
                                <w:rFonts w:eastAsia="Calibri"/>
                              </w:rPr>
                              <w:br/>
                            </w:r>
                            <w:r w:rsidRPr="00351CB2">
                              <w:rPr>
                                <w:rFonts w:eastAsia="Calibri"/>
                              </w:rPr>
                              <w:t>for future use.</w:t>
                            </w:r>
                          </w:p>
                          <w:p w:rsidR="00553C06" w:rsidRDefault="00553C06" w:rsidP="009146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margin-left:132.75pt;margin-top:17.6pt;width:197.6pt;height:10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">
                <v:textbox>
                  <w:txbxContent>
                    <w:p w:rsidR="00553C06" w:rsidRDefault="00553C06" w:rsidP="0091469D">
                      <w:pPr>
                        <w:widowControl w:val="0"/>
                        <w:suppressAutoHyphens/>
                        <w:autoSpaceDE w:val="0"/>
                        <w:autoSpaceDN w:val="0"/>
                        <w:adjustRightInd w:val="0"/>
                        <w:spacing w:after="80"/>
                        <w:textAlignment w:val="center"/>
                        <w:rPr>
                          <w:rFonts w:eastAsia="Calibri"/>
                        </w:rPr>
                      </w:pPr>
                    </w:p>
                    <w:p w:rsidR="00553C06" w:rsidRPr="00351CB2" w:rsidRDefault="00553C06" w:rsidP="0091469D">
                      <w:pPr>
                        <w:widowControl w:val="0"/>
                        <w:suppressAutoHyphens/>
                        <w:autoSpaceDE w:val="0"/>
                        <w:autoSpaceDN w:val="0"/>
                        <w:adjustRightInd w:val="0"/>
                        <w:spacing w:after="80"/>
                        <w:textAlignment w:val="center"/>
                        <w:rPr>
                          <w:rFonts w:eastAsia="Calibri"/>
                        </w:rPr>
                      </w:pPr>
                      <w:r w:rsidRPr="00351CB2">
                        <w:rPr>
                          <w:rFonts w:eastAsia="Calibri"/>
                        </w:rPr>
                        <w:t xml:space="preserve">Thin wall safety needles are designed specifically for use </w:t>
                      </w:r>
                      <w:r>
                        <w:rPr>
                          <w:rFonts w:eastAsia="Calibri"/>
                        </w:rPr>
                        <w:t xml:space="preserve">with </w:t>
                      </w:r>
                      <w:r>
                        <w:t>INVEGA TRINZA</w:t>
                      </w:r>
                      <w:r w:rsidRPr="00351CB2">
                        <w:rPr>
                          <w:rFonts w:eastAsia="Calibri"/>
                        </w:rPr>
                        <w:t xml:space="preserve">. Unused needle </w:t>
                      </w:r>
                      <w:r>
                        <w:rPr>
                          <w:rFonts w:eastAsia="Calibri"/>
                        </w:rPr>
                        <w:br/>
                        <w:t xml:space="preserve">should be discarded </w:t>
                      </w:r>
                      <w:r w:rsidRPr="00351CB2">
                        <w:rPr>
                          <w:rFonts w:eastAsia="Calibri"/>
                        </w:rPr>
                        <w:t xml:space="preserve">and not saved </w:t>
                      </w:r>
                      <w:r>
                        <w:rPr>
                          <w:rFonts w:eastAsia="Calibri"/>
                        </w:rPr>
                        <w:br/>
                      </w:r>
                      <w:r w:rsidRPr="00351CB2">
                        <w:rPr>
                          <w:rFonts w:eastAsia="Calibri"/>
                        </w:rPr>
                        <w:t>for future use.</w:t>
                      </w:r>
                    </w:p>
                    <w:p w:rsidR="00553C06" w:rsidRDefault="00553C06" w:rsidP="0091469D"/>
                  </w:txbxContent>
                </v:textbox>
              </v:shape>
            </w:pict>
          </mc:Fallback>
        </mc:AlternateContent>
      </w:r>
    </w:p>
    <w:p w:rsidR="0091469D" w:rsidRPr="001718B6" w:rsidRDefault="0091469D" w:rsidP="0091469D">
      <w:pPr>
        <w:pStyle w:val="BodyText12"/>
      </w:pPr>
    </w:p>
    <w:p w:rsidR="0091469D" w:rsidRDefault="0091469D" w:rsidP="0091469D">
      <w:pPr>
        <w:pStyle w:val="BodyText12"/>
      </w:pPr>
    </w:p>
    <w:p w:rsidR="0091469D" w:rsidRDefault="0091469D" w:rsidP="0091469D">
      <w:pPr>
        <w:pStyle w:val="BodyText12"/>
      </w:pPr>
    </w:p>
    <w:p w:rsidR="0091469D" w:rsidRPr="001718B6" w:rsidRDefault="0091469D" w:rsidP="0091469D">
      <w:pPr>
        <w:pStyle w:val="BodyText12"/>
      </w:pPr>
    </w:p>
    <w:p w:rsidR="005F23E9" w:rsidRPr="00E314E4" w:rsidRDefault="005F23E9">
      <w:pPr>
        <w:pStyle w:val="Heading2"/>
        <w:rPr>
          <w:color w:val="FF0000"/>
        </w:rPr>
      </w:pPr>
    </w:p>
    <w:bookmarkEnd w:id="69"/>
    <w:bookmarkEnd w:id="70"/>
    <w:p w:rsidR="00E314E4" w:rsidRPr="003712A3" w:rsidRDefault="00E314E4" w:rsidP="00E314E4">
      <w:pPr>
        <w:spacing w:line="276" w:lineRule="auto"/>
        <w:ind w:left="709" w:hanging="709"/>
        <w:rPr>
          <w:b/>
          <w:color w:val="auto"/>
          <w:sz w:val="28"/>
          <w:szCs w:val="28"/>
        </w:rPr>
      </w:pPr>
      <w:r w:rsidRPr="003712A3">
        <w:rPr>
          <w:b/>
          <w:color w:val="auto"/>
          <w:sz w:val="28"/>
          <w:szCs w:val="28"/>
        </w:rPr>
        <w:t>OVERDOSAGE</w:t>
      </w:r>
    </w:p>
    <w:p w:rsidR="00E314E4" w:rsidRPr="00554755" w:rsidRDefault="00E314E4" w:rsidP="00554755">
      <w:pPr>
        <w:jc w:val="both"/>
        <w:rPr>
          <w:color w:val="auto"/>
        </w:rPr>
      </w:pPr>
      <w:r w:rsidRPr="00554755">
        <w:rPr>
          <w:color w:val="auto"/>
        </w:rPr>
        <w:t>Because INVEGA TRINZA is to be administered by health care professionals, the potential for overdosage by patients is low.</w:t>
      </w:r>
    </w:p>
    <w:p w:rsidR="007D7C88" w:rsidRPr="00554755" w:rsidRDefault="007D7C88" w:rsidP="00554755">
      <w:pPr>
        <w:jc w:val="both"/>
        <w:rPr>
          <w:color w:val="auto"/>
        </w:rPr>
      </w:pPr>
    </w:p>
    <w:p w:rsidR="008636DE" w:rsidRPr="00554755" w:rsidRDefault="008636DE" w:rsidP="008636DE">
      <w:pPr>
        <w:autoSpaceDE w:val="0"/>
        <w:autoSpaceDN w:val="0"/>
        <w:adjustRightInd w:val="0"/>
        <w:jc w:val="both"/>
      </w:pPr>
      <w:r w:rsidRPr="00554755">
        <w:t xml:space="preserve">While experience with paliperidone overdose is limited, among the few cases of overdose reported in premarketing trials with oral paliperidone, the highest estimated ingestion was 405 mg. </w:t>
      </w:r>
    </w:p>
    <w:p w:rsidR="008636DE" w:rsidRPr="00554755" w:rsidRDefault="008636DE" w:rsidP="008636DE">
      <w:pPr>
        <w:autoSpaceDE w:val="0"/>
        <w:autoSpaceDN w:val="0"/>
        <w:adjustRightInd w:val="0"/>
        <w:jc w:val="both"/>
      </w:pPr>
      <w:r w:rsidRPr="00554755">
        <w:t xml:space="preserve">Observed signs and symptoms included extrapyramidal symptoms and gait unsteadiness. Other potential signs and symptoms include those resulting from an exaggeration of </w:t>
      </w:r>
      <w:proofErr w:type="spellStart"/>
      <w:r w:rsidRPr="00554755">
        <w:t>paliperidone’s</w:t>
      </w:r>
      <w:proofErr w:type="spellEnd"/>
      <w:r w:rsidRPr="00554755">
        <w:t xml:space="preserve"> known pharmacological effects, i.e., drowsiness and sedation, tachycardia and hypotension, and QT prolongation. Torsade de pointes and ventricular fibrillation have been reported in a patient in the setting of overdose with oral paliperidone. </w:t>
      </w:r>
    </w:p>
    <w:p w:rsidR="008636DE" w:rsidRDefault="008636DE" w:rsidP="008636DE">
      <w:pPr>
        <w:autoSpaceDE w:val="0"/>
        <w:autoSpaceDN w:val="0"/>
        <w:adjustRightInd w:val="0"/>
        <w:jc w:val="both"/>
      </w:pPr>
      <w:r w:rsidRPr="00554755">
        <w:t>Paliperidone is the major active metabolite of risperidone. Overdose experience reported with risperidone can be found in the OVERDOSAGE section of the risperidone Product Information.</w:t>
      </w:r>
    </w:p>
    <w:p w:rsidR="00E314E4" w:rsidRPr="003712A3" w:rsidRDefault="00E314E4" w:rsidP="00E314E4">
      <w:pPr>
        <w:spacing w:line="276" w:lineRule="auto"/>
        <w:jc w:val="both"/>
        <w:rPr>
          <w:color w:val="auto"/>
        </w:rPr>
      </w:pPr>
    </w:p>
    <w:p w:rsidR="00E314E4" w:rsidRPr="003712A3" w:rsidRDefault="007B261A" w:rsidP="00E314E4">
      <w:pPr>
        <w:pStyle w:val="BodyText120"/>
        <w:rPr>
          <w:rFonts w:ascii="Arial" w:hAnsi="Arial" w:cs="Arial"/>
          <w:sz w:val="22"/>
          <w:szCs w:val="22"/>
        </w:rPr>
      </w:pPr>
      <w:r>
        <w:rPr>
          <w:rFonts w:ascii="Arial" w:hAnsi="Arial" w:cs="Arial"/>
          <w:sz w:val="22"/>
          <w:szCs w:val="22"/>
        </w:rPr>
        <w:t>T</w:t>
      </w:r>
      <w:r w:rsidR="00E314E4" w:rsidRPr="003712A3">
        <w:rPr>
          <w:rFonts w:ascii="Arial" w:hAnsi="Arial" w:cs="Arial"/>
          <w:sz w:val="22"/>
          <w:szCs w:val="22"/>
        </w:rPr>
        <w:t>he possibility of multiple drug involveme</w:t>
      </w:r>
      <w:r w:rsidR="00E314E4">
        <w:rPr>
          <w:rFonts w:ascii="Arial" w:hAnsi="Arial" w:cs="Arial"/>
          <w:sz w:val="22"/>
          <w:szCs w:val="22"/>
        </w:rPr>
        <w:t>nt should be considered.</w:t>
      </w:r>
    </w:p>
    <w:p w:rsidR="00E314E4" w:rsidRPr="003712A3" w:rsidRDefault="00E314E4" w:rsidP="00E314E4">
      <w:pPr>
        <w:pStyle w:val="Heading2"/>
        <w:rPr>
          <w:sz w:val="22"/>
          <w:szCs w:val="22"/>
        </w:rPr>
      </w:pPr>
      <w:bookmarkStart w:id="73" w:name="_Toc151795583"/>
      <w:bookmarkStart w:id="74" w:name="_Toc151796733"/>
      <w:bookmarkStart w:id="75" w:name="_Toc151796935"/>
      <w:bookmarkStart w:id="76" w:name="_Toc151801684"/>
      <w:bookmarkStart w:id="77" w:name="_Toc219801072"/>
      <w:r w:rsidRPr="003712A3">
        <w:rPr>
          <w:sz w:val="22"/>
          <w:szCs w:val="22"/>
        </w:rPr>
        <w:t>Management of Overdosage</w:t>
      </w:r>
      <w:bookmarkEnd w:id="73"/>
      <w:bookmarkEnd w:id="74"/>
      <w:bookmarkEnd w:id="75"/>
      <w:bookmarkEnd w:id="76"/>
      <w:bookmarkEnd w:id="77"/>
    </w:p>
    <w:p w:rsidR="007B261A" w:rsidRDefault="00E314E4" w:rsidP="00554755">
      <w:pPr>
        <w:pStyle w:val="BodyText120"/>
        <w:spacing w:line="240" w:lineRule="auto"/>
        <w:rPr>
          <w:rFonts w:ascii="Arial" w:hAnsi="Arial" w:cs="Arial"/>
          <w:sz w:val="22"/>
          <w:szCs w:val="22"/>
        </w:rPr>
      </w:pPr>
      <w:r w:rsidRPr="003712A3">
        <w:rPr>
          <w:rFonts w:ascii="Arial" w:hAnsi="Arial" w:cs="Arial"/>
          <w:sz w:val="22"/>
          <w:szCs w:val="22"/>
        </w:rPr>
        <w:t>Consideration should be</w:t>
      </w:r>
      <w:r>
        <w:rPr>
          <w:rFonts w:ascii="Arial" w:hAnsi="Arial" w:cs="Arial"/>
          <w:sz w:val="22"/>
          <w:szCs w:val="22"/>
        </w:rPr>
        <w:t xml:space="preserve"> given to the extended-release </w:t>
      </w:r>
      <w:r w:rsidRPr="003712A3">
        <w:rPr>
          <w:rFonts w:ascii="Arial" w:hAnsi="Arial" w:cs="Arial"/>
          <w:sz w:val="22"/>
          <w:szCs w:val="22"/>
        </w:rPr>
        <w:t xml:space="preserve">nature of INVEGA TRINZA and the long apparent half-life of paliperidone when assessing treatment needs and recovery. There is no specific antidote to paliperidone. General supportive measures should be employed. Establish and </w:t>
      </w:r>
      <w:r w:rsidRPr="003712A3">
        <w:rPr>
          <w:rFonts w:ascii="Arial" w:hAnsi="Arial" w:cs="Arial"/>
          <w:sz w:val="22"/>
          <w:szCs w:val="22"/>
        </w:rPr>
        <w:lastRenderedPageBreak/>
        <w:t xml:space="preserve">maintain a clear airway and ensure adequate oxygenation and ventilation. Cardiovascular monitoring should commence immediately and should include continuous electrocardiographic monitoring for possible arrhythmias. </w:t>
      </w:r>
    </w:p>
    <w:p w:rsidR="004F2061" w:rsidRDefault="004F2061" w:rsidP="00335DB0">
      <w:pPr>
        <w:autoSpaceDE w:val="0"/>
        <w:autoSpaceDN w:val="0"/>
        <w:adjustRightInd w:val="0"/>
        <w:jc w:val="both"/>
      </w:pPr>
      <w:r w:rsidRPr="00554755">
        <w:t xml:space="preserve">If antiarrhythmic therapy is administered, </w:t>
      </w:r>
      <w:proofErr w:type="spellStart"/>
      <w:r w:rsidRPr="00554755">
        <w:t>disopyramide</w:t>
      </w:r>
      <w:proofErr w:type="spellEnd"/>
      <w:r w:rsidRPr="00554755">
        <w:t xml:space="preserve">, procainamide, and quinidine carry a theoretical hazard of additive QT-prolonging effects when administered in patients with an acute overdose of paliperidone. Similarly the alpha-blocking properties of </w:t>
      </w:r>
      <w:proofErr w:type="spellStart"/>
      <w:r w:rsidRPr="00554755">
        <w:t>bretylium</w:t>
      </w:r>
      <w:proofErr w:type="spellEnd"/>
      <w:r w:rsidRPr="00554755">
        <w:t xml:space="preserve"> might be additive to those of paliperidone, resulti</w:t>
      </w:r>
      <w:r w:rsidR="00335DB0">
        <w:t xml:space="preserve">ng in problematic hypotension. </w:t>
      </w:r>
    </w:p>
    <w:p w:rsidR="00335DB0" w:rsidRPr="00554755" w:rsidRDefault="00335DB0" w:rsidP="00335DB0">
      <w:pPr>
        <w:autoSpaceDE w:val="0"/>
        <w:autoSpaceDN w:val="0"/>
        <w:adjustRightInd w:val="0"/>
        <w:jc w:val="both"/>
      </w:pPr>
    </w:p>
    <w:p w:rsidR="00AB0816" w:rsidRPr="00554755" w:rsidRDefault="00E314E4" w:rsidP="00554755">
      <w:pPr>
        <w:pStyle w:val="BodyText120"/>
        <w:spacing w:line="240" w:lineRule="auto"/>
        <w:rPr>
          <w:rFonts w:ascii="Arial" w:hAnsi="Arial" w:cs="Arial"/>
          <w:sz w:val="22"/>
          <w:szCs w:val="22"/>
        </w:rPr>
      </w:pPr>
      <w:r w:rsidRPr="00554755">
        <w:rPr>
          <w:rFonts w:ascii="Arial" w:hAnsi="Arial" w:cs="Arial"/>
          <w:sz w:val="22"/>
          <w:szCs w:val="22"/>
        </w:rPr>
        <w:t>Hypotension and circulatory collapse should be treated with appropriate measures such as intravenous fluid and/or sympathomimetic agents</w:t>
      </w:r>
      <w:r w:rsidR="004F2061">
        <w:rPr>
          <w:rFonts w:ascii="Arial" w:hAnsi="Arial" w:cs="Arial"/>
          <w:sz w:val="22"/>
          <w:szCs w:val="22"/>
        </w:rPr>
        <w:t xml:space="preserve"> </w:t>
      </w:r>
      <w:r w:rsidR="004F2061" w:rsidRPr="00554755">
        <w:rPr>
          <w:rFonts w:ascii="Arial" w:hAnsi="Arial" w:cs="Arial"/>
          <w:color w:val="000000"/>
          <w:sz w:val="22"/>
          <w:szCs w:val="22"/>
        </w:rPr>
        <w:t>(epinephrine [adrenaline] and dopamine should not be used, since beta stimulation may worsen hypotension in the setting of paliperidone-induced alpha blockade</w:t>
      </w:r>
      <w:r w:rsidR="007B261A" w:rsidRPr="00554755">
        <w:rPr>
          <w:rFonts w:ascii="Arial" w:hAnsi="Arial" w:cs="Arial"/>
          <w:color w:val="000000"/>
          <w:sz w:val="22"/>
          <w:szCs w:val="22"/>
        </w:rPr>
        <w:t>)</w:t>
      </w:r>
      <w:r w:rsidRPr="00554755">
        <w:rPr>
          <w:rFonts w:ascii="Arial" w:hAnsi="Arial" w:cs="Arial"/>
          <w:sz w:val="22"/>
          <w:szCs w:val="22"/>
        </w:rPr>
        <w:t xml:space="preserve">. </w:t>
      </w:r>
    </w:p>
    <w:p w:rsidR="00E314E4" w:rsidRPr="003712A3" w:rsidRDefault="00E314E4" w:rsidP="00554755">
      <w:pPr>
        <w:pStyle w:val="BodyText120"/>
        <w:spacing w:line="240" w:lineRule="auto"/>
        <w:rPr>
          <w:rFonts w:ascii="Arial" w:hAnsi="Arial" w:cs="Arial"/>
          <w:sz w:val="22"/>
          <w:szCs w:val="22"/>
        </w:rPr>
      </w:pPr>
      <w:r w:rsidRPr="003712A3">
        <w:rPr>
          <w:rFonts w:ascii="Arial" w:hAnsi="Arial" w:cs="Arial"/>
          <w:sz w:val="22"/>
          <w:szCs w:val="22"/>
        </w:rPr>
        <w:t>In case of severe extrapyramidal symptoms, anticholinergic agents should be administered. Close supervision and monitoring should continue until the patient recovers.</w:t>
      </w:r>
    </w:p>
    <w:p w:rsidR="00E314E4" w:rsidRPr="003712A3" w:rsidRDefault="00E314E4" w:rsidP="00E314E4">
      <w:pPr>
        <w:pStyle w:val="Heading1"/>
        <w:rPr>
          <w:szCs w:val="28"/>
        </w:rPr>
      </w:pPr>
      <w:r w:rsidRPr="003712A3">
        <w:rPr>
          <w:szCs w:val="28"/>
        </w:rPr>
        <w:t>PRESENTATION AND STORAGE CONDITIONS</w:t>
      </w:r>
    </w:p>
    <w:p w:rsidR="00E314E4" w:rsidRDefault="00E314E4" w:rsidP="00335DB0">
      <w:pPr>
        <w:pStyle w:val="BodyText12"/>
        <w:spacing w:after="0" w:line="240" w:lineRule="auto"/>
        <w:rPr>
          <w:rFonts w:ascii="Arial" w:hAnsi="Arial" w:cs="Arial"/>
          <w:sz w:val="22"/>
          <w:szCs w:val="22"/>
        </w:rPr>
      </w:pPr>
      <w:r w:rsidRPr="002825FF">
        <w:rPr>
          <w:rFonts w:ascii="Arial" w:hAnsi="Arial" w:cs="Arial"/>
          <w:sz w:val="22"/>
          <w:szCs w:val="22"/>
        </w:rPr>
        <w:t>INVEGA TRINZA contains a syringe (cyclic-olefin-copolymer) prefilled with either 175 mg (0.875 m</w:t>
      </w:r>
      <w:r w:rsidR="00597359">
        <w:rPr>
          <w:rFonts w:ascii="Arial" w:hAnsi="Arial" w:cs="Arial"/>
          <w:sz w:val="22"/>
          <w:szCs w:val="22"/>
        </w:rPr>
        <w:t>L</w:t>
      </w:r>
      <w:r w:rsidRPr="002825FF">
        <w:rPr>
          <w:rFonts w:ascii="Arial" w:hAnsi="Arial" w:cs="Arial"/>
          <w:sz w:val="22"/>
          <w:szCs w:val="22"/>
        </w:rPr>
        <w:t>), 263 mg (1.315 m</w:t>
      </w:r>
      <w:r w:rsidR="00597359">
        <w:rPr>
          <w:rFonts w:ascii="Arial" w:hAnsi="Arial" w:cs="Arial"/>
          <w:sz w:val="22"/>
          <w:szCs w:val="22"/>
        </w:rPr>
        <w:t>L</w:t>
      </w:r>
      <w:r w:rsidRPr="002825FF">
        <w:rPr>
          <w:rFonts w:ascii="Arial" w:hAnsi="Arial" w:cs="Arial"/>
          <w:sz w:val="22"/>
          <w:szCs w:val="22"/>
        </w:rPr>
        <w:t>), 350 mg (1.75 m</w:t>
      </w:r>
      <w:r w:rsidR="00597359">
        <w:rPr>
          <w:rFonts w:ascii="Arial" w:hAnsi="Arial" w:cs="Arial"/>
          <w:sz w:val="22"/>
          <w:szCs w:val="22"/>
        </w:rPr>
        <w:t>L</w:t>
      </w:r>
      <w:r w:rsidRPr="002825FF">
        <w:rPr>
          <w:rFonts w:ascii="Arial" w:hAnsi="Arial" w:cs="Arial"/>
          <w:sz w:val="22"/>
          <w:szCs w:val="22"/>
        </w:rPr>
        <w:t>), or 525 mg (2.625 m</w:t>
      </w:r>
      <w:r w:rsidR="00597359">
        <w:rPr>
          <w:rFonts w:ascii="Arial" w:hAnsi="Arial" w:cs="Arial"/>
          <w:sz w:val="22"/>
          <w:szCs w:val="22"/>
        </w:rPr>
        <w:t>L</w:t>
      </w:r>
      <w:r w:rsidRPr="002825FF">
        <w:rPr>
          <w:rFonts w:ascii="Arial" w:hAnsi="Arial" w:cs="Arial"/>
          <w:sz w:val="22"/>
          <w:szCs w:val="22"/>
        </w:rPr>
        <w:t>) paliperidone (as 273 mg, 410 mg, 546 mg, or 819 mg paliperidone palmitate) suspension with a plunger stopper and tip cap (</w:t>
      </w:r>
      <w:proofErr w:type="spellStart"/>
      <w:r w:rsidRPr="002825FF">
        <w:rPr>
          <w:rFonts w:ascii="Arial" w:hAnsi="Arial" w:cs="Arial"/>
          <w:sz w:val="22"/>
          <w:szCs w:val="22"/>
        </w:rPr>
        <w:t>bromobutyl</w:t>
      </w:r>
      <w:proofErr w:type="spellEnd"/>
      <w:r w:rsidRPr="002825FF">
        <w:rPr>
          <w:rFonts w:ascii="Arial" w:hAnsi="Arial" w:cs="Arial"/>
          <w:sz w:val="22"/>
          <w:szCs w:val="22"/>
        </w:rPr>
        <w:t xml:space="preserve"> rubber), a backstop, and 2 types of commercially available needles: a thin walled 22G, 1½</w:t>
      </w:r>
      <w:r w:rsidRPr="002825FF">
        <w:rPr>
          <w:rFonts w:ascii="Arial" w:hAnsi="Arial" w:cs="Arial"/>
          <w:sz w:val="22"/>
          <w:szCs w:val="22"/>
        </w:rPr>
        <w:noBreakHyphen/>
        <w:t>inch safety needle and a thin walled 22G, 1-inch safety needle.</w:t>
      </w:r>
    </w:p>
    <w:p w:rsidR="00335DB0" w:rsidRDefault="00335DB0" w:rsidP="00335DB0">
      <w:pPr>
        <w:pStyle w:val="BodyText12"/>
        <w:spacing w:after="0" w:line="240" w:lineRule="auto"/>
        <w:rPr>
          <w:rFonts w:ascii="Arial" w:hAnsi="Arial" w:cs="Arial"/>
          <w:sz w:val="22"/>
          <w:szCs w:val="22"/>
        </w:rPr>
      </w:pPr>
    </w:p>
    <w:p w:rsidR="00E314E4" w:rsidRPr="002825FF" w:rsidRDefault="00E314E4" w:rsidP="00554755">
      <w:pPr>
        <w:pStyle w:val="BodyText120"/>
        <w:spacing w:line="240" w:lineRule="auto"/>
        <w:rPr>
          <w:rFonts w:ascii="Arial" w:hAnsi="Arial" w:cs="Arial"/>
          <w:sz w:val="22"/>
          <w:szCs w:val="22"/>
        </w:rPr>
      </w:pPr>
      <w:r w:rsidRPr="002825FF">
        <w:rPr>
          <w:rFonts w:ascii="Arial" w:hAnsi="Arial" w:cs="Arial"/>
          <w:sz w:val="22"/>
          <w:szCs w:val="22"/>
        </w:rPr>
        <w:t>INVEGA TRINZA should not be mixed with any other product or diluent and is intended for intramuscular administration directly from the syringe in which it is packaged.</w:t>
      </w:r>
    </w:p>
    <w:p w:rsidR="00CF7347" w:rsidRPr="008F47F2" w:rsidRDefault="00E314E4" w:rsidP="00554755">
      <w:pPr>
        <w:pStyle w:val="BodyText12"/>
        <w:keepNext/>
        <w:keepLines/>
        <w:spacing w:after="0" w:line="240" w:lineRule="auto"/>
        <w:rPr>
          <w:rFonts w:ascii="Arial" w:hAnsi="Arial" w:cs="Arial"/>
          <w:sz w:val="22"/>
          <w:szCs w:val="22"/>
        </w:rPr>
      </w:pPr>
      <w:r w:rsidRPr="00E471A9">
        <w:rPr>
          <w:rFonts w:ascii="Arial" w:hAnsi="Arial" w:cs="Arial"/>
          <w:sz w:val="22"/>
          <w:szCs w:val="22"/>
          <w:lang w:val="en-AU"/>
        </w:rPr>
        <w:t>Store at or below 25</w:t>
      </w:r>
      <w:r w:rsidRPr="00E471A9">
        <w:rPr>
          <w:rFonts w:ascii="Arial" w:hAnsi="Arial" w:cs="Arial"/>
          <w:sz w:val="22"/>
          <w:szCs w:val="22"/>
          <w:vertAlign w:val="superscript"/>
          <w:lang w:val="en-AU"/>
        </w:rPr>
        <w:t>o</w:t>
      </w:r>
      <w:r w:rsidRPr="00E471A9">
        <w:rPr>
          <w:rFonts w:ascii="Arial" w:hAnsi="Arial" w:cs="Arial"/>
          <w:sz w:val="22"/>
          <w:szCs w:val="22"/>
          <w:lang w:val="en-AU"/>
        </w:rPr>
        <w:t>C</w:t>
      </w:r>
      <w:r w:rsidRPr="008A22D2">
        <w:rPr>
          <w:rFonts w:ascii="Arial" w:hAnsi="Arial" w:cs="Arial"/>
          <w:sz w:val="22"/>
          <w:szCs w:val="22"/>
        </w:rPr>
        <w:t xml:space="preserve">. </w:t>
      </w:r>
    </w:p>
    <w:p w:rsidR="009921E8" w:rsidRPr="00CF7347" w:rsidRDefault="00177C36">
      <w:pPr>
        <w:pStyle w:val="PIHEADING1"/>
        <w:rPr>
          <w:color w:val="auto"/>
        </w:rPr>
      </w:pPr>
      <w:r w:rsidRPr="00CF7347">
        <w:rPr>
          <w:color w:val="auto"/>
        </w:rPr>
        <w:t xml:space="preserve">NAME AND ADDRESS OF THE </w:t>
      </w:r>
      <w:r w:rsidR="009921E8" w:rsidRPr="00CF7347">
        <w:rPr>
          <w:color w:val="auto"/>
        </w:rPr>
        <w:t>sponsor</w:t>
      </w:r>
    </w:p>
    <w:p w:rsidR="009921E8" w:rsidRPr="00CF7347" w:rsidRDefault="009921E8">
      <w:pPr>
        <w:pStyle w:val="PIEXPLAIN"/>
        <w:spacing w:before="0" w:after="0"/>
        <w:rPr>
          <w:color w:val="auto"/>
        </w:rPr>
      </w:pPr>
      <w:r w:rsidRPr="00CF7347">
        <w:rPr>
          <w:color w:val="auto"/>
        </w:rPr>
        <w:t>Janssen-Cilag Pty Ltd</w:t>
      </w:r>
    </w:p>
    <w:p w:rsidR="009921E8" w:rsidRPr="00CF7347" w:rsidRDefault="009921E8">
      <w:pPr>
        <w:pStyle w:val="PIEXPLAIN"/>
        <w:spacing w:before="0" w:after="0"/>
        <w:rPr>
          <w:color w:val="auto"/>
        </w:rPr>
      </w:pPr>
      <w:r w:rsidRPr="00CF7347">
        <w:rPr>
          <w:color w:val="auto"/>
        </w:rPr>
        <w:t xml:space="preserve">1-5 Khartoum Road, </w:t>
      </w:r>
      <w:r w:rsidR="00561DEF" w:rsidRPr="00CF7347">
        <w:rPr>
          <w:color w:val="auto"/>
        </w:rPr>
        <w:t>Macquarie Park</w:t>
      </w:r>
      <w:r w:rsidRPr="00CF7347">
        <w:rPr>
          <w:color w:val="auto"/>
        </w:rPr>
        <w:t>, NSW, 2113, AUSTRALIA</w:t>
      </w:r>
    </w:p>
    <w:p w:rsidR="009921E8" w:rsidRPr="00CF7347" w:rsidRDefault="003010D2">
      <w:pPr>
        <w:pStyle w:val="PIEXPLAIN"/>
        <w:spacing w:after="0"/>
        <w:rPr>
          <w:color w:val="auto"/>
        </w:rPr>
      </w:pPr>
      <w:r w:rsidRPr="00CF7347">
        <w:rPr>
          <w:color w:val="auto"/>
        </w:rPr>
        <w:t>NZ</w:t>
      </w:r>
      <w:r w:rsidR="009921E8" w:rsidRPr="00CF7347">
        <w:rPr>
          <w:color w:val="auto"/>
        </w:rPr>
        <w:t xml:space="preserve"> Office:</w:t>
      </w:r>
    </w:p>
    <w:p w:rsidR="00C96FB0" w:rsidRPr="00CF7347" w:rsidRDefault="009921E8" w:rsidP="00177C36">
      <w:pPr>
        <w:pStyle w:val="PIEXPLAIN"/>
        <w:spacing w:after="0"/>
        <w:rPr>
          <w:color w:val="auto"/>
        </w:rPr>
      </w:pPr>
      <w:r w:rsidRPr="00CF7347">
        <w:rPr>
          <w:color w:val="auto"/>
        </w:rPr>
        <w:t>Auckland, NEW ZEALAND</w:t>
      </w:r>
      <w:r w:rsidR="00177C36" w:rsidRPr="00CF7347">
        <w:rPr>
          <w:color w:val="auto"/>
        </w:rPr>
        <w:t xml:space="preserve"> </w:t>
      </w:r>
    </w:p>
    <w:p w:rsidR="00177C36" w:rsidRPr="00CF7347" w:rsidRDefault="00177C36" w:rsidP="00177C36">
      <w:pPr>
        <w:pStyle w:val="PIHEADING1"/>
        <w:rPr>
          <w:color w:val="auto"/>
          <w:sz w:val="20"/>
        </w:rPr>
      </w:pPr>
      <w:r w:rsidRPr="00CF7347">
        <w:rPr>
          <w:color w:val="auto"/>
        </w:rPr>
        <w:t>POISON SCHEDULE OF THE MEDICINE</w:t>
      </w:r>
    </w:p>
    <w:p w:rsidR="00177C36" w:rsidRPr="00CF7347" w:rsidRDefault="00177C36" w:rsidP="00177C36">
      <w:pPr>
        <w:pStyle w:val="PIEXPLAIN"/>
        <w:rPr>
          <w:color w:val="auto"/>
        </w:rPr>
      </w:pPr>
      <w:r w:rsidRPr="00CF7347">
        <w:rPr>
          <w:color w:val="auto"/>
        </w:rPr>
        <w:t>S4 - Prescription Only Medicine</w:t>
      </w:r>
    </w:p>
    <w:p w:rsidR="009921E8" w:rsidRPr="00CF7347" w:rsidRDefault="009921E8">
      <w:pPr>
        <w:pStyle w:val="PIEXPLAIN"/>
        <w:spacing w:after="0"/>
        <w:rPr>
          <w:color w:val="auto"/>
        </w:rPr>
      </w:pPr>
    </w:p>
    <w:p w:rsidR="007B6CEF" w:rsidRDefault="007B6CEF">
      <w:pPr>
        <w:pStyle w:val="PIEXPLAIN"/>
        <w:rPr>
          <w:color w:val="auto"/>
        </w:rPr>
      </w:pPr>
      <w:r w:rsidRPr="007B6CEF">
        <w:rPr>
          <w:b/>
          <w:color w:val="auto"/>
          <w:sz w:val="28"/>
          <w:szCs w:val="28"/>
        </w:rPr>
        <w:t>DATE OF FIRST INCLUSION IN THE ARTG</w:t>
      </w:r>
      <w:r w:rsidR="00EF744D" w:rsidRPr="00CF7347">
        <w:rPr>
          <w:color w:val="auto"/>
        </w:rPr>
        <w:t xml:space="preserve"> </w:t>
      </w:r>
    </w:p>
    <w:p w:rsidR="009921E8" w:rsidRPr="00CF7347" w:rsidRDefault="00EF744D">
      <w:pPr>
        <w:pStyle w:val="PIEXPLAIN"/>
        <w:rPr>
          <w:bCs/>
          <w:color w:val="auto"/>
        </w:rPr>
      </w:pPr>
      <w:r w:rsidRPr="00CF7347">
        <w:rPr>
          <w:color w:val="auto"/>
        </w:rPr>
        <w:t xml:space="preserve"> </w:t>
      </w:r>
      <w:r w:rsidR="007276BE">
        <w:rPr>
          <w:bCs/>
          <w:color w:val="auto"/>
        </w:rPr>
        <w:t>23 September 2016</w:t>
      </w:r>
    </w:p>
    <w:p w:rsidR="00FF62BA" w:rsidRPr="00E314E4" w:rsidRDefault="00FF62BA" w:rsidP="00FF62BA">
      <w:pPr>
        <w:pStyle w:val="PIEXPLAIN"/>
        <w:jc w:val="both"/>
        <w:rPr>
          <w:b/>
          <w:bCs/>
          <w:color w:val="FF0000"/>
        </w:rPr>
      </w:pPr>
    </w:p>
    <w:sectPr w:rsidR="00FF62BA" w:rsidRPr="00E314E4" w:rsidSect="00C42968">
      <w:headerReference w:type="default" r:id="rId36"/>
      <w:footerReference w:type="first" r:id="rId37"/>
      <w:endnotePr>
        <w:numFmt w:val="decimal"/>
      </w:endnotePr>
      <w:type w:val="continuous"/>
      <w:pgSz w:w="11907" w:h="16840" w:code="9"/>
      <w:pgMar w:top="1200" w:right="1134" w:bottom="600" w:left="1134" w:header="720" w:footer="50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C06" w:rsidRDefault="00553C06"/>
  </w:endnote>
  <w:endnote w:type="continuationSeparator" w:id="0">
    <w:p w:rsidR="00553C06" w:rsidRDefault="00553C06">
      <w:r>
        <w:t xml:space="preserve"> </w:t>
      </w:r>
    </w:p>
  </w:endnote>
  <w:endnote w:type="continuationNotice" w:id="1">
    <w:p w:rsidR="00553C06" w:rsidRDefault="00553C0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entonSans-Black">
    <w:altName w:val="BentonSans Blac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BoldItalic">
    <w:altName w:val="MS Mincho"/>
    <w:panose1 w:val="00000000000000000000"/>
    <w:charset w:val="80"/>
    <w:family w:val="auto"/>
    <w:notTrueType/>
    <w:pitch w:val="default"/>
    <w:sig w:usb0="00000000" w:usb1="08070000" w:usb2="00000010" w:usb3="00000000" w:csb0="00020000" w:csb1="00000000"/>
  </w:font>
  <w:font w:name="BentonSans-Bold">
    <w:altName w:val="BentonSans Regular"/>
    <w:panose1 w:val="00000000000000000000"/>
    <w:charset w:val="4D"/>
    <w:family w:val="auto"/>
    <w:notTrueType/>
    <w:pitch w:val="default"/>
    <w:sig w:usb0="00000003" w:usb1="00000000" w:usb2="00000000" w:usb3="00000000" w:csb0="00000001" w:csb1="00000000"/>
  </w:font>
  <w:font w:name="BentonSans-Regular">
    <w:altName w:val="BentonSans 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C06" w:rsidRDefault="00553C06">
    <w:pPr>
      <w:pBdr>
        <w:top w:val="single" w:sz="4" w:space="1" w:color="auto"/>
      </w:pBdr>
      <w:tabs>
        <w:tab w:val="right" w:pos="4820"/>
        <w:tab w:val="left" w:pos="6663"/>
      </w:tabs>
      <w:rPr>
        <w:sz w:val="16"/>
        <w:szCs w:val="16"/>
      </w:rPr>
    </w:pP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C81444">
      <w:rPr>
        <w:noProof/>
        <w:sz w:val="16"/>
        <w:szCs w:val="16"/>
      </w:rPr>
      <w:t>38</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C81444">
      <w:rPr>
        <w:noProof/>
        <w:sz w:val="16"/>
        <w:szCs w:val="16"/>
      </w:rPr>
      <w:t>38</w:t>
    </w:r>
    <w:r>
      <w:rPr>
        <w:sz w:val="16"/>
        <w:szCs w:val="16"/>
      </w:rPr>
      <w:fldChar w:fldCharType="end"/>
    </w:r>
    <w:r>
      <w:rPr>
        <w:sz w:val="16"/>
        <w:szCs w:val="16"/>
      </w:rPr>
      <w:tab/>
      <w:t xml:space="preserve">INVEGA </w:t>
    </w:r>
    <w:proofErr w:type="gramStart"/>
    <w:r>
      <w:rPr>
        <w:sz w:val="16"/>
        <w:szCs w:val="16"/>
      </w:rPr>
      <w:t>TRINZA(</w:t>
    </w:r>
    <w:proofErr w:type="gramEnd"/>
    <w:r>
      <w:rPr>
        <w:sz w:val="16"/>
        <w:szCs w:val="16"/>
      </w:rPr>
      <w:t>160920) API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C06" w:rsidRDefault="00553C06"/>
  <w:p w:rsidR="00553C06" w:rsidRDefault="00553C06">
    <w:r>
      <w:tab/>
    </w:r>
    <w:r>
      <w:fldChar w:fldCharType="begin"/>
    </w:r>
    <w:r>
      <w:instrText xml:space="preserve"> PAGE </w:instrText>
    </w:r>
    <w:r>
      <w:fldChar w:fldCharType="separate"/>
    </w:r>
    <w:r>
      <w:rPr>
        <w:noProof/>
      </w:rPr>
      <w:t>1</w:t>
    </w:r>
    <w:r>
      <w:rPr>
        <w:noProof/>
      </w:rPr>
      <w:fldChar w:fldCharType="end"/>
    </w:r>
    <w:r>
      <w:tab/>
      <w:t>INVEGA draft PI</w:t>
    </w:r>
  </w:p>
  <w:p w:rsidR="00553C06" w:rsidRDefault="00553C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C06" w:rsidRDefault="00553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C06" w:rsidRDefault="00553C06">
      <w:r>
        <w:separator/>
      </w:r>
    </w:p>
  </w:footnote>
  <w:footnote w:type="continuationSeparator" w:id="0">
    <w:p w:rsidR="00553C06" w:rsidRDefault="00553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C06" w:rsidRDefault="00553C06" w:rsidP="00A67A1D">
    <w:pPr>
      <w:pStyle w:val="Header"/>
      <w:tabs>
        <w:tab w:val="clear" w:pos="4153"/>
        <w:tab w:val="left" w:pos="7125"/>
      </w:tabs>
      <w:jc w:val="right"/>
    </w:pPr>
    <w:r>
      <w:rPr>
        <w:noProof/>
        <w:lang w:eastAsia="en-AU"/>
      </w:rPr>
      <w:drawing>
        <wp:inline distT="0" distB="0" distL="0" distR="0" wp14:anchorId="67973113" wp14:editId="2E42A236">
          <wp:extent cx="1828800" cy="819150"/>
          <wp:effectExtent l="19050" t="0" r="0" b="0"/>
          <wp:docPr id="1" name="Picture 1" descr="Janssen_Con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sen_Cons_RGB"/>
                  <pic:cNvPicPr>
                    <a:picLocks noChangeAspect="1" noChangeArrowheads="1"/>
                  </pic:cNvPicPr>
                </pic:nvPicPr>
                <pic:blipFill>
                  <a:blip r:embed="rId1"/>
                  <a:srcRect t="23622" b="31496"/>
                  <a:stretch>
                    <a:fillRect/>
                  </a:stretch>
                </pic:blipFill>
                <pic:spPr bwMode="auto">
                  <a:xfrm>
                    <a:off x="0" y="0"/>
                    <a:ext cx="1828800" cy="819150"/>
                  </a:xfrm>
                  <a:prstGeom prst="rect">
                    <a:avLst/>
                  </a:prstGeom>
                  <a:noFill/>
                  <a:ln w="9525">
                    <a:noFill/>
                    <a:miter lim="800000"/>
                    <a:headEnd/>
                    <a:tailEnd/>
                  </a:ln>
                </pic:spPr>
              </pic:pic>
            </a:graphicData>
          </a:graphic>
        </wp:inline>
      </w:drawing>
    </w:r>
  </w:p>
  <w:p w:rsidR="00553C06" w:rsidRDefault="00553C06">
    <w:pPr>
      <w:pStyle w:val="Header"/>
    </w:pPr>
  </w:p>
  <w:p w:rsidR="00553C06" w:rsidRDefault="00553C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553C06" w:rsidTr="00553C06">
      <w:tc>
        <w:tcPr>
          <w:tcW w:w="8720" w:type="dxa"/>
          <w:shd w:val="clear" w:color="auto" w:fill="E4F2E0"/>
        </w:tcPr>
        <w:p w:rsidR="00553C06" w:rsidRPr="00553C06" w:rsidRDefault="00553C06" w:rsidP="00553C06">
          <w:pPr>
            <w:spacing w:before="40" w:after="40"/>
            <w:rPr>
              <w:b/>
              <w:sz w:val="20"/>
              <w:szCs w:val="20"/>
            </w:rPr>
          </w:pPr>
          <w:r w:rsidRPr="00553C06">
            <w:rPr>
              <w:b/>
              <w:sz w:val="20"/>
              <w:szCs w:val="20"/>
            </w:rPr>
            <w:t xml:space="preserve">Attachment 1: Product information for </w:t>
          </w:r>
          <w:proofErr w:type="spellStart"/>
          <w:r w:rsidRPr="00553C06">
            <w:rPr>
              <w:b/>
            </w:rPr>
            <w:t>AusPAR</w:t>
          </w:r>
          <w:proofErr w:type="spellEnd"/>
          <w:r w:rsidRPr="00553C06">
            <w:rPr>
              <w:b/>
            </w:rPr>
            <w:t xml:space="preserve"> </w:t>
          </w:r>
          <w:proofErr w:type="spellStart"/>
          <w:r w:rsidRPr="00553C06">
            <w:rPr>
              <w:b/>
            </w:rPr>
            <w:t>Paliperidone</w:t>
          </w:r>
          <w:proofErr w:type="spellEnd"/>
          <w:r w:rsidRPr="00553C06">
            <w:rPr>
              <w:b/>
            </w:rPr>
            <w:t xml:space="preserve"> Palmitate</w:t>
          </w:r>
          <w:r>
            <w:rPr>
              <w:b/>
            </w:rPr>
            <w:t xml:space="preserve"> - </w:t>
          </w:r>
          <w:r w:rsidRPr="00553C06">
            <w:rPr>
              <w:b/>
            </w:rPr>
            <w:t>INVEGA TRINZA and TREVICTA - Janssen-</w:t>
          </w:r>
          <w:proofErr w:type="spellStart"/>
          <w:r w:rsidRPr="00553C06">
            <w:rPr>
              <w:b/>
            </w:rPr>
            <w:t>Cilag</w:t>
          </w:r>
          <w:proofErr w:type="spellEnd"/>
          <w:r w:rsidRPr="00553C06">
            <w:rPr>
              <w:b/>
            </w:rPr>
            <w:t xml:space="preserve"> Pty Ltd - PM-2015-02788-1-1 FINAL 13 October 2017</w:t>
          </w:r>
          <w:r w:rsidRPr="00553C06">
            <w:rPr>
              <w:b/>
              <w:sz w:val="20"/>
              <w:szCs w:val="20"/>
            </w:rPr>
            <w:t xml:space="preserve">. This Product Information was approved at the time this </w:t>
          </w:r>
          <w:proofErr w:type="spellStart"/>
          <w:r w:rsidRPr="00553C06">
            <w:rPr>
              <w:b/>
              <w:sz w:val="20"/>
              <w:szCs w:val="20"/>
            </w:rPr>
            <w:t>AusPAR</w:t>
          </w:r>
          <w:proofErr w:type="spellEnd"/>
          <w:r w:rsidRPr="00553C06">
            <w:rPr>
              <w:b/>
              <w:sz w:val="20"/>
              <w:szCs w:val="20"/>
            </w:rPr>
            <w:t xml:space="preserve"> was published.</w:t>
          </w:r>
        </w:p>
      </w:tc>
    </w:tr>
  </w:tbl>
  <w:p w:rsidR="00553C06" w:rsidRDefault="00553C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5453EA"/>
    <w:lvl w:ilvl="0">
      <w:start w:val="1"/>
      <w:numFmt w:val="none"/>
      <w:suff w:val="nothing"/>
      <w:lvlText w:val=""/>
      <w:lvlJc w:val="left"/>
      <w:pPr>
        <w:ind w:left="0" w:firstLine="0"/>
      </w:pPr>
    </w:lvl>
    <w:lvl w:ilvl="1">
      <w:start w:val="1"/>
      <w:numFmt w:val="none"/>
      <w:suff w:val="nothing"/>
      <w:lvlText w:val="%2"/>
      <w:lvlJc w:val="left"/>
      <w:pPr>
        <w:ind w:left="0" w:firstLine="0"/>
      </w:pPr>
    </w:lvl>
    <w:lvl w:ilvl="2">
      <w:start w:val="1"/>
      <w:numFmt w:val="none"/>
      <w:suff w:val="nothing"/>
      <w:lvlText w:val="%2"/>
      <w:lvlJc w:val="left"/>
      <w:pPr>
        <w:ind w:left="0" w:firstLine="0"/>
      </w:pPr>
    </w:lvl>
    <w:lvl w:ilvl="3">
      <w:start w:val="1"/>
      <w:numFmt w:val="none"/>
      <w:suff w:val="nothing"/>
      <w:lvlText w:val="%2"/>
      <w:lvlJc w:val="left"/>
      <w:pPr>
        <w:ind w:left="0" w:firstLine="0"/>
      </w:pPr>
    </w:lvl>
    <w:lvl w:ilvl="4">
      <w:start w:val="1"/>
      <w:numFmt w:val="none"/>
      <w:pStyle w:val="Heading5"/>
      <w:lvlText w:val="%2"/>
      <w:lvlJc w:val="left"/>
      <w:pPr>
        <w:tabs>
          <w:tab w:val="num" w:pos="2246"/>
        </w:tabs>
        <w:ind w:left="2246" w:hanging="1411"/>
      </w:pPr>
    </w:lvl>
    <w:lvl w:ilvl="5">
      <w:start w:val="1"/>
      <w:numFmt w:val="none"/>
      <w:pStyle w:val="Heading6"/>
      <w:lvlText w:val="%2"/>
      <w:lvlJc w:val="left"/>
      <w:pPr>
        <w:tabs>
          <w:tab w:val="num" w:pos="2246"/>
        </w:tabs>
        <w:ind w:left="2246" w:hanging="1411"/>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lvlText w:val="%2"/>
      <w:lvlJc w:val="left"/>
      <w:pPr>
        <w:tabs>
          <w:tab w:val="num" w:pos="2246"/>
        </w:tabs>
        <w:ind w:left="2246" w:hanging="1411"/>
      </w:pPr>
    </w:lvl>
  </w:abstractNum>
  <w:abstractNum w:abstractNumId="1">
    <w:nsid w:val="001D13EC"/>
    <w:multiLevelType w:val="singleLevel"/>
    <w:tmpl w:val="174650A8"/>
    <w:lvl w:ilvl="0">
      <w:start w:val="1"/>
      <w:numFmt w:val="bullet"/>
      <w:pStyle w:val="BulletIndent3"/>
      <w:lvlText w:val=""/>
      <w:lvlJc w:val="left"/>
      <w:pPr>
        <w:tabs>
          <w:tab w:val="num" w:pos="936"/>
        </w:tabs>
        <w:ind w:left="288" w:firstLine="288"/>
      </w:pPr>
      <w:rPr>
        <w:rFonts w:ascii="Symbol" w:hAnsi="Symbol" w:hint="default"/>
      </w:rPr>
    </w:lvl>
  </w:abstractNum>
  <w:abstractNum w:abstractNumId="2">
    <w:nsid w:val="06C276F0"/>
    <w:multiLevelType w:val="singleLevel"/>
    <w:tmpl w:val="3BAE124A"/>
    <w:lvl w:ilvl="0">
      <w:start w:val="1"/>
      <w:numFmt w:val="bullet"/>
      <w:pStyle w:val="BulletIndent1"/>
      <w:lvlText w:val=""/>
      <w:lvlJc w:val="left"/>
      <w:pPr>
        <w:tabs>
          <w:tab w:val="num" w:pos="360"/>
        </w:tabs>
        <w:ind w:left="288" w:hanging="288"/>
      </w:pPr>
      <w:rPr>
        <w:rFonts w:ascii="Symbol" w:hAnsi="Symbol" w:hint="default"/>
        <w:b w:val="0"/>
        <w:i w:val="0"/>
        <w:color w:val="auto"/>
        <w:sz w:val="28"/>
        <w:u w:val="none"/>
      </w:rPr>
    </w:lvl>
  </w:abstractNum>
  <w:abstractNum w:abstractNumId="3">
    <w:nsid w:val="0F167268"/>
    <w:multiLevelType w:val="singleLevel"/>
    <w:tmpl w:val="B246C912"/>
    <w:lvl w:ilvl="0">
      <w:start w:val="1"/>
      <w:numFmt w:val="decimal"/>
      <w:pStyle w:val="Narrative3"/>
      <w:lvlText w:val="%1."/>
      <w:legacy w:legacy="1" w:legacySpace="0" w:legacyIndent="360"/>
      <w:lvlJc w:val="left"/>
      <w:pPr>
        <w:ind w:left="1210" w:hanging="360"/>
      </w:pPr>
    </w:lvl>
  </w:abstractNum>
  <w:abstractNum w:abstractNumId="4">
    <w:nsid w:val="10694C84"/>
    <w:multiLevelType w:val="hybridMultilevel"/>
    <w:tmpl w:val="67DE47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0FB7B82"/>
    <w:multiLevelType w:val="multilevel"/>
    <w:tmpl w:val="B638242A"/>
    <w:lvl w:ilvl="0">
      <w:start w:val="1"/>
      <w:numFmt w:val="upperLetter"/>
      <w:pStyle w:val="Narrative1"/>
      <w:lvlText w:val="%1."/>
      <w:lvlJc w:val="left"/>
      <w:pPr>
        <w:tabs>
          <w:tab w:val="num" w:pos="1210"/>
        </w:tabs>
        <w:ind w:left="1210" w:hanging="360"/>
      </w:pPr>
    </w:lvl>
    <w:lvl w:ilvl="1">
      <w:start w:val="1"/>
      <w:numFmt w:val="decimal"/>
      <w:lvlText w:val="%2."/>
      <w:lvlJc w:val="left"/>
      <w:pPr>
        <w:tabs>
          <w:tab w:val="num" w:pos="1570"/>
        </w:tabs>
        <w:ind w:left="1570" w:hanging="360"/>
      </w:pPr>
    </w:lvl>
    <w:lvl w:ilvl="2">
      <w:start w:val="1"/>
      <w:numFmt w:val="lowerLetter"/>
      <w:lvlText w:val="%3."/>
      <w:lvlJc w:val="left"/>
      <w:pPr>
        <w:tabs>
          <w:tab w:val="num" w:pos="2160"/>
        </w:tabs>
        <w:ind w:left="2160" w:hanging="590"/>
      </w:pPr>
    </w:lvl>
    <w:lvl w:ilvl="3">
      <w:start w:val="1"/>
      <w:numFmt w:val="none"/>
      <w:lvlText w:val="%4"/>
      <w:lvlJc w:val="left"/>
      <w:pPr>
        <w:tabs>
          <w:tab w:val="num" w:pos="360"/>
        </w:tabs>
        <w:ind w:left="0" w:firstLine="0"/>
      </w:pPr>
    </w:lvl>
    <w:lvl w:ilvl="4">
      <w:start w:val="1"/>
      <w:numFmt w:val="none"/>
      <w:lvlText w:val="%5"/>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230D56F1"/>
    <w:multiLevelType w:val="hybridMultilevel"/>
    <w:tmpl w:val="06809694"/>
    <w:lvl w:ilvl="0" w:tplc="0409000F">
      <w:start w:val="1"/>
      <w:numFmt w:val="decimal"/>
      <w:lvlText w:val="%1."/>
      <w:lvlJc w:val="left"/>
      <w:pPr>
        <w:tabs>
          <w:tab w:val="num" w:pos="360"/>
        </w:tabs>
        <w:ind w:left="360" w:hanging="360"/>
      </w:pPr>
      <w:rPr>
        <w:rFonts w:hint="default"/>
      </w:rPr>
    </w:lvl>
    <w:lvl w:ilvl="1" w:tplc="04090019" w:tentative="1">
      <w:start w:val="1"/>
      <w:numFmt w:val="lowerLetter"/>
      <w:pStyle w:val="Narrative2"/>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C32053F"/>
    <w:multiLevelType w:val="hybridMultilevel"/>
    <w:tmpl w:val="7B36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E30270"/>
    <w:multiLevelType w:val="hybridMultilevel"/>
    <w:tmpl w:val="80DAA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28B0902"/>
    <w:multiLevelType w:val="hybridMultilevel"/>
    <w:tmpl w:val="2E20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510EC"/>
    <w:multiLevelType w:val="hybridMultilevel"/>
    <w:tmpl w:val="019E74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106289"/>
    <w:multiLevelType w:val="hybridMultilevel"/>
    <w:tmpl w:val="AA305F66"/>
    <w:lvl w:ilvl="0" w:tplc="3FEEF272">
      <w:start w:val="1"/>
      <w:numFmt w:val="bullet"/>
      <w:pStyle w:val="Bullet12-4"/>
      <w:lvlText w:val=""/>
      <w:lvlJc w:val="left"/>
      <w:pPr>
        <w:tabs>
          <w:tab w:val="num" w:pos="1728"/>
        </w:tabs>
        <w:ind w:left="1728" w:hanging="432"/>
      </w:pPr>
      <w:rPr>
        <w:rFonts w:ascii="Symbol" w:hAnsi="Symbol" w:hint="default"/>
      </w:rPr>
    </w:lvl>
    <w:lvl w:ilvl="1" w:tplc="87B84278" w:tentative="1">
      <w:start w:val="1"/>
      <w:numFmt w:val="bullet"/>
      <w:lvlText w:val="o"/>
      <w:lvlJc w:val="left"/>
      <w:pPr>
        <w:ind w:left="2736" w:hanging="360"/>
      </w:pPr>
      <w:rPr>
        <w:rFonts w:ascii="Courier New" w:hAnsi="Courier New" w:cs="Courier New" w:hint="default"/>
      </w:rPr>
    </w:lvl>
    <w:lvl w:ilvl="2" w:tplc="61B6F222" w:tentative="1">
      <w:start w:val="1"/>
      <w:numFmt w:val="bullet"/>
      <w:lvlText w:val=""/>
      <w:lvlJc w:val="left"/>
      <w:pPr>
        <w:ind w:left="3456" w:hanging="360"/>
      </w:pPr>
      <w:rPr>
        <w:rFonts w:ascii="Wingdings" w:hAnsi="Wingdings" w:hint="default"/>
      </w:rPr>
    </w:lvl>
    <w:lvl w:ilvl="3" w:tplc="A5D68794" w:tentative="1">
      <w:start w:val="1"/>
      <w:numFmt w:val="bullet"/>
      <w:lvlText w:val=""/>
      <w:lvlJc w:val="left"/>
      <w:pPr>
        <w:ind w:left="4176" w:hanging="360"/>
      </w:pPr>
      <w:rPr>
        <w:rFonts w:ascii="Symbol" w:hAnsi="Symbol" w:hint="default"/>
      </w:rPr>
    </w:lvl>
    <w:lvl w:ilvl="4" w:tplc="9988A51E" w:tentative="1">
      <w:start w:val="1"/>
      <w:numFmt w:val="bullet"/>
      <w:lvlText w:val="o"/>
      <w:lvlJc w:val="left"/>
      <w:pPr>
        <w:ind w:left="4896" w:hanging="360"/>
      </w:pPr>
      <w:rPr>
        <w:rFonts w:ascii="Courier New" w:hAnsi="Courier New" w:cs="Courier New" w:hint="default"/>
      </w:rPr>
    </w:lvl>
    <w:lvl w:ilvl="5" w:tplc="0EA8A69C" w:tentative="1">
      <w:start w:val="1"/>
      <w:numFmt w:val="bullet"/>
      <w:lvlText w:val=""/>
      <w:lvlJc w:val="left"/>
      <w:pPr>
        <w:ind w:left="5616" w:hanging="360"/>
      </w:pPr>
      <w:rPr>
        <w:rFonts w:ascii="Wingdings" w:hAnsi="Wingdings" w:hint="default"/>
      </w:rPr>
    </w:lvl>
    <w:lvl w:ilvl="6" w:tplc="33E8BFD2" w:tentative="1">
      <w:start w:val="1"/>
      <w:numFmt w:val="bullet"/>
      <w:lvlText w:val=""/>
      <w:lvlJc w:val="left"/>
      <w:pPr>
        <w:ind w:left="6336" w:hanging="360"/>
      </w:pPr>
      <w:rPr>
        <w:rFonts w:ascii="Symbol" w:hAnsi="Symbol" w:hint="default"/>
      </w:rPr>
    </w:lvl>
    <w:lvl w:ilvl="7" w:tplc="6F7EBE98" w:tentative="1">
      <w:start w:val="1"/>
      <w:numFmt w:val="bullet"/>
      <w:lvlText w:val="o"/>
      <w:lvlJc w:val="left"/>
      <w:pPr>
        <w:ind w:left="7056" w:hanging="360"/>
      </w:pPr>
      <w:rPr>
        <w:rFonts w:ascii="Courier New" w:hAnsi="Courier New" w:cs="Courier New" w:hint="default"/>
      </w:rPr>
    </w:lvl>
    <w:lvl w:ilvl="8" w:tplc="75B29F26" w:tentative="1">
      <w:start w:val="1"/>
      <w:numFmt w:val="bullet"/>
      <w:lvlText w:val=""/>
      <w:lvlJc w:val="left"/>
      <w:pPr>
        <w:ind w:left="7776" w:hanging="360"/>
      </w:pPr>
      <w:rPr>
        <w:rFonts w:ascii="Wingdings" w:hAnsi="Wingdings" w:hint="default"/>
      </w:rPr>
    </w:lvl>
  </w:abstractNum>
  <w:abstractNum w:abstractNumId="13">
    <w:nsid w:val="54714268"/>
    <w:multiLevelType w:val="multilevel"/>
    <w:tmpl w:val="3680401E"/>
    <w:lvl w:ilvl="0">
      <w:start w:val="1"/>
      <w:numFmt w:val="decimal"/>
      <w:pStyle w:val="Numbered12-1"/>
      <w:lvlText w:val="%1."/>
      <w:lvlJc w:val="left"/>
      <w:pPr>
        <w:tabs>
          <w:tab w:val="num" w:pos="792"/>
        </w:tabs>
        <w:ind w:left="792" w:hanging="432"/>
      </w:pPr>
      <w:rPr>
        <w:rFonts w:ascii="Times New Roman" w:hAnsi="Times New Roman" w:hint="default"/>
        <w:sz w:val="24"/>
      </w:rPr>
    </w:lvl>
    <w:lvl w:ilvl="1">
      <w:start w:val="6"/>
      <w:numFmt w:val="decimal"/>
      <w:isLgl/>
      <w:lvlText w:val="%1.%2."/>
      <w:lvlJc w:val="left"/>
      <w:pPr>
        <w:ind w:left="1395" w:hanging="1035"/>
      </w:pPr>
      <w:rPr>
        <w:rFonts w:hint="default"/>
      </w:rPr>
    </w:lvl>
    <w:lvl w:ilvl="2">
      <w:start w:val="1"/>
      <w:numFmt w:val="decimal"/>
      <w:isLgl/>
      <w:lvlText w:val="%1.%2.%3."/>
      <w:lvlJc w:val="left"/>
      <w:pPr>
        <w:ind w:left="1035" w:hanging="1035"/>
      </w:pPr>
      <w:rPr>
        <w:rFonts w:hint="default"/>
      </w:rPr>
    </w:lvl>
    <w:lvl w:ilvl="3">
      <w:start w:val="1"/>
      <w:numFmt w:val="decimal"/>
      <w:isLgl/>
      <w:lvlText w:val="%1.%2.%3.%4."/>
      <w:lvlJc w:val="left"/>
      <w:pPr>
        <w:ind w:left="1395" w:hanging="10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5F67F00"/>
    <w:multiLevelType w:val="multilevel"/>
    <w:tmpl w:val="585C1D3A"/>
    <w:lvl w:ilvl="0">
      <w:start w:val="1"/>
      <w:numFmt w:val="decimal"/>
      <w:pStyle w:val="ReferenceHeading2"/>
      <w:lvlText w:val="%1."/>
      <w:lvlJc w:val="left"/>
      <w:pPr>
        <w:tabs>
          <w:tab w:val="num" w:pos="850"/>
        </w:tabs>
        <w:ind w:left="850" w:hanging="850"/>
      </w:pPr>
    </w:lvl>
    <w:lvl w:ilvl="1">
      <w:start w:val="1"/>
      <w:numFmt w:val="decimal"/>
      <w:pStyle w:val="ReferenceHeading3"/>
      <w:isLg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Text w:val="%2.%3.%4.%5.%6.%9."/>
      <w:lvlJc w:val="left"/>
      <w:pPr>
        <w:tabs>
          <w:tab w:val="num" w:pos="2246"/>
        </w:tabs>
        <w:ind w:left="2246" w:hanging="1411"/>
      </w:pPr>
    </w:lvl>
  </w:abstractNum>
  <w:abstractNum w:abstractNumId="15">
    <w:nsid w:val="5AEF3BE9"/>
    <w:multiLevelType w:val="singleLevel"/>
    <w:tmpl w:val="13A03A90"/>
    <w:lvl w:ilvl="0">
      <w:start w:val="1"/>
      <w:numFmt w:val="bullet"/>
      <w:pStyle w:val="BulletIndent2-"/>
      <w:lvlText w:val=""/>
      <w:lvlJc w:val="left"/>
      <w:pPr>
        <w:tabs>
          <w:tab w:val="num" w:pos="648"/>
        </w:tabs>
        <w:ind w:left="288" w:firstLine="0"/>
      </w:pPr>
      <w:rPr>
        <w:rFonts w:ascii="Symbol" w:hAnsi="Symbol" w:hint="default"/>
      </w:rPr>
    </w:lvl>
  </w:abstractNum>
  <w:abstractNum w:abstractNumId="16">
    <w:nsid w:val="5E022CB1"/>
    <w:multiLevelType w:val="singleLevel"/>
    <w:tmpl w:val="B4106BE6"/>
    <w:lvl w:ilvl="0">
      <w:start w:val="1"/>
      <w:numFmt w:val="bullet"/>
      <w:pStyle w:val="BulletIndent6"/>
      <w:lvlText w:val=""/>
      <w:lvlJc w:val="left"/>
      <w:pPr>
        <w:tabs>
          <w:tab w:val="num" w:pos="922"/>
        </w:tabs>
        <w:ind w:left="288" w:firstLine="274"/>
      </w:pPr>
      <w:rPr>
        <w:rFonts w:ascii="Symbol" w:hAnsi="Symbol" w:hint="default"/>
      </w:rPr>
    </w:lvl>
  </w:abstractNum>
  <w:abstractNum w:abstractNumId="17">
    <w:nsid w:val="5F2A1ABE"/>
    <w:multiLevelType w:val="singleLevel"/>
    <w:tmpl w:val="8E1A0C36"/>
    <w:lvl w:ilvl="0">
      <w:start w:val="1"/>
      <w:numFmt w:val="bullet"/>
      <w:pStyle w:val="BulletIndent4"/>
      <w:lvlText w:val=""/>
      <w:lvlJc w:val="left"/>
      <w:pPr>
        <w:tabs>
          <w:tab w:val="num" w:pos="360"/>
        </w:tabs>
        <w:ind w:left="360" w:hanging="360"/>
      </w:pPr>
      <w:rPr>
        <w:rFonts w:ascii="Symbol" w:hAnsi="Symbol" w:hint="default"/>
      </w:rPr>
    </w:lvl>
  </w:abstractNum>
  <w:abstractNum w:abstractNumId="18">
    <w:nsid w:val="6A24365C"/>
    <w:multiLevelType w:val="singleLevel"/>
    <w:tmpl w:val="E6B2D550"/>
    <w:lvl w:ilvl="0">
      <w:start w:val="1"/>
      <w:numFmt w:val="bullet"/>
      <w:pStyle w:val="ReferenceBullet"/>
      <w:lvlText w:val=""/>
      <w:lvlJc w:val="left"/>
      <w:pPr>
        <w:tabs>
          <w:tab w:val="num" w:pos="1224"/>
        </w:tabs>
        <w:ind w:left="1224" w:hanging="389"/>
      </w:pPr>
      <w:rPr>
        <w:rFonts w:ascii="Symbol" w:hAnsi="Symbol" w:hint="default"/>
      </w:rPr>
    </w:lvl>
  </w:abstractNum>
  <w:abstractNum w:abstractNumId="19">
    <w:nsid w:val="72894C68"/>
    <w:multiLevelType w:val="singleLevel"/>
    <w:tmpl w:val="AE823A22"/>
    <w:lvl w:ilvl="0">
      <w:start w:val="1"/>
      <w:numFmt w:val="bullet"/>
      <w:pStyle w:val="BulletIndent5-"/>
      <w:lvlText w:val=""/>
      <w:lvlJc w:val="left"/>
      <w:pPr>
        <w:tabs>
          <w:tab w:val="num" w:pos="1570"/>
        </w:tabs>
        <w:ind w:left="360" w:firstLine="850"/>
      </w:pPr>
      <w:rPr>
        <w:rFonts w:ascii="Symbol" w:hAnsi="Symbol" w:hint="default"/>
      </w:rPr>
    </w:lvl>
  </w:abstractNum>
  <w:abstractNum w:abstractNumId="20">
    <w:nsid w:val="7B333501"/>
    <w:multiLevelType w:val="hybridMultilevel"/>
    <w:tmpl w:val="2DAC8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6"/>
  </w:num>
  <w:num w:numId="4">
    <w:abstractNumId w:val="17"/>
  </w:num>
  <w:num w:numId="5">
    <w:abstractNumId w:val="15"/>
  </w:num>
  <w:num w:numId="6">
    <w:abstractNumId w:val="1"/>
  </w:num>
  <w:num w:numId="7">
    <w:abstractNumId w:val="19"/>
  </w:num>
  <w:num w:numId="8">
    <w:abstractNumId w:val="6"/>
  </w:num>
  <w:num w:numId="9">
    <w:abstractNumId w:val="7"/>
  </w:num>
  <w:num w:numId="10">
    <w:abstractNumId w:val="3"/>
  </w:num>
  <w:num w:numId="11">
    <w:abstractNumId w:val="14"/>
  </w:num>
  <w:num w:numId="12">
    <w:abstractNumId w:val="18"/>
  </w:num>
  <w:num w:numId="13">
    <w:abstractNumId w:val="0"/>
  </w:num>
  <w:num w:numId="14">
    <w:abstractNumId w:val="0"/>
  </w:num>
  <w:num w:numId="15">
    <w:abstractNumId w:val="0"/>
  </w:num>
  <w:num w:numId="16">
    <w:abstractNumId w:val="11"/>
  </w:num>
  <w:num w:numId="17">
    <w:abstractNumId w:val="20"/>
  </w:num>
  <w:num w:numId="18">
    <w:abstractNumId w:val="8"/>
  </w:num>
  <w:num w:numId="19">
    <w:abstractNumId w:val="10"/>
  </w:num>
  <w:num w:numId="20">
    <w:abstractNumId w:val="4"/>
  </w:num>
  <w:num w:numId="21">
    <w:abstractNumId w:val="13"/>
  </w:num>
  <w:num w:numId="22">
    <w:abstractNumId w:val="12"/>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AU" w:vendorID="64" w:dllVersion="131077" w:nlCheck="1" w:checkStyle="1"/>
  <w:activeWritingStyle w:appName="MSWord" w:lang="en-US" w:vendorID="64" w:dllVersion="131077" w:nlCheck="1" w:checkStyle="1"/>
  <w:activeWritingStyle w:appName="MSWord" w:lang="en-GB"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919"/>
  <w:doNotHyphenateCaps/>
  <w:drawingGridHorizontalSpacing w:val="110"/>
  <w:displayHorizontalDrawingGridEvery w:val="0"/>
  <w:displayVerticalDrawingGridEvery w:val="0"/>
  <w:doNotShadeFormData/>
  <w:noPunctuationKerning/>
  <w:characterSpacingControl w:val="doNotCompress"/>
  <w:hdrShapeDefaults>
    <o:shapedefaults v:ext="edit" spidmax="4710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E5"/>
    <w:rsid w:val="000016BD"/>
    <w:rsid w:val="00002F5F"/>
    <w:rsid w:val="000032AE"/>
    <w:rsid w:val="00003FDB"/>
    <w:rsid w:val="000049B7"/>
    <w:rsid w:val="000075B5"/>
    <w:rsid w:val="0001328E"/>
    <w:rsid w:val="00013880"/>
    <w:rsid w:val="000155AB"/>
    <w:rsid w:val="00015E3C"/>
    <w:rsid w:val="00026C51"/>
    <w:rsid w:val="00030241"/>
    <w:rsid w:val="000330C8"/>
    <w:rsid w:val="00034901"/>
    <w:rsid w:val="000359CC"/>
    <w:rsid w:val="00036327"/>
    <w:rsid w:val="00043D8F"/>
    <w:rsid w:val="00044616"/>
    <w:rsid w:val="00044979"/>
    <w:rsid w:val="000537D1"/>
    <w:rsid w:val="00054C5F"/>
    <w:rsid w:val="00054FE2"/>
    <w:rsid w:val="000550E2"/>
    <w:rsid w:val="000606EF"/>
    <w:rsid w:val="00060AFB"/>
    <w:rsid w:val="00060DC1"/>
    <w:rsid w:val="000618A3"/>
    <w:rsid w:val="000651BD"/>
    <w:rsid w:val="000651EA"/>
    <w:rsid w:val="00070C86"/>
    <w:rsid w:val="000722A2"/>
    <w:rsid w:val="000723BD"/>
    <w:rsid w:val="000737E7"/>
    <w:rsid w:val="00073D60"/>
    <w:rsid w:val="00075680"/>
    <w:rsid w:val="00077DBD"/>
    <w:rsid w:val="00082C2C"/>
    <w:rsid w:val="0008307B"/>
    <w:rsid w:val="00087932"/>
    <w:rsid w:val="000879CF"/>
    <w:rsid w:val="00095771"/>
    <w:rsid w:val="00095A4F"/>
    <w:rsid w:val="000A111C"/>
    <w:rsid w:val="000A317E"/>
    <w:rsid w:val="000A68CB"/>
    <w:rsid w:val="000B1EA2"/>
    <w:rsid w:val="000B2583"/>
    <w:rsid w:val="000B770C"/>
    <w:rsid w:val="000C1B45"/>
    <w:rsid w:val="000C3E3A"/>
    <w:rsid w:val="000C68D1"/>
    <w:rsid w:val="000D4A2F"/>
    <w:rsid w:val="000D6343"/>
    <w:rsid w:val="000D6FAE"/>
    <w:rsid w:val="000D7903"/>
    <w:rsid w:val="000E55E9"/>
    <w:rsid w:val="000E5764"/>
    <w:rsid w:val="000E7923"/>
    <w:rsid w:val="000F42D9"/>
    <w:rsid w:val="000F5FF2"/>
    <w:rsid w:val="000F6150"/>
    <w:rsid w:val="000F7E6D"/>
    <w:rsid w:val="00103BDB"/>
    <w:rsid w:val="00105659"/>
    <w:rsid w:val="00112954"/>
    <w:rsid w:val="001164A7"/>
    <w:rsid w:val="00122522"/>
    <w:rsid w:val="00126963"/>
    <w:rsid w:val="001273F4"/>
    <w:rsid w:val="00127E0A"/>
    <w:rsid w:val="00132791"/>
    <w:rsid w:val="00133873"/>
    <w:rsid w:val="00134CCE"/>
    <w:rsid w:val="0013670E"/>
    <w:rsid w:val="00143A5E"/>
    <w:rsid w:val="0014506B"/>
    <w:rsid w:val="00170A3F"/>
    <w:rsid w:val="001740E9"/>
    <w:rsid w:val="00177C36"/>
    <w:rsid w:val="00180630"/>
    <w:rsid w:val="00184658"/>
    <w:rsid w:val="001848E0"/>
    <w:rsid w:val="00184DBD"/>
    <w:rsid w:val="00192454"/>
    <w:rsid w:val="00195EEB"/>
    <w:rsid w:val="00196BFD"/>
    <w:rsid w:val="001A5C13"/>
    <w:rsid w:val="001A647B"/>
    <w:rsid w:val="001B0450"/>
    <w:rsid w:val="001B2C6C"/>
    <w:rsid w:val="001B580E"/>
    <w:rsid w:val="001C4CF2"/>
    <w:rsid w:val="001C6C14"/>
    <w:rsid w:val="001D2428"/>
    <w:rsid w:val="001D58FB"/>
    <w:rsid w:val="001E07C2"/>
    <w:rsid w:val="001E3DA1"/>
    <w:rsid w:val="001E5053"/>
    <w:rsid w:val="001F241D"/>
    <w:rsid w:val="001F40BA"/>
    <w:rsid w:val="001F4E9D"/>
    <w:rsid w:val="00200CAC"/>
    <w:rsid w:val="0020407F"/>
    <w:rsid w:val="00205205"/>
    <w:rsid w:val="002063EF"/>
    <w:rsid w:val="002160DF"/>
    <w:rsid w:val="002265D0"/>
    <w:rsid w:val="00232510"/>
    <w:rsid w:val="00232C52"/>
    <w:rsid w:val="002342A0"/>
    <w:rsid w:val="0023627C"/>
    <w:rsid w:val="002416B1"/>
    <w:rsid w:val="00241C4D"/>
    <w:rsid w:val="00243A11"/>
    <w:rsid w:val="00245775"/>
    <w:rsid w:val="0025140E"/>
    <w:rsid w:val="00251C5B"/>
    <w:rsid w:val="0025444B"/>
    <w:rsid w:val="00254C64"/>
    <w:rsid w:val="00280531"/>
    <w:rsid w:val="00280876"/>
    <w:rsid w:val="0028130C"/>
    <w:rsid w:val="002866B6"/>
    <w:rsid w:val="002877DB"/>
    <w:rsid w:val="0029009B"/>
    <w:rsid w:val="002908D4"/>
    <w:rsid w:val="00291702"/>
    <w:rsid w:val="00291CB1"/>
    <w:rsid w:val="00294EBE"/>
    <w:rsid w:val="00295190"/>
    <w:rsid w:val="0029744A"/>
    <w:rsid w:val="002A2342"/>
    <w:rsid w:val="002A2FE7"/>
    <w:rsid w:val="002A6369"/>
    <w:rsid w:val="002A6829"/>
    <w:rsid w:val="002A7BB2"/>
    <w:rsid w:val="002A7FFA"/>
    <w:rsid w:val="002B49E1"/>
    <w:rsid w:val="002B5979"/>
    <w:rsid w:val="002B6155"/>
    <w:rsid w:val="002C06B7"/>
    <w:rsid w:val="002C35D5"/>
    <w:rsid w:val="002C6CFE"/>
    <w:rsid w:val="002E3C8F"/>
    <w:rsid w:val="002E5CD1"/>
    <w:rsid w:val="002E64BF"/>
    <w:rsid w:val="003010D2"/>
    <w:rsid w:val="003012D9"/>
    <w:rsid w:val="00306EC5"/>
    <w:rsid w:val="00311BA4"/>
    <w:rsid w:val="003144C6"/>
    <w:rsid w:val="00317724"/>
    <w:rsid w:val="003215FA"/>
    <w:rsid w:val="00322B8E"/>
    <w:rsid w:val="00323A66"/>
    <w:rsid w:val="00324EEB"/>
    <w:rsid w:val="00326645"/>
    <w:rsid w:val="00326E3B"/>
    <w:rsid w:val="00331FCE"/>
    <w:rsid w:val="00335ACD"/>
    <w:rsid w:val="00335DB0"/>
    <w:rsid w:val="00337A31"/>
    <w:rsid w:val="00347DC3"/>
    <w:rsid w:val="00353AF6"/>
    <w:rsid w:val="0035599A"/>
    <w:rsid w:val="003620BC"/>
    <w:rsid w:val="003639C9"/>
    <w:rsid w:val="00363D37"/>
    <w:rsid w:val="003646E8"/>
    <w:rsid w:val="00365AB7"/>
    <w:rsid w:val="0036679E"/>
    <w:rsid w:val="00370B88"/>
    <w:rsid w:val="00371E6B"/>
    <w:rsid w:val="00374DC2"/>
    <w:rsid w:val="003778B1"/>
    <w:rsid w:val="00383380"/>
    <w:rsid w:val="00397A0D"/>
    <w:rsid w:val="003A457E"/>
    <w:rsid w:val="003A645B"/>
    <w:rsid w:val="003B02FA"/>
    <w:rsid w:val="003B034A"/>
    <w:rsid w:val="003B0B09"/>
    <w:rsid w:val="003B6A8B"/>
    <w:rsid w:val="003C0CBF"/>
    <w:rsid w:val="003C3F06"/>
    <w:rsid w:val="003C4CB3"/>
    <w:rsid w:val="003C630C"/>
    <w:rsid w:val="003C67C6"/>
    <w:rsid w:val="003C70E0"/>
    <w:rsid w:val="003D7A9D"/>
    <w:rsid w:val="003E1FF1"/>
    <w:rsid w:val="003E22E7"/>
    <w:rsid w:val="003F126D"/>
    <w:rsid w:val="00404040"/>
    <w:rsid w:val="00412AD5"/>
    <w:rsid w:val="00413993"/>
    <w:rsid w:val="00415DEF"/>
    <w:rsid w:val="00421897"/>
    <w:rsid w:val="00422C15"/>
    <w:rsid w:val="004255C9"/>
    <w:rsid w:val="0043533F"/>
    <w:rsid w:val="004376B2"/>
    <w:rsid w:val="00437C8A"/>
    <w:rsid w:val="004402E3"/>
    <w:rsid w:val="0044078D"/>
    <w:rsid w:val="00442410"/>
    <w:rsid w:val="00444DB0"/>
    <w:rsid w:val="00446577"/>
    <w:rsid w:val="00452C19"/>
    <w:rsid w:val="00453AFF"/>
    <w:rsid w:val="00454E69"/>
    <w:rsid w:val="004759BE"/>
    <w:rsid w:val="00482B4C"/>
    <w:rsid w:val="0048523E"/>
    <w:rsid w:val="00485B8A"/>
    <w:rsid w:val="0049144A"/>
    <w:rsid w:val="0049224D"/>
    <w:rsid w:val="00493C2E"/>
    <w:rsid w:val="0049586B"/>
    <w:rsid w:val="0049699B"/>
    <w:rsid w:val="004A4B28"/>
    <w:rsid w:val="004A5442"/>
    <w:rsid w:val="004A7DC7"/>
    <w:rsid w:val="004B1E7D"/>
    <w:rsid w:val="004B1EE1"/>
    <w:rsid w:val="004B6715"/>
    <w:rsid w:val="004B67D6"/>
    <w:rsid w:val="004C1F73"/>
    <w:rsid w:val="004D199D"/>
    <w:rsid w:val="004D3969"/>
    <w:rsid w:val="004D4A57"/>
    <w:rsid w:val="004E0108"/>
    <w:rsid w:val="004E3205"/>
    <w:rsid w:val="004E62DA"/>
    <w:rsid w:val="004F2061"/>
    <w:rsid w:val="004F3BA8"/>
    <w:rsid w:val="004F4E92"/>
    <w:rsid w:val="004F5705"/>
    <w:rsid w:val="004F7B6F"/>
    <w:rsid w:val="00500C79"/>
    <w:rsid w:val="00502478"/>
    <w:rsid w:val="00510498"/>
    <w:rsid w:val="00510572"/>
    <w:rsid w:val="00520DA4"/>
    <w:rsid w:val="005279FD"/>
    <w:rsid w:val="0053106F"/>
    <w:rsid w:val="00533D08"/>
    <w:rsid w:val="00533F9D"/>
    <w:rsid w:val="00535D7E"/>
    <w:rsid w:val="00536204"/>
    <w:rsid w:val="005415C1"/>
    <w:rsid w:val="00541834"/>
    <w:rsid w:val="005461D9"/>
    <w:rsid w:val="00547E8C"/>
    <w:rsid w:val="00550917"/>
    <w:rsid w:val="00550D11"/>
    <w:rsid w:val="00552223"/>
    <w:rsid w:val="00553C06"/>
    <w:rsid w:val="00554755"/>
    <w:rsid w:val="00561DEF"/>
    <w:rsid w:val="00562625"/>
    <w:rsid w:val="00564B34"/>
    <w:rsid w:val="005654DC"/>
    <w:rsid w:val="005659FC"/>
    <w:rsid w:val="005670F9"/>
    <w:rsid w:val="00570B78"/>
    <w:rsid w:val="00574FE1"/>
    <w:rsid w:val="00577650"/>
    <w:rsid w:val="00585EAF"/>
    <w:rsid w:val="00592774"/>
    <w:rsid w:val="00597359"/>
    <w:rsid w:val="005A5D7E"/>
    <w:rsid w:val="005A6963"/>
    <w:rsid w:val="005C1097"/>
    <w:rsid w:val="005C5F12"/>
    <w:rsid w:val="005C63DA"/>
    <w:rsid w:val="005D14B6"/>
    <w:rsid w:val="005D174A"/>
    <w:rsid w:val="005D191E"/>
    <w:rsid w:val="005D30CD"/>
    <w:rsid w:val="005D66F0"/>
    <w:rsid w:val="005D75E5"/>
    <w:rsid w:val="005E0B91"/>
    <w:rsid w:val="005E749A"/>
    <w:rsid w:val="005F014B"/>
    <w:rsid w:val="005F0221"/>
    <w:rsid w:val="005F23E9"/>
    <w:rsid w:val="005F4521"/>
    <w:rsid w:val="005F5EAE"/>
    <w:rsid w:val="005F6B5F"/>
    <w:rsid w:val="00602D3F"/>
    <w:rsid w:val="006041C0"/>
    <w:rsid w:val="006074FD"/>
    <w:rsid w:val="00607F7D"/>
    <w:rsid w:val="0061398D"/>
    <w:rsid w:val="00614D15"/>
    <w:rsid w:val="006218FE"/>
    <w:rsid w:val="0062674F"/>
    <w:rsid w:val="00630A46"/>
    <w:rsid w:val="006339FE"/>
    <w:rsid w:val="00634F17"/>
    <w:rsid w:val="0063594F"/>
    <w:rsid w:val="0063797F"/>
    <w:rsid w:val="00645B8F"/>
    <w:rsid w:val="00651B70"/>
    <w:rsid w:val="006566D3"/>
    <w:rsid w:val="00657E62"/>
    <w:rsid w:val="006623D5"/>
    <w:rsid w:val="00670CA7"/>
    <w:rsid w:val="006713AA"/>
    <w:rsid w:val="0067545A"/>
    <w:rsid w:val="00676CA0"/>
    <w:rsid w:val="0067712A"/>
    <w:rsid w:val="00681E96"/>
    <w:rsid w:val="00682F10"/>
    <w:rsid w:val="006861C2"/>
    <w:rsid w:val="00687252"/>
    <w:rsid w:val="00691C27"/>
    <w:rsid w:val="0069371F"/>
    <w:rsid w:val="006A044A"/>
    <w:rsid w:val="006A3437"/>
    <w:rsid w:val="006A6648"/>
    <w:rsid w:val="006B0032"/>
    <w:rsid w:val="006B0EA0"/>
    <w:rsid w:val="006B562B"/>
    <w:rsid w:val="006D27EB"/>
    <w:rsid w:val="006D32D3"/>
    <w:rsid w:val="006D5D17"/>
    <w:rsid w:val="006D79B2"/>
    <w:rsid w:val="006E234A"/>
    <w:rsid w:val="006E5F18"/>
    <w:rsid w:val="006E797B"/>
    <w:rsid w:val="006F211C"/>
    <w:rsid w:val="007019AD"/>
    <w:rsid w:val="00704B0F"/>
    <w:rsid w:val="00711EA2"/>
    <w:rsid w:val="00720EF4"/>
    <w:rsid w:val="0072265F"/>
    <w:rsid w:val="00723088"/>
    <w:rsid w:val="007276BE"/>
    <w:rsid w:val="007323E9"/>
    <w:rsid w:val="00737FB2"/>
    <w:rsid w:val="00741388"/>
    <w:rsid w:val="00743F3B"/>
    <w:rsid w:val="0074748B"/>
    <w:rsid w:val="00753997"/>
    <w:rsid w:val="00757E4A"/>
    <w:rsid w:val="0076522B"/>
    <w:rsid w:val="00766480"/>
    <w:rsid w:val="0077134E"/>
    <w:rsid w:val="00771F05"/>
    <w:rsid w:val="007732F9"/>
    <w:rsid w:val="007732FB"/>
    <w:rsid w:val="007766AC"/>
    <w:rsid w:val="007777F1"/>
    <w:rsid w:val="00782E97"/>
    <w:rsid w:val="007849CC"/>
    <w:rsid w:val="007941F2"/>
    <w:rsid w:val="0079444A"/>
    <w:rsid w:val="0079548A"/>
    <w:rsid w:val="007A2C9A"/>
    <w:rsid w:val="007B13FB"/>
    <w:rsid w:val="007B1567"/>
    <w:rsid w:val="007B185E"/>
    <w:rsid w:val="007B261A"/>
    <w:rsid w:val="007B2926"/>
    <w:rsid w:val="007B69A9"/>
    <w:rsid w:val="007B6CEF"/>
    <w:rsid w:val="007B6F20"/>
    <w:rsid w:val="007C23E9"/>
    <w:rsid w:val="007C5CD1"/>
    <w:rsid w:val="007C73DD"/>
    <w:rsid w:val="007D017A"/>
    <w:rsid w:val="007D6403"/>
    <w:rsid w:val="007D6F93"/>
    <w:rsid w:val="007D72DA"/>
    <w:rsid w:val="007D78A0"/>
    <w:rsid w:val="007D7C88"/>
    <w:rsid w:val="007E2DBE"/>
    <w:rsid w:val="007F308F"/>
    <w:rsid w:val="007F7554"/>
    <w:rsid w:val="00801ED3"/>
    <w:rsid w:val="0080361B"/>
    <w:rsid w:val="00810D9A"/>
    <w:rsid w:val="00811523"/>
    <w:rsid w:val="00814B35"/>
    <w:rsid w:val="00817081"/>
    <w:rsid w:val="00824F69"/>
    <w:rsid w:val="008302CD"/>
    <w:rsid w:val="0083476B"/>
    <w:rsid w:val="00846013"/>
    <w:rsid w:val="00846196"/>
    <w:rsid w:val="00852E54"/>
    <w:rsid w:val="008636DE"/>
    <w:rsid w:val="008638D3"/>
    <w:rsid w:val="00865C69"/>
    <w:rsid w:val="008664AC"/>
    <w:rsid w:val="00872175"/>
    <w:rsid w:val="008765A2"/>
    <w:rsid w:val="00880763"/>
    <w:rsid w:val="00884B66"/>
    <w:rsid w:val="00895EAB"/>
    <w:rsid w:val="00896CFC"/>
    <w:rsid w:val="008A1983"/>
    <w:rsid w:val="008A19D7"/>
    <w:rsid w:val="008A22D2"/>
    <w:rsid w:val="008A2BE2"/>
    <w:rsid w:val="008A4CD2"/>
    <w:rsid w:val="008A5A3A"/>
    <w:rsid w:val="008A6B65"/>
    <w:rsid w:val="008A7E1F"/>
    <w:rsid w:val="008B23A5"/>
    <w:rsid w:val="008B2BAA"/>
    <w:rsid w:val="008B3E59"/>
    <w:rsid w:val="008B4E3B"/>
    <w:rsid w:val="008C7B33"/>
    <w:rsid w:val="008D6FA3"/>
    <w:rsid w:val="008E0672"/>
    <w:rsid w:val="008E4432"/>
    <w:rsid w:val="008E6FFA"/>
    <w:rsid w:val="008F47F2"/>
    <w:rsid w:val="00906E39"/>
    <w:rsid w:val="00910476"/>
    <w:rsid w:val="00910478"/>
    <w:rsid w:val="0091469D"/>
    <w:rsid w:val="009232D8"/>
    <w:rsid w:val="00942EED"/>
    <w:rsid w:val="00943BC5"/>
    <w:rsid w:val="009446AB"/>
    <w:rsid w:val="00944C5B"/>
    <w:rsid w:val="00946101"/>
    <w:rsid w:val="0095725D"/>
    <w:rsid w:val="009756ED"/>
    <w:rsid w:val="00975B64"/>
    <w:rsid w:val="00976D72"/>
    <w:rsid w:val="0098174E"/>
    <w:rsid w:val="00981B55"/>
    <w:rsid w:val="00982D0F"/>
    <w:rsid w:val="0098533A"/>
    <w:rsid w:val="009903CF"/>
    <w:rsid w:val="009910CE"/>
    <w:rsid w:val="009921E8"/>
    <w:rsid w:val="009940CC"/>
    <w:rsid w:val="00995260"/>
    <w:rsid w:val="009A2B24"/>
    <w:rsid w:val="009A3662"/>
    <w:rsid w:val="009A507F"/>
    <w:rsid w:val="009B6BA7"/>
    <w:rsid w:val="009C3636"/>
    <w:rsid w:val="009D3A47"/>
    <w:rsid w:val="009E09EB"/>
    <w:rsid w:val="009E1DEE"/>
    <w:rsid w:val="009E3E1B"/>
    <w:rsid w:val="00A01C5D"/>
    <w:rsid w:val="00A077AC"/>
    <w:rsid w:val="00A1257F"/>
    <w:rsid w:val="00A12AF0"/>
    <w:rsid w:val="00A13329"/>
    <w:rsid w:val="00A17A56"/>
    <w:rsid w:val="00A21803"/>
    <w:rsid w:val="00A22D23"/>
    <w:rsid w:val="00A24BCE"/>
    <w:rsid w:val="00A25B72"/>
    <w:rsid w:val="00A332DD"/>
    <w:rsid w:val="00A3529A"/>
    <w:rsid w:val="00A37A69"/>
    <w:rsid w:val="00A4241C"/>
    <w:rsid w:val="00A443A6"/>
    <w:rsid w:val="00A44D4A"/>
    <w:rsid w:val="00A4689C"/>
    <w:rsid w:val="00A47D4F"/>
    <w:rsid w:val="00A61377"/>
    <w:rsid w:val="00A62A9E"/>
    <w:rsid w:val="00A641E8"/>
    <w:rsid w:val="00A65DA1"/>
    <w:rsid w:val="00A66187"/>
    <w:rsid w:val="00A668C9"/>
    <w:rsid w:val="00A66E4D"/>
    <w:rsid w:val="00A67A1D"/>
    <w:rsid w:val="00A72BC5"/>
    <w:rsid w:val="00A7530C"/>
    <w:rsid w:val="00A7761D"/>
    <w:rsid w:val="00A82E7A"/>
    <w:rsid w:val="00A83E50"/>
    <w:rsid w:val="00A85337"/>
    <w:rsid w:val="00AA1215"/>
    <w:rsid w:val="00AA25E6"/>
    <w:rsid w:val="00AB0816"/>
    <w:rsid w:val="00AB1A56"/>
    <w:rsid w:val="00AB6733"/>
    <w:rsid w:val="00AC42AB"/>
    <w:rsid w:val="00AC6C07"/>
    <w:rsid w:val="00AC6C50"/>
    <w:rsid w:val="00AC6D7A"/>
    <w:rsid w:val="00AC6F8B"/>
    <w:rsid w:val="00AC7345"/>
    <w:rsid w:val="00AD6BA0"/>
    <w:rsid w:val="00AD7F02"/>
    <w:rsid w:val="00AE0D69"/>
    <w:rsid w:val="00AE7B9C"/>
    <w:rsid w:val="00AF04CD"/>
    <w:rsid w:val="00B012F2"/>
    <w:rsid w:val="00B01323"/>
    <w:rsid w:val="00B03E3D"/>
    <w:rsid w:val="00B06160"/>
    <w:rsid w:val="00B103E0"/>
    <w:rsid w:val="00B13714"/>
    <w:rsid w:val="00B14E15"/>
    <w:rsid w:val="00B17AE0"/>
    <w:rsid w:val="00B20385"/>
    <w:rsid w:val="00B230AA"/>
    <w:rsid w:val="00B25707"/>
    <w:rsid w:val="00B27886"/>
    <w:rsid w:val="00B50866"/>
    <w:rsid w:val="00B55E6D"/>
    <w:rsid w:val="00B56A6D"/>
    <w:rsid w:val="00B603A1"/>
    <w:rsid w:val="00B60E6E"/>
    <w:rsid w:val="00B61005"/>
    <w:rsid w:val="00B6144C"/>
    <w:rsid w:val="00B62DD3"/>
    <w:rsid w:val="00B67DDF"/>
    <w:rsid w:val="00B700BD"/>
    <w:rsid w:val="00B704BF"/>
    <w:rsid w:val="00B74DFC"/>
    <w:rsid w:val="00B77D79"/>
    <w:rsid w:val="00B82717"/>
    <w:rsid w:val="00BA320E"/>
    <w:rsid w:val="00BC7A52"/>
    <w:rsid w:val="00BD1CB0"/>
    <w:rsid w:val="00BE078F"/>
    <w:rsid w:val="00BE2FEB"/>
    <w:rsid w:val="00BF1B0B"/>
    <w:rsid w:val="00C12577"/>
    <w:rsid w:val="00C207F9"/>
    <w:rsid w:val="00C20824"/>
    <w:rsid w:val="00C27F37"/>
    <w:rsid w:val="00C33412"/>
    <w:rsid w:val="00C33874"/>
    <w:rsid w:val="00C33916"/>
    <w:rsid w:val="00C37C66"/>
    <w:rsid w:val="00C4221E"/>
    <w:rsid w:val="00C42968"/>
    <w:rsid w:val="00C447EE"/>
    <w:rsid w:val="00C454D9"/>
    <w:rsid w:val="00C529A7"/>
    <w:rsid w:val="00C5649A"/>
    <w:rsid w:val="00C56846"/>
    <w:rsid w:val="00C60006"/>
    <w:rsid w:val="00C6158F"/>
    <w:rsid w:val="00C76776"/>
    <w:rsid w:val="00C76D4E"/>
    <w:rsid w:val="00C806F5"/>
    <w:rsid w:val="00C807B6"/>
    <w:rsid w:val="00C81444"/>
    <w:rsid w:val="00C82FF7"/>
    <w:rsid w:val="00C83486"/>
    <w:rsid w:val="00C96FB0"/>
    <w:rsid w:val="00CA04CE"/>
    <w:rsid w:val="00CA3B17"/>
    <w:rsid w:val="00CA62DF"/>
    <w:rsid w:val="00CA7ACB"/>
    <w:rsid w:val="00CB2293"/>
    <w:rsid w:val="00CB5AD8"/>
    <w:rsid w:val="00CB7EC0"/>
    <w:rsid w:val="00CD2F5B"/>
    <w:rsid w:val="00CD585A"/>
    <w:rsid w:val="00CD64D5"/>
    <w:rsid w:val="00CD75E8"/>
    <w:rsid w:val="00CE3659"/>
    <w:rsid w:val="00CE42AB"/>
    <w:rsid w:val="00CF114F"/>
    <w:rsid w:val="00CF2BEA"/>
    <w:rsid w:val="00CF65DE"/>
    <w:rsid w:val="00CF7347"/>
    <w:rsid w:val="00D0076C"/>
    <w:rsid w:val="00D01E81"/>
    <w:rsid w:val="00D1023C"/>
    <w:rsid w:val="00D109CA"/>
    <w:rsid w:val="00D110D7"/>
    <w:rsid w:val="00D11836"/>
    <w:rsid w:val="00D15D7C"/>
    <w:rsid w:val="00D26176"/>
    <w:rsid w:val="00D35CF4"/>
    <w:rsid w:val="00D37DB1"/>
    <w:rsid w:val="00D40BA9"/>
    <w:rsid w:val="00D4412B"/>
    <w:rsid w:val="00D544BC"/>
    <w:rsid w:val="00D55B6E"/>
    <w:rsid w:val="00D569D1"/>
    <w:rsid w:val="00D571A2"/>
    <w:rsid w:val="00D62BDA"/>
    <w:rsid w:val="00D65B4C"/>
    <w:rsid w:val="00D75997"/>
    <w:rsid w:val="00D87B8C"/>
    <w:rsid w:val="00D95EC6"/>
    <w:rsid w:val="00DA5E3D"/>
    <w:rsid w:val="00DB3D22"/>
    <w:rsid w:val="00DB42B7"/>
    <w:rsid w:val="00DB4AC0"/>
    <w:rsid w:val="00DB556A"/>
    <w:rsid w:val="00DC4C23"/>
    <w:rsid w:val="00DD5BE6"/>
    <w:rsid w:val="00DD65DF"/>
    <w:rsid w:val="00DE2C1E"/>
    <w:rsid w:val="00DE4231"/>
    <w:rsid w:val="00DF211E"/>
    <w:rsid w:val="00DF38DA"/>
    <w:rsid w:val="00E033B9"/>
    <w:rsid w:val="00E041B5"/>
    <w:rsid w:val="00E16A85"/>
    <w:rsid w:val="00E2737B"/>
    <w:rsid w:val="00E314E4"/>
    <w:rsid w:val="00E37BC9"/>
    <w:rsid w:val="00E40B89"/>
    <w:rsid w:val="00E44948"/>
    <w:rsid w:val="00E520A0"/>
    <w:rsid w:val="00E523BD"/>
    <w:rsid w:val="00E542A9"/>
    <w:rsid w:val="00E54762"/>
    <w:rsid w:val="00E56A05"/>
    <w:rsid w:val="00E6275E"/>
    <w:rsid w:val="00E638AB"/>
    <w:rsid w:val="00E66F33"/>
    <w:rsid w:val="00E75B1C"/>
    <w:rsid w:val="00E75B5C"/>
    <w:rsid w:val="00E84E93"/>
    <w:rsid w:val="00E85B66"/>
    <w:rsid w:val="00E85EF9"/>
    <w:rsid w:val="00E874EB"/>
    <w:rsid w:val="00E87C19"/>
    <w:rsid w:val="00EA256C"/>
    <w:rsid w:val="00EA491F"/>
    <w:rsid w:val="00EA5B3C"/>
    <w:rsid w:val="00ED15EE"/>
    <w:rsid w:val="00ED22B5"/>
    <w:rsid w:val="00ED31D5"/>
    <w:rsid w:val="00EE0035"/>
    <w:rsid w:val="00EE2157"/>
    <w:rsid w:val="00EE6629"/>
    <w:rsid w:val="00EE6868"/>
    <w:rsid w:val="00EE761A"/>
    <w:rsid w:val="00EF5060"/>
    <w:rsid w:val="00EF6CE8"/>
    <w:rsid w:val="00EF744D"/>
    <w:rsid w:val="00F02F0E"/>
    <w:rsid w:val="00F04C68"/>
    <w:rsid w:val="00F121C8"/>
    <w:rsid w:val="00F14838"/>
    <w:rsid w:val="00F14A2F"/>
    <w:rsid w:val="00F17206"/>
    <w:rsid w:val="00F21227"/>
    <w:rsid w:val="00F33E2F"/>
    <w:rsid w:val="00F40C3C"/>
    <w:rsid w:val="00F439C3"/>
    <w:rsid w:val="00F43BB6"/>
    <w:rsid w:val="00F53FDA"/>
    <w:rsid w:val="00F540B5"/>
    <w:rsid w:val="00F546CF"/>
    <w:rsid w:val="00F644C1"/>
    <w:rsid w:val="00F65F7E"/>
    <w:rsid w:val="00F70A42"/>
    <w:rsid w:val="00F74F52"/>
    <w:rsid w:val="00F752BF"/>
    <w:rsid w:val="00F752F7"/>
    <w:rsid w:val="00F76215"/>
    <w:rsid w:val="00F8019D"/>
    <w:rsid w:val="00F81AED"/>
    <w:rsid w:val="00F8367C"/>
    <w:rsid w:val="00F90BAC"/>
    <w:rsid w:val="00F955C9"/>
    <w:rsid w:val="00FA20DC"/>
    <w:rsid w:val="00FA3284"/>
    <w:rsid w:val="00FA51A4"/>
    <w:rsid w:val="00FB2784"/>
    <w:rsid w:val="00FB4952"/>
    <w:rsid w:val="00FB705C"/>
    <w:rsid w:val="00FC493D"/>
    <w:rsid w:val="00FC61B8"/>
    <w:rsid w:val="00FC7A2F"/>
    <w:rsid w:val="00FD2638"/>
    <w:rsid w:val="00FD4504"/>
    <w:rsid w:val="00FD4EE8"/>
    <w:rsid w:val="00FE109B"/>
    <w:rsid w:val="00FE2974"/>
    <w:rsid w:val="00FE4790"/>
    <w:rsid w:val="00FE65EB"/>
    <w:rsid w:val="00FF0ADD"/>
    <w:rsid w:val="00FF1764"/>
    <w:rsid w:val="00FF614F"/>
    <w:rsid w:val="00FF62BA"/>
    <w:rsid w:val="00FF7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reference" w:uiPriority="0"/>
    <w:lsdException w:name="List Bullet" w:qFormat="1"/>
    <w:lsdException w:name="List Bullet 2"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968"/>
    <w:rPr>
      <w:rFonts w:ascii="Arial" w:hAnsi="Arial" w:cs="Arial"/>
      <w:color w:val="000000"/>
      <w:sz w:val="22"/>
      <w:szCs w:val="22"/>
      <w:lang w:val="en-AU"/>
    </w:rPr>
  </w:style>
  <w:style w:type="paragraph" w:styleId="Heading1">
    <w:name w:val="heading 1"/>
    <w:basedOn w:val="PIHEADING1"/>
    <w:next w:val="Normal"/>
    <w:qFormat/>
    <w:rsid w:val="00C42968"/>
    <w:pPr>
      <w:outlineLvl w:val="0"/>
    </w:pPr>
  </w:style>
  <w:style w:type="paragraph" w:styleId="Heading2">
    <w:name w:val="heading 2"/>
    <w:basedOn w:val="PIHEADING2"/>
    <w:next w:val="Normal"/>
    <w:qFormat/>
    <w:rsid w:val="00C42968"/>
    <w:pPr>
      <w:jc w:val="both"/>
      <w:outlineLvl w:val="1"/>
    </w:pPr>
    <w:rPr>
      <w:sz w:val="24"/>
      <w:szCs w:val="24"/>
    </w:rPr>
  </w:style>
  <w:style w:type="paragraph" w:styleId="Heading3">
    <w:name w:val="heading 3"/>
    <w:basedOn w:val="Heading2"/>
    <w:next w:val="Normal"/>
    <w:qFormat/>
    <w:rsid w:val="00C42968"/>
    <w:pPr>
      <w:outlineLvl w:val="2"/>
    </w:pPr>
    <w:rPr>
      <w:sz w:val="22"/>
      <w:szCs w:val="22"/>
    </w:rPr>
  </w:style>
  <w:style w:type="paragraph" w:styleId="Heading4">
    <w:name w:val="heading 4"/>
    <w:basedOn w:val="Normal"/>
    <w:next w:val="BodyText12"/>
    <w:qFormat/>
    <w:rsid w:val="00C42968"/>
    <w:pPr>
      <w:spacing w:after="120"/>
      <w:outlineLvl w:val="3"/>
    </w:pPr>
    <w:rPr>
      <w:u w:val="single"/>
    </w:rPr>
  </w:style>
  <w:style w:type="paragraph" w:styleId="Heading5">
    <w:name w:val="heading 5"/>
    <w:next w:val="BodyText12"/>
    <w:qFormat/>
    <w:rsid w:val="00C42968"/>
    <w:pPr>
      <w:keepNext/>
      <w:keepLines/>
      <w:numPr>
        <w:ilvl w:val="4"/>
        <w:numId w:val="1"/>
      </w:numPr>
      <w:tabs>
        <w:tab w:val="left" w:pos="2246"/>
      </w:tabs>
      <w:spacing w:after="60"/>
      <w:ind w:left="2247" w:hanging="1397"/>
      <w:outlineLvl w:val="4"/>
    </w:pPr>
    <w:rPr>
      <w:rFonts w:ascii="Arial" w:hAnsi="Arial"/>
      <w:b/>
      <w:i/>
      <w:sz w:val="24"/>
    </w:rPr>
  </w:style>
  <w:style w:type="paragraph" w:styleId="Heading6">
    <w:name w:val="heading 6"/>
    <w:next w:val="BodyText12"/>
    <w:qFormat/>
    <w:rsid w:val="00C42968"/>
    <w:pPr>
      <w:keepNext/>
      <w:keepLines/>
      <w:numPr>
        <w:ilvl w:val="5"/>
        <w:numId w:val="1"/>
      </w:numPr>
      <w:tabs>
        <w:tab w:val="left" w:pos="2246"/>
      </w:tabs>
      <w:spacing w:after="60"/>
      <w:ind w:left="2247" w:hanging="1397"/>
      <w:outlineLvl w:val="5"/>
    </w:pPr>
    <w:rPr>
      <w:rFonts w:ascii="Arial" w:hAnsi="Arial"/>
      <w:b/>
      <w:sz w:val="24"/>
    </w:rPr>
  </w:style>
  <w:style w:type="paragraph" w:styleId="Heading7">
    <w:name w:val="heading 7"/>
    <w:next w:val="BodyText12"/>
    <w:qFormat/>
    <w:rsid w:val="00C42968"/>
    <w:pPr>
      <w:keepNext/>
      <w:keepLines/>
      <w:numPr>
        <w:ilvl w:val="6"/>
        <w:numId w:val="1"/>
      </w:numPr>
      <w:tabs>
        <w:tab w:val="left" w:pos="2246"/>
      </w:tabs>
      <w:spacing w:after="60"/>
      <w:ind w:left="2247" w:hanging="1397"/>
      <w:outlineLvl w:val="6"/>
    </w:pPr>
    <w:rPr>
      <w:rFonts w:ascii="Arial" w:hAnsi="Arial"/>
      <w:b/>
      <w:i/>
      <w:sz w:val="24"/>
    </w:rPr>
  </w:style>
  <w:style w:type="paragraph" w:styleId="Heading8">
    <w:name w:val="heading 8"/>
    <w:basedOn w:val="Normal"/>
    <w:next w:val="Normal"/>
    <w:qFormat/>
    <w:rsid w:val="00C42968"/>
    <w:pPr>
      <w:keepNext/>
      <w:keepLines/>
      <w:outlineLvl w:val="7"/>
    </w:pPr>
    <w:rPr>
      <w:b/>
      <w:sz w:val="21"/>
    </w:rPr>
  </w:style>
  <w:style w:type="paragraph" w:styleId="Heading9">
    <w:name w:val="heading 9"/>
    <w:basedOn w:val="Normal"/>
    <w:next w:val="Normal"/>
    <w:qFormat/>
    <w:rsid w:val="00C42968"/>
    <w:pPr>
      <w:keepNext/>
      <w:keepLines/>
      <w:jc w:val="center"/>
      <w:outlineLvl w:val="8"/>
    </w:pPr>
    <w:rPr>
      <w:b/>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2">
    <w:name w:val="BodyText12"/>
    <w:rsid w:val="00C42968"/>
    <w:pPr>
      <w:spacing w:after="200" w:line="300" w:lineRule="auto"/>
      <w:jc w:val="both"/>
    </w:pPr>
    <w:rPr>
      <w:sz w:val="24"/>
    </w:rPr>
  </w:style>
  <w:style w:type="paragraph" w:customStyle="1" w:styleId="PIHEADING1">
    <w:name w:val="PI HEADING1"/>
    <w:basedOn w:val="PIHEADTOP"/>
    <w:rsid w:val="00C42968"/>
    <w:pPr>
      <w:spacing w:before="360"/>
      <w:jc w:val="both"/>
    </w:pPr>
  </w:style>
  <w:style w:type="paragraph" w:customStyle="1" w:styleId="PIHEADTOP">
    <w:name w:val="PI HEADTOP"/>
    <w:basedOn w:val="Normal"/>
    <w:rsid w:val="00C42968"/>
    <w:pPr>
      <w:tabs>
        <w:tab w:val="left" w:pos="-720"/>
      </w:tabs>
      <w:suppressAutoHyphens/>
      <w:spacing w:after="120"/>
    </w:pPr>
    <w:rPr>
      <w:b/>
      <w:caps/>
      <w:spacing w:val="-2"/>
      <w:sz w:val="28"/>
    </w:rPr>
  </w:style>
  <w:style w:type="paragraph" w:customStyle="1" w:styleId="PIProductInfo">
    <w:name w:val="PI Product Info"/>
    <w:basedOn w:val="Normal"/>
    <w:rsid w:val="00C42968"/>
    <w:pPr>
      <w:widowControl w:val="0"/>
      <w:pBdr>
        <w:bottom w:val="single" w:sz="6" w:space="1" w:color="auto"/>
      </w:pBdr>
      <w:spacing w:before="60" w:after="240"/>
      <w:jc w:val="center"/>
    </w:pPr>
    <w:rPr>
      <w:b/>
      <w:sz w:val="36"/>
      <w:lang w:val="en-US"/>
    </w:rPr>
  </w:style>
  <w:style w:type="paragraph" w:customStyle="1" w:styleId="PIMAINHEADING">
    <w:name w:val="PI MAINHEADING"/>
    <w:basedOn w:val="Heading1"/>
    <w:rsid w:val="00C42968"/>
    <w:pPr>
      <w:widowControl w:val="0"/>
      <w:pBdr>
        <w:top w:val="single" w:sz="6" w:space="1" w:color="auto"/>
      </w:pBdr>
      <w:spacing w:before="0" w:after="0"/>
      <w:jc w:val="center"/>
      <w:outlineLvl w:val="9"/>
    </w:pPr>
    <w:rPr>
      <w:rFonts w:ascii="Arial Rounded MT Bold" w:hAnsi="Arial Rounded MT Bold"/>
      <w:sz w:val="56"/>
    </w:rPr>
  </w:style>
  <w:style w:type="paragraph" w:customStyle="1" w:styleId="PIEXPLAIN">
    <w:name w:val="PI EXPLAIN"/>
    <w:basedOn w:val="Normal"/>
    <w:rsid w:val="00C42968"/>
    <w:pPr>
      <w:tabs>
        <w:tab w:val="left" w:pos="-720"/>
      </w:tabs>
      <w:suppressAutoHyphens/>
      <w:spacing w:before="20" w:after="80"/>
    </w:pPr>
    <w:rPr>
      <w:spacing w:val="-2"/>
    </w:rPr>
  </w:style>
  <w:style w:type="paragraph" w:customStyle="1" w:styleId="PIHEADING2">
    <w:name w:val="PI HEADING2"/>
    <w:basedOn w:val="Normal"/>
    <w:rsid w:val="00C42968"/>
    <w:pPr>
      <w:tabs>
        <w:tab w:val="left" w:pos="-720"/>
      </w:tabs>
      <w:suppressAutoHyphens/>
      <w:spacing w:before="120" w:after="80"/>
    </w:pPr>
    <w:rPr>
      <w:b/>
      <w:spacing w:val="-2"/>
    </w:rPr>
  </w:style>
  <w:style w:type="paragraph" w:customStyle="1" w:styleId="PIDOTPOINT">
    <w:name w:val="PI DOTPOINT"/>
    <w:basedOn w:val="PIEXPLAIN"/>
    <w:rsid w:val="00C42968"/>
    <w:pPr>
      <w:spacing w:before="0" w:after="40"/>
      <w:ind w:left="568" w:hanging="284"/>
    </w:pPr>
  </w:style>
  <w:style w:type="paragraph" w:styleId="Header">
    <w:name w:val="header"/>
    <w:basedOn w:val="Normal"/>
    <w:link w:val="HeaderChar"/>
    <w:uiPriority w:val="99"/>
    <w:rsid w:val="00C42968"/>
    <w:pPr>
      <w:tabs>
        <w:tab w:val="center" w:pos="4153"/>
        <w:tab w:val="right" w:pos="8306"/>
      </w:tabs>
    </w:pPr>
  </w:style>
  <w:style w:type="paragraph" w:styleId="Footer">
    <w:name w:val="footer"/>
    <w:basedOn w:val="Normal"/>
    <w:link w:val="FooterChar"/>
    <w:uiPriority w:val="99"/>
    <w:rsid w:val="00C42968"/>
    <w:pPr>
      <w:tabs>
        <w:tab w:val="center" w:pos="4153"/>
        <w:tab w:val="right" w:pos="8306"/>
      </w:tabs>
    </w:pPr>
  </w:style>
  <w:style w:type="paragraph" w:styleId="FootnoteText">
    <w:name w:val="footnote text"/>
    <w:basedOn w:val="Normal"/>
    <w:semiHidden/>
    <w:rsid w:val="00C42968"/>
    <w:rPr>
      <w:sz w:val="20"/>
    </w:rPr>
  </w:style>
  <w:style w:type="character" w:styleId="FootnoteReference">
    <w:name w:val="footnote reference"/>
    <w:basedOn w:val="DefaultParagraphFont"/>
    <w:semiHidden/>
    <w:rsid w:val="00C42968"/>
    <w:rPr>
      <w:vertAlign w:val="superscript"/>
    </w:rPr>
  </w:style>
  <w:style w:type="paragraph" w:styleId="TOC1">
    <w:name w:val="toc 1"/>
    <w:basedOn w:val="Normal"/>
    <w:next w:val="Normal"/>
    <w:autoRedefine/>
    <w:semiHidden/>
    <w:rsid w:val="00C42968"/>
    <w:pPr>
      <w:tabs>
        <w:tab w:val="right" w:leader="dot" w:pos="9360"/>
      </w:tabs>
      <w:suppressAutoHyphens/>
      <w:spacing w:before="480"/>
      <w:ind w:left="720" w:right="720" w:hanging="720"/>
    </w:pPr>
    <w:rPr>
      <w:lang w:val="en-US"/>
    </w:rPr>
  </w:style>
  <w:style w:type="character" w:styleId="CommentReference">
    <w:name w:val="annotation reference"/>
    <w:basedOn w:val="DefaultParagraphFont"/>
    <w:semiHidden/>
    <w:rsid w:val="00C42968"/>
    <w:rPr>
      <w:sz w:val="16"/>
    </w:rPr>
  </w:style>
  <w:style w:type="paragraph" w:styleId="CommentText">
    <w:name w:val="annotation text"/>
    <w:basedOn w:val="Normal"/>
    <w:semiHidden/>
    <w:rsid w:val="00C42968"/>
    <w:rPr>
      <w:sz w:val="20"/>
    </w:rPr>
  </w:style>
  <w:style w:type="paragraph" w:styleId="BodyText">
    <w:name w:val="Body Text"/>
    <w:basedOn w:val="Normal"/>
    <w:semiHidden/>
    <w:rsid w:val="00C42968"/>
    <w:pPr>
      <w:jc w:val="both"/>
    </w:pPr>
  </w:style>
  <w:style w:type="paragraph" w:customStyle="1" w:styleId="BodyText10">
    <w:name w:val="BodyText10"/>
    <w:rsid w:val="00C42968"/>
    <w:pPr>
      <w:suppressAutoHyphens/>
      <w:jc w:val="both"/>
    </w:pPr>
  </w:style>
  <w:style w:type="paragraph" w:customStyle="1" w:styleId="Table">
    <w:name w:val="Table"/>
    <w:next w:val="Normal"/>
    <w:rsid w:val="00C42968"/>
    <w:pPr>
      <w:keepNext/>
      <w:ind w:left="1814" w:hanging="1800"/>
    </w:pPr>
  </w:style>
  <w:style w:type="paragraph" w:customStyle="1" w:styleId="TableNote">
    <w:name w:val="TableNote"/>
    <w:rsid w:val="00C42968"/>
    <w:pPr>
      <w:keepNext/>
      <w:keepLines/>
      <w:tabs>
        <w:tab w:val="left" w:pos="187"/>
        <w:tab w:val="left" w:pos="1440"/>
      </w:tabs>
      <w:ind w:left="187" w:hanging="187"/>
    </w:pPr>
  </w:style>
  <w:style w:type="paragraph" w:customStyle="1" w:styleId="TableText">
    <w:name w:val="TableText"/>
    <w:rsid w:val="00C42968"/>
    <w:pPr>
      <w:keepNext/>
    </w:pPr>
  </w:style>
  <w:style w:type="paragraph" w:customStyle="1" w:styleId="LastPageStyle">
    <w:name w:val="LastPageStyle"/>
    <w:next w:val="BodyText10"/>
    <w:rsid w:val="00C42968"/>
    <w:pPr>
      <w:tabs>
        <w:tab w:val="right" w:leader="dot" w:pos="8280"/>
      </w:tabs>
      <w:spacing w:before="200" w:after="200"/>
    </w:pPr>
    <w:rPr>
      <w:rFonts w:ascii="Arial" w:hAnsi="Arial"/>
      <w:b/>
      <w:caps/>
    </w:rPr>
  </w:style>
  <w:style w:type="paragraph" w:customStyle="1" w:styleId="Narrative1">
    <w:name w:val="Narrative 1"/>
    <w:rsid w:val="00C42968"/>
    <w:pPr>
      <w:numPr>
        <w:numId w:val="8"/>
      </w:numPr>
      <w:spacing w:after="200" w:line="300" w:lineRule="auto"/>
      <w:jc w:val="both"/>
    </w:pPr>
    <w:rPr>
      <w:sz w:val="24"/>
    </w:rPr>
  </w:style>
  <w:style w:type="paragraph" w:customStyle="1" w:styleId="Narrative2">
    <w:name w:val="Narrative 2"/>
    <w:rsid w:val="00C42968"/>
    <w:pPr>
      <w:numPr>
        <w:ilvl w:val="1"/>
        <w:numId w:val="9"/>
      </w:numPr>
      <w:spacing w:after="200" w:line="300" w:lineRule="auto"/>
      <w:jc w:val="both"/>
    </w:pPr>
    <w:rPr>
      <w:sz w:val="24"/>
    </w:rPr>
  </w:style>
  <w:style w:type="paragraph" w:customStyle="1" w:styleId="Narrative3">
    <w:name w:val="Narrative 3"/>
    <w:rsid w:val="00C42968"/>
    <w:pPr>
      <w:numPr>
        <w:ilvl w:val="2"/>
        <w:numId w:val="10"/>
      </w:numPr>
      <w:spacing w:after="200" w:line="300" w:lineRule="auto"/>
      <w:jc w:val="both"/>
    </w:pPr>
    <w:rPr>
      <w:sz w:val="24"/>
    </w:rPr>
  </w:style>
  <w:style w:type="character" w:styleId="Hyperlink">
    <w:name w:val="Hyperlink"/>
    <w:basedOn w:val="DefaultParagraphFont"/>
    <w:semiHidden/>
    <w:rsid w:val="00C42968"/>
    <w:rPr>
      <w:color w:val="0000FF"/>
      <w:u w:val="single"/>
    </w:rPr>
  </w:style>
  <w:style w:type="character" w:styleId="FollowedHyperlink">
    <w:name w:val="FollowedHyperlink"/>
    <w:basedOn w:val="DefaultParagraphFont"/>
    <w:semiHidden/>
    <w:rsid w:val="00C42968"/>
    <w:rPr>
      <w:color w:val="800080"/>
      <w:u w:val="single"/>
    </w:rPr>
  </w:style>
  <w:style w:type="paragraph" w:styleId="BodyText2">
    <w:name w:val="Body Text 2"/>
    <w:basedOn w:val="Normal"/>
    <w:semiHidden/>
    <w:rsid w:val="00C42968"/>
    <w:pPr>
      <w:autoSpaceDE w:val="0"/>
      <w:autoSpaceDN w:val="0"/>
      <w:adjustRightInd w:val="0"/>
    </w:pPr>
    <w:rPr>
      <w:rFonts w:ascii="TimesNewRomanPSMT" w:hAnsi="TimesNewRomanPSMT"/>
      <w:lang w:val="en-US" w:eastAsia="sv-SE"/>
    </w:rPr>
  </w:style>
  <w:style w:type="paragraph" w:customStyle="1" w:styleId="Default">
    <w:name w:val="Default"/>
    <w:rsid w:val="00C42968"/>
    <w:pPr>
      <w:widowControl w:val="0"/>
      <w:autoSpaceDE w:val="0"/>
      <w:autoSpaceDN w:val="0"/>
      <w:adjustRightInd w:val="0"/>
    </w:pPr>
    <w:rPr>
      <w:color w:val="000000"/>
      <w:sz w:val="24"/>
      <w:szCs w:val="24"/>
    </w:rPr>
  </w:style>
  <w:style w:type="paragraph" w:customStyle="1" w:styleId="CM31">
    <w:name w:val="CM31"/>
    <w:basedOn w:val="Default"/>
    <w:next w:val="Default"/>
    <w:rsid w:val="00C42968"/>
    <w:pPr>
      <w:spacing w:after="148"/>
    </w:pPr>
    <w:rPr>
      <w:color w:val="auto"/>
    </w:rPr>
  </w:style>
  <w:style w:type="paragraph" w:customStyle="1" w:styleId="CM32">
    <w:name w:val="CM32"/>
    <w:basedOn w:val="Default"/>
    <w:next w:val="Default"/>
    <w:rsid w:val="00C42968"/>
    <w:pPr>
      <w:spacing w:after="360"/>
    </w:pPr>
    <w:rPr>
      <w:color w:val="auto"/>
    </w:rPr>
  </w:style>
  <w:style w:type="paragraph" w:customStyle="1" w:styleId="CM22">
    <w:name w:val="CM22"/>
    <w:basedOn w:val="Default"/>
    <w:next w:val="Default"/>
    <w:rsid w:val="00C42968"/>
    <w:pPr>
      <w:spacing w:line="220" w:lineRule="atLeast"/>
    </w:pPr>
    <w:rPr>
      <w:color w:val="auto"/>
    </w:rPr>
  </w:style>
  <w:style w:type="character" w:styleId="LineNumber">
    <w:name w:val="line number"/>
    <w:basedOn w:val="DefaultParagraphFont"/>
    <w:semiHidden/>
    <w:rsid w:val="00C42968"/>
  </w:style>
  <w:style w:type="paragraph" w:customStyle="1" w:styleId="ReferenceHeading2">
    <w:name w:val="Reference Heading 2"/>
    <w:basedOn w:val="Reference"/>
    <w:next w:val="ReferenceText"/>
    <w:rsid w:val="00C42968"/>
    <w:pPr>
      <w:numPr>
        <w:numId w:val="11"/>
      </w:numPr>
      <w:outlineLvl w:val="0"/>
    </w:pPr>
    <w:rPr>
      <w:rFonts w:ascii="Arial" w:hAnsi="Arial"/>
      <w:b/>
      <w:caps/>
    </w:rPr>
  </w:style>
  <w:style w:type="paragraph" w:customStyle="1" w:styleId="Reference">
    <w:name w:val="Reference"/>
    <w:rsid w:val="00C42968"/>
    <w:pPr>
      <w:keepLines/>
      <w:spacing w:after="200"/>
      <w:ind w:left="1210" w:hanging="360"/>
      <w:jc w:val="both"/>
    </w:pPr>
    <w:rPr>
      <w:sz w:val="24"/>
    </w:rPr>
  </w:style>
  <w:style w:type="paragraph" w:customStyle="1" w:styleId="ReferenceText">
    <w:name w:val="Reference Text"/>
    <w:rsid w:val="00C42968"/>
    <w:pPr>
      <w:spacing w:after="200"/>
      <w:ind w:left="1656"/>
    </w:pPr>
    <w:rPr>
      <w:rFonts w:ascii="Times New Roman Bold" w:hAnsi="Times New Roman Bold"/>
      <w:b/>
      <w:sz w:val="24"/>
    </w:rPr>
  </w:style>
  <w:style w:type="paragraph" w:customStyle="1" w:styleId="ReferenceHeading3">
    <w:name w:val="Reference Heading 3"/>
    <w:basedOn w:val="ReferenceHeading2"/>
    <w:next w:val="ReferenceText"/>
    <w:rsid w:val="00C42968"/>
    <w:pPr>
      <w:numPr>
        <w:ilvl w:val="1"/>
      </w:numPr>
      <w:tabs>
        <w:tab w:val="clear" w:pos="1397"/>
        <w:tab w:val="num" w:pos="360"/>
      </w:tabs>
      <w:ind w:left="360" w:hanging="360"/>
      <w:outlineLvl w:val="1"/>
    </w:pPr>
    <w:rPr>
      <w:caps w:val="0"/>
    </w:rPr>
  </w:style>
  <w:style w:type="paragraph" w:customStyle="1" w:styleId="ReferenceBullet">
    <w:name w:val="Reference Bullet"/>
    <w:basedOn w:val="Bullet"/>
    <w:rsid w:val="00C42968"/>
    <w:pPr>
      <w:numPr>
        <w:numId w:val="12"/>
      </w:numPr>
    </w:pPr>
    <w:rPr>
      <w:i/>
      <w:iCs/>
      <w:color w:val="FF00FF"/>
    </w:rPr>
  </w:style>
  <w:style w:type="paragraph" w:customStyle="1" w:styleId="Bullet">
    <w:name w:val="Bullet"/>
    <w:rsid w:val="00C42968"/>
    <w:pPr>
      <w:suppressAutoHyphens/>
      <w:spacing w:after="200"/>
      <w:ind w:left="360" w:hanging="360"/>
      <w:jc w:val="both"/>
    </w:pPr>
  </w:style>
  <w:style w:type="paragraph" w:customStyle="1" w:styleId="BulletIndent1">
    <w:name w:val="Bullet Indent 1 (•)"/>
    <w:rsid w:val="00C42968"/>
    <w:pPr>
      <w:numPr>
        <w:numId w:val="2"/>
      </w:numPr>
      <w:tabs>
        <w:tab w:val="clear" w:pos="360"/>
        <w:tab w:val="left" w:pos="288"/>
      </w:tabs>
      <w:spacing w:after="120"/>
      <w:jc w:val="both"/>
    </w:pPr>
    <w:rPr>
      <w:sz w:val="24"/>
    </w:rPr>
  </w:style>
  <w:style w:type="paragraph" w:customStyle="1" w:styleId="BulletIndent2-">
    <w:name w:val="Bullet Indent 2 (-)"/>
    <w:rsid w:val="00C42968"/>
    <w:pPr>
      <w:numPr>
        <w:numId w:val="5"/>
      </w:numPr>
      <w:tabs>
        <w:tab w:val="clear" w:pos="648"/>
        <w:tab w:val="left" w:pos="576"/>
      </w:tabs>
      <w:spacing w:after="120"/>
      <w:ind w:left="576" w:hanging="288"/>
      <w:jc w:val="both"/>
    </w:pPr>
    <w:rPr>
      <w:sz w:val="24"/>
    </w:rPr>
  </w:style>
  <w:style w:type="paragraph" w:customStyle="1" w:styleId="BulletIndent3">
    <w:name w:val="Bullet Indent 3 (.)"/>
    <w:rsid w:val="00C42968"/>
    <w:pPr>
      <w:numPr>
        <w:numId w:val="6"/>
      </w:numPr>
      <w:tabs>
        <w:tab w:val="clear" w:pos="936"/>
        <w:tab w:val="left" w:pos="864"/>
      </w:tabs>
      <w:spacing w:after="120"/>
      <w:ind w:left="864" w:hanging="288"/>
      <w:jc w:val="both"/>
    </w:pPr>
    <w:rPr>
      <w:sz w:val="24"/>
    </w:rPr>
  </w:style>
  <w:style w:type="paragraph" w:customStyle="1" w:styleId="BulletIndent4">
    <w:name w:val="Bullet Indent 4 (•)"/>
    <w:rsid w:val="00C42968"/>
    <w:pPr>
      <w:numPr>
        <w:numId w:val="4"/>
      </w:numPr>
      <w:tabs>
        <w:tab w:val="clear" w:pos="360"/>
        <w:tab w:val="left" w:pos="1138"/>
      </w:tabs>
      <w:spacing w:after="120"/>
      <w:ind w:left="1138" w:hanging="288"/>
      <w:jc w:val="both"/>
    </w:pPr>
    <w:rPr>
      <w:sz w:val="24"/>
    </w:rPr>
  </w:style>
  <w:style w:type="paragraph" w:customStyle="1" w:styleId="BulletIndent5-">
    <w:name w:val="Bullet Indent 5 (-)"/>
    <w:rsid w:val="00C42968"/>
    <w:pPr>
      <w:numPr>
        <w:numId w:val="7"/>
      </w:numPr>
      <w:tabs>
        <w:tab w:val="clear" w:pos="1570"/>
        <w:tab w:val="left" w:pos="1426"/>
      </w:tabs>
      <w:spacing w:after="120"/>
      <w:ind w:left="1426" w:hanging="288"/>
      <w:jc w:val="both"/>
    </w:pPr>
    <w:rPr>
      <w:sz w:val="24"/>
    </w:rPr>
  </w:style>
  <w:style w:type="paragraph" w:customStyle="1" w:styleId="BulletIndent6">
    <w:name w:val="Bullet Indent 6 (.)"/>
    <w:rsid w:val="00C42968"/>
    <w:pPr>
      <w:numPr>
        <w:numId w:val="3"/>
      </w:numPr>
      <w:tabs>
        <w:tab w:val="clear" w:pos="922"/>
        <w:tab w:val="left" w:pos="1714"/>
      </w:tabs>
      <w:spacing w:after="120"/>
      <w:ind w:left="1714" w:hanging="288"/>
      <w:jc w:val="both"/>
    </w:pPr>
    <w:rPr>
      <w:sz w:val="24"/>
    </w:rPr>
  </w:style>
  <w:style w:type="paragraph" w:customStyle="1" w:styleId="MarkTable">
    <w:name w:val="Mark Table"/>
    <w:next w:val="TableText"/>
    <w:rsid w:val="00C42968"/>
    <w:pPr>
      <w:keepNext/>
      <w:ind w:left="1080" w:hanging="1066"/>
    </w:pPr>
  </w:style>
  <w:style w:type="paragraph" w:styleId="BalloonText">
    <w:name w:val="Balloon Text"/>
    <w:basedOn w:val="Normal"/>
    <w:semiHidden/>
    <w:unhideWhenUsed/>
    <w:rsid w:val="00C42968"/>
    <w:rPr>
      <w:rFonts w:ascii="Tahoma" w:hAnsi="Tahoma" w:cs="Tahoma"/>
      <w:sz w:val="16"/>
      <w:szCs w:val="16"/>
    </w:rPr>
  </w:style>
  <w:style w:type="character" w:customStyle="1" w:styleId="BalloonTextChar">
    <w:name w:val="Balloon Text Char"/>
    <w:basedOn w:val="DefaultParagraphFont"/>
    <w:semiHidden/>
    <w:rsid w:val="00C42968"/>
    <w:rPr>
      <w:rFonts w:ascii="Tahoma" w:hAnsi="Tahoma" w:cs="Tahoma"/>
      <w:sz w:val="16"/>
      <w:szCs w:val="16"/>
      <w:lang w:val="en-AU"/>
    </w:rPr>
  </w:style>
  <w:style w:type="paragraph" w:customStyle="1" w:styleId="MarkFigure">
    <w:name w:val="Mark Figure"/>
    <w:next w:val="BodyText12"/>
    <w:rsid w:val="00C42968"/>
    <w:pPr>
      <w:keepNext/>
      <w:ind w:left="1916" w:hanging="1066"/>
    </w:pPr>
  </w:style>
  <w:style w:type="table" w:styleId="TableGrid">
    <w:name w:val="Table Grid"/>
    <w:basedOn w:val="TableNormal"/>
    <w:uiPriority w:val="59"/>
    <w:rsid w:val="00EE00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semiHidden/>
    <w:unhideWhenUsed/>
    <w:rsid w:val="00C42968"/>
    <w:rPr>
      <w:b/>
      <w:bCs/>
      <w:szCs w:val="20"/>
    </w:rPr>
  </w:style>
  <w:style w:type="character" w:customStyle="1" w:styleId="CommentTextChar">
    <w:name w:val="Comment Text Char"/>
    <w:basedOn w:val="DefaultParagraphFont"/>
    <w:semiHidden/>
    <w:rsid w:val="00C42968"/>
    <w:rPr>
      <w:rFonts w:ascii="Arial" w:hAnsi="Arial" w:cs="Arial"/>
      <w:color w:val="000000"/>
      <w:szCs w:val="22"/>
    </w:rPr>
  </w:style>
  <w:style w:type="character" w:customStyle="1" w:styleId="CommentSubjectChar">
    <w:name w:val="Comment Subject Char"/>
    <w:basedOn w:val="CommentTextChar"/>
    <w:rsid w:val="00C42968"/>
    <w:rPr>
      <w:rFonts w:ascii="Arial" w:hAnsi="Arial" w:cs="Arial"/>
      <w:color w:val="000000"/>
      <w:szCs w:val="22"/>
    </w:rPr>
  </w:style>
  <w:style w:type="paragraph" w:styleId="Revision">
    <w:name w:val="Revision"/>
    <w:hidden/>
    <w:semiHidden/>
    <w:rsid w:val="00C42968"/>
    <w:rPr>
      <w:rFonts w:ascii="Arial" w:hAnsi="Arial" w:cs="Arial"/>
      <w:color w:val="000000"/>
      <w:sz w:val="22"/>
      <w:szCs w:val="22"/>
    </w:rPr>
  </w:style>
  <w:style w:type="paragraph" w:styleId="ListParagraph">
    <w:name w:val="List Paragraph"/>
    <w:basedOn w:val="Normal"/>
    <w:uiPriority w:val="34"/>
    <w:qFormat/>
    <w:rsid w:val="006D32D3"/>
    <w:pPr>
      <w:ind w:left="720"/>
    </w:pPr>
    <w:rPr>
      <w:rFonts w:ascii="Calibri" w:eastAsia="Calibri" w:hAnsi="Calibri" w:cs="Times New Roman"/>
      <w:color w:val="auto"/>
      <w:lang w:val="en-US"/>
    </w:rPr>
  </w:style>
  <w:style w:type="character" w:customStyle="1" w:styleId="HeaderChar">
    <w:name w:val="Header Char"/>
    <w:basedOn w:val="DefaultParagraphFont"/>
    <w:link w:val="Header"/>
    <w:uiPriority w:val="99"/>
    <w:rsid w:val="00A67A1D"/>
    <w:rPr>
      <w:rFonts w:ascii="Arial" w:hAnsi="Arial" w:cs="Arial"/>
      <w:color w:val="000000"/>
      <w:sz w:val="22"/>
      <w:szCs w:val="22"/>
      <w:lang w:val="en-AU"/>
    </w:rPr>
  </w:style>
  <w:style w:type="paragraph" w:customStyle="1" w:styleId="SummaryResponse">
    <w:name w:val="Summary Response"/>
    <w:basedOn w:val="Normal"/>
    <w:rsid w:val="00013880"/>
    <w:pPr>
      <w:spacing w:after="200"/>
      <w:ind w:left="720"/>
      <w:jc w:val="both"/>
    </w:pPr>
    <w:rPr>
      <w:rFonts w:ascii="Times New Roman" w:hAnsi="Times New Roman" w:cs="Times New Roman"/>
      <w:color w:val="auto"/>
      <w:sz w:val="24"/>
      <w:szCs w:val="20"/>
      <w:lang w:val="en-US"/>
    </w:rPr>
  </w:style>
  <w:style w:type="paragraph" w:customStyle="1" w:styleId="BodyText120">
    <w:name w:val="Body Text 12"/>
    <w:link w:val="BodyText12Char"/>
    <w:qFormat/>
    <w:rsid w:val="00F17206"/>
    <w:pPr>
      <w:spacing w:after="240" w:line="264" w:lineRule="auto"/>
      <w:jc w:val="both"/>
    </w:pPr>
    <w:rPr>
      <w:sz w:val="24"/>
    </w:rPr>
  </w:style>
  <w:style w:type="character" w:customStyle="1" w:styleId="sub">
    <w:name w:val="sub"/>
    <w:basedOn w:val="DefaultParagraphFont"/>
    <w:rsid w:val="002E3C8F"/>
  </w:style>
  <w:style w:type="paragraph" w:styleId="EndnoteText">
    <w:name w:val="endnote text"/>
    <w:basedOn w:val="Normal"/>
    <w:link w:val="EndnoteTextChar"/>
    <w:uiPriority w:val="99"/>
    <w:unhideWhenUsed/>
    <w:rsid w:val="00865C69"/>
    <w:pPr>
      <w:tabs>
        <w:tab w:val="left" w:pos="360"/>
      </w:tabs>
      <w:ind w:left="360" w:hanging="360"/>
      <w:jc w:val="both"/>
    </w:pPr>
    <w:rPr>
      <w:rFonts w:ascii="Times New Roman" w:hAnsi="Times New Roman" w:cs="Times New Roman"/>
      <w:color w:val="auto"/>
      <w:sz w:val="16"/>
      <w:szCs w:val="20"/>
      <w:lang w:val="en-US"/>
    </w:rPr>
  </w:style>
  <w:style w:type="character" w:customStyle="1" w:styleId="EndnoteTextChar">
    <w:name w:val="Endnote Text Char"/>
    <w:basedOn w:val="DefaultParagraphFont"/>
    <w:link w:val="EndnoteText"/>
    <w:uiPriority w:val="99"/>
    <w:rsid w:val="00865C69"/>
    <w:rPr>
      <w:sz w:val="16"/>
    </w:rPr>
  </w:style>
  <w:style w:type="character" w:styleId="EndnoteReference">
    <w:name w:val="endnote reference"/>
    <w:semiHidden/>
    <w:unhideWhenUsed/>
    <w:rsid w:val="00865C69"/>
    <w:rPr>
      <w:vertAlign w:val="superscript"/>
    </w:rPr>
  </w:style>
  <w:style w:type="paragraph" w:customStyle="1" w:styleId="TableFootnote">
    <w:name w:val="Table Footnote"/>
    <w:qFormat/>
    <w:rsid w:val="00E314E4"/>
    <w:pPr>
      <w:tabs>
        <w:tab w:val="left" w:pos="360"/>
      </w:tabs>
      <w:ind w:left="360" w:hanging="360"/>
    </w:pPr>
    <w:rPr>
      <w:sz w:val="16"/>
    </w:rPr>
  </w:style>
  <w:style w:type="character" w:customStyle="1" w:styleId="Bold">
    <w:name w:val="Bold"/>
    <w:uiPriority w:val="99"/>
    <w:rsid w:val="0091469D"/>
    <w:rPr>
      <w:b/>
      <w:bCs/>
    </w:rPr>
  </w:style>
  <w:style w:type="character" w:customStyle="1" w:styleId="DoNots">
    <w:name w:val="Do Nots"/>
    <w:uiPriority w:val="99"/>
    <w:rsid w:val="0091469D"/>
    <w:rPr>
      <w:rFonts w:ascii="BentonSans-Black" w:hAnsi="BentonSans-Black" w:cs="BentonSans-Black"/>
      <w:b w:val="0"/>
      <w:bCs w:val="0"/>
      <w:caps/>
      <w:spacing w:val="5"/>
      <w:sz w:val="16"/>
      <w:szCs w:val="16"/>
    </w:rPr>
  </w:style>
  <w:style w:type="character" w:customStyle="1" w:styleId="FooterChar">
    <w:name w:val="Footer Char"/>
    <w:link w:val="Footer"/>
    <w:uiPriority w:val="99"/>
    <w:rsid w:val="00DB3D22"/>
    <w:rPr>
      <w:rFonts w:ascii="Arial" w:hAnsi="Arial" w:cs="Arial"/>
      <w:color w:val="000000"/>
      <w:sz w:val="22"/>
      <w:szCs w:val="22"/>
      <w:lang w:val="en-AU"/>
    </w:rPr>
  </w:style>
  <w:style w:type="paragraph" w:customStyle="1" w:styleId="Numbered12-1">
    <w:name w:val="Numbered 12-1"/>
    <w:qFormat/>
    <w:rsid w:val="00044979"/>
    <w:pPr>
      <w:numPr>
        <w:numId w:val="21"/>
      </w:numPr>
      <w:spacing w:after="120"/>
      <w:jc w:val="both"/>
    </w:pPr>
    <w:rPr>
      <w:sz w:val="24"/>
    </w:rPr>
  </w:style>
  <w:style w:type="character" w:styleId="PlaceholderText">
    <w:name w:val="Placeholder Text"/>
    <w:basedOn w:val="DefaultParagraphFont"/>
    <w:uiPriority w:val="99"/>
    <w:semiHidden/>
    <w:rsid w:val="007941F2"/>
    <w:rPr>
      <w:color w:val="808080"/>
    </w:rPr>
  </w:style>
  <w:style w:type="character" w:customStyle="1" w:styleId="BodyText12Char">
    <w:name w:val="Body Text 12 Char"/>
    <w:basedOn w:val="DefaultParagraphFont"/>
    <w:link w:val="BodyText120"/>
    <w:rsid w:val="00B704BF"/>
    <w:rPr>
      <w:sz w:val="24"/>
    </w:rPr>
  </w:style>
  <w:style w:type="paragraph" w:customStyle="1" w:styleId="Basic11">
    <w:name w:val="Basic 11"/>
    <w:qFormat/>
    <w:rsid w:val="00AC7345"/>
    <w:rPr>
      <w:sz w:val="22"/>
    </w:rPr>
  </w:style>
  <w:style w:type="paragraph" w:customStyle="1" w:styleId="MarkforTOC">
    <w:name w:val="Mark for TOC"/>
    <w:next w:val="Basic11"/>
    <w:uiPriority w:val="99"/>
    <w:rsid w:val="00AC7345"/>
    <w:pPr>
      <w:keepNext/>
      <w:spacing w:before="60" w:after="60"/>
      <w:ind w:left="1440" w:hanging="1440"/>
    </w:pPr>
    <w:rPr>
      <w:rFonts w:ascii="Arial" w:hAnsi="Arial"/>
      <w:b/>
    </w:rPr>
  </w:style>
  <w:style w:type="paragraph" w:customStyle="1" w:styleId="Bullet12-4">
    <w:name w:val="Bullet 12-4"/>
    <w:uiPriority w:val="2"/>
    <w:qFormat/>
    <w:rsid w:val="00AC7345"/>
    <w:pPr>
      <w:numPr>
        <w:numId w:val="22"/>
      </w:numPr>
      <w:spacing w:after="120"/>
      <w:jc w:val="both"/>
    </w:pPr>
    <w:rPr>
      <w:sz w:val="24"/>
    </w:rPr>
  </w:style>
  <w:style w:type="paragraph" w:customStyle="1" w:styleId="TableText0">
    <w:name w:val="Table Text"/>
    <w:qFormat/>
    <w:rsid w:val="007B2926"/>
    <w:pPr>
      <w:tabs>
        <w:tab w:val="left" w:pos="288"/>
        <w:tab w:val="left" w:pos="576"/>
        <w:tab w:val="left" w:pos="864"/>
      </w:tabs>
    </w:pPr>
  </w:style>
  <w:style w:type="paragraph" w:styleId="ListBullet">
    <w:name w:val="List Bullet"/>
    <w:basedOn w:val="Normal"/>
    <w:uiPriority w:val="99"/>
    <w:qFormat/>
    <w:rsid w:val="00553C06"/>
    <w:pPr>
      <w:numPr>
        <w:numId w:val="24"/>
      </w:numPr>
      <w:spacing w:before="120" w:after="180" w:line="240" w:lineRule="atLeast"/>
    </w:pPr>
    <w:rPr>
      <w:rFonts w:ascii="Cambria" w:eastAsia="Cambria" w:hAnsi="Cambria" w:cs="Times New Roman"/>
      <w:color w:val="auto"/>
    </w:rPr>
  </w:style>
  <w:style w:type="paragraph" w:styleId="ListBullet2">
    <w:name w:val="List Bullet 2"/>
    <w:basedOn w:val="Normal"/>
    <w:uiPriority w:val="99"/>
    <w:qFormat/>
    <w:rsid w:val="00553C06"/>
    <w:pPr>
      <w:numPr>
        <w:ilvl w:val="1"/>
        <w:numId w:val="24"/>
      </w:numPr>
      <w:spacing w:before="120" w:after="180" w:line="240" w:lineRule="atLeast"/>
    </w:pPr>
    <w:rPr>
      <w:rFonts w:ascii="Cambria" w:eastAsia="Cambria" w:hAnsi="Cambria" w:cs="Times New Roman"/>
      <w:color w:val="auto"/>
    </w:rPr>
  </w:style>
  <w:style w:type="paragraph" w:styleId="ListBullet3">
    <w:name w:val="List Bullet 3"/>
    <w:basedOn w:val="Normal"/>
    <w:uiPriority w:val="99"/>
    <w:qFormat/>
    <w:rsid w:val="00553C06"/>
    <w:pPr>
      <w:numPr>
        <w:ilvl w:val="2"/>
        <w:numId w:val="24"/>
      </w:numPr>
      <w:spacing w:before="120" w:after="180" w:line="240" w:lineRule="atLeast"/>
    </w:pPr>
    <w:rPr>
      <w:rFonts w:ascii="Cambria" w:eastAsia="Cambria" w:hAnsi="Cambria" w:cs="Times New Roman"/>
      <w:color w:val="auto"/>
    </w:rPr>
  </w:style>
  <w:style w:type="numbering" w:customStyle="1" w:styleId="ListBullets">
    <w:name w:val="ListBullets"/>
    <w:uiPriority w:val="99"/>
    <w:locked/>
    <w:rsid w:val="00553C06"/>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reference" w:uiPriority="0"/>
    <w:lsdException w:name="List Bullet" w:qFormat="1"/>
    <w:lsdException w:name="List Bullet 2"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968"/>
    <w:rPr>
      <w:rFonts w:ascii="Arial" w:hAnsi="Arial" w:cs="Arial"/>
      <w:color w:val="000000"/>
      <w:sz w:val="22"/>
      <w:szCs w:val="22"/>
      <w:lang w:val="en-AU"/>
    </w:rPr>
  </w:style>
  <w:style w:type="paragraph" w:styleId="Heading1">
    <w:name w:val="heading 1"/>
    <w:basedOn w:val="PIHEADING1"/>
    <w:next w:val="Normal"/>
    <w:qFormat/>
    <w:rsid w:val="00C42968"/>
    <w:pPr>
      <w:outlineLvl w:val="0"/>
    </w:pPr>
  </w:style>
  <w:style w:type="paragraph" w:styleId="Heading2">
    <w:name w:val="heading 2"/>
    <w:basedOn w:val="PIHEADING2"/>
    <w:next w:val="Normal"/>
    <w:qFormat/>
    <w:rsid w:val="00C42968"/>
    <w:pPr>
      <w:jc w:val="both"/>
      <w:outlineLvl w:val="1"/>
    </w:pPr>
    <w:rPr>
      <w:sz w:val="24"/>
      <w:szCs w:val="24"/>
    </w:rPr>
  </w:style>
  <w:style w:type="paragraph" w:styleId="Heading3">
    <w:name w:val="heading 3"/>
    <w:basedOn w:val="Heading2"/>
    <w:next w:val="Normal"/>
    <w:qFormat/>
    <w:rsid w:val="00C42968"/>
    <w:pPr>
      <w:outlineLvl w:val="2"/>
    </w:pPr>
    <w:rPr>
      <w:sz w:val="22"/>
      <w:szCs w:val="22"/>
    </w:rPr>
  </w:style>
  <w:style w:type="paragraph" w:styleId="Heading4">
    <w:name w:val="heading 4"/>
    <w:basedOn w:val="Normal"/>
    <w:next w:val="BodyText12"/>
    <w:qFormat/>
    <w:rsid w:val="00C42968"/>
    <w:pPr>
      <w:spacing w:after="120"/>
      <w:outlineLvl w:val="3"/>
    </w:pPr>
    <w:rPr>
      <w:u w:val="single"/>
    </w:rPr>
  </w:style>
  <w:style w:type="paragraph" w:styleId="Heading5">
    <w:name w:val="heading 5"/>
    <w:next w:val="BodyText12"/>
    <w:qFormat/>
    <w:rsid w:val="00C42968"/>
    <w:pPr>
      <w:keepNext/>
      <w:keepLines/>
      <w:numPr>
        <w:ilvl w:val="4"/>
        <w:numId w:val="1"/>
      </w:numPr>
      <w:tabs>
        <w:tab w:val="left" w:pos="2246"/>
      </w:tabs>
      <w:spacing w:after="60"/>
      <w:ind w:left="2247" w:hanging="1397"/>
      <w:outlineLvl w:val="4"/>
    </w:pPr>
    <w:rPr>
      <w:rFonts w:ascii="Arial" w:hAnsi="Arial"/>
      <w:b/>
      <w:i/>
      <w:sz w:val="24"/>
    </w:rPr>
  </w:style>
  <w:style w:type="paragraph" w:styleId="Heading6">
    <w:name w:val="heading 6"/>
    <w:next w:val="BodyText12"/>
    <w:qFormat/>
    <w:rsid w:val="00C42968"/>
    <w:pPr>
      <w:keepNext/>
      <w:keepLines/>
      <w:numPr>
        <w:ilvl w:val="5"/>
        <w:numId w:val="1"/>
      </w:numPr>
      <w:tabs>
        <w:tab w:val="left" w:pos="2246"/>
      </w:tabs>
      <w:spacing w:after="60"/>
      <w:ind w:left="2247" w:hanging="1397"/>
      <w:outlineLvl w:val="5"/>
    </w:pPr>
    <w:rPr>
      <w:rFonts w:ascii="Arial" w:hAnsi="Arial"/>
      <w:b/>
      <w:sz w:val="24"/>
    </w:rPr>
  </w:style>
  <w:style w:type="paragraph" w:styleId="Heading7">
    <w:name w:val="heading 7"/>
    <w:next w:val="BodyText12"/>
    <w:qFormat/>
    <w:rsid w:val="00C42968"/>
    <w:pPr>
      <w:keepNext/>
      <w:keepLines/>
      <w:numPr>
        <w:ilvl w:val="6"/>
        <w:numId w:val="1"/>
      </w:numPr>
      <w:tabs>
        <w:tab w:val="left" w:pos="2246"/>
      </w:tabs>
      <w:spacing w:after="60"/>
      <w:ind w:left="2247" w:hanging="1397"/>
      <w:outlineLvl w:val="6"/>
    </w:pPr>
    <w:rPr>
      <w:rFonts w:ascii="Arial" w:hAnsi="Arial"/>
      <w:b/>
      <w:i/>
      <w:sz w:val="24"/>
    </w:rPr>
  </w:style>
  <w:style w:type="paragraph" w:styleId="Heading8">
    <w:name w:val="heading 8"/>
    <w:basedOn w:val="Normal"/>
    <w:next w:val="Normal"/>
    <w:qFormat/>
    <w:rsid w:val="00C42968"/>
    <w:pPr>
      <w:keepNext/>
      <w:keepLines/>
      <w:outlineLvl w:val="7"/>
    </w:pPr>
    <w:rPr>
      <w:b/>
      <w:sz w:val="21"/>
    </w:rPr>
  </w:style>
  <w:style w:type="paragraph" w:styleId="Heading9">
    <w:name w:val="heading 9"/>
    <w:basedOn w:val="Normal"/>
    <w:next w:val="Normal"/>
    <w:qFormat/>
    <w:rsid w:val="00C42968"/>
    <w:pPr>
      <w:keepNext/>
      <w:keepLines/>
      <w:jc w:val="center"/>
      <w:outlineLvl w:val="8"/>
    </w:pPr>
    <w:rPr>
      <w:b/>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2">
    <w:name w:val="BodyText12"/>
    <w:rsid w:val="00C42968"/>
    <w:pPr>
      <w:spacing w:after="200" w:line="300" w:lineRule="auto"/>
      <w:jc w:val="both"/>
    </w:pPr>
    <w:rPr>
      <w:sz w:val="24"/>
    </w:rPr>
  </w:style>
  <w:style w:type="paragraph" w:customStyle="1" w:styleId="PIHEADING1">
    <w:name w:val="PI HEADING1"/>
    <w:basedOn w:val="PIHEADTOP"/>
    <w:rsid w:val="00C42968"/>
    <w:pPr>
      <w:spacing w:before="360"/>
      <w:jc w:val="both"/>
    </w:pPr>
  </w:style>
  <w:style w:type="paragraph" w:customStyle="1" w:styleId="PIHEADTOP">
    <w:name w:val="PI HEADTOP"/>
    <w:basedOn w:val="Normal"/>
    <w:rsid w:val="00C42968"/>
    <w:pPr>
      <w:tabs>
        <w:tab w:val="left" w:pos="-720"/>
      </w:tabs>
      <w:suppressAutoHyphens/>
      <w:spacing w:after="120"/>
    </w:pPr>
    <w:rPr>
      <w:b/>
      <w:caps/>
      <w:spacing w:val="-2"/>
      <w:sz w:val="28"/>
    </w:rPr>
  </w:style>
  <w:style w:type="paragraph" w:customStyle="1" w:styleId="PIProductInfo">
    <w:name w:val="PI Product Info"/>
    <w:basedOn w:val="Normal"/>
    <w:rsid w:val="00C42968"/>
    <w:pPr>
      <w:widowControl w:val="0"/>
      <w:pBdr>
        <w:bottom w:val="single" w:sz="6" w:space="1" w:color="auto"/>
      </w:pBdr>
      <w:spacing w:before="60" w:after="240"/>
      <w:jc w:val="center"/>
    </w:pPr>
    <w:rPr>
      <w:b/>
      <w:sz w:val="36"/>
      <w:lang w:val="en-US"/>
    </w:rPr>
  </w:style>
  <w:style w:type="paragraph" w:customStyle="1" w:styleId="PIMAINHEADING">
    <w:name w:val="PI MAINHEADING"/>
    <w:basedOn w:val="Heading1"/>
    <w:rsid w:val="00C42968"/>
    <w:pPr>
      <w:widowControl w:val="0"/>
      <w:pBdr>
        <w:top w:val="single" w:sz="6" w:space="1" w:color="auto"/>
      </w:pBdr>
      <w:spacing w:before="0" w:after="0"/>
      <w:jc w:val="center"/>
      <w:outlineLvl w:val="9"/>
    </w:pPr>
    <w:rPr>
      <w:rFonts w:ascii="Arial Rounded MT Bold" w:hAnsi="Arial Rounded MT Bold"/>
      <w:sz w:val="56"/>
    </w:rPr>
  </w:style>
  <w:style w:type="paragraph" w:customStyle="1" w:styleId="PIEXPLAIN">
    <w:name w:val="PI EXPLAIN"/>
    <w:basedOn w:val="Normal"/>
    <w:rsid w:val="00C42968"/>
    <w:pPr>
      <w:tabs>
        <w:tab w:val="left" w:pos="-720"/>
      </w:tabs>
      <w:suppressAutoHyphens/>
      <w:spacing w:before="20" w:after="80"/>
    </w:pPr>
    <w:rPr>
      <w:spacing w:val="-2"/>
    </w:rPr>
  </w:style>
  <w:style w:type="paragraph" w:customStyle="1" w:styleId="PIHEADING2">
    <w:name w:val="PI HEADING2"/>
    <w:basedOn w:val="Normal"/>
    <w:rsid w:val="00C42968"/>
    <w:pPr>
      <w:tabs>
        <w:tab w:val="left" w:pos="-720"/>
      </w:tabs>
      <w:suppressAutoHyphens/>
      <w:spacing w:before="120" w:after="80"/>
    </w:pPr>
    <w:rPr>
      <w:b/>
      <w:spacing w:val="-2"/>
    </w:rPr>
  </w:style>
  <w:style w:type="paragraph" w:customStyle="1" w:styleId="PIDOTPOINT">
    <w:name w:val="PI DOTPOINT"/>
    <w:basedOn w:val="PIEXPLAIN"/>
    <w:rsid w:val="00C42968"/>
    <w:pPr>
      <w:spacing w:before="0" w:after="40"/>
      <w:ind w:left="568" w:hanging="284"/>
    </w:pPr>
  </w:style>
  <w:style w:type="paragraph" w:styleId="Header">
    <w:name w:val="header"/>
    <w:basedOn w:val="Normal"/>
    <w:link w:val="HeaderChar"/>
    <w:uiPriority w:val="99"/>
    <w:rsid w:val="00C42968"/>
    <w:pPr>
      <w:tabs>
        <w:tab w:val="center" w:pos="4153"/>
        <w:tab w:val="right" w:pos="8306"/>
      </w:tabs>
    </w:pPr>
  </w:style>
  <w:style w:type="paragraph" w:styleId="Footer">
    <w:name w:val="footer"/>
    <w:basedOn w:val="Normal"/>
    <w:link w:val="FooterChar"/>
    <w:uiPriority w:val="99"/>
    <w:rsid w:val="00C42968"/>
    <w:pPr>
      <w:tabs>
        <w:tab w:val="center" w:pos="4153"/>
        <w:tab w:val="right" w:pos="8306"/>
      </w:tabs>
    </w:pPr>
  </w:style>
  <w:style w:type="paragraph" w:styleId="FootnoteText">
    <w:name w:val="footnote text"/>
    <w:basedOn w:val="Normal"/>
    <w:semiHidden/>
    <w:rsid w:val="00C42968"/>
    <w:rPr>
      <w:sz w:val="20"/>
    </w:rPr>
  </w:style>
  <w:style w:type="character" w:styleId="FootnoteReference">
    <w:name w:val="footnote reference"/>
    <w:basedOn w:val="DefaultParagraphFont"/>
    <w:semiHidden/>
    <w:rsid w:val="00C42968"/>
    <w:rPr>
      <w:vertAlign w:val="superscript"/>
    </w:rPr>
  </w:style>
  <w:style w:type="paragraph" w:styleId="TOC1">
    <w:name w:val="toc 1"/>
    <w:basedOn w:val="Normal"/>
    <w:next w:val="Normal"/>
    <w:autoRedefine/>
    <w:semiHidden/>
    <w:rsid w:val="00C42968"/>
    <w:pPr>
      <w:tabs>
        <w:tab w:val="right" w:leader="dot" w:pos="9360"/>
      </w:tabs>
      <w:suppressAutoHyphens/>
      <w:spacing w:before="480"/>
      <w:ind w:left="720" w:right="720" w:hanging="720"/>
    </w:pPr>
    <w:rPr>
      <w:lang w:val="en-US"/>
    </w:rPr>
  </w:style>
  <w:style w:type="character" w:styleId="CommentReference">
    <w:name w:val="annotation reference"/>
    <w:basedOn w:val="DefaultParagraphFont"/>
    <w:semiHidden/>
    <w:rsid w:val="00C42968"/>
    <w:rPr>
      <w:sz w:val="16"/>
    </w:rPr>
  </w:style>
  <w:style w:type="paragraph" w:styleId="CommentText">
    <w:name w:val="annotation text"/>
    <w:basedOn w:val="Normal"/>
    <w:semiHidden/>
    <w:rsid w:val="00C42968"/>
    <w:rPr>
      <w:sz w:val="20"/>
    </w:rPr>
  </w:style>
  <w:style w:type="paragraph" w:styleId="BodyText">
    <w:name w:val="Body Text"/>
    <w:basedOn w:val="Normal"/>
    <w:semiHidden/>
    <w:rsid w:val="00C42968"/>
    <w:pPr>
      <w:jc w:val="both"/>
    </w:pPr>
  </w:style>
  <w:style w:type="paragraph" w:customStyle="1" w:styleId="BodyText10">
    <w:name w:val="BodyText10"/>
    <w:rsid w:val="00C42968"/>
    <w:pPr>
      <w:suppressAutoHyphens/>
      <w:jc w:val="both"/>
    </w:pPr>
  </w:style>
  <w:style w:type="paragraph" w:customStyle="1" w:styleId="Table">
    <w:name w:val="Table"/>
    <w:next w:val="Normal"/>
    <w:rsid w:val="00C42968"/>
    <w:pPr>
      <w:keepNext/>
      <w:ind w:left="1814" w:hanging="1800"/>
    </w:pPr>
  </w:style>
  <w:style w:type="paragraph" w:customStyle="1" w:styleId="TableNote">
    <w:name w:val="TableNote"/>
    <w:rsid w:val="00C42968"/>
    <w:pPr>
      <w:keepNext/>
      <w:keepLines/>
      <w:tabs>
        <w:tab w:val="left" w:pos="187"/>
        <w:tab w:val="left" w:pos="1440"/>
      </w:tabs>
      <w:ind w:left="187" w:hanging="187"/>
    </w:pPr>
  </w:style>
  <w:style w:type="paragraph" w:customStyle="1" w:styleId="TableText">
    <w:name w:val="TableText"/>
    <w:rsid w:val="00C42968"/>
    <w:pPr>
      <w:keepNext/>
    </w:pPr>
  </w:style>
  <w:style w:type="paragraph" w:customStyle="1" w:styleId="LastPageStyle">
    <w:name w:val="LastPageStyle"/>
    <w:next w:val="BodyText10"/>
    <w:rsid w:val="00C42968"/>
    <w:pPr>
      <w:tabs>
        <w:tab w:val="right" w:leader="dot" w:pos="8280"/>
      </w:tabs>
      <w:spacing w:before="200" w:after="200"/>
    </w:pPr>
    <w:rPr>
      <w:rFonts w:ascii="Arial" w:hAnsi="Arial"/>
      <w:b/>
      <w:caps/>
    </w:rPr>
  </w:style>
  <w:style w:type="paragraph" w:customStyle="1" w:styleId="Narrative1">
    <w:name w:val="Narrative 1"/>
    <w:rsid w:val="00C42968"/>
    <w:pPr>
      <w:numPr>
        <w:numId w:val="8"/>
      </w:numPr>
      <w:spacing w:after="200" w:line="300" w:lineRule="auto"/>
      <w:jc w:val="both"/>
    </w:pPr>
    <w:rPr>
      <w:sz w:val="24"/>
    </w:rPr>
  </w:style>
  <w:style w:type="paragraph" w:customStyle="1" w:styleId="Narrative2">
    <w:name w:val="Narrative 2"/>
    <w:rsid w:val="00C42968"/>
    <w:pPr>
      <w:numPr>
        <w:ilvl w:val="1"/>
        <w:numId w:val="9"/>
      </w:numPr>
      <w:spacing w:after="200" w:line="300" w:lineRule="auto"/>
      <w:jc w:val="both"/>
    </w:pPr>
    <w:rPr>
      <w:sz w:val="24"/>
    </w:rPr>
  </w:style>
  <w:style w:type="paragraph" w:customStyle="1" w:styleId="Narrative3">
    <w:name w:val="Narrative 3"/>
    <w:rsid w:val="00C42968"/>
    <w:pPr>
      <w:numPr>
        <w:ilvl w:val="2"/>
        <w:numId w:val="10"/>
      </w:numPr>
      <w:spacing w:after="200" w:line="300" w:lineRule="auto"/>
      <w:jc w:val="both"/>
    </w:pPr>
    <w:rPr>
      <w:sz w:val="24"/>
    </w:rPr>
  </w:style>
  <w:style w:type="character" w:styleId="Hyperlink">
    <w:name w:val="Hyperlink"/>
    <w:basedOn w:val="DefaultParagraphFont"/>
    <w:semiHidden/>
    <w:rsid w:val="00C42968"/>
    <w:rPr>
      <w:color w:val="0000FF"/>
      <w:u w:val="single"/>
    </w:rPr>
  </w:style>
  <w:style w:type="character" w:styleId="FollowedHyperlink">
    <w:name w:val="FollowedHyperlink"/>
    <w:basedOn w:val="DefaultParagraphFont"/>
    <w:semiHidden/>
    <w:rsid w:val="00C42968"/>
    <w:rPr>
      <w:color w:val="800080"/>
      <w:u w:val="single"/>
    </w:rPr>
  </w:style>
  <w:style w:type="paragraph" w:styleId="BodyText2">
    <w:name w:val="Body Text 2"/>
    <w:basedOn w:val="Normal"/>
    <w:semiHidden/>
    <w:rsid w:val="00C42968"/>
    <w:pPr>
      <w:autoSpaceDE w:val="0"/>
      <w:autoSpaceDN w:val="0"/>
      <w:adjustRightInd w:val="0"/>
    </w:pPr>
    <w:rPr>
      <w:rFonts w:ascii="TimesNewRomanPSMT" w:hAnsi="TimesNewRomanPSMT"/>
      <w:lang w:val="en-US" w:eastAsia="sv-SE"/>
    </w:rPr>
  </w:style>
  <w:style w:type="paragraph" w:customStyle="1" w:styleId="Default">
    <w:name w:val="Default"/>
    <w:rsid w:val="00C42968"/>
    <w:pPr>
      <w:widowControl w:val="0"/>
      <w:autoSpaceDE w:val="0"/>
      <w:autoSpaceDN w:val="0"/>
      <w:adjustRightInd w:val="0"/>
    </w:pPr>
    <w:rPr>
      <w:color w:val="000000"/>
      <w:sz w:val="24"/>
      <w:szCs w:val="24"/>
    </w:rPr>
  </w:style>
  <w:style w:type="paragraph" w:customStyle="1" w:styleId="CM31">
    <w:name w:val="CM31"/>
    <w:basedOn w:val="Default"/>
    <w:next w:val="Default"/>
    <w:rsid w:val="00C42968"/>
    <w:pPr>
      <w:spacing w:after="148"/>
    </w:pPr>
    <w:rPr>
      <w:color w:val="auto"/>
    </w:rPr>
  </w:style>
  <w:style w:type="paragraph" w:customStyle="1" w:styleId="CM32">
    <w:name w:val="CM32"/>
    <w:basedOn w:val="Default"/>
    <w:next w:val="Default"/>
    <w:rsid w:val="00C42968"/>
    <w:pPr>
      <w:spacing w:after="360"/>
    </w:pPr>
    <w:rPr>
      <w:color w:val="auto"/>
    </w:rPr>
  </w:style>
  <w:style w:type="paragraph" w:customStyle="1" w:styleId="CM22">
    <w:name w:val="CM22"/>
    <w:basedOn w:val="Default"/>
    <w:next w:val="Default"/>
    <w:rsid w:val="00C42968"/>
    <w:pPr>
      <w:spacing w:line="220" w:lineRule="atLeast"/>
    </w:pPr>
    <w:rPr>
      <w:color w:val="auto"/>
    </w:rPr>
  </w:style>
  <w:style w:type="character" w:styleId="LineNumber">
    <w:name w:val="line number"/>
    <w:basedOn w:val="DefaultParagraphFont"/>
    <w:semiHidden/>
    <w:rsid w:val="00C42968"/>
  </w:style>
  <w:style w:type="paragraph" w:customStyle="1" w:styleId="ReferenceHeading2">
    <w:name w:val="Reference Heading 2"/>
    <w:basedOn w:val="Reference"/>
    <w:next w:val="ReferenceText"/>
    <w:rsid w:val="00C42968"/>
    <w:pPr>
      <w:numPr>
        <w:numId w:val="11"/>
      </w:numPr>
      <w:outlineLvl w:val="0"/>
    </w:pPr>
    <w:rPr>
      <w:rFonts w:ascii="Arial" w:hAnsi="Arial"/>
      <w:b/>
      <w:caps/>
    </w:rPr>
  </w:style>
  <w:style w:type="paragraph" w:customStyle="1" w:styleId="Reference">
    <w:name w:val="Reference"/>
    <w:rsid w:val="00C42968"/>
    <w:pPr>
      <w:keepLines/>
      <w:spacing w:after="200"/>
      <w:ind w:left="1210" w:hanging="360"/>
      <w:jc w:val="both"/>
    </w:pPr>
    <w:rPr>
      <w:sz w:val="24"/>
    </w:rPr>
  </w:style>
  <w:style w:type="paragraph" w:customStyle="1" w:styleId="ReferenceText">
    <w:name w:val="Reference Text"/>
    <w:rsid w:val="00C42968"/>
    <w:pPr>
      <w:spacing w:after="200"/>
      <w:ind w:left="1656"/>
    </w:pPr>
    <w:rPr>
      <w:rFonts w:ascii="Times New Roman Bold" w:hAnsi="Times New Roman Bold"/>
      <w:b/>
      <w:sz w:val="24"/>
    </w:rPr>
  </w:style>
  <w:style w:type="paragraph" w:customStyle="1" w:styleId="ReferenceHeading3">
    <w:name w:val="Reference Heading 3"/>
    <w:basedOn w:val="ReferenceHeading2"/>
    <w:next w:val="ReferenceText"/>
    <w:rsid w:val="00C42968"/>
    <w:pPr>
      <w:numPr>
        <w:ilvl w:val="1"/>
      </w:numPr>
      <w:tabs>
        <w:tab w:val="clear" w:pos="1397"/>
        <w:tab w:val="num" w:pos="360"/>
      </w:tabs>
      <w:ind w:left="360" w:hanging="360"/>
      <w:outlineLvl w:val="1"/>
    </w:pPr>
    <w:rPr>
      <w:caps w:val="0"/>
    </w:rPr>
  </w:style>
  <w:style w:type="paragraph" w:customStyle="1" w:styleId="ReferenceBullet">
    <w:name w:val="Reference Bullet"/>
    <w:basedOn w:val="Bullet"/>
    <w:rsid w:val="00C42968"/>
    <w:pPr>
      <w:numPr>
        <w:numId w:val="12"/>
      </w:numPr>
    </w:pPr>
    <w:rPr>
      <w:i/>
      <w:iCs/>
      <w:color w:val="FF00FF"/>
    </w:rPr>
  </w:style>
  <w:style w:type="paragraph" w:customStyle="1" w:styleId="Bullet">
    <w:name w:val="Bullet"/>
    <w:rsid w:val="00C42968"/>
    <w:pPr>
      <w:suppressAutoHyphens/>
      <w:spacing w:after="200"/>
      <w:ind w:left="360" w:hanging="360"/>
      <w:jc w:val="both"/>
    </w:pPr>
  </w:style>
  <w:style w:type="paragraph" w:customStyle="1" w:styleId="BulletIndent1">
    <w:name w:val="Bullet Indent 1 (•)"/>
    <w:rsid w:val="00C42968"/>
    <w:pPr>
      <w:numPr>
        <w:numId w:val="2"/>
      </w:numPr>
      <w:tabs>
        <w:tab w:val="clear" w:pos="360"/>
        <w:tab w:val="left" w:pos="288"/>
      </w:tabs>
      <w:spacing w:after="120"/>
      <w:jc w:val="both"/>
    </w:pPr>
    <w:rPr>
      <w:sz w:val="24"/>
    </w:rPr>
  </w:style>
  <w:style w:type="paragraph" w:customStyle="1" w:styleId="BulletIndent2-">
    <w:name w:val="Bullet Indent 2 (-)"/>
    <w:rsid w:val="00C42968"/>
    <w:pPr>
      <w:numPr>
        <w:numId w:val="5"/>
      </w:numPr>
      <w:tabs>
        <w:tab w:val="clear" w:pos="648"/>
        <w:tab w:val="left" w:pos="576"/>
      </w:tabs>
      <w:spacing w:after="120"/>
      <w:ind w:left="576" w:hanging="288"/>
      <w:jc w:val="both"/>
    </w:pPr>
    <w:rPr>
      <w:sz w:val="24"/>
    </w:rPr>
  </w:style>
  <w:style w:type="paragraph" w:customStyle="1" w:styleId="BulletIndent3">
    <w:name w:val="Bullet Indent 3 (.)"/>
    <w:rsid w:val="00C42968"/>
    <w:pPr>
      <w:numPr>
        <w:numId w:val="6"/>
      </w:numPr>
      <w:tabs>
        <w:tab w:val="clear" w:pos="936"/>
        <w:tab w:val="left" w:pos="864"/>
      </w:tabs>
      <w:spacing w:after="120"/>
      <w:ind w:left="864" w:hanging="288"/>
      <w:jc w:val="both"/>
    </w:pPr>
    <w:rPr>
      <w:sz w:val="24"/>
    </w:rPr>
  </w:style>
  <w:style w:type="paragraph" w:customStyle="1" w:styleId="BulletIndent4">
    <w:name w:val="Bullet Indent 4 (•)"/>
    <w:rsid w:val="00C42968"/>
    <w:pPr>
      <w:numPr>
        <w:numId w:val="4"/>
      </w:numPr>
      <w:tabs>
        <w:tab w:val="clear" w:pos="360"/>
        <w:tab w:val="left" w:pos="1138"/>
      </w:tabs>
      <w:spacing w:after="120"/>
      <w:ind w:left="1138" w:hanging="288"/>
      <w:jc w:val="both"/>
    </w:pPr>
    <w:rPr>
      <w:sz w:val="24"/>
    </w:rPr>
  </w:style>
  <w:style w:type="paragraph" w:customStyle="1" w:styleId="BulletIndent5-">
    <w:name w:val="Bullet Indent 5 (-)"/>
    <w:rsid w:val="00C42968"/>
    <w:pPr>
      <w:numPr>
        <w:numId w:val="7"/>
      </w:numPr>
      <w:tabs>
        <w:tab w:val="clear" w:pos="1570"/>
        <w:tab w:val="left" w:pos="1426"/>
      </w:tabs>
      <w:spacing w:after="120"/>
      <w:ind w:left="1426" w:hanging="288"/>
      <w:jc w:val="both"/>
    </w:pPr>
    <w:rPr>
      <w:sz w:val="24"/>
    </w:rPr>
  </w:style>
  <w:style w:type="paragraph" w:customStyle="1" w:styleId="BulletIndent6">
    <w:name w:val="Bullet Indent 6 (.)"/>
    <w:rsid w:val="00C42968"/>
    <w:pPr>
      <w:numPr>
        <w:numId w:val="3"/>
      </w:numPr>
      <w:tabs>
        <w:tab w:val="clear" w:pos="922"/>
        <w:tab w:val="left" w:pos="1714"/>
      </w:tabs>
      <w:spacing w:after="120"/>
      <w:ind w:left="1714" w:hanging="288"/>
      <w:jc w:val="both"/>
    </w:pPr>
    <w:rPr>
      <w:sz w:val="24"/>
    </w:rPr>
  </w:style>
  <w:style w:type="paragraph" w:customStyle="1" w:styleId="MarkTable">
    <w:name w:val="Mark Table"/>
    <w:next w:val="TableText"/>
    <w:rsid w:val="00C42968"/>
    <w:pPr>
      <w:keepNext/>
      <w:ind w:left="1080" w:hanging="1066"/>
    </w:pPr>
  </w:style>
  <w:style w:type="paragraph" w:styleId="BalloonText">
    <w:name w:val="Balloon Text"/>
    <w:basedOn w:val="Normal"/>
    <w:semiHidden/>
    <w:unhideWhenUsed/>
    <w:rsid w:val="00C42968"/>
    <w:rPr>
      <w:rFonts w:ascii="Tahoma" w:hAnsi="Tahoma" w:cs="Tahoma"/>
      <w:sz w:val="16"/>
      <w:szCs w:val="16"/>
    </w:rPr>
  </w:style>
  <w:style w:type="character" w:customStyle="1" w:styleId="BalloonTextChar">
    <w:name w:val="Balloon Text Char"/>
    <w:basedOn w:val="DefaultParagraphFont"/>
    <w:semiHidden/>
    <w:rsid w:val="00C42968"/>
    <w:rPr>
      <w:rFonts w:ascii="Tahoma" w:hAnsi="Tahoma" w:cs="Tahoma"/>
      <w:sz w:val="16"/>
      <w:szCs w:val="16"/>
      <w:lang w:val="en-AU"/>
    </w:rPr>
  </w:style>
  <w:style w:type="paragraph" w:customStyle="1" w:styleId="MarkFigure">
    <w:name w:val="Mark Figure"/>
    <w:next w:val="BodyText12"/>
    <w:rsid w:val="00C42968"/>
    <w:pPr>
      <w:keepNext/>
      <w:ind w:left="1916" w:hanging="1066"/>
    </w:pPr>
  </w:style>
  <w:style w:type="table" w:styleId="TableGrid">
    <w:name w:val="Table Grid"/>
    <w:basedOn w:val="TableNormal"/>
    <w:uiPriority w:val="59"/>
    <w:rsid w:val="00EE00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semiHidden/>
    <w:unhideWhenUsed/>
    <w:rsid w:val="00C42968"/>
    <w:rPr>
      <w:b/>
      <w:bCs/>
      <w:szCs w:val="20"/>
    </w:rPr>
  </w:style>
  <w:style w:type="character" w:customStyle="1" w:styleId="CommentTextChar">
    <w:name w:val="Comment Text Char"/>
    <w:basedOn w:val="DefaultParagraphFont"/>
    <w:semiHidden/>
    <w:rsid w:val="00C42968"/>
    <w:rPr>
      <w:rFonts w:ascii="Arial" w:hAnsi="Arial" w:cs="Arial"/>
      <w:color w:val="000000"/>
      <w:szCs w:val="22"/>
    </w:rPr>
  </w:style>
  <w:style w:type="character" w:customStyle="1" w:styleId="CommentSubjectChar">
    <w:name w:val="Comment Subject Char"/>
    <w:basedOn w:val="CommentTextChar"/>
    <w:rsid w:val="00C42968"/>
    <w:rPr>
      <w:rFonts w:ascii="Arial" w:hAnsi="Arial" w:cs="Arial"/>
      <w:color w:val="000000"/>
      <w:szCs w:val="22"/>
    </w:rPr>
  </w:style>
  <w:style w:type="paragraph" w:styleId="Revision">
    <w:name w:val="Revision"/>
    <w:hidden/>
    <w:semiHidden/>
    <w:rsid w:val="00C42968"/>
    <w:rPr>
      <w:rFonts w:ascii="Arial" w:hAnsi="Arial" w:cs="Arial"/>
      <w:color w:val="000000"/>
      <w:sz w:val="22"/>
      <w:szCs w:val="22"/>
    </w:rPr>
  </w:style>
  <w:style w:type="paragraph" w:styleId="ListParagraph">
    <w:name w:val="List Paragraph"/>
    <w:basedOn w:val="Normal"/>
    <w:uiPriority w:val="34"/>
    <w:qFormat/>
    <w:rsid w:val="006D32D3"/>
    <w:pPr>
      <w:ind w:left="720"/>
    </w:pPr>
    <w:rPr>
      <w:rFonts w:ascii="Calibri" w:eastAsia="Calibri" w:hAnsi="Calibri" w:cs="Times New Roman"/>
      <w:color w:val="auto"/>
      <w:lang w:val="en-US"/>
    </w:rPr>
  </w:style>
  <w:style w:type="character" w:customStyle="1" w:styleId="HeaderChar">
    <w:name w:val="Header Char"/>
    <w:basedOn w:val="DefaultParagraphFont"/>
    <w:link w:val="Header"/>
    <w:uiPriority w:val="99"/>
    <w:rsid w:val="00A67A1D"/>
    <w:rPr>
      <w:rFonts w:ascii="Arial" w:hAnsi="Arial" w:cs="Arial"/>
      <w:color w:val="000000"/>
      <w:sz w:val="22"/>
      <w:szCs w:val="22"/>
      <w:lang w:val="en-AU"/>
    </w:rPr>
  </w:style>
  <w:style w:type="paragraph" w:customStyle="1" w:styleId="SummaryResponse">
    <w:name w:val="Summary Response"/>
    <w:basedOn w:val="Normal"/>
    <w:rsid w:val="00013880"/>
    <w:pPr>
      <w:spacing w:after="200"/>
      <w:ind w:left="720"/>
      <w:jc w:val="both"/>
    </w:pPr>
    <w:rPr>
      <w:rFonts w:ascii="Times New Roman" w:hAnsi="Times New Roman" w:cs="Times New Roman"/>
      <w:color w:val="auto"/>
      <w:sz w:val="24"/>
      <w:szCs w:val="20"/>
      <w:lang w:val="en-US"/>
    </w:rPr>
  </w:style>
  <w:style w:type="paragraph" w:customStyle="1" w:styleId="BodyText120">
    <w:name w:val="Body Text 12"/>
    <w:link w:val="BodyText12Char"/>
    <w:qFormat/>
    <w:rsid w:val="00F17206"/>
    <w:pPr>
      <w:spacing w:after="240" w:line="264" w:lineRule="auto"/>
      <w:jc w:val="both"/>
    </w:pPr>
    <w:rPr>
      <w:sz w:val="24"/>
    </w:rPr>
  </w:style>
  <w:style w:type="character" w:customStyle="1" w:styleId="sub">
    <w:name w:val="sub"/>
    <w:basedOn w:val="DefaultParagraphFont"/>
    <w:rsid w:val="002E3C8F"/>
  </w:style>
  <w:style w:type="paragraph" w:styleId="EndnoteText">
    <w:name w:val="endnote text"/>
    <w:basedOn w:val="Normal"/>
    <w:link w:val="EndnoteTextChar"/>
    <w:uiPriority w:val="99"/>
    <w:unhideWhenUsed/>
    <w:rsid w:val="00865C69"/>
    <w:pPr>
      <w:tabs>
        <w:tab w:val="left" w:pos="360"/>
      </w:tabs>
      <w:ind w:left="360" w:hanging="360"/>
      <w:jc w:val="both"/>
    </w:pPr>
    <w:rPr>
      <w:rFonts w:ascii="Times New Roman" w:hAnsi="Times New Roman" w:cs="Times New Roman"/>
      <w:color w:val="auto"/>
      <w:sz w:val="16"/>
      <w:szCs w:val="20"/>
      <w:lang w:val="en-US"/>
    </w:rPr>
  </w:style>
  <w:style w:type="character" w:customStyle="1" w:styleId="EndnoteTextChar">
    <w:name w:val="Endnote Text Char"/>
    <w:basedOn w:val="DefaultParagraphFont"/>
    <w:link w:val="EndnoteText"/>
    <w:uiPriority w:val="99"/>
    <w:rsid w:val="00865C69"/>
    <w:rPr>
      <w:sz w:val="16"/>
    </w:rPr>
  </w:style>
  <w:style w:type="character" w:styleId="EndnoteReference">
    <w:name w:val="endnote reference"/>
    <w:semiHidden/>
    <w:unhideWhenUsed/>
    <w:rsid w:val="00865C69"/>
    <w:rPr>
      <w:vertAlign w:val="superscript"/>
    </w:rPr>
  </w:style>
  <w:style w:type="paragraph" w:customStyle="1" w:styleId="TableFootnote">
    <w:name w:val="Table Footnote"/>
    <w:qFormat/>
    <w:rsid w:val="00E314E4"/>
    <w:pPr>
      <w:tabs>
        <w:tab w:val="left" w:pos="360"/>
      </w:tabs>
      <w:ind w:left="360" w:hanging="360"/>
    </w:pPr>
    <w:rPr>
      <w:sz w:val="16"/>
    </w:rPr>
  </w:style>
  <w:style w:type="character" w:customStyle="1" w:styleId="Bold">
    <w:name w:val="Bold"/>
    <w:uiPriority w:val="99"/>
    <w:rsid w:val="0091469D"/>
    <w:rPr>
      <w:b/>
      <w:bCs/>
    </w:rPr>
  </w:style>
  <w:style w:type="character" w:customStyle="1" w:styleId="DoNots">
    <w:name w:val="Do Nots"/>
    <w:uiPriority w:val="99"/>
    <w:rsid w:val="0091469D"/>
    <w:rPr>
      <w:rFonts w:ascii="BentonSans-Black" w:hAnsi="BentonSans-Black" w:cs="BentonSans-Black"/>
      <w:b w:val="0"/>
      <w:bCs w:val="0"/>
      <w:caps/>
      <w:spacing w:val="5"/>
      <w:sz w:val="16"/>
      <w:szCs w:val="16"/>
    </w:rPr>
  </w:style>
  <w:style w:type="character" w:customStyle="1" w:styleId="FooterChar">
    <w:name w:val="Footer Char"/>
    <w:link w:val="Footer"/>
    <w:uiPriority w:val="99"/>
    <w:rsid w:val="00DB3D22"/>
    <w:rPr>
      <w:rFonts w:ascii="Arial" w:hAnsi="Arial" w:cs="Arial"/>
      <w:color w:val="000000"/>
      <w:sz w:val="22"/>
      <w:szCs w:val="22"/>
      <w:lang w:val="en-AU"/>
    </w:rPr>
  </w:style>
  <w:style w:type="paragraph" w:customStyle="1" w:styleId="Numbered12-1">
    <w:name w:val="Numbered 12-1"/>
    <w:qFormat/>
    <w:rsid w:val="00044979"/>
    <w:pPr>
      <w:numPr>
        <w:numId w:val="21"/>
      </w:numPr>
      <w:spacing w:after="120"/>
      <w:jc w:val="both"/>
    </w:pPr>
    <w:rPr>
      <w:sz w:val="24"/>
    </w:rPr>
  </w:style>
  <w:style w:type="character" w:styleId="PlaceholderText">
    <w:name w:val="Placeholder Text"/>
    <w:basedOn w:val="DefaultParagraphFont"/>
    <w:uiPriority w:val="99"/>
    <w:semiHidden/>
    <w:rsid w:val="007941F2"/>
    <w:rPr>
      <w:color w:val="808080"/>
    </w:rPr>
  </w:style>
  <w:style w:type="character" w:customStyle="1" w:styleId="BodyText12Char">
    <w:name w:val="Body Text 12 Char"/>
    <w:basedOn w:val="DefaultParagraphFont"/>
    <w:link w:val="BodyText120"/>
    <w:rsid w:val="00B704BF"/>
    <w:rPr>
      <w:sz w:val="24"/>
    </w:rPr>
  </w:style>
  <w:style w:type="paragraph" w:customStyle="1" w:styleId="Basic11">
    <w:name w:val="Basic 11"/>
    <w:qFormat/>
    <w:rsid w:val="00AC7345"/>
    <w:rPr>
      <w:sz w:val="22"/>
    </w:rPr>
  </w:style>
  <w:style w:type="paragraph" w:customStyle="1" w:styleId="MarkforTOC">
    <w:name w:val="Mark for TOC"/>
    <w:next w:val="Basic11"/>
    <w:uiPriority w:val="99"/>
    <w:rsid w:val="00AC7345"/>
    <w:pPr>
      <w:keepNext/>
      <w:spacing w:before="60" w:after="60"/>
      <w:ind w:left="1440" w:hanging="1440"/>
    </w:pPr>
    <w:rPr>
      <w:rFonts w:ascii="Arial" w:hAnsi="Arial"/>
      <w:b/>
    </w:rPr>
  </w:style>
  <w:style w:type="paragraph" w:customStyle="1" w:styleId="Bullet12-4">
    <w:name w:val="Bullet 12-4"/>
    <w:uiPriority w:val="2"/>
    <w:qFormat/>
    <w:rsid w:val="00AC7345"/>
    <w:pPr>
      <w:numPr>
        <w:numId w:val="22"/>
      </w:numPr>
      <w:spacing w:after="120"/>
      <w:jc w:val="both"/>
    </w:pPr>
    <w:rPr>
      <w:sz w:val="24"/>
    </w:rPr>
  </w:style>
  <w:style w:type="paragraph" w:customStyle="1" w:styleId="TableText0">
    <w:name w:val="Table Text"/>
    <w:qFormat/>
    <w:rsid w:val="007B2926"/>
    <w:pPr>
      <w:tabs>
        <w:tab w:val="left" w:pos="288"/>
        <w:tab w:val="left" w:pos="576"/>
        <w:tab w:val="left" w:pos="864"/>
      </w:tabs>
    </w:pPr>
  </w:style>
  <w:style w:type="paragraph" w:styleId="ListBullet">
    <w:name w:val="List Bullet"/>
    <w:basedOn w:val="Normal"/>
    <w:uiPriority w:val="99"/>
    <w:qFormat/>
    <w:rsid w:val="00553C06"/>
    <w:pPr>
      <w:numPr>
        <w:numId w:val="24"/>
      </w:numPr>
      <w:spacing w:before="120" w:after="180" w:line="240" w:lineRule="atLeast"/>
    </w:pPr>
    <w:rPr>
      <w:rFonts w:ascii="Cambria" w:eastAsia="Cambria" w:hAnsi="Cambria" w:cs="Times New Roman"/>
      <w:color w:val="auto"/>
    </w:rPr>
  </w:style>
  <w:style w:type="paragraph" w:styleId="ListBullet2">
    <w:name w:val="List Bullet 2"/>
    <w:basedOn w:val="Normal"/>
    <w:uiPriority w:val="99"/>
    <w:qFormat/>
    <w:rsid w:val="00553C06"/>
    <w:pPr>
      <w:numPr>
        <w:ilvl w:val="1"/>
        <w:numId w:val="24"/>
      </w:numPr>
      <w:spacing w:before="120" w:after="180" w:line="240" w:lineRule="atLeast"/>
    </w:pPr>
    <w:rPr>
      <w:rFonts w:ascii="Cambria" w:eastAsia="Cambria" w:hAnsi="Cambria" w:cs="Times New Roman"/>
      <w:color w:val="auto"/>
    </w:rPr>
  </w:style>
  <w:style w:type="paragraph" w:styleId="ListBullet3">
    <w:name w:val="List Bullet 3"/>
    <w:basedOn w:val="Normal"/>
    <w:uiPriority w:val="99"/>
    <w:qFormat/>
    <w:rsid w:val="00553C06"/>
    <w:pPr>
      <w:numPr>
        <w:ilvl w:val="2"/>
        <w:numId w:val="24"/>
      </w:numPr>
      <w:spacing w:before="120" w:after="180" w:line="240" w:lineRule="atLeast"/>
    </w:pPr>
    <w:rPr>
      <w:rFonts w:ascii="Cambria" w:eastAsia="Cambria" w:hAnsi="Cambria" w:cs="Times New Roman"/>
      <w:color w:val="auto"/>
    </w:rPr>
  </w:style>
  <w:style w:type="numbering" w:customStyle="1" w:styleId="ListBullets">
    <w:name w:val="ListBullets"/>
    <w:uiPriority w:val="99"/>
    <w:locked/>
    <w:rsid w:val="00553C06"/>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714697">
      <w:bodyDiv w:val="1"/>
      <w:marLeft w:val="0"/>
      <w:marRight w:val="0"/>
      <w:marTop w:val="0"/>
      <w:marBottom w:val="0"/>
      <w:divBdr>
        <w:top w:val="none" w:sz="0" w:space="0" w:color="auto"/>
        <w:left w:val="none" w:sz="0" w:space="0" w:color="auto"/>
        <w:bottom w:val="none" w:sz="0" w:space="0" w:color="auto"/>
        <w:right w:val="none" w:sz="0" w:space="0" w:color="auto"/>
      </w:divBdr>
    </w:div>
    <w:div w:id="344748692">
      <w:bodyDiv w:val="1"/>
      <w:marLeft w:val="0"/>
      <w:marRight w:val="0"/>
      <w:marTop w:val="0"/>
      <w:marBottom w:val="0"/>
      <w:divBdr>
        <w:top w:val="none" w:sz="0" w:space="0" w:color="auto"/>
        <w:left w:val="none" w:sz="0" w:space="0" w:color="auto"/>
        <w:bottom w:val="none" w:sz="0" w:space="0" w:color="auto"/>
        <w:right w:val="none" w:sz="0" w:space="0" w:color="auto"/>
      </w:divBdr>
    </w:div>
    <w:div w:id="400448195">
      <w:bodyDiv w:val="1"/>
      <w:marLeft w:val="0"/>
      <w:marRight w:val="0"/>
      <w:marTop w:val="0"/>
      <w:marBottom w:val="0"/>
      <w:divBdr>
        <w:top w:val="none" w:sz="0" w:space="0" w:color="auto"/>
        <w:left w:val="none" w:sz="0" w:space="0" w:color="auto"/>
        <w:bottom w:val="none" w:sz="0" w:space="0" w:color="auto"/>
        <w:right w:val="none" w:sz="0" w:space="0" w:color="auto"/>
      </w:divBdr>
    </w:div>
    <w:div w:id="425614221">
      <w:bodyDiv w:val="1"/>
      <w:marLeft w:val="0"/>
      <w:marRight w:val="0"/>
      <w:marTop w:val="0"/>
      <w:marBottom w:val="0"/>
      <w:divBdr>
        <w:top w:val="none" w:sz="0" w:space="0" w:color="auto"/>
        <w:left w:val="none" w:sz="0" w:space="0" w:color="auto"/>
        <w:bottom w:val="none" w:sz="0" w:space="0" w:color="auto"/>
        <w:right w:val="none" w:sz="0" w:space="0" w:color="auto"/>
      </w:divBdr>
    </w:div>
    <w:div w:id="426850795">
      <w:bodyDiv w:val="1"/>
      <w:marLeft w:val="0"/>
      <w:marRight w:val="0"/>
      <w:marTop w:val="0"/>
      <w:marBottom w:val="0"/>
      <w:divBdr>
        <w:top w:val="none" w:sz="0" w:space="0" w:color="auto"/>
        <w:left w:val="none" w:sz="0" w:space="0" w:color="auto"/>
        <w:bottom w:val="none" w:sz="0" w:space="0" w:color="auto"/>
        <w:right w:val="none" w:sz="0" w:space="0" w:color="auto"/>
      </w:divBdr>
    </w:div>
    <w:div w:id="429206627">
      <w:bodyDiv w:val="1"/>
      <w:marLeft w:val="0"/>
      <w:marRight w:val="0"/>
      <w:marTop w:val="0"/>
      <w:marBottom w:val="0"/>
      <w:divBdr>
        <w:top w:val="none" w:sz="0" w:space="0" w:color="auto"/>
        <w:left w:val="none" w:sz="0" w:space="0" w:color="auto"/>
        <w:bottom w:val="none" w:sz="0" w:space="0" w:color="auto"/>
        <w:right w:val="none" w:sz="0" w:space="0" w:color="auto"/>
      </w:divBdr>
    </w:div>
    <w:div w:id="442772044">
      <w:bodyDiv w:val="1"/>
      <w:marLeft w:val="0"/>
      <w:marRight w:val="0"/>
      <w:marTop w:val="0"/>
      <w:marBottom w:val="0"/>
      <w:divBdr>
        <w:top w:val="none" w:sz="0" w:space="0" w:color="auto"/>
        <w:left w:val="none" w:sz="0" w:space="0" w:color="auto"/>
        <w:bottom w:val="none" w:sz="0" w:space="0" w:color="auto"/>
        <w:right w:val="none" w:sz="0" w:space="0" w:color="auto"/>
      </w:divBdr>
    </w:div>
    <w:div w:id="467475583">
      <w:bodyDiv w:val="1"/>
      <w:marLeft w:val="0"/>
      <w:marRight w:val="0"/>
      <w:marTop w:val="0"/>
      <w:marBottom w:val="0"/>
      <w:divBdr>
        <w:top w:val="none" w:sz="0" w:space="0" w:color="auto"/>
        <w:left w:val="none" w:sz="0" w:space="0" w:color="auto"/>
        <w:bottom w:val="none" w:sz="0" w:space="0" w:color="auto"/>
        <w:right w:val="none" w:sz="0" w:space="0" w:color="auto"/>
      </w:divBdr>
    </w:div>
    <w:div w:id="502475891">
      <w:bodyDiv w:val="1"/>
      <w:marLeft w:val="0"/>
      <w:marRight w:val="0"/>
      <w:marTop w:val="0"/>
      <w:marBottom w:val="0"/>
      <w:divBdr>
        <w:top w:val="none" w:sz="0" w:space="0" w:color="auto"/>
        <w:left w:val="none" w:sz="0" w:space="0" w:color="auto"/>
        <w:bottom w:val="none" w:sz="0" w:space="0" w:color="auto"/>
        <w:right w:val="none" w:sz="0" w:space="0" w:color="auto"/>
      </w:divBdr>
    </w:div>
    <w:div w:id="555556715">
      <w:bodyDiv w:val="1"/>
      <w:marLeft w:val="0"/>
      <w:marRight w:val="0"/>
      <w:marTop w:val="0"/>
      <w:marBottom w:val="0"/>
      <w:divBdr>
        <w:top w:val="none" w:sz="0" w:space="0" w:color="auto"/>
        <w:left w:val="none" w:sz="0" w:space="0" w:color="auto"/>
        <w:bottom w:val="none" w:sz="0" w:space="0" w:color="auto"/>
        <w:right w:val="none" w:sz="0" w:space="0" w:color="auto"/>
      </w:divBdr>
    </w:div>
    <w:div w:id="570385498">
      <w:bodyDiv w:val="1"/>
      <w:marLeft w:val="0"/>
      <w:marRight w:val="0"/>
      <w:marTop w:val="0"/>
      <w:marBottom w:val="0"/>
      <w:divBdr>
        <w:top w:val="none" w:sz="0" w:space="0" w:color="auto"/>
        <w:left w:val="none" w:sz="0" w:space="0" w:color="auto"/>
        <w:bottom w:val="none" w:sz="0" w:space="0" w:color="auto"/>
        <w:right w:val="none" w:sz="0" w:space="0" w:color="auto"/>
      </w:divBdr>
    </w:div>
    <w:div w:id="702680176">
      <w:bodyDiv w:val="1"/>
      <w:marLeft w:val="0"/>
      <w:marRight w:val="0"/>
      <w:marTop w:val="0"/>
      <w:marBottom w:val="0"/>
      <w:divBdr>
        <w:top w:val="none" w:sz="0" w:space="0" w:color="auto"/>
        <w:left w:val="none" w:sz="0" w:space="0" w:color="auto"/>
        <w:bottom w:val="none" w:sz="0" w:space="0" w:color="auto"/>
        <w:right w:val="none" w:sz="0" w:space="0" w:color="auto"/>
      </w:divBdr>
    </w:div>
    <w:div w:id="758256776">
      <w:bodyDiv w:val="1"/>
      <w:marLeft w:val="0"/>
      <w:marRight w:val="0"/>
      <w:marTop w:val="0"/>
      <w:marBottom w:val="0"/>
      <w:divBdr>
        <w:top w:val="none" w:sz="0" w:space="0" w:color="auto"/>
        <w:left w:val="none" w:sz="0" w:space="0" w:color="auto"/>
        <w:bottom w:val="none" w:sz="0" w:space="0" w:color="auto"/>
        <w:right w:val="none" w:sz="0" w:space="0" w:color="auto"/>
      </w:divBdr>
    </w:div>
    <w:div w:id="778258165">
      <w:bodyDiv w:val="1"/>
      <w:marLeft w:val="0"/>
      <w:marRight w:val="0"/>
      <w:marTop w:val="0"/>
      <w:marBottom w:val="0"/>
      <w:divBdr>
        <w:top w:val="none" w:sz="0" w:space="0" w:color="auto"/>
        <w:left w:val="none" w:sz="0" w:space="0" w:color="auto"/>
        <w:bottom w:val="none" w:sz="0" w:space="0" w:color="auto"/>
        <w:right w:val="none" w:sz="0" w:space="0" w:color="auto"/>
      </w:divBdr>
    </w:div>
    <w:div w:id="808715748">
      <w:bodyDiv w:val="1"/>
      <w:marLeft w:val="0"/>
      <w:marRight w:val="0"/>
      <w:marTop w:val="0"/>
      <w:marBottom w:val="0"/>
      <w:divBdr>
        <w:top w:val="none" w:sz="0" w:space="0" w:color="auto"/>
        <w:left w:val="none" w:sz="0" w:space="0" w:color="auto"/>
        <w:bottom w:val="none" w:sz="0" w:space="0" w:color="auto"/>
        <w:right w:val="none" w:sz="0" w:space="0" w:color="auto"/>
      </w:divBdr>
    </w:div>
    <w:div w:id="869998812">
      <w:bodyDiv w:val="1"/>
      <w:marLeft w:val="0"/>
      <w:marRight w:val="0"/>
      <w:marTop w:val="0"/>
      <w:marBottom w:val="0"/>
      <w:divBdr>
        <w:top w:val="none" w:sz="0" w:space="0" w:color="auto"/>
        <w:left w:val="none" w:sz="0" w:space="0" w:color="auto"/>
        <w:bottom w:val="none" w:sz="0" w:space="0" w:color="auto"/>
        <w:right w:val="none" w:sz="0" w:space="0" w:color="auto"/>
      </w:divBdr>
    </w:div>
    <w:div w:id="945771998">
      <w:bodyDiv w:val="1"/>
      <w:marLeft w:val="0"/>
      <w:marRight w:val="0"/>
      <w:marTop w:val="0"/>
      <w:marBottom w:val="0"/>
      <w:divBdr>
        <w:top w:val="none" w:sz="0" w:space="0" w:color="auto"/>
        <w:left w:val="none" w:sz="0" w:space="0" w:color="auto"/>
        <w:bottom w:val="none" w:sz="0" w:space="0" w:color="auto"/>
        <w:right w:val="none" w:sz="0" w:space="0" w:color="auto"/>
      </w:divBdr>
    </w:div>
    <w:div w:id="1069692738">
      <w:bodyDiv w:val="1"/>
      <w:marLeft w:val="0"/>
      <w:marRight w:val="0"/>
      <w:marTop w:val="0"/>
      <w:marBottom w:val="0"/>
      <w:divBdr>
        <w:top w:val="none" w:sz="0" w:space="0" w:color="auto"/>
        <w:left w:val="none" w:sz="0" w:space="0" w:color="auto"/>
        <w:bottom w:val="none" w:sz="0" w:space="0" w:color="auto"/>
        <w:right w:val="none" w:sz="0" w:space="0" w:color="auto"/>
      </w:divBdr>
    </w:div>
    <w:div w:id="1273366479">
      <w:bodyDiv w:val="1"/>
      <w:marLeft w:val="0"/>
      <w:marRight w:val="0"/>
      <w:marTop w:val="0"/>
      <w:marBottom w:val="0"/>
      <w:divBdr>
        <w:top w:val="none" w:sz="0" w:space="0" w:color="auto"/>
        <w:left w:val="none" w:sz="0" w:space="0" w:color="auto"/>
        <w:bottom w:val="none" w:sz="0" w:space="0" w:color="auto"/>
        <w:right w:val="none" w:sz="0" w:space="0" w:color="auto"/>
      </w:divBdr>
    </w:div>
    <w:div w:id="1294096944">
      <w:bodyDiv w:val="1"/>
      <w:marLeft w:val="0"/>
      <w:marRight w:val="0"/>
      <w:marTop w:val="0"/>
      <w:marBottom w:val="0"/>
      <w:divBdr>
        <w:top w:val="none" w:sz="0" w:space="0" w:color="auto"/>
        <w:left w:val="none" w:sz="0" w:space="0" w:color="auto"/>
        <w:bottom w:val="none" w:sz="0" w:space="0" w:color="auto"/>
        <w:right w:val="none" w:sz="0" w:space="0" w:color="auto"/>
      </w:divBdr>
    </w:div>
    <w:div w:id="1465466278">
      <w:bodyDiv w:val="1"/>
      <w:marLeft w:val="0"/>
      <w:marRight w:val="0"/>
      <w:marTop w:val="0"/>
      <w:marBottom w:val="0"/>
      <w:divBdr>
        <w:top w:val="none" w:sz="0" w:space="0" w:color="auto"/>
        <w:left w:val="none" w:sz="0" w:space="0" w:color="auto"/>
        <w:bottom w:val="none" w:sz="0" w:space="0" w:color="auto"/>
        <w:right w:val="none" w:sz="0" w:space="0" w:color="auto"/>
      </w:divBdr>
    </w:div>
    <w:div w:id="1561283875">
      <w:bodyDiv w:val="1"/>
      <w:marLeft w:val="0"/>
      <w:marRight w:val="0"/>
      <w:marTop w:val="0"/>
      <w:marBottom w:val="0"/>
      <w:divBdr>
        <w:top w:val="none" w:sz="0" w:space="0" w:color="auto"/>
        <w:left w:val="none" w:sz="0" w:space="0" w:color="auto"/>
        <w:bottom w:val="none" w:sz="0" w:space="0" w:color="auto"/>
        <w:right w:val="none" w:sz="0" w:space="0" w:color="auto"/>
      </w:divBdr>
    </w:div>
    <w:div w:id="1579443251">
      <w:bodyDiv w:val="1"/>
      <w:marLeft w:val="0"/>
      <w:marRight w:val="0"/>
      <w:marTop w:val="0"/>
      <w:marBottom w:val="0"/>
      <w:divBdr>
        <w:top w:val="none" w:sz="0" w:space="0" w:color="auto"/>
        <w:left w:val="none" w:sz="0" w:space="0" w:color="auto"/>
        <w:bottom w:val="none" w:sz="0" w:space="0" w:color="auto"/>
        <w:right w:val="none" w:sz="0" w:space="0" w:color="auto"/>
      </w:divBdr>
    </w:div>
    <w:div w:id="1672490403">
      <w:bodyDiv w:val="1"/>
      <w:marLeft w:val="0"/>
      <w:marRight w:val="0"/>
      <w:marTop w:val="0"/>
      <w:marBottom w:val="0"/>
      <w:divBdr>
        <w:top w:val="none" w:sz="0" w:space="0" w:color="auto"/>
        <w:left w:val="none" w:sz="0" w:space="0" w:color="auto"/>
        <w:bottom w:val="none" w:sz="0" w:space="0" w:color="auto"/>
        <w:right w:val="none" w:sz="0" w:space="0" w:color="auto"/>
      </w:divBdr>
    </w:div>
    <w:div w:id="1715692668">
      <w:bodyDiv w:val="1"/>
      <w:marLeft w:val="0"/>
      <w:marRight w:val="0"/>
      <w:marTop w:val="0"/>
      <w:marBottom w:val="0"/>
      <w:divBdr>
        <w:top w:val="none" w:sz="0" w:space="0" w:color="auto"/>
        <w:left w:val="none" w:sz="0" w:space="0" w:color="auto"/>
        <w:bottom w:val="none" w:sz="0" w:space="0" w:color="auto"/>
        <w:right w:val="none" w:sz="0" w:space="0" w:color="auto"/>
      </w:divBdr>
    </w:div>
    <w:div w:id="1774280755">
      <w:bodyDiv w:val="1"/>
      <w:marLeft w:val="0"/>
      <w:marRight w:val="0"/>
      <w:marTop w:val="0"/>
      <w:marBottom w:val="0"/>
      <w:divBdr>
        <w:top w:val="none" w:sz="0" w:space="0" w:color="auto"/>
        <w:left w:val="none" w:sz="0" w:space="0" w:color="auto"/>
        <w:bottom w:val="none" w:sz="0" w:space="0" w:color="auto"/>
        <w:right w:val="none" w:sz="0" w:space="0" w:color="auto"/>
      </w:divBdr>
    </w:div>
    <w:div w:id="1844277158">
      <w:bodyDiv w:val="1"/>
      <w:marLeft w:val="0"/>
      <w:marRight w:val="0"/>
      <w:marTop w:val="0"/>
      <w:marBottom w:val="0"/>
      <w:divBdr>
        <w:top w:val="none" w:sz="0" w:space="0" w:color="auto"/>
        <w:left w:val="none" w:sz="0" w:space="0" w:color="auto"/>
        <w:bottom w:val="none" w:sz="0" w:space="0" w:color="auto"/>
        <w:right w:val="none" w:sz="0" w:space="0" w:color="auto"/>
      </w:divBdr>
    </w:div>
    <w:div w:id="1910458467">
      <w:bodyDiv w:val="1"/>
      <w:marLeft w:val="0"/>
      <w:marRight w:val="0"/>
      <w:marTop w:val="0"/>
      <w:marBottom w:val="0"/>
      <w:divBdr>
        <w:top w:val="none" w:sz="0" w:space="0" w:color="auto"/>
        <w:left w:val="none" w:sz="0" w:space="0" w:color="auto"/>
        <w:bottom w:val="none" w:sz="0" w:space="0" w:color="auto"/>
        <w:right w:val="none" w:sz="0" w:space="0" w:color="auto"/>
      </w:divBdr>
    </w:div>
    <w:div w:id="1943803591">
      <w:bodyDiv w:val="1"/>
      <w:marLeft w:val="0"/>
      <w:marRight w:val="0"/>
      <w:marTop w:val="0"/>
      <w:marBottom w:val="0"/>
      <w:divBdr>
        <w:top w:val="none" w:sz="0" w:space="0" w:color="auto"/>
        <w:left w:val="none" w:sz="0" w:space="0" w:color="auto"/>
        <w:bottom w:val="none" w:sz="0" w:space="0" w:color="auto"/>
        <w:right w:val="none" w:sz="0" w:space="0" w:color="auto"/>
      </w:divBdr>
    </w:div>
    <w:div w:id="1993941892">
      <w:bodyDiv w:val="1"/>
      <w:marLeft w:val="0"/>
      <w:marRight w:val="0"/>
      <w:marTop w:val="0"/>
      <w:marBottom w:val="0"/>
      <w:divBdr>
        <w:top w:val="none" w:sz="0" w:space="0" w:color="auto"/>
        <w:left w:val="none" w:sz="0" w:space="0" w:color="auto"/>
        <w:bottom w:val="none" w:sz="0" w:space="0" w:color="auto"/>
        <w:right w:val="none" w:sz="0" w:space="0" w:color="auto"/>
      </w:divBdr>
    </w:div>
    <w:div w:id="2011910584">
      <w:bodyDiv w:val="1"/>
      <w:marLeft w:val="0"/>
      <w:marRight w:val="0"/>
      <w:marTop w:val="0"/>
      <w:marBottom w:val="0"/>
      <w:divBdr>
        <w:top w:val="none" w:sz="0" w:space="0" w:color="auto"/>
        <w:left w:val="none" w:sz="0" w:space="0" w:color="auto"/>
        <w:bottom w:val="none" w:sz="0" w:space="0" w:color="auto"/>
        <w:right w:val="none" w:sz="0" w:space="0" w:color="auto"/>
      </w:divBdr>
    </w:div>
    <w:div w:id="2051146298">
      <w:bodyDiv w:val="1"/>
      <w:marLeft w:val="0"/>
      <w:marRight w:val="0"/>
      <w:marTop w:val="0"/>
      <w:marBottom w:val="0"/>
      <w:divBdr>
        <w:top w:val="none" w:sz="0" w:space="0" w:color="auto"/>
        <w:left w:val="none" w:sz="0" w:space="0" w:color="auto"/>
        <w:bottom w:val="none" w:sz="0" w:space="0" w:color="auto"/>
        <w:right w:val="none" w:sz="0" w:space="0" w:color="auto"/>
      </w:divBdr>
    </w:div>
    <w:div w:id="2098476546">
      <w:bodyDiv w:val="1"/>
      <w:marLeft w:val="0"/>
      <w:marRight w:val="0"/>
      <w:marTop w:val="0"/>
      <w:marBottom w:val="0"/>
      <w:divBdr>
        <w:top w:val="none" w:sz="0" w:space="0" w:color="auto"/>
        <w:left w:val="none" w:sz="0" w:space="0" w:color="auto"/>
        <w:bottom w:val="none" w:sz="0" w:space="0" w:color="auto"/>
        <w:right w:val="none" w:sz="0" w:space="0" w:color="auto"/>
      </w:divBdr>
    </w:div>
    <w:div w:id="21271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33FACA-70AA-45FE-8C1B-B0BDFD62E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12918</Words>
  <Characters>76564</Characters>
  <Application>Microsoft Office Word</Application>
  <DocSecurity>0</DocSecurity>
  <Lines>638</Lines>
  <Paragraphs>178</Paragraphs>
  <ScaleCrop>false</ScaleCrop>
  <HeadingPairs>
    <vt:vector size="2" baseType="variant">
      <vt:variant>
        <vt:lpstr>Title</vt:lpstr>
      </vt:variant>
      <vt:variant>
        <vt:i4>1</vt:i4>
      </vt:variant>
    </vt:vector>
  </HeadingPairs>
  <TitlesOfParts>
    <vt:vector size="1" baseType="lpstr">
      <vt:lpstr>AusPAR Attachment 1: Product Information for Paliperidone palmitate</vt:lpstr>
    </vt:vector>
  </TitlesOfParts>
  <Company>Janssen-Cilag</Company>
  <LinksUpToDate>false</LinksUpToDate>
  <CharactersWithSpaces>89304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Paliperidone palmitate</dc:title>
  <dc:subject>Prescription medicines</dc:subject>
  <dc:creator>Jagdish Ghadge</dc:creator>
  <cp:keywords>AusPARs</cp:keywords>
  <cp:lastModifiedBy>THOMPSON, Lynette</cp:lastModifiedBy>
  <cp:revision>4</cp:revision>
  <cp:lastPrinted>2016-09-25T23:56:00Z</cp:lastPrinted>
  <dcterms:created xsi:type="dcterms:W3CDTF">2017-10-12T22:41:00Z</dcterms:created>
  <dcterms:modified xsi:type="dcterms:W3CDTF">2017-11-08T00:12:00Z</dcterms:modified>
</cp:coreProperties>
</file>