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01ACB0C9" w14:textId="77777777" w:rsidTr="00BF1190">
        <w:trPr>
          <w:trHeight w:val="1863"/>
        </w:trPr>
        <w:tc>
          <w:tcPr>
            <w:tcW w:w="3652" w:type="dxa"/>
            <w:tcBorders>
              <w:top w:val="nil"/>
              <w:left w:val="nil"/>
              <w:bottom w:val="nil"/>
              <w:right w:val="nil"/>
            </w:tcBorders>
          </w:tcPr>
          <w:p w14:paraId="6A8EC1C6" w14:textId="10912CFF" w:rsidR="008E7846" w:rsidRPr="00096AA7" w:rsidRDefault="00530724" w:rsidP="00096AA7">
            <w:pPr>
              <w:rPr>
                <w:rFonts w:ascii="Arial" w:hAnsi="Arial" w:cs="Arial"/>
                <w:b/>
                <w:color w:val="002C47"/>
                <w:sz w:val="36"/>
                <w:szCs w:val="36"/>
              </w:rPr>
            </w:pPr>
            <w:r>
              <w:rPr>
                <w:rFonts w:ascii="Arial" w:hAnsi="Arial" w:cs="Arial"/>
                <w:b/>
                <w:color w:val="002C47"/>
                <w:sz w:val="36"/>
                <w:szCs w:val="36"/>
              </w:rPr>
              <w:t xml:space="preserve">October </w:t>
            </w:r>
            <w:r w:rsidR="0017075E">
              <w:rPr>
                <w:rFonts w:ascii="Arial" w:hAnsi="Arial" w:cs="Arial"/>
                <w:b/>
                <w:color w:val="002C47"/>
                <w:sz w:val="36"/>
                <w:szCs w:val="36"/>
              </w:rPr>
              <w:t>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71F6241A" w14:textId="77777777" w:rsidTr="0032583B">
        <w:trPr>
          <w:trHeight w:val="868"/>
        </w:trPr>
        <w:tc>
          <w:tcPr>
            <w:tcW w:w="9079" w:type="dxa"/>
          </w:tcPr>
          <w:p w14:paraId="5906B90E" w14:textId="77777777" w:rsidR="0032583B" w:rsidRPr="00A964D1" w:rsidRDefault="0032583B" w:rsidP="0017075E">
            <w:pPr>
              <w:pStyle w:val="Title"/>
              <w:rPr>
                <w:color w:val="FFFFFF" w:themeColor="background1"/>
              </w:rPr>
            </w:pPr>
            <w:r w:rsidRPr="00A964D1">
              <w:rPr>
                <w:color w:val="FFFFFF" w:themeColor="background1"/>
              </w:rPr>
              <w:t>Australia</w:t>
            </w:r>
            <w:r w:rsidR="0017075E">
              <w:rPr>
                <w:color w:val="FFFFFF" w:themeColor="background1"/>
              </w:rPr>
              <w:t xml:space="preserve">n Public Assessment Report for </w:t>
            </w:r>
            <w:proofErr w:type="spellStart"/>
            <w:r w:rsidR="0017075E">
              <w:rPr>
                <w:color w:val="FFFFFF" w:themeColor="background1"/>
              </w:rPr>
              <w:t>Paliperidone</w:t>
            </w:r>
            <w:proofErr w:type="spellEnd"/>
            <w:r w:rsidR="0017075E">
              <w:rPr>
                <w:color w:val="FFFFFF" w:themeColor="background1"/>
              </w:rPr>
              <w:t xml:space="preserve"> p</w:t>
            </w:r>
            <w:r w:rsidR="0017075E" w:rsidRPr="0017075E">
              <w:rPr>
                <w:color w:val="FFFFFF" w:themeColor="background1"/>
              </w:rPr>
              <w:t>alm</w:t>
            </w:r>
            <w:r w:rsidR="0017075E">
              <w:rPr>
                <w:color w:val="FFFFFF" w:themeColor="background1"/>
              </w:rPr>
              <w:t>itate</w:t>
            </w:r>
          </w:p>
        </w:tc>
      </w:tr>
      <w:tr w:rsidR="0032583B" w:rsidRPr="00B64760" w14:paraId="01D23EFC" w14:textId="77777777" w:rsidTr="0032583B">
        <w:tc>
          <w:tcPr>
            <w:tcW w:w="9079" w:type="dxa"/>
          </w:tcPr>
          <w:p w14:paraId="0AD3FE5F" w14:textId="2C77ECC8" w:rsidR="0032583B" w:rsidRPr="008E7846" w:rsidRDefault="0017075E" w:rsidP="00E85F33">
            <w:pPr>
              <w:pStyle w:val="Subtitle"/>
              <w:rPr>
                <w:color w:val="FFFFFF" w:themeColor="background1"/>
              </w:rPr>
            </w:pPr>
            <w:r>
              <w:rPr>
                <w:color w:val="FFFFFF" w:themeColor="background1"/>
              </w:rPr>
              <w:t>Proprietary Product Name</w:t>
            </w:r>
            <w:r w:rsidR="00E85F33">
              <w:rPr>
                <w:color w:val="FFFFFF" w:themeColor="background1"/>
              </w:rPr>
              <w:t>s</w:t>
            </w:r>
            <w:r w:rsidRPr="00E84567">
              <w:rPr>
                <w:color w:val="FFFFFF" w:themeColor="background1"/>
              </w:rPr>
              <w:t xml:space="preserve">: </w:t>
            </w:r>
            <w:proofErr w:type="spellStart"/>
            <w:r w:rsidR="005968B3" w:rsidRPr="00BD01F9">
              <w:rPr>
                <w:color w:val="FFFFFF" w:themeColor="background1"/>
              </w:rPr>
              <w:t>Invega</w:t>
            </w:r>
            <w:proofErr w:type="spellEnd"/>
            <w:r w:rsidR="005968B3" w:rsidRPr="00BD01F9">
              <w:rPr>
                <w:color w:val="FFFFFF" w:themeColor="background1"/>
              </w:rPr>
              <w:t xml:space="preserve"> </w:t>
            </w:r>
            <w:proofErr w:type="spellStart"/>
            <w:r w:rsidR="005968B3" w:rsidRPr="00BD01F9">
              <w:rPr>
                <w:color w:val="FFFFFF" w:themeColor="background1"/>
              </w:rPr>
              <w:t>Trinza</w:t>
            </w:r>
            <w:proofErr w:type="spellEnd"/>
            <w:r w:rsidRPr="00E84567">
              <w:rPr>
                <w:color w:val="FFFFFF" w:themeColor="background1"/>
              </w:rPr>
              <w:t xml:space="preserve"> </w:t>
            </w:r>
            <w:r w:rsidR="00E85F33" w:rsidRPr="00E84567">
              <w:rPr>
                <w:color w:val="FFFFFF" w:themeColor="background1"/>
              </w:rPr>
              <w:t>and</w:t>
            </w:r>
            <w:r w:rsidR="00A04896" w:rsidRPr="00E84567">
              <w:rPr>
                <w:color w:val="FFFFFF" w:themeColor="background1"/>
              </w:rPr>
              <w:t xml:space="preserve"> </w:t>
            </w:r>
            <w:proofErr w:type="spellStart"/>
            <w:r w:rsidRPr="00E84567">
              <w:rPr>
                <w:color w:val="FFFFFF" w:themeColor="background1"/>
              </w:rPr>
              <w:t>T</w:t>
            </w:r>
            <w:r w:rsidR="00E85F33" w:rsidRPr="00E84567">
              <w:rPr>
                <w:color w:val="FFFFFF" w:themeColor="background1"/>
              </w:rPr>
              <w:t>revicta</w:t>
            </w:r>
            <w:proofErr w:type="spellEnd"/>
            <w:r w:rsidRPr="00E84567">
              <w:rPr>
                <w:color w:val="FFFFFF" w:themeColor="background1"/>
              </w:rPr>
              <w:t xml:space="preserve"> </w:t>
            </w:r>
          </w:p>
        </w:tc>
      </w:tr>
      <w:tr w:rsidR="0032583B" w:rsidRPr="00B64760" w14:paraId="5F815C66" w14:textId="77777777" w:rsidTr="0032583B">
        <w:trPr>
          <w:trHeight w:val="486"/>
        </w:trPr>
        <w:tc>
          <w:tcPr>
            <w:tcW w:w="9079" w:type="dxa"/>
          </w:tcPr>
          <w:p w14:paraId="79C6ED0F" w14:textId="77777777" w:rsidR="0032583B" w:rsidRPr="008E7846" w:rsidRDefault="0017075E" w:rsidP="0032583B">
            <w:pPr>
              <w:pStyle w:val="Subtitle"/>
              <w:rPr>
                <w:color w:val="FFFFFF" w:themeColor="background1"/>
              </w:rPr>
            </w:pPr>
            <w:r>
              <w:rPr>
                <w:color w:val="FFFFFF" w:themeColor="background1"/>
              </w:rPr>
              <w:t>Sponsor: Janssen-</w:t>
            </w:r>
            <w:proofErr w:type="spellStart"/>
            <w:r>
              <w:rPr>
                <w:color w:val="FFFFFF" w:themeColor="background1"/>
              </w:rPr>
              <w:t>Cilag</w:t>
            </w:r>
            <w:proofErr w:type="spellEnd"/>
            <w:r>
              <w:rPr>
                <w:color w:val="FFFFFF" w:themeColor="background1"/>
              </w:rPr>
              <w:t xml:space="preserve"> Pty Ltd</w:t>
            </w:r>
          </w:p>
        </w:tc>
      </w:tr>
    </w:tbl>
    <w:p w14:paraId="00C2A0E1" w14:textId="77777777" w:rsidR="008E7846" w:rsidRPr="0085156D" w:rsidRDefault="008E7846" w:rsidP="0085156D">
      <w:r w:rsidRPr="0085156D">
        <w:br w:type="page"/>
      </w:r>
    </w:p>
    <w:p w14:paraId="45A299D3" w14:textId="77777777" w:rsidR="008E7846" w:rsidRPr="001F6CBA" w:rsidRDefault="008E7846" w:rsidP="008E7846">
      <w:pPr>
        <w:pStyle w:val="NonTOCHeading2"/>
      </w:pPr>
      <w:r w:rsidRPr="001F6CBA">
        <w:lastRenderedPageBreak/>
        <w:t>About the Therapeutic Goods Administration (TGA)</w:t>
      </w:r>
    </w:p>
    <w:p w14:paraId="09F41570" w14:textId="77777777" w:rsidR="008E7846" w:rsidRDefault="008E7846" w:rsidP="00E85CCF">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73E72A33" w14:textId="77777777" w:rsidR="008E7846" w:rsidRDefault="00C80137" w:rsidP="00E85CCF">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064ACF6E" w14:textId="77777777" w:rsidR="008E7846" w:rsidRDefault="008E7846" w:rsidP="00E85CCF">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7F046DD2" w14:textId="77777777" w:rsidR="008E7846" w:rsidRDefault="008E7846" w:rsidP="00E85CCF">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67F620B3" w14:textId="77777777" w:rsidR="00441C3F" w:rsidRDefault="008E7846" w:rsidP="00E85CCF">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proofErr w:type="gramStart"/>
      <w:r w:rsidR="006D3626">
        <w:t xml:space="preserve">&gt; </w:t>
      </w:r>
      <w:r w:rsidR="00441C3F">
        <w:t>.</w:t>
      </w:r>
      <w:proofErr w:type="gramEnd"/>
    </w:p>
    <w:p w14:paraId="68516657" w14:textId="77777777" w:rsidR="008E7846" w:rsidRDefault="008E7846" w:rsidP="00875A6B">
      <w:pPr>
        <w:pStyle w:val="NonTOCHeading2"/>
      </w:pPr>
      <w:r>
        <w:t xml:space="preserve">About </w:t>
      </w:r>
      <w:proofErr w:type="spellStart"/>
      <w:r>
        <w:t>AusPARs</w:t>
      </w:r>
      <w:proofErr w:type="spellEnd"/>
    </w:p>
    <w:p w14:paraId="15D0065A" w14:textId="77777777" w:rsidR="008E7846" w:rsidRDefault="008E7846" w:rsidP="00E85CCF">
      <w:pPr>
        <w:pStyle w:val="ListBullet"/>
        <w:numPr>
          <w:ilvl w:val="0"/>
          <w:numId w:val="1"/>
        </w:numPr>
        <w:ind w:left="357" w:hanging="357"/>
      </w:pPr>
      <w:r>
        <w:t>An Australian Public Assessment Re</w:t>
      </w:r>
      <w:r w:rsidR="00133A1B">
        <w:t>port</w:t>
      </w:r>
      <w:r>
        <w:t xml:space="preserve"> (</w:t>
      </w:r>
      <w:proofErr w:type="spellStart"/>
      <w:r>
        <w:t>AusPAR</w:t>
      </w:r>
      <w:proofErr w:type="spellEnd"/>
      <w:r>
        <w:t>) provides information about the evaluation of a prescription medicine and the considerations that led the TGA to approve or not approve a pr</w:t>
      </w:r>
      <w:r w:rsidR="00441C3F">
        <w:t>escription medicine submission.</w:t>
      </w:r>
    </w:p>
    <w:p w14:paraId="68907000" w14:textId="77777777" w:rsidR="008E7846" w:rsidRDefault="008E7846" w:rsidP="00E85CCF">
      <w:pPr>
        <w:pStyle w:val="ListBullet"/>
        <w:numPr>
          <w:ilvl w:val="0"/>
          <w:numId w:val="1"/>
        </w:numPr>
        <w:ind w:left="357" w:hanging="357"/>
      </w:pPr>
      <w:proofErr w:type="spellStart"/>
      <w:r>
        <w:t>AusPARs</w:t>
      </w:r>
      <w:proofErr w:type="spellEnd"/>
      <w:r>
        <w:t xml:space="preserve"> are prepared and published by the TGA.</w:t>
      </w:r>
    </w:p>
    <w:p w14:paraId="0825B0E1" w14:textId="77777777" w:rsidR="008E7846" w:rsidRDefault="008E7846" w:rsidP="00E85CCF">
      <w:pPr>
        <w:pStyle w:val="ListBullet"/>
        <w:numPr>
          <w:ilvl w:val="0"/>
          <w:numId w:val="1"/>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14:paraId="28FF6B66" w14:textId="77777777" w:rsidR="008E7846" w:rsidRDefault="008E7846" w:rsidP="00E85CCF">
      <w:pPr>
        <w:pStyle w:val="ListBullet"/>
        <w:numPr>
          <w:ilvl w:val="0"/>
          <w:numId w:val="1"/>
        </w:numPr>
        <w:ind w:left="357" w:hanging="357"/>
      </w:pPr>
      <w:r>
        <w:t xml:space="preserve">An </w:t>
      </w:r>
      <w:proofErr w:type="spellStart"/>
      <w:r>
        <w:t>AusPAR</w:t>
      </w:r>
      <w:proofErr w:type="spellEnd"/>
      <w:r>
        <w:t xml:space="preserve"> is a static document</w:t>
      </w:r>
      <w:r w:rsidR="00133A1B">
        <w:t>;</w:t>
      </w:r>
      <w:r>
        <w:t xml:space="preserve"> it provide</w:t>
      </w:r>
      <w:r w:rsidR="00133A1B">
        <w:t>s</w:t>
      </w:r>
      <w:r>
        <w:t xml:space="preserve"> information that relates to a submission at a particular point in time.</w:t>
      </w:r>
    </w:p>
    <w:p w14:paraId="69C802B7" w14:textId="77777777" w:rsidR="00B452CE" w:rsidRDefault="008E7846" w:rsidP="00E85CCF">
      <w:pPr>
        <w:pStyle w:val="ListBullet"/>
        <w:numPr>
          <w:ilvl w:val="0"/>
          <w:numId w:val="1"/>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14:paraId="391D1E71" w14:textId="77777777" w:rsidR="00924482" w:rsidRPr="00DF1D7F" w:rsidRDefault="00924482" w:rsidP="00F54B65">
      <w:pPr>
        <w:pStyle w:val="LegalSubheading"/>
        <w:spacing w:before="3120"/>
      </w:pPr>
      <w:r w:rsidRPr="00DF1D7F">
        <w:t>Copyright</w:t>
      </w:r>
    </w:p>
    <w:p w14:paraId="2D25A779" w14:textId="77777777" w:rsidR="00924482" w:rsidRDefault="00924482" w:rsidP="00924482">
      <w:pPr>
        <w:pStyle w:val="LegalCopy"/>
      </w:pPr>
      <w:r w:rsidRPr="00191B3B">
        <w:rPr>
          <w:rFonts w:cs="Arial"/>
          <w:lang w:val="en-GB"/>
        </w:rPr>
        <w:t>© Comm</w:t>
      </w:r>
      <w:r>
        <w:rPr>
          <w:rFonts w:cs="Arial"/>
          <w:lang w:val="en-GB"/>
        </w:rPr>
        <w:t>onwealth of Australia 201</w:t>
      </w:r>
      <w:r w:rsidR="0060183B">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proofErr w:type="gramStart"/>
      <w:r w:rsidR="006D3626">
        <w:rPr>
          <w:rFonts w:cs="Arial"/>
        </w:rPr>
        <w:t xml:space="preserve">&gt; </w:t>
      </w:r>
      <w:r w:rsidRPr="00191B3B">
        <w:rPr>
          <w:rFonts w:cs="Arial"/>
        </w:rPr>
        <w:t>.</w:t>
      </w:r>
      <w:proofErr w:type="gramEnd"/>
    </w:p>
    <w:p w14:paraId="18969F4E"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656A3EB6" w14:textId="77777777" w:rsidR="0089635C" w:rsidRPr="0089635C" w:rsidRDefault="0089635C" w:rsidP="0010788A">
          <w:pPr>
            <w:pStyle w:val="Contents"/>
          </w:pPr>
          <w:r w:rsidRPr="0010788A">
            <w:t>Contents</w:t>
          </w:r>
        </w:p>
        <w:bookmarkStart w:id="2" w:name="_GoBack"/>
        <w:bookmarkEnd w:id="2"/>
        <w:p w14:paraId="4174B810" w14:textId="77777777" w:rsidR="00764CD4"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97913766" w:history="1">
            <w:r w:rsidR="00764CD4" w:rsidRPr="00A86E1C">
              <w:rPr>
                <w:rStyle w:val="Hyperlink"/>
                <w:noProof/>
              </w:rPr>
              <w:t>Common abbreviations</w:t>
            </w:r>
            <w:r w:rsidR="00764CD4">
              <w:rPr>
                <w:noProof/>
                <w:webHidden/>
              </w:rPr>
              <w:tab/>
            </w:r>
            <w:r w:rsidR="00764CD4">
              <w:rPr>
                <w:noProof/>
                <w:webHidden/>
              </w:rPr>
              <w:fldChar w:fldCharType="begin"/>
            </w:r>
            <w:r w:rsidR="00764CD4">
              <w:rPr>
                <w:noProof/>
                <w:webHidden/>
              </w:rPr>
              <w:instrText xml:space="preserve"> PAGEREF _Toc497913766 \h </w:instrText>
            </w:r>
            <w:r w:rsidR="00764CD4">
              <w:rPr>
                <w:noProof/>
                <w:webHidden/>
              </w:rPr>
            </w:r>
            <w:r w:rsidR="00764CD4">
              <w:rPr>
                <w:noProof/>
                <w:webHidden/>
              </w:rPr>
              <w:fldChar w:fldCharType="separate"/>
            </w:r>
            <w:r w:rsidR="00764CD4">
              <w:rPr>
                <w:noProof/>
                <w:webHidden/>
              </w:rPr>
              <w:t>5</w:t>
            </w:r>
            <w:r w:rsidR="00764CD4">
              <w:rPr>
                <w:noProof/>
                <w:webHidden/>
              </w:rPr>
              <w:fldChar w:fldCharType="end"/>
            </w:r>
          </w:hyperlink>
        </w:p>
        <w:p w14:paraId="35C627B0" w14:textId="77777777" w:rsidR="00764CD4" w:rsidRDefault="00764CD4">
          <w:pPr>
            <w:pStyle w:val="TOC2"/>
            <w:rPr>
              <w:rFonts w:asciiTheme="minorHAnsi" w:eastAsiaTheme="minorEastAsia" w:hAnsiTheme="minorHAnsi" w:cstheme="minorBidi"/>
              <w:b w:val="0"/>
              <w:noProof/>
              <w:sz w:val="22"/>
              <w:lang w:eastAsia="en-AU"/>
            </w:rPr>
          </w:pPr>
          <w:hyperlink w:anchor="_Toc497913767" w:history="1">
            <w:r w:rsidRPr="00A86E1C">
              <w:rPr>
                <w:rStyle w:val="Hyperlink"/>
                <w:noProof/>
              </w:rPr>
              <w:t>I. Introduction to product submission</w:t>
            </w:r>
            <w:r>
              <w:rPr>
                <w:noProof/>
                <w:webHidden/>
              </w:rPr>
              <w:tab/>
            </w:r>
            <w:r>
              <w:rPr>
                <w:noProof/>
                <w:webHidden/>
              </w:rPr>
              <w:fldChar w:fldCharType="begin"/>
            </w:r>
            <w:r>
              <w:rPr>
                <w:noProof/>
                <w:webHidden/>
              </w:rPr>
              <w:instrText xml:space="preserve"> PAGEREF _Toc497913767 \h </w:instrText>
            </w:r>
            <w:r>
              <w:rPr>
                <w:noProof/>
                <w:webHidden/>
              </w:rPr>
            </w:r>
            <w:r>
              <w:rPr>
                <w:noProof/>
                <w:webHidden/>
              </w:rPr>
              <w:fldChar w:fldCharType="separate"/>
            </w:r>
            <w:r>
              <w:rPr>
                <w:noProof/>
                <w:webHidden/>
              </w:rPr>
              <w:t>7</w:t>
            </w:r>
            <w:r>
              <w:rPr>
                <w:noProof/>
                <w:webHidden/>
              </w:rPr>
              <w:fldChar w:fldCharType="end"/>
            </w:r>
          </w:hyperlink>
        </w:p>
        <w:p w14:paraId="0DED57AB" w14:textId="77777777" w:rsidR="00764CD4" w:rsidRDefault="00764CD4">
          <w:pPr>
            <w:pStyle w:val="TOC3"/>
            <w:rPr>
              <w:rFonts w:asciiTheme="minorHAnsi" w:eastAsiaTheme="minorEastAsia" w:hAnsiTheme="minorHAnsi" w:cstheme="minorBidi"/>
              <w:noProof/>
              <w:lang w:eastAsia="en-AU"/>
            </w:rPr>
          </w:pPr>
          <w:hyperlink w:anchor="_Toc497913768" w:history="1">
            <w:r w:rsidRPr="00A86E1C">
              <w:rPr>
                <w:rStyle w:val="Hyperlink"/>
                <w:noProof/>
                <w:lang w:eastAsia="en-AU"/>
              </w:rPr>
              <w:t>Submission details</w:t>
            </w:r>
            <w:r>
              <w:rPr>
                <w:noProof/>
                <w:webHidden/>
              </w:rPr>
              <w:tab/>
            </w:r>
            <w:r>
              <w:rPr>
                <w:noProof/>
                <w:webHidden/>
              </w:rPr>
              <w:fldChar w:fldCharType="begin"/>
            </w:r>
            <w:r>
              <w:rPr>
                <w:noProof/>
                <w:webHidden/>
              </w:rPr>
              <w:instrText xml:space="preserve"> PAGEREF _Toc497913768 \h </w:instrText>
            </w:r>
            <w:r>
              <w:rPr>
                <w:noProof/>
                <w:webHidden/>
              </w:rPr>
            </w:r>
            <w:r>
              <w:rPr>
                <w:noProof/>
                <w:webHidden/>
              </w:rPr>
              <w:fldChar w:fldCharType="separate"/>
            </w:r>
            <w:r>
              <w:rPr>
                <w:noProof/>
                <w:webHidden/>
              </w:rPr>
              <w:t>7</w:t>
            </w:r>
            <w:r>
              <w:rPr>
                <w:noProof/>
                <w:webHidden/>
              </w:rPr>
              <w:fldChar w:fldCharType="end"/>
            </w:r>
          </w:hyperlink>
        </w:p>
        <w:p w14:paraId="6548EE98" w14:textId="77777777" w:rsidR="00764CD4" w:rsidRDefault="00764CD4">
          <w:pPr>
            <w:pStyle w:val="TOC3"/>
            <w:rPr>
              <w:rFonts w:asciiTheme="minorHAnsi" w:eastAsiaTheme="minorEastAsia" w:hAnsiTheme="minorHAnsi" w:cstheme="minorBidi"/>
              <w:noProof/>
              <w:lang w:eastAsia="en-AU"/>
            </w:rPr>
          </w:pPr>
          <w:hyperlink w:anchor="_Toc497913769" w:history="1">
            <w:r w:rsidRPr="00A86E1C">
              <w:rPr>
                <w:rStyle w:val="Hyperlink"/>
                <w:noProof/>
              </w:rPr>
              <w:t>Product background</w:t>
            </w:r>
            <w:r>
              <w:rPr>
                <w:noProof/>
                <w:webHidden/>
              </w:rPr>
              <w:tab/>
            </w:r>
            <w:r>
              <w:rPr>
                <w:noProof/>
                <w:webHidden/>
              </w:rPr>
              <w:fldChar w:fldCharType="begin"/>
            </w:r>
            <w:r>
              <w:rPr>
                <w:noProof/>
                <w:webHidden/>
              </w:rPr>
              <w:instrText xml:space="preserve"> PAGEREF _Toc497913769 \h </w:instrText>
            </w:r>
            <w:r>
              <w:rPr>
                <w:noProof/>
                <w:webHidden/>
              </w:rPr>
            </w:r>
            <w:r>
              <w:rPr>
                <w:noProof/>
                <w:webHidden/>
              </w:rPr>
              <w:fldChar w:fldCharType="separate"/>
            </w:r>
            <w:r>
              <w:rPr>
                <w:noProof/>
                <w:webHidden/>
              </w:rPr>
              <w:t>7</w:t>
            </w:r>
            <w:r>
              <w:rPr>
                <w:noProof/>
                <w:webHidden/>
              </w:rPr>
              <w:fldChar w:fldCharType="end"/>
            </w:r>
          </w:hyperlink>
        </w:p>
        <w:p w14:paraId="39F63541" w14:textId="77777777" w:rsidR="00764CD4" w:rsidRDefault="00764CD4">
          <w:pPr>
            <w:pStyle w:val="TOC3"/>
            <w:rPr>
              <w:rFonts w:asciiTheme="minorHAnsi" w:eastAsiaTheme="minorEastAsia" w:hAnsiTheme="minorHAnsi" w:cstheme="minorBidi"/>
              <w:noProof/>
              <w:lang w:eastAsia="en-AU"/>
            </w:rPr>
          </w:pPr>
          <w:hyperlink w:anchor="_Toc497913770" w:history="1">
            <w:r w:rsidRPr="00A86E1C">
              <w:rPr>
                <w:rStyle w:val="Hyperlink"/>
                <w:noProof/>
              </w:rPr>
              <w:t>Regulatory status</w:t>
            </w:r>
            <w:r>
              <w:rPr>
                <w:noProof/>
                <w:webHidden/>
              </w:rPr>
              <w:tab/>
            </w:r>
            <w:r>
              <w:rPr>
                <w:noProof/>
                <w:webHidden/>
              </w:rPr>
              <w:fldChar w:fldCharType="begin"/>
            </w:r>
            <w:r>
              <w:rPr>
                <w:noProof/>
                <w:webHidden/>
              </w:rPr>
              <w:instrText xml:space="preserve"> PAGEREF _Toc497913770 \h </w:instrText>
            </w:r>
            <w:r>
              <w:rPr>
                <w:noProof/>
                <w:webHidden/>
              </w:rPr>
            </w:r>
            <w:r>
              <w:rPr>
                <w:noProof/>
                <w:webHidden/>
              </w:rPr>
              <w:fldChar w:fldCharType="separate"/>
            </w:r>
            <w:r>
              <w:rPr>
                <w:noProof/>
                <w:webHidden/>
              </w:rPr>
              <w:t>8</w:t>
            </w:r>
            <w:r>
              <w:rPr>
                <w:noProof/>
                <w:webHidden/>
              </w:rPr>
              <w:fldChar w:fldCharType="end"/>
            </w:r>
          </w:hyperlink>
        </w:p>
        <w:p w14:paraId="3565D801" w14:textId="77777777" w:rsidR="00764CD4" w:rsidRDefault="00764CD4">
          <w:pPr>
            <w:pStyle w:val="TOC3"/>
            <w:rPr>
              <w:rFonts w:asciiTheme="minorHAnsi" w:eastAsiaTheme="minorEastAsia" w:hAnsiTheme="minorHAnsi" w:cstheme="minorBidi"/>
              <w:noProof/>
              <w:lang w:eastAsia="en-AU"/>
            </w:rPr>
          </w:pPr>
          <w:hyperlink w:anchor="_Toc497913771" w:history="1">
            <w:r w:rsidRPr="00A86E1C">
              <w:rPr>
                <w:rStyle w:val="Hyperlink"/>
                <w:noProof/>
              </w:rPr>
              <w:t>Product Information</w:t>
            </w:r>
            <w:r>
              <w:rPr>
                <w:noProof/>
                <w:webHidden/>
              </w:rPr>
              <w:tab/>
            </w:r>
            <w:r>
              <w:rPr>
                <w:noProof/>
                <w:webHidden/>
              </w:rPr>
              <w:fldChar w:fldCharType="begin"/>
            </w:r>
            <w:r>
              <w:rPr>
                <w:noProof/>
                <w:webHidden/>
              </w:rPr>
              <w:instrText xml:space="preserve"> PAGEREF _Toc497913771 \h </w:instrText>
            </w:r>
            <w:r>
              <w:rPr>
                <w:noProof/>
                <w:webHidden/>
              </w:rPr>
            </w:r>
            <w:r>
              <w:rPr>
                <w:noProof/>
                <w:webHidden/>
              </w:rPr>
              <w:fldChar w:fldCharType="separate"/>
            </w:r>
            <w:r>
              <w:rPr>
                <w:noProof/>
                <w:webHidden/>
              </w:rPr>
              <w:t>8</w:t>
            </w:r>
            <w:r>
              <w:rPr>
                <w:noProof/>
                <w:webHidden/>
              </w:rPr>
              <w:fldChar w:fldCharType="end"/>
            </w:r>
          </w:hyperlink>
        </w:p>
        <w:p w14:paraId="1F1C6C97" w14:textId="77777777" w:rsidR="00764CD4" w:rsidRDefault="00764CD4">
          <w:pPr>
            <w:pStyle w:val="TOC2"/>
            <w:rPr>
              <w:rFonts w:asciiTheme="minorHAnsi" w:eastAsiaTheme="minorEastAsia" w:hAnsiTheme="minorHAnsi" w:cstheme="minorBidi"/>
              <w:b w:val="0"/>
              <w:noProof/>
              <w:sz w:val="22"/>
              <w:lang w:eastAsia="en-AU"/>
            </w:rPr>
          </w:pPr>
          <w:hyperlink w:anchor="_Toc497913772" w:history="1">
            <w:r w:rsidRPr="00A86E1C">
              <w:rPr>
                <w:rStyle w:val="Hyperlink"/>
                <w:noProof/>
              </w:rPr>
              <w:t>II. Quality findings</w:t>
            </w:r>
            <w:r>
              <w:rPr>
                <w:noProof/>
                <w:webHidden/>
              </w:rPr>
              <w:tab/>
            </w:r>
            <w:r>
              <w:rPr>
                <w:noProof/>
                <w:webHidden/>
              </w:rPr>
              <w:fldChar w:fldCharType="begin"/>
            </w:r>
            <w:r>
              <w:rPr>
                <w:noProof/>
                <w:webHidden/>
              </w:rPr>
              <w:instrText xml:space="preserve"> PAGEREF _Toc497913772 \h </w:instrText>
            </w:r>
            <w:r>
              <w:rPr>
                <w:noProof/>
                <w:webHidden/>
              </w:rPr>
            </w:r>
            <w:r>
              <w:rPr>
                <w:noProof/>
                <w:webHidden/>
              </w:rPr>
              <w:fldChar w:fldCharType="separate"/>
            </w:r>
            <w:r>
              <w:rPr>
                <w:noProof/>
                <w:webHidden/>
              </w:rPr>
              <w:t>8</w:t>
            </w:r>
            <w:r>
              <w:rPr>
                <w:noProof/>
                <w:webHidden/>
              </w:rPr>
              <w:fldChar w:fldCharType="end"/>
            </w:r>
          </w:hyperlink>
        </w:p>
        <w:p w14:paraId="207EA89C" w14:textId="77777777" w:rsidR="00764CD4" w:rsidRDefault="00764CD4">
          <w:pPr>
            <w:pStyle w:val="TOC3"/>
            <w:rPr>
              <w:rFonts w:asciiTheme="minorHAnsi" w:eastAsiaTheme="minorEastAsia" w:hAnsiTheme="minorHAnsi" w:cstheme="minorBidi"/>
              <w:noProof/>
              <w:lang w:eastAsia="en-AU"/>
            </w:rPr>
          </w:pPr>
          <w:hyperlink w:anchor="_Toc497913773" w:history="1">
            <w:r w:rsidRPr="00A86E1C">
              <w:rPr>
                <w:rStyle w:val="Hyperlink"/>
                <w:noProof/>
              </w:rPr>
              <w:t>Introduction</w:t>
            </w:r>
            <w:r>
              <w:rPr>
                <w:noProof/>
                <w:webHidden/>
              </w:rPr>
              <w:tab/>
            </w:r>
            <w:r>
              <w:rPr>
                <w:noProof/>
                <w:webHidden/>
              </w:rPr>
              <w:fldChar w:fldCharType="begin"/>
            </w:r>
            <w:r>
              <w:rPr>
                <w:noProof/>
                <w:webHidden/>
              </w:rPr>
              <w:instrText xml:space="preserve"> PAGEREF _Toc497913773 \h </w:instrText>
            </w:r>
            <w:r>
              <w:rPr>
                <w:noProof/>
                <w:webHidden/>
              </w:rPr>
            </w:r>
            <w:r>
              <w:rPr>
                <w:noProof/>
                <w:webHidden/>
              </w:rPr>
              <w:fldChar w:fldCharType="separate"/>
            </w:r>
            <w:r>
              <w:rPr>
                <w:noProof/>
                <w:webHidden/>
              </w:rPr>
              <w:t>8</w:t>
            </w:r>
            <w:r>
              <w:rPr>
                <w:noProof/>
                <w:webHidden/>
              </w:rPr>
              <w:fldChar w:fldCharType="end"/>
            </w:r>
          </w:hyperlink>
        </w:p>
        <w:p w14:paraId="361734A6" w14:textId="77777777" w:rsidR="00764CD4" w:rsidRDefault="00764CD4">
          <w:pPr>
            <w:pStyle w:val="TOC3"/>
            <w:rPr>
              <w:rFonts w:asciiTheme="minorHAnsi" w:eastAsiaTheme="minorEastAsia" w:hAnsiTheme="minorHAnsi" w:cstheme="minorBidi"/>
              <w:noProof/>
              <w:lang w:eastAsia="en-AU"/>
            </w:rPr>
          </w:pPr>
          <w:hyperlink w:anchor="_Toc497913774" w:history="1">
            <w:r w:rsidRPr="00A86E1C">
              <w:rPr>
                <w:rStyle w:val="Hyperlink"/>
                <w:noProof/>
              </w:rPr>
              <w:t>Drug substance (active ingredient)</w:t>
            </w:r>
            <w:r>
              <w:rPr>
                <w:noProof/>
                <w:webHidden/>
              </w:rPr>
              <w:tab/>
            </w:r>
            <w:r>
              <w:rPr>
                <w:noProof/>
                <w:webHidden/>
              </w:rPr>
              <w:fldChar w:fldCharType="begin"/>
            </w:r>
            <w:r>
              <w:rPr>
                <w:noProof/>
                <w:webHidden/>
              </w:rPr>
              <w:instrText xml:space="preserve"> PAGEREF _Toc497913774 \h </w:instrText>
            </w:r>
            <w:r>
              <w:rPr>
                <w:noProof/>
                <w:webHidden/>
              </w:rPr>
            </w:r>
            <w:r>
              <w:rPr>
                <w:noProof/>
                <w:webHidden/>
              </w:rPr>
              <w:fldChar w:fldCharType="separate"/>
            </w:r>
            <w:r>
              <w:rPr>
                <w:noProof/>
                <w:webHidden/>
              </w:rPr>
              <w:t>8</w:t>
            </w:r>
            <w:r>
              <w:rPr>
                <w:noProof/>
                <w:webHidden/>
              </w:rPr>
              <w:fldChar w:fldCharType="end"/>
            </w:r>
          </w:hyperlink>
        </w:p>
        <w:p w14:paraId="334BA530" w14:textId="77777777" w:rsidR="00764CD4" w:rsidRDefault="00764CD4">
          <w:pPr>
            <w:pStyle w:val="TOC3"/>
            <w:rPr>
              <w:rFonts w:asciiTheme="minorHAnsi" w:eastAsiaTheme="minorEastAsia" w:hAnsiTheme="minorHAnsi" w:cstheme="minorBidi"/>
              <w:noProof/>
              <w:lang w:eastAsia="en-AU"/>
            </w:rPr>
          </w:pPr>
          <w:hyperlink w:anchor="_Toc497913775" w:history="1">
            <w:r w:rsidRPr="00A86E1C">
              <w:rPr>
                <w:rStyle w:val="Hyperlink"/>
                <w:noProof/>
              </w:rPr>
              <w:t>Drug product</w:t>
            </w:r>
            <w:r>
              <w:rPr>
                <w:noProof/>
                <w:webHidden/>
              </w:rPr>
              <w:tab/>
            </w:r>
            <w:r>
              <w:rPr>
                <w:noProof/>
                <w:webHidden/>
              </w:rPr>
              <w:fldChar w:fldCharType="begin"/>
            </w:r>
            <w:r>
              <w:rPr>
                <w:noProof/>
                <w:webHidden/>
              </w:rPr>
              <w:instrText xml:space="preserve"> PAGEREF _Toc497913775 \h </w:instrText>
            </w:r>
            <w:r>
              <w:rPr>
                <w:noProof/>
                <w:webHidden/>
              </w:rPr>
            </w:r>
            <w:r>
              <w:rPr>
                <w:noProof/>
                <w:webHidden/>
              </w:rPr>
              <w:fldChar w:fldCharType="separate"/>
            </w:r>
            <w:r>
              <w:rPr>
                <w:noProof/>
                <w:webHidden/>
              </w:rPr>
              <w:t>9</w:t>
            </w:r>
            <w:r>
              <w:rPr>
                <w:noProof/>
                <w:webHidden/>
              </w:rPr>
              <w:fldChar w:fldCharType="end"/>
            </w:r>
          </w:hyperlink>
        </w:p>
        <w:p w14:paraId="780CF6F4" w14:textId="77777777" w:rsidR="00764CD4" w:rsidRDefault="00764CD4">
          <w:pPr>
            <w:pStyle w:val="TOC3"/>
            <w:rPr>
              <w:rFonts w:asciiTheme="minorHAnsi" w:eastAsiaTheme="minorEastAsia" w:hAnsiTheme="minorHAnsi" w:cstheme="minorBidi"/>
              <w:noProof/>
              <w:lang w:eastAsia="en-AU"/>
            </w:rPr>
          </w:pPr>
          <w:hyperlink w:anchor="_Toc497913776" w:history="1">
            <w:r w:rsidRPr="00A86E1C">
              <w:rPr>
                <w:rStyle w:val="Hyperlink"/>
                <w:noProof/>
              </w:rPr>
              <w:t>Biopharmaceutics</w:t>
            </w:r>
            <w:r>
              <w:rPr>
                <w:noProof/>
                <w:webHidden/>
              </w:rPr>
              <w:tab/>
            </w:r>
            <w:r>
              <w:rPr>
                <w:noProof/>
                <w:webHidden/>
              </w:rPr>
              <w:fldChar w:fldCharType="begin"/>
            </w:r>
            <w:r>
              <w:rPr>
                <w:noProof/>
                <w:webHidden/>
              </w:rPr>
              <w:instrText xml:space="preserve"> PAGEREF _Toc497913776 \h </w:instrText>
            </w:r>
            <w:r>
              <w:rPr>
                <w:noProof/>
                <w:webHidden/>
              </w:rPr>
            </w:r>
            <w:r>
              <w:rPr>
                <w:noProof/>
                <w:webHidden/>
              </w:rPr>
              <w:fldChar w:fldCharType="separate"/>
            </w:r>
            <w:r>
              <w:rPr>
                <w:noProof/>
                <w:webHidden/>
              </w:rPr>
              <w:t>9</w:t>
            </w:r>
            <w:r>
              <w:rPr>
                <w:noProof/>
                <w:webHidden/>
              </w:rPr>
              <w:fldChar w:fldCharType="end"/>
            </w:r>
          </w:hyperlink>
        </w:p>
        <w:p w14:paraId="246AEAA6" w14:textId="77777777" w:rsidR="00764CD4" w:rsidRDefault="00764CD4">
          <w:pPr>
            <w:pStyle w:val="TOC3"/>
            <w:rPr>
              <w:rFonts w:asciiTheme="minorHAnsi" w:eastAsiaTheme="minorEastAsia" w:hAnsiTheme="minorHAnsi" w:cstheme="minorBidi"/>
              <w:noProof/>
              <w:lang w:eastAsia="en-AU"/>
            </w:rPr>
          </w:pPr>
          <w:hyperlink w:anchor="_Toc497913777" w:history="1">
            <w:r w:rsidRPr="00A86E1C">
              <w:rPr>
                <w:rStyle w:val="Hyperlink"/>
                <w:noProof/>
              </w:rPr>
              <w:t>Quality summary and conclusions</w:t>
            </w:r>
            <w:r>
              <w:rPr>
                <w:noProof/>
                <w:webHidden/>
              </w:rPr>
              <w:tab/>
            </w:r>
            <w:r>
              <w:rPr>
                <w:noProof/>
                <w:webHidden/>
              </w:rPr>
              <w:fldChar w:fldCharType="begin"/>
            </w:r>
            <w:r>
              <w:rPr>
                <w:noProof/>
                <w:webHidden/>
              </w:rPr>
              <w:instrText xml:space="preserve"> PAGEREF _Toc497913777 \h </w:instrText>
            </w:r>
            <w:r>
              <w:rPr>
                <w:noProof/>
                <w:webHidden/>
              </w:rPr>
            </w:r>
            <w:r>
              <w:rPr>
                <w:noProof/>
                <w:webHidden/>
              </w:rPr>
              <w:fldChar w:fldCharType="separate"/>
            </w:r>
            <w:r>
              <w:rPr>
                <w:noProof/>
                <w:webHidden/>
              </w:rPr>
              <w:t>10</w:t>
            </w:r>
            <w:r>
              <w:rPr>
                <w:noProof/>
                <w:webHidden/>
              </w:rPr>
              <w:fldChar w:fldCharType="end"/>
            </w:r>
          </w:hyperlink>
        </w:p>
        <w:p w14:paraId="34B8AD75" w14:textId="77777777" w:rsidR="00764CD4" w:rsidRDefault="00764CD4">
          <w:pPr>
            <w:pStyle w:val="TOC2"/>
            <w:rPr>
              <w:rFonts w:asciiTheme="minorHAnsi" w:eastAsiaTheme="minorEastAsia" w:hAnsiTheme="minorHAnsi" w:cstheme="minorBidi"/>
              <w:b w:val="0"/>
              <w:noProof/>
              <w:sz w:val="22"/>
              <w:lang w:eastAsia="en-AU"/>
            </w:rPr>
          </w:pPr>
          <w:hyperlink w:anchor="_Toc497913778" w:history="1">
            <w:r w:rsidRPr="00A86E1C">
              <w:rPr>
                <w:rStyle w:val="Hyperlink"/>
                <w:noProof/>
              </w:rPr>
              <w:t>III. Nonclinical findings</w:t>
            </w:r>
            <w:r>
              <w:rPr>
                <w:noProof/>
                <w:webHidden/>
              </w:rPr>
              <w:tab/>
            </w:r>
            <w:r>
              <w:rPr>
                <w:noProof/>
                <w:webHidden/>
              </w:rPr>
              <w:fldChar w:fldCharType="begin"/>
            </w:r>
            <w:r>
              <w:rPr>
                <w:noProof/>
                <w:webHidden/>
              </w:rPr>
              <w:instrText xml:space="preserve"> PAGEREF _Toc497913778 \h </w:instrText>
            </w:r>
            <w:r>
              <w:rPr>
                <w:noProof/>
                <w:webHidden/>
              </w:rPr>
            </w:r>
            <w:r>
              <w:rPr>
                <w:noProof/>
                <w:webHidden/>
              </w:rPr>
              <w:fldChar w:fldCharType="separate"/>
            </w:r>
            <w:r>
              <w:rPr>
                <w:noProof/>
                <w:webHidden/>
              </w:rPr>
              <w:t>10</w:t>
            </w:r>
            <w:r>
              <w:rPr>
                <w:noProof/>
                <w:webHidden/>
              </w:rPr>
              <w:fldChar w:fldCharType="end"/>
            </w:r>
          </w:hyperlink>
        </w:p>
        <w:p w14:paraId="2BE34276" w14:textId="77777777" w:rsidR="00764CD4" w:rsidRDefault="00764CD4">
          <w:pPr>
            <w:pStyle w:val="TOC3"/>
            <w:rPr>
              <w:rFonts w:asciiTheme="minorHAnsi" w:eastAsiaTheme="minorEastAsia" w:hAnsiTheme="minorHAnsi" w:cstheme="minorBidi"/>
              <w:noProof/>
              <w:lang w:eastAsia="en-AU"/>
            </w:rPr>
          </w:pPr>
          <w:hyperlink w:anchor="_Toc497913779" w:history="1">
            <w:r w:rsidRPr="00A86E1C">
              <w:rPr>
                <w:rStyle w:val="Hyperlink"/>
                <w:noProof/>
              </w:rPr>
              <w:t>Introduction</w:t>
            </w:r>
            <w:r>
              <w:rPr>
                <w:noProof/>
                <w:webHidden/>
              </w:rPr>
              <w:tab/>
            </w:r>
            <w:r>
              <w:rPr>
                <w:noProof/>
                <w:webHidden/>
              </w:rPr>
              <w:fldChar w:fldCharType="begin"/>
            </w:r>
            <w:r>
              <w:rPr>
                <w:noProof/>
                <w:webHidden/>
              </w:rPr>
              <w:instrText xml:space="preserve"> PAGEREF _Toc497913779 \h </w:instrText>
            </w:r>
            <w:r>
              <w:rPr>
                <w:noProof/>
                <w:webHidden/>
              </w:rPr>
            </w:r>
            <w:r>
              <w:rPr>
                <w:noProof/>
                <w:webHidden/>
              </w:rPr>
              <w:fldChar w:fldCharType="separate"/>
            </w:r>
            <w:r>
              <w:rPr>
                <w:noProof/>
                <w:webHidden/>
              </w:rPr>
              <w:t>10</w:t>
            </w:r>
            <w:r>
              <w:rPr>
                <w:noProof/>
                <w:webHidden/>
              </w:rPr>
              <w:fldChar w:fldCharType="end"/>
            </w:r>
          </w:hyperlink>
        </w:p>
        <w:p w14:paraId="4879845B" w14:textId="77777777" w:rsidR="00764CD4" w:rsidRDefault="00764CD4">
          <w:pPr>
            <w:pStyle w:val="TOC3"/>
            <w:rPr>
              <w:rFonts w:asciiTheme="minorHAnsi" w:eastAsiaTheme="minorEastAsia" w:hAnsiTheme="minorHAnsi" w:cstheme="minorBidi"/>
              <w:noProof/>
              <w:lang w:eastAsia="en-AU"/>
            </w:rPr>
          </w:pPr>
          <w:hyperlink w:anchor="_Toc497913780" w:history="1">
            <w:r w:rsidRPr="00A86E1C">
              <w:rPr>
                <w:rStyle w:val="Hyperlink"/>
                <w:noProof/>
              </w:rPr>
              <w:t>Toxicology</w:t>
            </w:r>
            <w:r>
              <w:rPr>
                <w:noProof/>
                <w:webHidden/>
              </w:rPr>
              <w:tab/>
            </w:r>
            <w:r>
              <w:rPr>
                <w:noProof/>
                <w:webHidden/>
              </w:rPr>
              <w:fldChar w:fldCharType="begin"/>
            </w:r>
            <w:r>
              <w:rPr>
                <w:noProof/>
                <w:webHidden/>
              </w:rPr>
              <w:instrText xml:space="preserve"> PAGEREF _Toc497913780 \h </w:instrText>
            </w:r>
            <w:r>
              <w:rPr>
                <w:noProof/>
                <w:webHidden/>
              </w:rPr>
            </w:r>
            <w:r>
              <w:rPr>
                <w:noProof/>
                <w:webHidden/>
              </w:rPr>
              <w:fldChar w:fldCharType="separate"/>
            </w:r>
            <w:r>
              <w:rPr>
                <w:noProof/>
                <w:webHidden/>
              </w:rPr>
              <w:t>11</w:t>
            </w:r>
            <w:r>
              <w:rPr>
                <w:noProof/>
                <w:webHidden/>
              </w:rPr>
              <w:fldChar w:fldCharType="end"/>
            </w:r>
          </w:hyperlink>
        </w:p>
        <w:p w14:paraId="78D76894" w14:textId="77777777" w:rsidR="00764CD4" w:rsidRDefault="00764CD4">
          <w:pPr>
            <w:pStyle w:val="TOC3"/>
            <w:rPr>
              <w:rFonts w:asciiTheme="minorHAnsi" w:eastAsiaTheme="minorEastAsia" w:hAnsiTheme="minorHAnsi" w:cstheme="minorBidi"/>
              <w:noProof/>
              <w:lang w:eastAsia="en-AU"/>
            </w:rPr>
          </w:pPr>
          <w:hyperlink w:anchor="_Toc497913781" w:history="1">
            <w:r w:rsidRPr="00A86E1C">
              <w:rPr>
                <w:rStyle w:val="Hyperlink"/>
                <w:noProof/>
              </w:rPr>
              <w:t>Nonclinical summary and conclusions</w:t>
            </w:r>
            <w:r>
              <w:rPr>
                <w:noProof/>
                <w:webHidden/>
              </w:rPr>
              <w:tab/>
            </w:r>
            <w:r>
              <w:rPr>
                <w:noProof/>
                <w:webHidden/>
              </w:rPr>
              <w:fldChar w:fldCharType="begin"/>
            </w:r>
            <w:r>
              <w:rPr>
                <w:noProof/>
                <w:webHidden/>
              </w:rPr>
              <w:instrText xml:space="preserve"> PAGEREF _Toc497913781 \h </w:instrText>
            </w:r>
            <w:r>
              <w:rPr>
                <w:noProof/>
                <w:webHidden/>
              </w:rPr>
            </w:r>
            <w:r>
              <w:rPr>
                <w:noProof/>
                <w:webHidden/>
              </w:rPr>
              <w:fldChar w:fldCharType="separate"/>
            </w:r>
            <w:r>
              <w:rPr>
                <w:noProof/>
                <w:webHidden/>
              </w:rPr>
              <w:t>13</w:t>
            </w:r>
            <w:r>
              <w:rPr>
                <w:noProof/>
                <w:webHidden/>
              </w:rPr>
              <w:fldChar w:fldCharType="end"/>
            </w:r>
          </w:hyperlink>
        </w:p>
        <w:p w14:paraId="7AD3E794" w14:textId="77777777" w:rsidR="00764CD4" w:rsidRDefault="00764CD4">
          <w:pPr>
            <w:pStyle w:val="TOC2"/>
            <w:rPr>
              <w:rFonts w:asciiTheme="minorHAnsi" w:eastAsiaTheme="minorEastAsia" w:hAnsiTheme="minorHAnsi" w:cstheme="minorBidi"/>
              <w:b w:val="0"/>
              <w:noProof/>
              <w:sz w:val="22"/>
              <w:lang w:eastAsia="en-AU"/>
            </w:rPr>
          </w:pPr>
          <w:hyperlink w:anchor="_Toc497913782" w:history="1">
            <w:r w:rsidRPr="00A86E1C">
              <w:rPr>
                <w:rStyle w:val="Hyperlink"/>
                <w:noProof/>
              </w:rPr>
              <w:t>IV. Clinical findings</w:t>
            </w:r>
            <w:r>
              <w:rPr>
                <w:noProof/>
                <w:webHidden/>
              </w:rPr>
              <w:tab/>
            </w:r>
            <w:r>
              <w:rPr>
                <w:noProof/>
                <w:webHidden/>
              </w:rPr>
              <w:fldChar w:fldCharType="begin"/>
            </w:r>
            <w:r>
              <w:rPr>
                <w:noProof/>
                <w:webHidden/>
              </w:rPr>
              <w:instrText xml:space="preserve"> PAGEREF _Toc497913782 \h </w:instrText>
            </w:r>
            <w:r>
              <w:rPr>
                <w:noProof/>
                <w:webHidden/>
              </w:rPr>
            </w:r>
            <w:r>
              <w:rPr>
                <w:noProof/>
                <w:webHidden/>
              </w:rPr>
              <w:fldChar w:fldCharType="separate"/>
            </w:r>
            <w:r>
              <w:rPr>
                <w:noProof/>
                <w:webHidden/>
              </w:rPr>
              <w:t>13</w:t>
            </w:r>
            <w:r>
              <w:rPr>
                <w:noProof/>
                <w:webHidden/>
              </w:rPr>
              <w:fldChar w:fldCharType="end"/>
            </w:r>
          </w:hyperlink>
        </w:p>
        <w:p w14:paraId="2E6815AC" w14:textId="77777777" w:rsidR="00764CD4" w:rsidRDefault="00764CD4">
          <w:pPr>
            <w:pStyle w:val="TOC3"/>
            <w:rPr>
              <w:rFonts w:asciiTheme="minorHAnsi" w:eastAsiaTheme="minorEastAsia" w:hAnsiTheme="minorHAnsi" w:cstheme="minorBidi"/>
              <w:noProof/>
              <w:lang w:eastAsia="en-AU"/>
            </w:rPr>
          </w:pPr>
          <w:hyperlink w:anchor="_Toc497913783" w:history="1">
            <w:r w:rsidRPr="00A86E1C">
              <w:rPr>
                <w:rStyle w:val="Hyperlink"/>
                <w:noProof/>
              </w:rPr>
              <w:t>Introduction</w:t>
            </w:r>
            <w:r>
              <w:rPr>
                <w:noProof/>
                <w:webHidden/>
              </w:rPr>
              <w:tab/>
            </w:r>
            <w:r>
              <w:rPr>
                <w:noProof/>
                <w:webHidden/>
              </w:rPr>
              <w:fldChar w:fldCharType="begin"/>
            </w:r>
            <w:r>
              <w:rPr>
                <w:noProof/>
                <w:webHidden/>
              </w:rPr>
              <w:instrText xml:space="preserve"> PAGEREF _Toc497913783 \h </w:instrText>
            </w:r>
            <w:r>
              <w:rPr>
                <w:noProof/>
                <w:webHidden/>
              </w:rPr>
            </w:r>
            <w:r>
              <w:rPr>
                <w:noProof/>
                <w:webHidden/>
              </w:rPr>
              <w:fldChar w:fldCharType="separate"/>
            </w:r>
            <w:r>
              <w:rPr>
                <w:noProof/>
                <w:webHidden/>
              </w:rPr>
              <w:t>13</w:t>
            </w:r>
            <w:r>
              <w:rPr>
                <w:noProof/>
                <w:webHidden/>
              </w:rPr>
              <w:fldChar w:fldCharType="end"/>
            </w:r>
          </w:hyperlink>
        </w:p>
        <w:p w14:paraId="6A143987" w14:textId="77777777" w:rsidR="00764CD4" w:rsidRDefault="00764CD4">
          <w:pPr>
            <w:pStyle w:val="TOC3"/>
            <w:rPr>
              <w:rFonts w:asciiTheme="minorHAnsi" w:eastAsiaTheme="minorEastAsia" w:hAnsiTheme="minorHAnsi" w:cstheme="minorBidi"/>
              <w:noProof/>
              <w:lang w:eastAsia="en-AU"/>
            </w:rPr>
          </w:pPr>
          <w:hyperlink w:anchor="_Toc497913784" w:history="1">
            <w:r w:rsidRPr="00A86E1C">
              <w:rPr>
                <w:rStyle w:val="Hyperlink"/>
                <w:noProof/>
              </w:rPr>
              <w:t>Pharmacokinetics</w:t>
            </w:r>
            <w:r>
              <w:rPr>
                <w:noProof/>
                <w:webHidden/>
              </w:rPr>
              <w:tab/>
            </w:r>
            <w:r>
              <w:rPr>
                <w:noProof/>
                <w:webHidden/>
              </w:rPr>
              <w:fldChar w:fldCharType="begin"/>
            </w:r>
            <w:r>
              <w:rPr>
                <w:noProof/>
                <w:webHidden/>
              </w:rPr>
              <w:instrText xml:space="preserve"> PAGEREF _Toc497913784 \h </w:instrText>
            </w:r>
            <w:r>
              <w:rPr>
                <w:noProof/>
                <w:webHidden/>
              </w:rPr>
            </w:r>
            <w:r>
              <w:rPr>
                <w:noProof/>
                <w:webHidden/>
              </w:rPr>
              <w:fldChar w:fldCharType="separate"/>
            </w:r>
            <w:r>
              <w:rPr>
                <w:noProof/>
                <w:webHidden/>
              </w:rPr>
              <w:t>15</w:t>
            </w:r>
            <w:r>
              <w:rPr>
                <w:noProof/>
                <w:webHidden/>
              </w:rPr>
              <w:fldChar w:fldCharType="end"/>
            </w:r>
          </w:hyperlink>
        </w:p>
        <w:p w14:paraId="24EFEC47" w14:textId="77777777" w:rsidR="00764CD4" w:rsidRDefault="00764CD4">
          <w:pPr>
            <w:pStyle w:val="TOC3"/>
            <w:rPr>
              <w:rFonts w:asciiTheme="minorHAnsi" w:eastAsiaTheme="minorEastAsia" w:hAnsiTheme="minorHAnsi" w:cstheme="minorBidi"/>
              <w:noProof/>
              <w:lang w:eastAsia="en-AU"/>
            </w:rPr>
          </w:pPr>
          <w:hyperlink w:anchor="_Toc497913785" w:history="1">
            <w:r w:rsidRPr="00A86E1C">
              <w:rPr>
                <w:rStyle w:val="Hyperlink"/>
                <w:noProof/>
              </w:rPr>
              <w:t>Population pharmacokinetics</w:t>
            </w:r>
            <w:r>
              <w:rPr>
                <w:noProof/>
                <w:webHidden/>
              </w:rPr>
              <w:tab/>
            </w:r>
            <w:r>
              <w:rPr>
                <w:noProof/>
                <w:webHidden/>
              </w:rPr>
              <w:fldChar w:fldCharType="begin"/>
            </w:r>
            <w:r>
              <w:rPr>
                <w:noProof/>
                <w:webHidden/>
              </w:rPr>
              <w:instrText xml:space="preserve"> PAGEREF _Toc497913785 \h </w:instrText>
            </w:r>
            <w:r>
              <w:rPr>
                <w:noProof/>
                <w:webHidden/>
              </w:rPr>
            </w:r>
            <w:r>
              <w:rPr>
                <w:noProof/>
                <w:webHidden/>
              </w:rPr>
              <w:fldChar w:fldCharType="separate"/>
            </w:r>
            <w:r>
              <w:rPr>
                <w:noProof/>
                <w:webHidden/>
              </w:rPr>
              <w:t>15</w:t>
            </w:r>
            <w:r>
              <w:rPr>
                <w:noProof/>
                <w:webHidden/>
              </w:rPr>
              <w:fldChar w:fldCharType="end"/>
            </w:r>
          </w:hyperlink>
        </w:p>
        <w:p w14:paraId="2348196A" w14:textId="77777777" w:rsidR="00764CD4" w:rsidRDefault="00764CD4">
          <w:pPr>
            <w:pStyle w:val="TOC3"/>
            <w:rPr>
              <w:rFonts w:asciiTheme="minorHAnsi" w:eastAsiaTheme="minorEastAsia" w:hAnsiTheme="minorHAnsi" w:cstheme="minorBidi"/>
              <w:noProof/>
              <w:lang w:eastAsia="en-AU"/>
            </w:rPr>
          </w:pPr>
          <w:hyperlink w:anchor="_Toc497913786" w:history="1">
            <w:r w:rsidRPr="00A86E1C">
              <w:rPr>
                <w:rStyle w:val="Hyperlink"/>
                <w:noProof/>
              </w:rPr>
              <w:t>Pharmacodynamics</w:t>
            </w:r>
            <w:r>
              <w:rPr>
                <w:noProof/>
                <w:webHidden/>
              </w:rPr>
              <w:tab/>
            </w:r>
            <w:r>
              <w:rPr>
                <w:noProof/>
                <w:webHidden/>
              </w:rPr>
              <w:fldChar w:fldCharType="begin"/>
            </w:r>
            <w:r>
              <w:rPr>
                <w:noProof/>
                <w:webHidden/>
              </w:rPr>
              <w:instrText xml:space="preserve"> PAGEREF _Toc497913786 \h </w:instrText>
            </w:r>
            <w:r>
              <w:rPr>
                <w:noProof/>
                <w:webHidden/>
              </w:rPr>
            </w:r>
            <w:r>
              <w:rPr>
                <w:noProof/>
                <w:webHidden/>
              </w:rPr>
              <w:fldChar w:fldCharType="separate"/>
            </w:r>
            <w:r>
              <w:rPr>
                <w:noProof/>
                <w:webHidden/>
              </w:rPr>
              <w:t>17</w:t>
            </w:r>
            <w:r>
              <w:rPr>
                <w:noProof/>
                <w:webHidden/>
              </w:rPr>
              <w:fldChar w:fldCharType="end"/>
            </w:r>
          </w:hyperlink>
        </w:p>
        <w:p w14:paraId="2003C523" w14:textId="77777777" w:rsidR="00764CD4" w:rsidRDefault="00764CD4">
          <w:pPr>
            <w:pStyle w:val="TOC3"/>
            <w:rPr>
              <w:rFonts w:asciiTheme="minorHAnsi" w:eastAsiaTheme="minorEastAsia" w:hAnsiTheme="minorHAnsi" w:cstheme="minorBidi"/>
              <w:noProof/>
              <w:lang w:eastAsia="en-AU"/>
            </w:rPr>
          </w:pPr>
          <w:hyperlink w:anchor="_Toc497913787" w:history="1">
            <w:r w:rsidRPr="00A86E1C">
              <w:rPr>
                <w:rStyle w:val="Hyperlink"/>
                <w:noProof/>
              </w:rPr>
              <w:t>Dosage selection for the pivotal studies</w:t>
            </w:r>
            <w:r>
              <w:rPr>
                <w:noProof/>
                <w:webHidden/>
              </w:rPr>
              <w:tab/>
            </w:r>
            <w:r>
              <w:rPr>
                <w:noProof/>
                <w:webHidden/>
              </w:rPr>
              <w:fldChar w:fldCharType="begin"/>
            </w:r>
            <w:r>
              <w:rPr>
                <w:noProof/>
                <w:webHidden/>
              </w:rPr>
              <w:instrText xml:space="preserve"> PAGEREF _Toc497913787 \h </w:instrText>
            </w:r>
            <w:r>
              <w:rPr>
                <w:noProof/>
                <w:webHidden/>
              </w:rPr>
            </w:r>
            <w:r>
              <w:rPr>
                <w:noProof/>
                <w:webHidden/>
              </w:rPr>
              <w:fldChar w:fldCharType="separate"/>
            </w:r>
            <w:r>
              <w:rPr>
                <w:noProof/>
                <w:webHidden/>
              </w:rPr>
              <w:t>18</w:t>
            </w:r>
            <w:r>
              <w:rPr>
                <w:noProof/>
                <w:webHidden/>
              </w:rPr>
              <w:fldChar w:fldCharType="end"/>
            </w:r>
          </w:hyperlink>
        </w:p>
        <w:p w14:paraId="4BAE8A15" w14:textId="77777777" w:rsidR="00764CD4" w:rsidRDefault="00764CD4">
          <w:pPr>
            <w:pStyle w:val="TOC3"/>
            <w:rPr>
              <w:rFonts w:asciiTheme="minorHAnsi" w:eastAsiaTheme="minorEastAsia" w:hAnsiTheme="minorHAnsi" w:cstheme="minorBidi"/>
              <w:noProof/>
              <w:lang w:eastAsia="en-AU"/>
            </w:rPr>
          </w:pPr>
          <w:hyperlink w:anchor="_Toc497913788" w:history="1">
            <w:r w:rsidRPr="00A86E1C">
              <w:rPr>
                <w:rStyle w:val="Hyperlink"/>
                <w:noProof/>
              </w:rPr>
              <w:t>Efficacy</w:t>
            </w:r>
            <w:r>
              <w:rPr>
                <w:noProof/>
                <w:webHidden/>
              </w:rPr>
              <w:tab/>
            </w:r>
            <w:r>
              <w:rPr>
                <w:noProof/>
                <w:webHidden/>
              </w:rPr>
              <w:fldChar w:fldCharType="begin"/>
            </w:r>
            <w:r>
              <w:rPr>
                <w:noProof/>
                <w:webHidden/>
              </w:rPr>
              <w:instrText xml:space="preserve"> PAGEREF _Toc497913788 \h </w:instrText>
            </w:r>
            <w:r>
              <w:rPr>
                <w:noProof/>
                <w:webHidden/>
              </w:rPr>
            </w:r>
            <w:r>
              <w:rPr>
                <w:noProof/>
                <w:webHidden/>
              </w:rPr>
              <w:fldChar w:fldCharType="separate"/>
            </w:r>
            <w:r>
              <w:rPr>
                <w:noProof/>
                <w:webHidden/>
              </w:rPr>
              <w:t>18</w:t>
            </w:r>
            <w:r>
              <w:rPr>
                <w:noProof/>
                <w:webHidden/>
              </w:rPr>
              <w:fldChar w:fldCharType="end"/>
            </w:r>
          </w:hyperlink>
        </w:p>
        <w:p w14:paraId="01F43494" w14:textId="77777777" w:rsidR="00764CD4" w:rsidRDefault="00764CD4">
          <w:pPr>
            <w:pStyle w:val="TOC3"/>
            <w:rPr>
              <w:rFonts w:asciiTheme="minorHAnsi" w:eastAsiaTheme="minorEastAsia" w:hAnsiTheme="minorHAnsi" w:cstheme="minorBidi"/>
              <w:noProof/>
              <w:lang w:eastAsia="en-AU"/>
            </w:rPr>
          </w:pPr>
          <w:hyperlink w:anchor="_Toc497913789" w:history="1">
            <w:r w:rsidRPr="00A86E1C">
              <w:rPr>
                <w:rStyle w:val="Hyperlink"/>
                <w:noProof/>
              </w:rPr>
              <w:t>Safety</w:t>
            </w:r>
            <w:r>
              <w:rPr>
                <w:noProof/>
                <w:webHidden/>
              </w:rPr>
              <w:tab/>
            </w:r>
            <w:r>
              <w:rPr>
                <w:noProof/>
                <w:webHidden/>
              </w:rPr>
              <w:fldChar w:fldCharType="begin"/>
            </w:r>
            <w:r>
              <w:rPr>
                <w:noProof/>
                <w:webHidden/>
              </w:rPr>
              <w:instrText xml:space="preserve"> PAGEREF _Toc497913789 \h </w:instrText>
            </w:r>
            <w:r>
              <w:rPr>
                <w:noProof/>
                <w:webHidden/>
              </w:rPr>
            </w:r>
            <w:r>
              <w:rPr>
                <w:noProof/>
                <w:webHidden/>
              </w:rPr>
              <w:fldChar w:fldCharType="separate"/>
            </w:r>
            <w:r>
              <w:rPr>
                <w:noProof/>
                <w:webHidden/>
              </w:rPr>
              <w:t>20</w:t>
            </w:r>
            <w:r>
              <w:rPr>
                <w:noProof/>
                <w:webHidden/>
              </w:rPr>
              <w:fldChar w:fldCharType="end"/>
            </w:r>
          </w:hyperlink>
        </w:p>
        <w:p w14:paraId="1091C94A" w14:textId="77777777" w:rsidR="00764CD4" w:rsidRDefault="00764CD4">
          <w:pPr>
            <w:pStyle w:val="TOC3"/>
            <w:rPr>
              <w:rFonts w:asciiTheme="minorHAnsi" w:eastAsiaTheme="minorEastAsia" w:hAnsiTheme="minorHAnsi" w:cstheme="minorBidi"/>
              <w:noProof/>
              <w:lang w:eastAsia="en-AU"/>
            </w:rPr>
          </w:pPr>
          <w:hyperlink w:anchor="_Toc497913790" w:history="1">
            <w:r w:rsidRPr="00A86E1C">
              <w:rPr>
                <w:rStyle w:val="Hyperlink"/>
                <w:noProof/>
              </w:rPr>
              <w:t>First Round Benefit-Risk Assessment</w:t>
            </w:r>
            <w:r>
              <w:rPr>
                <w:noProof/>
                <w:webHidden/>
              </w:rPr>
              <w:tab/>
            </w:r>
            <w:r>
              <w:rPr>
                <w:noProof/>
                <w:webHidden/>
              </w:rPr>
              <w:fldChar w:fldCharType="begin"/>
            </w:r>
            <w:r>
              <w:rPr>
                <w:noProof/>
                <w:webHidden/>
              </w:rPr>
              <w:instrText xml:space="preserve"> PAGEREF _Toc497913790 \h </w:instrText>
            </w:r>
            <w:r>
              <w:rPr>
                <w:noProof/>
                <w:webHidden/>
              </w:rPr>
            </w:r>
            <w:r>
              <w:rPr>
                <w:noProof/>
                <w:webHidden/>
              </w:rPr>
              <w:fldChar w:fldCharType="separate"/>
            </w:r>
            <w:r>
              <w:rPr>
                <w:noProof/>
                <w:webHidden/>
              </w:rPr>
              <w:t>23</w:t>
            </w:r>
            <w:r>
              <w:rPr>
                <w:noProof/>
                <w:webHidden/>
              </w:rPr>
              <w:fldChar w:fldCharType="end"/>
            </w:r>
          </w:hyperlink>
        </w:p>
        <w:p w14:paraId="43E3E637" w14:textId="77777777" w:rsidR="00764CD4" w:rsidRDefault="00764CD4">
          <w:pPr>
            <w:pStyle w:val="TOC3"/>
            <w:rPr>
              <w:rFonts w:asciiTheme="minorHAnsi" w:eastAsiaTheme="minorEastAsia" w:hAnsiTheme="minorHAnsi" w:cstheme="minorBidi"/>
              <w:noProof/>
              <w:lang w:eastAsia="en-AU"/>
            </w:rPr>
          </w:pPr>
          <w:hyperlink w:anchor="_Toc497913791" w:history="1">
            <w:r w:rsidRPr="00A86E1C">
              <w:rPr>
                <w:rStyle w:val="Hyperlink"/>
                <w:noProof/>
              </w:rPr>
              <w:t>First Round Recommendation Regarding Authorisation</w:t>
            </w:r>
            <w:r>
              <w:rPr>
                <w:noProof/>
                <w:webHidden/>
              </w:rPr>
              <w:tab/>
            </w:r>
            <w:r>
              <w:rPr>
                <w:noProof/>
                <w:webHidden/>
              </w:rPr>
              <w:fldChar w:fldCharType="begin"/>
            </w:r>
            <w:r>
              <w:rPr>
                <w:noProof/>
                <w:webHidden/>
              </w:rPr>
              <w:instrText xml:space="preserve"> PAGEREF _Toc497913791 \h </w:instrText>
            </w:r>
            <w:r>
              <w:rPr>
                <w:noProof/>
                <w:webHidden/>
              </w:rPr>
            </w:r>
            <w:r>
              <w:rPr>
                <w:noProof/>
                <w:webHidden/>
              </w:rPr>
              <w:fldChar w:fldCharType="separate"/>
            </w:r>
            <w:r>
              <w:rPr>
                <w:noProof/>
                <w:webHidden/>
              </w:rPr>
              <w:t>25</w:t>
            </w:r>
            <w:r>
              <w:rPr>
                <w:noProof/>
                <w:webHidden/>
              </w:rPr>
              <w:fldChar w:fldCharType="end"/>
            </w:r>
          </w:hyperlink>
        </w:p>
        <w:p w14:paraId="19039DA8" w14:textId="77777777" w:rsidR="00764CD4" w:rsidRDefault="00764CD4">
          <w:pPr>
            <w:pStyle w:val="TOC3"/>
            <w:rPr>
              <w:rFonts w:asciiTheme="minorHAnsi" w:eastAsiaTheme="minorEastAsia" w:hAnsiTheme="minorHAnsi" w:cstheme="minorBidi"/>
              <w:noProof/>
              <w:lang w:eastAsia="en-AU"/>
            </w:rPr>
          </w:pPr>
          <w:hyperlink w:anchor="_Toc497913792" w:history="1">
            <w:r w:rsidRPr="00A86E1C">
              <w:rPr>
                <w:rStyle w:val="Hyperlink"/>
                <w:noProof/>
              </w:rPr>
              <w:t>Clinical Questions and Second Round Evaluation of clinical data submitted in response to questions</w:t>
            </w:r>
            <w:r>
              <w:rPr>
                <w:noProof/>
                <w:webHidden/>
              </w:rPr>
              <w:tab/>
            </w:r>
            <w:r>
              <w:rPr>
                <w:noProof/>
                <w:webHidden/>
              </w:rPr>
              <w:fldChar w:fldCharType="begin"/>
            </w:r>
            <w:r>
              <w:rPr>
                <w:noProof/>
                <w:webHidden/>
              </w:rPr>
              <w:instrText xml:space="preserve"> PAGEREF _Toc497913792 \h </w:instrText>
            </w:r>
            <w:r>
              <w:rPr>
                <w:noProof/>
                <w:webHidden/>
              </w:rPr>
            </w:r>
            <w:r>
              <w:rPr>
                <w:noProof/>
                <w:webHidden/>
              </w:rPr>
              <w:fldChar w:fldCharType="separate"/>
            </w:r>
            <w:r>
              <w:rPr>
                <w:noProof/>
                <w:webHidden/>
              </w:rPr>
              <w:t>25</w:t>
            </w:r>
            <w:r>
              <w:rPr>
                <w:noProof/>
                <w:webHidden/>
              </w:rPr>
              <w:fldChar w:fldCharType="end"/>
            </w:r>
          </w:hyperlink>
        </w:p>
        <w:p w14:paraId="3AC3E90F" w14:textId="77777777" w:rsidR="00764CD4" w:rsidRDefault="00764CD4">
          <w:pPr>
            <w:pStyle w:val="TOC3"/>
            <w:rPr>
              <w:rFonts w:asciiTheme="minorHAnsi" w:eastAsiaTheme="minorEastAsia" w:hAnsiTheme="minorHAnsi" w:cstheme="minorBidi"/>
              <w:noProof/>
              <w:lang w:eastAsia="en-AU"/>
            </w:rPr>
          </w:pPr>
          <w:hyperlink w:anchor="_Toc497913793" w:history="1">
            <w:r w:rsidRPr="00A86E1C">
              <w:rPr>
                <w:rStyle w:val="Hyperlink"/>
                <w:noProof/>
              </w:rPr>
              <w:t>Second Round Benefit-Risk Assessment</w:t>
            </w:r>
            <w:r>
              <w:rPr>
                <w:noProof/>
                <w:webHidden/>
              </w:rPr>
              <w:tab/>
            </w:r>
            <w:r>
              <w:rPr>
                <w:noProof/>
                <w:webHidden/>
              </w:rPr>
              <w:fldChar w:fldCharType="begin"/>
            </w:r>
            <w:r>
              <w:rPr>
                <w:noProof/>
                <w:webHidden/>
              </w:rPr>
              <w:instrText xml:space="preserve"> PAGEREF _Toc497913793 \h </w:instrText>
            </w:r>
            <w:r>
              <w:rPr>
                <w:noProof/>
                <w:webHidden/>
              </w:rPr>
            </w:r>
            <w:r>
              <w:rPr>
                <w:noProof/>
                <w:webHidden/>
              </w:rPr>
              <w:fldChar w:fldCharType="separate"/>
            </w:r>
            <w:r>
              <w:rPr>
                <w:noProof/>
                <w:webHidden/>
              </w:rPr>
              <w:t>25</w:t>
            </w:r>
            <w:r>
              <w:rPr>
                <w:noProof/>
                <w:webHidden/>
              </w:rPr>
              <w:fldChar w:fldCharType="end"/>
            </w:r>
          </w:hyperlink>
        </w:p>
        <w:p w14:paraId="08D0B2AE" w14:textId="77777777" w:rsidR="00764CD4" w:rsidRDefault="00764CD4">
          <w:pPr>
            <w:pStyle w:val="TOC2"/>
            <w:rPr>
              <w:rFonts w:asciiTheme="minorHAnsi" w:eastAsiaTheme="minorEastAsia" w:hAnsiTheme="minorHAnsi" w:cstheme="minorBidi"/>
              <w:b w:val="0"/>
              <w:noProof/>
              <w:sz w:val="22"/>
              <w:lang w:eastAsia="en-AU"/>
            </w:rPr>
          </w:pPr>
          <w:hyperlink w:anchor="_Toc497913794" w:history="1">
            <w:r w:rsidRPr="00A86E1C">
              <w:rPr>
                <w:rStyle w:val="Hyperlink"/>
                <w:noProof/>
              </w:rPr>
              <w:t>V. Pharmacovigilance findings</w:t>
            </w:r>
            <w:r>
              <w:rPr>
                <w:noProof/>
                <w:webHidden/>
              </w:rPr>
              <w:tab/>
            </w:r>
            <w:r>
              <w:rPr>
                <w:noProof/>
                <w:webHidden/>
              </w:rPr>
              <w:fldChar w:fldCharType="begin"/>
            </w:r>
            <w:r>
              <w:rPr>
                <w:noProof/>
                <w:webHidden/>
              </w:rPr>
              <w:instrText xml:space="preserve"> PAGEREF _Toc497913794 \h </w:instrText>
            </w:r>
            <w:r>
              <w:rPr>
                <w:noProof/>
                <w:webHidden/>
              </w:rPr>
            </w:r>
            <w:r>
              <w:rPr>
                <w:noProof/>
                <w:webHidden/>
              </w:rPr>
              <w:fldChar w:fldCharType="separate"/>
            </w:r>
            <w:r>
              <w:rPr>
                <w:noProof/>
                <w:webHidden/>
              </w:rPr>
              <w:t>26</w:t>
            </w:r>
            <w:r>
              <w:rPr>
                <w:noProof/>
                <w:webHidden/>
              </w:rPr>
              <w:fldChar w:fldCharType="end"/>
            </w:r>
          </w:hyperlink>
        </w:p>
        <w:p w14:paraId="4963629A" w14:textId="77777777" w:rsidR="00764CD4" w:rsidRDefault="00764CD4">
          <w:pPr>
            <w:pStyle w:val="TOC3"/>
            <w:rPr>
              <w:rFonts w:asciiTheme="minorHAnsi" w:eastAsiaTheme="minorEastAsia" w:hAnsiTheme="minorHAnsi" w:cstheme="minorBidi"/>
              <w:noProof/>
              <w:lang w:eastAsia="en-AU"/>
            </w:rPr>
          </w:pPr>
          <w:hyperlink w:anchor="_Toc497913795" w:history="1">
            <w:r w:rsidRPr="00A86E1C">
              <w:rPr>
                <w:rStyle w:val="Hyperlink"/>
                <w:noProof/>
                <w:lang w:eastAsia="en-AU"/>
              </w:rPr>
              <w:t>Risk management plan</w:t>
            </w:r>
            <w:r>
              <w:rPr>
                <w:noProof/>
                <w:webHidden/>
              </w:rPr>
              <w:tab/>
            </w:r>
            <w:r>
              <w:rPr>
                <w:noProof/>
                <w:webHidden/>
              </w:rPr>
              <w:fldChar w:fldCharType="begin"/>
            </w:r>
            <w:r>
              <w:rPr>
                <w:noProof/>
                <w:webHidden/>
              </w:rPr>
              <w:instrText xml:space="preserve"> PAGEREF _Toc497913795 \h </w:instrText>
            </w:r>
            <w:r>
              <w:rPr>
                <w:noProof/>
                <w:webHidden/>
              </w:rPr>
            </w:r>
            <w:r>
              <w:rPr>
                <w:noProof/>
                <w:webHidden/>
              </w:rPr>
              <w:fldChar w:fldCharType="separate"/>
            </w:r>
            <w:r>
              <w:rPr>
                <w:noProof/>
                <w:webHidden/>
              </w:rPr>
              <w:t>26</w:t>
            </w:r>
            <w:r>
              <w:rPr>
                <w:noProof/>
                <w:webHidden/>
              </w:rPr>
              <w:fldChar w:fldCharType="end"/>
            </w:r>
          </w:hyperlink>
        </w:p>
        <w:p w14:paraId="04CA79ED" w14:textId="77777777" w:rsidR="00764CD4" w:rsidRDefault="00764CD4">
          <w:pPr>
            <w:pStyle w:val="TOC2"/>
            <w:rPr>
              <w:rFonts w:asciiTheme="minorHAnsi" w:eastAsiaTheme="minorEastAsia" w:hAnsiTheme="minorHAnsi" w:cstheme="minorBidi"/>
              <w:b w:val="0"/>
              <w:noProof/>
              <w:sz w:val="22"/>
              <w:lang w:eastAsia="en-AU"/>
            </w:rPr>
          </w:pPr>
          <w:hyperlink w:anchor="_Toc497913796" w:history="1">
            <w:r w:rsidRPr="00A86E1C">
              <w:rPr>
                <w:rStyle w:val="Hyperlink"/>
                <w:noProof/>
              </w:rPr>
              <w:t>VI. Overall conclusion and risk/benefit assessment</w:t>
            </w:r>
            <w:r>
              <w:rPr>
                <w:noProof/>
                <w:webHidden/>
              </w:rPr>
              <w:tab/>
            </w:r>
            <w:r>
              <w:rPr>
                <w:noProof/>
                <w:webHidden/>
              </w:rPr>
              <w:fldChar w:fldCharType="begin"/>
            </w:r>
            <w:r>
              <w:rPr>
                <w:noProof/>
                <w:webHidden/>
              </w:rPr>
              <w:instrText xml:space="preserve"> PAGEREF _Toc497913796 \h </w:instrText>
            </w:r>
            <w:r>
              <w:rPr>
                <w:noProof/>
                <w:webHidden/>
              </w:rPr>
            </w:r>
            <w:r>
              <w:rPr>
                <w:noProof/>
                <w:webHidden/>
              </w:rPr>
              <w:fldChar w:fldCharType="separate"/>
            </w:r>
            <w:r>
              <w:rPr>
                <w:noProof/>
                <w:webHidden/>
              </w:rPr>
              <w:t>43</w:t>
            </w:r>
            <w:r>
              <w:rPr>
                <w:noProof/>
                <w:webHidden/>
              </w:rPr>
              <w:fldChar w:fldCharType="end"/>
            </w:r>
          </w:hyperlink>
        </w:p>
        <w:p w14:paraId="66B4339D" w14:textId="77777777" w:rsidR="00764CD4" w:rsidRDefault="00764CD4">
          <w:pPr>
            <w:pStyle w:val="TOC3"/>
            <w:rPr>
              <w:rFonts w:asciiTheme="minorHAnsi" w:eastAsiaTheme="minorEastAsia" w:hAnsiTheme="minorHAnsi" w:cstheme="minorBidi"/>
              <w:noProof/>
              <w:lang w:eastAsia="en-AU"/>
            </w:rPr>
          </w:pPr>
          <w:hyperlink w:anchor="_Toc497913797" w:history="1">
            <w:r w:rsidRPr="00A86E1C">
              <w:rPr>
                <w:rStyle w:val="Hyperlink"/>
                <w:noProof/>
              </w:rPr>
              <w:t>Quality</w:t>
            </w:r>
            <w:r>
              <w:rPr>
                <w:noProof/>
                <w:webHidden/>
              </w:rPr>
              <w:tab/>
            </w:r>
            <w:r>
              <w:rPr>
                <w:noProof/>
                <w:webHidden/>
              </w:rPr>
              <w:fldChar w:fldCharType="begin"/>
            </w:r>
            <w:r>
              <w:rPr>
                <w:noProof/>
                <w:webHidden/>
              </w:rPr>
              <w:instrText xml:space="preserve"> PAGEREF _Toc497913797 \h </w:instrText>
            </w:r>
            <w:r>
              <w:rPr>
                <w:noProof/>
                <w:webHidden/>
              </w:rPr>
            </w:r>
            <w:r>
              <w:rPr>
                <w:noProof/>
                <w:webHidden/>
              </w:rPr>
              <w:fldChar w:fldCharType="separate"/>
            </w:r>
            <w:r>
              <w:rPr>
                <w:noProof/>
                <w:webHidden/>
              </w:rPr>
              <w:t>43</w:t>
            </w:r>
            <w:r>
              <w:rPr>
                <w:noProof/>
                <w:webHidden/>
              </w:rPr>
              <w:fldChar w:fldCharType="end"/>
            </w:r>
          </w:hyperlink>
        </w:p>
        <w:p w14:paraId="2A2D08EB" w14:textId="77777777" w:rsidR="00764CD4" w:rsidRDefault="00764CD4">
          <w:pPr>
            <w:pStyle w:val="TOC3"/>
            <w:rPr>
              <w:rFonts w:asciiTheme="minorHAnsi" w:eastAsiaTheme="minorEastAsia" w:hAnsiTheme="minorHAnsi" w:cstheme="minorBidi"/>
              <w:noProof/>
              <w:lang w:eastAsia="en-AU"/>
            </w:rPr>
          </w:pPr>
          <w:hyperlink w:anchor="_Toc497913798" w:history="1">
            <w:r w:rsidRPr="00A86E1C">
              <w:rPr>
                <w:rStyle w:val="Hyperlink"/>
                <w:noProof/>
              </w:rPr>
              <w:t>Nonclinical</w:t>
            </w:r>
            <w:r>
              <w:rPr>
                <w:noProof/>
                <w:webHidden/>
              </w:rPr>
              <w:tab/>
            </w:r>
            <w:r>
              <w:rPr>
                <w:noProof/>
                <w:webHidden/>
              </w:rPr>
              <w:fldChar w:fldCharType="begin"/>
            </w:r>
            <w:r>
              <w:rPr>
                <w:noProof/>
                <w:webHidden/>
              </w:rPr>
              <w:instrText xml:space="preserve"> PAGEREF _Toc497913798 \h </w:instrText>
            </w:r>
            <w:r>
              <w:rPr>
                <w:noProof/>
                <w:webHidden/>
              </w:rPr>
            </w:r>
            <w:r>
              <w:rPr>
                <w:noProof/>
                <w:webHidden/>
              </w:rPr>
              <w:fldChar w:fldCharType="separate"/>
            </w:r>
            <w:r>
              <w:rPr>
                <w:noProof/>
                <w:webHidden/>
              </w:rPr>
              <w:t>43</w:t>
            </w:r>
            <w:r>
              <w:rPr>
                <w:noProof/>
                <w:webHidden/>
              </w:rPr>
              <w:fldChar w:fldCharType="end"/>
            </w:r>
          </w:hyperlink>
        </w:p>
        <w:p w14:paraId="1CBBF504" w14:textId="77777777" w:rsidR="00764CD4" w:rsidRDefault="00764CD4">
          <w:pPr>
            <w:pStyle w:val="TOC3"/>
            <w:rPr>
              <w:rFonts w:asciiTheme="minorHAnsi" w:eastAsiaTheme="minorEastAsia" w:hAnsiTheme="minorHAnsi" w:cstheme="minorBidi"/>
              <w:noProof/>
              <w:lang w:eastAsia="en-AU"/>
            </w:rPr>
          </w:pPr>
          <w:hyperlink w:anchor="_Toc497913799" w:history="1">
            <w:r w:rsidRPr="00A86E1C">
              <w:rPr>
                <w:rStyle w:val="Hyperlink"/>
                <w:noProof/>
              </w:rPr>
              <w:t>Clinical</w:t>
            </w:r>
            <w:r>
              <w:rPr>
                <w:noProof/>
                <w:webHidden/>
              </w:rPr>
              <w:tab/>
            </w:r>
            <w:r>
              <w:rPr>
                <w:noProof/>
                <w:webHidden/>
              </w:rPr>
              <w:fldChar w:fldCharType="begin"/>
            </w:r>
            <w:r>
              <w:rPr>
                <w:noProof/>
                <w:webHidden/>
              </w:rPr>
              <w:instrText xml:space="preserve"> PAGEREF _Toc497913799 \h </w:instrText>
            </w:r>
            <w:r>
              <w:rPr>
                <w:noProof/>
                <w:webHidden/>
              </w:rPr>
            </w:r>
            <w:r>
              <w:rPr>
                <w:noProof/>
                <w:webHidden/>
              </w:rPr>
              <w:fldChar w:fldCharType="separate"/>
            </w:r>
            <w:r>
              <w:rPr>
                <w:noProof/>
                <w:webHidden/>
              </w:rPr>
              <w:t>43</w:t>
            </w:r>
            <w:r>
              <w:rPr>
                <w:noProof/>
                <w:webHidden/>
              </w:rPr>
              <w:fldChar w:fldCharType="end"/>
            </w:r>
          </w:hyperlink>
        </w:p>
        <w:p w14:paraId="71B36587" w14:textId="77777777" w:rsidR="00764CD4" w:rsidRDefault="00764CD4">
          <w:pPr>
            <w:pStyle w:val="TOC3"/>
            <w:rPr>
              <w:rFonts w:asciiTheme="minorHAnsi" w:eastAsiaTheme="minorEastAsia" w:hAnsiTheme="minorHAnsi" w:cstheme="minorBidi"/>
              <w:noProof/>
              <w:lang w:eastAsia="en-AU"/>
            </w:rPr>
          </w:pPr>
          <w:hyperlink w:anchor="_Toc497913800" w:history="1">
            <w:r w:rsidRPr="00A86E1C">
              <w:rPr>
                <w:rStyle w:val="Hyperlink"/>
                <w:noProof/>
                <w:lang w:eastAsia="en-AU"/>
              </w:rPr>
              <w:t>Risk management plan</w:t>
            </w:r>
            <w:r>
              <w:rPr>
                <w:noProof/>
                <w:webHidden/>
              </w:rPr>
              <w:tab/>
            </w:r>
            <w:r>
              <w:rPr>
                <w:noProof/>
                <w:webHidden/>
              </w:rPr>
              <w:fldChar w:fldCharType="begin"/>
            </w:r>
            <w:r>
              <w:rPr>
                <w:noProof/>
                <w:webHidden/>
              </w:rPr>
              <w:instrText xml:space="preserve"> PAGEREF _Toc497913800 \h </w:instrText>
            </w:r>
            <w:r>
              <w:rPr>
                <w:noProof/>
                <w:webHidden/>
              </w:rPr>
            </w:r>
            <w:r>
              <w:rPr>
                <w:noProof/>
                <w:webHidden/>
              </w:rPr>
              <w:fldChar w:fldCharType="separate"/>
            </w:r>
            <w:r>
              <w:rPr>
                <w:noProof/>
                <w:webHidden/>
              </w:rPr>
              <w:t>48</w:t>
            </w:r>
            <w:r>
              <w:rPr>
                <w:noProof/>
                <w:webHidden/>
              </w:rPr>
              <w:fldChar w:fldCharType="end"/>
            </w:r>
          </w:hyperlink>
        </w:p>
        <w:p w14:paraId="0A4AEC66" w14:textId="77777777" w:rsidR="00764CD4" w:rsidRDefault="00764CD4">
          <w:pPr>
            <w:pStyle w:val="TOC3"/>
            <w:rPr>
              <w:rFonts w:asciiTheme="minorHAnsi" w:eastAsiaTheme="minorEastAsia" w:hAnsiTheme="minorHAnsi" w:cstheme="minorBidi"/>
              <w:noProof/>
              <w:lang w:eastAsia="en-AU"/>
            </w:rPr>
          </w:pPr>
          <w:hyperlink w:anchor="_Toc497913801" w:history="1">
            <w:r w:rsidRPr="00A86E1C">
              <w:rPr>
                <w:rStyle w:val="Hyperlink"/>
                <w:noProof/>
              </w:rPr>
              <w:t>Risk-benefit analysis</w:t>
            </w:r>
            <w:r>
              <w:rPr>
                <w:noProof/>
                <w:webHidden/>
              </w:rPr>
              <w:tab/>
            </w:r>
            <w:r>
              <w:rPr>
                <w:noProof/>
                <w:webHidden/>
              </w:rPr>
              <w:fldChar w:fldCharType="begin"/>
            </w:r>
            <w:r>
              <w:rPr>
                <w:noProof/>
                <w:webHidden/>
              </w:rPr>
              <w:instrText xml:space="preserve"> PAGEREF _Toc497913801 \h </w:instrText>
            </w:r>
            <w:r>
              <w:rPr>
                <w:noProof/>
                <w:webHidden/>
              </w:rPr>
            </w:r>
            <w:r>
              <w:rPr>
                <w:noProof/>
                <w:webHidden/>
              </w:rPr>
              <w:fldChar w:fldCharType="separate"/>
            </w:r>
            <w:r>
              <w:rPr>
                <w:noProof/>
                <w:webHidden/>
              </w:rPr>
              <w:t>48</w:t>
            </w:r>
            <w:r>
              <w:rPr>
                <w:noProof/>
                <w:webHidden/>
              </w:rPr>
              <w:fldChar w:fldCharType="end"/>
            </w:r>
          </w:hyperlink>
        </w:p>
        <w:p w14:paraId="775BBE5F" w14:textId="77777777" w:rsidR="00764CD4" w:rsidRDefault="00764CD4">
          <w:pPr>
            <w:pStyle w:val="TOC3"/>
            <w:rPr>
              <w:rFonts w:asciiTheme="minorHAnsi" w:eastAsiaTheme="minorEastAsia" w:hAnsiTheme="minorHAnsi" w:cstheme="minorBidi"/>
              <w:noProof/>
              <w:lang w:eastAsia="en-AU"/>
            </w:rPr>
          </w:pPr>
          <w:hyperlink w:anchor="_Toc497913802" w:history="1">
            <w:r w:rsidRPr="00A86E1C">
              <w:rPr>
                <w:rStyle w:val="Hyperlink"/>
                <w:noProof/>
              </w:rPr>
              <w:t>Outcome</w:t>
            </w:r>
            <w:r>
              <w:rPr>
                <w:noProof/>
                <w:webHidden/>
              </w:rPr>
              <w:tab/>
            </w:r>
            <w:r>
              <w:rPr>
                <w:noProof/>
                <w:webHidden/>
              </w:rPr>
              <w:fldChar w:fldCharType="begin"/>
            </w:r>
            <w:r>
              <w:rPr>
                <w:noProof/>
                <w:webHidden/>
              </w:rPr>
              <w:instrText xml:space="preserve"> PAGEREF _Toc497913802 \h </w:instrText>
            </w:r>
            <w:r>
              <w:rPr>
                <w:noProof/>
                <w:webHidden/>
              </w:rPr>
            </w:r>
            <w:r>
              <w:rPr>
                <w:noProof/>
                <w:webHidden/>
              </w:rPr>
              <w:fldChar w:fldCharType="separate"/>
            </w:r>
            <w:r>
              <w:rPr>
                <w:noProof/>
                <w:webHidden/>
              </w:rPr>
              <w:t>57</w:t>
            </w:r>
            <w:r>
              <w:rPr>
                <w:noProof/>
                <w:webHidden/>
              </w:rPr>
              <w:fldChar w:fldCharType="end"/>
            </w:r>
          </w:hyperlink>
        </w:p>
        <w:p w14:paraId="15A340FE" w14:textId="77777777" w:rsidR="00764CD4" w:rsidRDefault="00764CD4">
          <w:pPr>
            <w:pStyle w:val="TOC2"/>
            <w:rPr>
              <w:rFonts w:asciiTheme="minorHAnsi" w:eastAsiaTheme="minorEastAsia" w:hAnsiTheme="minorHAnsi" w:cstheme="minorBidi"/>
              <w:b w:val="0"/>
              <w:noProof/>
              <w:sz w:val="22"/>
              <w:lang w:eastAsia="en-AU"/>
            </w:rPr>
          </w:pPr>
          <w:hyperlink w:anchor="_Toc497913803" w:history="1">
            <w:r w:rsidRPr="00A86E1C">
              <w:rPr>
                <w:rStyle w:val="Hyperlink"/>
                <w:noProof/>
              </w:rPr>
              <w:t>Attachment 1. Product Information</w:t>
            </w:r>
            <w:r>
              <w:rPr>
                <w:noProof/>
                <w:webHidden/>
              </w:rPr>
              <w:tab/>
            </w:r>
            <w:r>
              <w:rPr>
                <w:noProof/>
                <w:webHidden/>
              </w:rPr>
              <w:fldChar w:fldCharType="begin"/>
            </w:r>
            <w:r>
              <w:rPr>
                <w:noProof/>
                <w:webHidden/>
              </w:rPr>
              <w:instrText xml:space="preserve"> PAGEREF _Toc497913803 \h </w:instrText>
            </w:r>
            <w:r>
              <w:rPr>
                <w:noProof/>
                <w:webHidden/>
              </w:rPr>
            </w:r>
            <w:r>
              <w:rPr>
                <w:noProof/>
                <w:webHidden/>
              </w:rPr>
              <w:fldChar w:fldCharType="separate"/>
            </w:r>
            <w:r>
              <w:rPr>
                <w:noProof/>
                <w:webHidden/>
              </w:rPr>
              <w:t>58</w:t>
            </w:r>
            <w:r>
              <w:rPr>
                <w:noProof/>
                <w:webHidden/>
              </w:rPr>
              <w:fldChar w:fldCharType="end"/>
            </w:r>
          </w:hyperlink>
        </w:p>
        <w:p w14:paraId="33011B21" w14:textId="77777777" w:rsidR="00764CD4" w:rsidRDefault="00764CD4">
          <w:pPr>
            <w:pStyle w:val="TOC2"/>
            <w:rPr>
              <w:rFonts w:asciiTheme="minorHAnsi" w:eastAsiaTheme="minorEastAsia" w:hAnsiTheme="minorHAnsi" w:cstheme="minorBidi"/>
              <w:b w:val="0"/>
              <w:noProof/>
              <w:sz w:val="22"/>
              <w:lang w:eastAsia="en-AU"/>
            </w:rPr>
          </w:pPr>
          <w:hyperlink w:anchor="_Toc497913804" w:history="1">
            <w:r w:rsidRPr="00A86E1C">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_Toc497913804 \h </w:instrText>
            </w:r>
            <w:r>
              <w:rPr>
                <w:noProof/>
                <w:webHidden/>
              </w:rPr>
            </w:r>
            <w:r>
              <w:rPr>
                <w:noProof/>
                <w:webHidden/>
              </w:rPr>
              <w:fldChar w:fldCharType="separate"/>
            </w:r>
            <w:r>
              <w:rPr>
                <w:noProof/>
                <w:webHidden/>
              </w:rPr>
              <w:t>58</w:t>
            </w:r>
            <w:r>
              <w:rPr>
                <w:noProof/>
                <w:webHidden/>
              </w:rPr>
              <w:fldChar w:fldCharType="end"/>
            </w:r>
          </w:hyperlink>
        </w:p>
        <w:p w14:paraId="0F753ABC" w14:textId="77777777" w:rsidR="003A7F6C" w:rsidRPr="00B811C6" w:rsidRDefault="00DB6124" w:rsidP="00B811C6">
          <w:pPr>
            <w:pStyle w:val="TOC2"/>
          </w:pPr>
          <w:r>
            <w:fldChar w:fldCharType="end"/>
          </w:r>
        </w:p>
      </w:sdtContent>
    </w:sdt>
    <w:bookmarkStart w:id="3" w:name="_Toc314842482" w:displacedByCustomXml="prev"/>
    <w:p w14:paraId="1F5B064E" w14:textId="77777777" w:rsidR="00FD119B" w:rsidRDefault="00FD119B">
      <w:pPr>
        <w:spacing w:before="0" w:after="200" w:line="0" w:lineRule="auto"/>
      </w:pPr>
      <w:r>
        <w:br w:type="page"/>
      </w:r>
    </w:p>
    <w:p w14:paraId="020DA72C" w14:textId="77777777"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497913766"/>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FD119B" w:rsidRPr="00FD119B" w14:paraId="14C0F575"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60D2E560" w14:textId="77777777"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14:paraId="15B67C08" w14:textId="77777777" w:rsidR="00FD119B" w:rsidRPr="00FD119B" w:rsidRDefault="00FD119B" w:rsidP="00FD119B">
            <w:pPr>
              <w:keepNext w:val="0"/>
              <w:ind w:left="0" w:right="0"/>
              <w:rPr>
                <w:szCs w:val="22"/>
                <w:lang w:eastAsia="en-US"/>
              </w:rPr>
            </w:pPr>
            <w:r w:rsidRPr="00FD119B">
              <w:rPr>
                <w:szCs w:val="22"/>
                <w:lang w:eastAsia="en-US"/>
              </w:rPr>
              <w:t>Meaning</w:t>
            </w:r>
          </w:p>
        </w:tc>
      </w:tr>
      <w:tr w:rsidR="00FF0518" w:rsidRPr="00FD119B" w14:paraId="614D5FD3" w14:textId="77777777" w:rsidTr="00FD119B">
        <w:tc>
          <w:tcPr>
            <w:tcW w:w="1809" w:type="dxa"/>
          </w:tcPr>
          <w:p w14:paraId="499545F9" w14:textId="77777777" w:rsidR="00FF0518" w:rsidRDefault="00FF0518" w:rsidP="0060183B">
            <w:r>
              <w:t>ACPM</w:t>
            </w:r>
          </w:p>
        </w:tc>
        <w:tc>
          <w:tcPr>
            <w:tcW w:w="6911" w:type="dxa"/>
          </w:tcPr>
          <w:p w14:paraId="7EAA2B55" w14:textId="77777777" w:rsidR="00FF0518" w:rsidRPr="00F61FA8" w:rsidRDefault="00FF0518" w:rsidP="0060183B">
            <w:r>
              <w:t>Advisory committee for prescription medicines</w:t>
            </w:r>
          </w:p>
        </w:tc>
      </w:tr>
      <w:tr w:rsidR="00FF0518" w:rsidRPr="00FD119B" w14:paraId="211D840B" w14:textId="77777777" w:rsidTr="00FD119B">
        <w:tc>
          <w:tcPr>
            <w:tcW w:w="1809" w:type="dxa"/>
          </w:tcPr>
          <w:p w14:paraId="70621CE8" w14:textId="77777777" w:rsidR="00FF0518" w:rsidRPr="00F61FA8" w:rsidRDefault="00FF0518" w:rsidP="0060183B">
            <w:r>
              <w:t>ACSOM</w:t>
            </w:r>
          </w:p>
        </w:tc>
        <w:tc>
          <w:tcPr>
            <w:tcW w:w="6911" w:type="dxa"/>
          </w:tcPr>
          <w:p w14:paraId="7EFBE8C3" w14:textId="77777777" w:rsidR="00FF0518" w:rsidRPr="00F61FA8" w:rsidRDefault="00FF0518" w:rsidP="0060183B">
            <w:r>
              <w:t>Advisory committee for the safety of medicines</w:t>
            </w:r>
          </w:p>
        </w:tc>
      </w:tr>
      <w:tr w:rsidR="003D24CD" w:rsidRPr="00FD119B" w14:paraId="5AD54AD1" w14:textId="77777777" w:rsidTr="00FD119B">
        <w:tc>
          <w:tcPr>
            <w:tcW w:w="1809" w:type="dxa"/>
          </w:tcPr>
          <w:p w14:paraId="045F4F93" w14:textId="77777777" w:rsidR="003D24CD" w:rsidRPr="00F61FA8" w:rsidRDefault="003D24CD" w:rsidP="0060183B">
            <w:r w:rsidRPr="00F61FA8">
              <w:t>AE</w:t>
            </w:r>
          </w:p>
        </w:tc>
        <w:tc>
          <w:tcPr>
            <w:tcW w:w="6911" w:type="dxa"/>
          </w:tcPr>
          <w:p w14:paraId="577C6902" w14:textId="77777777" w:rsidR="003D24CD" w:rsidRPr="00F61FA8" w:rsidRDefault="003D24CD" w:rsidP="0060183B">
            <w:r w:rsidRPr="00F61FA8">
              <w:t>adverse event</w:t>
            </w:r>
          </w:p>
        </w:tc>
      </w:tr>
      <w:tr w:rsidR="003D24CD" w:rsidRPr="00FD119B" w14:paraId="32E8DB68" w14:textId="77777777" w:rsidTr="00FD119B">
        <w:tc>
          <w:tcPr>
            <w:tcW w:w="1809" w:type="dxa"/>
          </w:tcPr>
          <w:p w14:paraId="43A40CA4" w14:textId="77777777" w:rsidR="003D24CD" w:rsidRPr="00F61FA8" w:rsidRDefault="003D24CD" w:rsidP="0060183B">
            <w:r w:rsidRPr="00F61FA8">
              <w:t>AIMS</w:t>
            </w:r>
          </w:p>
        </w:tc>
        <w:tc>
          <w:tcPr>
            <w:tcW w:w="6911" w:type="dxa"/>
          </w:tcPr>
          <w:p w14:paraId="0785CBD2" w14:textId="77777777" w:rsidR="003D24CD" w:rsidRPr="00F61FA8" w:rsidRDefault="003D24CD" w:rsidP="0060183B">
            <w:r w:rsidRPr="00F61FA8">
              <w:t>Abnormal Involuntary Movement Scale</w:t>
            </w:r>
          </w:p>
        </w:tc>
      </w:tr>
      <w:tr w:rsidR="003D24CD" w:rsidRPr="00FD119B" w14:paraId="5792B7DC" w14:textId="77777777" w:rsidTr="00FD119B">
        <w:tc>
          <w:tcPr>
            <w:tcW w:w="1809" w:type="dxa"/>
          </w:tcPr>
          <w:p w14:paraId="2A35ED63" w14:textId="77777777" w:rsidR="003D24CD" w:rsidRPr="00F61FA8" w:rsidRDefault="003D24CD" w:rsidP="0060183B">
            <w:r w:rsidRPr="00F61FA8">
              <w:t>AUC</w:t>
            </w:r>
          </w:p>
        </w:tc>
        <w:tc>
          <w:tcPr>
            <w:tcW w:w="6911" w:type="dxa"/>
          </w:tcPr>
          <w:p w14:paraId="71E0C92D" w14:textId="77777777" w:rsidR="003D24CD" w:rsidRPr="00F61FA8" w:rsidRDefault="003D24CD" w:rsidP="0060183B">
            <w:r w:rsidRPr="00F61FA8">
              <w:t>area under the curve</w:t>
            </w:r>
          </w:p>
        </w:tc>
      </w:tr>
      <w:tr w:rsidR="0054619C" w:rsidRPr="00FD119B" w14:paraId="69CDBF9C" w14:textId="77777777" w:rsidTr="00FD119B">
        <w:tc>
          <w:tcPr>
            <w:tcW w:w="1809" w:type="dxa"/>
          </w:tcPr>
          <w:p w14:paraId="32A45E25" w14:textId="77777777" w:rsidR="0054619C" w:rsidRPr="00F61FA8" w:rsidRDefault="0054619C" w:rsidP="0060183B">
            <w:r>
              <w:t>AUC</w:t>
            </w:r>
            <w:r>
              <w:rPr>
                <w:vertAlign w:val="subscript"/>
              </w:rPr>
              <w:t>0-∞</w:t>
            </w:r>
          </w:p>
        </w:tc>
        <w:tc>
          <w:tcPr>
            <w:tcW w:w="6911" w:type="dxa"/>
          </w:tcPr>
          <w:p w14:paraId="66BC8882" w14:textId="77777777" w:rsidR="0054619C" w:rsidRPr="00F61FA8" w:rsidRDefault="0054619C" w:rsidP="0060183B">
            <w:r>
              <w:t>area under the curve from time zero to infinity</w:t>
            </w:r>
          </w:p>
        </w:tc>
      </w:tr>
      <w:tr w:rsidR="003D24CD" w:rsidRPr="00FD119B" w14:paraId="340CDBD4" w14:textId="77777777" w:rsidTr="00FD119B">
        <w:tc>
          <w:tcPr>
            <w:tcW w:w="1809" w:type="dxa"/>
          </w:tcPr>
          <w:p w14:paraId="153CC274" w14:textId="77777777" w:rsidR="003D24CD" w:rsidRPr="00F61FA8" w:rsidRDefault="003D24CD" w:rsidP="0060183B">
            <w:r w:rsidRPr="00F61FA8">
              <w:t>BMI</w:t>
            </w:r>
          </w:p>
        </w:tc>
        <w:tc>
          <w:tcPr>
            <w:tcW w:w="6911" w:type="dxa"/>
          </w:tcPr>
          <w:p w14:paraId="56FC9C81" w14:textId="77777777" w:rsidR="003D24CD" w:rsidRPr="00F61FA8" w:rsidRDefault="0060183B" w:rsidP="0060183B">
            <w:r>
              <w:t>B</w:t>
            </w:r>
            <w:r w:rsidR="003D24CD" w:rsidRPr="00F61FA8">
              <w:t xml:space="preserve">ody </w:t>
            </w:r>
            <w:r>
              <w:t>M</w:t>
            </w:r>
            <w:r w:rsidR="003D24CD" w:rsidRPr="00F61FA8">
              <w:t xml:space="preserve">ass </w:t>
            </w:r>
            <w:r>
              <w:t>I</w:t>
            </w:r>
            <w:r w:rsidR="003D24CD" w:rsidRPr="00F61FA8">
              <w:t>ndex</w:t>
            </w:r>
          </w:p>
        </w:tc>
      </w:tr>
      <w:tr w:rsidR="003D24CD" w:rsidRPr="00FD119B" w14:paraId="491ED428" w14:textId="77777777" w:rsidTr="00FD119B">
        <w:tc>
          <w:tcPr>
            <w:tcW w:w="1809" w:type="dxa"/>
          </w:tcPr>
          <w:p w14:paraId="6C5A1B1F" w14:textId="77777777" w:rsidR="003D24CD" w:rsidRPr="00F61FA8" w:rsidRDefault="008D4FE3" w:rsidP="0060183B">
            <w:proofErr w:type="spellStart"/>
            <w:r w:rsidRPr="00D71C16">
              <w:t>C</w:t>
            </w:r>
            <w:r w:rsidRPr="008D4FE3">
              <w:rPr>
                <w:vertAlign w:val="subscript"/>
              </w:rPr>
              <w:t>max</w:t>
            </w:r>
            <w:proofErr w:type="spellEnd"/>
          </w:p>
        </w:tc>
        <w:tc>
          <w:tcPr>
            <w:tcW w:w="6911" w:type="dxa"/>
          </w:tcPr>
          <w:p w14:paraId="57CF5C90" w14:textId="77777777" w:rsidR="003D24CD" w:rsidRPr="00F61FA8" w:rsidRDefault="003D24CD" w:rsidP="0060183B">
            <w:r w:rsidRPr="00F61FA8">
              <w:t>Maximum plasma concentration</w:t>
            </w:r>
          </w:p>
        </w:tc>
      </w:tr>
      <w:tr w:rsidR="003D24CD" w:rsidRPr="00FD119B" w14:paraId="7881E623" w14:textId="77777777" w:rsidTr="00FD119B">
        <w:tc>
          <w:tcPr>
            <w:tcW w:w="1809" w:type="dxa"/>
          </w:tcPr>
          <w:p w14:paraId="3EBDE630" w14:textId="77777777" w:rsidR="003D24CD" w:rsidRPr="00F61FA8" w:rsidRDefault="003D24CD" w:rsidP="0060183B">
            <w:r w:rsidRPr="00F61FA8">
              <w:t>CGI-S</w:t>
            </w:r>
          </w:p>
        </w:tc>
        <w:tc>
          <w:tcPr>
            <w:tcW w:w="6911" w:type="dxa"/>
          </w:tcPr>
          <w:p w14:paraId="1634893F" w14:textId="77777777" w:rsidR="003D24CD" w:rsidRPr="00F61FA8" w:rsidRDefault="003D24CD" w:rsidP="0060183B">
            <w:r w:rsidRPr="00F61FA8">
              <w:t xml:space="preserve">clinical global impression </w:t>
            </w:r>
            <w:r w:rsidRPr="00F61FA8">
              <w:rPr>
                <w:rFonts w:hint="eastAsia"/>
              </w:rPr>
              <w:t>–</w:t>
            </w:r>
            <w:r w:rsidRPr="00F61FA8">
              <w:t>severity</w:t>
            </w:r>
          </w:p>
        </w:tc>
      </w:tr>
      <w:tr w:rsidR="003D24CD" w:rsidRPr="00FD119B" w14:paraId="54DFD991" w14:textId="77777777" w:rsidTr="00FD119B">
        <w:tc>
          <w:tcPr>
            <w:tcW w:w="1809" w:type="dxa"/>
          </w:tcPr>
          <w:p w14:paraId="2A66CC05" w14:textId="77777777" w:rsidR="003D24CD" w:rsidRPr="00F61FA8" w:rsidRDefault="003D24CD" w:rsidP="0060183B">
            <w:r w:rsidRPr="00F61FA8">
              <w:t>CSR</w:t>
            </w:r>
          </w:p>
        </w:tc>
        <w:tc>
          <w:tcPr>
            <w:tcW w:w="6911" w:type="dxa"/>
          </w:tcPr>
          <w:p w14:paraId="44ADA6AB" w14:textId="77777777" w:rsidR="003D24CD" w:rsidRPr="00F61FA8" w:rsidRDefault="003D24CD" w:rsidP="0060183B">
            <w:r w:rsidRPr="00F61FA8">
              <w:t>clinical study report</w:t>
            </w:r>
          </w:p>
        </w:tc>
      </w:tr>
      <w:tr w:rsidR="00ED67BE" w:rsidRPr="00FD119B" w14:paraId="3193F30E" w14:textId="77777777" w:rsidTr="00FD119B">
        <w:tc>
          <w:tcPr>
            <w:tcW w:w="1809" w:type="dxa"/>
          </w:tcPr>
          <w:p w14:paraId="2AAA7BA6" w14:textId="77777777" w:rsidR="00ED67BE" w:rsidRPr="00F61FA8" w:rsidRDefault="00ED67BE" w:rsidP="0060183B">
            <w:r>
              <w:t>CV</w:t>
            </w:r>
          </w:p>
        </w:tc>
        <w:tc>
          <w:tcPr>
            <w:tcW w:w="6911" w:type="dxa"/>
          </w:tcPr>
          <w:p w14:paraId="69565F53" w14:textId="77777777" w:rsidR="00ED67BE" w:rsidRPr="00F61FA8" w:rsidRDefault="00ED67BE" w:rsidP="0060183B">
            <w:r w:rsidRPr="00ED67BE">
              <w:t>c</w:t>
            </w:r>
            <w:r>
              <w:t>ovariance</w:t>
            </w:r>
          </w:p>
        </w:tc>
      </w:tr>
      <w:tr w:rsidR="003D24CD" w:rsidRPr="00FD119B" w14:paraId="2EFFD391" w14:textId="77777777" w:rsidTr="00FD119B">
        <w:tc>
          <w:tcPr>
            <w:tcW w:w="1809" w:type="dxa"/>
          </w:tcPr>
          <w:p w14:paraId="13E03C40" w14:textId="77777777" w:rsidR="003D24CD" w:rsidRPr="00F61FA8" w:rsidRDefault="003D24CD" w:rsidP="0060183B">
            <w:r w:rsidRPr="00F61FA8">
              <w:t>EPS</w:t>
            </w:r>
          </w:p>
        </w:tc>
        <w:tc>
          <w:tcPr>
            <w:tcW w:w="6911" w:type="dxa"/>
          </w:tcPr>
          <w:p w14:paraId="1C7426C3" w14:textId="77777777" w:rsidR="003D24CD" w:rsidRPr="00F61FA8" w:rsidRDefault="003D24CD" w:rsidP="0060183B">
            <w:r w:rsidRPr="00F61FA8">
              <w:t>extrapyramidal symptom(s)</w:t>
            </w:r>
          </w:p>
        </w:tc>
      </w:tr>
      <w:tr w:rsidR="003D24CD" w:rsidRPr="00FD119B" w14:paraId="3EF3BB84" w14:textId="77777777" w:rsidTr="00FD119B">
        <w:tc>
          <w:tcPr>
            <w:tcW w:w="1809" w:type="dxa"/>
          </w:tcPr>
          <w:p w14:paraId="27643B84" w14:textId="77777777" w:rsidR="003D24CD" w:rsidRPr="00F61FA8" w:rsidRDefault="003D24CD" w:rsidP="0060183B">
            <w:r w:rsidRPr="00F61FA8">
              <w:t>ER</w:t>
            </w:r>
          </w:p>
        </w:tc>
        <w:tc>
          <w:tcPr>
            <w:tcW w:w="6911" w:type="dxa"/>
          </w:tcPr>
          <w:p w14:paraId="4B4C08A0" w14:textId="77777777" w:rsidR="003D24CD" w:rsidRPr="00F61FA8" w:rsidRDefault="0054619C" w:rsidP="0060183B">
            <w:r>
              <w:t xml:space="preserve">Extended </w:t>
            </w:r>
            <w:r w:rsidR="003D24CD" w:rsidRPr="00F61FA8">
              <w:t>release</w:t>
            </w:r>
          </w:p>
        </w:tc>
      </w:tr>
      <w:tr w:rsidR="003D24CD" w:rsidRPr="00FD119B" w14:paraId="6893FE35" w14:textId="77777777" w:rsidTr="00FD119B">
        <w:tc>
          <w:tcPr>
            <w:tcW w:w="1809" w:type="dxa"/>
          </w:tcPr>
          <w:p w14:paraId="276D852E" w14:textId="77777777" w:rsidR="003D24CD" w:rsidRPr="00F61FA8" w:rsidRDefault="003D24CD" w:rsidP="0060183B">
            <w:r w:rsidRPr="00F61FA8">
              <w:t>EU</w:t>
            </w:r>
          </w:p>
        </w:tc>
        <w:tc>
          <w:tcPr>
            <w:tcW w:w="6911" w:type="dxa"/>
          </w:tcPr>
          <w:p w14:paraId="2F9B0177" w14:textId="77777777" w:rsidR="003D24CD" w:rsidRPr="00F61FA8" w:rsidRDefault="003D24CD" w:rsidP="0060183B">
            <w:r w:rsidRPr="00F61FA8">
              <w:t>European Union</w:t>
            </w:r>
          </w:p>
        </w:tc>
      </w:tr>
      <w:tr w:rsidR="003D24CD" w:rsidRPr="00FD119B" w14:paraId="732F9270" w14:textId="77777777" w:rsidTr="00FD119B">
        <w:tc>
          <w:tcPr>
            <w:tcW w:w="1809" w:type="dxa"/>
          </w:tcPr>
          <w:p w14:paraId="108C1824" w14:textId="77777777" w:rsidR="003D24CD" w:rsidRPr="00F61FA8" w:rsidRDefault="003D24CD" w:rsidP="0060183B">
            <w:r w:rsidRPr="00F61FA8">
              <w:t>IDMC</w:t>
            </w:r>
          </w:p>
        </w:tc>
        <w:tc>
          <w:tcPr>
            <w:tcW w:w="6911" w:type="dxa"/>
          </w:tcPr>
          <w:p w14:paraId="6986CB3B" w14:textId="77777777" w:rsidR="003D24CD" w:rsidRPr="00F61FA8" w:rsidRDefault="003D24CD" w:rsidP="0060183B">
            <w:r w:rsidRPr="00F61FA8">
              <w:t>Independent Data Monitoring Committee</w:t>
            </w:r>
          </w:p>
        </w:tc>
      </w:tr>
      <w:tr w:rsidR="003D24CD" w:rsidRPr="00FD119B" w14:paraId="5777B92C" w14:textId="77777777" w:rsidTr="00FD119B">
        <w:tc>
          <w:tcPr>
            <w:tcW w:w="1809" w:type="dxa"/>
          </w:tcPr>
          <w:p w14:paraId="0311C422" w14:textId="77777777" w:rsidR="003D24CD" w:rsidRPr="00F61FA8" w:rsidRDefault="003D24CD" w:rsidP="0060183B">
            <w:r w:rsidRPr="00F61FA8">
              <w:t>ITT</w:t>
            </w:r>
          </w:p>
        </w:tc>
        <w:tc>
          <w:tcPr>
            <w:tcW w:w="6911" w:type="dxa"/>
          </w:tcPr>
          <w:p w14:paraId="5B9E0020" w14:textId="77777777" w:rsidR="003D24CD" w:rsidRPr="00F61FA8" w:rsidRDefault="003D24CD" w:rsidP="0060183B">
            <w:r w:rsidRPr="00F61FA8">
              <w:t>intent-to-treat</w:t>
            </w:r>
          </w:p>
        </w:tc>
      </w:tr>
      <w:tr w:rsidR="003D24CD" w:rsidRPr="00FD119B" w14:paraId="1BB4D0B0" w14:textId="77777777" w:rsidTr="00FD119B">
        <w:tc>
          <w:tcPr>
            <w:tcW w:w="1809" w:type="dxa"/>
          </w:tcPr>
          <w:p w14:paraId="2707ACE5" w14:textId="77777777" w:rsidR="003D24CD" w:rsidRPr="00F61FA8" w:rsidRDefault="003D24CD" w:rsidP="0060183B">
            <w:r w:rsidRPr="00F61FA8">
              <w:t>LAI</w:t>
            </w:r>
          </w:p>
        </w:tc>
        <w:tc>
          <w:tcPr>
            <w:tcW w:w="6911" w:type="dxa"/>
          </w:tcPr>
          <w:p w14:paraId="6C8093D9" w14:textId="77777777" w:rsidR="003D24CD" w:rsidRPr="00F61FA8" w:rsidRDefault="003D24CD" w:rsidP="0060183B">
            <w:r w:rsidRPr="00F61FA8">
              <w:t>long-acting injectable</w:t>
            </w:r>
          </w:p>
        </w:tc>
      </w:tr>
      <w:tr w:rsidR="003D24CD" w:rsidRPr="00FD119B" w14:paraId="5946598C" w14:textId="77777777" w:rsidTr="00FD119B">
        <w:tc>
          <w:tcPr>
            <w:tcW w:w="1809" w:type="dxa"/>
          </w:tcPr>
          <w:p w14:paraId="02B6B64D" w14:textId="77777777" w:rsidR="003D24CD" w:rsidRPr="00F61FA8" w:rsidRDefault="003D24CD" w:rsidP="0060183B">
            <w:proofErr w:type="spellStart"/>
            <w:r>
              <w:t>MedDRA</w:t>
            </w:r>
            <w:proofErr w:type="spellEnd"/>
          </w:p>
        </w:tc>
        <w:tc>
          <w:tcPr>
            <w:tcW w:w="6911" w:type="dxa"/>
          </w:tcPr>
          <w:p w14:paraId="367C4A97" w14:textId="77777777" w:rsidR="003D24CD" w:rsidRPr="00F61FA8" w:rsidRDefault="003D24CD" w:rsidP="0060183B">
            <w:r w:rsidRPr="00F61FA8">
              <w:t>Medical Dictionary for Regulatory Activities</w:t>
            </w:r>
          </w:p>
        </w:tc>
      </w:tr>
      <w:tr w:rsidR="003D24CD" w:rsidRPr="00FD119B" w14:paraId="7F99EF24" w14:textId="77777777" w:rsidTr="00FD119B">
        <w:tc>
          <w:tcPr>
            <w:tcW w:w="1809" w:type="dxa"/>
          </w:tcPr>
          <w:p w14:paraId="7AE646C4" w14:textId="77777777" w:rsidR="003D24CD" w:rsidRPr="00F61FA8" w:rsidRDefault="003D24CD" w:rsidP="0060183B">
            <w:r w:rsidRPr="00F61FA8">
              <w:t>mg eq.</w:t>
            </w:r>
          </w:p>
        </w:tc>
        <w:tc>
          <w:tcPr>
            <w:tcW w:w="6911" w:type="dxa"/>
          </w:tcPr>
          <w:p w14:paraId="6F35D785" w14:textId="77777777" w:rsidR="003D24CD" w:rsidRPr="00F61FA8" w:rsidRDefault="003D24CD" w:rsidP="0060183B">
            <w:r w:rsidRPr="00F61FA8">
              <w:t>milligram equivalents</w:t>
            </w:r>
          </w:p>
        </w:tc>
      </w:tr>
      <w:tr w:rsidR="008D4FE3" w:rsidRPr="00FD119B" w14:paraId="25995596" w14:textId="77777777" w:rsidTr="00FD119B">
        <w:tc>
          <w:tcPr>
            <w:tcW w:w="1809" w:type="dxa"/>
          </w:tcPr>
          <w:p w14:paraId="4F783296" w14:textId="77777777" w:rsidR="008D4FE3" w:rsidRPr="00F61FA8" w:rsidRDefault="008D4FE3" w:rsidP="0060183B">
            <w:r w:rsidRPr="00C248B7">
              <w:t>MRHD</w:t>
            </w:r>
          </w:p>
        </w:tc>
        <w:tc>
          <w:tcPr>
            <w:tcW w:w="6911" w:type="dxa"/>
          </w:tcPr>
          <w:p w14:paraId="51397DBB" w14:textId="77777777" w:rsidR="008D4FE3" w:rsidRPr="00F61FA8" w:rsidRDefault="008D4FE3" w:rsidP="0060183B">
            <w:r>
              <w:t>Maximum recommended human dose</w:t>
            </w:r>
          </w:p>
        </w:tc>
      </w:tr>
      <w:tr w:rsidR="003D24CD" w:rsidRPr="00FD119B" w14:paraId="4A31EA24" w14:textId="77777777" w:rsidTr="00FD119B">
        <w:tc>
          <w:tcPr>
            <w:tcW w:w="1809" w:type="dxa"/>
          </w:tcPr>
          <w:p w14:paraId="06752F7E" w14:textId="77777777" w:rsidR="003D24CD" w:rsidRPr="00F61FA8" w:rsidRDefault="003D24CD" w:rsidP="0060183B">
            <w:r w:rsidRPr="00F61FA8">
              <w:t>NMS</w:t>
            </w:r>
          </w:p>
        </w:tc>
        <w:tc>
          <w:tcPr>
            <w:tcW w:w="6911" w:type="dxa"/>
          </w:tcPr>
          <w:p w14:paraId="58AB99A3" w14:textId="77777777" w:rsidR="003D24CD" w:rsidRPr="00F61FA8" w:rsidRDefault="003D24CD" w:rsidP="0060183B">
            <w:r w:rsidRPr="00F61FA8">
              <w:t>neuroleptic malignant syndrome</w:t>
            </w:r>
          </w:p>
        </w:tc>
      </w:tr>
      <w:tr w:rsidR="003D24CD" w:rsidRPr="00FD119B" w14:paraId="30A65E12" w14:textId="77777777" w:rsidTr="00FD119B">
        <w:tc>
          <w:tcPr>
            <w:tcW w:w="1809" w:type="dxa"/>
          </w:tcPr>
          <w:p w14:paraId="77F03E71" w14:textId="77777777" w:rsidR="003D24CD" w:rsidRPr="00F61FA8" w:rsidRDefault="003D24CD" w:rsidP="0060183B">
            <w:r w:rsidRPr="00F61FA8">
              <w:t>PANSS</w:t>
            </w:r>
          </w:p>
        </w:tc>
        <w:tc>
          <w:tcPr>
            <w:tcW w:w="6911" w:type="dxa"/>
          </w:tcPr>
          <w:p w14:paraId="56986D4F" w14:textId="77777777" w:rsidR="003D24CD" w:rsidRPr="00F61FA8" w:rsidRDefault="003D24CD" w:rsidP="0060183B">
            <w:r w:rsidRPr="00F61FA8">
              <w:t>positive and negative syndrome scale</w:t>
            </w:r>
          </w:p>
        </w:tc>
      </w:tr>
      <w:tr w:rsidR="003D24CD" w:rsidRPr="00FD119B" w14:paraId="4F4C52EE" w14:textId="77777777" w:rsidTr="00FD119B">
        <w:tc>
          <w:tcPr>
            <w:tcW w:w="1809" w:type="dxa"/>
          </w:tcPr>
          <w:p w14:paraId="7973A15E" w14:textId="77777777" w:rsidR="003D24CD" w:rsidRPr="00F61FA8" w:rsidRDefault="003D24CD" w:rsidP="0060183B">
            <w:r w:rsidRPr="00F61FA8">
              <w:t>PK</w:t>
            </w:r>
          </w:p>
        </w:tc>
        <w:tc>
          <w:tcPr>
            <w:tcW w:w="6911" w:type="dxa"/>
          </w:tcPr>
          <w:p w14:paraId="64028244" w14:textId="77777777" w:rsidR="003D24CD" w:rsidRPr="00F61FA8" w:rsidRDefault="003D24CD" w:rsidP="0060183B">
            <w:r w:rsidRPr="00F61FA8">
              <w:t>pharmacokinetic(s)</w:t>
            </w:r>
          </w:p>
        </w:tc>
      </w:tr>
      <w:tr w:rsidR="003D24CD" w:rsidRPr="00FD119B" w14:paraId="7404513E" w14:textId="77777777" w:rsidTr="00FD119B">
        <w:tc>
          <w:tcPr>
            <w:tcW w:w="1809" w:type="dxa"/>
          </w:tcPr>
          <w:p w14:paraId="3E164156" w14:textId="77777777" w:rsidR="003D24CD" w:rsidRPr="00F61FA8" w:rsidRDefault="003D24CD" w:rsidP="0060183B">
            <w:r w:rsidRPr="00F61FA8">
              <w:t>PP1M</w:t>
            </w:r>
          </w:p>
        </w:tc>
        <w:tc>
          <w:tcPr>
            <w:tcW w:w="6911" w:type="dxa"/>
          </w:tcPr>
          <w:p w14:paraId="76D56804" w14:textId="77777777" w:rsidR="003D24CD" w:rsidRPr="00F61FA8" w:rsidRDefault="003D24CD" w:rsidP="0060183B">
            <w:proofErr w:type="spellStart"/>
            <w:r w:rsidRPr="00F61FA8">
              <w:t>paliperidone</w:t>
            </w:r>
            <w:proofErr w:type="spellEnd"/>
            <w:r w:rsidRPr="00F61FA8">
              <w:t xml:space="preserve"> palmitate </w:t>
            </w:r>
            <w:r w:rsidR="008D4FE3">
              <w:t>1 month</w:t>
            </w:r>
            <w:r w:rsidRPr="00F61FA8">
              <w:t xml:space="preserve"> formulation</w:t>
            </w:r>
            <w:r w:rsidR="00FF0518">
              <w:t xml:space="preserve"> (tradename </w:t>
            </w:r>
            <w:proofErr w:type="spellStart"/>
            <w:r w:rsidR="00FF0518">
              <w:t>Invega</w:t>
            </w:r>
            <w:proofErr w:type="spellEnd"/>
            <w:r w:rsidR="00FF0518">
              <w:t xml:space="preserve"> </w:t>
            </w:r>
            <w:proofErr w:type="spellStart"/>
            <w:r w:rsidR="00FF0518" w:rsidRPr="00A04896">
              <w:t>Sustenna</w:t>
            </w:r>
            <w:proofErr w:type="spellEnd"/>
            <w:r w:rsidR="00FF0518">
              <w:t>)</w:t>
            </w:r>
          </w:p>
        </w:tc>
      </w:tr>
      <w:tr w:rsidR="003D24CD" w:rsidRPr="00FD119B" w14:paraId="11C0A759" w14:textId="77777777" w:rsidTr="00FD119B">
        <w:tc>
          <w:tcPr>
            <w:tcW w:w="1809" w:type="dxa"/>
          </w:tcPr>
          <w:p w14:paraId="64ADB806" w14:textId="77777777" w:rsidR="003D24CD" w:rsidRPr="00F61FA8" w:rsidRDefault="003D24CD" w:rsidP="0060183B">
            <w:r w:rsidRPr="00F61FA8">
              <w:lastRenderedPageBreak/>
              <w:t>PP3M</w:t>
            </w:r>
          </w:p>
        </w:tc>
        <w:tc>
          <w:tcPr>
            <w:tcW w:w="6911" w:type="dxa"/>
          </w:tcPr>
          <w:p w14:paraId="7779ABCC" w14:textId="77777777" w:rsidR="003D24CD" w:rsidRPr="00F61FA8" w:rsidRDefault="003D24CD" w:rsidP="0060183B">
            <w:proofErr w:type="spellStart"/>
            <w:r w:rsidRPr="00F61FA8">
              <w:t>paliperidone</w:t>
            </w:r>
            <w:proofErr w:type="spellEnd"/>
            <w:r w:rsidRPr="00F61FA8">
              <w:t xml:space="preserve"> palmitate </w:t>
            </w:r>
            <w:r w:rsidR="008D4FE3">
              <w:t xml:space="preserve">3 month </w:t>
            </w:r>
            <w:r w:rsidRPr="00F61FA8">
              <w:t>formulation</w:t>
            </w:r>
            <w:r w:rsidR="00FF0518">
              <w:t xml:space="preserve"> (tradename </w:t>
            </w:r>
            <w:proofErr w:type="spellStart"/>
            <w:r w:rsidR="00FF0518">
              <w:t>Invega</w:t>
            </w:r>
            <w:proofErr w:type="spellEnd"/>
            <w:r w:rsidR="00FF0518">
              <w:t xml:space="preserve"> </w:t>
            </w:r>
            <w:proofErr w:type="spellStart"/>
            <w:r w:rsidR="00FF0518">
              <w:t>Trinza</w:t>
            </w:r>
            <w:proofErr w:type="spellEnd"/>
            <w:r w:rsidR="00FF0518">
              <w:t xml:space="preserve"> or </w:t>
            </w:r>
            <w:proofErr w:type="spellStart"/>
            <w:r w:rsidR="00FF0518">
              <w:t>Trevicta</w:t>
            </w:r>
            <w:proofErr w:type="spellEnd"/>
            <w:r w:rsidR="00FF0518">
              <w:t>)</w:t>
            </w:r>
          </w:p>
        </w:tc>
      </w:tr>
      <w:tr w:rsidR="00186E45" w:rsidRPr="00FD119B" w14:paraId="444E5AFA" w14:textId="77777777" w:rsidTr="00FD119B">
        <w:tc>
          <w:tcPr>
            <w:tcW w:w="1809" w:type="dxa"/>
          </w:tcPr>
          <w:p w14:paraId="26E0CD16" w14:textId="77777777" w:rsidR="00186E45" w:rsidRPr="00F61FA8" w:rsidRDefault="00186E45" w:rsidP="0060183B">
            <w:r w:rsidRPr="00A04896">
              <w:t>PQC</w:t>
            </w:r>
          </w:p>
        </w:tc>
        <w:tc>
          <w:tcPr>
            <w:tcW w:w="6911" w:type="dxa"/>
          </w:tcPr>
          <w:p w14:paraId="192890F9" w14:textId="77777777" w:rsidR="00186E45" w:rsidRPr="00F61FA8" w:rsidRDefault="00186E45" w:rsidP="00186E45">
            <w:r>
              <w:t>product quality complaint</w:t>
            </w:r>
          </w:p>
        </w:tc>
      </w:tr>
      <w:tr w:rsidR="003D24CD" w:rsidRPr="00FD119B" w14:paraId="754A0A53" w14:textId="77777777" w:rsidTr="00FD119B">
        <w:tc>
          <w:tcPr>
            <w:tcW w:w="1809" w:type="dxa"/>
          </w:tcPr>
          <w:p w14:paraId="0D04FD58" w14:textId="77777777" w:rsidR="003D24CD" w:rsidRPr="00F61FA8" w:rsidRDefault="003D24CD" w:rsidP="0060183B">
            <w:r w:rsidRPr="00F61FA8">
              <w:t>SD</w:t>
            </w:r>
          </w:p>
        </w:tc>
        <w:tc>
          <w:tcPr>
            <w:tcW w:w="6911" w:type="dxa"/>
          </w:tcPr>
          <w:p w14:paraId="1377C840" w14:textId="77777777" w:rsidR="003D24CD" w:rsidRPr="00F61FA8" w:rsidRDefault="003D24CD" w:rsidP="0060183B">
            <w:r w:rsidRPr="00F61FA8">
              <w:t>standard deviation</w:t>
            </w:r>
          </w:p>
        </w:tc>
      </w:tr>
      <w:tr w:rsidR="003D24CD" w:rsidRPr="00FD119B" w14:paraId="3C77D8FA" w14:textId="77777777" w:rsidTr="00FD119B">
        <w:tc>
          <w:tcPr>
            <w:tcW w:w="1809" w:type="dxa"/>
          </w:tcPr>
          <w:p w14:paraId="347B1281" w14:textId="77777777" w:rsidR="003D24CD" w:rsidRPr="00F61FA8" w:rsidRDefault="003D24CD" w:rsidP="0060183B">
            <w:r w:rsidRPr="00F61FA8">
              <w:t>TEAE</w:t>
            </w:r>
          </w:p>
        </w:tc>
        <w:tc>
          <w:tcPr>
            <w:tcW w:w="6911" w:type="dxa"/>
          </w:tcPr>
          <w:p w14:paraId="7081BE8B" w14:textId="77777777" w:rsidR="003D24CD" w:rsidRPr="00F61FA8" w:rsidRDefault="003D24CD" w:rsidP="0060183B">
            <w:r w:rsidRPr="00F61FA8">
              <w:t>treatment-emergent adverse event</w:t>
            </w:r>
          </w:p>
        </w:tc>
      </w:tr>
      <w:tr w:rsidR="003D24CD" w:rsidRPr="00FD119B" w14:paraId="010E2470" w14:textId="77777777" w:rsidTr="00FD119B">
        <w:tc>
          <w:tcPr>
            <w:tcW w:w="1809" w:type="dxa"/>
          </w:tcPr>
          <w:p w14:paraId="5CCBB9AC" w14:textId="77777777" w:rsidR="003D24CD" w:rsidRPr="00F61FA8" w:rsidRDefault="003D24CD" w:rsidP="0060183B">
            <w:r w:rsidRPr="00F61FA8">
              <w:t>US</w:t>
            </w:r>
          </w:p>
        </w:tc>
        <w:tc>
          <w:tcPr>
            <w:tcW w:w="6911" w:type="dxa"/>
          </w:tcPr>
          <w:p w14:paraId="0E9EE6EF" w14:textId="77777777" w:rsidR="003D24CD" w:rsidRPr="00F61FA8" w:rsidRDefault="003D24CD" w:rsidP="0060183B">
            <w:r w:rsidRPr="00F61FA8">
              <w:t>United States</w:t>
            </w:r>
          </w:p>
        </w:tc>
      </w:tr>
    </w:tbl>
    <w:p w14:paraId="1698865A" w14:textId="77777777" w:rsidR="00FD119B" w:rsidRDefault="00FD119B" w:rsidP="00FD119B"/>
    <w:p w14:paraId="7466DDDF" w14:textId="77777777" w:rsidR="00FD119B" w:rsidRPr="00FD119B" w:rsidRDefault="00FD119B" w:rsidP="00FD119B">
      <w:pPr>
        <w:spacing w:before="0" w:after="200" w:line="0" w:lineRule="auto"/>
        <w:rPr>
          <w:b/>
          <w:i/>
          <w:sz w:val="24"/>
          <w:szCs w:val="24"/>
        </w:rPr>
      </w:pPr>
      <w:r w:rsidRPr="00FD119B">
        <w:rPr>
          <w:b/>
          <w:i/>
          <w:sz w:val="24"/>
          <w:szCs w:val="24"/>
        </w:rPr>
        <w:br w:type="page"/>
      </w:r>
    </w:p>
    <w:p w14:paraId="295A9BAD" w14:textId="77777777" w:rsidR="008E7846" w:rsidRDefault="00F53C07" w:rsidP="008E7846">
      <w:pPr>
        <w:pStyle w:val="Heading2"/>
      </w:pPr>
      <w:bookmarkStart w:id="9" w:name="_Toc497913767"/>
      <w:r>
        <w:lastRenderedPageBreak/>
        <w:t>I.</w:t>
      </w:r>
      <w:r w:rsidR="008E7846">
        <w:t xml:space="preserve"> Introduction to product submission</w:t>
      </w:r>
      <w:bookmarkEnd w:id="0"/>
      <w:bookmarkEnd w:id="3"/>
      <w:bookmarkEnd w:id="9"/>
    </w:p>
    <w:p w14:paraId="14130E0C" w14:textId="77777777" w:rsidR="008E7846" w:rsidRDefault="008E7846" w:rsidP="008E7846">
      <w:pPr>
        <w:pStyle w:val="Heading3"/>
        <w:rPr>
          <w:lang w:eastAsia="en-AU"/>
        </w:rPr>
      </w:pPr>
      <w:bookmarkStart w:id="10" w:name="_Toc247691502"/>
      <w:bookmarkStart w:id="11" w:name="_Toc314842483"/>
      <w:bookmarkStart w:id="12" w:name="_Toc497913768"/>
      <w:r>
        <w:rPr>
          <w:lang w:eastAsia="en-AU"/>
        </w:rPr>
        <w:t>Submission details</w:t>
      </w:r>
      <w:bookmarkEnd w:id="10"/>
      <w:bookmarkEnd w:id="11"/>
      <w:bookmarkEnd w:id="12"/>
    </w:p>
    <w:tbl>
      <w:tblPr>
        <w:tblW w:w="9497" w:type="dxa"/>
        <w:tblInd w:w="108" w:type="dxa"/>
        <w:tblLook w:val="01E0" w:firstRow="1" w:lastRow="1" w:firstColumn="1" w:lastColumn="1" w:noHBand="0" w:noVBand="0"/>
      </w:tblPr>
      <w:tblGrid>
        <w:gridCol w:w="2907"/>
        <w:gridCol w:w="6307"/>
        <w:gridCol w:w="283"/>
      </w:tblGrid>
      <w:tr w:rsidR="008E7846" w:rsidRPr="003D1E62" w14:paraId="7326335A" w14:textId="77777777" w:rsidTr="00853CB9">
        <w:trPr>
          <w:trHeight w:hRule="exact" w:val="697"/>
        </w:trPr>
        <w:tc>
          <w:tcPr>
            <w:tcW w:w="2907" w:type="dxa"/>
          </w:tcPr>
          <w:p w14:paraId="3A0E9FCD" w14:textId="77777777" w:rsidR="008E7846" w:rsidRPr="003D1E62" w:rsidRDefault="001B5C90" w:rsidP="001B5C90">
            <w:pPr>
              <w:rPr>
                <w:i/>
              </w:rPr>
            </w:pPr>
            <w:r>
              <w:rPr>
                <w:i/>
              </w:rPr>
              <w:t>Type of s</w:t>
            </w:r>
            <w:r w:rsidR="008E7846" w:rsidRPr="003D1E62">
              <w:rPr>
                <w:i/>
              </w:rPr>
              <w:t>ubmission</w:t>
            </w:r>
            <w:r>
              <w:rPr>
                <w:i/>
              </w:rPr>
              <w:t>:</w:t>
            </w:r>
          </w:p>
        </w:tc>
        <w:tc>
          <w:tcPr>
            <w:tcW w:w="6590" w:type="dxa"/>
            <w:gridSpan w:val="2"/>
          </w:tcPr>
          <w:p w14:paraId="5E155336" w14:textId="13D15E0E" w:rsidR="008E7846" w:rsidRPr="003D1E62" w:rsidRDefault="0017075E" w:rsidP="001B5C90">
            <w:r>
              <w:t>M</w:t>
            </w:r>
            <w:r w:rsidR="008E7846" w:rsidRPr="003D1E62">
              <w:t xml:space="preserve">ajor </w:t>
            </w:r>
            <w:r w:rsidR="001B5C90">
              <w:t>v</w:t>
            </w:r>
            <w:r w:rsidR="008E7846" w:rsidRPr="003D1E62">
              <w:t>ariation (</w:t>
            </w:r>
            <w:r>
              <w:t>extensio</w:t>
            </w:r>
            <w:r w:rsidR="00BD01F9">
              <w:t>n of indications, new dose form</w:t>
            </w:r>
            <w:r>
              <w:t xml:space="preserve"> and </w:t>
            </w:r>
            <w:r w:rsidR="001B5C90">
              <w:t>s</w:t>
            </w:r>
            <w:r w:rsidR="008E7846" w:rsidRPr="003D1E62">
              <w:t>trength)</w:t>
            </w:r>
          </w:p>
        </w:tc>
      </w:tr>
      <w:tr w:rsidR="008E7846" w:rsidRPr="003D1E62" w14:paraId="1D7D768D" w14:textId="77777777" w:rsidTr="00853CB9">
        <w:trPr>
          <w:trHeight w:hRule="exact" w:val="454"/>
        </w:trPr>
        <w:tc>
          <w:tcPr>
            <w:tcW w:w="2907" w:type="dxa"/>
          </w:tcPr>
          <w:p w14:paraId="1B8D03C0" w14:textId="77777777" w:rsidR="008E7846" w:rsidRPr="003D1E62" w:rsidRDefault="008E7846" w:rsidP="003D1E62">
            <w:r w:rsidRPr="003D1E62">
              <w:rPr>
                <w:i/>
              </w:rPr>
              <w:t>Decision</w:t>
            </w:r>
            <w:r w:rsidRPr="003D1E62">
              <w:t>:</w:t>
            </w:r>
          </w:p>
        </w:tc>
        <w:tc>
          <w:tcPr>
            <w:tcW w:w="6590" w:type="dxa"/>
            <w:gridSpan w:val="2"/>
          </w:tcPr>
          <w:p w14:paraId="0BD5A090" w14:textId="69AC80C7" w:rsidR="008E7846" w:rsidRPr="003D1E62" w:rsidRDefault="00BD01F9" w:rsidP="00162070">
            <w:r>
              <w:t>Approved</w:t>
            </w:r>
          </w:p>
        </w:tc>
      </w:tr>
      <w:tr w:rsidR="008E7846" w:rsidRPr="003D1E62" w14:paraId="6FEDCAA3" w14:textId="77777777" w:rsidTr="00853CB9">
        <w:trPr>
          <w:trHeight w:hRule="exact" w:val="454"/>
        </w:trPr>
        <w:tc>
          <w:tcPr>
            <w:tcW w:w="2907" w:type="dxa"/>
          </w:tcPr>
          <w:p w14:paraId="7139C893"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14:paraId="50D0A8EF" w14:textId="77777777" w:rsidR="008E7846" w:rsidRPr="003D1E62" w:rsidRDefault="00162070" w:rsidP="001B5C90">
            <w:r>
              <w:t>20 September 2017</w:t>
            </w:r>
          </w:p>
        </w:tc>
      </w:tr>
      <w:tr w:rsidR="00ED2922" w:rsidRPr="003D1E62" w14:paraId="12EE898D" w14:textId="77777777" w:rsidTr="00853CB9">
        <w:trPr>
          <w:trHeight w:hRule="exact" w:val="454"/>
        </w:trPr>
        <w:tc>
          <w:tcPr>
            <w:tcW w:w="2907" w:type="dxa"/>
          </w:tcPr>
          <w:p w14:paraId="1083CC0C" w14:textId="77777777" w:rsidR="00ED2922" w:rsidRPr="00441C3F" w:rsidRDefault="00ED2922" w:rsidP="001B5C90">
            <w:pPr>
              <w:rPr>
                <w:i/>
              </w:rPr>
            </w:pPr>
            <w:r w:rsidRPr="00441C3F">
              <w:rPr>
                <w:i/>
              </w:rPr>
              <w:t>Date of entry onto ARTG</w:t>
            </w:r>
          </w:p>
        </w:tc>
        <w:tc>
          <w:tcPr>
            <w:tcW w:w="6590" w:type="dxa"/>
            <w:gridSpan w:val="2"/>
          </w:tcPr>
          <w:p w14:paraId="2B37B384" w14:textId="4C68349E" w:rsidR="00ED2922" w:rsidRPr="00441C3F" w:rsidRDefault="00B35FB9" w:rsidP="00EC463D">
            <w:pPr>
              <w:rPr>
                <w:i/>
              </w:rPr>
            </w:pPr>
            <w:r>
              <w:t>23 September 2017</w:t>
            </w:r>
          </w:p>
        </w:tc>
      </w:tr>
      <w:tr w:rsidR="008E7846" w:rsidRPr="00487162" w14:paraId="55F6F88E" w14:textId="77777777" w:rsidTr="00853CB9">
        <w:trPr>
          <w:gridAfter w:val="1"/>
          <w:wAfter w:w="283" w:type="dxa"/>
        </w:trPr>
        <w:tc>
          <w:tcPr>
            <w:tcW w:w="2907" w:type="dxa"/>
          </w:tcPr>
          <w:p w14:paraId="2B9776DB" w14:textId="77777777" w:rsidR="008E7846" w:rsidRPr="00487162" w:rsidRDefault="00162070" w:rsidP="00E45619">
            <w:pPr>
              <w:rPr>
                <w:i/>
              </w:rPr>
            </w:pPr>
            <w:r>
              <w:rPr>
                <w:i/>
              </w:rPr>
              <w:t>Active ingredient</w:t>
            </w:r>
            <w:r w:rsidR="001B5C90">
              <w:rPr>
                <w:i/>
              </w:rPr>
              <w:t>:</w:t>
            </w:r>
          </w:p>
        </w:tc>
        <w:tc>
          <w:tcPr>
            <w:tcW w:w="6307" w:type="dxa"/>
          </w:tcPr>
          <w:p w14:paraId="6CB77B02" w14:textId="77777777" w:rsidR="008E7846" w:rsidRPr="00487162" w:rsidRDefault="00162070" w:rsidP="00E45619">
            <w:proofErr w:type="spellStart"/>
            <w:r>
              <w:t>Paliperidone</w:t>
            </w:r>
            <w:proofErr w:type="spellEnd"/>
            <w:r>
              <w:t xml:space="preserve"> palmitate</w:t>
            </w:r>
          </w:p>
        </w:tc>
      </w:tr>
      <w:tr w:rsidR="008E7846" w:rsidRPr="00487162" w14:paraId="0E1ED20F" w14:textId="77777777" w:rsidTr="00853CB9">
        <w:trPr>
          <w:gridAfter w:val="1"/>
          <w:wAfter w:w="283" w:type="dxa"/>
        </w:trPr>
        <w:tc>
          <w:tcPr>
            <w:tcW w:w="2907" w:type="dxa"/>
          </w:tcPr>
          <w:p w14:paraId="7EAA5119" w14:textId="77777777" w:rsidR="008E7846" w:rsidRPr="00487162" w:rsidRDefault="008E7846" w:rsidP="001B5C90">
            <w:pPr>
              <w:rPr>
                <w:i/>
              </w:rPr>
            </w:pPr>
            <w:r w:rsidRPr="00487162">
              <w:rPr>
                <w:i/>
              </w:rPr>
              <w:t>Product</w:t>
            </w:r>
            <w:r w:rsidR="00162070">
              <w:rPr>
                <w:i/>
              </w:rPr>
              <w:t xml:space="preserve"> names</w:t>
            </w:r>
            <w:r w:rsidR="001B5C90">
              <w:rPr>
                <w:i/>
              </w:rPr>
              <w:t>:</w:t>
            </w:r>
          </w:p>
        </w:tc>
        <w:tc>
          <w:tcPr>
            <w:tcW w:w="6307" w:type="dxa"/>
          </w:tcPr>
          <w:p w14:paraId="66F63367" w14:textId="77777777" w:rsidR="008E7846" w:rsidRPr="00487162" w:rsidRDefault="005968B3" w:rsidP="00162070">
            <w:proofErr w:type="spellStart"/>
            <w:r w:rsidRPr="00A04896">
              <w:t>Invega</w:t>
            </w:r>
            <w:proofErr w:type="spellEnd"/>
            <w:r w:rsidRPr="00A04896">
              <w:t xml:space="preserve"> </w:t>
            </w:r>
            <w:proofErr w:type="spellStart"/>
            <w:r w:rsidRPr="00A04896">
              <w:t>Trinza</w:t>
            </w:r>
            <w:proofErr w:type="spellEnd"/>
            <w:r w:rsidR="00162070">
              <w:t xml:space="preserve"> and </w:t>
            </w:r>
            <w:proofErr w:type="spellStart"/>
            <w:r w:rsidR="00162070">
              <w:t>Trevicta</w:t>
            </w:r>
            <w:proofErr w:type="spellEnd"/>
          </w:p>
        </w:tc>
      </w:tr>
      <w:tr w:rsidR="008E7846" w:rsidRPr="00487162" w14:paraId="29457FDD" w14:textId="77777777" w:rsidTr="00853CB9">
        <w:trPr>
          <w:gridAfter w:val="1"/>
          <w:wAfter w:w="283" w:type="dxa"/>
        </w:trPr>
        <w:tc>
          <w:tcPr>
            <w:tcW w:w="2907" w:type="dxa"/>
          </w:tcPr>
          <w:p w14:paraId="4F6D428B"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2D9EB812" w14:textId="77777777" w:rsidR="008E7846" w:rsidRDefault="00162070" w:rsidP="00E45619">
            <w:r>
              <w:t>Janssen-</w:t>
            </w:r>
            <w:proofErr w:type="spellStart"/>
            <w:r>
              <w:t>Cilag</w:t>
            </w:r>
            <w:proofErr w:type="spellEnd"/>
            <w:r>
              <w:t xml:space="preserve"> Pty Ltd</w:t>
            </w:r>
          </w:p>
          <w:p w14:paraId="3D0861C2" w14:textId="77777777" w:rsidR="00162070" w:rsidRDefault="00162070" w:rsidP="00E45619">
            <w:r>
              <w:t>Locked bag 2070</w:t>
            </w:r>
          </w:p>
          <w:p w14:paraId="059B1371" w14:textId="77777777" w:rsidR="00162070" w:rsidRPr="00487162" w:rsidRDefault="00162070" w:rsidP="00E45619">
            <w:r>
              <w:t>North Ryde NSW 1670</w:t>
            </w:r>
          </w:p>
        </w:tc>
      </w:tr>
      <w:tr w:rsidR="008E7846" w:rsidRPr="00487162" w14:paraId="7CCAF914" w14:textId="77777777" w:rsidTr="00853CB9">
        <w:trPr>
          <w:gridAfter w:val="1"/>
          <w:wAfter w:w="283" w:type="dxa"/>
        </w:trPr>
        <w:tc>
          <w:tcPr>
            <w:tcW w:w="2907" w:type="dxa"/>
          </w:tcPr>
          <w:p w14:paraId="6A470265" w14:textId="77777777" w:rsidR="008E7846" w:rsidRPr="00487162" w:rsidRDefault="00162070" w:rsidP="00E45619">
            <w:pPr>
              <w:rPr>
                <w:i/>
              </w:rPr>
            </w:pPr>
            <w:r>
              <w:rPr>
                <w:i/>
              </w:rPr>
              <w:t>Dose form</w:t>
            </w:r>
            <w:r w:rsidR="001B5C90">
              <w:rPr>
                <w:i/>
              </w:rPr>
              <w:t>:</w:t>
            </w:r>
          </w:p>
        </w:tc>
        <w:tc>
          <w:tcPr>
            <w:tcW w:w="6307" w:type="dxa"/>
          </w:tcPr>
          <w:p w14:paraId="4133D6FA" w14:textId="77777777" w:rsidR="008E7846" w:rsidRPr="00487162" w:rsidRDefault="00162070" w:rsidP="00E45619">
            <w:r>
              <w:t>Suspension for injection</w:t>
            </w:r>
          </w:p>
        </w:tc>
      </w:tr>
      <w:tr w:rsidR="008E7846" w:rsidRPr="00487162" w14:paraId="350F123F" w14:textId="77777777" w:rsidTr="00853CB9">
        <w:trPr>
          <w:gridAfter w:val="1"/>
          <w:wAfter w:w="283" w:type="dxa"/>
        </w:trPr>
        <w:tc>
          <w:tcPr>
            <w:tcW w:w="2907" w:type="dxa"/>
          </w:tcPr>
          <w:p w14:paraId="11C26051" w14:textId="77777777" w:rsidR="008E7846" w:rsidRPr="00487162" w:rsidRDefault="00883924" w:rsidP="00E45619">
            <w:pPr>
              <w:rPr>
                <w:i/>
              </w:rPr>
            </w:pPr>
            <w:r>
              <w:rPr>
                <w:i/>
              </w:rPr>
              <w:t>Strengths</w:t>
            </w:r>
            <w:r w:rsidR="0060183B">
              <w:rPr>
                <w:i/>
              </w:rPr>
              <w:t>:</w:t>
            </w:r>
          </w:p>
        </w:tc>
        <w:tc>
          <w:tcPr>
            <w:tcW w:w="6307" w:type="dxa"/>
          </w:tcPr>
          <w:p w14:paraId="68F5B434" w14:textId="77777777" w:rsidR="008E7846" w:rsidRPr="00487162" w:rsidRDefault="00883924" w:rsidP="00E45619">
            <w:r>
              <w:t>175 mg, 263 mg, 350 mg and 525 mg</w:t>
            </w:r>
          </w:p>
        </w:tc>
      </w:tr>
      <w:tr w:rsidR="008E7846" w:rsidRPr="00487162" w14:paraId="37474901" w14:textId="77777777" w:rsidTr="00853CB9">
        <w:trPr>
          <w:gridAfter w:val="1"/>
          <w:wAfter w:w="283" w:type="dxa"/>
        </w:trPr>
        <w:tc>
          <w:tcPr>
            <w:tcW w:w="2907" w:type="dxa"/>
          </w:tcPr>
          <w:p w14:paraId="1E3BCF2F" w14:textId="77777777" w:rsidR="008E7846" w:rsidRPr="00487162" w:rsidRDefault="00162070" w:rsidP="00E45619">
            <w:pPr>
              <w:rPr>
                <w:i/>
              </w:rPr>
            </w:pPr>
            <w:r>
              <w:rPr>
                <w:i/>
              </w:rPr>
              <w:t>Container</w:t>
            </w:r>
            <w:r w:rsidR="008E7846" w:rsidRPr="00487162">
              <w:rPr>
                <w:i/>
              </w:rPr>
              <w:t>:</w:t>
            </w:r>
          </w:p>
        </w:tc>
        <w:tc>
          <w:tcPr>
            <w:tcW w:w="6307" w:type="dxa"/>
          </w:tcPr>
          <w:p w14:paraId="7787FECF" w14:textId="77777777" w:rsidR="008E7846" w:rsidRPr="00487162" w:rsidRDefault="00162070" w:rsidP="00E45619">
            <w:r>
              <w:t>Prefilled syringe</w:t>
            </w:r>
          </w:p>
        </w:tc>
      </w:tr>
      <w:tr w:rsidR="008E7846" w:rsidRPr="00487162" w14:paraId="1C1B9004" w14:textId="77777777" w:rsidTr="00853CB9">
        <w:trPr>
          <w:gridAfter w:val="1"/>
          <w:wAfter w:w="283" w:type="dxa"/>
        </w:trPr>
        <w:tc>
          <w:tcPr>
            <w:tcW w:w="2907" w:type="dxa"/>
          </w:tcPr>
          <w:p w14:paraId="44C8844E" w14:textId="77777777" w:rsidR="008E7846" w:rsidRPr="00487162" w:rsidRDefault="00162070" w:rsidP="00E45619">
            <w:pPr>
              <w:rPr>
                <w:i/>
              </w:rPr>
            </w:pPr>
            <w:r>
              <w:rPr>
                <w:i/>
              </w:rPr>
              <w:t>Pack size</w:t>
            </w:r>
            <w:r w:rsidR="008E7846" w:rsidRPr="00487162">
              <w:rPr>
                <w:i/>
              </w:rPr>
              <w:t>:</w:t>
            </w:r>
          </w:p>
        </w:tc>
        <w:tc>
          <w:tcPr>
            <w:tcW w:w="6307" w:type="dxa"/>
          </w:tcPr>
          <w:p w14:paraId="5B886F1D" w14:textId="77777777" w:rsidR="008E7846" w:rsidRPr="00487162" w:rsidRDefault="00162070" w:rsidP="00E45619">
            <w:r>
              <w:t>1</w:t>
            </w:r>
          </w:p>
        </w:tc>
      </w:tr>
      <w:tr w:rsidR="008E7846" w:rsidRPr="00487162" w14:paraId="255E5345" w14:textId="77777777" w:rsidTr="00853CB9">
        <w:trPr>
          <w:gridAfter w:val="1"/>
          <w:wAfter w:w="283" w:type="dxa"/>
        </w:trPr>
        <w:tc>
          <w:tcPr>
            <w:tcW w:w="2907" w:type="dxa"/>
          </w:tcPr>
          <w:p w14:paraId="6870B32E"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4696E1B9" w14:textId="77777777" w:rsidR="008E7846" w:rsidRPr="00883924" w:rsidRDefault="00883924" w:rsidP="00E45619">
            <w:pPr>
              <w:rPr>
                <w:rFonts w:eastAsia="MS Mincho"/>
                <w:i/>
                <w:lang w:eastAsia="ja-JP"/>
              </w:rPr>
            </w:pPr>
            <w:r w:rsidRPr="00883924">
              <w:rPr>
                <w:i/>
              </w:rPr>
              <w:t xml:space="preserve">Indicated for the maintenance treatment of schizophrenia in adult patients who have been adequately treated with the </w:t>
            </w:r>
            <w:r w:rsidR="008D4FE3">
              <w:rPr>
                <w:i/>
              </w:rPr>
              <w:t>1 month</w:t>
            </w:r>
            <w:r w:rsidRPr="00883924">
              <w:rPr>
                <w:i/>
              </w:rPr>
              <w:t xml:space="preserve"> </w:t>
            </w:r>
            <w:proofErr w:type="spellStart"/>
            <w:r>
              <w:rPr>
                <w:i/>
              </w:rPr>
              <w:t>p</w:t>
            </w:r>
            <w:r w:rsidRPr="00883924">
              <w:rPr>
                <w:i/>
              </w:rPr>
              <w:t>aliperidone</w:t>
            </w:r>
            <w:proofErr w:type="spellEnd"/>
            <w:r w:rsidRPr="00883924">
              <w:rPr>
                <w:i/>
              </w:rPr>
              <w:t xml:space="preserve"> palmitate injectable product for at least four months</w:t>
            </w:r>
          </w:p>
        </w:tc>
      </w:tr>
      <w:tr w:rsidR="008E7846" w:rsidRPr="00487162" w14:paraId="5743A48D" w14:textId="77777777" w:rsidTr="00853CB9">
        <w:trPr>
          <w:gridAfter w:val="1"/>
          <w:wAfter w:w="283" w:type="dxa"/>
        </w:trPr>
        <w:tc>
          <w:tcPr>
            <w:tcW w:w="2907" w:type="dxa"/>
          </w:tcPr>
          <w:p w14:paraId="2EAD4879" w14:textId="77777777" w:rsidR="008E7846" w:rsidRPr="00487162" w:rsidRDefault="00162070" w:rsidP="00E45619">
            <w:pPr>
              <w:rPr>
                <w:i/>
              </w:rPr>
            </w:pPr>
            <w:r>
              <w:rPr>
                <w:i/>
              </w:rPr>
              <w:t>Route</w:t>
            </w:r>
            <w:r w:rsidR="008E7846" w:rsidRPr="00487162">
              <w:rPr>
                <w:i/>
              </w:rPr>
              <w:t xml:space="preserve"> of administration:</w:t>
            </w:r>
          </w:p>
        </w:tc>
        <w:tc>
          <w:tcPr>
            <w:tcW w:w="6307" w:type="dxa"/>
          </w:tcPr>
          <w:p w14:paraId="48C20B98" w14:textId="2BD310A4" w:rsidR="008E7846" w:rsidRPr="00487162" w:rsidRDefault="009C0987" w:rsidP="00E45619">
            <w:r>
              <w:t>I</w:t>
            </w:r>
            <w:r w:rsidR="00162070">
              <w:t>ntramuscular</w:t>
            </w:r>
          </w:p>
        </w:tc>
      </w:tr>
      <w:tr w:rsidR="008E7846" w:rsidRPr="00487162" w14:paraId="45CAE00F" w14:textId="77777777" w:rsidTr="00853CB9">
        <w:trPr>
          <w:gridAfter w:val="1"/>
          <w:wAfter w:w="283" w:type="dxa"/>
        </w:trPr>
        <w:tc>
          <w:tcPr>
            <w:tcW w:w="2907" w:type="dxa"/>
          </w:tcPr>
          <w:p w14:paraId="590CA95C" w14:textId="77777777" w:rsidR="008E7846" w:rsidRPr="00487162" w:rsidRDefault="008E7846" w:rsidP="00E45619">
            <w:pPr>
              <w:rPr>
                <w:i/>
              </w:rPr>
            </w:pPr>
            <w:r w:rsidRPr="00487162">
              <w:rPr>
                <w:i/>
              </w:rPr>
              <w:t>Dosage:</w:t>
            </w:r>
          </w:p>
        </w:tc>
        <w:tc>
          <w:tcPr>
            <w:tcW w:w="6307" w:type="dxa"/>
          </w:tcPr>
          <w:p w14:paraId="55CA1D17" w14:textId="77777777" w:rsidR="008E7846" w:rsidRPr="00487162" w:rsidRDefault="0060183B" w:rsidP="0060183B">
            <w:r>
              <w:t xml:space="preserve">Following the initial dose, </w:t>
            </w:r>
            <w:proofErr w:type="spellStart"/>
            <w:r w:rsidR="005968B3" w:rsidRPr="00A04896">
              <w:t>Invega</w:t>
            </w:r>
            <w:proofErr w:type="spellEnd"/>
            <w:r w:rsidR="005968B3" w:rsidRPr="00A04896">
              <w:t xml:space="preserve"> </w:t>
            </w:r>
            <w:proofErr w:type="spellStart"/>
            <w:r w:rsidR="005968B3" w:rsidRPr="00A04896">
              <w:t>Trinza</w:t>
            </w:r>
            <w:proofErr w:type="spellEnd"/>
            <w:r>
              <w:t xml:space="preserve"> / </w:t>
            </w:r>
            <w:proofErr w:type="spellStart"/>
            <w:r w:rsidRPr="0060183B">
              <w:t>Trevicta</w:t>
            </w:r>
            <w:proofErr w:type="spellEnd"/>
            <w:r w:rsidRPr="0060183B">
              <w:t xml:space="preserve"> </w:t>
            </w:r>
            <w:r>
              <w:t>should be administered every three months. For the full details regarding dosage and administration please see the Product Information.</w:t>
            </w:r>
          </w:p>
        </w:tc>
      </w:tr>
      <w:tr w:rsidR="008E7846" w:rsidRPr="00487162" w14:paraId="1821E2FB" w14:textId="77777777" w:rsidTr="00853CB9">
        <w:trPr>
          <w:gridAfter w:val="1"/>
          <w:wAfter w:w="283" w:type="dxa"/>
        </w:trPr>
        <w:tc>
          <w:tcPr>
            <w:tcW w:w="2907" w:type="dxa"/>
          </w:tcPr>
          <w:p w14:paraId="13027E16" w14:textId="77777777" w:rsidR="008E7846" w:rsidRPr="00487162" w:rsidRDefault="008E7846" w:rsidP="001B5C90">
            <w:pPr>
              <w:rPr>
                <w:i/>
              </w:rPr>
            </w:pPr>
            <w:r w:rsidRPr="00487162">
              <w:rPr>
                <w:i/>
              </w:rPr>
              <w:t xml:space="preserve">ARTG </w:t>
            </w:r>
            <w:r w:rsidR="001B5C90">
              <w:rPr>
                <w:i/>
              </w:rPr>
              <w:t>n</w:t>
            </w:r>
            <w:r w:rsidR="00883924">
              <w:rPr>
                <w:i/>
              </w:rPr>
              <w:t>umbers</w:t>
            </w:r>
            <w:r w:rsidR="001B5C90">
              <w:rPr>
                <w:i/>
              </w:rPr>
              <w:t>:</w:t>
            </w:r>
          </w:p>
        </w:tc>
        <w:tc>
          <w:tcPr>
            <w:tcW w:w="6307" w:type="dxa"/>
          </w:tcPr>
          <w:p w14:paraId="61ABD547" w14:textId="77777777" w:rsidR="008E7846" w:rsidRPr="00487162" w:rsidRDefault="00FA79CC" w:rsidP="00E45619">
            <w:r>
              <w:rPr>
                <w:rFonts w:cs="Arial"/>
              </w:rPr>
              <w:t>261</w:t>
            </w:r>
            <w:r w:rsidR="00162070">
              <w:rPr>
                <w:rFonts w:cs="Arial"/>
              </w:rPr>
              <w:t>33</w:t>
            </w:r>
            <w:r>
              <w:rPr>
                <w:rFonts w:cs="Arial"/>
              </w:rPr>
              <w:t>2, 261406, 261407, 261408, 261409, 261410, 261411, 261412</w:t>
            </w:r>
          </w:p>
        </w:tc>
      </w:tr>
    </w:tbl>
    <w:p w14:paraId="670D7705" w14:textId="77777777" w:rsidR="008E7846" w:rsidRDefault="008E7846" w:rsidP="008E7846">
      <w:pPr>
        <w:pStyle w:val="Heading3"/>
      </w:pPr>
      <w:bookmarkStart w:id="13" w:name="_Toc247691503"/>
      <w:bookmarkStart w:id="14" w:name="_Toc314842484"/>
      <w:bookmarkStart w:id="15" w:name="_Toc497913769"/>
      <w:r>
        <w:t>Product background</w:t>
      </w:r>
      <w:bookmarkEnd w:id="13"/>
      <w:bookmarkEnd w:id="14"/>
      <w:bookmarkEnd w:id="15"/>
    </w:p>
    <w:p w14:paraId="0A9BF1BB" w14:textId="77777777" w:rsidR="008E7846" w:rsidRDefault="00940A89" w:rsidP="00940A89">
      <w:r w:rsidRPr="00940A89">
        <w:t xml:space="preserve">This </w:t>
      </w:r>
      <w:proofErr w:type="spellStart"/>
      <w:r w:rsidRPr="00940A89">
        <w:t>AusPAR</w:t>
      </w:r>
      <w:proofErr w:type="spellEnd"/>
      <w:r w:rsidRPr="00940A89">
        <w:t xml:space="preserve"> describes the application by </w:t>
      </w:r>
      <w:r w:rsidR="005C5945">
        <w:t>Janssen-</w:t>
      </w:r>
      <w:proofErr w:type="spellStart"/>
      <w:r w:rsidR="005C5945">
        <w:t>Cilag</w:t>
      </w:r>
      <w:proofErr w:type="spellEnd"/>
      <w:r w:rsidR="005C5945">
        <w:t xml:space="preserve"> Pty Ltd</w:t>
      </w:r>
      <w:r w:rsidR="005C5945" w:rsidRPr="00940A89">
        <w:t xml:space="preserve"> </w:t>
      </w:r>
      <w:r w:rsidR="005C5945">
        <w:t>(</w:t>
      </w:r>
      <w:r w:rsidRPr="00940A89">
        <w:t>the sponsor</w:t>
      </w:r>
      <w:r w:rsidR="005C5945">
        <w:t>)</w:t>
      </w:r>
      <w:r w:rsidRPr="00940A89">
        <w:t xml:space="preserve"> to register </w:t>
      </w:r>
      <w:proofErr w:type="spellStart"/>
      <w:r w:rsidR="005968B3" w:rsidRPr="00A04896">
        <w:t>Invega</w:t>
      </w:r>
      <w:proofErr w:type="spellEnd"/>
      <w:r w:rsidR="005968B3" w:rsidRPr="00A04896">
        <w:t xml:space="preserve"> </w:t>
      </w:r>
      <w:proofErr w:type="spellStart"/>
      <w:r w:rsidR="005968B3" w:rsidRPr="00A04896">
        <w:t>Trinza</w:t>
      </w:r>
      <w:proofErr w:type="spellEnd"/>
      <w:r w:rsidR="005C5945">
        <w:t xml:space="preserve"> </w:t>
      </w:r>
      <w:proofErr w:type="spellStart"/>
      <w:r w:rsidR="005C5945">
        <w:t>paliperidone</w:t>
      </w:r>
      <w:proofErr w:type="spellEnd"/>
      <w:r w:rsidR="005C5945">
        <w:t xml:space="preserve"> palmitate 175 mg, 263 mg, 350 mg and 525 mg suspension for injection, and the additional tradename </w:t>
      </w:r>
      <w:proofErr w:type="spellStart"/>
      <w:r w:rsidR="005C5945">
        <w:t>Trevicta</w:t>
      </w:r>
      <w:proofErr w:type="spellEnd"/>
      <w:r w:rsidR="005C5945" w:rsidRPr="00940A89">
        <w:t xml:space="preserve"> </w:t>
      </w:r>
      <w:r w:rsidRPr="00940A89">
        <w:t>f</w:t>
      </w:r>
      <w:r w:rsidR="005C5945">
        <w:t>or the following indication:</w:t>
      </w:r>
    </w:p>
    <w:p w14:paraId="1B955087" w14:textId="77777777" w:rsidR="0060183B" w:rsidRPr="005C5945" w:rsidRDefault="005C5945" w:rsidP="005C5945">
      <w:pPr>
        <w:ind w:left="720"/>
        <w:rPr>
          <w:i/>
        </w:rPr>
      </w:pPr>
      <w:bookmarkStart w:id="16" w:name="_Toc314842485"/>
      <w:bookmarkStart w:id="17" w:name="_Toc247691504"/>
      <w:proofErr w:type="gramStart"/>
      <w:r w:rsidRPr="005C5945">
        <w:rPr>
          <w:i/>
        </w:rPr>
        <w:t>for</w:t>
      </w:r>
      <w:proofErr w:type="gramEnd"/>
      <w:r w:rsidRPr="005C5945">
        <w:rPr>
          <w:i/>
        </w:rPr>
        <w:t xml:space="preserve"> the treatment of schizophrenia in adult patients who have been adequately treated with the </w:t>
      </w:r>
      <w:r w:rsidR="008D4FE3">
        <w:rPr>
          <w:i/>
        </w:rPr>
        <w:t>1 month</w:t>
      </w:r>
      <w:r w:rsidRPr="005C5945">
        <w:rPr>
          <w:i/>
        </w:rPr>
        <w:t xml:space="preserve"> </w:t>
      </w:r>
      <w:proofErr w:type="spellStart"/>
      <w:r w:rsidRPr="005C5945">
        <w:rPr>
          <w:i/>
        </w:rPr>
        <w:t>paliperidone</w:t>
      </w:r>
      <w:proofErr w:type="spellEnd"/>
      <w:r w:rsidRPr="005C5945">
        <w:rPr>
          <w:i/>
        </w:rPr>
        <w:t xml:space="preserve"> palmitate injectable product for at least four months.</w:t>
      </w:r>
    </w:p>
    <w:p w14:paraId="4A3F0A5B" w14:textId="77777777" w:rsidR="005C5945" w:rsidRPr="00A002B8" w:rsidRDefault="005C5945" w:rsidP="005C5945">
      <w:pPr>
        <w:rPr>
          <w:highlight w:val="yellow"/>
          <w:lang w:eastAsia="en-AU"/>
        </w:rPr>
      </w:pPr>
      <w:proofErr w:type="spellStart"/>
      <w:r w:rsidRPr="001547D2">
        <w:rPr>
          <w:lang w:eastAsia="en-AU"/>
        </w:rPr>
        <w:t>Paliperidone</w:t>
      </w:r>
      <w:proofErr w:type="spellEnd"/>
      <w:r w:rsidRPr="001547D2">
        <w:rPr>
          <w:lang w:eastAsia="en-AU"/>
        </w:rPr>
        <w:t xml:space="preserve"> is an atypical antipsychotic, acting as a centrally active antagonist of dopamine D</w:t>
      </w:r>
      <w:r w:rsidRPr="001547D2">
        <w:rPr>
          <w:sz w:val="14"/>
          <w:szCs w:val="14"/>
          <w:lang w:eastAsia="en-AU"/>
        </w:rPr>
        <w:t xml:space="preserve">2 </w:t>
      </w:r>
      <w:r w:rsidRPr="001547D2">
        <w:rPr>
          <w:lang w:eastAsia="en-AU"/>
        </w:rPr>
        <w:t>and serotonin 5-HT</w:t>
      </w:r>
      <w:r w:rsidRPr="001547D2">
        <w:rPr>
          <w:sz w:val="14"/>
          <w:szCs w:val="14"/>
          <w:lang w:eastAsia="en-AU"/>
        </w:rPr>
        <w:t xml:space="preserve">2A </w:t>
      </w:r>
      <w:r w:rsidRPr="001547D2">
        <w:rPr>
          <w:lang w:eastAsia="en-AU"/>
        </w:rPr>
        <w:t>receptors, as well as an antagonist of α</w:t>
      </w:r>
      <w:r w:rsidRPr="001547D2">
        <w:rPr>
          <w:sz w:val="14"/>
          <w:szCs w:val="14"/>
          <w:lang w:eastAsia="en-AU"/>
        </w:rPr>
        <w:t xml:space="preserve">1 </w:t>
      </w:r>
      <w:r w:rsidRPr="001547D2">
        <w:rPr>
          <w:lang w:eastAsia="en-AU"/>
        </w:rPr>
        <w:t>and α</w:t>
      </w:r>
      <w:r w:rsidRPr="001547D2">
        <w:rPr>
          <w:sz w:val="14"/>
          <w:szCs w:val="14"/>
          <w:lang w:eastAsia="en-AU"/>
        </w:rPr>
        <w:t xml:space="preserve">2 </w:t>
      </w:r>
      <w:r w:rsidRPr="001547D2">
        <w:rPr>
          <w:lang w:eastAsia="en-AU"/>
        </w:rPr>
        <w:lastRenderedPageBreak/>
        <w:t>adrenergic receptors and H</w:t>
      </w:r>
      <w:r w:rsidRPr="001547D2">
        <w:rPr>
          <w:sz w:val="14"/>
          <w:szCs w:val="14"/>
          <w:lang w:eastAsia="en-AU"/>
        </w:rPr>
        <w:t xml:space="preserve">1 </w:t>
      </w:r>
      <w:r w:rsidRPr="001547D2">
        <w:rPr>
          <w:lang w:eastAsia="en-AU"/>
        </w:rPr>
        <w:t>histaminergic receptors.</w:t>
      </w:r>
      <w:r w:rsidR="001547D2" w:rsidRPr="001547D2">
        <w:rPr>
          <w:lang w:eastAsia="en-AU"/>
        </w:rPr>
        <w:t xml:space="preserve"> </w:t>
      </w:r>
      <w:proofErr w:type="spellStart"/>
      <w:r w:rsidR="001547D2" w:rsidRPr="001547D2">
        <w:t>Paliperidone</w:t>
      </w:r>
      <w:proofErr w:type="spellEnd"/>
      <w:r w:rsidR="001547D2" w:rsidRPr="001547D2">
        <w:t xml:space="preserve"> is the</w:t>
      </w:r>
      <w:r w:rsidR="001547D2" w:rsidRPr="0017075E">
        <w:t xml:space="preserve"> major active metabolite of risperidone.</w:t>
      </w:r>
    </w:p>
    <w:p w14:paraId="6F7D318D" w14:textId="77777777" w:rsidR="0017075E" w:rsidRPr="0017075E" w:rsidRDefault="005C5945" w:rsidP="0017075E">
      <w:pPr>
        <w:rPr>
          <w:lang w:eastAsia="en-AU"/>
        </w:rPr>
      </w:pPr>
      <w:r w:rsidRPr="00865B69">
        <w:rPr>
          <w:lang w:eastAsia="en-AU"/>
        </w:rPr>
        <w:t xml:space="preserve">An oral formulation of </w:t>
      </w:r>
      <w:proofErr w:type="spellStart"/>
      <w:r w:rsidRPr="00865B69">
        <w:rPr>
          <w:lang w:eastAsia="en-AU"/>
        </w:rPr>
        <w:t>paliperidone</w:t>
      </w:r>
      <w:proofErr w:type="spellEnd"/>
      <w:r w:rsidRPr="00865B69">
        <w:rPr>
          <w:lang w:eastAsia="en-AU"/>
        </w:rPr>
        <w:t xml:space="preserve"> (tradename </w:t>
      </w:r>
      <w:proofErr w:type="spellStart"/>
      <w:r w:rsidRPr="00865B69">
        <w:rPr>
          <w:lang w:eastAsia="en-AU"/>
        </w:rPr>
        <w:t>Invega</w:t>
      </w:r>
      <w:proofErr w:type="spellEnd"/>
      <w:r w:rsidRPr="00865B69">
        <w:rPr>
          <w:lang w:eastAsia="en-AU"/>
        </w:rPr>
        <w:t>) was registered in Australia in 2007 for the treatment of schizophrenia and schizoaffective disorder. A once-monthly injectable formulation (</w:t>
      </w:r>
      <w:r w:rsidR="00FF0518">
        <w:rPr>
          <w:lang w:eastAsia="en-AU"/>
        </w:rPr>
        <w:t xml:space="preserve">referred to in this document as </w:t>
      </w:r>
      <w:r w:rsidR="00FF0518" w:rsidRPr="00865B69">
        <w:rPr>
          <w:lang w:eastAsia="en-AU"/>
        </w:rPr>
        <w:t xml:space="preserve">PP1M </w:t>
      </w:r>
      <w:r w:rsidR="00FF0518">
        <w:rPr>
          <w:lang w:eastAsia="en-AU"/>
        </w:rPr>
        <w:t>(</w:t>
      </w:r>
      <w:r w:rsidRPr="00865B69">
        <w:rPr>
          <w:lang w:eastAsia="en-AU"/>
        </w:rPr>
        <w:t xml:space="preserve">tradename </w:t>
      </w:r>
      <w:proofErr w:type="spellStart"/>
      <w:r w:rsidR="005968B3" w:rsidRPr="00A04896">
        <w:t>Invega</w:t>
      </w:r>
      <w:proofErr w:type="spellEnd"/>
      <w:r w:rsidR="005968B3" w:rsidRPr="00A04896">
        <w:t xml:space="preserve"> </w:t>
      </w:r>
      <w:proofErr w:type="spellStart"/>
      <w:r w:rsidR="005968B3" w:rsidRPr="00A04896">
        <w:t>Sustenna</w:t>
      </w:r>
      <w:proofErr w:type="spellEnd"/>
      <w:r w:rsidR="00FF0518">
        <w:rPr>
          <w:lang w:eastAsia="en-AU"/>
        </w:rPr>
        <w:t>)</w:t>
      </w:r>
      <w:r w:rsidRPr="00865B69">
        <w:rPr>
          <w:lang w:eastAsia="en-AU"/>
        </w:rPr>
        <w:t>) was registered in 2010 for</w:t>
      </w:r>
      <w:r w:rsidR="00865B69" w:rsidRPr="00865B69">
        <w:rPr>
          <w:lang w:eastAsia="en-AU"/>
        </w:rPr>
        <w:t xml:space="preserve"> the treatment of schizophrenia</w:t>
      </w:r>
      <w:r w:rsidRPr="00865B69">
        <w:rPr>
          <w:lang w:eastAsia="en-AU"/>
        </w:rPr>
        <w:t>. The current application is for a three-monthly injection (</w:t>
      </w:r>
      <w:r w:rsidR="00FF0518">
        <w:rPr>
          <w:lang w:eastAsia="en-AU"/>
        </w:rPr>
        <w:t xml:space="preserve">referred to in this document as </w:t>
      </w:r>
      <w:r w:rsidR="00FF0518" w:rsidRPr="00865B69">
        <w:rPr>
          <w:lang w:eastAsia="en-AU"/>
        </w:rPr>
        <w:t xml:space="preserve">PP3M </w:t>
      </w:r>
      <w:r w:rsidR="00865B69" w:rsidRPr="00865B69">
        <w:rPr>
          <w:lang w:eastAsia="en-AU"/>
        </w:rPr>
        <w:t>tradename</w:t>
      </w:r>
      <w:r w:rsidR="00865B69">
        <w:rPr>
          <w:lang w:eastAsia="en-AU"/>
        </w:rPr>
        <w:t>s</w:t>
      </w:r>
      <w:r w:rsidRPr="00865B69">
        <w:rPr>
          <w:lang w:eastAsia="en-AU"/>
        </w:rPr>
        <w:t xml:space="preserve"> </w:t>
      </w:r>
      <w:proofErr w:type="spellStart"/>
      <w:r w:rsidR="005968B3" w:rsidRPr="00A04896">
        <w:t>Invega</w:t>
      </w:r>
      <w:proofErr w:type="spellEnd"/>
      <w:r w:rsidR="005968B3" w:rsidRPr="00A04896">
        <w:t xml:space="preserve"> </w:t>
      </w:r>
      <w:proofErr w:type="spellStart"/>
      <w:r w:rsidR="005968B3" w:rsidRPr="00A04896">
        <w:t>Trinza</w:t>
      </w:r>
      <w:proofErr w:type="spellEnd"/>
      <w:r w:rsidR="00865B69" w:rsidRPr="00865B69">
        <w:rPr>
          <w:lang w:eastAsia="en-AU"/>
        </w:rPr>
        <w:t xml:space="preserve"> and </w:t>
      </w:r>
      <w:proofErr w:type="spellStart"/>
      <w:r w:rsidR="00865B69" w:rsidRPr="00865B69">
        <w:rPr>
          <w:lang w:eastAsia="en-AU"/>
        </w:rPr>
        <w:t>Trevicta</w:t>
      </w:r>
      <w:proofErr w:type="spellEnd"/>
      <w:r w:rsidR="00865B69" w:rsidRPr="00865B69">
        <w:rPr>
          <w:lang w:eastAsia="en-AU"/>
        </w:rPr>
        <w:t xml:space="preserve">). </w:t>
      </w:r>
      <w:r w:rsidR="0017075E" w:rsidRPr="00865B69">
        <w:t xml:space="preserve">This product is intended to be administered only to patients with schizophrenia who have been adequately treated with a </w:t>
      </w:r>
      <w:r w:rsidR="008D4FE3">
        <w:t>1 month</w:t>
      </w:r>
      <w:r w:rsidR="0017075E" w:rsidRPr="00865B69">
        <w:t xml:space="preserve"> </w:t>
      </w:r>
      <w:proofErr w:type="spellStart"/>
      <w:r w:rsidR="0017075E" w:rsidRPr="00865B69">
        <w:t>paliperidone</w:t>
      </w:r>
      <w:proofErr w:type="spellEnd"/>
      <w:r w:rsidR="0017075E" w:rsidRPr="00865B69">
        <w:t xml:space="preserve"> (as palmitate) injection product for at least 4 months.</w:t>
      </w:r>
    </w:p>
    <w:p w14:paraId="30E2EF07" w14:textId="77777777" w:rsidR="00A002B8" w:rsidRPr="00865B69" w:rsidRDefault="00A002B8" w:rsidP="00A002B8">
      <w:r w:rsidRPr="00865B69">
        <w:rPr>
          <w:lang w:eastAsia="en-AU"/>
        </w:rPr>
        <w:t xml:space="preserve">Non-adherence to antipsychotic medication is a major problem in treating schizophrenia, and long-acting injections are commonly used to improve adherence and clinical outcomes such as relapse and readmission. </w:t>
      </w:r>
      <w:r w:rsidR="00865B69" w:rsidRPr="00865B69">
        <w:rPr>
          <w:lang w:eastAsia="en-AU"/>
        </w:rPr>
        <w:t>At present, depot antipsychotics are typically administered on a two-weekly or four-weekly basis.</w:t>
      </w:r>
      <w:r w:rsidR="00865B69" w:rsidRPr="00865B69">
        <w:t xml:space="preserve"> No</w:t>
      </w:r>
      <w:r w:rsidR="005C5945" w:rsidRPr="00865B69">
        <w:t xml:space="preserve"> other depot antipsychotic agents</w:t>
      </w:r>
      <w:r w:rsidR="005C5945" w:rsidRPr="0017075E">
        <w:t xml:space="preserve"> </w:t>
      </w:r>
      <w:r w:rsidR="00865B69">
        <w:t>currently</w:t>
      </w:r>
      <w:r w:rsidR="005C5945" w:rsidRPr="0017075E">
        <w:t xml:space="preserve"> available in Australia provide 3 months </w:t>
      </w:r>
      <w:r w:rsidR="00865B69">
        <w:t>of treatment in each injection.</w:t>
      </w:r>
    </w:p>
    <w:p w14:paraId="0CF89C50" w14:textId="77777777" w:rsidR="008E7846" w:rsidRPr="003F31A2" w:rsidRDefault="00386150" w:rsidP="008E7846">
      <w:pPr>
        <w:pStyle w:val="Heading3"/>
      </w:pPr>
      <w:bookmarkStart w:id="18" w:name="_Toc497913770"/>
      <w:r>
        <w:t>Regulatory s</w:t>
      </w:r>
      <w:r w:rsidR="008E7846">
        <w:t>tatus</w:t>
      </w:r>
      <w:bookmarkEnd w:id="16"/>
      <w:bookmarkEnd w:id="17"/>
      <w:bookmarkEnd w:id="18"/>
    </w:p>
    <w:p w14:paraId="3D60F73E" w14:textId="0D2C43BF" w:rsidR="0017075E" w:rsidRPr="0017075E" w:rsidRDefault="00940A89" w:rsidP="0017075E">
      <w:bookmarkStart w:id="19" w:name="_Toc247691505"/>
      <w:bookmarkStart w:id="20" w:name="_Toc314842486"/>
      <w:r w:rsidRPr="00940A89">
        <w:t>The product received initial registration on the Australian Register of Therapeutic Goods (ARTG) on</w:t>
      </w:r>
      <w:r w:rsidR="00592D56">
        <w:t xml:space="preserve"> 20 September 2016</w:t>
      </w:r>
      <w:r w:rsidR="009C0987">
        <w:t>.</w:t>
      </w:r>
      <w:r w:rsidR="0017075E" w:rsidRPr="0017075E">
        <w:t xml:space="preserve">This product received marketing authorisation in the USA on 18 May 2015 and submissions for marketing authorisation have been made to regulatory authorities in the </w:t>
      </w:r>
      <w:r w:rsidR="0054619C">
        <w:t>European Union</w:t>
      </w:r>
      <w:r w:rsidR="0054619C" w:rsidRPr="0017075E">
        <w:t xml:space="preserve"> </w:t>
      </w:r>
      <w:r w:rsidR="0054619C">
        <w:t>(</w:t>
      </w:r>
      <w:r w:rsidR="0017075E" w:rsidRPr="0017075E">
        <w:t>EU</w:t>
      </w:r>
      <w:r w:rsidR="0054619C">
        <w:t>)</w:t>
      </w:r>
      <w:r w:rsidR="0017075E" w:rsidRPr="0017075E">
        <w:t>, Canada, Switzerland and New Zealand.</w:t>
      </w:r>
      <w:r w:rsidR="00A04896">
        <w:t xml:space="preserve"> </w:t>
      </w:r>
      <w:r w:rsidR="0017075E" w:rsidRPr="0017075E">
        <w:t xml:space="preserve">The approved indication in the USA is similar to that which is currently proposed for registration, the US indication omits the term </w:t>
      </w:r>
      <w:r w:rsidR="005968B3">
        <w:t>‘</w:t>
      </w:r>
      <w:r w:rsidR="0017075E" w:rsidRPr="0017075E">
        <w:t>maintenance</w:t>
      </w:r>
      <w:r w:rsidR="005968B3">
        <w:t>’</w:t>
      </w:r>
      <w:r w:rsidR="0017075E" w:rsidRPr="0017075E">
        <w:t xml:space="preserve"> and refers only to treatment of schizophrenia.</w:t>
      </w:r>
    </w:p>
    <w:p w14:paraId="4B73AA89" w14:textId="77777777" w:rsidR="008E7846" w:rsidRDefault="008E7846" w:rsidP="00940A89">
      <w:pPr>
        <w:pStyle w:val="Heading3"/>
      </w:pPr>
      <w:bookmarkStart w:id="21" w:name="_Toc497913771"/>
      <w:r>
        <w:t>Product Information</w:t>
      </w:r>
      <w:bookmarkEnd w:id="19"/>
      <w:bookmarkEnd w:id="20"/>
      <w:bookmarkEnd w:id="21"/>
    </w:p>
    <w:p w14:paraId="2F622509" w14:textId="77777777" w:rsidR="00940A89" w:rsidRDefault="006136D7" w:rsidP="00940A89">
      <w:pPr>
        <w:rPr>
          <w:b/>
          <w:bCs/>
        </w:rPr>
      </w:pPr>
      <w:bookmarkStart w:id="22" w:name="_Toc247691506"/>
      <w:bookmarkStart w:id="23" w:name="_Toc314842487"/>
      <w:r w:rsidRPr="00940A89">
        <w:t xml:space="preserve">The Product Information (PI) </w:t>
      </w:r>
      <w:r>
        <w:t xml:space="preserve">approved with the submission which is described in </w:t>
      </w:r>
      <w:r w:rsidRPr="00940A89">
        <w:t xml:space="preserve">this </w:t>
      </w:r>
      <w:proofErr w:type="spellStart"/>
      <w:r w:rsidRPr="00940A89">
        <w:t>AusPAR</w:t>
      </w:r>
      <w:proofErr w:type="spellEnd"/>
      <w:r w:rsidRPr="00940A89">
        <w:t xml:space="preserve"> can be found as Attachment 1. For the most recent </w:t>
      </w:r>
      <w:r>
        <w:t>PI,</w:t>
      </w:r>
      <w:r w:rsidRPr="00940A89">
        <w:t xml:space="preserve"> ple</w:t>
      </w:r>
      <w:r>
        <w:t>ase refer to the TGA website</w:t>
      </w:r>
      <w:r w:rsidRPr="00441C3F">
        <w:t xml:space="preserve"> at </w:t>
      </w:r>
      <w:r w:rsidR="00441C3F" w:rsidRPr="00441C3F">
        <w:t>&lt;</w:t>
      </w:r>
      <w:hyperlink r:id="rId14" w:history="1">
        <w:r w:rsidR="00441C3F" w:rsidRPr="00441C3F">
          <w:rPr>
            <w:rStyle w:val="Hyperlink"/>
          </w:rPr>
          <w:t>https://www.tga.gov.au/product-information-pi</w:t>
        </w:r>
      </w:hyperlink>
      <w:proofErr w:type="gramStart"/>
      <w:r w:rsidR="006D3626">
        <w:t xml:space="preserve">&gt; </w:t>
      </w:r>
      <w:r w:rsidR="00940A89" w:rsidRPr="00940A89">
        <w:t>.</w:t>
      </w:r>
      <w:proofErr w:type="gramEnd"/>
    </w:p>
    <w:p w14:paraId="633386E2" w14:textId="77777777" w:rsidR="008E7846" w:rsidRPr="003602A9" w:rsidRDefault="008E7846" w:rsidP="008E7846">
      <w:pPr>
        <w:pStyle w:val="Heading2"/>
        <w:ind w:left="-11"/>
      </w:pPr>
      <w:bookmarkStart w:id="24" w:name="_Toc497913772"/>
      <w:r>
        <w:t>II. Quality</w:t>
      </w:r>
      <w:bookmarkEnd w:id="1"/>
      <w:r>
        <w:t xml:space="preserve"> findings</w:t>
      </w:r>
      <w:bookmarkEnd w:id="22"/>
      <w:bookmarkEnd w:id="23"/>
      <w:bookmarkEnd w:id="24"/>
    </w:p>
    <w:p w14:paraId="4ACA8A48" w14:textId="77777777" w:rsidR="00940A89" w:rsidRDefault="00940A89" w:rsidP="00940A89">
      <w:pPr>
        <w:pStyle w:val="Heading3"/>
      </w:pPr>
      <w:bookmarkStart w:id="25" w:name="_Toc247691507"/>
      <w:bookmarkStart w:id="26" w:name="_Toc314842488"/>
      <w:bookmarkStart w:id="27" w:name="_Toc497913773"/>
      <w:r w:rsidRPr="00940A89">
        <w:t>Introduction</w:t>
      </w:r>
      <w:bookmarkEnd w:id="27"/>
    </w:p>
    <w:p w14:paraId="5727C180" w14:textId="77777777" w:rsidR="00B7081D" w:rsidRPr="00B7081D" w:rsidRDefault="00B7081D" w:rsidP="00B7081D">
      <w:r w:rsidRPr="00B7081D">
        <w:t xml:space="preserve">The application is to register new strengths of the solution for suspension for intramuscular injection containing </w:t>
      </w:r>
      <w:proofErr w:type="spellStart"/>
      <w:r w:rsidRPr="00B7081D">
        <w:t>paliperidone</w:t>
      </w:r>
      <w:proofErr w:type="spellEnd"/>
      <w:r w:rsidRPr="00B7081D">
        <w:t xml:space="preserve"> 75 mg, 263 mg, 350 mg, 525 mg as </w:t>
      </w:r>
      <w:proofErr w:type="spellStart"/>
      <w:r w:rsidRPr="00B7081D">
        <w:t>paliperidone</w:t>
      </w:r>
      <w:proofErr w:type="spellEnd"/>
      <w:r w:rsidRPr="00B7081D">
        <w:t xml:space="preserve"> palmitate 273 mg, 410 mg, 546 mg and 819 mg, respectively, to supplement the </w:t>
      </w:r>
      <w:r w:rsidR="005968B3">
        <w:t>‘</w:t>
      </w:r>
      <w:proofErr w:type="spellStart"/>
      <w:r w:rsidR="005968B3" w:rsidRPr="00A04896">
        <w:t>Invega</w:t>
      </w:r>
      <w:proofErr w:type="spellEnd"/>
      <w:r w:rsidR="005968B3" w:rsidRPr="00A04896">
        <w:t xml:space="preserve"> </w:t>
      </w:r>
      <w:proofErr w:type="spellStart"/>
      <w:r w:rsidR="005968B3" w:rsidRPr="00A04896">
        <w:t>Sustenna</w:t>
      </w:r>
      <w:proofErr w:type="spellEnd"/>
      <w:r w:rsidR="005968B3">
        <w:t>’</w:t>
      </w:r>
      <w:r w:rsidRPr="00B7081D">
        <w:t xml:space="preserve"> solution for suspension for intramuscular injection products containing </w:t>
      </w:r>
      <w:proofErr w:type="spellStart"/>
      <w:r w:rsidRPr="00B7081D">
        <w:t>paliperidone</w:t>
      </w:r>
      <w:proofErr w:type="spellEnd"/>
      <w:r w:rsidRPr="00B7081D">
        <w:t xml:space="preserve"> 25 mg, 50 mg, 75 mg, 100 mg and 150 mg (as the palmitate) currently registered in Australia by Janssen-</w:t>
      </w:r>
      <w:proofErr w:type="spellStart"/>
      <w:r w:rsidRPr="00B7081D">
        <w:t>Cilag</w:t>
      </w:r>
      <w:proofErr w:type="spellEnd"/>
      <w:r w:rsidRPr="00B7081D">
        <w:t xml:space="preserve"> Pty Ltd under the trade name </w:t>
      </w:r>
      <w:r w:rsidR="005968B3">
        <w:t>‘</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B7081D">
        <w:t xml:space="preserve"> </w:t>
      </w:r>
      <w:r w:rsidR="005968B3">
        <w:t>’</w:t>
      </w:r>
      <w:r w:rsidRPr="00B7081D">
        <w:t xml:space="preserve"> (AUST R 160858, 160856, 160859, 160860, 160857, respectively</w:t>
      </w:r>
      <w:r w:rsidR="00113AC6">
        <w:t>)</w:t>
      </w:r>
    </w:p>
    <w:p w14:paraId="2B372112" w14:textId="77777777" w:rsidR="008E7846" w:rsidRDefault="008E7846" w:rsidP="00940A89">
      <w:pPr>
        <w:pStyle w:val="Heading3"/>
      </w:pPr>
      <w:bookmarkStart w:id="28" w:name="_Toc497913774"/>
      <w:r w:rsidRPr="008751DC">
        <w:t xml:space="preserve">Drug </w:t>
      </w:r>
      <w:r>
        <w:t>s</w:t>
      </w:r>
      <w:r w:rsidRPr="008751DC">
        <w:t>ubstance</w:t>
      </w:r>
      <w:r>
        <w:t xml:space="preserve"> (active ingredient)</w:t>
      </w:r>
      <w:bookmarkEnd w:id="25"/>
      <w:bookmarkEnd w:id="26"/>
      <w:bookmarkEnd w:id="28"/>
    </w:p>
    <w:p w14:paraId="7CFC73A5" w14:textId="77777777" w:rsidR="00B7081D" w:rsidRPr="00113AC6" w:rsidRDefault="00113AC6" w:rsidP="00113AC6">
      <w:r>
        <w:t>C</w:t>
      </w:r>
      <w:r w:rsidR="00B7081D" w:rsidRPr="00113AC6">
        <w:t>urrent evidence of acceptable GMP for the sites nominated for the manufacture of the API</w:t>
      </w:r>
      <w:r>
        <w:t xml:space="preserve"> was provided to the TGA</w:t>
      </w:r>
      <w:r w:rsidR="00B7081D" w:rsidRPr="00113AC6">
        <w:t>.</w:t>
      </w:r>
    </w:p>
    <w:p w14:paraId="7BED8569" w14:textId="77777777" w:rsidR="008E7846" w:rsidRDefault="008E7846" w:rsidP="008E7846">
      <w:pPr>
        <w:pStyle w:val="Heading3"/>
      </w:pPr>
      <w:bookmarkStart w:id="29" w:name="_Toc247691508"/>
      <w:bookmarkStart w:id="30" w:name="_Toc314842490"/>
      <w:bookmarkStart w:id="31" w:name="_Toc497913775"/>
      <w:r w:rsidRPr="008751DC">
        <w:lastRenderedPageBreak/>
        <w:t xml:space="preserve">Drug </w:t>
      </w:r>
      <w:r>
        <w:t>p</w:t>
      </w:r>
      <w:r w:rsidRPr="008751DC">
        <w:t>roduct</w:t>
      </w:r>
      <w:bookmarkEnd w:id="29"/>
      <w:bookmarkEnd w:id="30"/>
      <w:bookmarkEnd w:id="31"/>
    </w:p>
    <w:p w14:paraId="622412BD" w14:textId="77777777" w:rsidR="00F61681" w:rsidRDefault="00F61681" w:rsidP="00F61681">
      <w:r w:rsidRPr="00F61681">
        <w:t>The following details relate to this submission:</w:t>
      </w:r>
    </w:p>
    <w:p w14:paraId="1CEFD7C5" w14:textId="77777777" w:rsidR="00B7081D" w:rsidRPr="00B7081D" w:rsidRDefault="008D4FE3" w:rsidP="00B7081D">
      <w:r>
        <w:t>C</w:t>
      </w:r>
      <w:r w:rsidR="00B7081D" w:rsidRPr="00B7081D">
        <w:t xml:space="preserve">urrent evidence of acceptable GMP for the sites nominated for the manufacture, quality control and packaging and labelling and release for supply of the finished products </w:t>
      </w:r>
      <w:r>
        <w:t xml:space="preserve">was </w:t>
      </w:r>
      <w:r w:rsidR="00113AC6">
        <w:t>provided to the</w:t>
      </w:r>
      <w:r>
        <w:t xml:space="preserve"> TGA</w:t>
      </w:r>
      <w:r w:rsidR="00B7081D" w:rsidRPr="00B7081D">
        <w:t>.</w:t>
      </w:r>
    </w:p>
    <w:p w14:paraId="383564C1" w14:textId="77777777" w:rsidR="00F61681" w:rsidRDefault="00F61681" w:rsidP="00B7081D">
      <w:r w:rsidRPr="00B7081D">
        <w:t>The finished products are packaged in 3 alternative sized syringes constructed from cyclic-olefin-copolymer, fitted with a plunger stopper and tip cap (</w:t>
      </w:r>
      <w:proofErr w:type="spellStart"/>
      <w:r w:rsidRPr="00B7081D">
        <w:t>bromobutyl</w:t>
      </w:r>
      <w:proofErr w:type="spellEnd"/>
      <w:r w:rsidRPr="00B7081D">
        <w:t xml:space="preserve"> rubber coated with </w:t>
      </w:r>
      <w:proofErr w:type="spellStart"/>
      <w:r w:rsidRPr="00B7081D">
        <w:t>FluroTec</w:t>
      </w:r>
      <w:proofErr w:type="spellEnd"/>
      <w:r w:rsidRPr="00B7081D">
        <w:t>), a backstop, and 2 types of commercially available needles: a thin walled 22G, 1½-inch safety needle and a thin walled 22G, 1-inch safety needle (see table below for details).</w:t>
      </w:r>
    </w:p>
    <w:p w14:paraId="7366FED3" w14:textId="77777777" w:rsidR="00B7081D" w:rsidRPr="00B7081D" w:rsidRDefault="00B7081D" w:rsidP="008D4FE3">
      <w:pPr>
        <w:pStyle w:val="TableTitle"/>
      </w:pPr>
      <w:r>
        <w:t>Table 1: Th</w:t>
      </w:r>
      <w:r w:rsidR="008D4FE3">
        <w:t>e three alternative syringe sizes</w:t>
      </w:r>
    </w:p>
    <w:p w14:paraId="514AE621" w14:textId="77777777" w:rsidR="00940A89" w:rsidRDefault="00F61681" w:rsidP="00940A89">
      <w:r>
        <w:rPr>
          <w:noProof/>
          <w:lang w:eastAsia="en-AU"/>
        </w:rPr>
        <w:drawing>
          <wp:inline distT="0" distB="0" distL="0" distR="0" wp14:anchorId="78421214" wp14:editId="19BC88F2">
            <wp:extent cx="4953000" cy="714375"/>
            <wp:effectExtent l="0" t="0" r="0" b="9525"/>
            <wp:docPr id="1" name="Picture 1" descr="Table 1: The three alternative syringe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953000" cy="714375"/>
                    </a:xfrm>
                    <a:prstGeom prst="rect">
                      <a:avLst/>
                    </a:prstGeom>
                  </pic:spPr>
                </pic:pic>
              </a:graphicData>
            </a:graphic>
          </wp:inline>
        </w:drawing>
      </w:r>
    </w:p>
    <w:p w14:paraId="416B5508" w14:textId="77777777" w:rsidR="00F61681" w:rsidRPr="00B7081D" w:rsidRDefault="00F61681" w:rsidP="00B7081D">
      <w:r w:rsidRPr="00B7081D">
        <w:t>A shelf life of 24 months when stored below 25°C has been assigned to the solution for suspension for intramuscular injection packaged in the transparent COC (Cyclic Olefin Copolymer) plastic sy</w:t>
      </w:r>
      <w:r w:rsidR="00B7081D" w:rsidRPr="00B7081D">
        <w:t>ringe described in the dossier.</w:t>
      </w:r>
      <w:r w:rsidR="008D4FE3">
        <w:t xml:space="preserve"> </w:t>
      </w:r>
      <w:r w:rsidRPr="00B7081D">
        <w:t>An acceptable (amended) composite release and expiry specification has been submi</w:t>
      </w:r>
      <w:r w:rsidR="00B7081D" w:rsidRPr="00B7081D">
        <w:t>tted for the finished products.</w:t>
      </w:r>
    </w:p>
    <w:p w14:paraId="4DA9F3F7" w14:textId="77777777" w:rsidR="00D71C16" w:rsidRPr="00D71C16" w:rsidRDefault="00D71C16" w:rsidP="00D71C16">
      <w:pPr>
        <w:pStyle w:val="Heading3"/>
      </w:pPr>
      <w:bookmarkStart w:id="32" w:name="_Toc314842491"/>
      <w:bookmarkStart w:id="33" w:name="_Toc497913776"/>
      <w:r>
        <w:t>Biopharmaceutics</w:t>
      </w:r>
      <w:bookmarkEnd w:id="32"/>
      <w:bookmarkEnd w:id="33"/>
    </w:p>
    <w:p w14:paraId="0C011F54" w14:textId="77777777" w:rsidR="008D4FE3" w:rsidRDefault="00F61681" w:rsidP="00D71C16">
      <w:r w:rsidRPr="00D71C16">
        <w:t>The submission included 3 clinical studies, of which Study PSY-1005 wa</w:t>
      </w:r>
      <w:r w:rsidR="008D4FE3">
        <w:t>s considered the pivotal study.</w:t>
      </w:r>
    </w:p>
    <w:p w14:paraId="221B8FC4" w14:textId="77777777" w:rsidR="008D4FE3" w:rsidRDefault="008D4FE3" w:rsidP="008D4FE3">
      <w:pPr>
        <w:pStyle w:val="Heading4"/>
      </w:pPr>
      <w:r w:rsidRPr="00D71C16">
        <w:t>Study PSY-1005</w:t>
      </w:r>
    </w:p>
    <w:p w14:paraId="1667192A" w14:textId="77777777" w:rsidR="008D4FE3" w:rsidRDefault="00F61681" w:rsidP="00D71C16">
      <w:r w:rsidRPr="00D71C16">
        <w:t>The primary objec</w:t>
      </w:r>
      <w:r w:rsidR="008D4FE3">
        <w:t>tives of this study were:</w:t>
      </w:r>
    </w:p>
    <w:p w14:paraId="0C3D1443" w14:textId="6E8D8569" w:rsidR="008D4FE3" w:rsidRDefault="008D4FE3" w:rsidP="008D4FE3">
      <w:pPr>
        <w:pStyle w:val="Numberbullet0"/>
        <w:numPr>
          <w:ilvl w:val="0"/>
          <w:numId w:val="18"/>
        </w:numPr>
      </w:pPr>
      <w:r>
        <w:t>T</w:t>
      </w:r>
      <w:r w:rsidR="00F61681" w:rsidRPr="00D71C16">
        <w:t xml:space="preserve">o evaluate the pharmacokinetics (PK), </w:t>
      </w:r>
      <w:r>
        <w:t xml:space="preserve">safety, and tolerability of a 3 </w:t>
      </w:r>
      <w:r w:rsidR="00F61681" w:rsidRPr="00D71C16">
        <w:t xml:space="preserve">month injection interval formulation of </w:t>
      </w:r>
      <w:proofErr w:type="spellStart"/>
      <w:r w:rsidR="00F61681" w:rsidRPr="00D71C16">
        <w:t>paliperidone</w:t>
      </w:r>
      <w:proofErr w:type="spellEnd"/>
      <w:r w:rsidR="00F61681" w:rsidRPr="00D71C16">
        <w:t xml:space="preserve"> palmitate (F015</w:t>
      </w:r>
      <w:r w:rsidR="00F61681" w:rsidRPr="009C0987">
        <w:t>)</w:t>
      </w:r>
      <w:r w:rsidR="00F61681" w:rsidRPr="00E84567">
        <w:t>,</w:t>
      </w:r>
      <w:r w:rsidR="00E85F33" w:rsidRPr="00E84567">
        <w:t>[information redacted]</w:t>
      </w:r>
      <w:r w:rsidR="00F61681" w:rsidRPr="00E84567">
        <w:t>,</w:t>
      </w:r>
      <w:r w:rsidR="00F61681" w:rsidRPr="009C0987">
        <w:t xml:space="preserve"> </w:t>
      </w:r>
      <w:r w:rsidR="00F61681" w:rsidRPr="00D71C16">
        <w:t xml:space="preserve">at a single dose of 300 </w:t>
      </w:r>
      <w:r w:rsidR="00FF0518">
        <w:t>milligram equivalents</w:t>
      </w:r>
      <w:r w:rsidR="00FF0518" w:rsidRPr="00D71C16">
        <w:t xml:space="preserve"> </w:t>
      </w:r>
      <w:r w:rsidR="00FF0518">
        <w:t>(</w:t>
      </w:r>
      <w:r w:rsidR="00F61681" w:rsidRPr="00D71C16">
        <w:t>mg eq.</w:t>
      </w:r>
      <w:r w:rsidR="00FF0518">
        <w:t>)</w:t>
      </w:r>
      <w:r w:rsidR="00F61681" w:rsidRPr="00D71C16">
        <w:t xml:space="preserve"> administered in the gluteal muscle in subjects wi</w:t>
      </w:r>
      <w:r>
        <w:t>th schizophrenia (Panel A)</w:t>
      </w:r>
    </w:p>
    <w:p w14:paraId="1E3F0411" w14:textId="77777777" w:rsidR="008D4FE3" w:rsidRDefault="008D4FE3" w:rsidP="008D4FE3">
      <w:pPr>
        <w:pStyle w:val="Numberbullet0"/>
        <w:numPr>
          <w:ilvl w:val="0"/>
          <w:numId w:val="18"/>
        </w:numPr>
      </w:pPr>
      <w:r>
        <w:t>T</w:t>
      </w:r>
      <w:r w:rsidR="00F61681" w:rsidRPr="00D71C16">
        <w:t xml:space="preserve">o evaluate the PK, safety, and tolerability of single escalating doses of the </w:t>
      </w:r>
      <w:r>
        <w:t xml:space="preserve">3 month </w:t>
      </w:r>
      <w:r w:rsidR="00F61681" w:rsidRPr="00D71C16">
        <w:t xml:space="preserve">injection interval formulation of </w:t>
      </w:r>
      <w:proofErr w:type="spellStart"/>
      <w:r w:rsidR="00F61681" w:rsidRPr="00D71C16">
        <w:t>paliperidone</w:t>
      </w:r>
      <w:proofErr w:type="spellEnd"/>
      <w:r w:rsidR="00F61681" w:rsidRPr="00D71C16">
        <w:t xml:space="preserve"> palmitate administered in the gluteal and deltoid muscle in subjects with </w:t>
      </w:r>
      <w:r>
        <w:t>schizophrenia (Panels B and D).</w:t>
      </w:r>
    </w:p>
    <w:p w14:paraId="728BBCB7" w14:textId="386B276A" w:rsidR="00F61681" w:rsidRPr="00D71C16" w:rsidRDefault="00F61681" w:rsidP="00D71C16">
      <w:r w:rsidRPr="00E84567">
        <w:t xml:space="preserve">Panel C subjects received 150 mg eq. of the </w:t>
      </w:r>
      <w:r w:rsidR="008D4FE3" w:rsidRPr="00E84567">
        <w:t xml:space="preserve">3 month </w:t>
      </w:r>
      <w:r w:rsidRPr="00E84567">
        <w:t xml:space="preserve">formulation (company code: F016) </w:t>
      </w:r>
      <w:r w:rsidR="00E85F33" w:rsidRPr="00E84567">
        <w:t>[information redacted]</w:t>
      </w:r>
      <w:r w:rsidRPr="00E84567">
        <w:t>.</w:t>
      </w:r>
    </w:p>
    <w:p w14:paraId="75D3AFB0" w14:textId="77777777" w:rsidR="00F61681" w:rsidRPr="00F61681" w:rsidRDefault="00F61681" w:rsidP="00F61681">
      <w:r w:rsidRPr="00F61681">
        <w:t>The following outcomes were obtained:</w:t>
      </w:r>
    </w:p>
    <w:p w14:paraId="5507F2D7" w14:textId="77777777" w:rsidR="00F61681" w:rsidRPr="00F61681" w:rsidRDefault="00F61681" w:rsidP="00113AC6">
      <w:pPr>
        <w:keepNext/>
      </w:pPr>
      <w:r w:rsidRPr="00F61681">
        <w:t>Panels A and C</w:t>
      </w:r>
    </w:p>
    <w:p w14:paraId="2CFBFE58" w14:textId="77777777" w:rsidR="00F61681" w:rsidRPr="00F61681" w:rsidRDefault="00F61681" w:rsidP="00F61681">
      <w:r w:rsidRPr="00F61681">
        <w:t>The results from Panels A and C were compromised due to some subjects receiving incomplete injections of the study agent as a result of inadequate shaking prior to injection. However, the investigators were able to draw the following conclusions:</w:t>
      </w:r>
    </w:p>
    <w:p w14:paraId="5A594072" w14:textId="77777777" w:rsidR="00F61681" w:rsidRPr="00F61681" w:rsidRDefault="00F61681" w:rsidP="00D71C16">
      <w:pPr>
        <w:pStyle w:val="ListBullet"/>
      </w:pPr>
      <w:r w:rsidRPr="00F61681">
        <w:t xml:space="preserve">A quantifiable </w:t>
      </w:r>
      <w:proofErr w:type="spellStart"/>
      <w:r w:rsidRPr="00F61681">
        <w:t>paliperidone</w:t>
      </w:r>
      <w:proofErr w:type="spellEnd"/>
      <w:r w:rsidRPr="00F61681">
        <w:t xml:space="preserve"> palmitate plasma concentration was obtained in only 3 samples (0.7%) confirming the consistency of the release of </w:t>
      </w:r>
      <w:proofErr w:type="spellStart"/>
      <w:r w:rsidRPr="00F61681">
        <w:t>paliperidone</w:t>
      </w:r>
      <w:proofErr w:type="spellEnd"/>
      <w:r w:rsidRPr="00F61681">
        <w:t xml:space="preserve"> palmitate from the 150 mg eq. and 350 mg eq. formulations.</w:t>
      </w:r>
    </w:p>
    <w:p w14:paraId="2D0A4462" w14:textId="77777777" w:rsidR="00F61681" w:rsidRPr="00F61681" w:rsidRDefault="00F61681" w:rsidP="00D71C16">
      <w:pPr>
        <w:pStyle w:val="ListBullet"/>
      </w:pPr>
      <w:r w:rsidRPr="00F61681">
        <w:t xml:space="preserve">In general, the data supported the administration of the F015 formulation of </w:t>
      </w:r>
      <w:proofErr w:type="spellStart"/>
      <w:r w:rsidRPr="00F61681">
        <w:t>paliperidone</w:t>
      </w:r>
      <w:proofErr w:type="spellEnd"/>
      <w:r w:rsidRPr="00F61681">
        <w:t xml:space="preserve"> palmitate in the gluteal or deltoid muscle every 3 months.</w:t>
      </w:r>
    </w:p>
    <w:p w14:paraId="7DEE3DD0" w14:textId="4950250D" w:rsidR="00F61681" w:rsidRPr="00B90A28" w:rsidRDefault="00E85F33" w:rsidP="00D71C16">
      <w:pPr>
        <w:pStyle w:val="ListBullet"/>
      </w:pPr>
      <w:r>
        <w:lastRenderedPageBreak/>
        <w:t>[information redacted]</w:t>
      </w:r>
      <w:r w:rsidR="00F61681" w:rsidRPr="00B90A28">
        <w:t>The pharmacokinetics of the F015 wet formulation is similar to the F015 dry formulation.</w:t>
      </w:r>
    </w:p>
    <w:p w14:paraId="37C64914" w14:textId="77777777" w:rsidR="00D71C16" w:rsidRPr="00D71C16" w:rsidRDefault="00D71C16" w:rsidP="00D71C16">
      <w:r w:rsidRPr="00D71C16">
        <w:t>Panels B and D</w:t>
      </w:r>
    </w:p>
    <w:p w14:paraId="4CEE4920" w14:textId="77777777" w:rsidR="00D71C16" w:rsidRPr="00D71C16" w:rsidRDefault="00D71C16" w:rsidP="00D71C16">
      <w:r w:rsidRPr="00D71C16">
        <w:t>The following conclusions were drawn from Panels B and D:</w:t>
      </w:r>
    </w:p>
    <w:p w14:paraId="6C7827B0" w14:textId="77777777" w:rsidR="00D71C16" w:rsidRPr="00D71C16" w:rsidRDefault="008D4FE3" w:rsidP="00D71C16">
      <w:pPr>
        <w:pStyle w:val="ListBullet"/>
      </w:pPr>
      <w:r>
        <w:t>After IM injection of 75 to</w:t>
      </w:r>
      <w:r w:rsidR="00D71C16" w:rsidRPr="00D71C16">
        <w:t xml:space="preserve"> 525 mg eq. in the gluteal or deltoid muscle, </w:t>
      </w:r>
      <w:proofErr w:type="spellStart"/>
      <w:r w:rsidR="00D71C16" w:rsidRPr="00D71C16">
        <w:t>paliperidone</w:t>
      </w:r>
      <w:proofErr w:type="spellEnd"/>
      <w:r w:rsidR="00D71C16" w:rsidRPr="00D71C16">
        <w:t xml:space="preserve"> palmitate is slowly absorbed, as seen by a </w:t>
      </w:r>
      <w:proofErr w:type="spellStart"/>
      <w:r w:rsidRPr="00D71C16">
        <w:t>T</w:t>
      </w:r>
      <w:r w:rsidRPr="008D4FE3">
        <w:rPr>
          <w:vertAlign w:val="subscript"/>
        </w:rPr>
        <w:t>max</w:t>
      </w:r>
      <w:proofErr w:type="spellEnd"/>
      <w:r w:rsidR="00D71C16" w:rsidRPr="00D71C16">
        <w:t xml:space="preserve"> of </w:t>
      </w:r>
      <w:r>
        <w:t>approximately equivalent</w:t>
      </w:r>
      <w:r w:rsidR="00D71C16" w:rsidRPr="00D71C16">
        <w:t xml:space="preserve"> 23 to 34 days and an apparent hal</w:t>
      </w:r>
      <w:r>
        <w:t>f-life (t</w:t>
      </w:r>
      <w:r w:rsidRPr="008D4FE3">
        <w:rPr>
          <w:vertAlign w:val="subscript"/>
        </w:rPr>
        <w:t>½</w:t>
      </w:r>
      <w:r>
        <w:t>) of approximately 2 to</w:t>
      </w:r>
      <w:r w:rsidR="00D71C16" w:rsidRPr="00D71C16">
        <w:t xml:space="preserve"> 4 months.</w:t>
      </w:r>
    </w:p>
    <w:p w14:paraId="58978DB0" w14:textId="77777777" w:rsidR="00D71C16" w:rsidRPr="00D71C16" w:rsidRDefault="00D71C16" w:rsidP="00D71C16">
      <w:pPr>
        <w:pStyle w:val="ListBullet"/>
      </w:pPr>
      <w:r w:rsidRPr="00D71C16">
        <w:t>The half-life was similar in the gluteal and deltoid dose groups, except for the</w:t>
      </w:r>
      <w:r w:rsidR="008D4FE3">
        <w:t xml:space="preserve"> 75 mg </w:t>
      </w:r>
      <w:r w:rsidRPr="00D71C16">
        <w:t xml:space="preserve">eq. gluteal dose group where </w:t>
      </w:r>
      <w:r w:rsidR="008D4FE3">
        <w:t>t</w:t>
      </w:r>
      <w:r w:rsidR="008D4FE3" w:rsidRPr="008D4FE3">
        <w:rPr>
          <w:vertAlign w:val="subscript"/>
        </w:rPr>
        <w:t>½</w:t>
      </w:r>
      <w:r w:rsidRPr="00D71C16">
        <w:t xml:space="preserve"> w</w:t>
      </w:r>
      <w:r w:rsidR="008D4FE3">
        <w:t>as relatively slightly smaller.</w:t>
      </w:r>
    </w:p>
    <w:p w14:paraId="4923716D" w14:textId="77777777" w:rsidR="00D71C16" w:rsidRPr="00D71C16" w:rsidRDefault="00D71C16" w:rsidP="00D71C16">
      <w:pPr>
        <w:pStyle w:val="ListBullet"/>
      </w:pPr>
      <w:r w:rsidRPr="00D71C16">
        <w:t xml:space="preserve">These data support the dosing of </w:t>
      </w:r>
      <w:proofErr w:type="spellStart"/>
      <w:r w:rsidRPr="00D71C16">
        <w:t>paliperidone</w:t>
      </w:r>
      <w:proofErr w:type="spellEnd"/>
      <w:r w:rsidRPr="00D71C16">
        <w:t xml:space="preserve"> palmitate every 3 months.</w:t>
      </w:r>
    </w:p>
    <w:p w14:paraId="6FC3504A" w14:textId="77777777" w:rsidR="00D71C16" w:rsidRPr="00D71C16" w:rsidRDefault="00D71C16" w:rsidP="00D71C16">
      <w:pPr>
        <w:pStyle w:val="ListBullet"/>
      </w:pPr>
      <w:r w:rsidRPr="00D71C16">
        <w:t xml:space="preserve">There were no significant differences observed for </w:t>
      </w:r>
      <w:r w:rsidR="0054619C">
        <w:t xml:space="preserve">area under the curve </w:t>
      </w:r>
      <w:r w:rsidR="008D4FE3" w:rsidRPr="00D71C16">
        <w:t>AUC</w:t>
      </w:r>
      <w:r w:rsidR="008D4FE3" w:rsidRPr="008D4FE3">
        <w:rPr>
          <w:vertAlign w:val="subscript"/>
        </w:rPr>
        <w:t>0-∞</w:t>
      </w:r>
      <w:r w:rsidRPr="00D71C16">
        <w:t xml:space="preserve"> and </w:t>
      </w:r>
      <w:r w:rsidR="0054619C">
        <w:t>maximum plasma concentration</w:t>
      </w:r>
      <w:r w:rsidR="0054619C" w:rsidRPr="00D71C16">
        <w:t xml:space="preserve"> </w:t>
      </w:r>
      <w:r w:rsidR="0054619C">
        <w:t>(</w:t>
      </w:r>
      <w:proofErr w:type="spellStart"/>
      <w:r w:rsidR="008D4FE3" w:rsidRPr="00D71C16">
        <w:t>C</w:t>
      </w:r>
      <w:r w:rsidR="008D4FE3" w:rsidRPr="008D4FE3">
        <w:rPr>
          <w:vertAlign w:val="subscript"/>
        </w:rPr>
        <w:t>max</w:t>
      </w:r>
      <w:proofErr w:type="spellEnd"/>
      <w:r w:rsidR="0054619C">
        <w:t>)</w:t>
      </w:r>
      <w:r w:rsidRPr="00D71C16">
        <w:t xml:space="preserve"> between the deltoid and gluteal dose groups.</w:t>
      </w:r>
    </w:p>
    <w:p w14:paraId="32EC2417" w14:textId="77777777" w:rsidR="00D71C16" w:rsidRPr="00D71C16" w:rsidRDefault="00D71C16" w:rsidP="00D71C16">
      <w:pPr>
        <w:pStyle w:val="ListBullet"/>
      </w:pPr>
      <w:r w:rsidRPr="00D71C16">
        <w:t xml:space="preserve">After a single IM injection of </w:t>
      </w:r>
      <w:proofErr w:type="spellStart"/>
      <w:r w:rsidRPr="00D71C16">
        <w:t>paliperidone</w:t>
      </w:r>
      <w:proofErr w:type="spellEnd"/>
      <w:r w:rsidRPr="00D71C16">
        <w:t xml:space="preserve"> palmitate in the gluteal or deltoid muscle, the </w:t>
      </w:r>
      <w:proofErr w:type="spellStart"/>
      <w:r w:rsidRPr="00D71C16">
        <w:t>paliperidone</w:t>
      </w:r>
      <w:proofErr w:type="spellEnd"/>
      <w:r w:rsidRPr="00D71C16">
        <w:t xml:space="preserve"> </w:t>
      </w:r>
      <w:r w:rsidR="008D4FE3" w:rsidRPr="00D71C16">
        <w:t>AUC</w:t>
      </w:r>
      <w:r w:rsidR="008D4FE3" w:rsidRPr="008D4FE3">
        <w:rPr>
          <w:vertAlign w:val="subscript"/>
        </w:rPr>
        <w:t>0-∞</w:t>
      </w:r>
      <w:r w:rsidRPr="00D71C16">
        <w:t xml:space="preserve"> and </w:t>
      </w:r>
      <w:proofErr w:type="spellStart"/>
      <w:r w:rsidR="008D4FE3" w:rsidRPr="00D71C16">
        <w:t>C</w:t>
      </w:r>
      <w:r w:rsidR="008D4FE3" w:rsidRPr="008D4FE3">
        <w:rPr>
          <w:vertAlign w:val="subscript"/>
        </w:rPr>
        <w:t>max</w:t>
      </w:r>
      <w:proofErr w:type="spellEnd"/>
      <w:r w:rsidRPr="00D71C16">
        <w:t xml:space="preserve"> increased</w:t>
      </w:r>
      <w:r w:rsidR="008D4FE3">
        <w:t xml:space="preserve"> dose-proportionally in the 75 to 525 mg </w:t>
      </w:r>
      <w:r w:rsidRPr="00D71C16">
        <w:t>eq. range.</w:t>
      </w:r>
    </w:p>
    <w:p w14:paraId="28314DEA" w14:textId="77777777" w:rsidR="00D71C16" w:rsidRPr="00D71C16" w:rsidRDefault="00D71C16" w:rsidP="00D71C16">
      <w:pPr>
        <w:pStyle w:val="ListBullet"/>
      </w:pPr>
      <w:r w:rsidRPr="00D71C16">
        <w:t xml:space="preserve">The LS means of </w:t>
      </w:r>
      <w:proofErr w:type="spellStart"/>
      <w:r w:rsidR="008D4FE3" w:rsidRPr="00D71C16">
        <w:t>C</w:t>
      </w:r>
      <w:r w:rsidR="008D4FE3" w:rsidRPr="008D4FE3">
        <w:rPr>
          <w:vertAlign w:val="subscript"/>
        </w:rPr>
        <w:t>max</w:t>
      </w:r>
      <w:proofErr w:type="spellEnd"/>
      <w:r w:rsidRPr="00D71C16">
        <w:t xml:space="preserve"> of </w:t>
      </w:r>
      <w:proofErr w:type="spellStart"/>
      <w:r w:rsidRPr="00D71C16">
        <w:t>paliperidone</w:t>
      </w:r>
      <w:proofErr w:type="spellEnd"/>
      <w:r w:rsidRPr="00D71C16">
        <w:t xml:space="preserve"> was higher by 27% over all dose levels after injection of </w:t>
      </w:r>
      <w:proofErr w:type="spellStart"/>
      <w:r w:rsidRPr="00D71C16">
        <w:t>paliperidone</w:t>
      </w:r>
      <w:proofErr w:type="spellEnd"/>
      <w:r w:rsidRPr="00D71C16">
        <w:t xml:space="preserve"> palmitate in the deltoid muscle compared to the gluteal muscle, whereas there was no difference between both injection sites for </w:t>
      </w:r>
      <w:r w:rsidR="008D4FE3" w:rsidRPr="00D71C16">
        <w:t>AUC</w:t>
      </w:r>
      <w:r w:rsidR="008D4FE3" w:rsidRPr="008D4FE3">
        <w:rPr>
          <w:vertAlign w:val="subscript"/>
        </w:rPr>
        <w:t>0-∞</w:t>
      </w:r>
      <w:r w:rsidRPr="008D4FE3">
        <w:t>.</w:t>
      </w:r>
    </w:p>
    <w:p w14:paraId="0686CF65" w14:textId="77777777" w:rsidR="00D71C16" w:rsidRPr="00D71C16" w:rsidRDefault="00D71C16" w:rsidP="00D71C16">
      <w:pPr>
        <w:pStyle w:val="ListBullet"/>
      </w:pPr>
      <w:r w:rsidRPr="00D71C16">
        <w:t xml:space="preserve">After injection of </w:t>
      </w:r>
      <w:proofErr w:type="spellStart"/>
      <w:r w:rsidRPr="00D71C16">
        <w:t>paliperidone</w:t>
      </w:r>
      <w:proofErr w:type="spellEnd"/>
      <w:r w:rsidRPr="00D71C16">
        <w:t xml:space="preserve"> palmitate, the </w:t>
      </w:r>
      <w:proofErr w:type="spellStart"/>
      <w:r w:rsidRPr="00D71C16">
        <w:t>paliperidone</w:t>
      </w:r>
      <w:proofErr w:type="spellEnd"/>
      <w:r w:rsidRPr="00D71C16">
        <w:t xml:space="preserve"> </w:t>
      </w:r>
      <w:r w:rsidR="008D4FE3" w:rsidRPr="00D71C16">
        <w:t>AUC</w:t>
      </w:r>
      <w:r w:rsidR="008D4FE3" w:rsidRPr="008D4FE3">
        <w:rPr>
          <w:vertAlign w:val="subscript"/>
        </w:rPr>
        <w:t>0-∞</w:t>
      </w:r>
      <w:r w:rsidRPr="00D71C16">
        <w:t xml:space="preserve"> and </w:t>
      </w:r>
      <w:proofErr w:type="spellStart"/>
      <w:r w:rsidR="008D4FE3" w:rsidRPr="00D71C16">
        <w:t>C</w:t>
      </w:r>
      <w:r w:rsidR="008D4FE3" w:rsidRPr="008D4FE3">
        <w:rPr>
          <w:vertAlign w:val="subscript"/>
        </w:rPr>
        <w:t>max</w:t>
      </w:r>
      <w:proofErr w:type="spellEnd"/>
      <w:r w:rsidRPr="00D71C16">
        <w:t xml:space="preserve"> and the relative bioavailability were independent of </w:t>
      </w:r>
      <w:r w:rsidR="0054619C">
        <w:t>Body Mass Index</w:t>
      </w:r>
      <w:r w:rsidR="0054619C" w:rsidRPr="00D71C16">
        <w:t xml:space="preserve"> </w:t>
      </w:r>
      <w:r w:rsidR="0054619C">
        <w:t>(</w:t>
      </w:r>
      <w:r w:rsidRPr="00D71C16">
        <w:t>BMI</w:t>
      </w:r>
      <w:r w:rsidR="0054619C">
        <w:t>)</w:t>
      </w:r>
      <w:r w:rsidRPr="00D71C16">
        <w:t xml:space="preserve">, or race. Exposure (median </w:t>
      </w:r>
      <w:proofErr w:type="spellStart"/>
      <w:r w:rsidR="008D4FE3" w:rsidRPr="00D71C16">
        <w:t>C</w:t>
      </w:r>
      <w:r w:rsidR="008D4FE3" w:rsidRPr="008D4FE3">
        <w:rPr>
          <w:vertAlign w:val="subscript"/>
        </w:rPr>
        <w:t>max</w:t>
      </w:r>
      <w:proofErr w:type="spellEnd"/>
      <w:r w:rsidRPr="00D71C16">
        <w:t>) was slightly higher in males after single dose administration.</w:t>
      </w:r>
    </w:p>
    <w:p w14:paraId="7CCF10CE" w14:textId="77777777" w:rsidR="00D71C16" w:rsidRPr="00D71C16" w:rsidRDefault="00D71C16" w:rsidP="00D71C16">
      <w:pPr>
        <w:pStyle w:val="ListBullet"/>
      </w:pPr>
      <w:r w:rsidRPr="00D71C16">
        <w:t>The relative bioavailability was determined to be 100%, independent of dose, injection site, BMI, race or gender.</w:t>
      </w:r>
    </w:p>
    <w:p w14:paraId="2EC4BB1A" w14:textId="77777777" w:rsidR="00D71C16" w:rsidRPr="00D71C16" w:rsidRDefault="00D71C16" w:rsidP="00D71C16">
      <w:pPr>
        <w:pStyle w:val="ListBullet"/>
      </w:pPr>
      <w:proofErr w:type="spellStart"/>
      <w:r w:rsidRPr="00D71C16">
        <w:t>Paliperidone</w:t>
      </w:r>
      <w:proofErr w:type="spellEnd"/>
      <w:r w:rsidRPr="00D71C16">
        <w:t xml:space="preserve"> is a racemic mixture. The plasma concentrations of the </w:t>
      </w:r>
      <w:proofErr w:type="gramStart"/>
      <w:r w:rsidRPr="00D71C16">
        <w:t>R078543(</w:t>
      </w:r>
      <w:proofErr w:type="gramEnd"/>
      <w:r w:rsidRPr="00D71C16">
        <w:t xml:space="preserve">+) enantiomer were consistently higher than those for the R078544(-) enantiomer. From this study, the R078543(+)/R078544(-) PK parameter ratios after </w:t>
      </w:r>
      <w:r w:rsidR="008D4FE3">
        <w:t>IM</w:t>
      </w:r>
      <w:r w:rsidRPr="00D71C16">
        <w:t xml:space="preserve"> injections of </w:t>
      </w:r>
      <w:proofErr w:type="spellStart"/>
      <w:r w:rsidRPr="00D71C16">
        <w:t>paliperidone</w:t>
      </w:r>
      <w:proofErr w:type="spellEnd"/>
      <w:r w:rsidRPr="00D71C16">
        <w:t xml:space="preserve"> palmitate are approximately 1.8 and 1.9 for AUC and </w:t>
      </w:r>
      <w:proofErr w:type="spellStart"/>
      <w:r w:rsidR="008D4FE3" w:rsidRPr="00D71C16">
        <w:t>C</w:t>
      </w:r>
      <w:r w:rsidR="008D4FE3" w:rsidRPr="008D4FE3">
        <w:rPr>
          <w:vertAlign w:val="subscript"/>
        </w:rPr>
        <w:t>max</w:t>
      </w:r>
      <w:proofErr w:type="spellEnd"/>
      <w:r w:rsidR="008D4FE3">
        <w:t xml:space="preserve"> respectively, similar to the 1 </w:t>
      </w:r>
      <w:r w:rsidRPr="00D71C16">
        <w:t>month formulation.</w:t>
      </w:r>
    </w:p>
    <w:p w14:paraId="4C4AAF7C" w14:textId="77777777" w:rsidR="00F61681" w:rsidRPr="00F61681" w:rsidRDefault="00D71C16" w:rsidP="00F61681">
      <w:pPr>
        <w:pStyle w:val="ListBullet"/>
      </w:pPr>
      <w:r w:rsidRPr="00D71C16">
        <w:t xml:space="preserve">After IM administration of the </w:t>
      </w:r>
      <w:r w:rsidR="008D4FE3">
        <w:t xml:space="preserve">3 month </w:t>
      </w:r>
      <w:r w:rsidRPr="00D71C16">
        <w:t xml:space="preserve">formulation of </w:t>
      </w:r>
      <w:proofErr w:type="spellStart"/>
      <w:r w:rsidRPr="00D71C16">
        <w:t>paliperidone</w:t>
      </w:r>
      <w:proofErr w:type="spellEnd"/>
      <w:r w:rsidRPr="00D71C16">
        <w:t xml:space="preserve"> palmitate, only a small number of low </w:t>
      </w:r>
      <w:proofErr w:type="spellStart"/>
      <w:r w:rsidRPr="00D71C16">
        <w:t>paliperidone</w:t>
      </w:r>
      <w:proofErr w:type="spellEnd"/>
      <w:r w:rsidRPr="00D71C16">
        <w:t xml:space="preserve"> palmitate concentrations were </w:t>
      </w:r>
      <w:r w:rsidR="008D4FE3" w:rsidRPr="00D71C16">
        <w:t>observed</w:t>
      </w:r>
      <w:r w:rsidRPr="00D71C16">
        <w:t xml:space="preserve"> </w:t>
      </w:r>
      <w:r w:rsidR="008D4FE3">
        <w:t xml:space="preserve">which was consistent with the 1 </w:t>
      </w:r>
      <w:r w:rsidRPr="00D71C16">
        <w:t>month formulation.</w:t>
      </w:r>
    </w:p>
    <w:p w14:paraId="683AF61F" w14:textId="77777777" w:rsidR="008E7846" w:rsidRPr="008751DC" w:rsidRDefault="008E7846" w:rsidP="008E7846">
      <w:pPr>
        <w:pStyle w:val="Heading3"/>
      </w:pPr>
      <w:bookmarkStart w:id="34" w:name="_Toc247691509"/>
      <w:bookmarkStart w:id="35" w:name="_Toc314842493"/>
      <w:bookmarkStart w:id="36" w:name="_Toc497913777"/>
      <w:r>
        <w:t>Quality s</w:t>
      </w:r>
      <w:r w:rsidRPr="008751DC">
        <w:t>ummary</w:t>
      </w:r>
      <w:r>
        <w:t xml:space="preserve"> and conclusions</w:t>
      </w:r>
      <w:bookmarkEnd w:id="34"/>
      <w:bookmarkEnd w:id="35"/>
      <w:bookmarkEnd w:id="36"/>
    </w:p>
    <w:p w14:paraId="3900E771" w14:textId="77777777" w:rsidR="008E7846" w:rsidRDefault="00D71C16" w:rsidP="008E7846">
      <w:r w:rsidRPr="00F61681">
        <w:t>There are no objections to registration from a quality or biopharmaceutics perspective.</w:t>
      </w:r>
    </w:p>
    <w:p w14:paraId="72BBAE44" w14:textId="77777777" w:rsidR="008E7846" w:rsidRDefault="008E7846" w:rsidP="008E7846">
      <w:pPr>
        <w:pStyle w:val="Heading2"/>
      </w:pPr>
      <w:bookmarkStart w:id="37" w:name="_Toc196046439"/>
      <w:bookmarkStart w:id="38" w:name="_Toc247691510"/>
      <w:bookmarkStart w:id="39" w:name="_Toc314842494"/>
      <w:bookmarkStart w:id="40" w:name="_Toc497913778"/>
      <w:r>
        <w:t>III. Nonclinical</w:t>
      </w:r>
      <w:bookmarkEnd w:id="37"/>
      <w:r>
        <w:t xml:space="preserve"> findings</w:t>
      </w:r>
      <w:bookmarkEnd w:id="38"/>
      <w:bookmarkEnd w:id="39"/>
      <w:bookmarkEnd w:id="40"/>
    </w:p>
    <w:p w14:paraId="25196D34" w14:textId="77777777" w:rsidR="008E7846" w:rsidRDefault="008E7846" w:rsidP="00940A89">
      <w:pPr>
        <w:pStyle w:val="Heading3"/>
      </w:pPr>
      <w:bookmarkStart w:id="41" w:name="_Toc247691511"/>
      <w:bookmarkStart w:id="42" w:name="_Toc314842495"/>
      <w:bookmarkStart w:id="43" w:name="_Toc497913779"/>
      <w:r>
        <w:t>Introduction</w:t>
      </w:r>
      <w:bookmarkEnd w:id="41"/>
      <w:bookmarkEnd w:id="42"/>
      <w:bookmarkEnd w:id="43"/>
    </w:p>
    <w:p w14:paraId="5B7F192A" w14:textId="77777777" w:rsidR="00552464" w:rsidRPr="00552464" w:rsidRDefault="00552464" w:rsidP="00552464">
      <w:r w:rsidRPr="00552464">
        <w:t>Janssen-</w:t>
      </w:r>
      <w:proofErr w:type="spellStart"/>
      <w:r w:rsidRPr="00552464">
        <w:t>Cilag</w:t>
      </w:r>
      <w:proofErr w:type="spellEnd"/>
      <w:r w:rsidRPr="00552464">
        <w:t xml:space="preserve"> Pty Ltd has applied to register </w:t>
      </w:r>
      <w:proofErr w:type="spellStart"/>
      <w:r w:rsidRPr="00552464">
        <w:t>paliperidone</w:t>
      </w:r>
      <w:proofErr w:type="spellEnd"/>
      <w:r w:rsidRPr="00552464">
        <w:t xml:space="preserve"> palmitate as a suspension for injection with a dosing schedule of 4 times a year, for the treatment of schizophrenia in adults who have been adequately treated with the </w:t>
      </w:r>
      <w:r w:rsidR="008D4FE3">
        <w:t>1 month</w:t>
      </w:r>
      <w:r w:rsidRPr="00552464">
        <w:t xml:space="preserve"> </w:t>
      </w:r>
      <w:proofErr w:type="spellStart"/>
      <w:r w:rsidRPr="00552464">
        <w:t>paliperidone</w:t>
      </w:r>
      <w:proofErr w:type="spellEnd"/>
      <w:r w:rsidRPr="00552464">
        <w:t xml:space="preserve"> palmitate injectable product for at least 4 months. Proposed strengths of the new product are 175, 263, 350 and 525 mg </w:t>
      </w:r>
      <w:proofErr w:type="spellStart"/>
      <w:r w:rsidRPr="00552464">
        <w:t>paliperidone</w:t>
      </w:r>
      <w:proofErr w:type="spellEnd"/>
      <w:r w:rsidRPr="00552464">
        <w:t xml:space="preserve">, present as 273, 410, 546 and 819 mg </w:t>
      </w:r>
      <w:proofErr w:type="spellStart"/>
      <w:r w:rsidRPr="00552464">
        <w:t>paliperidone</w:t>
      </w:r>
      <w:proofErr w:type="spellEnd"/>
      <w:r w:rsidRPr="00552464">
        <w:t xml:space="preserve"> palmitate, respectively.</w:t>
      </w:r>
    </w:p>
    <w:p w14:paraId="35F53FB8" w14:textId="77777777" w:rsidR="00552464" w:rsidRDefault="00552464" w:rsidP="00552464">
      <w:r w:rsidRPr="00552464">
        <w:lastRenderedPageBreak/>
        <w:t xml:space="preserve">The </w:t>
      </w:r>
      <w:r w:rsidR="008D4FE3">
        <w:t>1 month</w:t>
      </w:r>
      <w:r w:rsidRPr="00552464">
        <w:t xml:space="preserve"> </w:t>
      </w:r>
      <w:proofErr w:type="spellStart"/>
      <w:r w:rsidRPr="00552464">
        <w:t>paliperidone</w:t>
      </w:r>
      <w:proofErr w:type="spellEnd"/>
      <w:r w:rsidRPr="00552464">
        <w:t xml:space="preserve"> palmitate injectable product (25, 50, 75, 100, 150 mg;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552464">
        <w:t>) is registered in Australia for the acute and maintenance treatment of schizophrenia in adults. In order to establish a consiste</w:t>
      </w:r>
      <w:r w:rsidR="008D4FE3">
        <w:t>nt maintenance dose, the last 2 </w:t>
      </w:r>
      <w:r w:rsidRPr="00552464">
        <w:t xml:space="preserve">doses of the </w:t>
      </w:r>
      <w:r w:rsidR="008D4FE3">
        <w:t>1 month</w:t>
      </w:r>
      <w:r w:rsidRPr="00552464">
        <w:t xml:space="preserve"> injection should be the same str</w:t>
      </w:r>
      <w:r w:rsidR="008D4FE3">
        <w:t>ength prior to commencing the 4 </w:t>
      </w:r>
      <w:r w:rsidRPr="00552464">
        <w:t>month injection. Dose conversion is tabulated below.</w:t>
      </w:r>
    </w:p>
    <w:p w14:paraId="1C9A390F" w14:textId="77777777" w:rsidR="008D4FE3" w:rsidRPr="00552464" w:rsidRDefault="008D4FE3" w:rsidP="008D4FE3">
      <w:pPr>
        <w:pStyle w:val="TableTitle"/>
      </w:pPr>
      <w:r>
        <w:t xml:space="preserve">Table 2: Dose conversion for commencement of </w:t>
      </w:r>
      <w:proofErr w:type="spellStart"/>
      <w:r w:rsidR="005968B3" w:rsidRPr="00A04896">
        <w:t>Invega</w:t>
      </w:r>
      <w:proofErr w:type="spellEnd"/>
      <w:r w:rsidR="005968B3" w:rsidRPr="00A04896">
        <w:t xml:space="preserve"> </w:t>
      </w:r>
      <w:proofErr w:type="spellStart"/>
      <w:r w:rsidR="005968B3" w:rsidRPr="00A04896">
        <w:t>Trinza</w:t>
      </w:r>
      <w:proofErr w:type="spellEnd"/>
      <w:r>
        <w:t xml:space="preserve"> 4 monthly injection</w:t>
      </w:r>
    </w:p>
    <w:tbl>
      <w:tblPr>
        <w:tblStyle w:val="TableTGAblue"/>
        <w:tblW w:w="0" w:type="auto"/>
        <w:tblLook w:val="04A0" w:firstRow="1" w:lastRow="0" w:firstColumn="1" w:lastColumn="0" w:noHBand="0" w:noVBand="1"/>
      </w:tblPr>
      <w:tblGrid>
        <w:gridCol w:w="4843"/>
        <w:gridCol w:w="3543"/>
      </w:tblGrid>
      <w:tr w:rsidR="00552464" w:rsidRPr="008D4FE3" w14:paraId="70A7E4C8" w14:textId="77777777" w:rsidTr="00113AC6">
        <w:trPr>
          <w:cnfStyle w:val="100000000000" w:firstRow="1" w:lastRow="0" w:firstColumn="0" w:lastColumn="0" w:oddVBand="0" w:evenVBand="0" w:oddHBand="0" w:evenHBand="0" w:firstRowFirstColumn="0" w:firstRowLastColumn="0" w:lastRowFirstColumn="0" w:lastRowLastColumn="0"/>
          <w:trHeight w:val="608"/>
        </w:trPr>
        <w:tc>
          <w:tcPr>
            <w:tcW w:w="4843" w:type="dxa"/>
          </w:tcPr>
          <w:p w14:paraId="638BA54D" w14:textId="77777777" w:rsidR="00552464" w:rsidRPr="008D4FE3" w:rsidRDefault="00552464" w:rsidP="00552464">
            <w:pPr>
              <w:rPr>
                <w:sz w:val="20"/>
              </w:rPr>
            </w:pPr>
            <w:r w:rsidRPr="008D4FE3">
              <w:rPr>
                <w:sz w:val="20"/>
              </w:rPr>
              <w:t xml:space="preserve">If the last </w:t>
            </w:r>
            <w:r w:rsidR="008D4FE3" w:rsidRPr="008D4FE3">
              <w:rPr>
                <w:sz w:val="20"/>
              </w:rPr>
              <w:t>1 month</w:t>
            </w:r>
            <w:r w:rsidRPr="008D4FE3">
              <w:rPr>
                <w:sz w:val="20"/>
              </w:rPr>
              <w:t xml:space="preserve"> injection </w:t>
            </w:r>
            <w:proofErr w:type="spellStart"/>
            <w:r w:rsidRPr="008D4FE3">
              <w:rPr>
                <w:sz w:val="20"/>
              </w:rPr>
              <w:t>paliperidone</w:t>
            </w:r>
            <w:proofErr w:type="spellEnd"/>
            <w:r w:rsidRPr="008D4FE3">
              <w:rPr>
                <w:sz w:val="20"/>
              </w:rPr>
              <w:t xml:space="preserve"> palmitate injection is:</w:t>
            </w:r>
          </w:p>
        </w:tc>
        <w:tc>
          <w:tcPr>
            <w:tcW w:w="3543" w:type="dxa"/>
          </w:tcPr>
          <w:p w14:paraId="7F51654B" w14:textId="77777777" w:rsidR="00552464" w:rsidRPr="008D4FE3" w:rsidRDefault="00552464" w:rsidP="00552464">
            <w:pPr>
              <w:rPr>
                <w:sz w:val="20"/>
              </w:rPr>
            </w:pPr>
            <w:r w:rsidRPr="008D4FE3">
              <w:rPr>
                <w:sz w:val="20"/>
              </w:rPr>
              <w:t xml:space="preserve">Initiate </w:t>
            </w:r>
            <w:proofErr w:type="spellStart"/>
            <w:r w:rsidR="005968B3" w:rsidRPr="00A04896">
              <w:t>Invega</w:t>
            </w:r>
            <w:proofErr w:type="spellEnd"/>
            <w:r w:rsidR="005968B3" w:rsidRPr="00A04896">
              <w:t xml:space="preserve"> </w:t>
            </w:r>
            <w:proofErr w:type="spellStart"/>
            <w:r w:rsidR="005968B3" w:rsidRPr="00A04896">
              <w:t>Trinza</w:t>
            </w:r>
            <w:proofErr w:type="spellEnd"/>
            <w:r w:rsidRPr="008D4FE3">
              <w:rPr>
                <w:sz w:val="20"/>
              </w:rPr>
              <w:t xml:space="preserve"> at the following dose:</w:t>
            </w:r>
          </w:p>
        </w:tc>
      </w:tr>
      <w:tr w:rsidR="00552464" w:rsidRPr="008D4FE3" w14:paraId="5BA3056A" w14:textId="77777777" w:rsidTr="00113AC6">
        <w:trPr>
          <w:trHeight w:val="405"/>
        </w:trPr>
        <w:tc>
          <w:tcPr>
            <w:tcW w:w="4843" w:type="dxa"/>
          </w:tcPr>
          <w:p w14:paraId="7400B447" w14:textId="77777777" w:rsidR="00552464" w:rsidRPr="008D4FE3" w:rsidRDefault="00552464" w:rsidP="00552464">
            <w:pPr>
              <w:rPr>
                <w:sz w:val="20"/>
              </w:rPr>
            </w:pPr>
            <w:r w:rsidRPr="008D4FE3">
              <w:rPr>
                <w:sz w:val="20"/>
              </w:rPr>
              <w:t>50 mg</w:t>
            </w:r>
          </w:p>
        </w:tc>
        <w:tc>
          <w:tcPr>
            <w:tcW w:w="3543" w:type="dxa"/>
          </w:tcPr>
          <w:p w14:paraId="5A111016" w14:textId="77777777" w:rsidR="00552464" w:rsidRPr="008D4FE3" w:rsidRDefault="00552464" w:rsidP="00552464">
            <w:pPr>
              <w:rPr>
                <w:sz w:val="20"/>
              </w:rPr>
            </w:pPr>
            <w:r w:rsidRPr="008D4FE3">
              <w:rPr>
                <w:sz w:val="20"/>
              </w:rPr>
              <w:t>175 mg</w:t>
            </w:r>
          </w:p>
        </w:tc>
      </w:tr>
      <w:tr w:rsidR="00552464" w:rsidRPr="008D4FE3" w14:paraId="38FA9AF0" w14:textId="77777777" w:rsidTr="00113AC6">
        <w:trPr>
          <w:trHeight w:val="106"/>
        </w:trPr>
        <w:tc>
          <w:tcPr>
            <w:tcW w:w="4843" w:type="dxa"/>
          </w:tcPr>
          <w:p w14:paraId="1813A327" w14:textId="77777777" w:rsidR="00552464" w:rsidRPr="008D4FE3" w:rsidRDefault="00552464" w:rsidP="00552464">
            <w:pPr>
              <w:rPr>
                <w:sz w:val="20"/>
              </w:rPr>
            </w:pPr>
            <w:r w:rsidRPr="008D4FE3">
              <w:rPr>
                <w:sz w:val="20"/>
              </w:rPr>
              <w:t>75 mg</w:t>
            </w:r>
          </w:p>
        </w:tc>
        <w:tc>
          <w:tcPr>
            <w:tcW w:w="3543" w:type="dxa"/>
          </w:tcPr>
          <w:p w14:paraId="4466DB5F" w14:textId="77777777" w:rsidR="00552464" w:rsidRPr="008D4FE3" w:rsidRDefault="00552464" w:rsidP="00552464">
            <w:pPr>
              <w:rPr>
                <w:sz w:val="20"/>
              </w:rPr>
            </w:pPr>
            <w:r w:rsidRPr="008D4FE3">
              <w:rPr>
                <w:sz w:val="20"/>
              </w:rPr>
              <w:t>263 mg</w:t>
            </w:r>
          </w:p>
        </w:tc>
      </w:tr>
      <w:tr w:rsidR="00552464" w:rsidRPr="008D4FE3" w14:paraId="7AFF3A2C" w14:textId="77777777" w:rsidTr="00113AC6">
        <w:trPr>
          <w:trHeight w:val="106"/>
        </w:trPr>
        <w:tc>
          <w:tcPr>
            <w:tcW w:w="4843" w:type="dxa"/>
          </w:tcPr>
          <w:p w14:paraId="0116B159" w14:textId="77777777" w:rsidR="00552464" w:rsidRPr="008D4FE3" w:rsidRDefault="00552464" w:rsidP="00552464">
            <w:pPr>
              <w:rPr>
                <w:sz w:val="20"/>
              </w:rPr>
            </w:pPr>
            <w:r w:rsidRPr="008D4FE3">
              <w:rPr>
                <w:sz w:val="20"/>
              </w:rPr>
              <w:t>100 mg</w:t>
            </w:r>
          </w:p>
        </w:tc>
        <w:tc>
          <w:tcPr>
            <w:tcW w:w="3543" w:type="dxa"/>
          </w:tcPr>
          <w:p w14:paraId="5E9E53BC" w14:textId="77777777" w:rsidR="00552464" w:rsidRPr="008D4FE3" w:rsidRDefault="00552464" w:rsidP="00552464">
            <w:pPr>
              <w:rPr>
                <w:sz w:val="20"/>
              </w:rPr>
            </w:pPr>
            <w:r w:rsidRPr="008D4FE3">
              <w:rPr>
                <w:sz w:val="20"/>
              </w:rPr>
              <w:t>350 mg</w:t>
            </w:r>
          </w:p>
        </w:tc>
      </w:tr>
      <w:tr w:rsidR="00552464" w:rsidRPr="008D4FE3" w14:paraId="163C21B6" w14:textId="77777777" w:rsidTr="00113AC6">
        <w:trPr>
          <w:trHeight w:val="106"/>
        </w:trPr>
        <w:tc>
          <w:tcPr>
            <w:tcW w:w="4843" w:type="dxa"/>
          </w:tcPr>
          <w:p w14:paraId="2C679E59" w14:textId="77777777" w:rsidR="00552464" w:rsidRPr="008D4FE3" w:rsidRDefault="00552464" w:rsidP="00552464">
            <w:pPr>
              <w:rPr>
                <w:sz w:val="20"/>
              </w:rPr>
            </w:pPr>
            <w:r w:rsidRPr="008D4FE3">
              <w:rPr>
                <w:sz w:val="20"/>
              </w:rPr>
              <w:t>150 mg</w:t>
            </w:r>
          </w:p>
        </w:tc>
        <w:tc>
          <w:tcPr>
            <w:tcW w:w="3543" w:type="dxa"/>
          </w:tcPr>
          <w:p w14:paraId="1E32999F" w14:textId="77777777" w:rsidR="00552464" w:rsidRPr="008D4FE3" w:rsidRDefault="00552464" w:rsidP="00552464">
            <w:pPr>
              <w:rPr>
                <w:sz w:val="20"/>
              </w:rPr>
            </w:pPr>
            <w:r w:rsidRPr="008D4FE3">
              <w:rPr>
                <w:sz w:val="20"/>
              </w:rPr>
              <w:t>525 mg</w:t>
            </w:r>
          </w:p>
        </w:tc>
      </w:tr>
    </w:tbl>
    <w:p w14:paraId="1BE5F865" w14:textId="77777777" w:rsidR="004334C7" w:rsidRDefault="00552464" w:rsidP="00552464">
      <w:r w:rsidRPr="00552464">
        <w:t xml:space="preserve">Conversion from the 25 mg </w:t>
      </w:r>
      <w:r w:rsidR="008D4FE3">
        <w:t>1 month</w:t>
      </w:r>
      <w:r w:rsidRPr="00552464">
        <w:t xml:space="preserve"> </w:t>
      </w:r>
      <w:proofErr w:type="spellStart"/>
      <w:r w:rsidRPr="00552464">
        <w:t>paliperidone</w:t>
      </w:r>
      <w:proofErr w:type="spellEnd"/>
      <w:r w:rsidRPr="00552464">
        <w:t xml:space="preserve"> palmitate injectable product was not studied.</w:t>
      </w:r>
    </w:p>
    <w:p w14:paraId="6076F3C9" w14:textId="77777777" w:rsidR="00552464" w:rsidRPr="00552464" w:rsidRDefault="00552464" w:rsidP="00552464">
      <w:r w:rsidRPr="00552464">
        <w:t xml:space="preserve">The sponsor has submitted a comprehensive dossier of nonclinical studies to support the submission; nearly all of these studies have been previously submitted and evaluated in support of the registration of the </w:t>
      </w:r>
      <w:r w:rsidR="008D4FE3">
        <w:t>1 month</w:t>
      </w:r>
      <w:r w:rsidRPr="00552464">
        <w:t xml:space="preserve"> </w:t>
      </w:r>
      <w:proofErr w:type="spellStart"/>
      <w:r w:rsidRPr="00552464">
        <w:t>paliperidone</w:t>
      </w:r>
      <w:proofErr w:type="spellEnd"/>
      <w:r w:rsidRPr="00552464">
        <w:t xml:space="preserve"> palmitate injection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552464">
        <w:t xml:space="preserve">; </w:t>
      </w:r>
      <w:r w:rsidR="008D4FE3">
        <w:t>submission number</w:t>
      </w:r>
      <w:r w:rsidRPr="00552464">
        <w:t xml:space="preserve"> PM-2009-00926-3-1). The only new nonclinical studies include 9 analytical methods and validation reports, and one local tolerance study in </w:t>
      </w:r>
      <w:proofErr w:type="spellStart"/>
      <w:r w:rsidRPr="00552464">
        <w:t>minipigs</w:t>
      </w:r>
      <w:proofErr w:type="spellEnd"/>
      <w:r w:rsidRPr="00552464">
        <w:t>. Only the local tolerance study has been evaluated in this report.</w:t>
      </w:r>
    </w:p>
    <w:p w14:paraId="4E734F98" w14:textId="6AFE6EFD" w:rsidR="004334C7" w:rsidRDefault="00552464" w:rsidP="004334C7">
      <w:r w:rsidRPr="00552464">
        <w:t xml:space="preserve">The new formulation contains the same API and excipients as the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552464">
        <w:t xml:space="preserve"> formulation, apart from particle size </w:t>
      </w:r>
      <w:r w:rsidR="00E85F33">
        <w:t>[information redacted</w:t>
      </w:r>
      <w:r w:rsidR="00F048D7">
        <w:t>]</w:t>
      </w:r>
      <w:r w:rsidRPr="00552464">
        <w:t xml:space="preserve"> and a higher concentration of the drug substance (</w:t>
      </w:r>
      <w:proofErr w:type="spellStart"/>
      <w:r w:rsidR="005968B3" w:rsidRPr="00A04896">
        <w:t>Invega</w:t>
      </w:r>
      <w:proofErr w:type="spellEnd"/>
      <w:r w:rsidR="005968B3" w:rsidRPr="00A04896">
        <w:t xml:space="preserve"> </w:t>
      </w:r>
      <w:proofErr w:type="spellStart"/>
      <w:r w:rsidR="005968B3" w:rsidRPr="00A04896">
        <w:t>Trinza</w:t>
      </w:r>
      <w:proofErr w:type="spellEnd"/>
      <w:r w:rsidRPr="00552464">
        <w:t xml:space="preserve"> 312 mg/mL;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552464">
        <w:t xml:space="preserve"> 156 mg/mL) and of some excipients. The maximum injection volume is also increased, from 1.5 mL (150 mg </w:t>
      </w:r>
      <w:proofErr w:type="spellStart"/>
      <w:r w:rsidRPr="00552464">
        <w:t>paliperidone</w:t>
      </w:r>
      <w:proofErr w:type="spellEnd"/>
      <w:r w:rsidRPr="00552464">
        <w:t xml:space="preserve">) for the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552464">
        <w:t xml:space="preserve"> product to 2.625 mL (525 mg </w:t>
      </w:r>
      <w:proofErr w:type="spellStart"/>
      <w:r w:rsidRPr="00552464">
        <w:t>paliperidone</w:t>
      </w:r>
      <w:proofErr w:type="spellEnd"/>
      <w:r w:rsidRPr="00552464">
        <w:t xml:space="preserve">) </w:t>
      </w:r>
      <w:bookmarkStart w:id="44" w:name="_Toc247691514"/>
      <w:bookmarkStart w:id="45" w:name="_Toc314842498"/>
      <w:r w:rsidR="00C248B7">
        <w:t xml:space="preserve">for the </w:t>
      </w:r>
      <w:proofErr w:type="spellStart"/>
      <w:r w:rsidR="005968B3" w:rsidRPr="00A04896">
        <w:t>Invega</w:t>
      </w:r>
      <w:proofErr w:type="spellEnd"/>
      <w:r w:rsidR="005968B3" w:rsidRPr="00A04896">
        <w:t xml:space="preserve"> </w:t>
      </w:r>
      <w:proofErr w:type="spellStart"/>
      <w:r w:rsidR="005968B3" w:rsidRPr="00A04896">
        <w:t>Trinza</w:t>
      </w:r>
      <w:proofErr w:type="spellEnd"/>
      <w:r w:rsidR="00C248B7">
        <w:t xml:space="preserve"> product.</w:t>
      </w:r>
    </w:p>
    <w:p w14:paraId="38C15170" w14:textId="77777777" w:rsidR="001B5C90" w:rsidRDefault="008E7846" w:rsidP="001B5C90">
      <w:pPr>
        <w:pStyle w:val="Heading3"/>
      </w:pPr>
      <w:bookmarkStart w:id="46" w:name="_Toc497913780"/>
      <w:r>
        <w:t>Toxicology</w:t>
      </w:r>
      <w:bookmarkEnd w:id="44"/>
      <w:bookmarkEnd w:id="45"/>
      <w:bookmarkEnd w:id="46"/>
    </w:p>
    <w:p w14:paraId="6B5DF9A5" w14:textId="77777777" w:rsidR="00C248B7" w:rsidRPr="00C248B7" w:rsidRDefault="008D4FE3" w:rsidP="00C248B7">
      <w:bookmarkStart w:id="47" w:name="_Toc294861522"/>
      <w:bookmarkStart w:id="48" w:name="_Toc294861777"/>
      <w:bookmarkStart w:id="49" w:name="_Toc295290932"/>
      <w:bookmarkStart w:id="50" w:name="_Toc365037253"/>
      <w:r>
        <w:t>The nonclinical dossier</w:t>
      </w:r>
      <w:r w:rsidR="00C248B7" w:rsidRPr="00C248B7">
        <w:t xml:space="preserve"> comprised new data on local tolerance.</w:t>
      </w:r>
    </w:p>
    <w:p w14:paraId="0F3F257B" w14:textId="77777777" w:rsidR="00C248B7" w:rsidRPr="00C248B7" w:rsidRDefault="008D4FE3" w:rsidP="008D4FE3">
      <w:pPr>
        <w:pStyle w:val="TableTitle"/>
      </w:pPr>
      <w:r>
        <w:t xml:space="preserve">Table 3: </w:t>
      </w:r>
      <w:r w:rsidR="00C248B7" w:rsidRPr="00C248B7">
        <w:t xml:space="preserve">Local </w:t>
      </w:r>
      <w:r w:rsidR="00113AC6">
        <w:t>t</w:t>
      </w:r>
      <w:r w:rsidR="00C248B7" w:rsidRPr="00C248B7">
        <w:t>olerance</w:t>
      </w:r>
      <w:bookmarkEnd w:id="47"/>
      <w:bookmarkEnd w:id="48"/>
      <w:bookmarkEnd w:id="49"/>
      <w:bookmarkEnd w:id="50"/>
      <w:r>
        <w:t>;</w:t>
      </w:r>
      <w:r w:rsidR="00C248B7" w:rsidRPr="00C248B7">
        <w:t xml:space="preserve"> </w:t>
      </w:r>
      <w:proofErr w:type="spellStart"/>
      <w:r w:rsidR="00C248B7" w:rsidRPr="00C248B7">
        <w:t>Minipig</w:t>
      </w:r>
      <w:proofErr w:type="spellEnd"/>
    </w:p>
    <w:tbl>
      <w:tblPr>
        <w:tblStyle w:val="TableTGAblue"/>
        <w:tblW w:w="8742" w:type="dxa"/>
        <w:tblLayout w:type="fixed"/>
        <w:tblLook w:val="0020" w:firstRow="1" w:lastRow="0" w:firstColumn="0" w:lastColumn="0" w:noHBand="0" w:noVBand="0"/>
      </w:tblPr>
      <w:tblGrid>
        <w:gridCol w:w="3404"/>
        <w:gridCol w:w="5338"/>
      </w:tblGrid>
      <w:tr w:rsidR="00C248B7" w:rsidRPr="008D4FE3" w14:paraId="49D578F2" w14:textId="77777777" w:rsidTr="00E84567">
        <w:trPr>
          <w:cnfStyle w:val="100000000000" w:firstRow="1" w:lastRow="0" w:firstColumn="0" w:lastColumn="0" w:oddVBand="0" w:evenVBand="0" w:oddHBand="0" w:evenHBand="0" w:firstRowFirstColumn="0" w:firstRowLastColumn="0" w:lastRowFirstColumn="0" w:lastRowLastColumn="0"/>
          <w:trHeight w:val="222"/>
        </w:trPr>
        <w:tc>
          <w:tcPr>
            <w:tcW w:w="3404" w:type="dxa"/>
          </w:tcPr>
          <w:p w14:paraId="048DA0F3" w14:textId="77777777" w:rsidR="00C248B7" w:rsidRPr="008D4FE3" w:rsidRDefault="00C248B7" w:rsidP="00C248B7">
            <w:pPr>
              <w:ind w:left="0"/>
              <w:rPr>
                <w:sz w:val="20"/>
              </w:rPr>
            </w:pPr>
            <w:r w:rsidRPr="008D4FE3">
              <w:rPr>
                <w:sz w:val="20"/>
              </w:rPr>
              <w:t>Study details</w:t>
            </w:r>
          </w:p>
        </w:tc>
        <w:tc>
          <w:tcPr>
            <w:tcW w:w="5338" w:type="dxa"/>
          </w:tcPr>
          <w:p w14:paraId="486445C5" w14:textId="77777777" w:rsidR="00C248B7" w:rsidRPr="008D4FE3" w:rsidRDefault="00C248B7" w:rsidP="00C248B7">
            <w:pPr>
              <w:ind w:left="0"/>
              <w:rPr>
                <w:sz w:val="20"/>
              </w:rPr>
            </w:pPr>
            <w:r w:rsidRPr="008D4FE3">
              <w:rPr>
                <w:sz w:val="20"/>
              </w:rPr>
              <w:t>Major findings (both formulations)</w:t>
            </w:r>
          </w:p>
        </w:tc>
      </w:tr>
      <w:tr w:rsidR="00C248B7" w:rsidRPr="008D4FE3" w14:paraId="02D6375E" w14:textId="77777777" w:rsidTr="00E84567">
        <w:trPr>
          <w:trHeight w:val="277"/>
        </w:trPr>
        <w:tc>
          <w:tcPr>
            <w:tcW w:w="3404" w:type="dxa"/>
          </w:tcPr>
          <w:p w14:paraId="1D8DC8B6" w14:textId="77777777" w:rsidR="00C248B7" w:rsidRPr="008D4FE3" w:rsidRDefault="00C248B7" w:rsidP="00C248B7">
            <w:pPr>
              <w:ind w:left="0"/>
              <w:rPr>
                <w:sz w:val="20"/>
              </w:rPr>
            </w:pPr>
            <w:r w:rsidRPr="008D4FE3">
              <w:rPr>
                <w:sz w:val="20"/>
              </w:rPr>
              <w:t>Study TO</w:t>
            </w:r>
            <w:r w:rsidR="008D4FE3">
              <w:rPr>
                <w:sz w:val="20"/>
              </w:rPr>
              <w:t>X10172</w:t>
            </w:r>
            <w:r w:rsidR="008D4FE3">
              <w:rPr>
                <w:sz w:val="20"/>
              </w:rPr>
              <w:br/>
              <w:t>Preclinical Development and</w:t>
            </w:r>
            <w:r w:rsidRPr="008D4FE3">
              <w:rPr>
                <w:sz w:val="20"/>
              </w:rPr>
              <w:t xml:space="preserve"> Safety, Janssen Research </w:t>
            </w:r>
            <w:r w:rsidR="008D4FE3">
              <w:rPr>
                <w:sz w:val="20"/>
              </w:rPr>
              <w:t>and</w:t>
            </w:r>
            <w:r w:rsidRPr="008D4FE3">
              <w:rPr>
                <w:sz w:val="20"/>
              </w:rPr>
              <w:t xml:space="preserve"> Develop</w:t>
            </w:r>
            <w:r w:rsidR="008D4FE3">
              <w:rPr>
                <w:sz w:val="20"/>
              </w:rPr>
              <w:t>ment</w:t>
            </w:r>
            <w:proofErr w:type="gramStart"/>
            <w:r w:rsidR="008D4FE3">
              <w:rPr>
                <w:sz w:val="20"/>
              </w:rPr>
              <w:t>,</w:t>
            </w:r>
            <w:proofErr w:type="gramEnd"/>
            <w:r w:rsidRPr="008D4FE3">
              <w:rPr>
                <w:sz w:val="20"/>
              </w:rPr>
              <w:br/>
              <w:t>13 October 2014</w:t>
            </w:r>
            <w:r w:rsidR="008D4FE3">
              <w:rPr>
                <w:sz w:val="20"/>
              </w:rPr>
              <w:t xml:space="preserve">. </w:t>
            </w:r>
            <w:r w:rsidRPr="008D4FE3">
              <w:rPr>
                <w:sz w:val="20"/>
              </w:rPr>
              <w:t>GLP</w:t>
            </w:r>
          </w:p>
          <w:p w14:paraId="6359BE10" w14:textId="77777777" w:rsidR="00C248B7" w:rsidRPr="008D4FE3" w:rsidRDefault="00C248B7" w:rsidP="00C248B7">
            <w:pPr>
              <w:ind w:left="0"/>
              <w:rPr>
                <w:sz w:val="20"/>
              </w:rPr>
            </w:pPr>
          </w:p>
          <w:p w14:paraId="04DD64C0" w14:textId="77777777" w:rsidR="00C248B7" w:rsidRPr="008D4FE3" w:rsidRDefault="00C248B7" w:rsidP="00C248B7">
            <w:pPr>
              <w:ind w:left="0"/>
              <w:rPr>
                <w:sz w:val="20"/>
              </w:rPr>
            </w:pPr>
            <w:proofErr w:type="spellStart"/>
            <w:r w:rsidRPr="008D4FE3">
              <w:rPr>
                <w:sz w:val="20"/>
              </w:rPr>
              <w:t>Minipig</w:t>
            </w:r>
            <w:proofErr w:type="spellEnd"/>
            <w:r w:rsidRPr="008D4FE3">
              <w:rPr>
                <w:sz w:val="20"/>
              </w:rPr>
              <w:t xml:space="preserve">, </w:t>
            </w:r>
            <w:r w:rsidR="008D4FE3">
              <w:rPr>
                <w:rFonts w:ascii="Times New Roman" w:hAnsi="Times New Roman"/>
                <w:sz w:val="20"/>
              </w:rPr>
              <w:t>male</w:t>
            </w:r>
            <w:r w:rsidR="008D4FE3">
              <w:rPr>
                <w:sz w:val="20"/>
              </w:rPr>
              <w:t xml:space="preserve">; n </w:t>
            </w:r>
            <w:r w:rsidR="001C63DA">
              <w:rPr>
                <w:sz w:val="20"/>
              </w:rPr>
              <w:t xml:space="preserve"> = </w:t>
            </w:r>
            <w:r w:rsidR="00A04896" w:rsidRPr="008D4FE3">
              <w:rPr>
                <w:sz w:val="20"/>
              </w:rPr>
              <w:t xml:space="preserve"> </w:t>
            </w:r>
            <w:r w:rsidRPr="008D4FE3">
              <w:rPr>
                <w:sz w:val="20"/>
              </w:rPr>
              <w:t>3/group</w:t>
            </w:r>
            <w:r w:rsidRPr="008D4FE3">
              <w:rPr>
                <w:sz w:val="20"/>
              </w:rPr>
              <w:br/>
              <w:t>Treatment with two formulations, IM:</w:t>
            </w:r>
          </w:p>
          <w:p w14:paraId="3C6ED3AC" w14:textId="77777777" w:rsidR="00C248B7" w:rsidRPr="008D4FE3" w:rsidRDefault="00C248B7" w:rsidP="00C248B7">
            <w:pPr>
              <w:ind w:left="0"/>
              <w:rPr>
                <w:sz w:val="20"/>
              </w:rPr>
            </w:pPr>
            <w:r w:rsidRPr="008D4FE3">
              <w:rPr>
                <w:sz w:val="20"/>
              </w:rPr>
              <w:t>F013</w:t>
            </w:r>
            <w:r w:rsidR="008D4FE3">
              <w:rPr>
                <w:sz w:val="20"/>
              </w:rPr>
              <w:t>^</w:t>
            </w:r>
            <w:r w:rsidRPr="008D4FE3">
              <w:rPr>
                <w:sz w:val="20"/>
              </w:rPr>
              <w:t xml:space="preserve">: 0 (saline), 0 (vehicle), 5, </w:t>
            </w:r>
            <w:r w:rsidR="008D4FE3">
              <w:rPr>
                <w:sz w:val="20"/>
              </w:rPr>
              <w:br/>
            </w:r>
            <w:r w:rsidRPr="008D4FE3">
              <w:rPr>
                <w:sz w:val="20"/>
              </w:rPr>
              <w:t xml:space="preserve">20 mg </w:t>
            </w:r>
            <w:proofErr w:type="spellStart"/>
            <w:r w:rsidRPr="008D4FE3">
              <w:rPr>
                <w:sz w:val="20"/>
              </w:rPr>
              <w:t>eq</w:t>
            </w:r>
            <w:proofErr w:type="spellEnd"/>
            <w:r w:rsidRPr="008D4FE3">
              <w:rPr>
                <w:sz w:val="20"/>
              </w:rPr>
              <w:t>/kg/month x 3 months;</w:t>
            </w:r>
          </w:p>
          <w:p w14:paraId="02BB30A0" w14:textId="77777777" w:rsidR="00C248B7" w:rsidRPr="008D4FE3" w:rsidRDefault="00C248B7" w:rsidP="00C248B7">
            <w:pPr>
              <w:ind w:left="0"/>
              <w:rPr>
                <w:sz w:val="20"/>
              </w:rPr>
            </w:pPr>
            <w:r w:rsidRPr="008D4FE3">
              <w:rPr>
                <w:sz w:val="20"/>
              </w:rPr>
              <w:lastRenderedPageBreak/>
              <w:t>F015</w:t>
            </w:r>
            <w:r w:rsidR="008D4FE3">
              <w:rPr>
                <w:sz w:val="20"/>
              </w:rPr>
              <w:t>^</w:t>
            </w:r>
            <w:r w:rsidRPr="008D4FE3">
              <w:rPr>
                <w:sz w:val="20"/>
              </w:rPr>
              <w:t xml:space="preserve">: 0 (saline), 0 (vehicle), 17.5, </w:t>
            </w:r>
            <w:r w:rsidR="008D4FE3">
              <w:rPr>
                <w:sz w:val="20"/>
              </w:rPr>
              <w:br/>
            </w:r>
            <w:r w:rsidRPr="008D4FE3">
              <w:rPr>
                <w:sz w:val="20"/>
              </w:rPr>
              <w:t xml:space="preserve">70 mg </w:t>
            </w:r>
            <w:proofErr w:type="spellStart"/>
            <w:r w:rsidRPr="008D4FE3">
              <w:rPr>
                <w:sz w:val="20"/>
              </w:rPr>
              <w:t>eq</w:t>
            </w:r>
            <w:proofErr w:type="spellEnd"/>
            <w:r w:rsidRPr="008D4FE3">
              <w:rPr>
                <w:sz w:val="20"/>
              </w:rPr>
              <w:t>/kg single dose.</w:t>
            </w:r>
          </w:p>
          <w:p w14:paraId="62451402" w14:textId="77777777" w:rsidR="00C248B7" w:rsidRPr="008D4FE3" w:rsidRDefault="00C248B7" w:rsidP="00C248B7">
            <w:pPr>
              <w:ind w:left="0"/>
              <w:rPr>
                <w:sz w:val="20"/>
              </w:rPr>
            </w:pPr>
            <w:r w:rsidRPr="008D4FE3">
              <w:rPr>
                <w:sz w:val="20"/>
              </w:rPr>
              <w:t>Doses were divided equally between 2 sites.</w:t>
            </w:r>
          </w:p>
        </w:tc>
        <w:tc>
          <w:tcPr>
            <w:tcW w:w="5338" w:type="dxa"/>
          </w:tcPr>
          <w:p w14:paraId="0F1D7F2D" w14:textId="77777777" w:rsidR="00C248B7" w:rsidRPr="008D4FE3" w:rsidRDefault="00C248B7" w:rsidP="00C248B7">
            <w:pPr>
              <w:ind w:left="0"/>
              <w:rPr>
                <w:sz w:val="20"/>
              </w:rPr>
            </w:pPr>
            <w:r w:rsidRPr="008D4FE3">
              <w:rPr>
                <w:sz w:val="20"/>
              </w:rPr>
              <w:lastRenderedPageBreak/>
              <w:t>Mortalities: nil</w:t>
            </w:r>
          </w:p>
          <w:p w14:paraId="79A4A1C8" w14:textId="77777777" w:rsidR="00C248B7" w:rsidRPr="008D4FE3" w:rsidRDefault="00C248B7" w:rsidP="00C248B7">
            <w:pPr>
              <w:ind w:left="0"/>
              <w:rPr>
                <w:sz w:val="20"/>
              </w:rPr>
            </w:pPr>
            <w:r w:rsidRPr="008D4FE3">
              <w:rPr>
                <w:sz w:val="20"/>
              </w:rPr>
              <w:t xml:space="preserve">Body weight gain: slight </w:t>
            </w:r>
            <w:r w:rsidR="008D4FE3">
              <w:rPr>
                <w:sz w:val="20"/>
              </w:rPr>
              <w:t>↑</w:t>
            </w:r>
            <w:r w:rsidRPr="008D4FE3">
              <w:rPr>
                <w:sz w:val="20"/>
              </w:rPr>
              <w:t xml:space="preserve">BW/BWG (HD), </w:t>
            </w:r>
            <w:r w:rsidR="008D4FE3">
              <w:rPr>
                <w:sz w:val="20"/>
              </w:rPr>
              <w:t>↓</w:t>
            </w:r>
            <w:r w:rsidRPr="008D4FE3">
              <w:rPr>
                <w:sz w:val="20"/>
              </w:rPr>
              <w:t>food intake (Week 2).</w:t>
            </w:r>
          </w:p>
          <w:p w14:paraId="3BDF7DF4" w14:textId="77777777" w:rsidR="00C248B7" w:rsidRPr="008D4FE3" w:rsidRDefault="00C248B7" w:rsidP="00C248B7">
            <w:pPr>
              <w:ind w:left="0"/>
              <w:rPr>
                <w:sz w:val="20"/>
              </w:rPr>
            </w:pPr>
            <w:r w:rsidRPr="008D4FE3">
              <w:rPr>
                <w:sz w:val="20"/>
              </w:rPr>
              <w:t xml:space="preserve">Clinical signs: slight </w:t>
            </w:r>
            <w:r w:rsidR="008D4FE3">
              <w:rPr>
                <w:sz w:val="20"/>
              </w:rPr>
              <w:t>↓</w:t>
            </w:r>
            <w:r w:rsidRPr="008D4FE3">
              <w:rPr>
                <w:sz w:val="20"/>
              </w:rPr>
              <w:t xml:space="preserve">activity (mod at HD) </w:t>
            </w:r>
            <w:r w:rsidR="008D4FE3">
              <w:rPr>
                <w:sz w:val="20"/>
              </w:rPr>
              <w:t>and</w:t>
            </w:r>
            <w:r w:rsidRPr="008D4FE3">
              <w:rPr>
                <w:sz w:val="20"/>
              </w:rPr>
              <w:t xml:space="preserve"> tremors (except F013 LD); </w:t>
            </w:r>
            <w:r w:rsidR="008D4FE3">
              <w:rPr>
                <w:sz w:val="20"/>
              </w:rPr>
              <w:t>↑</w:t>
            </w:r>
            <w:r w:rsidRPr="008D4FE3">
              <w:rPr>
                <w:sz w:val="20"/>
              </w:rPr>
              <w:t>salivation, compulsive behaviour, biting (HD).</w:t>
            </w:r>
          </w:p>
          <w:p w14:paraId="07EFBCB5" w14:textId="77777777" w:rsidR="00C248B7" w:rsidRPr="008D4FE3" w:rsidRDefault="00C248B7" w:rsidP="00C248B7">
            <w:pPr>
              <w:ind w:left="0"/>
              <w:rPr>
                <w:sz w:val="20"/>
              </w:rPr>
            </w:pPr>
            <w:r w:rsidRPr="008D4FE3">
              <w:rPr>
                <w:sz w:val="20"/>
              </w:rPr>
              <w:t>Haematology, clinical chemistry: unremarkable.</w:t>
            </w:r>
          </w:p>
          <w:p w14:paraId="13270EAC" w14:textId="77777777" w:rsidR="00C248B7" w:rsidRPr="008D4FE3" w:rsidRDefault="00C248B7" w:rsidP="00C248B7">
            <w:pPr>
              <w:ind w:left="0"/>
              <w:rPr>
                <w:sz w:val="20"/>
              </w:rPr>
            </w:pPr>
            <w:r w:rsidRPr="008D4FE3">
              <w:rPr>
                <w:sz w:val="20"/>
              </w:rPr>
              <w:t>Gross pathology: dose-related local reaction (no difference between formulations at HD).</w:t>
            </w:r>
          </w:p>
          <w:p w14:paraId="5C6AA8AF" w14:textId="77777777" w:rsidR="00C248B7" w:rsidRPr="008D4FE3" w:rsidRDefault="00C248B7" w:rsidP="00C248B7">
            <w:pPr>
              <w:ind w:left="0"/>
              <w:rPr>
                <w:sz w:val="20"/>
              </w:rPr>
            </w:pPr>
            <w:r w:rsidRPr="008D4FE3">
              <w:rPr>
                <w:sz w:val="20"/>
              </w:rPr>
              <w:t xml:space="preserve">Histopathology: dose-related inflammatory reaction with occasional granuloma; cellular reaction pattern </w:t>
            </w:r>
            <w:r w:rsidR="008D4FE3">
              <w:rPr>
                <w:sz w:val="20"/>
              </w:rPr>
              <w:t>and</w:t>
            </w:r>
            <w:r w:rsidRPr="008D4FE3">
              <w:rPr>
                <w:sz w:val="20"/>
              </w:rPr>
              <w:t xml:space="preserve"> size </w:t>
            </w:r>
            <w:r w:rsidRPr="008D4FE3">
              <w:rPr>
                <w:sz w:val="20"/>
              </w:rPr>
              <w:lastRenderedPageBreak/>
              <w:t>of crystalline material differed with formulation (as in TOX8249) (see text).</w:t>
            </w:r>
          </w:p>
        </w:tc>
      </w:tr>
    </w:tbl>
    <w:p w14:paraId="6F16B2F0" w14:textId="77777777" w:rsidR="00C248B7" w:rsidRPr="008D4FE3" w:rsidRDefault="00C248B7" w:rsidP="008D4FE3">
      <w:pPr>
        <w:pStyle w:val="TableDescription"/>
        <w:keepLines/>
      </w:pPr>
      <w:r w:rsidRPr="008D4FE3">
        <w:lastRenderedPageBreak/>
        <w:t xml:space="preserve">^F013: </w:t>
      </w:r>
      <w:r w:rsidR="008D4FE3">
        <w:t>4 week</w:t>
      </w:r>
      <w:r w:rsidRPr="008D4FE3">
        <w:t xml:space="preserve"> depot formulation; 100 mg </w:t>
      </w:r>
      <w:proofErr w:type="spellStart"/>
      <w:r w:rsidRPr="008D4FE3">
        <w:t>eq</w:t>
      </w:r>
      <w:proofErr w:type="spellEnd"/>
      <w:r w:rsidRPr="008D4FE3">
        <w:t>/mL; 1.5, 1.5, 0.38, 1.5 mL/injection site (2 sites)</w:t>
      </w:r>
    </w:p>
    <w:p w14:paraId="54DB9E52" w14:textId="77777777" w:rsidR="00C248B7" w:rsidRPr="008D4FE3" w:rsidRDefault="00C248B7" w:rsidP="008D4FE3">
      <w:pPr>
        <w:pStyle w:val="TableDescription"/>
        <w:keepLines/>
      </w:pPr>
      <w:r w:rsidRPr="008D4FE3">
        <w:t xml:space="preserve">^F015: </w:t>
      </w:r>
      <w:r w:rsidR="008D4FE3">
        <w:t>12 week</w:t>
      </w:r>
      <w:r w:rsidRPr="008D4FE3">
        <w:t xml:space="preserve"> depot formulation; 200 mg </w:t>
      </w:r>
      <w:proofErr w:type="spellStart"/>
      <w:r w:rsidRPr="008D4FE3">
        <w:t>eq</w:t>
      </w:r>
      <w:proofErr w:type="spellEnd"/>
      <w:r w:rsidRPr="008D4FE3">
        <w:t>/mL; 2.63, 2.63, 0.66, 2.63 mL/injection site (2 sites)</w:t>
      </w:r>
    </w:p>
    <w:p w14:paraId="08558762" w14:textId="77777777" w:rsidR="00C248B7" w:rsidRPr="008D4FE3" w:rsidRDefault="00C248B7" w:rsidP="008D4FE3">
      <w:pPr>
        <w:pStyle w:val="TableDescription"/>
        <w:keepLines/>
      </w:pPr>
      <w:r w:rsidRPr="008D4FE3">
        <w:t>Formulation details included in Study TOX82</w:t>
      </w:r>
      <w:r w:rsidR="008D4FE3">
        <w:t xml:space="preserve">49 (see SN PM-2009-00926-3-1). </w:t>
      </w:r>
      <w:r w:rsidRPr="008D4FE3">
        <w:t xml:space="preserve">Doses refer to </w:t>
      </w:r>
      <w:proofErr w:type="spellStart"/>
      <w:r w:rsidRPr="008D4FE3">
        <w:t>paliperidone</w:t>
      </w:r>
      <w:proofErr w:type="spellEnd"/>
      <w:r w:rsidRPr="008D4FE3">
        <w:t xml:space="preserve"> base.</w:t>
      </w:r>
    </w:p>
    <w:p w14:paraId="54377B0A" w14:textId="77777777" w:rsidR="00C248B7" w:rsidRPr="00C248B7" w:rsidRDefault="00C248B7" w:rsidP="00C248B7">
      <w:r w:rsidRPr="00C248B7">
        <w:t xml:space="preserve">This study was an extension of Study TOX8249 in </w:t>
      </w:r>
      <w:proofErr w:type="spellStart"/>
      <w:r w:rsidRPr="00C248B7">
        <w:t>minipigs</w:t>
      </w:r>
      <w:proofErr w:type="spellEnd"/>
      <w:r w:rsidRPr="00C248B7">
        <w:t xml:space="preserve"> (submitted and evaluated with SN PM-2009-00926-3-1) in which three consecutive monthly IM injections of the </w:t>
      </w:r>
      <w:r w:rsidR="008D4FE3">
        <w:t>4 week</w:t>
      </w:r>
      <w:r w:rsidRPr="00C248B7">
        <w:t xml:space="preserve"> depot formulation (F013; 5 and 20 mg </w:t>
      </w:r>
      <w:proofErr w:type="spellStart"/>
      <w:r w:rsidRPr="00C248B7">
        <w:t>eq</w:t>
      </w:r>
      <w:proofErr w:type="spellEnd"/>
      <w:r w:rsidRPr="00C248B7">
        <w:t>/kg) were comp</w:t>
      </w:r>
      <w:r w:rsidR="008D4FE3">
        <w:t>ared to one injection of the 12 </w:t>
      </w:r>
      <w:r w:rsidRPr="00C248B7">
        <w:t xml:space="preserve">week depot formulation (F015; 15 and 60 mg </w:t>
      </w:r>
      <w:proofErr w:type="spellStart"/>
      <w:r w:rsidRPr="00C248B7">
        <w:t>eq</w:t>
      </w:r>
      <w:proofErr w:type="spellEnd"/>
      <w:r w:rsidRPr="00C248B7">
        <w:t xml:space="preserve">/kg) of </w:t>
      </w:r>
      <w:proofErr w:type="spellStart"/>
      <w:r w:rsidRPr="00C248B7">
        <w:t>paliperidone</w:t>
      </w:r>
      <w:proofErr w:type="spellEnd"/>
      <w:r w:rsidRPr="00C248B7">
        <w:t xml:space="preserve"> palmitate, using the same 2 formulations as in TOX8249 (F013, F015). In the present study, higher doses of the </w:t>
      </w:r>
      <w:r w:rsidR="008D4FE3">
        <w:t>12 week</w:t>
      </w:r>
      <w:r w:rsidRPr="00C248B7">
        <w:t xml:space="preserve"> depot formulation (F015) were used. Two additional groups received F013 or F015 placebo, and two control groups received saline. For dose selection, the low doses </w:t>
      </w:r>
      <w:r w:rsidR="008D4FE3">
        <w:t xml:space="preserve">(LD) </w:t>
      </w:r>
      <w:r w:rsidRPr="00C248B7">
        <w:t xml:space="preserve">equalled the </w:t>
      </w:r>
      <w:r w:rsidR="008D4FE3">
        <w:t>maximum recommended human dose</w:t>
      </w:r>
      <w:r w:rsidR="008D4FE3" w:rsidRPr="00C248B7">
        <w:t xml:space="preserve"> </w:t>
      </w:r>
      <w:r w:rsidR="008D4FE3">
        <w:t>(</w:t>
      </w:r>
      <w:r w:rsidRPr="00C248B7">
        <w:t>MRHD</w:t>
      </w:r>
      <w:r w:rsidR="008D4FE3">
        <w:t>)</w:t>
      </w:r>
      <w:r w:rsidRPr="00C248B7">
        <w:t xml:space="preserve"> on a total mg basis and the high doses </w:t>
      </w:r>
      <w:r w:rsidR="008D4FE3">
        <w:t xml:space="preserve">(HD) </w:t>
      </w:r>
      <w:r w:rsidRPr="00C248B7">
        <w:t>equalled the MRHD on an injection volume basis.</w:t>
      </w:r>
    </w:p>
    <w:p w14:paraId="6F781090" w14:textId="77777777" w:rsidR="00C248B7" w:rsidRPr="00C248B7" w:rsidRDefault="00C248B7" w:rsidP="00C248B7">
      <w:r w:rsidRPr="00C248B7">
        <w:t xml:space="preserve">Although there were no clear differences in the multifocal inflammatory response between the 2 formulations, the cellular reaction pattern differed. With F015, tissue macrophages and multinucleated giant cells with cholesterol-like clefts were prominent. Although the overall inflammation was similar, it was more granulomatous in 2 LD animals while macrophages and giant cells with cholesterol-like clefts were more prominent in the HD group. With F013, </w:t>
      </w:r>
      <w:proofErr w:type="spellStart"/>
      <w:r w:rsidRPr="00C248B7">
        <w:t>histiocytosis</w:t>
      </w:r>
      <w:proofErr w:type="spellEnd"/>
      <w:r w:rsidRPr="00C248B7">
        <w:t xml:space="preserve"> was prominent, but no cholesterol-like clefts were seen. Also, the size of the crystalline material observed in the inflammatory cells differed: smaller than nucleus with F013 and larger than nucleus with F015. These findings are consistent with those of Study TOX8249.</w:t>
      </w:r>
    </w:p>
    <w:p w14:paraId="6C204DA9" w14:textId="77777777" w:rsidR="00C248B7" w:rsidRDefault="00C248B7" w:rsidP="00C248B7">
      <w:r w:rsidRPr="00C248B7">
        <w:t>Plasma exposures were generally similar across the 2 depot formulation treatments (tabulated below)</w:t>
      </w:r>
      <w:proofErr w:type="gramStart"/>
      <w:r w:rsidRPr="00C248B7">
        <w:t>,</w:t>
      </w:r>
      <w:proofErr w:type="gramEnd"/>
      <w:r w:rsidRPr="00C248B7">
        <w:t xml:space="preserve"> with maximum </w:t>
      </w:r>
      <w:r w:rsidR="008D4FE3">
        <w:t xml:space="preserve">plasma concentrations reached 7 to </w:t>
      </w:r>
      <w:r w:rsidRPr="00C248B7">
        <w:t>16 days after dosing of both formulations. For both formulations, the exposure increased somewhat more than do</w:t>
      </w:r>
      <w:r w:rsidR="008D4FE3">
        <w:t xml:space="preserve">se </w:t>
      </w:r>
      <w:r w:rsidRPr="00C248B7">
        <w:t>proportional.</w:t>
      </w:r>
    </w:p>
    <w:p w14:paraId="2E503538" w14:textId="77777777" w:rsidR="005968B3" w:rsidRPr="00C248B7" w:rsidRDefault="005968B3" w:rsidP="00E84567">
      <w:pPr>
        <w:pStyle w:val="TableTitle"/>
        <w:pageBreakBefore/>
      </w:pPr>
      <w:r>
        <w:lastRenderedPageBreak/>
        <w:t>Table 4: Plasma exposures comparison for the 12 week and 4 week formulations</w:t>
      </w:r>
    </w:p>
    <w:tbl>
      <w:tblPr>
        <w:tblStyle w:val="TableTGAblue"/>
        <w:tblW w:w="0" w:type="auto"/>
        <w:tblLook w:val="04A0" w:firstRow="1" w:lastRow="0" w:firstColumn="1" w:lastColumn="0" w:noHBand="0" w:noVBand="1"/>
      </w:tblPr>
      <w:tblGrid>
        <w:gridCol w:w="2781"/>
        <w:gridCol w:w="1413"/>
        <w:gridCol w:w="1424"/>
        <w:gridCol w:w="1413"/>
        <w:gridCol w:w="1424"/>
      </w:tblGrid>
      <w:tr w:rsidR="00C248B7" w:rsidRPr="005968B3" w14:paraId="659A3BAF" w14:textId="77777777" w:rsidTr="00E84567">
        <w:trPr>
          <w:cnfStyle w:val="100000000000" w:firstRow="1" w:lastRow="0" w:firstColumn="0" w:lastColumn="0" w:oddVBand="0" w:evenVBand="0" w:oddHBand="0" w:evenHBand="0" w:firstRowFirstColumn="0" w:firstRowLastColumn="0" w:lastRowFirstColumn="0" w:lastRowLastColumn="0"/>
          <w:cantSplit/>
          <w:trHeight w:val="703"/>
        </w:trPr>
        <w:tc>
          <w:tcPr>
            <w:tcW w:w="2781" w:type="dxa"/>
            <w:vMerge w:val="restart"/>
          </w:tcPr>
          <w:p w14:paraId="561683AD" w14:textId="77777777" w:rsidR="00C248B7" w:rsidRPr="005968B3" w:rsidRDefault="00C248B7" w:rsidP="00C248B7">
            <w:pPr>
              <w:ind w:left="0"/>
              <w:rPr>
                <w:sz w:val="20"/>
              </w:rPr>
            </w:pPr>
            <w:r w:rsidRPr="005968B3">
              <w:rPr>
                <w:sz w:val="20"/>
              </w:rPr>
              <w:t xml:space="preserve">Dose (mg </w:t>
            </w:r>
            <w:proofErr w:type="spellStart"/>
            <w:r w:rsidRPr="005968B3">
              <w:rPr>
                <w:sz w:val="20"/>
              </w:rPr>
              <w:t>eq</w:t>
            </w:r>
            <w:proofErr w:type="spellEnd"/>
            <w:r w:rsidRPr="005968B3">
              <w:rPr>
                <w:sz w:val="20"/>
              </w:rPr>
              <w:t>/kg)</w:t>
            </w:r>
          </w:p>
        </w:tc>
        <w:tc>
          <w:tcPr>
            <w:tcW w:w="2837" w:type="dxa"/>
            <w:gridSpan w:val="2"/>
            <w:tcBorders>
              <w:bottom w:val="nil"/>
            </w:tcBorders>
          </w:tcPr>
          <w:p w14:paraId="38C677FD" w14:textId="77777777" w:rsidR="00C248B7" w:rsidRPr="005968B3" w:rsidRDefault="008D4FE3" w:rsidP="00C248B7">
            <w:pPr>
              <w:ind w:left="0"/>
              <w:rPr>
                <w:sz w:val="20"/>
              </w:rPr>
            </w:pPr>
            <w:r w:rsidRPr="005968B3">
              <w:rPr>
                <w:sz w:val="20"/>
              </w:rPr>
              <w:t>12 week</w:t>
            </w:r>
            <w:r w:rsidR="00C248B7" w:rsidRPr="005968B3">
              <w:rPr>
                <w:sz w:val="20"/>
              </w:rPr>
              <w:t xml:space="preserve"> depot formulation (F015)</w:t>
            </w:r>
          </w:p>
        </w:tc>
        <w:tc>
          <w:tcPr>
            <w:tcW w:w="2837" w:type="dxa"/>
            <w:gridSpan w:val="2"/>
            <w:tcBorders>
              <w:bottom w:val="nil"/>
            </w:tcBorders>
          </w:tcPr>
          <w:p w14:paraId="30F5ED38" w14:textId="77777777" w:rsidR="00C248B7" w:rsidRPr="005968B3" w:rsidRDefault="008D4FE3" w:rsidP="00C248B7">
            <w:pPr>
              <w:ind w:left="0"/>
              <w:rPr>
                <w:sz w:val="20"/>
              </w:rPr>
            </w:pPr>
            <w:r w:rsidRPr="005968B3">
              <w:rPr>
                <w:sz w:val="20"/>
              </w:rPr>
              <w:t>4 week</w:t>
            </w:r>
            <w:r w:rsidR="00C248B7" w:rsidRPr="005968B3">
              <w:rPr>
                <w:sz w:val="20"/>
              </w:rPr>
              <w:t xml:space="preserve"> depot formulation (F013)</w:t>
            </w:r>
          </w:p>
        </w:tc>
      </w:tr>
      <w:tr w:rsidR="00C248B7" w:rsidRPr="005968B3" w14:paraId="39ADAD0B" w14:textId="77777777" w:rsidTr="00E84567">
        <w:trPr>
          <w:cantSplit/>
          <w:trHeight w:val="142"/>
        </w:trPr>
        <w:tc>
          <w:tcPr>
            <w:tcW w:w="2781" w:type="dxa"/>
            <w:vMerge/>
            <w:tcBorders>
              <w:right w:val="single" w:sz="4" w:space="0" w:color="FFFFFF" w:themeColor="background1"/>
            </w:tcBorders>
          </w:tcPr>
          <w:p w14:paraId="68F08735" w14:textId="77777777" w:rsidR="00C248B7" w:rsidRPr="005968B3" w:rsidRDefault="00C248B7" w:rsidP="00C248B7">
            <w:pPr>
              <w:ind w:left="0"/>
              <w:rPr>
                <w:sz w:val="20"/>
              </w:rPr>
            </w:pPr>
          </w:p>
        </w:tc>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7FE5E6" w14:textId="77777777" w:rsidR="00C248B7" w:rsidRPr="005968B3" w:rsidRDefault="00C248B7" w:rsidP="00C248B7">
            <w:pPr>
              <w:ind w:left="0"/>
              <w:rPr>
                <w:sz w:val="20"/>
              </w:rPr>
            </w:pPr>
            <w:r w:rsidRPr="005968B3">
              <w:rPr>
                <w:sz w:val="20"/>
              </w:rPr>
              <w:t>17.5</w:t>
            </w:r>
          </w:p>
        </w:tc>
        <w:tc>
          <w:tcPr>
            <w:tcW w:w="1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A3AD1A" w14:textId="77777777" w:rsidR="00C248B7" w:rsidRPr="005968B3" w:rsidRDefault="00C248B7" w:rsidP="00C248B7">
            <w:pPr>
              <w:ind w:left="0"/>
              <w:rPr>
                <w:sz w:val="20"/>
              </w:rPr>
            </w:pPr>
            <w:r w:rsidRPr="005968B3">
              <w:rPr>
                <w:sz w:val="20"/>
              </w:rPr>
              <w:t>70</w:t>
            </w:r>
          </w:p>
        </w:tc>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34A4BA" w14:textId="77777777" w:rsidR="00C248B7" w:rsidRPr="005968B3" w:rsidRDefault="00C248B7" w:rsidP="00C248B7">
            <w:pPr>
              <w:ind w:left="0"/>
              <w:rPr>
                <w:sz w:val="20"/>
              </w:rPr>
            </w:pPr>
            <w:r w:rsidRPr="005968B3">
              <w:rPr>
                <w:sz w:val="20"/>
              </w:rPr>
              <w:t>5</w:t>
            </w:r>
          </w:p>
        </w:tc>
        <w:tc>
          <w:tcPr>
            <w:tcW w:w="1424" w:type="dxa"/>
            <w:tcBorders>
              <w:top w:val="single" w:sz="4" w:space="0" w:color="auto"/>
              <w:left w:val="single" w:sz="4" w:space="0" w:color="FFFFFF" w:themeColor="background1"/>
              <w:bottom w:val="single" w:sz="4" w:space="0" w:color="auto"/>
              <w:right w:val="single" w:sz="4" w:space="0" w:color="auto"/>
            </w:tcBorders>
          </w:tcPr>
          <w:p w14:paraId="2BA024BA" w14:textId="77777777" w:rsidR="00C248B7" w:rsidRPr="005968B3" w:rsidRDefault="00C248B7" w:rsidP="00C248B7">
            <w:pPr>
              <w:ind w:left="0"/>
              <w:rPr>
                <w:sz w:val="20"/>
              </w:rPr>
            </w:pPr>
            <w:r w:rsidRPr="005968B3">
              <w:rPr>
                <w:sz w:val="20"/>
              </w:rPr>
              <w:t>20</w:t>
            </w:r>
          </w:p>
        </w:tc>
      </w:tr>
      <w:tr w:rsidR="00C248B7" w:rsidRPr="005968B3" w14:paraId="63078450" w14:textId="77777777" w:rsidTr="00E84567">
        <w:trPr>
          <w:trHeight w:val="1895"/>
        </w:trPr>
        <w:tc>
          <w:tcPr>
            <w:tcW w:w="2781" w:type="dxa"/>
          </w:tcPr>
          <w:p w14:paraId="56D43EAF" w14:textId="77777777" w:rsidR="00C248B7" w:rsidRPr="005968B3" w:rsidRDefault="008D4FE3" w:rsidP="00C248B7">
            <w:pPr>
              <w:ind w:left="0"/>
              <w:rPr>
                <w:sz w:val="20"/>
              </w:rPr>
            </w:pPr>
            <w:proofErr w:type="spellStart"/>
            <w:r w:rsidRPr="005968B3">
              <w:rPr>
                <w:sz w:val="20"/>
              </w:rPr>
              <w:t>C</w:t>
            </w:r>
            <w:r w:rsidRPr="005968B3">
              <w:rPr>
                <w:sz w:val="20"/>
                <w:vertAlign w:val="subscript"/>
              </w:rPr>
              <w:t>max</w:t>
            </w:r>
            <w:proofErr w:type="spellEnd"/>
            <w:r w:rsidR="00C248B7" w:rsidRPr="005968B3">
              <w:rPr>
                <w:sz w:val="20"/>
              </w:rPr>
              <w:t xml:space="preserve"> (ng/mL)</w:t>
            </w:r>
          </w:p>
          <w:p w14:paraId="2775A88D" w14:textId="77777777" w:rsidR="00C248B7" w:rsidRPr="005968B3" w:rsidRDefault="00C248B7" w:rsidP="00C248B7">
            <w:pPr>
              <w:ind w:left="0"/>
              <w:rPr>
                <w:sz w:val="20"/>
              </w:rPr>
            </w:pPr>
            <w:r w:rsidRPr="005968B3">
              <w:rPr>
                <w:sz w:val="20"/>
              </w:rPr>
              <w:t>AUC</w:t>
            </w:r>
            <w:r w:rsidRPr="005968B3">
              <w:rPr>
                <w:sz w:val="20"/>
                <w:vertAlign w:val="subscript"/>
              </w:rPr>
              <w:t>0-28d</w:t>
            </w:r>
            <w:r w:rsidRPr="005968B3">
              <w:rPr>
                <w:sz w:val="20"/>
              </w:rPr>
              <w:t xml:space="preserve"> (</w:t>
            </w:r>
            <w:proofErr w:type="spellStart"/>
            <w:r w:rsidRPr="005968B3">
              <w:rPr>
                <w:sz w:val="20"/>
              </w:rPr>
              <w:t>ng.d</w:t>
            </w:r>
            <w:proofErr w:type="spellEnd"/>
            <w:r w:rsidRPr="005968B3">
              <w:rPr>
                <w:sz w:val="20"/>
              </w:rPr>
              <w:t>/mL)</w:t>
            </w:r>
          </w:p>
          <w:p w14:paraId="67CFEF0E" w14:textId="77777777" w:rsidR="00C248B7" w:rsidRPr="005968B3" w:rsidRDefault="00C248B7" w:rsidP="00C248B7">
            <w:pPr>
              <w:ind w:left="0"/>
              <w:rPr>
                <w:sz w:val="20"/>
              </w:rPr>
            </w:pPr>
            <w:r w:rsidRPr="005968B3">
              <w:rPr>
                <w:sz w:val="20"/>
              </w:rPr>
              <w:t>AUC</w:t>
            </w:r>
            <w:r w:rsidRPr="005968B3">
              <w:rPr>
                <w:sz w:val="20"/>
                <w:vertAlign w:val="subscript"/>
              </w:rPr>
              <w:t>0-84d</w:t>
            </w:r>
            <w:r w:rsidRPr="005968B3">
              <w:rPr>
                <w:sz w:val="20"/>
              </w:rPr>
              <w:t xml:space="preserve"> (</w:t>
            </w:r>
            <w:proofErr w:type="spellStart"/>
            <w:r w:rsidRPr="005968B3">
              <w:rPr>
                <w:sz w:val="20"/>
              </w:rPr>
              <w:t>ng.d</w:t>
            </w:r>
            <w:proofErr w:type="spellEnd"/>
            <w:r w:rsidRPr="005968B3">
              <w:rPr>
                <w:sz w:val="20"/>
              </w:rPr>
              <w:t>/mL)</w:t>
            </w:r>
          </w:p>
          <w:p w14:paraId="2F12D104" w14:textId="77777777" w:rsidR="00C248B7" w:rsidRPr="005968B3" w:rsidRDefault="00C248B7" w:rsidP="00C248B7">
            <w:pPr>
              <w:ind w:left="0"/>
              <w:rPr>
                <w:sz w:val="20"/>
              </w:rPr>
            </w:pPr>
            <w:proofErr w:type="spellStart"/>
            <w:r w:rsidRPr="005968B3">
              <w:rPr>
                <w:sz w:val="20"/>
              </w:rPr>
              <w:t>C</w:t>
            </w:r>
            <w:r w:rsidRPr="005968B3">
              <w:rPr>
                <w:sz w:val="20"/>
                <w:vertAlign w:val="subscript"/>
              </w:rPr>
              <w:t>av,τ</w:t>
            </w:r>
            <w:proofErr w:type="spellEnd"/>
          </w:p>
          <w:p w14:paraId="7FE953A0" w14:textId="77777777" w:rsidR="00C248B7" w:rsidRPr="005968B3" w:rsidRDefault="008D4FE3" w:rsidP="00C248B7">
            <w:pPr>
              <w:ind w:left="0"/>
              <w:rPr>
                <w:sz w:val="20"/>
              </w:rPr>
            </w:pPr>
            <w:proofErr w:type="spellStart"/>
            <w:r w:rsidRPr="005968B3">
              <w:rPr>
                <w:sz w:val="20"/>
              </w:rPr>
              <w:t>C</w:t>
            </w:r>
            <w:r w:rsidRPr="005968B3">
              <w:rPr>
                <w:sz w:val="20"/>
                <w:vertAlign w:val="subscript"/>
              </w:rPr>
              <w:t>max</w:t>
            </w:r>
            <w:proofErr w:type="spellEnd"/>
            <w:r w:rsidR="00C248B7" w:rsidRPr="005968B3">
              <w:rPr>
                <w:sz w:val="20"/>
              </w:rPr>
              <w:t xml:space="preserve"> / </w:t>
            </w:r>
            <w:proofErr w:type="spellStart"/>
            <w:r w:rsidR="00C248B7" w:rsidRPr="005968B3">
              <w:rPr>
                <w:sz w:val="20"/>
              </w:rPr>
              <w:t>C</w:t>
            </w:r>
            <w:r w:rsidR="00C248B7" w:rsidRPr="005968B3">
              <w:rPr>
                <w:sz w:val="20"/>
                <w:vertAlign w:val="subscript"/>
              </w:rPr>
              <w:t>τ</w:t>
            </w:r>
            <w:proofErr w:type="spellEnd"/>
          </w:p>
        </w:tc>
        <w:tc>
          <w:tcPr>
            <w:tcW w:w="1413" w:type="dxa"/>
            <w:tcBorders>
              <w:top w:val="single" w:sz="4" w:space="0" w:color="FFFFFF" w:themeColor="background1"/>
            </w:tcBorders>
          </w:tcPr>
          <w:p w14:paraId="353A24C6" w14:textId="77777777" w:rsidR="00C248B7" w:rsidRPr="005968B3" w:rsidRDefault="00C248B7" w:rsidP="00C248B7">
            <w:pPr>
              <w:ind w:left="0"/>
              <w:rPr>
                <w:sz w:val="20"/>
              </w:rPr>
            </w:pPr>
            <w:r w:rsidRPr="005968B3">
              <w:rPr>
                <w:sz w:val="20"/>
              </w:rPr>
              <w:t>17.6</w:t>
            </w:r>
          </w:p>
          <w:p w14:paraId="12A19F51" w14:textId="77777777" w:rsidR="00C248B7" w:rsidRPr="005968B3" w:rsidRDefault="00C248B7" w:rsidP="00C248B7">
            <w:pPr>
              <w:ind w:left="0"/>
              <w:rPr>
                <w:sz w:val="20"/>
              </w:rPr>
            </w:pPr>
            <w:r w:rsidRPr="005968B3">
              <w:rPr>
                <w:sz w:val="20"/>
              </w:rPr>
              <w:t>278</w:t>
            </w:r>
          </w:p>
          <w:p w14:paraId="5D69A2AB" w14:textId="77777777" w:rsidR="00C248B7" w:rsidRPr="005968B3" w:rsidRDefault="00C248B7" w:rsidP="00C248B7">
            <w:pPr>
              <w:ind w:left="0"/>
              <w:rPr>
                <w:sz w:val="20"/>
              </w:rPr>
            </w:pPr>
            <w:r w:rsidRPr="005968B3">
              <w:rPr>
                <w:sz w:val="20"/>
              </w:rPr>
              <w:t>378</w:t>
            </w:r>
          </w:p>
          <w:p w14:paraId="38925576" w14:textId="77777777" w:rsidR="00C248B7" w:rsidRPr="005968B3" w:rsidRDefault="00C248B7" w:rsidP="00C248B7">
            <w:pPr>
              <w:ind w:left="0"/>
              <w:rPr>
                <w:sz w:val="20"/>
              </w:rPr>
            </w:pPr>
            <w:r w:rsidRPr="005968B3">
              <w:rPr>
                <w:sz w:val="20"/>
              </w:rPr>
              <w:t>4.5</w:t>
            </w:r>
          </w:p>
          <w:p w14:paraId="60E55373" w14:textId="77777777" w:rsidR="00C248B7" w:rsidRPr="005968B3" w:rsidRDefault="00C248B7" w:rsidP="00C248B7">
            <w:pPr>
              <w:ind w:left="0"/>
              <w:rPr>
                <w:sz w:val="20"/>
              </w:rPr>
            </w:pPr>
            <w:r w:rsidRPr="005968B3">
              <w:rPr>
                <w:sz w:val="20"/>
              </w:rPr>
              <w:t>25</w:t>
            </w:r>
          </w:p>
        </w:tc>
        <w:tc>
          <w:tcPr>
            <w:tcW w:w="1424" w:type="dxa"/>
            <w:tcBorders>
              <w:top w:val="single" w:sz="4" w:space="0" w:color="FFFFFF" w:themeColor="background1"/>
            </w:tcBorders>
          </w:tcPr>
          <w:p w14:paraId="58BF5CD6" w14:textId="77777777" w:rsidR="00C248B7" w:rsidRPr="005968B3" w:rsidRDefault="00C248B7" w:rsidP="00C248B7">
            <w:pPr>
              <w:ind w:left="0"/>
              <w:rPr>
                <w:sz w:val="20"/>
              </w:rPr>
            </w:pPr>
            <w:r w:rsidRPr="005968B3">
              <w:rPr>
                <w:sz w:val="20"/>
              </w:rPr>
              <w:t>68.3</w:t>
            </w:r>
          </w:p>
          <w:p w14:paraId="40595376" w14:textId="77777777" w:rsidR="00C248B7" w:rsidRPr="005968B3" w:rsidRDefault="00C248B7" w:rsidP="00C248B7">
            <w:pPr>
              <w:ind w:left="0"/>
              <w:rPr>
                <w:sz w:val="20"/>
              </w:rPr>
            </w:pPr>
            <w:r w:rsidRPr="005968B3">
              <w:rPr>
                <w:sz w:val="20"/>
              </w:rPr>
              <w:t>1067</w:t>
            </w:r>
          </w:p>
          <w:p w14:paraId="3DE3A7EA" w14:textId="77777777" w:rsidR="00C248B7" w:rsidRPr="005968B3" w:rsidRDefault="00C248B7" w:rsidP="00C248B7">
            <w:pPr>
              <w:ind w:left="0"/>
              <w:rPr>
                <w:sz w:val="20"/>
              </w:rPr>
            </w:pPr>
            <w:r w:rsidRPr="005968B3">
              <w:rPr>
                <w:sz w:val="20"/>
              </w:rPr>
              <w:t>1888</w:t>
            </w:r>
          </w:p>
          <w:p w14:paraId="61AD91E0" w14:textId="77777777" w:rsidR="00C248B7" w:rsidRPr="005968B3" w:rsidRDefault="00C248B7" w:rsidP="00C248B7">
            <w:pPr>
              <w:ind w:left="0"/>
              <w:rPr>
                <w:sz w:val="20"/>
              </w:rPr>
            </w:pPr>
            <w:r w:rsidRPr="005968B3">
              <w:rPr>
                <w:sz w:val="20"/>
              </w:rPr>
              <w:t>23</w:t>
            </w:r>
          </w:p>
          <w:p w14:paraId="5AC21E5B" w14:textId="77777777" w:rsidR="00C248B7" w:rsidRPr="005968B3" w:rsidRDefault="00C248B7" w:rsidP="00C248B7">
            <w:pPr>
              <w:ind w:left="0"/>
              <w:rPr>
                <w:sz w:val="20"/>
              </w:rPr>
            </w:pPr>
            <w:r w:rsidRPr="005968B3">
              <w:rPr>
                <w:sz w:val="20"/>
              </w:rPr>
              <w:t>8.6</w:t>
            </w:r>
          </w:p>
        </w:tc>
        <w:tc>
          <w:tcPr>
            <w:tcW w:w="1413" w:type="dxa"/>
            <w:tcBorders>
              <w:top w:val="single" w:sz="4" w:space="0" w:color="FFFFFF" w:themeColor="background1"/>
            </w:tcBorders>
          </w:tcPr>
          <w:p w14:paraId="64137D0C" w14:textId="77777777" w:rsidR="00C248B7" w:rsidRPr="005968B3" w:rsidRDefault="00C248B7" w:rsidP="00C248B7">
            <w:pPr>
              <w:ind w:left="0"/>
              <w:rPr>
                <w:sz w:val="20"/>
              </w:rPr>
            </w:pPr>
            <w:r w:rsidRPr="005968B3">
              <w:rPr>
                <w:sz w:val="20"/>
              </w:rPr>
              <w:t>9.77</w:t>
            </w:r>
          </w:p>
          <w:p w14:paraId="5AB11617" w14:textId="77777777" w:rsidR="00C248B7" w:rsidRPr="005968B3" w:rsidRDefault="00C248B7" w:rsidP="00C248B7">
            <w:pPr>
              <w:ind w:left="0"/>
              <w:rPr>
                <w:sz w:val="20"/>
              </w:rPr>
            </w:pPr>
            <w:r w:rsidRPr="005968B3">
              <w:rPr>
                <w:sz w:val="20"/>
              </w:rPr>
              <w:t>111</w:t>
            </w:r>
          </w:p>
          <w:p w14:paraId="56A95D4D" w14:textId="77777777" w:rsidR="00C248B7" w:rsidRPr="005968B3" w:rsidRDefault="00C248B7" w:rsidP="00C248B7">
            <w:pPr>
              <w:ind w:left="0"/>
              <w:rPr>
                <w:sz w:val="20"/>
              </w:rPr>
            </w:pPr>
            <w:r w:rsidRPr="005968B3">
              <w:rPr>
                <w:sz w:val="20"/>
              </w:rPr>
              <w:t>314</w:t>
            </w:r>
          </w:p>
          <w:p w14:paraId="3A6D30DC" w14:textId="77777777" w:rsidR="00C248B7" w:rsidRPr="005968B3" w:rsidRDefault="00C248B7" w:rsidP="00C248B7">
            <w:pPr>
              <w:ind w:left="0"/>
              <w:rPr>
                <w:sz w:val="20"/>
              </w:rPr>
            </w:pPr>
            <w:r w:rsidRPr="005968B3">
              <w:rPr>
                <w:sz w:val="20"/>
              </w:rPr>
              <w:t>4.0</w:t>
            </w:r>
          </w:p>
          <w:p w14:paraId="09F83241" w14:textId="77777777" w:rsidR="00C248B7" w:rsidRPr="005968B3" w:rsidRDefault="00C248B7" w:rsidP="00C248B7">
            <w:pPr>
              <w:ind w:left="0"/>
              <w:rPr>
                <w:sz w:val="20"/>
              </w:rPr>
            </w:pPr>
            <w:r w:rsidRPr="005968B3">
              <w:rPr>
                <w:sz w:val="20"/>
              </w:rPr>
              <w:t>5.1</w:t>
            </w:r>
          </w:p>
        </w:tc>
        <w:tc>
          <w:tcPr>
            <w:tcW w:w="1424" w:type="dxa"/>
            <w:tcBorders>
              <w:top w:val="nil"/>
            </w:tcBorders>
          </w:tcPr>
          <w:p w14:paraId="11ACA249" w14:textId="77777777" w:rsidR="00C248B7" w:rsidRPr="005968B3" w:rsidRDefault="00C248B7" w:rsidP="00C248B7">
            <w:pPr>
              <w:ind w:left="0"/>
              <w:rPr>
                <w:sz w:val="20"/>
              </w:rPr>
            </w:pPr>
            <w:r w:rsidRPr="005968B3">
              <w:rPr>
                <w:sz w:val="20"/>
              </w:rPr>
              <w:t>68.1</w:t>
            </w:r>
          </w:p>
          <w:p w14:paraId="26DA869D" w14:textId="77777777" w:rsidR="00C248B7" w:rsidRPr="005968B3" w:rsidRDefault="00C248B7" w:rsidP="00C248B7">
            <w:pPr>
              <w:ind w:left="0"/>
              <w:rPr>
                <w:sz w:val="20"/>
              </w:rPr>
            </w:pPr>
            <w:r w:rsidRPr="005968B3">
              <w:rPr>
                <w:sz w:val="20"/>
              </w:rPr>
              <w:t>682</w:t>
            </w:r>
          </w:p>
          <w:p w14:paraId="286B0270" w14:textId="77777777" w:rsidR="00C248B7" w:rsidRPr="005968B3" w:rsidRDefault="00C248B7" w:rsidP="00C248B7">
            <w:pPr>
              <w:ind w:left="0"/>
              <w:rPr>
                <w:sz w:val="20"/>
              </w:rPr>
            </w:pPr>
            <w:r w:rsidRPr="005968B3">
              <w:rPr>
                <w:sz w:val="20"/>
              </w:rPr>
              <w:t>1740</w:t>
            </w:r>
          </w:p>
          <w:p w14:paraId="2C494E84" w14:textId="77777777" w:rsidR="00C248B7" w:rsidRPr="005968B3" w:rsidRDefault="00C248B7" w:rsidP="00C248B7">
            <w:pPr>
              <w:ind w:left="0"/>
              <w:rPr>
                <w:sz w:val="20"/>
              </w:rPr>
            </w:pPr>
            <w:r w:rsidRPr="005968B3">
              <w:rPr>
                <w:sz w:val="20"/>
              </w:rPr>
              <w:t>24</w:t>
            </w:r>
          </w:p>
          <w:p w14:paraId="1355F0E7" w14:textId="77777777" w:rsidR="00C248B7" w:rsidRPr="005968B3" w:rsidRDefault="00C248B7" w:rsidP="00C248B7">
            <w:pPr>
              <w:ind w:left="0"/>
              <w:rPr>
                <w:sz w:val="20"/>
              </w:rPr>
            </w:pPr>
            <w:r w:rsidRPr="005968B3">
              <w:rPr>
                <w:sz w:val="20"/>
              </w:rPr>
              <w:t>7.0</w:t>
            </w:r>
          </w:p>
        </w:tc>
      </w:tr>
    </w:tbl>
    <w:p w14:paraId="326BEC52" w14:textId="77777777" w:rsidR="008E7846" w:rsidRDefault="008E7846" w:rsidP="008E7846">
      <w:pPr>
        <w:pStyle w:val="Heading3"/>
      </w:pPr>
      <w:bookmarkStart w:id="51" w:name="_Toc247691515"/>
      <w:bookmarkStart w:id="52" w:name="_Toc314842499"/>
      <w:bookmarkStart w:id="53" w:name="_Toc497913781"/>
      <w:r>
        <w:t>Nonclinical summary and conclusions</w:t>
      </w:r>
      <w:bookmarkEnd w:id="51"/>
      <w:bookmarkEnd w:id="52"/>
      <w:bookmarkEnd w:id="53"/>
    </w:p>
    <w:p w14:paraId="7155D7E8" w14:textId="77777777" w:rsidR="00C248B7" w:rsidRPr="00C248B7" w:rsidRDefault="00C248B7" w:rsidP="00C248B7">
      <w:r w:rsidRPr="00C248B7">
        <w:t xml:space="preserve">The newly submitted toxicological (local tolerance) study in </w:t>
      </w:r>
      <w:proofErr w:type="spellStart"/>
      <w:r w:rsidRPr="00C248B7">
        <w:t>minipigs</w:t>
      </w:r>
      <w:proofErr w:type="spellEnd"/>
      <w:r w:rsidRPr="00C248B7">
        <w:t xml:space="preserve"> is an extension of an earlier (2007) study in this species (TOX8249), which was evaluated for the registration application for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C248B7">
        <w:t xml:space="preserve"> (PM-2009-00926-3-1). The earlier study had compared the local tolerance of </w:t>
      </w:r>
      <w:proofErr w:type="spellStart"/>
      <w:r w:rsidRPr="00C248B7">
        <w:t>paliperidone</w:t>
      </w:r>
      <w:proofErr w:type="spellEnd"/>
      <w:r w:rsidRPr="00C248B7">
        <w:t xml:space="preserve"> palmitate administered IM as a single dose of the </w:t>
      </w:r>
      <w:r w:rsidR="005968B3">
        <w:t>12 </w:t>
      </w:r>
      <w:r w:rsidR="008D4FE3">
        <w:t>week</w:t>
      </w:r>
      <w:r w:rsidRPr="00C248B7">
        <w:t xml:space="preserve"> depot formulation (F015; 15 and 60 mg </w:t>
      </w:r>
      <w:proofErr w:type="spellStart"/>
      <w:r w:rsidRPr="00C248B7">
        <w:t>eq</w:t>
      </w:r>
      <w:proofErr w:type="spellEnd"/>
      <w:r w:rsidRPr="00C248B7">
        <w:t xml:space="preserve">/kg) with those of 3 consecutive monthly injections of the </w:t>
      </w:r>
      <w:r w:rsidR="008D4FE3">
        <w:t>4 week</w:t>
      </w:r>
      <w:r w:rsidRPr="00C248B7">
        <w:t xml:space="preserve"> depot formulation (F013; 5 and 20 mg </w:t>
      </w:r>
      <w:proofErr w:type="spellStart"/>
      <w:r w:rsidRPr="00C248B7">
        <w:t>eq</w:t>
      </w:r>
      <w:proofErr w:type="spellEnd"/>
      <w:r w:rsidRPr="00C248B7">
        <w:t xml:space="preserve">/kg). The more recent study repeated this protocol, using higher doses of the </w:t>
      </w:r>
      <w:r w:rsidR="008D4FE3">
        <w:t>12 week</w:t>
      </w:r>
      <w:r w:rsidRPr="00C248B7">
        <w:t xml:space="preserve"> depot formulation (17.5 and 70 mg </w:t>
      </w:r>
      <w:proofErr w:type="spellStart"/>
      <w:r w:rsidRPr="00C248B7">
        <w:t>eq</w:t>
      </w:r>
      <w:proofErr w:type="spellEnd"/>
      <w:r w:rsidRPr="00C248B7">
        <w:t xml:space="preserve">/kg) but the same doses of the </w:t>
      </w:r>
      <w:r w:rsidR="008D4FE3">
        <w:t>4 week</w:t>
      </w:r>
      <w:r w:rsidR="005968B3">
        <w:t xml:space="preserve"> depot formulation (5, 20 mg </w:t>
      </w:r>
      <w:proofErr w:type="spellStart"/>
      <w:r w:rsidRPr="00C248B7">
        <w:t>eq</w:t>
      </w:r>
      <w:proofErr w:type="spellEnd"/>
      <w:r w:rsidRPr="00C248B7">
        <w:t xml:space="preserve">/kg). Essentially comparable results were obtained in the old and new studies, with the qualitative histopathological differences between the </w:t>
      </w:r>
      <w:r w:rsidR="008D4FE3">
        <w:t>4 week</w:t>
      </w:r>
      <w:r w:rsidRPr="00C248B7">
        <w:t xml:space="preserve"> and the </w:t>
      </w:r>
      <w:r w:rsidR="008D4FE3">
        <w:t>12 week</w:t>
      </w:r>
      <w:r w:rsidRPr="00C248B7">
        <w:t xml:space="preserve"> formulations apparent in both studies. Thus, the severity of the inflammation was similar between the 2 formulations but the cellular reaction pattern differed, a consistent finding across both studies. Thus, there is no new nonclinical information in the more recent, higher dose study which would impact on the risk assessment of the </w:t>
      </w:r>
      <w:r w:rsidR="008D4FE3">
        <w:t xml:space="preserve">3 month </w:t>
      </w:r>
      <w:r w:rsidRPr="00C248B7">
        <w:t>injection product.</w:t>
      </w:r>
    </w:p>
    <w:p w14:paraId="0548E27C" w14:textId="77777777" w:rsidR="00C248B7" w:rsidRPr="00C248B7" w:rsidRDefault="00C248B7" w:rsidP="00C248B7">
      <w:r w:rsidRPr="00C248B7">
        <w:t>As discussed in the nonclinical evaluation report for the earlier submission, these findings have uncertain relevance to clinical local reactions to IM injection of the product, which will be asse</w:t>
      </w:r>
      <w:r w:rsidR="005968B3">
        <w:t>ssed by the clinical evaluator.</w:t>
      </w:r>
    </w:p>
    <w:p w14:paraId="5825649F" w14:textId="77777777" w:rsidR="008E7846" w:rsidRPr="00254787" w:rsidRDefault="008E7846" w:rsidP="008E7846">
      <w:pPr>
        <w:pStyle w:val="Heading2"/>
      </w:pPr>
      <w:bookmarkStart w:id="54" w:name="_Toc196046462"/>
      <w:bookmarkStart w:id="55" w:name="_Toc247691516"/>
      <w:bookmarkStart w:id="56" w:name="_Toc314842500"/>
      <w:bookmarkStart w:id="57" w:name="_Toc163441353"/>
      <w:bookmarkStart w:id="58" w:name="_Toc163441348"/>
      <w:bookmarkStart w:id="59" w:name="_Toc497913782"/>
      <w:r>
        <w:t xml:space="preserve">IV. </w:t>
      </w:r>
      <w:r w:rsidRPr="00254787">
        <w:t>Clinical</w:t>
      </w:r>
      <w:bookmarkEnd w:id="54"/>
      <w:r>
        <w:t xml:space="preserve"> </w:t>
      </w:r>
      <w:r w:rsidR="003A7F6C">
        <w:t>f</w:t>
      </w:r>
      <w:r>
        <w:t>indings</w:t>
      </w:r>
      <w:bookmarkEnd w:id="55"/>
      <w:bookmarkEnd w:id="56"/>
      <w:bookmarkEnd w:id="59"/>
    </w:p>
    <w:p w14:paraId="2D91FCBB" w14:textId="77777777" w:rsidR="00C80137" w:rsidRDefault="00C80137" w:rsidP="00D425BB">
      <w:bookmarkStart w:id="60"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14:paraId="54996B06" w14:textId="77777777" w:rsidR="008E7846" w:rsidRDefault="008E7846" w:rsidP="008E7846">
      <w:pPr>
        <w:pStyle w:val="Heading3"/>
      </w:pPr>
      <w:bookmarkStart w:id="61" w:name="_Toc247691517"/>
      <w:bookmarkStart w:id="62" w:name="_Toc314842501"/>
      <w:bookmarkStart w:id="63" w:name="_Toc497913783"/>
      <w:r w:rsidRPr="00254787">
        <w:t>Introduction</w:t>
      </w:r>
      <w:bookmarkEnd w:id="60"/>
      <w:bookmarkEnd w:id="61"/>
      <w:bookmarkEnd w:id="62"/>
      <w:bookmarkEnd w:id="63"/>
    </w:p>
    <w:p w14:paraId="1CAB9DE6" w14:textId="77777777" w:rsidR="00605AD4" w:rsidRDefault="00605AD4" w:rsidP="00605AD4">
      <w:pPr>
        <w:pStyle w:val="Heading4"/>
      </w:pPr>
      <w:bookmarkStart w:id="64" w:name="_Toc196046464"/>
      <w:bookmarkStart w:id="65" w:name="_Toc247691518"/>
      <w:bookmarkStart w:id="66" w:name="_Toc314842502"/>
      <w:r w:rsidRPr="00605AD4">
        <w:t xml:space="preserve">Clinical </w:t>
      </w:r>
      <w:r w:rsidR="00EF59DC">
        <w:t>r</w:t>
      </w:r>
      <w:r w:rsidRPr="00605AD4">
        <w:t>ationale</w:t>
      </w:r>
    </w:p>
    <w:p w14:paraId="7ED5366D" w14:textId="77777777" w:rsidR="003D24CD" w:rsidRPr="003D24CD" w:rsidRDefault="003D24CD" w:rsidP="003D24CD">
      <w:r w:rsidRPr="007D66D9">
        <w:t>Adherence to antipsychotic therapy is essential for the continuous effective drug exposure needed for optimizi</w:t>
      </w:r>
      <w:r>
        <w:t>ng</w:t>
      </w:r>
      <w:r w:rsidRPr="007D66D9">
        <w:t xml:space="preserve"> therapeutic benefit with respect to preventi</w:t>
      </w:r>
      <w:r>
        <w:t>ng</w:t>
      </w:r>
      <w:r w:rsidRPr="007D66D9">
        <w:t xml:space="preserve"> or delayi</w:t>
      </w:r>
      <w:r>
        <w:t>ng relapse and/or re</w:t>
      </w:r>
      <w:r>
        <w:noBreakHyphen/>
      </w:r>
      <w:r w:rsidRPr="007D66D9">
        <w:t>hospitalization; however, patients with schizophrenia exhibit various levels of m</w:t>
      </w:r>
      <w:r>
        <w:t>edication compliance behaviour.</w:t>
      </w:r>
    </w:p>
    <w:p w14:paraId="5495E470" w14:textId="77777777" w:rsidR="00605AD4" w:rsidRDefault="00605AD4" w:rsidP="00605AD4">
      <w:pPr>
        <w:pStyle w:val="Heading4"/>
      </w:pPr>
      <w:r w:rsidRPr="00605AD4">
        <w:lastRenderedPageBreak/>
        <w:t>Contents of the clinical dossier</w:t>
      </w:r>
    </w:p>
    <w:p w14:paraId="15698BCF" w14:textId="77777777" w:rsidR="003D24CD" w:rsidRPr="007D66D9" w:rsidRDefault="003D24CD" w:rsidP="003D24CD">
      <w:pPr>
        <w:rPr>
          <w:color w:val="000000"/>
        </w:rPr>
      </w:pPr>
      <w:r w:rsidRPr="007D66D9">
        <w:rPr>
          <w:color w:val="000000"/>
        </w:rPr>
        <w:t>The submission contained the followi</w:t>
      </w:r>
      <w:r>
        <w:rPr>
          <w:color w:val="000000"/>
        </w:rPr>
        <w:t>ng</w:t>
      </w:r>
      <w:r w:rsidRPr="007D66D9">
        <w:rPr>
          <w:color w:val="000000"/>
        </w:rPr>
        <w:t xml:space="preserve"> clinical information:</w:t>
      </w:r>
    </w:p>
    <w:p w14:paraId="0D2545FD" w14:textId="77777777" w:rsidR="003D24CD" w:rsidRPr="007D66D9" w:rsidRDefault="003D24CD" w:rsidP="00853CB9">
      <w:pPr>
        <w:pStyle w:val="ListBullet"/>
      </w:pPr>
      <w:r w:rsidRPr="007D66D9">
        <w:t>Evidence proposed to support the Efficacy, Safety and Tolerability of 3 monthly injections of the formulation:</w:t>
      </w:r>
    </w:p>
    <w:p w14:paraId="69FAC0D1" w14:textId="77777777" w:rsidR="003D24CD" w:rsidRDefault="003D24CD" w:rsidP="003D24CD">
      <w:pPr>
        <w:pStyle w:val="Numberbullet2"/>
        <w:numPr>
          <w:ilvl w:val="1"/>
          <w:numId w:val="12"/>
        </w:numPr>
      </w:pPr>
      <w:r w:rsidRPr="007D66D9">
        <w:t>Clinical pharma</w:t>
      </w:r>
      <w:r>
        <w:t xml:space="preserve">cology study R092670-PSY-1005; A Single dose, open label, randomized, parallel </w:t>
      </w:r>
      <w:r w:rsidRPr="007D66D9">
        <w:t xml:space="preserve">group study to assess the pharmacokinetics, safety, and tolerability of </w:t>
      </w:r>
      <w:proofErr w:type="spellStart"/>
      <w:r w:rsidR="005968B3" w:rsidRPr="00A04896">
        <w:t>Invega</w:t>
      </w:r>
      <w:proofErr w:type="spellEnd"/>
      <w:r w:rsidR="005968B3" w:rsidRPr="00A04896">
        <w:t xml:space="preserve"> </w:t>
      </w:r>
      <w:proofErr w:type="spellStart"/>
      <w:r w:rsidR="005968B3" w:rsidRPr="00A04896">
        <w:t>Trinza</w:t>
      </w:r>
      <w:proofErr w:type="spellEnd"/>
      <w:r w:rsidRPr="007D66D9">
        <w:t xml:space="preserve"> in subjects </w:t>
      </w:r>
      <w:r>
        <w:t>w</w:t>
      </w:r>
      <w:r w:rsidRPr="007D66D9">
        <w:t>ith schizophrenia</w:t>
      </w:r>
      <w:r>
        <w:t>.</w:t>
      </w:r>
    </w:p>
    <w:p w14:paraId="53C3FDD2" w14:textId="77777777" w:rsidR="003D24CD" w:rsidRPr="007D66D9" w:rsidRDefault="003D24CD" w:rsidP="003D24CD">
      <w:pPr>
        <w:pStyle w:val="Numberbullet2"/>
        <w:numPr>
          <w:ilvl w:val="1"/>
          <w:numId w:val="12"/>
        </w:numPr>
      </w:pPr>
      <w:r w:rsidRPr="007D66D9">
        <w:t xml:space="preserve">PK reports for studies R092670-PSY-3011 </w:t>
      </w:r>
      <w:r>
        <w:t>and</w:t>
      </w:r>
      <w:r w:rsidRPr="007D66D9">
        <w:t xml:space="preserve"> 3012.</w:t>
      </w:r>
    </w:p>
    <w:p w14:paraId="20ED50B6" w14:textId="77777777" w:rsidR="003D24CD" w:rsidRPr="007D66D9" w:rsidRDefault="003D24CD" w:rsidP="003D24CD">
      <w:pPr>
        <w:pStyle w:val="Numberbullet2"/>
        <w:numPr>
          <w:ilvl w:val="1"/>
          <w:numId w:val="12"/>
        </w:numPr>
      </w:pPr>
      <w:r w:rsidRPr="007D66D9">
        <w:t>Efficacy/Safety studies:</w:t>
      </w:r>
    </w:p>
    <w:p w14:paraId="4B3E0D6A" w14:textId="77777777" w:rsidR="003D24CD" w:rsidRPr="007D66D9" w:rsidRDefault="003D24CD" w:rsidP="003D24CD">
      <w:pPr>
        <w:pStyle w:val="Numberbullet3"/>
        <w:numPr>
          <w:ilvl w:val="2"/>
          <w:numId w:val="12"/>
        </w:numPr>
      </w:pPr>
      <w:r>
        <w:t xml:space="preserve">R092670-PSY-3011; </w:t>
      </w:r>
      <w:r w:rsidRPr="007D66D9">
        <w:t xml:space="preserve">A </w:t>
      </w:r>
      <w:r>
        <w:t xml:space="preserve">randomized, multicentre, double </w:t>
      </w:r>
      <w:r w:rsidRPr="007D66D9">
        <w:t xml:space="preserve">blind, non-inferiority study of </w:t>
      </w:r>
      <w:proofErr w:type="spellStart"/>
      <w:r w:rsidRPr="007D66D9">
        <w:t>paliperidone</w:t>
      </w:r>
      <w:proofErr w:type="spellEnd"/>
      <w:r w:rsidRPr="007D66D9">
        <w:t xml:space="preserve"> palmitate 3 month and 1 month formulations for the treatment of subjects with schizophrenia.</w:t>
      </w:r>
    </w:p>
    <w:p w14:paraId="2695774C" w14:textId="77777777" w:rsidR="003D24CD" w:rsidRPr="007D66D9" w:rsidRDefault="003D24CD" w:rsidP="003D24CD">
      <w:pPr>
        <w:pStyle w:val="Numberbullet3"/>
        <w:numPr>
          <w:ilvl w:val="2"/>
          <w:numId w:val="12"/>
        </w:numPr>
      </w:pPr>
      <w:r>
        <w:t xml:space="preserve">R092670-PSY-3012; </w:t>
      </w:r>
      <w:r w:rsidRPr="007D66D9">
        <w:t xml:space="preserve">A </w:t>
      </w:r>
      <w:r>
        <w:t xml:space="preserve">randomized, multicentre, double </w:t>
      </w:r>
      <w:r w:rsidRPr="007D66D9">
        <w:t xml:space="preserve">blind, relapse prevention study of </w:t>
      </w:r>
      <w:proofErr w:type="spellStart"/>
      <w:r w:rsidR="005968B3" w:rsidRPr="00A04896">
        <w:t>Invega</w:t>
      </w:r>
      <w:proofErr w:type="spellEnd"/>
      <w:r w:rsidR="005968B3" w:rsidRPr="00A04896">
        <w:t xml:space="preserve"> </w:t>
      </w:r>
      <w:proofErr w:type="spellStart"/>
      <w:r w:rsidR="005968B3" w:rsidRPr="00A04896">
        <w:t>Trinza</w:t>
      </w:r>
      <w:proofErr w:type="spellEnd"/>
      <w:r w:rsidRPr="007D66D9">
        <w:t xml:space="preserve"> for the treatment of subjects with schizophrenia.</w:t>
      </w:r>
    </w:p>
    <w:p w14:paraId="4F0E65A4" w14:textId="6431B040" w:rsidR="003D24CD" w:rsidRPr="007D66D9" w:rsidRDefault="003D24CD" w:rsidP="00853CB9">
      <w:pPr>
        <w:pStyle w:val="ListBullet"/>
      </w:pPr>
      <w:r w:rsidRPr="007D66D9">
        <w:t xml:space="preserve">Evidence proposed to support the use of 3 monthly injections of the formulation outside the dosage (frequency) used in the clinical </w:t>
      </w:r>
      <w:r w:rsidR="000C5BA7">
        <w:t>trials (3 population analyses):</w:t>
      </w:r>
    </w:p>
    <w:p w14:paraId="765E25E8" w14:textId="77777777" w:rsidR="003D24CD" w:rsidRPr="007D66D9" w:rsidRDefault="003D24CD" w:rsidP="003D24CD">
      <w:pPr>
        <w:pStyle w:val="Numberbullet2"/>
        <w:numPr>
          <w:ilvl w:val="1"/>
          <w:numId w:val="13"/>
        </w:numPr>
      </w:pPr>
      <w:r w:rsidRPr="007D66D9">
        <w:t>A population PK report REP-1-JAN-PAL-PMX-1.</w:t>
      </w:r>
    </w:p>
    <w:p w14:paraId="14E1339D" w14:textId="77777777" w:rsidR="003D24CD" w:rsidRPr="007D66D9" w:rsidRDefault="003D24CD" w:rsidP="003D24CD">
      <w:pPr>
        <w:pStyle w:val="Numberbullet2"/>
        <w:numPr>
          <w:ilvl w:val="1"/>
          <w:numId w:val="12"/>
        </w:numPr>
      </w:pPr>
      <w:r>
        <w:t xml:space="preserve">Population pharmacokinetic / </w:t>
      </w:r>
      <w:proofErr w:type="spellStart"/>
      <w:r w:rsidRPr="007D66D9">
        <w:t>pharmacodynamic</w:t>
      </w:r>
      <w:proofErr w:type="spellEnd"/>
      <w:r w:rsidRPr="007D66D9">
        <w:t xml:space="preserve"> modelli</w:t>
      </w:r>
      <w:r>
        <w:t>ng</w:t>
      </w:r>
      <w:r w:rsidRPr="007D66D9">
        <w:t xml:space="preserve"> of two intramuscular formulations of </w:t>
      </w:r>
      <w:proofErr w:type="spellStart"/>
      <w:r w:rsidRPr="007D66D9">
        <w:t>paliperidone</w:t>
      </w:r>
      <w:proofErr w:type="spellEnd"/>
      <w:r w:rsidRPr="007D66D9">
        <w:t xml:space="preserve"> palmitate in Study R092670-PSY-3011.</w:t>
      </w:r>
    </w:p>
    <w:p w14:paraId="1E85CB1B" w14:textId="77777777" w:rsidR="003D24CD" w:rsidRPr="007D66D9" w:rsidRDefault="003D24CD" w:rsidP="003D24CD">
      <w:pPr>
        <w:pStyle w:val="Numberbullet2"/>
        <w:numPr>
          <w:ilvl w:val="1"/>
          <w:numId w:val="12"/>
        </w:numPr>
      </w:pPr>
      <w:r w:rsidRPr="007D66D9">
        <w:t>Pharmacokinetic-</w:t>
      </w:r>
      <w:proofErr w:type="spellStart"/>
      <w:r w:rsidRPr="007D66D9">
        <w:t>pharmacodynamic</w:t>
      </w:r>
      <w:proofErr w:type="spellEnd"/>
      <w:r w:rsidRPr="007D66D9">
        <w:t xml:space="preserve"> modelli</w:t>
      </w:r>
      <w:r>
        <w:t>ng</w:t>
      </w:r>
      <w:r w:rsidRPr="007D66D9">
        <w:t xml:space="preserve"> of two intramuscular formulations of </w:t>
      </w:r>
      <w:proofErr w:type="spellStart"/>
      <w:r w:rsidRPr="007D66D9">
        <w:t>paliperidone</w:t>
      </w:r>
      <w:proofErr w:type="spellEnd"/>
      <w:r w:rsidRPr="007D66D9">
        <w:t xml:space="preserve"> palmitate in Study R092670-PSY-3012.</w:t>
      </w:r>
    </w:p>
    <w:p w14:paraId="0DCD7FB6" w14:textId="77777777" w:rsidR="003D24CD" w:rsidRPr="007D66D9" w:rsidRDefault="005968B3" w:rsidP="00853CB9">
      <w:pPr>
        <w:pStyle w:val="ListBullet"/>
      </w:pPr>
      <w:proofErr w:type="spellStart"/>
      <w:r w:rsidRPr="00A04896">
        <w:t>Invega</w:t>
      </w:r>
      <w:proofErr w:type="spellEnd"/>
      <w:r w:rsidRPr="00A04896">
        <w:t xml:space="preserve"> </w:t>
      </w:r>
      <w:proofErr w:type="spellStart"/>
      <w:r w:rsidRPr="00A04896">
        <w:t>Trinza</w:t>
      </w:r>
      <w:proofErr w:type="spellEnd"/>
      <w:r w:rsidR="003D24CD" w:rsidRPr="007D66D9">
        <w:t xml:space="preserve"> patient and physician preference surveys summary report.</w:t>
      </w:r>
    </w:p>
    <w:p w14:paraId="1FA925BD" w14:textId="77777777" w:rsidR="003D24CD" w:rsidRPr="007D66D9" w:rsidRDefault="003D24CD" w:rsidP="00853CB9">
      <w:pPr>
        <w:pStyle w:val="ListBullet"/>
      </w:pPr>
      <w:r w:rsidRPr="007D66D9">
        <w:t>Literature summaries 01 January 2014 to16 February 2015.</w:t>
      </w:r>
    </w:p>
    <w:p w14:paraId="3719751D" w14:textId="77777777" w:rsidR="003D24CD" w:rsidRPr="003D24CD" w:rsidRDefault="003D24CD" w:rsidP="00853CB9">
      <w:pPr>
        <w:pStyle w:val="ListBullet"/>
      </w:pPr>
      <w:r w:rsidRPr="007D66D9">
        <w:t>Clinical overview, summary of clinical pharmacology studies, summary of clinical efficacy, summary of clinical safety and literature references.</w:t>
      </w:r>
    </w:p>
    <w:p w14:paraId="66AEAEE0" w14:textId="77777777" w:rsidR="00113AC6" w:rsidRDefault="00113AC6" w:rsidP="00605AD4">
      <w:pPr>
        <w:pStyle w:val="Heading4"/>
      </w:pPr>
      <w:r>
        <w:t>Guidance</w:t>
      </w:r>
    </w:p>
    <w:p w14:paraId="5677C34E" w14:textId="77777777" w:rsidR="00113AC6" w:rsidRPr="00113AC6" w:rsidRDefault="00113AC6" w:rsidP="00113AC6">
      <w:r>
        <w:t>The following guidelines were included in those used in consideration of this submission:</w:t>
      </w:r>
    </w:p>
    <w:p w14:paraId="4B8C71CF" w14:textId="77777777" w:rsidR="00113AC6" w:rsidRPr="00113AC6" w:rsidRDefault="00113AC6" w:rsidP="00113AC6">
      <w:pPr>
        <w:pStyle w:val="ListBullet"/>
      </w:pPr>
      <w:r w:rsidRPr="00113AC6">
        <w:t>CPMP/EWP/482/99 Points to consider on switching between superiority and non-inferiority</w:t>
      </w:r>
    </w:p>
    <w:p w14:paraId="65F6F04F" w14:textId="77777777" w:rsidR="00113AC6" w:rsidRPr="00113AC6" w:rsidRDefault="00113AC6" w:rsidP="00113AC6">
      <w:pPr>
        <w:pStyle w:val="ListBullet"/>
      </w:pPr>
      <w:r w:rsidRPr="00113AC6">
        <w:t>EMEA/CPMP/EWP/2158/99 Guideline on the choice of the non-inferiority margin</w:t>
      </w:r>
    </w:p>
    <w:p w14:paraId="4D6DE5EF" w14:textId="77777777" w:rsidR="00605AD4" w:rsidRDefault="00605AD4" w:rsidP="00605AD4">
      <w:pPr>
        <w:pStyle w:val="Heading4"/>
      </w:pPr>
      <w:r w:rsidRPr="00605AD4">
        <w:t>Paediatric data</w:t>
      </w:r>
    </w:p>
    <w:p w14:paraId="0C1AD67F" w14:textId="77777777" w:rsidR="003D24CD" w:rsidRPr="003D24CD" w:rsidRDefault="003D24CD" w:rsidP="003D24CD">
      <w:pPr>
        <w:rPr>
          <w:color w:val="000000"/>
        </w:rPr>
      </w:pPr>
      <w:r w:rsidRPr="007D66D9">
        <w:rPr>
          <w:color w:val="000000"/>
        </w:rPr>
        <w:t>The submission di</w:t>
      </w:r>
      <w:r>
        <w:rPr>
          <w:color w:val="000000"/>
        </w:rPr>
        <w:t>d not include paediatric data.</w:t>
      </w:r>
    </w:p>
    <w:p w14:paraId="7CA3835A" w14:textId="77777777" w:rsidR="00605AD4" w:rsidRDefault="00605AD4" w:rsidP="00605AD4">
      <w:pPr>
        <w:pStyle w:val="Heading4"/>
      </w:pPr>
      <w:r w:rsidRPr="00605AD4">
        <w:t>Good clinical practice</w:t>
      </w:r>
    </w:p>
    <w:p w14:paraId="27F2FCE5" w14:textId="77777777" w:rsidR="003D24CD" w:rsidRPr="003D24CD" w:rsidRDefault="003D24CD" w:rsidP="003D24CD">
      <w:pPr>
        <w:rPr>
          <w:rFonts w:cs="Arial"/>
          <w:color w:val="000000"/>
        </w:rPr>
      </w:pPr>
      <w:r w:rsidRPr="007D66D9">
        <w:rPr>
          <w:rFonts w:cs="Arial"/>
          <w:color w:val="000000"/>
        </w:rPr>
        <w:t>All studies included in this application were conducted in accordance with the ethical principles originati</w:t>
      </w:r>
      <w:r>
        <w:rPr>
          <w:rFonts w:cs="Arial"/>
          <w:color w:val="000000"/>
        </w:rPr>
        <w:t>ng</w:t>
      </w:r>
      <w:r w:rsidRPr="007D66D9">
        <w:rPr>
          <w:rFonts w:cs="Arial"/>
          <w:color w:val="000000"/>
        </w:rPr>
        <w:t xml:space="preserve"> in the Declaration of Helsinki and in accordance with International Conference on Harmonisation (ICH) Good Clinical Practice guidelines, applicable regulatory requirements, and in compliance with the respect</w:t>
      </w:r>
      <w:r>
        <w:rPr>
          <w:rFonts w:cs="Arial"/>
          <w:color w:val="000000"/>
        </w:rPr>
        <w:t>ive protocols.</w:t>
      </w:r>
    </w:p>
    <w:p w14:paraId="2FDCB7EE" w14:textId="3DF4C5AA" w:rsidR="00EC463D" w:rsidRPr="00EC463D" w:rsidRDefault="008E7846" w:rsidP="00D37EE4">
      <w:pPr>
        <w:pStyle w:val="Heading3"/>
      </w:pPr>
      <w:bookmarkStart w:id="67" w:name="_Toc497913784"/>
      <w:r w:rsidRPr="00254787">
        <w:lastRenderedPageBreak/>
        <w:t>Pharmacokinetics</w:t>
      </w:r>
      <w:bookmarkEnd w:id="57"/>
      <w:bookmarkEnd w:id="64"/>
      <w:bookmarkEnd w:id="65"/>
      <w:bookmarkEnd w:id="66"/>
      <w:bookmarkEnd w:id="67"/>
    </w:p>
    <w:p w14:paraId="4188FE07" w14:textId="77777777" w:rsidR="00605AD4" w:rsidRDefault="00605AD4" w:rsidP="00605AD4">
      <w:pPr>
        <w:pStyle w:val="Heading4"/>
      </w:pPr>
      <w:r>
        <w:t>Studies</w:t>
      </w:r>
      <w:r w:rsidR="00D37EE4">
        <w:t xml:space="preserve"> providing pharmacokinetic data</w:t>
      </w:r>
    </w:p>
    <w:p w14:paraId="3F8620D8" w14:textId="77777777" w:rsidR="00D37EE4" w:rsidRDefault="00D37EE4" w:rsidP="00D37EE4">
      <w:pPr>
        <w:pStyle w:val="ListBullet"/>
      </w:pPr>
      <w:r w:rsidRPr="007D66D9">
        <w:t>Clinical pharma</w:t>
      </w:r>
      <w:r>
        <w:t xml:space="preserve">cology study R092670-PSY-1005; A Single dose, open label, randomized, parallel </w:t>
      </w:r>
      <w:r w:rsidRPr="007D66D9">
        <w:t xml:space="preserve">group study to assess the pharmacokinetics, safety, and tolerability of </w:t>
      </w:r>
      <w:proofErr w:type="spellStart"/>
      <w:r w:rsidR="005968B3" w:rsidRPr="00A04896">
        <w:t>Invega</w:t>
      </w:r>
      <w:proofErr w:type="spellEnd"/>
      <w:r w:rsidR="005968B3" w:rsidRPr="00A04896">
        <w:t xml:space="preserve"> </w:t>
      </w:r>
      <w:proofErr w:type="spellStart"/>
      <w:r w:rsidR="005968B3" w:rsidRPr="00A04896">
        <w:t>Trinza</w:t>
      </w:r>
      <w:proofErr w:type="spellEnd"/>
      <w:r w:rsidRPr="007D66D9">
        <w:t xml:space="preserve"> in subjects </w:t>
      </w:r>
      <w:r>
        <w:t>w</w:t>
      </w:r>
      <w:r w:rsidRPr="007D66D9">
        <w:t>ith schizophrenia</w:t>
      </w:r>
      <w:r>
        <w:t>.</w:t>
      </w:r>
    </w:p>
    <w:p w14:paraId="17A6D131" w14:textId="77777777" w:rsidR="00D37EE4" w:rsidRPr="00D37EE4" w:rsidRDefault="00D37EE4" w:rsidP="00D37EE4">
      <w:pPr>
        <w:pStyle w:val="ListBullet"/>
      </w:pPr>
      <w:r w:rsidRPr="007D66D9">
        <w:t xml:space="preserve">PK reports for studies R092670-PSY-3011 </w:t>
      </w:r>
      <w:r>
        <w:t>and</w:t>
      </w:r>
      <w:r w:rsidRPr="007D66D9">
        <w:t xml:space="preserve"> 3012.</w:t>
      </w:r>
    </w:p>
    <w:p w14:paraId="75B40CA7" w14:textId="77777777" w:rsidR="00D37EE4" w:rsidRDefault="00D37EE4" w:rsidP="00D37EE4">
      <w:pPr>
        <w:pStyle w:val="Heading3"/>
      </w:pPr>
      <w:bookmarkStart w:id="68" w:name="_Toc497913785"/>
      <w:r>
        <w:t>Population pharmacokinetics</w:t>
      </w:r>
      <w:bookmarkEnd w:id="68"/>
    </w:p>
    <w:p w14:paraId="17566A4A" w14:textId="77777777" w:rsidR="00D37EE4" w:rsidRDefault="00D37EE4" w:rsidP="00D37EE4">
      <w:pPr>
        <w:pStyle w:val="Heading4"/>
      </w:pPr>
      <w:r>
        <w:t xml:space="preserve">Studies providing population pharmacokinetic data </w:t>
      </w:r>
    </w:p>
    <w:p w14:paraId="69386A07" w14:textId="77777777" w:rsidR="00D37EE4" w:rsidRDefault="00D37EE4" w:rsidP="000C5BA7">
      <w:pPr>
        <w:pStyle w:val="ListBullet"/>
      </w:pPr>
      <w:r>
        <w:t xml:space="preserve">Evidence proposed to support the use of 3 monthly injections of the formulation outside the dosage (frequency) used in the clinical trials (3 population analyses): </w:t>
      </w:r>
    </w:p>
    <w:p w14:paraId="344883E2" w14:textId="77777777" w:rsidR="00D37EE4" w:rsidRDefault="00D37EE4" w:rsidP="00D37EE4">
      <w:pPr>
        <w:pStyle w:val="Numberbullet2"/>
        <w:numPr>
          <w:ilvl w:val="1"/>
          <w:numId w:val="17"/>
        </w:numPr>
        <w:tabs>
          <w:tab w:val="left" w:pos="720"/>
        </w:tabs>
      </w:pPr>
      <w:r>
        <w:t>A population PK report REP-1-JAN-PAL-PMX-1.</w:t>
      </w:r>
    </w:p>
    <w:p w14:paraId="5CF839CF" w14:textId="77777777" w:rsidR="00D37EE4" w:rsidRDefault="00D37EE4" w:rsidP="00D37EE4">
      <w:pPr>
        <w:pStyle w:val="Numberbullet2"/>
        <w:numPr>
          <w:ilvl w:val="1"/>
          <w:numId w:val="17"/>
        </w:numPr>
        <w:tabs>
          <w:tab w:val="left" w:pos="720"/>
        </w:tabs>
      </w:pPr>
      <w:r>
        <w:t xml:space="preserve">Population pharmacokinetic / </w:t>
      </w:r>
      <w:proofErr w:type="spellStart"/>
      <w:r>
        <w:t>pharmacodynamic</w:t>
      </w:r>
      <w:proofErr w:type="spellEnd"/>
      <w:r>
        <w:t xml:space="preserve"> modelling of two intramuscular formulations of </w:t>
      </w:r>
      <w:proofErr w:type="spellStart"/>
      <w:r>
        <w:t>paliperidone</w:t>
      </w:r>
      <w:proofErr w:type="spellEnd"/>
      <w:r>
        <w:t xml:space="preserve"> palmitate in Study R092670-PSY-3011.</w:t>
      </w:r>
    </w:p>
    <w:p w14:paraId="39CEA9B1" w14:textId="77777777" w:rsidR="00D37EE4" w:rsidRDefault="00D37EE4" w:rsidP="00D37EE4">
      <w:pPr>
        <w:pStyle w:val="Numberbullet2"/>
        <w:numPr>
          <w:ilvl w:val="1"/>
          <w:numId w:val="17"/>
        </w:numPr>
        <w:tabs>
          <w:tab w:val="left" w:pos="720"/>
        </w:tabs>
      </w:pPr>
      <w:r>
        <w:t>Pharmacokinetic-</w:t>
      </w:r>
      <w:proofErr w:type="spellStart"/>
      <w:r>
        <w:t>pharmacodynamic</w:t>
      </w:r>
      <w:proofErr w:type="spellEnd"/>
      <w:r>
        <w:t xml:space="preserve"> modelling of two intramuscular formulations of </w:t>
      </w:r>
      <w:proofErr w:type="spellStart"/>
      <w:r>
        <w:t>paliperidone</w:t>
      </w:r>
      <w:proofErr w:type="spellEnd"/>
      <w:r>
        <w:t xml:space="preserve"> palmitate in Study R092670-PSY-3012.</w:t>
      </w:r>
    </w:p>
    <w:p w14:paraId="4850CFEE" w14:textId="77777777" w:rsidR="00D37EE4" w:rsidRPr="007D66D9" w:rsidRDefault="00D37EE4" w:rsidP="00D37EE4">
      <w:pPr>
        <w:pStyle w:val="Heading4"/>
      </w:pPr>
      <w:bookmarkStart w:id="69" w:name="_Toc453054876"/>
      <w:r w:rsidRPr="007D66D9">
        <w:t>Population PK Studies</w:t>
      </w:r>
      <w:bookmarkEnd w:id="69"/>
    </w:p>
    <w:p w14:paraId="5F45B520" w14:textId="77777777" w:rsidR="00D37EE4" w:rsidRDefault="00D37EE4" w:rsidP="00D37EE4">
      <w:pPr>
        <w:rPr>
          <w:lang w:eastAsia="en-AU"/>
        </w:rPr>
      </w:pPr>
      <w:r w:rsidRPr="007D66D9">
        <w:rPr>
          <w:lang w:eastAsia="en-AU"/>
        </w:rPr>
        <w:t xml:space="preserve">The original IM </w:t>
      </w:r>
      <w:proofErr w:type="spellStart"/>
      <w:r w:rsidRPr="007D66D9">
        <w:rPr>
          <w:lang w:eastAsia="en-AU"/>
        </w:rPr>
        <w:t>paliperidone</w:t>
      </w:r>
      <w:proofErr w:type="spellEnd"/>
      <w:r w:rsidRPr="007D66D9">
        <w:rPr>
          <w:lang w:eastAsia="en-AU"/>
        </w:rPr>
        <w:t xml:space="preserve"> palmitate population </w:t>
      </w:r>
      <w:r>
        <w:rPr>
          <w:lang w:eastAsia="en-AU"/>
        </w:rPr>
        <w:t xml:space="preserve">pharmacokinetic model was a one </w:t>
      </w:r>
      <w:r w:rsidRPr="007D66D9">
        <w:rPr>
          <w:lang w:eastAsia="en-AU"/>
        </w:rPr>
        <w:t>compartment model with 1</w:t>
      </w:r>
      <w:r w:rsidRPr="007D66D9">
        <w:rPr>
          <w:vertAlign w:val="superscript"/>
          <w:lang w:eastAsia="en-AU"/>
        </w:rPr>
        <w:t>st</w:t>
      </w:r>
      <w:r w:rsidRPr="007D66D9">
        <w:rPr>
          <w:lang w:eastAsia="en-AU"/>
        </w:rPr>
        <w:t xml:space="preserve"> order elimination. The covariates effects resulted in the followi</w:t>
      </w:r>
      <w:r>
        <w:rPr>
          <w:lang w:eastAsia="en-AU"/>
        </w:rPr>
        <w:t>ng</w:t>
      </w:r>
      <w:r w:rsidRPr="007D66D9">
        <w:rPr>
          <w:lang w:eastAsia="en-AU"/>
        </w:rPr>
        <w:t xml:space="preserve"> conclusions: repeated injections into the deltoid muscle (</w:t>
      </w:r>
      <w:r w:rsidRPr="005F391D">
        <w:rPr>
          <w:lang w:eastAsia="en-AU"/>
        </w:rPr>
        <w:t>compared with</w:t>
      </w:r>
      <w:r w:rsidRPr="007D66D9">
        <w:rPr>
          <w:lang w:eastAsia="en-AU"/>
        </w:rPr>
        <w:t xml:space="preserve"> gluteal) resulted in a faster increase in plasma concentrations and enhanced time to achieve steady-state but did not influence overall exposure; higher doses associated with larger injection volumes increased the apparent half-life which increased time to steady-state.</w:t>
      </w:r>
      <w:r w:rsidRPr="007D66D9">
        <w:rPr>
          <w:vertAlign w:val="superscript"/>
          <w:lang w:eastAsia="en-AU"/>
        </w:rPr>
        <w:footnoteReference w:id="1"/>
      </w:r>
      <w:r w:rsidRPr="007D66D9">
        <w:rPr>
          <w:lang w:eastAsia="en-AU"/>
        </w:rPr>
        <w:t xml:space="preserve"> Other important variables were needle le</w:t>
      </w:r>
      <w:r>
        <w:rPr>
          <w:lang w:eastAsia="en-AU"/>
        </w:rPr>
        <w:t>ng</w:t>
      </w:r>
      <w:r w:rsidRPr="007D66D9">
        <w:rPr>
          <w:lang w:eastAsia="en-AU"/>
        </w:rPr>
        <w:t>th and BMI: a slower rise in plasma concentrations was found for obese subjects which can be mitigated by use of a lo</w:t>
      </w:r>
      <w:r>
        <w:rPr>
          <w:lang w:eastAsia="en-AU"/>
        </w:rPr>
        <w:t>ng</w:t>
      </w:r>
      <w:r w:rsidRPr="007D66D9">
        <w:rPr>
          <w:lang w:eastAsia="en-AU"/>
        </w:rPr>
        <w:t>er needle in heavier subjects. Renal function was also important indicati</w:t>
      </w:r>
      <w:r>
        <w:rPr>
          <w:lang w:eastAsia="en-AU"/>
        </w:rPr>
        <w:t>ng</w:t>
      </w:r>
      <w:r w:rsidRPr="007D66D9">
        <w:rPr>
          <w:lang w:eastAsia="en-AU"/>
        </w:rPr>
        <w:t xml:space="preserve"> that renal impairment required a reduced dose.</w:t>
      </w:r>
    </w:p>
    <w:p w14:paraId="10427A66" w14:textId="77777777" w:rsidR="00D37EE4" w:rsidRPr="007D66D9" w:rsidRDefault="00D37EE4" w:rsidP="00D37EE4">
      <w:pPr>
        <w:rPr>
          <w:lang w:eastAsia="en-AU"/>
        </w:rPr>
      </w:pPr>
      <w:r>
        <w:rPr>
          <w:lang w:eastAsia="en-AU"/>
        </w:rPr>
        <w:t>For the complete details of the evaluation of the PK and population PK data please see Attachment 2.</w:t>
      </w:r>
    </w:p>
    <w:p w14:paraId="615E5280" w14:textId="77777777" w:rsidR="00D37EE4" w:rsidRDefault="00D37EE4" w:rsidP="00D37EE4">
      <w:pPr>
        <w:pStyle w:val="Heading4"/>
      </w:pPr>
      <w:r>
        <w:t>Evaluator’s conclusions on pharmacokinetics</w:t>
      </w:r>
    </w:p>
    <w:p w14:paraId="7A8FE238" w14:textId="77777777" w:rsidR="00D37EE4" w:rsidRPr="007D66D9" w:rsidRDefault="00D37EE4" w:rsidP="00D37EE4">
      <w:pPr>
        <w:rPr>
          <w:lang w:eastAsia="en-AU"/>
        </w:rPr>
      </w:pPr>
      <w:r w:rsidRPr="007D66D9">
        <w:rPr>
          <w:lang w:eastAsia="en-AU"/>
        </w:rPr>
        <w:t>It is of concern that the PK model used for simulations to justify dosi</w:t>
      </w:r>
      <w:r>
        <w:rPr>
          <w:lang w:eastAsia="en-AU"/>
        </w:rPr>
        <w:t>ng</w:t>
      </w:r>
      <w:r w:rsidRPr="007D66D9">
        <w:rPr>
          <w:lang w:eastAsia="en-AU"/>
        </w:rPr>
        <w:t xml:space="preserve"> regimens does not include data from the lo</w:t>
      </w:r>
      <w:r>
        <w:rPr>
          <w:lang w:eastAsia="en-AU"/>
        </w:rPr>
        <w:t>ng</w:t>
      </w:r>
      <w:r w:rsidRPr="007D66D9">
        <w:rPr>
          <w:lang w:eastAsia="en-AU"/>
        </w:rPr>
        <w:t xml:space="preserve"> term Study 3011 bei</w:t>
      </w:r>
      <w:r>
        <w:rPr>
          <w:lang w:eastAsia="en-AU"/>
        </w:rPr>
        <w:t>ng</w:t>
      </w:r>
      <w:r w:rsidRPr="007D66D9">
        <w:rPr>
          <w:lang w:eastAsia="en-AU"/>
        </w:rPr>
        <w:t xml:space="preserve"> based on the si</w:t>
      </w:r>
      <w:r>
        <w:rPr>
          <w:lang w:eastAsia="en-AU"/>
        </w:rPr>
        <w:t>ng</w:t>
      </w:r>
      <w:r w:rsidRPr="007D66D9">
        <w:rPr>
          <w:lang w:eastAsia="en-AU"/>
        </w:rPr>
        <w:t xml:space="preserve">le dose Study 1005 and Study 3012 where 160 received 2 injections of </w:t>
      </w:r>
      <w:proofErr w:type="spellStart"/>
      <w:r w:rsidR="005968B3" w:rsidRPr="00A04896">
        <w:t>Invega</w:t>
      </w:r>
      <w:proofErr w:type="spellEnd"/>
      <w:r w:rsidR="005968B3" w:rsidRPr="00A04896">
        <w:t xml:space="preserve"> </w:t>
      </w:r>
      <w:proofErr w:type="spellStart"/>
      <w:r w:rsidR="005968B3" w:rsidRPr="00A04896">
        <w:t>Trinza</w:t>
      </w:r>
      <w:proofErr w:type="spellEnd"/>
      <w:r w:rsidRPr="007D66D9">
        <w:rPr>
          <w:lang w:eastAsia="en-AU"/>
        </w:rPr>
        <w:t xml:space="preserve"> only 18 received 3 injections.</w:t>
      </w:r>
    </w:p>
    <w:p w14:paraId="7CE689DB" w14:textId="77777777" w:rsidR="00D37EE4" w:rsidRPr="007D66D9" w:rsidRDefault="00D37EE4" w:rsidP="00D37EE4">
      <w:pPr>
        <w:rPr>
          <w:lang w:eastAsia="en-AU"/>
        </w:rPr>
      </w:pPr>
      <w:r w:rsidRPr="007D66D9">
        <w:rPr>
          <w:lang w:eastAsia="en-AU"/>
        </w:rPr>
        <w:t>Inter</w:t>
      </w:r>
      <w:r>
        <w:rPr>
          <w:lang w:eastAsia="en-AU"/>
        </w:rPr>
        <w:t>-</w:t>
      </w:r>
      <w:r w:rsidRPr="007D66D9">
        <w:rPr>
          <w:lang w:eastAsia="en-AU"/>
        </w:rPr>
        <w:t xml:space="preserve">subject variability was high. Some subjects were excluded from the </w:t>
      </w:r>
      <w:proofErr w:type="spellStart"/>
      <w:r w:rsidRPr="007D66D9">
        <w:rPr>
          <w:lang w:eastAsia="en-AU"/>
        </w:rPr>
        <w:t>PopPK</w:t>
      </w:r>
      <w:proofErr w:type="spellEnd"/>
      <w:r w:rsidRPr="007D66D9">
        <w:rPr>
          <w:lang w:eastAsia="en-AU"/>
        </w:rPr>
        <w:t xml:space="preserve"> analysis.</w:t>
      </w:r>
    </w:p>
    <w:p w14:paraId="33439F27" w14:textId="77777777" w:rsidR="00D37EE4" w:rsidRPr="007D66D9" w:rsidRDefault="00D37EE4" w:rsidP="00D37EE4">
      <w:pPr>
        <w:rPr>
          <w:lang w:eastAsia="en-AU"/>
        </w:rPr>
      </w:pPr>
      <w:r w:rsidRPr="007D66D9">
        <w:rPr>
          <w:lang w:eastAsia="en-AU"/>
        </w:rPr>
        <w:t xml:space="preserve">The combined plasma concentration-time profiles of </w:t>
      </w:r>
      <w:proofErr w:type="spellStart"/>
      <w:r w:rsidRPr="007D66D9">
        <w:rPr>
          <w:lang w:eastAsia="en-AU"/>
        </w:rPr>
        <w:t>paliperidone</w:t>
      </w:r>
      <w:proofErr w:type="spellEnd"/>
      <w:r w:rsidRPr="007D66D9">
        <w:rPr>
          <w:lang w:eastAsia="en-AU"/>
        </w:rPr>
        <w:t xml:space="preserve"> show this.</w:t>
      </w:r>
    </w:p>
    <w:p w14:paraId="443D7A1A" w14:textId="77777777" w:rsidR="00D37EE4" w:rsidRPr="007D66D9" w:rsidRDefault="00D37EE4" w:rsidP="00D37EE4">
      <w:pPr>
        <w:rPr>
          <w:lang w:eastAsia="en-AU"/>
        </w:rPr>
      </w:pPr>
      <w:r w:rsidRPr="007D66D9">
        <w:rPr>
          <w:lang w:eastAsia="en-AU"/>
        </w:rPr>
        <w:t xml:space="preserve">Of concern is the possibility of extended periods of low plasma </w:t>
      </w:r>
      <w:proofErr w:type="spellStart"/>
      <w:r w:rsidRPr="007D66D9">
        <w:rPr>
          <w:lang w:eastAsia="en-AU"/>
        </w:rPr>
        <w:t>paliperidone</w:t>
      </w:r>
      <w:proofErr w:type="spellEnd"/>
      <w:r w:rsidRPr="007D66D9">
        <w:rPr>
          <w:lang w:eastAsia="en-AU"/>
        </w:rPr>
        <w:t xml:space="preserve"> concentrations. The infrequency of the sampli</w:t>
      </w:r>
      <w:r>
        <w:rPr>
          <w:lang w:eastAsia="en-AU"/>
        </w:rPr>
        <w:t>ng</w:t>
      </w:r>
      <w:r w:rsidRPr="007D66D9">
        <w:rPr>
          <w:lang w:eastAsia="en-AU"/>
        </w:rPr>
        <w:t xml:space="preserve"> in the 2 clinical studies does not show this.</w:t>
      </w:r>
    </w:p>
    <w:p w14:paraId="0582169C" w14:textId="77777777" w:rsidR="00D37EE4" w:rsidRPr="007D66D9" w:rsidRDefault="00D37EE4" w:rsidP="00D37EE4">
      <w:pPr>
        <w:rPr>
          <w:lang w:eastAsia="en-AU"/>
        </w:rPr>
      </w:pPr>
      <w:r w:rsidRPr="007D66D9">
        <w:rPr>
          <w:lang w:eastAsia="en-AU"/>
        </w:rPr>
        <w:lastRenderedPageBreak/>
        <w:t>Study 1005, while showi</w:t>
      </w:r>
      <w:r>
        <w:rPr>
          <w:lang w:eastAsia="en-AU"/>
        </w:rPr>
        <w:t>ng</w:t>
      </w:r>
      <w:r w:rsidRPr="007D66D9">
        <w:rPr>
          <w:lang w:eastAsia="en-AU"/>
        </w:rPr>
        <w:t xml:space="preserve"> some individuals had low plasma </w:t>
      </w:r>
      <w:proofErr w:type="spellStart"/>
      <w:r w:rsidRPr="007D66D9">
        <w:rPr>
          <w:lang w:eastAsia="en-AU"/>
        </w:rPr>
        <w:t>paliperidone</w:t>
      </w:r>
      <w:proofErr w:type="spellEnd"/>
      <w:r w:rsidRPr="007D66D9">
        <w:rPr>
          <w:lang w:eastAsia="en-AU"/>
        </w:rPr>
        <w:t xml:space="preserve"> concentrations for periods prior to 90 days after injection, this does not necessarily equate to the steady state situation.</w:t>
      </w:r>
    </w:p>
    <w:p w14:paraId="36FB12EC" w14:textId="62B8AC97" w:rsidR="00C107E2" w:rsidRPr="007D66D9" w:rsidRDefault="00C107E2" w:rsidP="00D37EE4">
      <w:pPr>
        <w:rPr>
          <w:lang w:eastAsia="en-AU"/>
        </w:rPr>
      </w:pPr>
      <w:r w:rsidRPr="007D66D9">
        <w:rPr>
          <w:lang w:eastAsia="en-AU"/>
        </w:rPr>
        <w:t>It does however have clinical relevance as this is what would happen clinically after the first 3 month injection.</w:t>
      </w:r>
      <w:r>
        <w:rPr>
          <w:rStyle w:val="FootnoteReference"/>
          <w:lang w:eastAsia="en-AU"/>
        </w:rPr>
        <w:footnoteReference w:id="2"/>
      </w:r>
    </w:p>
    <w:p w14:paraId="17B5626E" w14:textId="77777777" w:rsidR="00D37EE4" w:rsidRPr="007D66D9" w:rsidRDefault="00D37EE4" w:rsidP="00D37EE4">
      <w:pPr>
        <w:rPr>
          <w:lang w:eastAsia="en-AU"/>
        </w:rPr>
      </w:pPr>
      <w:r w:rsidRPr="007D66D9">
        <w:rPr>
          <w:lang w:eastAsia="en-AU"/>
        </w:rPr>
        <w:t>The sponsor argues that clusteri</w:t>
      </w:r>
      <w:r>
        <w:rPr>
          <w:lang w:eastAsia="en-AU"/>
        </w:rPr>
        <w:t>ng</w:t>
      </w:r>
      <w:r w:rsidRPr="007D66D9">
        <w:rPr>
          <w:lang w:eastAsia="en-AU"/>
        </w:rPr>
        <w:t xml:space="preserve"> of relapses was not seen at a time when plasma levels would expect to </w:t>
      </w:r>
      <w:r w:rsidRPr="00F94604">
        <w:rPr>
          <w:lang w:eastAsia="en-AU"/>
        </w:rPr>
        <w:t>be low. An alternative</w:t>
      </w:r>
      <w:r w:rsidRPr="007D66D9">
        <w:rPr>
          <w:lang w:eastAsia="en-AU"/>
        </w:rPr>
        <w:t xml:space="preserve"> exploration is to compare the incidence in the first 3 month treatment period with those at steady state.</w:t>
      </w:r>
    </w:p>
    <w:p w14:paraId="248DD86D" w14:textId="77777777" w:rsidR="00D37EE4" w:rsidRDefault="00D37EE4" w:rsidP="00D37EE4">
      <w:pPr>
        <w:rPr>
          <w:lang w:eastAsia="en-AU"/>
        </w:rPr>
      </w:pPr>
      <w:r w:rsidRPr="007D66D9">
        <w:rPr>
          <w:lang w:eastAsia="en-AU"/>
        </w:rPr>
        <w:t>The possibility of dose dumpi</w:t>
      </w:r>
      <w:r>
        <w:rPr>
          <w:lang w:eastAsia="en-AU"/>
        </w:rPr>
        <w:t>ng</w:t>
      </w:r>
      <w:r w:rsidRPr="007D66D9">
        <w:rPr>
          <w:lang w:eastAsia="en-AU"/>
        </w:rPr>
        <w:t xml:space="preserve"> is </w:t>
      </w:r>
      <w:r w:rsidRPr="00F94604">
        <w:rPr>
          <w:lang w:eastAsia="en-AU"/>
        </w:rPr>
        <w:t xml:space="preserve">reviewed </w:t>
      </w:r>
      <w:r>
        <w:rPr>
          <w:lang w:eastAsia="en-AU"/>
        </w:rPr>
        <w:t>clinical safety section</w:t>
      </w:r>
      <w:r w:rsidRPr="00F94604">
        <w:rPr>
          <w:lang w:eastAsia="en-AU"/>
        </w:rPr>
        <w:t>. In Study</w:t>
      </w:r>
      <w:r w:rsidRPr="007D66D9">
        <w:rPr>
          <w:lang w:eastAsia="en-AU"/>
        </w:rPr>
        <w:t xml:space="preserve"> 1005, this evaluator believes there is a clear example</w:t>
      </w:r>
      <w:r>
        <w:rPr>
          <w:lang w:eastAsia="en-AU"/>
        </w:rPr>
        <w:t>.</w:t>
      </w:r>
    </w:p>
    <w:p w14:paraId="70B4857E" w14:textId="77777777" w:rsidR="00D37EE4" w:rsidRPr="007D66D9" w:rsidRDefault="00D37EE4" w:rsidP="00D37EE4">
      <w:pPr>
        <w:rPr>
          <w:lang w:eastAsia="en-AU"/>
        </w:rPr>
      </w:pPr>
      <w:r w:rsidRPr="007D66D9">
        <w:rPr>
          <w:lang w:eastAsia="en-AU"/>
        </w:rPr>
        <w:t>The sponsor it appears has concentrated on the physical characteristics of the new formulation as the sole determinant of absorption from the IM site.</w:t>
      </w:r>
    </w:p>
    <w:p w14:paraId="0CEF4B87" w14:textId="1A9BD129" w:rsidR="009F5DBA" w:rsidRPr="00B90A28" w:rsidRDefault="009F5DBA" w:rsidP="009F5DB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ind w:left="284"/>
        <w:rPr>
          <w:rFonts w:eastAsia="Times New Roman" w:cs="Arial"/>
          <w:i/>
          <w:kern w:val="16"/>
          <w:lang w:eastAsia="en-AU"/>
        </w:rPr>
      </w:pPr>
      <w:r w:rsidRPr="003D6695">
        <w:rPr>
          <w:rFonts w:eastAsia="Times New Roman" w:cs="Arial"/>
          <w:i/>
          <w:kern w:val="16"/>
          <w:lang w:eastAsia="en-AU"/>
        </w:rPr>
        <w:t xml:space="preserve">By slowly releasing </w:t>
      </w:r>
      <w:proofErr w:type="spellStart"/>
      <w:r w:rsidRPr="003D6695">
        <w:rPr>
          <w:rFonts w:eastAsia="Times New Roman" w:cs="Arial"/>
          <w:i/>
          <w:kern w:val="16"/>
          <w:lang w:eastAsia="en-AU"/>
        </w:rPr>
        <w:t>paliperidone</w:t>
      </w:r>
      <w:proofErr w:type="spellEnd"/>
      <w:r w:rsidRPr="003D6695">
        <w:rPr>
          <w:rFonts w:eastAsia="Times New Roman" w:cs="Arial"/>
          <w:i/>
          <w:kern w:val="16"/>
          <w:lang w:eastAsia="en-AU"/>
        </w:rPr>
        <w:t xml:space="preserve"> from the injection site, the </w:t>
      </w:r>
      <w:proofErr w:type="spellStart"/>
      <w:r w:rsidRPr="003D6695">
        <w:rPr>
          <w:rFonts w:eastAsia="Times New Roman" w:cs="Arial"/>
          <w:i/>
          <w:kern w:val="16"/>
          <w:lang w:eastAsia="en-AU"/>
        </w:rPr>
        <w:t>paliperidone</w:t>
      </w:r>
      <w:proofErr w:type="spellEnd"/>
      <w:r w:rsidRPr="003D6695">
        <w:rPr>
          <w:rFonts w:eastAsia="Times New Roman" w:cs="Arial"/>
          <w:i/>
          <w:kern w:val="16"/>
          <w:lang w:eastAsia="en-AU"/>
        </w:rPr>
        <w:t xml:space="preserve"> palmitate formulation enables a dosing interval that achieves potentially therapeutic plasma concentrations of </w:t>
      </w:r>
      <w:proofErr w:type="spellStart"/>
      <w:r w:rsidRPr="003D6695">
        <w:rPr>
          <w:rFonts w:eastAsia="Times New Roman" w:cs="Arial"/>
          <w:i/>
          <w:kern w:val="16"/>
          <w:lang w:eastAsia="en-AU"/>
        </w:rPr>
        <w:t>paliperidone</w:t>
      </w:r>
      <w:proofErr w:type="spellEnd"/>
      <w:r w:rsidRPr="003D6695">
        <w:rPr>
          <w:rFonts w:eastAsia="Times New Roman" w:cs="Arial"/>
          <w:i/>
          <w:kern w:val="16"/>
          <w:lang w:eastAsia="en-AU"/>
        </w:rPr>
        <w:t xml:space="preserve"> for 1 month (PP1M) or 3 months (PP3M), depending on </w:t>
      </w:r>
      <w:r>
        <w:rPr>
          <w:rFonts w:eastAsia="Times New Roman" w:cs="Arial"/>
          <w:i/>
          <w:kern w:val="16"/>
          <w:lang w:eastAsia="en-AU"/>
        </w:rPr>
        <w:t>[information redacted].</w:t>
      </w:r>
    </w:p>
    <w:p w14:paraId="2D40536B" w14:textId="77777777" w:rsidR="00D37EE4" w:rsidRPr="00B90A28" w:rsidRDefault="00D37EE4" w:rsidP="00D37EE4">
      <w:pPr>
        <w:tabs>
          <w:tab w:val="left" w:pos="284"/>
          <w:tab w:val="left" w:pos="720"/>
          <w:tab w:val="left" w:pos="2160"/>
        </w:tabs>
        <w:spacing w:line="240" w:lineRule="auto"/>
        <w:rPr>
          <w:rFonts w:eastAsia="Times New Roman"/>
          <w:kern w:val="16"/>
          <w:lang w:eastAsia="en-AU"/>
        </w:rPr>
      </w:pPr>
      <w:r w:rsidRPr="00B90A28">
        <w:rPr>
          <w:rFonts w:eastAsia="Times New Roman"/>
          <w:kern w:val="16"/>
          <w:lang w:eastAsia="en-AU"/>
        </w:rPr>
        <w:t>And</w:t>
      </w:r>
    </w:p>
    <w:p w14:paraId="17CCF4CF" w14:textId="66B3DAB9" w:rsidR="00D37EE4" w:rsidRPr="006F2C2C" w:rsidRDefault="000926CF" w:rsidP="00D37EE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ind w:left="284"/>
        <w:rPr>
          <w:rFonts w:eastAsia="Times New Roman" w:cs="Arial"/>
          <w:i/>
          <w:kern w:val="16"/>
          <w:lang w:eastAsia="en-AU"/>
        </w:rPr>
      </w:pPr>
      <w:r>
        <w:rPr>
          <w:rFonts w:eastAsia="Times New Roman" w:cs="Arial"/>
          <w:i/>
          <w:kern w:val="16"/>
          <w:lang w:eastAsia="en-AU"/>
        </w:rPr>
        <w:t>[</w:t>
      </w:r>
      <w:proofErr w:type="gramStart"/>
      <w:r>
        <w:rPr>
          <w:rFonts w:eastAsia="Times New Roman" w:cs="Arial"/>
          <w:i/>
          <w:kern w:val="16"/>
          <w:lang w:eastAsia="en-AU"/>
        </w:rPr>
        <w:t>information</w:t>
      </w:r>
      <w:proofErr w:type="gramEnd"/>
      <w:r>
        <w:rPr>
          <w:rFonts w:eastAsia="Times New Roman" w:cs="Arial"/>
          <w:i/>
          <w:kern w:val="16"/>
          <w:lang w:eastAsia="en-AU"/>
        </w:rPr>
        <w:t xml:space="preserve"> redacted]</w:t>
      </w:r>
    </w:p>
    <w:p w14:paraId="04092348" w14:textId="12F68A4E" w:rsidR="00D37EE4" w:rsidRPr="00E84567" w:rsidRDefault="00D37EE4" w:rsidP="00E845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ind w:left="284"/>
        <w:rPr>
          <w:lang w:eastAsia="en-AU"/>
        </w:rPr>
      </w:pPr>
      <w:r w:rsidRPr="007D66D9">
        <w:rPr>
          <w:lang w:eastAsia="en-AU"/>
        </w:rPr>
        <w:t xml:space="preserve">While this may be </w:t>
      </w:r>
      <w:r w:rsidRPr="006F2C2C">
        <w:rPr>
          <w:lang w:eastAsia="en-AU"/>
        </w:rPr>
        <w:t>true in vitro there are other physical factor differences that vary and might affect in vivo uptake from the</w:t>
      </w:r>
      <w:r>
        <w:rPr>
          <w:lang w:eastAsia="en-AU"/>
        </w:rPr>
        <w:t xml:space="preserve"> intramuscular dose;</w:t>
      </w:r>
      <w:r w:rsidRPr="007D66D9">
        <w:rPr>
          <w:lang w:eastAsia="en-AU"/>
        </w:rPr>
        <w:t xml:space="preserve"> </w:t>
      </w:r>
      <w:r w:rsidR="000926CF">
        <w:rPr>
          <w:lang w:eastAsia="en-AU"/>
        </w:rPr>
        <w:t>[information redacted]</w:t>
      </w:r>
      <w:r w:rsidR="00E84567">
        <w:rPr>
          <w:lang w:eastAsia="en-AU"/>
        </w:rPr>
        <w:t>.</w:t>
      </w:r>
    </w:p>
    <w:p w14:paraId="6D9B3395" w14:textId="77777777" w:rsidR="00D37EE4" w:rsidRPr="007D66D9" w:rsidRDefault="00D37EE4" w:rsidP="00D37EE4">
      <w:pPr>
        <w:rPr>
          <w:lang w:eastAsia="en-AU"/>
        </w:rPr>
      </w:pPr>
      <w:r w:rsidRPr="007D66D9">
        <w:rPr>
          <w:lang w:eastAsia="en-AU"/>
        </w:rPr>
        <w:t>The minimum volume is also greater 0.875</w:t>
      </w:r>
      <w:r>
        <w:rPr>
          <w:lang w:eastAsia="en-AU"/>
        </w:rPr>
        <w:t xml:space="preserve"> mL</w:t>
      </w:r>
      <w:r w:rsidRPr="007D66D9">
        <w:rPr>
          <w:lang w:eastAsia="en-AU"/>
        </w:rPr>
        <w:t xml:space="preserve"> </w:t>
      </w:r>
      <w:proofErr w:type="spellStart"/>
      <w:r w:rsidR="005968B3" w:rsidRPr="00A04896">
        <w:t>Invega</w:t>
      </w:r>
      <w:proofErr w:type="spellEnd"/>
      <w:r w:rsidR="005968B3" w:rsidRPr="00A04896">
        <w:t xml:space="preserve"> </w:t>
      </w:r>
      <w:proofErr w:type="spellStart"/>
      <w:r w:rsidR="005968B3" w:rsidRPr="00A04896">
        <w:t>Trinza</w:t>
      </w:r>
      <w:proofErr w:type="spellEnd"/>
      <w:r w:rsidRPr="007D66D9">
        <w:rPr>
          <w:lang w:eastAsia="en-AU"/>
        </w:rPr>
        <w:t xml:space="preserve"> </w:t>
      </w:r>
      <w:r>
        <w:rPr>
          <w:lang w:eastAsia="en-AU"/>
        </w:rPr>
        <w:t>versus</w:t>
      </w:r>
      <w:r w:rsidRPr="007D66D9">
        <w:rPr>
          <w:lang w:eastAsia="en-AU"/>
        </w:rPr>
        <w:t xml:space="preserve"> 0.25</w:t>
      </w:r>
      <w:r>
        <w:rPr>
          <w:lang w:eastAsia="en-AU"/>
        </w:rPr>
        <w:t xml:space="preserve"> mL</w:t>
      </w:r>
      <w:r w:rsidRPr="007D66D9">
        <w:rPr>
          <w:lang w:eastAsia="en-AU"/>
        </w:rPr>
        <w:t xml:space="preserve"> for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7D66D9">
        <w:rPr>
          <w:lang w:eastAsia="en-AU"/>
        </w:rPr>
        <w:t>.</w:t>
      </w:r>
    </w:p>
    <w:p w14:paraId="7616BE55" w14:textId="77777777" w:rsidR="00D37EE4" w:rsidRPr="007D66D9" w:rsidRDefault="00D37EE4" w:rsidP="00D37EE4">
      <w:pPr>
        <w:rPr>
          <w:lang w:eastAsia="en-AU"/>
        </w:rPr>
      </w:pPr>
      <w:r w:rsidRPr="007D66D9">
        <w:rPr>
          <w:lang w:eastAsia="en-AU"/>
        </w:rPr>
        <w:t>These characteristics might contribute to the greater inter-subject variability seen.</w:t>
      </w:r>
    </w:p>
    <w:p w14:paraId="6190AF99" w14:textId="77777777" w:rsidR="00D37EE4" w:rsidRPr="007D66D9" w:rsidRDefault="00D37EE4" w:rsidP="00D37EE4">
      <w:pPr>
        <w:rPr>
          <w:noProof/>
          <w:lang w:eastAsia="en-AU"/>
        </w:rPr>
      </w:pPr>
      <w:r w:rsidRPr="007D66D9">
        <w:rPr>
          <w:lang w:eastAsia="en-AU"/>
        </w:rPr>
        <w:t>Approximate dose proportionality was shown.</w:t>
      </w:r>
    </w:p>
    <w:p w14:paraId="06AD7001" w14:textId="77777777" w:rsidR="00D37EE4" w:rsidRPr="00D37EE4" w:rsidRDefault="00D37EE4" w:rsidP="00D37EE4">
      <w:pPr>
        <w:rPr>
          <w:bCs/>
          <w:lang w:eastAsia="en-AU"/>
        </w:rPr>
      </w:pPr>
      <w:r w:rsidRPr="007D66D9">
        <w:rPr>
          <w:lang w:eastAsia="en-AU"/>
        </w:rPr>
        <w:t>The</w:t>
      </w:r>
      <w:r w:rsidRPr="007D66D9">
        <w:rPr>
          <w:bCs/>
          <w:lang w:eastAsia="en-AU"/>
        </w:rPr>
        <w:t xml:space="preserve"> </w:t>
      </w:r>
      <w:proofErr w:type="spellStart"/>
      <w:r w:rsidRPr="007D66D9">
        <w:rPr>
          <w:bCs/>
          <w:lang w:eastAsia="en-AU"/>
        </w:rPr>
        <w:t>PopPK</w:t>
      </w:r>
      <w:proofErr w:type="spellEnd"/>
      <w:r w:rsidRPr="007D66D9">
        <w:rPr>
          <w:bCs/>
          <w:lang w:eastAsia="en-AU"/>
        </w:rPr>
        <w:t xml:space="preserve"> study was based on data from Study PSY-1005 and Study PSY-3012.</w:t>
      </w:r>
      <w:r w:rsidRPr="007D66D9">
        <w:rPr>
          <w:lang w:eastAsia="en-AU"/>
        </w:rPr>
        <w:t xml:space="preserve"> N</w:t>
      </w:r>
      <w:r w:rsidRPr="007D66D9">
        <w:rPr>
          <w:bCs/>
          <w:lang w:eastAsia="en-AU"/>
        </w:rPr>
        <w:t xml:space="preserve">one of the subjects with </w:t>
      </w:r>
      <w:proofErr w:type="spellStart"/>
      <w:r w:rsidR="008D4FE3" w:rsidRPr="00D71C16">
        <w:t>C</w:t>
      </w:r>
      <w:r w:rsidR="008D4FE3" w:rsidRPr="008D4FE3">
        <w:rPr>
          <w:vertAlign w:val="subscript"/>
        </w:rPr>
        <w:t>max</w:t>
      </w:r>
      <w:proofErr w:type="spellEnd"/>
      <w:r w:rsidRPr="007D66D9">
        <w:rPr>
          <w:bCs/>
          <w:lang w:eastAsia="en-AU"/>
        </w:rPr>
        <w:t xml:space="preserve"> </w:t>
      </w:r>
      <w:r w:rsidR="006D3626">
        <w:rPr>
          <w:bCs/>
          <w:lang w:eastAsia="en-AU"/>
        </w:rPr>
        <w:t xml:space="preserve">&gt; </w:t>
      </w:r>
      <w:r w:rsidRPr="007D66D9">
        <w:rPr>
          <w:bCs/>
          <w:lang w:eastAsia="en-AU"/>
        </w:rPr>
        <w:t>125</w:t>
      </w:r>
      <w:r>
        <w:rPr>
          <w:bCs/>
          <w:lang w:eastAsia="en-AU"/>
        </w:rPr>
        <w:t xml:space="preserve"> ng/mL</w:t>
      </w:r>
      <w:r w:rsidRPr="007D66D9">
        <w:rPr>
          <w:bCs/>
          <w:lang w:eastAsia="en-AU"/>
        </w:rPr>
        <w:t xml:space="preserve"> appear to have </w:t>
      </w:r>
      <w:r w:rsidRPr="006F2C2C">
        <w:rPr>
          <w:bCs/>
          <w:lang w:eastAsia="en-AU"/>
        </w:rPr>
        <w:t>been excluded,</w:t>
      </w:r>
      <w:r w:rsidRPr="006F2C2C">
        <w:rPr>
          <w:bCs/>
          <w:vertAlign w:val="superscript"/>
          <w:lang w:eastAsia="en-AU"/>
        </w:rPr>
        <w:footnoteReference w:id="3"/>
      </w:r>
      <w:r w:rsidRPr="006F2C2C">
        <w:rPr>
          <w:bCs/>
          <w:lang w:eastAsia="en-AU"/>
        </w:rPr>
        <w:t xml:space="preserve"> that</w:t>
      </w:r>
      <w:r w:rsidRPr="007D66D9">
        <w:rPr>
          <w:bCs/>
          <w:lang w:eastAsia="en-AU"/>
        </w:rPr>
        <w:t xml:space="preserve"> is the model appears to include one patient (605113) who suffered dose dumpi</w:t>
      </w:r>
      <w:r>
        <w:rPr>
          <w:bCs/>
          <w:lang w:eastAsia="en-AU"/>
        </w:rPr>
        <w:t>ng</w:t>
      </w:r>
      <w:r w:rsidRPr="007D66D9">
        <w:rPr>
          <w:bCs/>
          <w:lang w:eastAsia="en-AU"/>
        </w:rPr>
        <w:t xml:space="preserve"> and 2 patients with unexplained reduced clearance (60625, 603435). The existi</w:t>
      </w:r>
      <w:r>
        <w:rPr>
          <w:bCs/>
          <w:lang w:eastAsia="en-AU"/>
        </w:rPr>
        <w:t>ng</w:t>
      </w:r>
      <w:r w:rsidRPr="007D66D9">
        <w:rPr>
          <w:bCs/>
          <w:lang w:eastAsia="en-AU"/>
        </w:rPr>
        <w:t xml:space="preserve"> model failed to adequately describe the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7D66D9">
        <w:rPr>
          <w:bCs/>
          <w:lang w:eastAsia="en-AU"/>
        </w:rPr>
        <w:t xml:space="preserve"> PK data from Study 3012 so a </w:t>
      </w:r>
      <w:r w:rsidRPr="006F2C2C">
        <w:rPr>
          <w:bCs/>
          <w:lang w:eastAsia="en-AU"/>
        </w:rPr>
        <w:t>new model</w:t>
      </w:r>
      <w:r w:rsidRPr="006F2C2C">
        <w:rPr>
          <w:bCs/>
          <w:vertAlign w:val="superscript"/>
          <w:lang w:eastAsia="en-AU"/>
        </w:rPr>
        <w:footnoteReference w:id="4"/>
      </w:r>
      <w:r w:rsidRPr="006F2C2C">
        <w:rPr>
          <w:bCs/>
          <w:lang w:eastAsia="en-AU"/>
        </w:rPr>
        <w:t xml:space="preserve"> was</w:t>
      </w:r>
      <w:r w:rsidRPr="007D66D9">
        <w:rPr>
          <w:bCs/>
          <w:lang w:eastAsia="en-AU"/>
        </w:rPr>
        <w:t xml:space="preserve"> developed usi</w:t>
      </w:r>
      <w:r>
        <w:rPr>
          <w:bCs/>
          <w:lang w:eastAsia="en-AU"/>
        </w:rPr>
        <w:t>ng</w:t>
      </w:r>
      <w:r w:rsidRPr="007D66D9">
        <w:rPr>
          <w:bCs/>
          <w:lang w:eastAsia="en-AU"/>
        </w:rPr>
        <w:t xml:space="preserve"> both the previous and the Study 3012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7D66D9">
        <w:rPr>
          <w:bCs/>
          <w:lang w:eastAsia="en-AU"/>
        </w:rPr>
        <w:t xml:space="preserve"> data. This model then failed to adequately describe the </w:t>
      </w:r>
      <w:proofErr w:type="spellStart"/>
      <w:r w:rsidR="005968B3" w:rsidRPr="00A04896">
        <w:t>Invega</w:t>
      </w:r>
      <w:proofErr w:type="spellEnd"/>
      <w:r w:rsidR="005968B3" w:rsidRPr="00A04896">
        <w:t xml:space="preserve"> </w:t>
      </w:r>
      <w:proofErr w:type="spellStart"/>
      <w:r w:rsidR="005968B3" w:rsidRPr="00A04896">
        <w:t>Trinza</w:t>
      </w:r>
      <w:proofErr w:type="spellEnd"/>
      <w:r w:rsidRPr="007D66D9">
        <w:rPr>
          <w:bCs/>
          <w:lang w:eastAsia="en-AU"/>
        </w:rPr>
        <w:t xml:space="preserve"> PK absorption data from Study 1005 so a model with one rapid and one </w:t>
      </w:r>
      <w:proofErr w:type="gramStart"/>
      <w:r w:rsidRPr="007D66D9">
        <w:rPr>
          <w:bCs/>
          <w:lang w:eastAsia="en-AU"/>
        </w:rPr>
        <w:t>slow</w:t>
      </w:r>
      <w:r w:rsidR="00113AC6">
        <w:rPr>
          <w:bCs/>
          <w:lang w:eastAsia="en-AU"/>
        </w:rPr>
        <w:t>,</w:t>
      </w:r>
      <w:proofErr w:type="gramEnd"/>
      <w:r w:rsidRPr="007D66D9">
        <w:rPr>
          <w:bCs/>
          <w:lang w:eastAsia="en-AU"/>
        </w:rPr>
        <w:t xml:space="preserve"> saturable absorption process was then adopted</w:t>
      </w:r>
      <w:r>
        <w:rPr>
          <w:bCs/>
          <w:lang w:eastAsia="en-AU"/>
        </w:rPr>
        <w:t>.</w:t>
      </w:r>
    </w:p>
    <w:p w14:paraId="46AE8DA9" w14:textId="77777777" w:rsidR="008E7846" w:rsidRDefault="008E7846" w:rsidP="008E7846">
      <w:pPr>
        <w:pStyle w:val="Heading3"/>
      </w:pPr>
      <w:bookmarkStart w:id="70" w:name="_Toc196046481"/>
      <w:bookmarkStart w:id="71" w:name="_Toc247691520"/>
      <w:bookmarkStart w:id="72" w:name="_Toc314842503"/>
      <w:bookmarkStart w:id="73" w:name="_Toc497913786"/>
      <w:r w:rsidRPr="00254787">
        <w:lastRenderedPageBreak/>
        <w:t>Pharmacodynamics</w:t>
      </w:r>
      <w:bookmarkEnd w:id="58"/>
      <w:bookmarkEnd w:id="70"/>
      <w:bookmarkEnd w:id="71"/>
      <w:bookmarkEnd w:id="72"/>
      <w:bookmarkEnd w:id="73"/>
    </w:p>
    <w:p w14:paraId="317D682F" w14:textId="77777777" w:rsidR="00605AD4" w:rsidRDefault="00605AD4" w:rsidP="00605AD4">
      <w:pPr>
        <w:pStyle w:val="Heading4"/>
      </w:pPr>
      <w:r>
        <w:t xml:space="preserve">Studies providing </w:t>
      </w:r>
      <w:proofErr w:type="spellStart"/>
      <w:r>
        <w:t>pharmacodynamic</w:t>
      </w:r>
      <w:proofErr w:type="spellEnd"/>
      <w:r>
        <w:t xml:space="preserve"> data</w:t>
      </w:r>
    </w:p>
    <w:p w14:paraId="33129A1B" w14:textId="77777777" w:rsidR="00934C6F" w:rsidRPr="007D66D9" w:rsidRDefault="00934C6F" w:rsidP="00934C6F">
      <w:pPr>
        <w:pStyle w:val="Heading5"/>
        <w:rPr>
          <w:lang w:eastAsia="en-AU"/>
        </w:rPr>
      </w:pPr>
      <w:bookmarkStart w:id="74" w:name="_Toc453054893"/>
      <w:r w:rsidRPr="007D66D9">
        <w:rPr>
          <w:lang w:eastAsia="en-AU"/>
        </w:rPr>
        <w:t>Study 3012 PK/PD analysis</w:t>
      </w:r>
      <w:bookmarkEnd w:id="74"/>
    </w:p>
    <w:p w14:paraId="6BAEDF23" w14:textId="77777777" w:rsidR="00934C6F" w:rsidRPr="007D66D9" w:rsidRDefault="00934C6F" w:rsidP="00934C6F">
      <w:pPr>
        <w:rPr>
          <w:lang w:eastAsia="en-AU"/>
        </w:rPr>
      </w:pPr>
      <w:r w:rsidRPr="007D66D9">
        <w:rPr>
          <w:lang w:eastAsia="en-AU"/>
        </w:rPr>
        <w:t xml:space="preserve">The </w:t>
      </w:r>
      <w:proofErr w:type="spellStart"/>
      <w:r w:rsidRPr="007D66D9">
        <w:rPr>
          <w:lang w:eastAsia="en-AU"/>
        </w:rPr>
        <w:t>PopPK</w:t>
      </w:r>
      <w:proofErr w:type="spellEnd"/>
      <w:r w:rsidRPr="007D66D9">
        <w:rPr>
          <w:lang w:eastAsia="en-AU"/>
        </w:rPr>
        <w:t xml:space="preserve"> model in this submission was used to develop separate models for </w:t>
      </w:r>
      <w:r w:rsidR="00FF0518">
        <w:t>positive and negative syndrome scale</w:t>
      </w:r>
      <w:r w:rsidR="00FF0518" w:rsidRPr="007D66D9">
        <w:rPr>
          <w:lang w:eastAsia="en-AU"/>
        </w:rPr>
        <w:t xml:space="preserve"> </w:t>
      </w:r>
      <w:r w:rsidR="00FF0518" w:rsidRPr="00113AC6">
        <w:rPr>
          <w:lang w:eastAsia="en-AU"/>
        </w:rPr>
        <w:t>(</w:t>
      </w:r>
      <w:r w:rsidRPr="00113AC6">
        <w:rPr>
          <w:lang w:eastAsia="en-AU"/>
        </w:rPr>
        <w:t>PANSS</w:t>
      </w:r>
      <w:r w:rsidR="00FF0518">
        <w:rPr>
          <w:lang w:eastAsia="en-AU"/>
        </w:rPr>
        <w:t>)</w:t>
      </w:r>
      <w:r w:rsidR="00FF0518">
        <w:rPr>
          <w:rStyle w:val="FootnoteReference"/>
          <w:lang w:eastAsia="en-AU"/>
        </w:rPr>
        <w:footnoteReference w:id="5"/>
      </w:r>
      <w:r w:rsidRPr="007D66D9">
        <w:rPr>
          <w:lang w:eastAsia="en-AU"/>
        </w:rPr>
        <w:t>, dropout and relapse. While PANSS score was treated as a continuous variable, dropout and relapse were subject to survival analysis as two separate si</w:t>
      </w:r>
      <w:r>
        <w:rPr>
          <w:lang w:eastAsia="en-AU"/>
        </w:rPr>
        <w:t>ng</w:t>
      </w:r>
      <w:r w:rsidRPr="007D66D9">
        <w:rPr>
          <w:lang w:eastAsia="en-AU"/>
        </w:rPr>
        <w:t>le time-to-event (TTE) models.</w:t>
      </w:r>
    </w:p>
    <w:p w14:paraId="2EB3400C" w14:textId="77777777" w:rsidR="00934C6F" w:rsidRPr="007D66D9" w:rsidRDefault="00934C6F" w:rsidP="00934C6F">
      <w:pPr>
        <w:rPr>
          <w:lang w:eastAsia="en-AU"/>
        </w:rPr>
      </w:pPr>
      <w:r w:rsidRPr="007D66D9">
        <w:rPr>
          <w:lang w:eastAsia="en-AU"/>
        </w:rPr>
        <w:t xml:space="preserve">The overall aim of the present PK/PD analysis was to describe the relationship between </w:t>
      </w:r>
      <w:proofErr w:type="spellStart"/>
      <w:r w:rsidRPr="007D66D9">
        <w:rPr>
          <w:lang w:eastAsia="en-AU"/>
        </w:rPr>
        <w:t>paliperidone</w:t>
      </w:r>
      <w:proofErr w:type="spellEnd"/>
      <w:r w:rsidRPr="007D66D9">
        <w:rPr>
          <w:lang w:eastAsia="en-AU"/>
        </w:rPr>
        <w:t xml:space="preserve"> plasma concentrations and time to relapse of symptoms of schizophrenia and/or positive and negative syndrome scale for schizophrenia (PANSS) total scores, while accounti</w:t>
      </w:r>
      <w:r>
        <w:rPr>
          <w:lang w:eastAsia="en-AU"/>
        </w:rPr>
        <w:t>ng</w:t>
      </w:r>
      <w:r w:rsidRPr="007D66D9">
        <w:rPr>
          <w:lang w:eastAsia="en-AU"/>
        </w:rPr>
        <w:t xml:space="preserve"> for dropout.</w:t>
      </w:r>
    </w:p>
    <w:p w14:paraId="2DACC96D" w14:textId="77777777" w:rsidR="00934C6F" w:rsidRPr="007D66D9" w:rsidRDefault="00934C6F" w:rsidP="00934C6F">
      <w:pPr>
        <w:pStyle w:val="Heading5"/>
        <w:rPr>
          <w:lang w:eastAsia="en-AU"/>
        </w:rPr>
      </w:pPr>
      <w:bookmarkStart w:id="75" w:name="_Toc453054894"/>
      <w:r w:rsidRPr="007D66D9">
        <w:rPr>
          <w:lang w:eastAsia="en-AU"/>
        </w:rPr>
        <w:t>Study 3011 PK/PD analysis</w:t>
      </w:r>
      <w:bookmarkEnd w:id="75"/>
    </w:p>
    <w:p w14:paraId="58B835DC" w14:textId="77777777" w:rsidR="00934C6F" w:rsidRPr="007D66D9" w:rsidRDefault="00934C6F" w:rsidP="00934C6F">
      <w:pPr>
        <w:rPr>
          <w:lang w:eastAsia="en-AU"/>
        </w:rPr>
      </w:pPr>
      <w:r w:rsidRPr="007D66D9">
        <w:rPr>
          <w:lang w:eastAsia="en-AU"/>
        </w:rPr>
        <w:t xml:space="preserve">In Study 3011, subjects were individually titrated with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7D66D9">
        <w:rPr>
          <w:lang w:eastAsia="en-AU"/>
        </w:rPr>
        <w:t xml:space="preserve"> in the </w:t>
      </w:r>
      <w:r>
        <w:rPr>
          <w:lang w:eastAsia="en-AU"/>
        </w:rPr>
        <w:t>open label</w:t>
      </w:r>
      <w:r w:rsidRPr="007D66D9">
        <w:rPr>
          <w:lang w:eastAsia="en-AU"/>
        </w:rPr>
        <w:t xml:space="preserve"> phase, to ensure a balance between efficacy and tolerability. Only those subjects meeti</w:t>
      </w:r>
      <w:r>
        <w:rPr>
          <w:lang w:eastAsia="en-AU"/>
        </w:rPr>
        <w:t>ng</w:t>
      </w:r>
      <w:r w:rsidRPr="007D66D9">
        <w:rPr>
          <w:lang w:eastAsia="en-AU"/>
        </w:rPr>
        <w:t xml:space="preserve"> clinical stability criteria were subsequently randomised to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7D66D9">
        <w:rPr>
          <w:lang w:eastAsia="en-AU"/>
        </w:rPr>
        <w:t xml:space="preserve"> or </w:t>
      </w:r>
      <w:proofErr w:type="spellStart"/>
      <w:r w:rsidR="005968B3" w:rsidRPr="00A04896">
        <w:t>Invega</w:t>
      </w:r>
      <w:proofErr w:type="spellEnd"/>
      <w:r w:rsidR="005968B3" w:rsidRPr="00A04896">
        <w:t xml:space="preserve"> </w:t>
      </w:r>
      <w:proofErr w:type="spellStart"/>
      <w:r w:rsidR="005968B3" w:rsidRPr="00A04896">
        <w:t>Trinza</w:t>
      </w:r>
      <w:proofErr w:type="spellEnd"/>
      <w:r w:rsidRPr="007D66D9">
        <w:rPr>
          <w:lang w:eastAsia="en-AU"/>
        </w:rPr>
        <w:t xml:space="preserve"> treatment, in the </w:t>
      </w:r>
      <w:r>
        <w:rPr>
          <w:lang w:eastAsia="en-AU"/>
        </w:rPr>
        <w:t>double blind</w:t>
      </w:r>
      <w:r w:rsidRPr="007D66D9">
        <w:rPr>
          <w:lang w:eastAsia="en-AU"/>
        </w:rPr>
        <w:t xml:space="preserve"> phase.</w:t>
      </w:r>
    </w:p>
    <w:p w14:paraId="2DF71BE7" w14:textId="77777777" w:rsidR="00934C6F" w:rsidRPr="007D66D9" w:rsidRDefault="00934C6F" w:rsidP="00934C6F">
      <w:pPr>
        <w:rPr>
          <w:lang w:eastAsia="en-AU"/>
        </w:rPr>
      </w:pPr>
      <w:r w:rsidRPr="00AB1657">
        <w:rPr>
          <w:lang w:eastAsia="en-AU"/>
        </w:rPr>
        <w:t xml:space="preserve">The overall aim of the current population PK/PD analysis was to describe the relationship between the time course of </w:t>
      </w:r>
      <w:proofErr w:type="spellStart"/>
      <w:r w:rsidRPr="00AB1657">
        <w:rPr>
          <w:lang w:eastAsia="en-AU"/>
        </w:rPr>
        <w:t>paliperidone</w:t>
      </w:r>
      <w:proofErr w:type="spellEnd"/>
      <w:r w:rsidRPr="00AB1657">
        <w:rPr>
          <w:lang w:eastAsia="en-AU"/>
        </w:rPr>
        <w:t xml:space="preserve"> plasma concentrations, relapse of symptoms of schizophrenia and dropout (</w:t>
      </w:r>
      <w:r>
        <w:rPr>
          <w:lang w:eastAsia="en-AU"/>
        </w:rPr>
        <w:t>that is</w:t>
      </w:r>
      <w:r w:rsidRPr="00AB1657">
        <w:rPr>
          <w:lang w:eastAsia="en-AU"/>
        </w:rPr>
        <w:t xml:space="preserve"> withdrawal from study for other causes than relapse of symptoms of schizophrenia),</w:t>
      </w:r>
      <w:r w:rsidRPr="007D66D9">
        <w:rPr>
          <w:lang w:eastAsia="en-AU"/>
        </w:rPr>
        <w:t xml:space="preserve"> followi</w:t>
      </w:r>
      <w:r>
        <w:rPr>
          <w:lang w:eastAsia="en-AU"/>
        </w:rPr>
        <w:t>ng</w:t>
      </w:r>
      <w:r w:rsidRPr="007D66D9">
        <w:rPr>
          <w:lang w:eastAsia="en-AU"/>
        </w:rPr>
        <w:t xml:space="preserve"> administration of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7D66D9">
        <w:rPr>
          <w:lang w:eastAsia="en-AU"/>
        </w:rPr>
        <w:t xml:space="preserve"> and </w:t>
      </w:r>
      <w:proofErr w:type="spellStart"/>
      <w:r w:rsidR="005968B3" w:rsidRPr="00A04896">
        <w:t>Invega</w:t>
      </w:r>
      <w:proofErr w:type="spellEnd"/>
      <w:r w:rsidR="005968B3" w:rsidRPr="00A04896">
        <w:t xml:space="preserve"> </w:t>
      </w:r>
      <w:proofErr w:type="spellStart"/>
      <w:r w:rsidR="005968B3" w:rsidRPr="00A04896">
        <w:t>Trinza</w:t>
      </w:r>
      <w:proofErr w:type="spellEnd"/>
      <w:r w:rsidRPr="007D66D9">
        <w:rPr>
          <w:lang w:eastAsia="en-AU"/>
        </w:rPr>
        <w:t xml:space="preserve"> in Study R092670-PSY-3011, as well as to identify relevant covariates.</w:t>
      </w:r>
    </w:p>
    <w:p w14:paraId="7BF644BB" w14:textId="77777777" w:rsidR="00934C6F" w:rsidRPr="00934C6F" w:rsidRDefault="00934C6F" w:rsidP="00934C6F">
      <w:r>
        <w:t>For the full details of the evaluation of the PD aspects please see Attachment 2.</w:t>
      </w:r>
    </w:p>
    <w:p w14:paraId="31B7B5A4" w14:textId="77777777" w:rsidR="00605AD4" w:rsidRDefault="00605AD4" w:rsidP="00605AD4">
      <w:pPr>
        <w:pStyle w:val="Heading4"/>
      </w:pPr>
      <w:r>
        <w:t>Evaluator’s conclusions on pharmacodynamics</w:t>
      </w:r>
    </w:p>
    <w:p w14:paraId="6FC02A38" w14:textId="77777777" w:rsidR="00D37EE4" w:rsidRPr="007D66D9" w:rsidRDefault="00D37EE4" w:rsidP="00D37EE4">
      <w:pPr>
        <w:rPr>
          <w:lang w:eastAsia="en-AU"/>
        </w:rPr>
      </w:pPr>
      <w:r w:rsidRPr="007D66D9">
        <w:rPr>
          <w:lang w:eastAsia="en-AU"/>
        </w:rPr>
        <w:t xml:space="preserve">If one accepts the </w:t>
      </w:r>
      <w:proofErr w:type="spellStart"/>
      <w:r w:rsidRPr="007D66D9">
        <w:rPr>
          <w:lang w:eastAsia="en-AU"/>
        </w:rPr>
        <w:t>PopPK</w:t>
      </w:r>
      <w:proofErr w:type="spellEnd"/>
      <w:r w:rsidRPr="007D66D9">
        <w:rPr>
          <w:lang w:eastAsia="en-AU"/>
        </w:rPr>
        <w:t xml:space="preserve"> results above, then:</w:t>
      </w:r>
    </w:p>
    <w:p w14:paraId="3A2097C9" w14:textId="77777777" w:rsidR="00D37EE4" w:rsidRPr="007D66D9" w:rsidRDefault="00D37EE4" w:rsidP="00D37EE4">
      <w:pPr>
        <w:rPr>
          <w:lang w:eastAsia="en-AU"/>
        </w:rPr>
      </w:pPr>
      <w:r w:rsidRPr="007D66D9">
        <w:rPr>
          <w:lang w:eastAsia="en-AU"/>
        </w:rPr>
        <w:t xml:space="preserve">The </w:t>
      </w:r>
      <w:proofErr w:type="spellStart"/>
      <w:r w:rsidRPr="007D66D9">
        <w:rPr>
          <w:lang w:eastAsia="en-AU"/>
        </w:rPr>
        <w:t>PopPK</w:t>
      </w:r>
      <w:proofErr w:type="spellEnd"/>
      <w:r w:rsidRPr="007D66D9">
        <w:rPr>
          <w:lang w:eastAsia="en-AU"/>
        </w:rPr>
        <w:t xml:space="preserve">/PD analysis of Study 3012 could really only produce a model for the time to relapse which was the primary endpoint of study 3012. The primary endpoint in Study 3012 showed statistical significance only. The </w:t>
      </w:r>
      <w:proofErr w:type="spellStart"/>
      <w:r w:rsidRPr="007D66D9">
        <w:rPr>
          <w:lang w:eastAsia="en-AU"/>
        </w:rPr>
        <w:t>C</w:t>
      </w:r>
      <w:r w:rsidRPr="007D66D9">
        <w:rPr>
          <w:vertAlign w:val="subscript"/>
          <w:lang w:eastAsia="en-AU"/>
        </w:rPr>
        <w:t>trough</w:t>
      </w:r>
      <w:proofErr w:type="spellEnd"/>
      <w:r w:rsidRPr="007D66D9">
        <w:rPr>
          <w:lang w:eastAsia="en-AU"/>
        </w:rPr>
        <w:t xml:space="preserve"> at the </w:t>
      </w:r>
      <w:r w:rsidR="0054619C">
        <w:rPr>
          <w:lang w:eastAsia="en-AU"/>
        </w:rPr>
        <w:t>double blind</w:t>
      </w:r>
      <w:r w:rsidRPr="007D66D9">
        <w:rPr>
          <w:lang w:eastAsia="en-AU"/>
        </w:rPr>
        <w:t xml:space="preserve"> start and number of hospitalisations affected the model.</w:t>
      </w:r>
    </w:p>
    <w:p w14:paraId="0F6BD429" w14:textId="77777777" w:rsidR="00D37EE4" w:rsidRPr="00D37EE4" w:rsidRDefault="00D37EE4" w:rsidP="00D37EE4">
      <w:pPr>
        <w:rPr>
          <w:lang w:eastAsia="en-AU"/>
        </w:rPr>
      </w:pPr>
      <w:r w:rsidRPr="007D66D9">
        <w:rPr>
          <w:lang w:eastAsia="en-AU"/>
        </w:rPr>
        <w:t xml:space="preserve">Study 3011 showed non-inferiority of </w:t>
      </w:r>
      <w:proofErr w:type="spellStart"/>
      <w:r w:rsidR="005968B3" w:rsidRPr="00A04896">
        <w:t>Invega</w:t>
      </w:r>
      <w:proofErr w:type="spellEnd"/>
      <w:r w:rsidR="005968B3" w:rsidRPr="00A04896">
        <w:t xml:space="preserve"> </w:t>
      </w:r>
      <w:proofErr w:type="spellStart"/>
      <w:r w:rsidR="005968B3" w:rsidRPr="00A04896">
        <w:t>Trinza</w:t>
      </w:r>
      <w:proofErr w:type="spellEnd"/>
      <w:r w:rsidRPr="007D66D9">
        <w:rPr>
          <w:lang w:eastAsia="en-AU"/>
        </w:rPr>
        <w:t xml:space="preserve"> to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7D66D9">
        <w:rPr>
          <w:lang w:eastAsia="en-AU"/>
        </w:rPr>
        <w:t xml:space="preserve"> in the primary efficacy endpoint of the percentage of subjects (per protocol) who had not relapsed a</w:t>
      </w:r>
      <w:r>
        <w:rPr>
          <w:lang w:eastAsia="en-AU"/>
        </w:rPr>
        <w:t xml:space="preserve">t the end of the 48 week double </w:t>
      </w:r>
      <w:r w:rsidRPr="007D66D9">
        <w:rPr>
          <w:lang w:eastAsia="en-AU"/>
        </w:rPr>
        <w:t xml:space="preserve">blind phase. The </w:t>
      </w:r>
      <w:proofErr w:type="spellStart"/>
      <w:r w:rsidRPr="007D66D9">
        <w:rPr>
          <w:lang w:eastAsia="en-AU"/>
        </w:rPr>
        <w:t>PopPK</w:t>
      </w:r>
      <w:proofErr w:type="spellEnd"/>
      <w:r w:rsidRPr="007D66D9">
        <w:rPr>
          <w:lang w:eastAsia="en-AU"/>
        </w:rPr>
        <w:t>/PD analysis of study 3011 did not look at this, rather the model is studied the obverse of what Study 3011 was designed to show with only a (possible) exploratory Objective 4 possibly related. Two risk factors were included in the final model for the baseline hazard of relapse: Patients on concomitant benzodiazepine medication (since last visit) had higher hazard as compared to when not on this concomitant medication; Patients at Japanese centres had higher hazard as compared to pat</w:t>
      </w:r>
      <w:r>
        <w:rPr>
          <w:lang w:eastAsia="en-AU"/>
        </w:rPr>
        <w:t>ients at non-Japanese centres.</w:t>
      </w:r>
    </w:p>
    <w:p w14:paraId="36B6F014" w14:textId="77777777" w:rsidR="008E7846" w:rsidRDefault="00605AD4" w:rsidP="00605AD4">
      <w:pPr>
        <w:pStyle w:val="Heading3"/>
      </w:pPr>
      <w:bookmarkStart w:id="76" w:name="_Toc497913787"/>
      <w:r>
        <w:lastRenderedPageBreak/>
        <w:t>Dosage selection for the pivotal studies</w:t>
      </w:r>
      <w:bookmarkEnd w:id="76"/>
    </w:p>
    <w:p w14:paraId="2324F82C" w14:textId="77777777" w:rsidR="00934C6F" w:rsidRPr="00934C6F" w:rsidRDefault="00934C6F" w:rsidP="00934C6F">
      <w:pPr>
        <w:rPr>
          <w:lang w:eastAsia="en-AU"/>
        </w:rPr>
      </w:pPr>
      <w:r w:rsidRPr="007D66D9">
        <w:rPr>
          <w:lang w:eastAsia="en-AU"/>
        </w:rPr>
        <w:t xml:space="preserve">The </w:t>
      </w:r>
      <w:r>
        <w:rPr>
          <w:lang w:eastAsia="en-AU"/>
        </w:rPr>
        <w:t>350 mg</w:t>
      </w:r>
      <w:r w:rsidRPr="007D66D9">
        <w:rPr>
          <w:lang w:eastAsia="en-AU"/>
        </w:rPr>
        <w:t xml:space="preserve"> </w:t>
      </w:r>
      <w:r>
        <w:rPr>
          <w:lang w:eastAsia="en-AU"/>
        </w:rPr>
        <w:t>equivalent</w:t>
      </w:r>
      <w:r w:rsidRPr="007D66D9">
        <w:rPr>
          <w:lang w:eastAsia="en-AU"/>
        </w:rPr>
        <w:t xml:space="preserve"> dose was the expected equivalent of the commonly prescribed 100</w:t>
      </w:r>
      <w:r>
        <w:rPr>
          <w:lang w:eastAsia="en-AU"/>
        </w:rPr>
        <w:t xml:space="preserve"> mg</w:t>
      </w:r>
      <w:r w:rsidRPr="007D66D9">
        <w:rPr>
          <w:lang w:eastAsia="en-AU"/>
        </w:rPr>
        <w:t xml:space="preserve"> </w:t>
      </w:r>
      <w:r>
        <w:rPr>
          <w:lang w:eastAsia="en-AU"/>
        </w:rPr>
        <w:t>equivalent</w:t>
      </w:r>
      <w:r w:rsidRPr="007D66D9">
        <w:rPr>
          <w:lang w:eastAsia="en-AU"/>
        </w:rPr>
        <w:t xml:space="preserve"> of the </w:t>
      </w:r>
      <w:r>
        <w:rPr>
          <w:lang w:eastAsia="en-AU"/>
        </w:rPr>
        <w:t>1 month</w:t>
      </w:r>
      <w:r w:rsidRPr="007D66D9">
        <w:rPr>
          <w:lang w:eastAsia="en-AU"/>
        </w:rPr>
        <w:t xml:space="preserve"> formulation. The </w:t>
      </w:r>
      <w:r>
        <w:rPr>
          <w:lang w:eastAsia="en-AU"/>
        </w:rPr>
        <w:t>525 mg</w:t>
      </w:r>
      <w:r w:rsidRPr="007D66D9">
        <w:rPr>
          <w:lang w:eastAsia="en-AU"/>
        </w:rPr>
        <w:t xml:space="preserve"> </w:t>
      </w:r>
      <w:r>
        <w:rPr>
          <w:lang w:eastAsia="en-AU"/>
        </w:rPr>
        <w:t>equivalent</w:t>
      </w:r>
      <w:r w:rsidRPr="007D66D9">
        <w:rPr>
          <w:lang w:eastAsia="en-AU"/>
        </w:rPr>
        <w:t xml:space="preserve"> dose was chosen based on the PK and safety results from the preliminary Panel B data and was the planned highest dose to be marketed. The </w:t>
      </w:r>
      <w:r>
        <w:rPr>
          <w:lang w:eastAsia="en-AU"/>
        </w:rPr>
        <w:t>175 mg</w:t>
      </w:r>
      <w:r w:rsidRPr="007D66D9">
        <w:rPr>
          <w:lang w:eastAsia="en-AU"/>
        </w:rPr>
        <w:t xml:space="preserve"> </w:t>
      </w:r>
      <w:r>
        <w:rPr>
          <w:lang w:eastAsia="en-AU"/>
        </w:rPr>
        <w:t>equivalent</w:t>
      </w:r>
      <w:r w:rsidRPr="007D66D9">
        <w:rPr>
          <w:lang w:eastAsia="en-AU"/>
        </w:rPr>
        <w:t xml:space="preserve"> F015 dose was planned to be the lowest dose to be marketed, and a similar dose (150</w:t>
      </w:r>
      <w:r>
        <w:rPr>
          <w:lang w:eastAsia="en-AU"/>
        </w:rPr>
        <w:t xml:space="preserve"> mg</w:t>
      </w:r>
      <w:r w:rsidRPr="007D66D9">
        <w:rPr>
          <w:lang w:eastAsia="en-AU"/>
        </w:rPr>
        <w:t xml:space="preserve"> </w:t>
      </w:r>
      <w:r>
        <w:rPr>
          <w:lang w:eastAsia="en-AU"/>
        </w:rPr>
        <w:t>equivalent</w:t>
      </w:r>
      <w:r w:rsidRPr="007D66D9">
        <w:rPr>
          <w:lang w:eastAsia="en-AU"/>
        </w:rPr>
        <w:t xml:space="preserve">) was previously tested with gluteal </w:t>
      </w:r>
      <w:r w:rsidRPr="009C7BEE">
        <w:rPr>
          <w:lang w:eastAsia="en-AU"/>
        </w:rPr>
        <w:t>injections (Panel B).</w:t>
      </w:r>
    </w:p>
    <w:p w14:paraId="5C517FB5" w14:textId="77777777" w:rsidR="008E7846" w:rsidRPr="00254787" w:rsidRDefault="008E7846" w:rsidP="008E7846">
      <w:pPr>
        <w:pStyle w:val="Heading3"/>
      </w:pPr>
      <w:bookmarkStart w:id="77" w:name="_Toc163441372"/>
      <w:bookmarkStart w:id="78" w:name="_Toc196046485"/>
      <w:bookmarkStart w:id="79" w:name="_Toc247691521"/>
      <w:bookmarkStart w:id="80" w:name="_Toc314842504"/>
      <w:bookmarkStart w:id="81" w:name="_Toc497913788"/>
      <w:r w:rsidRPr="00254787">
        <w:t>Efficacy</w:t>
      </w:r>
      <w:bookmarkEnd w:id="77"/>
      <w:bookmarkEnd w:id="78"/>
      <w:bookmarkEnd w:id="79"/>
      <w:bookmarkEnd w:id="80"/>
      <w:bookmarkEnd w:id="81"/>
    </w:p>
    <w:p w14:paraId="3D9D26C9" w14:textId="77777777" w:rsidR="00605AD4" w:rsidRDefault="00605AD4" w:rsidP="00605AD4">
      <w:pPr>
        <w:pStyle w:val="Heading4"/>
      </w:pPr>
      <w:bookmarkStart w:id="82" w:name="_Toc184439992"/>
      <w:bookmarkStart w:id="83" w:name="_Toc184440279"/>
      <w:bookmarkStart w:id="84" w:name="_Toc184444657"/>
      <w:bookmarkStart w:id="85" w:name="_Toc196046487"/>
      <w:r>
        <w:t>Studies providing efficacy data</w:t>
      </w:r>
    </w:p>
    <w:p w14:paraId="50E5B34D" w14:textId="61CCC72B" w:rsidR="00934C6F" w:rsidRPr="00934C6F" w:rsidRDefault="00934C6F" w:rsidP="00934C6F">
      <w:bookmarkStart w:id="86" w:name="_Toc453054898"/>
      <w:bookmarkStart w:id="87" w:name="_Toc484774155"/>
      <w:bookmarkStart w:id="88" w:name="_Ref271199564"/>
      <w:bookmarkStart w:id="89" w:name="_Toc272414651"/>
      <w:bookmarkStart w:id="90" w:name="_Toc290846273"/>
      <w:bookmarkStart w:id="91" w:name="_Toc290888810"/>
      <w:r w:rsidRPr="00934C6F">
        <w:t xml:space="preserve">Pivotal </w:t>
      </w:r>
      <w:r w:rsidR="00F048D7" w:rsidRPr="00934C6F">
        <w:t xml:space="preserve">efficacy studies for 3 monthly </w:t>
      </w:r>
      <w:proofErr w:type="gramStart"/>
      <w:r w:rsidR="00F048D7" w:rsidRPr="00934C6F">
        <w:t>dosage</w:t>
      </w:r>
      <w:proofErr w:type="gramEnd"/>
      <w:r w:rsidR="00F048D7" w:rsidRPr="00934C6F">
        <w:t xml:space="preserve"> following initial once a month dosage</w:t>
      </w:r>
      <w:bookmarkEnd w:id="86"/>
      <w:bookmarkEnd w:id="87"/>
      <w:r w:rsidR="00F048D7">
        <w:t>:</w:t>
      </w:r>
    </w:p>
    <w:p w14:paraId="171C795A" w14:textId="77777777" w:rsidR="00934C6F" w:rsidRPr="00934C6F" w:rsidRDefault="00934C6F" w:rsidP="00934C6F">
      <w:pPr>
        <w:pStyle w:val="ListBullet"/>
      </w:pPr>
      <w:bookmarkStart w:id="92" w:name="_Ref243301615"/>
      <w:bookmarkStart w:id="93" w:name="_Ref271040927"/>
      <w:bookmarkStart w:id="94" w:name="_Ref271040932"/>
      <w:bookmarkStart w:id="95" w:name="_Toc272414653"/>
      <w:bookmarkStart w:id="96" w:name="_Toc290846275"/>
      <w:bookmarkStart w:id="97" w:name="_Toc290888812"/>
      <w:bookmarkStart w:id="98" w:name="_Toc453054899"/>
      <w:bookmarkEnd w:id="88"/>
      <w:bookmarkEnd w:id="89"/>
      <w:bookmarkEnd w:id="90"/>
      <w:bookmarkEnd w:id="91"/>
      <w:r w:rsidRPr="00934C6F">
        <w:t xml:space="preserve">Study </w:t>
      </w:r>
      <w:bookmarkEnd w:id="92"/>
      <w:bookmarkEnd w:id="93"/>
      <w:bookmarkEnd w:id="94"/>
      <w:bookmarkEnd w:id="95"/>
      <w:bookmarkEnd w:id="96"/>
      <w:bookmarkEnd w:id="97"/>
      <w:r w:rsidRPr="00934C6F">
        <w:t>3012</w:t>
      </w:r>
      <w:bookmarkEnd w:id="98"/>
    </w:p>
    <w:p w14:paraId="3A682625" w14:textId="77777777" w:rsidR="00934C6F" w:rsidRPr="00934C6F" w:rsidRDefault="00934C6F" w:rsidP="00934C6F">
      <w:pPr>
        <w:pStyle w:val="ListBullet"/>
      </w:pPr>
      <w:bookmarkStart w:id="99" w:name="_Toc453054900"/>
      <w:r w:rsidRPr="00934C6F">
        <w:t>Study 3011</w:t>
      </w:r>
      <w:bookmarkEnd w:id="99"/>
    </w:p>
    <w:p w14:paraId="488C38FA" w14:textId="77777777" w:rsidR="008E7846" w:rsidRDefault="00605AD4" w:rsidP="00605AD4">
      <w:pPr>
        <w:pStyle w:val="Heading4"/>
      </w:pPr>
      <w:r>
        <w:t>Evaluator’s conclusions on efficacy</w:t>
      </w:r>
    </w:p>
    <w:p w14:paraId="46729900" w14:textId="77777777" w:rsidR="004F6EB2" w:rsidRPr="007D66D9" w:rsidRDefault="004F6EB2" w:rsidP="004F6EB2">
      <w:r w:rsidRPr="007D66D9">
        <w:t xml:space="preserve">Statistical significance was shown in the superiority of </w:t>
      </w:r>
      <w:proofErr w:type="spellStart"/>
      <w:r w:rsidR="005968B3" w:rsidRPr="00A04896">
        <w:t>Invega</w:t>
      </w:r>
      <w:proofErr w:type="spellEnd"/>
      <w:r w:rsidR="005968B3" w:rsidRPr="00A04896">
        <w:t xml:space="preserve"> </w:t>
      </w:r>
      <w:proofErr w:type="spellStart"/>
      <w:r w:rsidR="005968B3" w:rsidRPr="00A04896">
        <w:t>Trinza</w:t>
      </w:r>
      <w:proofErr w:type="spellEnd"/>
      <w:r w:rsidRPr="007D66D9">
        <w:t xml:space="preserve"> over placebo for primary endpoint for Study 3012.</w:t>
      </w:r>
    </w:p>
    <w:p w14:paraId="35646819" w14:textId="77777777" w:rsidR="004F6EB2" w:rsidRPr="007D66D9" w:rsidRDefault="004F6EB2" w:rsidP="004F6EB2">
      <w:r w:rsidRPr="007D66D9">
        <w:t>The Independent Data Monitori</w:t>
      </w:r>
      <w:r>
        <w:t>ng</w:t>
      </w:r>
      <w:r w:rsidRPr="007D66D9">
        <w:t xml:space="preserve"> Committee (IDMC) charter has under 7.2.1.1 Interim Efficacy Analysis:</w:t>
      </w:r>
    </w:p>
    <w:p w14:paraId="67FA4B6A" w14:textId="77777777" w:rsidR="004F6EB2" w:rsidRPr="00485B1E" w:rsidRDefault="004F6EB2" w:rsidP="004F6EB2">
      <w:pPr>
        <w:ind w:left="284"/>
        <w:rPr>
          <w:rFonts w:cs="Arial"/>
          <w:i/>
        </w:rPr>
      </w:pPr>
      <w:r w:rsidRPr="00485B1E">
        <w:rPr>
          <w:rFonts w:cs="Arial"/>
          <w:i/>
        </w:rPr>
        <w:t>If the p value from the log-rank test on time to relapse at the planned interim analysis was less than 0.0101, the null hypothesis of no treatment difference in time to relapse was to be rejected and the IDMC was to recommend that the study be terminated for significant efficacy. Otherwise, the study was to continue until 70 relapse events were observed. No stoppi</w:t>
      </w:r>
      <w:r>
        <w:rPr>
          <w:rFonts w:cs="Arial"/>
          <w:i/>
        </w:rPr>
        <w:t>ng</w:t>
      </w:r>
      <w:r w:rsidRPr="00485B1E">
        <w:rPr>
          <w:rFonts w:cs="Arial"/>
          <w:i/>
        </w:rPr>
        <w:t xml:space="preserve"> rules for futility were to be incorporated.</w:t>
      </w:r>
    </w:p>
    <w:p w14:paraId="082C1487" w14:textId="77777777" w:rsidR="004F6EB2" w:rsidRPr="007D66D9" w:rsidRDefault="004F6EB2" w:rsidP="004F6EB2">
      <w:r w:rsidRPr="007D66D9">
        <w:t>The minutes of the Independent Data Monitori</w:t>
      </w:r>
      <w:r>
        <w:t>ng</w:t>
      </w:r>
      <w:r w:rsidRPr="007D66D9">
        <w:t xml:space="preserve"> Committee show:</w:t>
      </w:r>
    </w:p>
    <w:p w14:paraId="1E1C2B8E" w14:textId="77777777" w:rsidR="004F6EB2" w:rsidRPr="00485B1E" w:rsidRDefault="004F6EB2" w:rsidP="004F6EB2">
      <w:pPr>
        <w:ind w:left="284"/>
        <w:rPr>
          <w:rFonts w:cs="Arial"/>
          <w:i/>
        </w:rPr>
      </w:pPr>
      <w:r w:rsidRPr="00485B1E">
        <w:rPr>
          <w:rFonts w:cs="Arial"/>
          <w:i/>
        </w:rPr>
        <w:t>IDMC members agreed that the difference between treatment groups in relapse rates was highly statistically significant and met criteria for early study termination.</w:t>
      </w:r>
    </w:p>
    <w:p w14:paraId="39BF9604" w14:textId="77777777" w:rsidR="004F6EB2" w:rsidRPr="00485B1E" w:rsidRDefault="004F6EB2" w:rsidP="004F6EB2">
      <w:pPr>
        <w:ind w:left="284"/>
        <w:rPr>
          <w:rFonts w:cs="Arial"/>
          <w:i/>
        </w:rPr>
      </w:pPr>
      <w:r w:rsidRPr="00485B1E">
        <w:rPr>
          <w:rFonts w:cs="Arial"/>
          <w:i/>
        </w:rPr>
        <w:t>Based on the review of the interim analysis of the primary efficacy data, the IDMC members voted unanimously, includi</w:t>
      </w:r>
      <w:r>
        <w:rPr>
          <w:rFonts w:cs="Arial"/>
          <w:i/>
        </w:rPr>
        <w:t>ng</w:t>
      </w:r>
      <w:r w:rsidRPr="00485B1E">
        <w:rPr>
          <w:rFonts w:cs="Arial"/>
          <w:i/>
        </w:rPr>
        <w:t xml:space="preserve"> also Rene Kahn’s vote, to discontinue the study due to established efficacy within the pre-specified significance level.</w:t>
      </w:r>
    </w:p>
    <w:p w14:paraId="05EAF079" w14:textId="77777777" w:rsidR="004F6EB2" w:rsidRPr="007D66D9" w:rsidRDefault="004F6EB2" w:rsidP="004F6EB2">
      <w:r w:rsidRPr="007D66D9">
        <w:t>The minutes do not show that clinical relevance of the difference was discussed.</w:t>
      </w:r>
    </w:p>
    <w:p w14:paraId="2117FD58" w14:textId="77777777" w:rsidR="004F6EB2" w:rsidRDefault="004F6EB2" w:rsidP="004F6EB2">
      <w:r w:rsidRPr="007D66D9">
        <w:t xml:space="preserve">The sponsor has claimed a clinically </w:t>
      </w:r>
      <w:r w:rsidRPr="00485B1E">
        <w:t>significant difference</w:t>
      </w:r>
      <w:r w:rsidRPr="007D66D9">
        <w:t xml:space="preserve"> without givi</w:t>
      </w:r>
      <w:r>
        <w:t>ng</w:t>
      </w:r>
      <w:r w:rsidRPr="007D66D9">
        <w:t xml:space="preserve"> reasons for so claimi</w:t>
      </w:r>
      <w:r>
        <w:t>ng.</w:t>
      </w:r>
    </w:p>
    <w:p w14:paraId="20CFD7E4" w14:textId="1DC5182A" w:rsidR="00136376" w:rsidRDefault="00136376" w:rsidP="004F6EB2">
      <w:r w:rsidRPr="007D66D9">
        <w:t>After receivi</w:t>
      </w:r>
      <w:r>
        <w:t>ng</w:t>
      </w:r>
      <w:r w:rsidRPr="007D66D9">
        <w:t xml:space="preserve"> for the Maintenance Phase the initial dose of </w:t>
      </w:r>
      <w:proofErr w:type="spellStart"/>
      <w:r w:rsidRPr="00A04896">
        <w:t>Invega</w:t>
      </w:r>
      <w:proofErr w:type="spellEnd"/>
      <w:r w:rsidRPr="00A04896">
        <w:t xml:space="preserve"> </w:t>
      </w:r>
      <w:proofErr w:type="spellStart"/>
      <w:r w:rsidRPr="00A04896">
        <w:t>Trinza</w:t>
      </w:r>
      <w:proofErr w:type="spellEnd"/>
      <w:r w:rsidRPr="007D66D9">
        <w:t>, only 9/</w:t>
      </w:r>
      <w:r w:rsidR="00F048D7">
        <w:t xml:space="preserve"> </w:t>
      </w:r>
      <w:r w:rsidRPr="007D66D9">
        <w:t xml:space="preserve">(305 + 9) or 2.9% withdrew from lack of efficacy. In the Double Blind Phase of those whose treatment with </w:t>
      </w:r>
      <w:proofErr w:type="spellStart"/>
      <w:r w:rsidRPr="00A04896">
        <w:t>Invega</w:t>
      </w:r>
      <w:proofErr w:type="spellEnd"/>
      <w:r w:rsidRPr="00A04896">
        <w:t xml:space="preserve"> </w:t>
      </w:r>
      <w:proofErr w:type="spellStart"/>
      <w:r w:rsidRPr="00A04896">
        <w:t>Trinza</w:t>
      </w:r>
      <w:proofErr w:type="spellEnd"/>
      <w:r w:rsidRPr="007D66D9">
        <w:t xml:space="preserve"> continued 14/</w:t>
      </w:r>
      <w:r>
        <w:t xml:space="preserve"> </w:t>
      </w:r>
      <w:r w:rsidRPr="007D66D9">
        <w:t>(134 + 14) or 9.5% withdrew from relapse. While there was a lo</w:t>
      </w:r>
      <w:r>
        <w:t>ng</w:t>
      </w:r>
      <w:r w:rsidRPr="007D66D9">
        <w:t xml:space="preserve">er exposure (mean 175.1 days </w:t>
      </w:r>
      <w:r>
        <w:t>versus 80.9 days</w:t>
      </w:r>
      <w:r w:rsidRPr="007D66D9">
        <w:t>) in the Double Blind phase</w:t>
      </w:r>
      <w:r w:rsidR="00BD01F9">
        <w:rPr>
          <w:rStyle w:val="FootnoteReference"/>
        </w:rPr>
        <w:footnoteReference w:id="6"/>
      </w:r>
      <w:r w:rsidRPr="007D66D9">
        <w:t xml:space="preserve"> the relapse rate is still greater which is especially of concern when the PKs results show that exposure tends to increase (</w:t>
      </w:r>
      <w:proofErr w:type="spellStart"/>
      <w:r w:rsidRPr="007D66D9">
        <w:t>C</w:t>
      </w:r>
      <w:r w:rsidRPr="007D66D9">
        <w:rPr>
          <w:vertAlign w:val="subscript"/>
        </w:rPr>
        <w:t>min</w:t>
      </w:r>
      <w:proofErr w:type="spellEnd"/>
      <w:r w:rsidRPr="007D66D9">
        <w:t xml:space="preserve"> </w:t>
      </w:r>
      <w:r w:rsidRPr="00113AC6">
        <w:t>increases Table 5.) from</w:t>
      </w:r>
      <w:r w:rsidRPr="007D66D9">
        <w:t xml:space="preserve"> the initial dose until steady state is reached </w:t>
      </w:r>
      <w:r>
        <w:t>that is</w:t>
      </w:r>
      <w:r w:rsidRPr="007D66D9">
        <w:t xml:space="preserve"> one would expect more relapses to occur earlier</w:t>
      </w:r>
      <w:r>
        <w:t>.</w:t>
      </w:r>
      <w:r w:rsidR="00A135B6">
        <w:rPr>
          <w:rStyle w:val="FootnoteReference"/>
        </w:rPr>
        <w:footnoteReference w:id="7"/>
      </w:r>
    </w:p>
    <w:p w14:paraId="40D017D6" w14:textId="77777777" w:rsidR="00113AC6" w:rsidRPr="007D66D9" w:rsidRDefault="00113AC6" w:rsidP="00113AC6">
      <w:pPr>
        <w:pStyle w:val="Tabletitle0"/>
        <w:rPr>
          <w:lang w:eastAsia="en-AU"/>
        </w:rPr>
      </w:pPr>
      <w:r w:rsidRPr="00113AC6">
        <w:lastRenderedPageBreak/>
        <w:t>Table 5</w:t>
      </w:r>
      <w:bookmarkStart w:id="100" w:name="_Toc453054975"/>
      <w:r w:rsidRPr="00113AC6">
        <w:rPr>
          <w:lang w:eastAsia="en-AU"/>
        </w:rPr>
        <w:t xml:space="preserve">: </w:t>
      </w:r>
      <w:proofErr w:type="spellStart"/>
      <w:r w:rsidRPr="00113AC6">
        <w:rPr>
          <w:lang w:eastAsia="en-AU"/>
        </w:rPr>
        <w:t>Predose</w:t>
      </w:r>
      <w:proofErr w:type="spellEnd"/>
      <w:r w:rsidRPr="007D66D9">
        <w:rPr>
          <w:lang w:eastAsia="en-AU"/>
        </w:rPr>
        <w:t xml:space="preserve"> plasma concentrations of </w:t>
      </w:r>
      <w:proofErr w:type="spellStart"/>
      <w:r w:rsidRPr="007D66D9">
        <w:rPr>
          <w:lang w:eastAsia="en-AU"/>
        </w:rPr>
        <w:t>paliperidone</w:t>
      </w:r>
      <w:proofErr w:type="spellEnd"/>
      <w:r w:rsidRPr="007D66D9">
        <w:rPr>
          <w:lang w:eastAsia="en-AU"/>
        </w:rPr>
        <w:t xml:space="preserve"> after administration of PP1M/PP3M duri</w:t>
      </w:r>
      <w:r>
        <w:rPr>
          <w:lang w:eastAsia="en-AU"/>
        </w:rPr>
        <w:t>ng</w:t>
      </w:r>
      <w:r w:rsidRPr="007D66D9">
        <w:rPr>
          <w:lang w:eastAsia="en-AU"/>
        </w:rPr>
        <w:t xml:space="preserve"> the tra</w:t>
      </w:r>
      <w:r>
        <w:rPr>
          <w:lang w:eastAsia="en-AU"/>
        </w:rPr>
        <w:t xml:space="preserve">nsition, maintenance and double </w:t>
      </w:r>
      <w:r w:rsidRPr="007D66D9">
        <w:rPr>
          <w:lang w:eastAsia="en-AU"/>
        </w:rPr>
        <w:t>blind phase</w:t>
      </w:r>
      <w:bookmarkEnd w:id="100"/>
    </w:p>
    <w:p w14:paraId="0A2F38DF" w14:textId="77777777" w:rsidR="00113AC6" w:rsidRDefault="0076790D" w:rsidP="00113AC6">
      <w:pPr>
        <w:keepNext/>
      </w:pPr>
      <w:r>
        <w:rPr>
          <w:noProof/>
          <w:lang w:eastAsia="en-AU"/>
        </w:rPr>
        <w:drawing>
          <wp:inline distT="0" distB="0" distL="0" distR="0" wp14:anchorId="70DE732B" wp14:editId="20F52EDC">
            <wp:extent cx="5400040" cy="3042138"/>
            <wp:effectExtent l="0" t="0" r="0" b="6350"/>
            <wp:docPr id="3" name="Picture 3" descr="Table 5: Predose plasma concentrations of paliperidone after administration of PP1M/PP3M during the transition, maintenance and double blind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3042138"/>
                    </a:xfrm>
                    <a:prstGeom prst="rect">
                      <a:avLst/>
                    </a:prstGeom>
                  </pic:spPr>
                </pic:pic>
              </a:graphicData>
            </a:graphic>
          </wp:inline>
        </w:drawing>
      </w:r>
    </w:p>
    <w:p w14:paraId="50A58B77" w14:textId="77777777" w:rsidR="00113AC6" w:rsidRPr="00113AC6" w:rsidRDefault="00113AC6" w:rsidP="00113AC6">
      <w:pPr>
        <w:pStyle w:val="TableDescription"/>
        <w:keepLines/>
      </w:pPr>
      <w:r w:rsidRPr="00113AC6">
        <w:t>Note: The PK report is internally inconsistent with some of these results (for example Table 2) being labelled as after injection The Study protocol was consulted and it states in its synopsis (Time and events schedule page 22) Venous samples of 4 mL should be obtained prior to dose administration on each PK day.</w:t>
      </w:r>
    </w:p>
    <w:p w14:paraId="79E446DE" w14:textId="77777777" w:rsidR="004F6EB2" w:rsidRDefault="004F6EB2" w:rsidP="004F6EB2">
      <w:r w:rsidRPr="007D66D9">
        <w:t xml:space="preserve">Of the 42 subjects who experienced a relapse event, 31 subjects (23.0%) were in the Placebo group and 11 subjects (7.4%) were in </w:t>
      </w:r>
      <w:proofErr w:type="spellStart"/>
      <w:r w:rsidR="005968B3" w:rsidRPr="00A04896">
        <w:t>Invega</w:t>
      </w:r>
      <w:proofErr w:type="spellEnd"/>
      <w:r w:rsidR="005968B3" w:rsidRPr="00A04896">
        <w:t xml:space="preserve"> </w:t>
      </w:r>
      <w:proofErr w:type="spellStart"/>
      <w:r w:rsidR="005968B3" w:rsidRPr="00A04896">
        <w:t>Trinza</w:t>
      </w:r>
      <w:proofErr w:type="spellEnd"/>
      <w:r w:rsidRPr="007D66D9">
        <w:t xml:space="preserve"> group, the difference bei</w:t>
      </w:r>
      <w:r>
        <w:t>ng statistically significant (p </w:t>
      </w:r>
      <w:r w:rsidRPr="007D66D9">
        <w:t>&lt; 0.001 based on the log-rank test)</w:t>
      </w:r>
      <w:r>
        <w:t>.</w:t>
      </w:r>
    </w:p>
    <w:p w14:paraId="457FAF67" w14:textId="77777777" w:rsidR="004F6EB2" w:rsidRDefault="004F6EB2" w:rsidP="004F6EB2">
      <w:r w:rsidRPr="007D66D9">
        <w:t>The instantaneous risk of relapse of schizophrenia symptoms was 3.45 (95% CI: 1.73, 6.88) times higher for a subject switchi</w:t>
      </w:r>
      <w:r>
        <w:t>ng</w:t>
      </w:r>
      <w:r w:rsidRPr="007D66D9">
        <w:t xml:space="preserve"> to placebo than for a subject continui</w:t>
      </w:r>
      <w:r>
        <w:t>ng</w:t>
      </w:r>
      <w:r w:rsidRPr="007D66D9">
        <w:t xml:space="preserve"> to receive </w:t>
      </w:r>
      <w:proofErr w:type="spellStart"/>
      <w:r w:rsidR="005968B3" w:rsidRPr="00A04896">
        <w:t>Invega</w:t>
      </w:r>
      <w:proofErr w:type="spellEnd"/>
      <w:r w:rsidR="005968B3" w:rsidRPr="00A04896">
        <w:t xml:space="preserve"> </w:t>
      </w:r>
      <w:proofErr w:type="spellStart"/>
      <w:r w:rsidR="005968B3" w:rsidRPr="00A04896">
        <w:t>Trinza</w:t>
      </w:r>
      <w:proofErr w:type="spellEnd"/>
      <w:r w:rsidRPr="007D66D9">
        <w:t xml:space="preserve"> in the interim analysis</w:t>
      </w:r>
      <w:r>
        <w:t>.</w:t>
      </w:r>
    </w:p>
    <w:p w14:paraId="4E78ECE4" w14:textId="77777777" w:rsidR="004F6EB2" w:rsidRPr="007D66D9" w:rsidRDefault="004F6EB2" w:rsidP="004F6EB2">
      <w:r w:rsidRPr="007D66D9">
        <w:t xml:space="preserve">The sample size was based on 0.44 as a Hazard Ratio (hazard rate of </w:t>
      </w:r>
      <w:proofErr w:type="spellStart"/>
      <w:r w:rsidR="005968B3" w:rsidRPr="00A04896">
        <w:t>Invega</w:t>
      </w:r>
      <w:proofErr w:type="spellEnd"/>
      <w:r w:rsidR="005968B3" w:rsidRPr="00A04896">
        <w:t xml:space="preserve"> </w:t>
      </w:r>
      <w:proofErr w:type="spellStart"/>
      <w:r w:rsidR="005968B3" w:rsidRPr="00A04896">
        <w:t>Trinza</w:t>
      </w:r>
      <w:proofErr w:type="spellEnd"/>
      <w:r w:rsidRPr="007D66D9">
        <w:t xml:space="preserve">/ hazard rate of Placebo </w:t>
      </w:r>
      <w:r>
        <w:t>that is,</w:t>
      </w:r>
      <w:r w:rsidRPr="007D66D9">
        <w:t xml:space="preserve"> the inverse of this ratio </w:t>
      </w:r>
      <w:proofErr w:type="gramStart"/>
      <w:r w:rsidRPr="007D66D9">
        <w:t>is</w:t>
      </w:r>
      <w:proofErr w:type="gramEnd"/>
      <w:r w:rsidRPr="007D66D9">
        <w:t xml:space="preserve"> used to describe the efficacy result). Inverti</w:t>
      </w:r>
      <w:r>
        <w:t>ng</w:t>
      </w:r>
      <w:r w:rsidRPr="007D66D9">
        <w:t xml:space="preserve"> 0.44 gives </w:t>
      </w:r>
      <w:r w:rsidRPr="00662127">
        <w:t>2.27</w:t>
      </w:r>
      <w:r w:rsidRPr="007D66D9">
        <w:rPr>
          <w:b/>
        </w:rPr>
        <w:t xml:space="preserve"> </w:t>
      </w:r>
      <w:r>
        <w:t>that is,</w:t>
      </w:r>
      <w:r w:rsidRPr="007D66D9">
        <w:t xml:space="preserve"> greater than the </w:t>
      </w:r>
      <w:r w:rsidRPr="00662127">
        <w:t>1.73</w:t>
      </w:r>
      <w:r w:rsidRPr="007D66D9">
        <w:t xml:space="preserve"> lower bound of the 95%CI of the ratio used to describe the efficacy result.</w:t>
      </w:r>
    </w:p>
    <w:p w14:paraId="1024C4F1" w14:textId="77777777" w:rsidR="004F6EB2" w:rsidRPr="007D66D9" w:rsidRDefault="004F6EB2" w:rsidP="00D674C8">
      <w:r w:rsidRPr="007D66D9">
        <w:t>The secondar</w:t>
      </w:r>
      <w:r>
        <w:t>y endpoints in Study 3012 were:</w:t>
      </w:r>
    </w:p>
    <w:p w14:paraId="6DA40A6B" w14:textId="77777777" w:rsidR="004F6EB2" w:rsidRDefault="004F6EB2" w:rsidP="00D674C8">
      <w:r w:rsidRPr="007D66D9">
        <w:t>PANSS (total) at End point (double blind) mean (</w:t>
      </w:r>
      <w:r w:rsidR="00FF0518">
        <w:t>standard deviation</w:t>
      </w:r>
      <w:r w:rsidR="00FF0518" w:rsidRPr="007D66D9">
        <w:t xml:space="preserve"> </w:t>
      </w:r>
      <w:r w:rsidR="00FF0518">
        <w:t>(</w:t>
      </w:r>
      <w:r w:rsidRPr="007D66D9">
        <w:t>SD</w:t>
      </w:r>
      <w:r w:rsidR="00FF0518">
        <w:t>)</w:t>
      </w:r>
      <w:r w:rsidRPr="007D66D9">
        <w:t>) cha</w:t>
      </w:r>
      <w:r>
        <w:t>ng</w:t>
      </w:r>
      <w:r w:rsidRPr="007D66D9">
        <w:t>e from Baseline was placebo 6.7 (14.</w:t>
      </w:r>
      <w:r>
        <w:t xml:space="preserve">40), </w:t>
      </w:r>
      <w:proofErr w:type="spellStart"/>
      <w:r w:rsidR="005968B3" w:rsidRPr="00A04896">
        <w:t>Invega</w:t>
      </w:r>
      <w:proofErr w:type="spellEnd"/>
      <w:r w:rsidR="005968B3" w:rsidRPr="00A04896">
        <w:t xml:space="preserve"> </w:t>
      </w:r>
      <w:proofErr w:type="spellStart"/>
      <w:r w:rsidR="005968B3" w:rsidRPr="00A04896">
        <w:t>Trinza</w:t>
      </w:r>
      <w:proofErr w:type="spellEnd"/>
      <w:r>
        <w:t xml:space="preserve"> -0.5 (8.36). </w:t>
      </w:r>
      <w:r w:rsidRPr="007D66D9">
        <w:t>That is a difference of 7.2 (4%) from placebo in a 180 point scale</w:t>
      </w:r>
      <w:r>
        <w:t>.</w:t>
      </w:r>
    </w:p>
    <w:p w14:paraId="4930A5E7" w14:textId="77777777" w:rsidR="004F6EB2" w:rsidRDefault="0054619C" w:rsidP="00D674C8">
      <w:r>
        <w:t xml:space="preserve">Clinical global impression </w:t>
      </w:r>
      <w:r>
        <w:rPr>
          <w:lang w:val="en-US"/>
        </w:rPr>
        <w:t>–</w:t>
      </w:r>
      <w:r>
        <w:t>severity</w:t>
      </w:r>
      <w:r w:rsidRPr="007D66D9">
        <w:t xml:space="preserve"> </w:t>
      </w:r>
      <w:r>
        <w:t>(</w:t>
      </w:r>
      <w:r w:rsidR="004F6EB2" w:rsidRPr="007D66D9">
        <w:t>CGI-S</w:t>
      </w:r>
      <w:r>
        <w:t>)</w:t>
      </w:r>
      <w:r w:rsidR="004F6EB2" w:rsidRPr="007D66D9">
        <w:t xml:space="preserve"> Score at End point (double blind) mean (SD) cha</w:t>
      </w:r>
      <w:r w:rsidR="004F6EB2">
        <w:t>ng</w:t>
      </w:r>
      <w:r w:rsidR="004F6EB2" w:rsidRPr="007D66D9">
        <w:t>e from Baseline was placebo 0.4 (0</w:t>
      </w:r>
      <w:r w:rsidR="004F6EB2">
        <w:t xml:space="preserve">.87), </w:t>
      </w:r>
      <w:proofErr w:type="spellStart"/>
      <w:r w:rsidR="005968B3" w:rsidRPr="00A04896">
        <w:t>Invega</w:t>
      </w:r>
      <w:proofErr w:type="spellEnd"/>
      <w:r w:rsidR="005968B3" w:rsidRPr="00A04896">
        <w:t xml:space="preserve"> </w:t>
      </w:r>
      <w:proofErr w:type="spellStart"/>
      <w:r w:rsidR="005968B3" w:rsidRPr="00A04896">
        <w:t>Trinza</w:t>
      </w:r>
      <w:proofErr w:type="spellEnd"/>
      <w:r w:rsidR="004F6EB2">
        <w:t xml:space="preserve"> 0.1 (0.60). </w:t>
      </w:r>
      <w:r w:rsidR="004F6EB2" w:rsidRPr="007D66D9">
        <w:t>That is a difference of 0.3 (4%) from placebo in a 7.0 point scale</w:t>
      </w:r>
      <w:r w:rsidR="004F6EB2">
        <w:t>.</w:t>
      </w:r>
    </w:p>
    <w:p w14:paraId="6A5972A5" w14:textId="77777777" w:rsidR="004F6EB2" w:rsidRDefault="004F6EB2" w:rsidP="00D674C8">
      <w:r w:rsidRPr="007D66D9">
        <w:t>PSP (total) at End point (double blind) mean (SD) cha</w:t>
      </w:r>
      <w:r>
        <w:t>ng</w:t>
      </w:r>
      <w:r w:rsidRPr="007D66D9">
        <w:t>e from Baseline was placebo -4.2 (9.70</w:t>
      </w:r>
      <w:r>
        <w:t xml:space="preserve">), </w:t>
      </w:r>
      <w:proofErr w:type="spellStart"/>
      <w:r w:rsidR="005968B3" w:rsidRPr="00A04896">
        <w:t>Invega</w:t>
      </w:r>
      <w:proofErr w:type="spellEnd"/>
      <w:r w:rsidR="005968B3" w:rsidRPr="00A04896">
        <w:t xml:space="preserve"> Trinza</w:t>
      </w:r>
      <w:r>
        <w:t xml:space="preserve">-0.5 (6.63). </w:t>
      </w:r>
      <w:r w:rsidRPr="007D66D9">
        <w:t>That is a difference of 3.7(4%) from placebo in a 100 point scale</w:t>
      </w:r>
      <w:r>
        <w:t>.</w:t>
      </w:r>
    </w:p>
    <w:p w14:paraId="04901B15" w14:textId="77777777" w:rsidR="004F6EB2" w:rsidRPr="007D66D9" w:rsidRDefault="004F6EB2" w:rsidP="00D674C8">
      <w:r w:rsidRPr="007D66D9">
        <w:t>No multiplicity adjustments were to be made.</w:t>
      </w:r>
    </w:p>
    <w:p w14:paraId="276BA0C3" w14:textId="77777777" w:rsidR="004F6EB2" w:rsidRDefault="004F6EB2" w:rsidP="00D674C8">
      <w:r w:rsidRPr="007D66D9">
        <w:t xml:space="preserve">Based on 95% CIs non inferiority was shown for the primary endpoint of </w:t>
      </w:r>
      <w:proofErr w:type="spellStart"/>
      <w:r w:rsidR="005968B3" w:rsidRPr="00A04896">
        <w:t>Invega</w:t>
      </w:r>
      <w:proofErr w:type="spellEnd"/>
      <w:r w:rsidR="005968B3" w:rsidRPr="00A04896">
        <w:t xml:space="preserve"> </w:t>
      </w:r>
      <w:proofErr w:type="spellStart"/>
      <w:r w:rsidR="005968B3" w:rsidRPr="00A04896">
        <w:t>Trinza</w:t>
      </w:r>
      <w:proofErr w:type="spellEnd"/>
      <w:r w:rsidRPr="007D66D9">
        <w:t xml:space="preserve"> compared to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7D66D9">
        <w:t xml:space="preserve"> in Study 3011. However the percentage of relapses for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7D66D9">
        <w:t xml:space="preserve"> at Week 48 was the similar to that seen at interim (primary) analysis in </w:t>
      </w:r>
      <w:r w:rsidRPr="007D66D9">
        <w:lastRenderedPageBreak/>
        <w:t xml:space="preserve">Study 3001 when only 37% of subjects in the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7D66D9">
        <w:t xml:space="preserve"> group had received at least 5 injections (4 months of injections)</w:t>
      </w:r>
      <w:r>
        <w:t>.</w:t>
      </w:r>
    </w:p>
    <w:p w14:paraId="67033227" w14:textId="77777777" w:rsidR="004F6EB2" w:rsidRPr="007D66D9" w:rsidRDefault="004F6EB2" w:rsidP="004F6EB2">
      <w:pPr>
        <w:pStyle w:val="Comment"/>
      </w:pPr>
      <w:r>
        <w:rPr>
          <w:b/>
        </w:rPr>
        <w:t>Comment</w:t>
      </w:r>
      <w:r w:rsidRPr="007D66D9">
        <w:rPr>
          <w:b/>
        </w:rPr>
        <w:t>:</w:t>
      </w:r>
      <w:r>
        <w:rPr>
          <w:b/>
        </w:rPr>
        <w:t xml:space="preserve"> </w:t>
      </w:r>
      <w:r w:rsidRPr="007D66D9">
        <w:t>In the absence of a placebo control, equivalence and non-inferiority trials rely on certain assumptions:</w:t>
      </w:r>
    </w:p>
    <w:p w14:paraId="00A7EFCB" w14:textId="77777777" w:rsidR="004F6EB2" w:rsidRPr="004F6EB2" w:rsidRDefault="004F6EB2" w:rsidP="004F6EB2">
      <w:pPr>
        <w:pStyle w:val="ListBullet"/>
        <w:ind w:left="1349" w:hanging="357"/>
      </w:pPr>
      <w:r w:rsidRPr="004F6EB2">
        <w:t>Superior efficacy of the standard treatment over placebo has been convincingly proven for a given indication in previous trials.</w:t>
      </w:r>
    </w:p>
    <w:p w14:paraId="45A6E842" w14:textId="77777777" w:rsidR="004F6EB2" w:rsidRPr="004F6EB2" w:rsidRDefault="004F6EB2" w:rsidP="004F6EB2">
      <w:pPr>
        <w:pStyle w:val="ListBullet"/>
        <w:ind w:left="1349" w:hanging="357"/>
      </w:pPr>
      <w:r w:rsidRPr="004F6EB2">
        <w:t>Efficacy of the standard treatment will be preserved under the conditions of the equivalence or non-inferiority trial.</w:t>
      </w:r>
    </w:p>
    <w:p w14:paraId="2F28F795" w14:textId="77777777" w:rsidR="004F6EB2" w:rsidRPr="007D66D9" w:rsidRDefault="004F6EB2" w:rsidP="004F6EB2">
      <w:pPr>
        <w:pStyle w:val="ListBullet"/>
        <w:ind w:left="1349" w:hanging="357"/>
      </w:pPr>
      <w:r w:rsidRPr="004F6EB2">
        <w:t>If the new treatment is shown to have equivalent or non-inferior efficacy, then it too would exhibit superior efficacy to placebo if a placebo controlled trial were to be performed</w:t>
      </w:r>
      <w:r w:rsidRPr="007D66D9">
        <w:t>.</w:t>
      </w:r>
    </w:p>
    <w:p w14:paraId="51AED8A2" w14:textId="77777777" w:rsidR="00934C6F" w:rsidRPr="00934C6F" w:rsidRDefault="004F6EB2" w:rsidP="00934C6F">
      <w:r w:rsidRPr="007D66D9">
        <w:t xml:space="preserve">These assumptions, and the rationale for equivalence or non-inferiority margins, cannot be validated explicitly. Although new and standard treatments may be shown to be equivalent, they could both </w:t>
      </w:r>
      <w:r w:rsidRPr="009746A1">
        <w:t>be ineffective.</w:t>
      </w:r>
      <w:r w:rsidRPr="009746A1">
        <w:rPr>
          <w:vertAlign w:val="superscript"/>
        </w:rPr>
        <w:footnoteReference w:id="8"/>
      </w:r>
    </w:p>
    <w:p w14:paraId="3BB99FF6" w14:textId="77777777" w:rsidR="008E7846" w:rsidRPr="002E238E" w:rsidRDefault="008E7846" w:rsidP="008E7846">
      <w:pPr>
        <w:pStyle w:val="Heading3"/>
      </w:pPr>
      <w:bookmarkStart w:id="101" w:name="_Toc163441378"/>
      <w:bookmarkStart w:id="102" w:name="_Toc196046495"/>
      <w:bookmarkStart w:id="103" w:name="_Toc247691522"/>
      <w:bookmarkStart w:id="104" w:name="_Toc314842505"/>
      <w:bookmarkStart w:id="105" w:name="_Toc497913789"/>
      <w:bookmarkEnd w:id="82"/>
      <w:bookmarkEnd w:id="83"/>
      <w:bookmarkEnd w:id="84"/>
      <w:bookmarkEnd w:id="85"/>
      <w:r w:rsidRPr="002E238E">
        <w:t>Safety</w:t>
      </w:r>
      <w:bookmarkEnd w:id="101"/>
      <w:bookmarkEnd w:id="102"/>
      <w:bookmarkEnd w:id="103"/>
      <w:bookmarkEnd w:id="104"/>
      <w:bookmarkEnd w:id="105"/>
    </w:p>
    <w:p w14:paraId="5B3A636D" w14:textId="77777777" w:rsidR="00605AD4" w:rsidRDefault="00605AD4" w:rsidP="00605AD4">
      <w:pPr>
        <w:pStyle w:val="Heading4"/>
      </w:pPr>
      <w:bookmarkStart w:id="106" w:name="_Toc247691524"/>
      <w:bookmarkStart w:id="107" w:name="_Toc314842508"/>
      <w:bookmarkStart w:id="108" w:name="_Toc196046504"/>
      <w:bookmarkStart w:id="109" w:name="_Toc163441390"/>
      <w:r w:rsidRPr="00605AD4">
        <w:t>Studies providing safety data</w:t>
      </w:r>
    </w:p>
    <w:p w14:paraId="6A053C3D" w14:textId="77777777" w:rsidR="00577514" w:rsidRPr="007D66D9" w:rsidRDefault="00577514" w:rsidP="00577514">
      <w:pPr>
        <w:rPr>
          <w:rFonts w:cs="Arial"/>
        </w:rPr>
      </w:pPr>
      <w:r w:rsidRPr="009746A1">
        <w:rPr>
          <w:rFonts w:cs="Arial"/>
        </w:rPr>
        <w:t>Safety data from these 3 studies were not pooled due to differences in study design and objectives.</w:t>
      </w:r>
    </w:p>
    <w:p w14:paraId="65E4E2B9" w14:textId="77777777" w:rsidR="00577514" w:rsidRPr="007D66D9" w:rsidRDefault="00577514" w:rsidP="00577514">
      <w:r w:rsidRPr="007D66D9">
        <w:t xml:space="preserve">The design of these </w:t>
      </w:r>
      <w:r>
        <w:t>Phase III</w:t>
      </w:r>
      <w:r w:rsidRPr="007D66D9">
        <w:t xml:space="preserve"> studies was not intended to support a formal evaluation of the dose response of PP3M for specific safety findi</w:t>
      </w:r>
      <w:r>
        <w:t>ng</w:t>
      </w:r>
      <w:r w:rsidRPr="007D66D9">
        <w:t>s (</w:t>
      </w:r>
      <w:r>
        <w:t>for example</w:t>
      </w:r>
      <w:r w:rsidRPr="007D66D9">
        <w:t xml:space="preserve"> </w:t>
      </w:r>
      <w:r w:rsidR="0054619C">
        <w:t>extrapyramidal symptom(s</w:t>
      </w:r>
      <w:proofErr w:type="gramStart"/>
      <w:r w:rsidR="0054619C">
        <w:t>)(</w:t>
      </w:r>
      <w:proofErr w:type="gramEnd"/>
      <w:r w:rsidRPr="007D66D9">
        <w:t>EPS</w:t>
      </w:r>
      <w:r w:rsidR="0054619C">
        <w:t>)</w:t>
      </w:r>
      <w:r w:rsidRPr="007D66D9">
        <w:t xml:space="preserve">-related </w:t>
      </w:r>
      <w:r w:rsidR="0054619C">
        <w:t>adverse events (</w:t>
      </w:r>
      <w:r w:rsidRPr="007D66D9">
        <w:t>AEs</w:t>
      </w:r>
      <w:r w:rsidR="0054619C">
        <w:t>)</w:t>
      </w:r>
      <w:r w:rsidRPr="007D66D9">
        <w:t xml:space="preserve">, weight gain) or tolerability. Subjects were not </w:t>
      </w:r>
      <w:r>
        <w:t xml:space="preserve">randomly </w:t>
      </w:r>
      <w:r w:rsidRPr="007D66D9">
        <w:t>assigned to distinct dose levels of PP3M upon enteri</w:t>
      </w:r>
      <w:r>
        <w:t>ng</w:t>
      </w:r>
      <w:r w:rsidRPr="007D66D9">
        <w:t xml:space="preserve"> the </w:t>
      </w:r>
      <w:r>
        <w:t>Double blind Phase</w:t>
      </w:r>
      <w:r w:rsidRPr="007D66D9">
        <w:t>.</w:t>
      </w:r>
    </w:p>
    <w:p w14:paraId="18DAC8FF" w14:textId="77777777" w:rsidR="00577514" w:rsidRPr="00577514" w:rsidRDefault="00577514" w:rsidP="00577514">
      <w:r w:rsidRPr="007D66D9">
        <w:t xml:space="preserve">Any conclusion about a differential effect of PP3M dose on the incidence of adverse events in the </w:t>
      </w:r>
      <w:r>
        <w:t>Double blind Phase</w:t>
      </w:r>
      <w:r w:rsidRPr="007D66D9">
        <w:t xml:space="preserve"> is confounded by the clinical response and tolerability of PP1M for individual subjects in the </w:t>
      </w:r>
      <w:r w:rsidRPr="009746A1">
        <w:t>Open label Phase.</w:t>
      </w:r>
    </w:p>
    <w:p w14:paraId="1C5DA6CC" w14:textId="77777777" w:rsidR="00605AD4" w:rsidRDefault="00605AD4" w:rsidP="00605AD4">
      <w:pPr>
        <w:pStyle w:val="Heading4"/>
      </w:pPr>
      <w:r w:rsidRPr="00605AD4">
        <w:t>Patient exposure</w:t>
      </w:r>
    </w:p>
    <w:p w14:paraId="4FD49083" w14:textId="77777777" w:rsidR="00577514" w:rsidRDefault="00577514" w:rsidP="00577514">
      <w:r w:rsidRPr="007D66D9">
        <w:t xml:space="preserve">The combined exposure to </w:t>
      </w:r>
      <w:proofErr w:type="spellStart"/>
      <w:r w:rsidR="005968B3" w:rsidRPr="00A04896">
        <w:t>Invega</w:t>
      </w:r>
      <w:proofErr w:type="spellEnd"/>
      <w:r w:rsidR="005968B3" w:rsidRPr="00A04896">
        <w:t xml:space="preserve"> </w:t>
      </w:r>
      <w:proofErr w:type="spellStart"/>
      <w:r w:rsidR="005968B3" w:rsidRPr="00A04896">
        <w:t>Trinza</w:t>
      </w:r>
      <w:proofErr w:type="spellEnd"/>
      <w:r w:rsidRPr="007D66D9">
        <w:t xml:space="preserve"> in the 3 studies included in this submission was 567.6 patient-years, based on 1,191 subjects (308 from PSY-1005, 379 from PSY-3012 and 504 from PSY-3011) who received at least 1 dose of </w:t>
      </w:r>
      <w:proofErr w:type="spellStart"/>
      <w:r w:rsidR="005968B3" w:rsidRPr="00A04896">
        <w:t>Invega</w:t>
      </w:r>
      <w:proofErr w:type="spellEnd"/>
      <w:r w:rsidR="005968B3" w:rsidRPr="00A04896">
        <w:t xml:space="preserve"> </w:t>
      </w:r>
      <w:proofErr w:type="spellStart"/>
      <w:r w:rsidR="005968B3" w:rsidRPr="00A04896">
        <w:t>Trinza</w:t>
      </w:r>
      <w:proofErr w:type="spellEnd"/>
      <w:r w:rsidRPr="007D66D9">
        <w:t xml:space="preserve"> with 319 subjects (291 from PSY-3011 and 28 from PSY-3012) havi</w:t>
      </w:r>
      <w:r>
        <w:t>ng</w:t>
      </w:r>
      <w:r w:rsidRPr="007D66D9">
        <w:t xml:space="preserve"> at l</w:t>
      </w:r>
      <w:r>
        <w:t xml:space="preserve">east 48 weeks of </w:t>
      </w:r>
      <w:proofErr w:type="spellStart"/>
      <w:r w:rsidR="005968B3" w:rsidRPr="00A04896">
        <w:t>Invega</w:t>
      </w:r>
      <w:proofErr w:type="spellEnd"/>
      <w:r w:rsidR="005968B3" w:rsidRPr="00A04896">
        <w:t xml:space="preserve"> </w:t>
      </w:r>
      <w:proofErr w:type="spellStart"/>
      <w:r w:rsidR="005968B3" w:rsidRPr="00A04896">
        <w:t>Trinza</w:t>
      </w:r>
      <w:proofErr w:type="spellEnd"/>
      <w:r>
        <w:t>.</w:t>
      </w:r>
    </w:p>
    <w:p w14:paraId="28B8D878" w14:textId="77777777" w:rsidR="005968B3" w:rsidRPr="00577514" w:rsidRDefault="005968B3" w:rsidP="00577514">
      <w:r>
        <w:t>For the full clinical evaluation of the safety aspects please see Attachment 2.</w:t>
      </w:r>
    </w:p>
    <w:p w14:paraId="56553621" w14:textId="77777777" w:rsidR="00605AD4" w:rsidRPr="00605AD4" w:rsidRDefault="00605AD4" w:rsidP="00605AD4">
      <w:pPr>
        <w:pStyle w:val="Heading4"/>
      </w:pPr>
      <w:r w:rsidRPr="00605AD4">
        <w:t>Evaluator’s conclusions on safety</w:t>
      </w:r>
    </w:p>
    <w:p w14:paraId="1E0A7538" w14:textId="77777777" w:rsidR="00A22F80" w:rsidRPr="007D66D9" w:rsidRDefault="00A22F80" w:rsidP="00A22F80">
      <w:r w:rsidRPr="007D66D9">
        <w:t>The possibility of dose dumpi</w:t>
      </w:r>
      <w:r>
        <w:t>ng</w:t>
      </w:r>
      <w:r w:rsidRPr="007D66D9">
        <w:t xml:space="preserve"> is of concern. Of the 48 patients receivi</w:t>
      </w:r>
      <w:r>
        <w:t>ng</w:t>
      </w:r>
      <w:r w:rsidRPr="007D66D9">
        <w:t xml:space="preserve"> </w:t>
      </w:r>
      <w:r>
        <w:t>525 mg</w:t>
      </w:r>
      <w:r w:rsidRPr="007D66D9">
        <w:t>, the 24 receivi</w:t>
      </w:r>
      <w:r>
        <w:t>ng</w:t>
      </w:r>
      <w:r w:rsidRPr="007D66D9">
        <w:t xml:space="preserve"> it in the deltoid showed a </w:t>
      </w:r>
      <w:proofErr w:type="spellStart"/>
      <w:r w:rsidR="008D4FE3" w:rsidRPr="00D71C16">
        <w:t>C</w:t>
      </w:r>
      <w:r w:rsidR="008D4FE3" w:rsidRPr="008D4FE3">
        <w:rPr>
          <w:vertAlign w:val="subscript"/>
        </w:rPr>
        <w:t>max</w:t>
      </w:r>
      <w:proofErr w:type="spellEnd"/>
      <w:r w:rsidRPr="007D66D9">
        <w:t xml:space="preserve"> mean of 12.0</w:t>
      </w:r>
      <w:r>
        <w:t xml:space="preserve"> ng/mL</w:t>
      </w:r>
      <w:r w:rsidRPr="007D66D9">
        <w:t xml:space="preserve"> </w:t>
      </w:r>
      <w:proofErr w:type="gramStart"/>
      <w:r w:rsidRPr="007D66D9">
        <w:t>(median 11.6</w:t>
      </w:r>
      <w:r>
        <w:t xml:space="preserve"> ng/mL</w:t>
      </w:r>
      <w:r w:rsidRPr="007D66D9">
        <w:t>)</w:t>
      </w:r>
      <w:proofErr w:type="gramEnd"/>
      <w:r w:rsidRPr="007D66D9">
        <w:t>. Patient</w:t>
      </w:r>
      <w:r>
        <w:t xml:space="preserve"> 605113 on Days 1 (6 hours post </w:t>
      </w:r>
      <w:r w:rsidRPr="007D66D9">
        <w:t xml:space="preserve">dose), 2, 4, 6, and 10 of Period 2, had measured </w:t>
      </w:r>
      <w:proofErr w:type="spellStart"/>
      <w:r w:rsidRPr="007D66D9">
        <w:t>paliperidone</w:t>
      </w:r>
      <w:proofErr w:type="spellEnd"/>
      <w:r w:rsidRPr="007D66D9">
        <w:t xml:space="preserve"> concentrations of 153, 416, 243, 195, and </w:t>
      </w:r>
      <w:proofErr w:type="gramStart"/>
      <w:r w:rsidRPr="007D66D9">
        <w:t>125</w:t>
      </w:r>
      <w:r>
        <w:t xml:space="preserve"> ng/mL</w:t>
      </w:r>
      <w:r w:rsidRPr="007D66D9">
        <w:t>, respectively</w:t>
      </w:r>
      <w:proofErr w:type="gramEnd"/>
      <w:r w:rsidRPr="007D66D9">
        <w:t>.</w:t>
      </w:r>
    </w:p>
    <w:p w14:paraId="123FA808" w14:textId="77777777" w:rsidR="00A22F80" w:rsidRPr="007D66D9" w:rsidRDefault="00A22F80" w:rsidP="00A22F80">
      <w:r w:rsidRPr="007D66D9">
        <w:t>Based the appearance of the concentration curves for the 160 subjects receivi</w:t>
      </w:r>
      <w:r>
        <w:t>ng</w:t>
      </w:r>
      <w:r w:rsidRPr="007D66D9">
        <w:t xml:space="preserve"> </w:t>
      </w:r>
      <w:proofErr w:type="spellStart"/>
      <w:r w:rsidR="005968B3" w:rsidRPr="00A04896">
        <w:t>Invega</w:t>
      </w:r>
      <w:proofErr w:type="spellEnd"/>
      <w:r w:rsidR="005968B3" w:rsidRPr="00A04896">
        <w:t xml:space="preserve"> </w:t>
      </w:r>
      <w:proofErr w:type="spellStart"/>
      <w:r w:rsidR="005968B3" w:rsidRPr="00A04896">
        <w:t>Trinza</w:t>
      </w:r>
      <w:proofErr w:type="spellEnd"/>
      <w:r w:rsidRPr="007D66D9">
        <w:t xml:space="preserve"> in Study 3012 3 subjects (63801202, 60017109 </w:t>
      </w:r>
      <w:r>
        <w:t>and</w:t>
      </w:r>
      <w:r w:rsidRPr="007D66D9">
        <w:t xml:space="preserve"> 60400605) with high </w:t>
      </w:r>
      <w:r w:rsidRPr="007D66D9">
        <w:lastRenderedPageBreak/>
        <w:t>concentrations suggested the possibility of rapid initial absorption after an injection in that the other injections in the same subjects were not associated with similar high rises. Similar events were seen in 19 of the 446 subjects receivi</w:t>
      </w:r>
      <w:r>
        <w:t>ng</w:t>
      </w:r>
      <w:r w:rsidRPr="007D66D9">
        <w:t xml:space="preserve"> </w:t>
      </w:r>
      <w:proofErr w:type="spellStart"/>
      <w:r w:rsidR="005968B3" w:rsidRPr="00A04896">
        <w:t>Invega</w:t>
      </w:r>
      <w:proofErr w:type="spellEnd"/>
      <w:r w:rsidR="005968B3" w:rsidRPr="00A04896">
        <w:t xml:space="preserve"> </w:t>
      </w:r>
      <w:proofErr w:type="spellStart"/>
      <w:r w:rsidR="005968B3" w:rsidRPr="00A04896">
        <w:t>Trinza</w:t>
      </w:r>
      <w:proofErr w:type="spellEnd"/>
      <w:r w:rsidRPr="007D66D9">
        <w:t xml:space="preserve"> in Study 3011.</w:t>
      </w:r>
    </w:p>
    <w:p w14:paraId="2F1E07B6" w14:textId="053A2443" w:rsidR="00A22F80" w:rsidRPr="007D66D9" w:rsidRDefault="00A22F80" w:rsidP="00A22F80">
      <w:r w:rsidRPr="007D66D9">
        <w:t xml:space="preserve">Also of concern is the possibility of extended periods of low plasma </w:t>
      </w:r>
      <w:proofErr w:type="spellStart"/>
      <w:r w:rsidRPr="007D66D9">
        <w:t>paliperidone</w:t>
      </w:r>
      <w:proofErr w:type="spellEnd"/>
      <w:r w:rsidRPr="007D66D9">
        <w:t xml:space="preserve"> concentrations. The sponsor argues that clusteri</w:t>
      </w:r>
      <w:r>
        <w:t>ng</w:t>
      </w:r>
      <w:r w:rsidRPr="007D66D9">
        <w:t xml:space="preserve"> of relapses was not seen at a time when plasma levels would expect </w:t>
      </w:r>
      <w:r w:rsidRPr="00EC7736">
        <w:t>to be low. An alternative</w:t>
      </w:r>
      <w:r w:rsidRPr="007D66D9">
        <w:t xml:space="preserve"> exploration is to compare the incidence in the first 3 month treatment per</w:t>
      </w:r>
      <w:r w:rsidR="00E84567">
        <w:t xml:space="preserve">iod with those at steady state </w:t>
      </w:r>
      <w:r w:rsidRPr="0076790D">
        <w:t>(see also</w:t>
      </w:r>
      <w:r w:rsidR="00EA33E5">
        <w:t xml:space="preserve"> Figure </w:t>
      </w:r>
      <w:r w:rsidR="0076790D" w:rsidRPr="0076790D">
        <w:t>1</w:t>
      </w:r>
      <w:r w:rsidRPr="0076790D">
        <w:t>).</w:t>
      </w:r>
    </w:p>
    <w:p w14:paraId="2E1A8B90" w14:textId="77777777" w:rsidR="00605AD4" w:rsidRDefault="00A22F80" w:rsidP="00605AD4">
      <w:pPr>
        <w:rPr>
          <w:rFonts w:cs="Arial"/>
        </w:rPr>
      </w:pPr>
      <w:r w:rsidRPr="007D66D9">
        <w:rPr>
          <w:rFonts w:cs="Arial"/>
        </w:rPr>
        <w:t xml:space="preserve">Any conclusion about a differential effect of PP3M dose on the incidence of adverse events in the </w:t>
      </w:r>
      <w:r>
        <w:rPr>
          <w:rFonts w:cs="Arial"/>
        </w:rPr>
        <w:t>Double blind Phase</w:t>
      </w:r>
      <w:r w:rsidRPr="007D66D9">
        <w:rPr>
          <w:rFonts w:cs="Arial"/>
        </w:rPr>
        <w:t xml:space="preserve"> is confounded by the clinical response and tolerability of PP1M for individual subjects in the </w:t>
      </w:r>
      <w:r>
        <w:rPr>
          <w:rFonts w:cs="Arial"/>
        </w:rPr>
        <w:t xml:space="preserve">open </w:t>
      </w:r>
      <w:r w:rsidRPr="00EC7736">
        <w:rPr>
          <w:rFonts w:cs="Arial"/>
        </w:rPr>
        <w:t>label phase.</w:t>
      </w:r>
    </w:p>
    <w:p w14:paraId="4B68E0DD" w14:textId="77777777" w:rsidR="0076790D" w:rsidRDefault="0076790D" w:rsidP="0076790D">
      <w:pPr>
        <w:pStyle w:val="FigureTitle"/>
      </w:pPr>
      <w:r>
        <w:rPr>
          <w:rFonts w:cs="Arial"/>
        </w:rPr>
        <w:lastRenderedPageBreak/>
        <w:t>Figure 1</w:t>
      </w:r>
      <w:r>
        <w:t>:</w:t>
      </w:r>
      <w:r w:rsidRPr="008E4777">
        <w:t xml:space="preserve"> </w:t>
      </w:r>
      <w:bookmarkStart w:id="110" w:name="_Ref440872146"/>
      <w:bookmarkStart w:id="111" w:name="_Toc453055092"/>
      <w:proofErr w:type="spellStart"/>
      <w:r w:rsidRPr="008E4777">
        <w:t>Paliperidone</w:t>
      </w:r>
      <w:proofErr w:type="spellEnd"/>
      <w:r w:rsidRPr="008E4777">
        <w:t xml:space="preserve"> Concentration-Time Profiles for subjects with &lt; 7.5ng/mL</w:t>
      </w:r>
      <w:bookmarkEnd w:id="110"/>
      <w:bookmarkEnd w:id="111"/>
    </w:p>
    <w:p w14:paraId="1187580D" w14:textId="77777777" w:rsidR="0076790D" w:rsidRPr="005968B3" w:rsidRDefault="0076790D" w:rsidP="00605AD4">
      <w:pPr>
        <w:rPr>
          <w:rFonts w:cs="Arial"/>
        </w:rPr>
      </w:pPr>
      <w:r>
        <w:rPr>
          <w:noProof/>
          <w:lang w:eastAsia="en-AU"/>
        </w:rPr>
        <w:drawing>
          <wp:inline distT="0" distB="0" distL="0" distR="0" wp14:anchorId="791379AC" wp14:editId="7B2FADD2">
            <wp:extent cx="4847740" cy="7790688"/>
            <wp:effectExtent l="0" t="0" r="0" b="1270"/>
            <wp:docPr id="4" name="Picture 4" descr="Figure 1: Paliperidone Concentration-Time Profiles for subjects with &lt; 7.5ng/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46437" cy="7788594"/>
                    </a:xfrm>
                    <a:prstGeom prst="rect">
                      <a:avLst/>
                    </a:prstGeom>
                  </pic:spPr>
                </pic:pic>
              </a:graphicData>
            </a:graphic>
          </wp:inline>
        </w:drawing>
      </w:r>
    </w:p>
    <w:p w14:paraId="1049B56E" w14:textId="77777777" w:rsidR="00605AD4" w:rsidRPr="00605AD4" w:rsidRDefault="00605AD4" w:rsidP="00605AD4">
      <w:pPr>
        <w:pStyle w:val="Heading3"/>
        <w:rPr>
          <w:rFonts w:eastAsia="Cambria"/>
        </w:rPr>
      </w:pPr>
      <w:bookmarkStart w:id="112" w:name="_Toc497913790"/>
      <w:r w:rsidRPr="00605AD4">
        <w:rPr>
          <w:rFonts w:eastAsia="Cambria"/>
        </w:rPr>
        <w:lastRenderedPageBreak/>
        <w:t>First Round Benefit-Risk Assessment</w:t>
      </w:r>
      <w:bookmarkEnd w:id="112"/>
    </w:p>
    <w:p w14:paraId="76C1F41B" w14:textId="77777777" w:rsidR="00605AD4" w:rsidRDefault="00605AD4" w:rsidP="00605AD4">
      <w:pPr>
        <w:pStyle w:val="Heading4"/>
      </w:pPr>
      <w:r w:rsidRPr="00605AD4">
        <w:t>First round assessment of benefits</w:t>
      </w:r>
    </w:p>
    <w:p w14:paraId="09BEA407" w14:textId="77777777" w:rsidR="00A22F80" w:rsidRPr="006723BE" w:rsidRDefault="00A22F80" w:rsidP="00A22F80">
      <w:r w:rsidRPr="006723BE">
        <w:t xml:space="preserve">Efficacy of the currently registered one monthly formulation was based on conventional efficacy studies, with subsequent amendments to the Dosage based on </w:t>
      </w:r>
      <w:proofErr w:type="spellStart"/>
      <w:r w:rsidRPr="006723BE">
        <w:t>PopPK</w:t>
      </w:r>
      <w:proofErr w:type="spellEnd"/>
      <w:r w:rsidRPr="006723BE">
        <w:t xml:space="preserve"> studies.</w:t>
      </w:r>
    </w:p>
    <w:p w14:paraId="71A74987" w14:textId="77777777" w:rsidR="00A22F80" w:rsidRPr="006723BE" w:rsidRDefault="00A22F80" w:rsidP="00A22F80">
      <w:r w:rsidRPr="006723BE">
        <w:t xml:space="preserve">This submission included a </w:t>
      </w:r>
      <w:proofErr w:type="spellStart"/>
      <w:r w:rsidRPr="006723BE">
        <w:t>PopPK</w:t>
      </w:r>
      <w:proofErr w:type="spellEnd"/>
      <w:r w:rsidRPr="006723BE">
        <w:t xml:space="preserve"> study of the plasma </w:t>
      </w:r>
      <w:proofErr w:type="spellStart"/>
      <w:r w:rsidRPr="006723BE">
        <w:t>paliperidone</w:t>
      </w:r>
      <w:proofErr w:type="spellEnd"/>
      <w:r w:rsidRPr="006723BE">
        <w:t xml:space="preserve"> levels resulting from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6723BE">
        <w:t xml:space="preserve"> treatment which found that the model used previously (to support amended dosage) only fitted the current data if 10% uncertainties were assigned to the parameters.</w:t>
      </w:r>
    </w:p>
    <w:p w14:paraId="39BCA798" w14:textId="77777777" w:rsidR="00A22F80" w:rsidRPr="006723BE" w:rsidRDefault="00A22F80" w:rsidP="00A22F80">
      <w:r w:rsidRPr="006723BE">
        <w:t xml:space="preserve">The existing model did not fit the </w:t>
      </w:r>
      <w:proofErr w:type="spellStart"/>
      <w:r w:rsidR="005968B3" w:rsidRPr="00A04896">
        <w:t>Invega</w:t>
      </w:r>
      <w:proofErr w:type="spellEnd"/>
      <w:r w:rsidR="005968B3" w:rsidRPr="00A04896">
        <w:t xml:space="preserve"> </w:t>
      </w:r>
      <w:proofErr w:type="spellStart"/>
      <w:r w:rsidR="005968B3" w:rsidRPr="00A04896">
        <w:t>Trinza</w:t>
      </w:r>
      <w:proofErr w:type="spellEnd"/>
      <w:r w:rsidRPr="006723BE">
        <w:t xml:space="preserve"> absorption data and a two compartment model rather than a one compartment model was necessary.</w:t>
      </w:r>
    </w:p>
    <w:p w14:paraId="15764D42" w14:textId="77777777" w:rsidR="00A22F80" w:rsidRPr="006723BE" w:rsidRDefault="00A22F80" w:rsidP="00A22F80">
      <w:r w:rsidRPr="006723BE">
        <w:t xml:space="preserve">That is based on the </w:t>
      </w:r>
      <w:proofErr w:type="spellStart"/>
      <w:r w:rsidRPr="006723BE">
        <w:t>PopPK</w:t>
      </w:r>
      <w:proofErr w:type="spellEnd"/>
      <w:r w:rsidRPr="006723BE">
        <w:t xml:space="preserve"> analyses the new formulation behaves differently from the existing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6723BE">
        <w:t xml:space="preserve"> formulation.</w:t>
      </w:r>
    </w:p>
    <w:p w14:paraId="767EAB0D" w14:textId="77777777" w:rsidR="00A22F80" w:rsidRPr="006723BE" w:rsidRDefault="00A22F80" w:rsidP="00A22F80">
      <w:r w:rsidRPr="006723BE">
        <w:t>Evidence for efficacy rests on 2 studies:</w:t>
      </w:r>
    </w:p>
    <w:p w14:paraId="7474F5E6" w14:textId="37801C09" w:rsidR="00A22F80" w:rsidRPr="005A2A5B" w:rsidRDefault="00A22F80" w:rsidP="005A2A5B">
      <w:pPr>
        <w:pStyle w:val="ListBullet"/>
      </w:pPr>
      <w:r w:rsidRPr="005A2A5B">
        <w:t xml:space="preserve">3012 was a placebo controlled study that was stopped at the interim analysis because it showed statistical significance of </w:t>
      </w:r>
      <w:proofErr w:type="spellStart"/>
      <w:r w:rsidR="005968B3" w:rsidRPr="00A04896">
        <w:t>Invega</w:t>
      </w:r>
      <w:proofErr w:type="spellEnd"/>
      <w:r w:rsidR="005968B3" w:rsidRPr="00A04896">
        <w:t xml:space="preserve"> </w:t>
      </w:r>
      <w:proofErr w:type="spellStart"/>
      <w:r w:rsidR="005968B3" w:rsidRPr="00A04896">
        <w:t>Trinza</w:t>
      </w:r>
      <w:proofErr w:type="spellEnd"/>
      <w:r w:rsidR="00EA33E5">
        <w:t xml:space="preserve"> over placebo</w:t>
      </w:r>
      <w:r w:rsidRPr="005A2A5B">
        <w:t>.</w:t>
      </w:r>
    </w:p>
    <w:p w14:paraId="460A7336" w14:textId="77777777" w:rsidR="00A22F80" w:rsidRPr="005A2A5B" w:rsidRDefault="00A22F80" w:rsidP="005A2A5B">
      <w:pPr>
        <w:pStyle w:val="ListBullet"/>
      </w:pPr>
      <w:r w:rsidRPr="005A2A5B">
        <w:t xml:space="preserve">3011 was a non-inferiority study of the new formulation against the currently registered active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5A2A5B">
        <w:t xml:space="preserve"> formulation. The study did not have a placebo control. It showed non-inferiority in the primary variable. But, based on the sample size, was not powered for the secondary variables and their p values were not given.</w:t>
      </w:r>
    </w:p>
    <w:p w14:paraId="19F2C5CC" w14:textId="77777777" w:rsidR="00A22F80" w:rsidRPr="007D66D9" w:rsidRDefault="00A22F80" w:rsidP="00A22F80">
      <w:r w:rsidRPr="007D66D9">
        <w:t>Clinical significance was claimed compared to placebo in Study 3012. However it was not discussed. The Lower bound of the 95% CI for the primary variable was less than the Hazard Ratio used to determine the sample size. The secondary variables all showed a 4% difference from placebo.</w:t>
      </w:r>
    </w:p>
    <w:p w14:paraId="119ADB29" w14:textId="77777777" w:rsidR="00A22F80" w:rsidRPr="007D66D9" w:rsidRDefault="00A22F80" w:rsidP="00A22F80">
      <w:r w:rsidRPr="007D66D9">
        <w:t>The benefits the sponsor claims in the proposed usage are:</w:t>
      </w:r>
    </w:p>
    <w:p w14:paraId="7CD66246" w14:textId="3E0D74FF" w:rsidR="00A22F80" w:rsidRPr="005A2A5B" w:rsidRDefault="00A22F80" w:rsidP="005A2A5B">
      <w:pPr>
        <w:pStyle w:val="ListBullet"/>
      </w:pPr>
      <w:r w:rsidRPr="005A2A5B">
        <w:t>The PP3M formulation is expected to have advantages in terms of medic</w:t>
      </w:r>
      <w:r w:rsidR="00EA33E5">
        <w:t>ation adherence and ease of use.</w:t>
      </w:r>
    </w:p>
    <w:p w14:paraId="478501FA" w14:textId="254E3D9E" w:rsidR="00A22F80" w:rsidRPr="005A2A5B" w:rsidRDefault="00A22F80" w:rsidP="005A2A5B">
      <w:pPr>
        <w:pStyle w:val="ListBullet"/>
      </w:pPr>
      <w:r w:rsidRPr="005A2A5B">
        <w:t>These benefits are likely to be particularly valuable for patients who prefer less frequent injections, those with limited access to healthcare, those who live in an underserved rural or inner city setting, and those who cannot coordinate bi-weekly or once monthly transportation for injection visits</w:t>
      </w:r>
      <w:r w:rsidR="00EA33E5">
        <w:t>.</w:t>
      </w:r>
    </w:p>
    <w:p w14:paraId="54A9B90C" w14:textId="77777777" w:rsidR="00A22F80" w:rsidRPr="005A2A5B" w:rsidRDefault="00A22F80" w:rsidP="005A2A5B">
      <w:pPr>
        <w:pStyle w:val="ListBullet"/>
      </w:pPr>
      <w:r w:rsidRPr="005A2A5B">
        <w:t>PP3M reduces the time needed for monitoring and follow-up of patients for medication adherence, potentially providing health care providers with additional time for implementing or monitoring psychosocial programs.</w:t>
      </w:r>
    </w:p>
    <w:p w14:paraId="0E2CEA6A" w14:textId="77777777" w:rsidR="00A22F80" w:rsidRPr="00A22F80" w:rsidRDefault="00A22F80" w:rsidP="00A22F80">
      <w:pPr>
        <w:pStyle w:val="ListBullet"/>
      </w:pPr>
      <w:r w:rsidRPr="005A2A5B">
        <w:t xml:space="preserve">PP3M is supplied in prefilled syringes that do not require reconstitution or refrigeration, further enhancing the ease of use of this </w:t>
      </w:r>
      <w:r w:rsidR="0054619C">
        <w:t>long-acting injectable</w:t>
      </w:r>
      <w:r w:rsidR="0054619C" w:rsidRPr="005A2A5B">
        <w:t xml:space="preserve"> </w:t>
      </w:r>
      <w:r w:rsidR="0054619C">
        <w:t>(</w:t>
      </w:r>
      <w:r w:rsidRPr="005A2A5B">
        <w:t>LAI</w:t>
      </w:r>
      <w:r w:rsidR="0054619C">
        <w:t>)</w:t>
      </w:r>
      <w:r w:rsidRPr="005A2A5B">
        <w:t xml:space="preserve"> antipsychotic, especially in remote areas with limited healthcare provisions</w:t>
      </w:r>
      <w:r w:rsidR="005A2A5B">
        <w:t>.</w:t>
      </w:r>
    </w:p>
    <w:p w14:paraId="6C298AF2" w14:textId="77777777" w:rsidR="00605AD4" w:rsidRDefault="00605AD4" w:rsidP="00605AD4">
      <w:pPr>
        <w:pStyle w:val="Heading4"/>
      </w:pPr>
      <w:r w:rsidRPr="00605AD4">
        <w:t>First round assessment of risks</w:t>
      </w:r>
    </w:p>
    <w:p w14:paraId="10C446BA" w14:textId="77777777" w:rsidR="005A2A5B" w:rsidRPr="007D66D9" w:rsidRDefault="005A2A5B" w:rsidP="005A2A5B">
      <w:r w:rsidRPr="007D66D9">
        <w:t>It is of concern that the PK model used for simulations to justify dosi</w:t>
      </w:r>
      <w:r>
        <w:t>ng</w:t>
      </w:r>
      <w:r w:rsidRPr="007D66D9">
        <w:t xml:space="preserve"> regimens does not include data from the lo</w:t>
      </w:r>
      <w:r>
        <w:t>ng</w:t>
      </w:r>
      <w:r w:rsidRPr="007D66D9">
        <w:t xml:space="preserve"> term Study 3011 bei</w:t>
      </w:r>
      <w:r>
        <w:t>ng</w:t>
      </w:r>
      <w:r w:rsidRPr="007D66D9">
        <w:t xml:space="preserve"> based on the si</w:t>
      </w:r>
      <w:r>
        <w:t>ng</w:t>
      </w:r>
      <w:r w:rsidRPr="007D66D9">
        <w:t xml:space="preserve">le dose Study 1005 and Study 3012 where 160 received 2 injections of </w:t>
      </w:r>
      <w:proofErr w:type="spellStart"/>
      <w:r w:rsidR="005968B3" w:rsidRPr="00A04896">
        <w:t>Invega</w:t>
      </w:r>
      <w:proofErr w:type="spellEnd"/>
      <w:r w:rsidR="005968B3" w:rsidRPr="00A04896">
        <w:t xml:space="preserve"> </w:t>
      </w:r>
      <w:proofErr w:type="spellStart"/>
      <w:r w:rsidR="005968B3" w:rsidRPr="00A04896">
        <w:t>Trinza</w:t>
      </w:r>
      <w:proofErr w:type="spellEnd"/>
      <w:r w:rsidRPr="007D66D9">
        <w:t xml:space="preserve"> only 18 received 3 injections.</w:t>
      </w:r>
    </w:p>
    <w:p w14:paraId="54D9F4C2" w14:textId="77777777" w:rsidR="005A2A5B" w:rsidRPr="007D66D9" w:rsidRDefault="005A2A5B" w:rsidP="005A2A5B">
      <w:r w:rsidRPr="007D66D9">
        <w:t>The possibility of dose dumpi</w:t>
      </w:r>
      <w:r>
        <w:t>ng</w:t>
      </w:r>
      <w:r w:rsidRPr="007D66D9">
        <w:t xml:space="preserve"> is also of concern. In study 1005 one of the 48 patients receivi</w:t>
      </w:r>
      <w:r>
        <w:t>ng</w:t>
      </w:r>
      <w:r w:rsidRPr="007D66D9">
        <w:t xml:space="preserve"> </w:t>
      </w:r>
      <w:r>
        <w:t>525 mg</w:t>
      </w:r>
      <w:r w:rsidRPr="007D66D9">
        <w:t xml:space="preserve"> </w:t>
      </w:r>
      <w:r>
        <w:t>equivalent</w:t>
      </w:r>
      <w:r w:rsidRPr="007D66D9">
        <w:t xml:space="preserve"> had this occur. In study 3012 in the 160 subjects receivi</w:t>
      </w:r>
      <w:r>
        <w:t>ng</w:t>
      </w:r>
      <w:r w:rsidRPr="007D66D9">
        <w:t xml:space="preserve"> </w:t>
      </w:r>
      <w:proofErr w:type="spellStart"/>
      <w:r w:rsidR="005968B3" w:rsidRPr="00A04896">
        <w:t>Invega</w:t>
      </w:r>
      <w:proofErr w:type="spellEnd"/>
      <w:r w:rsidR="005968B3" w:rsidRPr="00A04896">
        <w:t xml:space="preserve"> </w:t>
      </w:r>
      <w:proofErr w:type="spellStart"/>
      <w:r w:rsidR="005968B3" w:rsidRPr="00A04896">
        <w:t>Trinza</w:t>
      </w:r>
      <w:proofErr w:type="spellEnd"/>
      <w:r w:rsidRPr="007D66D9">
        <w:t xml:space="preserve"> a further 3 possible events were seen and in Study 3011 similar events were </w:t>
      </w:r>
      <w:r w:rsidRPr="007D66D9">
        <w:lastRenderedPageBreak/>
        <w:t>seen in 19 of the 446 subjects receivi</w:t>
      </w:r>
      <w:r>
        <w:t xml:space="preserve">ng </w:t>
      </w:r>
      <w:proofErr w:type="spellStart"/>
      <w:r w:rsidR="005968B3" w:rsidRPr="00A04896">
        <w:t>Invega</w:t>
      </w:r>
      <w:proofErr w:type="spellEnd"/>
      <w:r w:rsidR="005968B3" w:rsidRPr="00A04896">
        <w:t xml:space="preserve"> </w:t>
      </w:r>
      <w:proofErr w:type="spellStart"/>
      <w:r w:rsidR="005968B3" w:rsidRPr="00A04896">
        <w:t>Trinza</w:t>
      </w:r>
      <w:proofErr w:type="spellEnd"/>
      <w:r>
        <w:t>;</w:t>
      </w:r>
      <w:r w:rsidRPr="007D66D9">
        <w:t xml:space="preserve"> the infrequency of </w:t>
      </w:r>
      <w:proofErr w:type="spellStart"/>
      <w:r w:rsidRPr="007D66D9">
        <w:t>paliperidone</w:t>
      </w:r>
      <w:proofErr w:type="spellEnd"/>
      <w:r w:rsidRPr="007D66D9">
        <w:t xml:space="preserve"> measurement precluded clearer evaluation.</w:t>
      </w:r>
    </w:p>
    <w:p w14:paraId="488F903E" w14:textId="77777777" w:rsidR="005A2A5B" w:rsidRPr="007D66D9" w:rsidRDefault="005A2A5B" w:rsidP="005A2A5B">
      <w:r w:rsidRPr="007D66D9">
        <w:t xml:space="preserve">The </w:t>
      </w:r>
      <w:proofErr w:type="spellStart"/>
      <w:r w:rsidRPr="007D66D9">
        <w:t>PopPK</w:t>
      </w:r>
      <w:proofErr w:type="spellEnd"/>
      <w:r w:rsidRPr="007D66D9">
        <w:t xml:space="preserve"> studies did show the possibility of below therapeutic levels occurri</w:t>
      </w:r>
      <w:r>
        <w:t>ng</w:t>
      </w:r>
      <w:r w:rsidRPr="007D66D9">
        <w:t xml:space="preserve"> in some patients with some dosage regimens, and some subjects did show this.</w:t>
      </w:r>
    </w:p>
    <w:p w14:paraId="469D653A" w14:textId="77777777" w:rsidR="005A2A5B" w:rsidRPr="007D66D9" w:rsidRDefault="005A2A5B" w:rsidP="005A2A5B">
      <w:r w:rsidRPr="007D66D9">
        <w:t>The sponsor argues that clusteri</w:t>
      </w:r>
      <w:r>
        <w:t>ng</w:t>
      </w:r>
      <w:r w:rsidRPr="007D66D9">
        <w:t xml:space="preserve"> of relapses was not seen at a time when plasma levels would expect to be </w:t>
      </w:r>
      <w:r w:rsidRPr="006723BE">
        <w:t>low.</w:t>
      </w:r>
    </w:p>
    <w:p w14:paraId="1F413F95" w14:textId="77777777" w:rsidR="005A2A5B" w:rsidRPr="006723BE" w:rsidRDefault="005A2A5B" w:rsidP="005A2A5B">
      <w:pPr>
        <w:ind w:left="720"/>
        <w:rPr>
          <w:i/>
        </w:rPr>
      </w:pPr>
      <w:r>
        <w:rPr>
          <w:i/>
        </w:rPr>
        <w:t>‘</w:t>
      </w:r>
      <w:r w:rsidRPr="006723BE">
        <w:rPr>
          <w:i/>
        </w:rPr>
        <w:t>Any conclusion about a differential effect of PP3M dose on the incidence of adverse events in the double blind phase is confounded by the clinical response and tolerability of PP1M for individual subjects in the open label phase.</w:t>
      </w:r>
      <w:r>
        <w:rPr>
          <w:i/>
        </w:rPr>
        <w:t>’</w:t>
      </w:r>
    </w:p>
    <w:p w14:paraId="253104FB" w14:textId="77777777" w:rsidR="005A2A5B" w:rsidRPr="007D66D9" w:rsidRDefault="005A2A5B" w:rsidP="005A2A5B">
      <w:r w:rsidRPr="007D66D9">
        <w:t>The sponsor proposes:</w:t>
      </w:r>
    </w:p>
    <w:p w14:paraId="6498E075" w14:textId="77777777" w:rsidR="005A2A5B" w:rsidRPr="006723BE" w:rsidRDefault="005A2A5B" w:rsidP="005A2A5B">
      <w:pPr>
        <w:ind w:left="720"/>
        <w:rPr>
          <w:i/>
        </w:rPr>
      </w:pPr>
      <w:r>
        <w:rPr>
          <w:i/>
        </w:rPr>
        <w:t>‘</w:t>
      </w:r>
      <w:r w:rsidRPr="006723BE">
        <w:rPr>
          <w:i/>
        </w:rPr>
        <w:t>PP3M shares the same active moiety as well as the same route of administration and formulation characteristics with the commercially-available PP1M product, the Company believes that the overall extent of exposure (total number of subjects exposed) and the well documented safety profile of PP1M are particularly relevant for PP3M.</w:t>
      </w:r>
      <w:r>
        <w:rPr>
          <w:i/>
        </w:rPr>
        <w:t>’</w:t>
      </w:r>
    </w:p>
    <w:p w14:paraId="57E7C916" w14:textId="77777777" w:rsidR="005A2A5B" w:rsidRPr="007D66D9" w:rsidRDefault="005A2A5B" w:rsidP="005A2A5B">
      <w:r w:rsidRPr="007D66D9">
        <w:t xml:space="preserve">However the </w:t>
      </w:r>
      <w:proofErr w:type="spellStart"/>
      <w:r w:rsidRPr="007D66D9">
        <w:t>PopPK</w:t>
      </w:r>
      <w:proofErr w:type="spellEnd"/>
      <w:r w:rsidRPr="007D66D9">
        <w:t xml:space="preserve"> models submitted differ between the existi</w:t>
      </w:r>
      <w:r>
        <w:t>ng</w:t>
      </w:r>
      <w:r w:rsidRPr="007D66D9">
        <w:t xml:space="preserve"> registered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7D66D9">
        <w:t xml:space="preserve"> and this proposed good (</w:t>
      </w:r>
      <w:proofErr w:type="spellStart"/>
      <w:r w:rsidR="005968B3" w:rsidRPr="00A04896">
        <w:t>Invega</w:t>
      </w:r>
      <w:proofErr w:type="spellEnd"/>
      <w:r w:rsidR="005968B3" w:rsidRPr="00A04896">
        <w:t xml:space="preserve"> </w:t>
      </w:r>
      <w:proofErr w:type="spellStart"/>
      <w:r w:rsidR="005968B3" w:rsidRPr="00A04896">
        <w:t>Trinza</w:t>
      </w:r>
      <w:proofErr w:type="spellEnd"/>
      <w:r w:rsidRPr="007D66D9">
        <w:t xml:space="preserve">) </w:t>
      </w:r>
      <w:r>
        <w:t>that is</w:t>
      </w:r>
      <w:r w:rsidRPr="007D66D9">
        <w:t xml:space="preserve"> they show an </w:t>
      </w:r>
      <w:r w:rsidRPr="007D66D9">
        <w:rPr>
          <w:i/>
        </w:rPr>
        <w:t>in vivo</w:t>
      </w:r>
      <w:r w:rsidRPr="007D66D9">
        <w:t xml:space="preserve"> difference in absorption and covariates between the two.</w:t>
      </w:r>
    </w:p>
    <w:p w14:paraId="721A3000" w14:textId="77777777" w:rsidR="005A2A5B" w:rsidRDefault="005A2A5B" w:rsidP="005A2A5B">
      <w:r w:rsidRPr="007D66D9">
        <w:t xml:space="preserve">Most of the comparisons for Safety the sponsor makes are between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7D66D9">
        <w:t xml:space="preserve"> and </w:t>
      </w:r>
      <w:proofErr w:type="spellStart"/>
      <w:r w:rsidR="005968B3" w:rsidRPr="00A04896">
        <w:t>Invega</w:t>
      </w:r>
      <w:proofErr w:type="spellEnd"/>
      <w:r w:rsidR="005968B3" w:rsidRPr="00A04896">
        <w:t xml:space="preserve"> </w:t>
      </w:r>
      <w:proofErr w:type="spellStart"/>
      <w:r w:rsidR="005968B3" w:rsidRPr="00A04896">
        <w:t>Trinza</w:t>
      </w:r>
      <w:proofErr w:type="spellEnd"/>
      <w:r w:rsidRPr="007D66D9">
        <w:t xml:space="preserve"> rather than with placebo</w:t>
      </w:r>
      <w:r>
        <w:t>.</w:t>
      </w:r>
    </w:p>
    <w:p w14:paraId="71B05620" w14:textId="77777777" w:rsidR="005A2A5B" w:rsidRPr="005A2A5B" w:rsidRDefault="005A2A5B" w:rsidP="005A2A5B">
      <w:r w:rsidRPr="007D66D9">
        <w:t xml:space="preserve">In study 3012 (Placebo 145 subjects, </w:t>
      </w:r>
      <w:proofErr w:type="spellStart"/>
      <w:r w:rsidR="005968B3" w:rsidRPr="00A04896">
        <w:t>Invega</w:t>
      </w:r>
      <w:proofErr w:type="spellEnd"/>
      <w:r w:rsidR="005968B3" w:rsidRPr="00A04896">
        <w:t xml:space="preserve"> </w:t>
      </w:r>
      <w:proofErr w:type="spellStart"/>
      <w:r w:rsidR="005968B3" w:rsidRPr="00A04896">
        <w:t>Trinza</w:t>
      </w:r>
      <w:proofErr w:type="spellEnd"/>
      <w:r w:rsidRPr="007D66D9">
        <w:t xml:space="preserve"> 160), while the overall number of subjects havi</w:t>
      </w:r>
      <w:r>
        <w:t>ng</w:t>
      </w:r>
      <w:r w:rsidRPr="007D66D9">
        <w:t xml:space="preserve"> an </w:t>
      </w:r>
      <w:r w:rsidR="0054619C">
        <w:t>adverse event</w:t>
      </w:r>
      <w:r w:rsidR="0054619C" w:rsidRPr="007D66D9">
        <w:t xml:space="preserve"> </w:t>
      </w:r>
      <w:r w:rsidR="0054619C">
        <w:t>(</w:t>
      </w:r>
      <w:r w:rsidRPr="007D66D9">
        <w:t>AE</w:t>
      </w:r>
      <w:r w:rsidR="0054619C">
        <w:t>)</w:t>
      </w:r>
      <w:r w:rsidRPr="007D66D9">
        <w:t xml:space="preserve"> were similar, URTI </w:t>
      </w:r>
      <w:r>
        <w:t>and</w:t>
      </w:r>
      <w:r w:rsidRPr="007D66D9">
        <w:t xml:space="preserve"> </w:t>
      </w:r>
      <w:proofErr w:type="spellStart"/>
      <w:r w:rsidRPr="007D66D9">
        <w:t>nasophary</w:t>
      </w:r>
      <w:r>
        <w:t>ng</w:t>
      </w:r>
      <w:r w:rsidRPr="007D66D9">
        <w:t>itis</w:t>
      </w:r>
      <w:proofErr w:type="spellEnd"/>
      <w:r w:rsidRPr="007D66D9">
        <w:t xml:space="preserve"> were 9.4% for </w:t>
      </w:r>
      <w:proofErr w:type="spellStart"/>
      <w:r w:rsidR="005968B3" w:rsidRPr="00A04896">
        <w:t>Invega</w:t>
      </w:r>
      <w:proofErr w:type="spellEnd"/>
      <w:r w:rsidR="005968B3" w:rsidRPr="00A04896">
        <w:t xml:space="preserve"> </w:t>
      </w:r>
      <w:proofErr w:type="spellStart"/>
      <w:r w:rsidR="005968B3" w:rsidRPr="00A04896">
        <w:t>Trinza</w:t>
      </w:r>
      <w:proofErr w:type="spellEnd"/>
      <w:r w:rsidRPr="007D66D9">
        <w:t xml:space="preserve"> </w:t>
      </w:r>
      <w:r>
        <w:t>versus</w:t>
      </w:r>
      <w:r w:rsidRPr="007D66D9">
        <w:t xml:space="preserve"> 3.5% for placebo in the </w:t>
      </w:r>
      <w:r w:rsidR="0054619C">
        <w:t>double blind</w:t>
      </w:r>
      <w:r w:rsidRPr="007D66D9">
        <w:t xml:space="preserve"> phase, weight increase was 8.8% </w:t>
      </w:r>
      <w:r>
        <w:t>versus</w:t>
      </w:r>
      <w:r w:rsidRPr="007D66D9">
        <w:t xml:space="preserve"> 3.4%, headache was 8.8% </w:t>
      </w:r>
      <w:r>
        <w:t>versus</w:t>
      </w:r>
      <w:r w:rsidRPr="007D66D9">
        <w:t xml:space="preserve"> 4.1% and </w:t>
      </w:r>
      <w:proofErr w:type="spellStart"/>
      <w:r w:rsidRPr="007D66D9">
        <w:t>akathesia</w:t>
      </w:r>
      <w:proofErr w:type="spellEnd"/>
      <w:r w:rsidRPr="007D66D9">
        <w:t xml:space="preserve"> 4.4%</w:t>
      </w:r>
      <w:r>
        <w:t xml:space="preserve"> versus</w:t>
      </w:r>
      <w:r w:rsidRPr="007D66D9">
        <w:t xml:space="preserve"> 0.7%. The psychiatric events relevant to schizophrenia we</w:t>
      </w:r>
      <w:r>
        <w:t>re higher in the placebo group.</w:t>
      </w:r>
    </w:p>
    <w:p w14:paraId="14E4F9A5" w14:textId="77777777" w:rsidR="00605AD4" w:rsidRPr="00605AD4" w:rsidRDefault="00605AD4" w:rsidP="00605AD4">
      <w:pPr>
        <w:pStyle w:val="Heading4"/>
      </w:pPr>
      <w:r w:rsidRPr="00605AD4">
        <w:t>First round assessment of benefit-risk balance</w:t>
      </w:r>
    </w:p>
    <w:p w14:paraId="2F49F7B3" w14:textId="77777777" w:rsidR="005A2A5B" w:rsidRPr="007D66D9" w:rsidRDefault="005A2A5B" w:rsidP="005A2A5B">
      <w:pPr>
        <w:pStyle w:val="Heading4"/>
        <w:numPr>
          <w:ilvl w:val="2"/>
          <w:numId w:val="0"/>
        </w:numPr>
        <w:adjustRightInd w:val="0"/>
        <w:snapToGrid w:val="0"/>
        <w:spacing w:before="120" w:after="120"/>
        <w:ind w:left="1134" w:hanging="964"/>
      </w:pPr>
      <w:r w:rsidRPr="007D66D9">
        <w:rPr>
          <w:lang w:val="en"/>
        </w:rPr>
        <w:t>From CPMP/EWP/49/01</w:t>
      </w:r>
    </w:p>
    <w:p w14:paraId="43B04FD1" w14:textId="77777777" w:rsidR="005A2A5B" w:rsidRPr="007D66D9" w:rsidRDefault="005A2A5B" w:rsidP="005A2A5B">
      <w:r w:rsidRPr="007D66D9">
        <w:t>Lo</w:t>
      </w:r>
      <w:r>
        <w:t>ng</w:t>
      </w:r>
      <w:r w:rsidRPr="007D66D9">
        <w:t>-acti</w:t>
      </w:r>
      <w:r>
        <w:t>ng</w:t>
      </w:r>
      <w:r w:rsidRPr="007D66D9">
        <w:t xml:space="preserve"> parenteral antipsychotic medications have several advantages over short-acti</w:t>
      </w:r>
      <w:r>
        <w:t>ng</w:t>
      </w:r>
      <w:r w:rsidRPr="007D66D9">
        <w:t xml:space="preserve"> oral or intra-muscular agents when administered for the treatment of chronic schizophrenia. The major advantage is the assurance of compliance leadi</w:t>
      </w:r>
      <w:r>
        <w:t>ng</w:t>
      </w:r>
      <w:r w:rsidRPr="007D66D9">
        <w:t xml:space="preserve"> to fewer relapses and re-hospitalisations.</w:t>
      </w:r>
    </w:p>
    <w:p w14:paraId="5DF2CAD5" w14:textId="7FFFF4FE" w:rsidR="005A2A5B" w:rsidRPr="007D66D9" w:rsidRDefault="005A2A5B" w:rsidP="005A2A5B">
      <w:r w:rsidRPr="007D66D9">
        <w:t>As the efficacy and safety of the immediate formulation is accepted</w:t>
      </w:r>
      <w:r w:rsidR="00A55A93">
        <w:t>,</w:t>
      </w:r>
      <w:r w:rsidRPr="007D66D9">
        <w:t xml:space="preserve"> in line with the modified release guideline, a </w:t>
      </w:r>
      <w:r w:rsidRPr="00835887">
        <w:t>bridgi</w:t>
      </w:r>
      <w:r>
        <w:t>ng</w:t>
      </w:r>
      <w:r w:rsidRPr="00835887">
        <w:t xml:space="preserve"> program</w:t>
      </w:r>
      <w:r w:rsidRPr="007D66D9">
        <w:t xml:space="preserve"> should be performed to support the indication.</w:t>
      </w:r>
    </w:p>
    <w:p w14:paraId="465C3947" w14:textId="77777777" w:rsidR="005A2A5B" w:rsidRPr="007D66D9" w:rsidRDefault="005A2A5B" w:rsidP="005A2A5B">
      <w:r w:rsidRPr="007D66D9">
        <w:t>The purpose of the development is:</w:t>
      </w:r>
    </w:p>
    <w:p w14:paraId="5B0E21D9" w14:textId="77777777" w:rsidR="005A2A5B" w:rsidRPr="007D66D9" w:rsidRDefault="005A2A5B" w:rsidP="005A2A5B">
      <w:pPr>
        <w:pStyle w:val="ListBullet"/>
      </w:pPr>
      <w:r w:rsidRPr="007D66D9">
        <w:t>to establish the full pharmacokinetics of the novel formulation includi</w:t>
      </w:r>
      <w:r>
        <w:t>ng</w:t>
      </w:r>
      <w:r w:rsidRPr="007D66D9">
        <w:t xml:space="preserve"> the relevant release properties and thus to show </w:t>
      </w:r>
      <w:r>
        <w:t>that the formulation is a depot</w:t>
      </w:r>
    </w:p>
    <w:p w14:paraId="48355F7E" w14:textId="77777777" w:rsidR="005A2A5B" w:rsidRPr="007D66D9" w:rsidRDefault="005A2A5B" w:rsidP="005A2A5B">
      <w:pPr>
        <w:pStyle w:val="ListBullet"/>
      </w:pPr>
      <w:r w:rsidRPr="007D66D9">
        <w:t>to compare bioavailability of the active i</w:t>
      </w:r>
      <w:r>
        <w:t>ng</w:t>
      </w:r>
      <w:r w:rsidRPr="007D66D9">
        <w:t>redient from the depot versus the oral formulation, to assess the duration of an acceptable level of the active i</w:t>
      </w:r>
      <w:r>
        <w:t>ngredient</w:t>
      </w:r>
    </w:p>
    <w:p w14:paraId="429D4090" w14:textId="77777777" w:rsidR="005A2A5B" w:rsidRPr="007D66D9" w:rsidRDefault="005A2A5B" w:rsidP="005A2A5B">
      <w:pPr>
        <w:pStyle w:val="ListBullet"/>
      </w:pPr>
      <w:r w:rsidRPr="007D66D9">
        <w:t>to compare the efficacy versus the oral formulation in stabilised patients</w:t>
      </w:r>
    </w:p>
    <w:p w14:paraId="25C29B59" w14:textId="77777777" w:rsidR="005A2A5B" w:rsidRPr="007D66D9" w:rsidRDefault="005A2A5B" w:rsidP="005A2A5B">
      <w:pPr>
        <w:pStyle w:val="ListBullet"/>
      </w:pPr>
      <w:r w:rsidRPr="007D66D9">
        <w:t>to address switchi</w:t>
      </w:r>
      <w:r>
        <w:t>ng</w:t>
      </w:r>
      <w:r w:rsidRPr="007D66D9">
        <w:t xml:space="preserve"> fro</w:t>
      </w:r>
      <w:r>
        <w:t>m oral to the depot formulation</w:t>
      </w:r>
    </w:p>
    <w:p w14:paraId="35CE604D" w14:textId="77777777" w:rsidR="005A2A5B" w:rsidRPr="007D66D9" w:rsidRDefault="005A2A5B" w:rsidP="005A2A5B">
      <w:pPr>
        <w:pStyle w:val="ListBullet"/>
      </w:pPr>
      <w:proofErr w:type="gramStart"/>
      <w:r w:rsidRPr="007D66D9">
        <w:t>to</w:t>
      </w:r>
      <w:proofErr w:type="gramEnd"/>
      <w:r w:rsidRPr="007D66D9">
        <w:t xml:space="preserve"> assess safety issues specific to the depot formulation</w:t>
      </w:r>
      <w:r>
        <w:t>.</w:t>
      </w:r>
    </w:p>
    <w:p w14:paraId="495141F0" w14:textId="77777777" w:rsidR="005A2A5B" w:rsidRPr="007D66D9" w:rsidRDefault="005A2A5B" w:rsidP="005A2A5B">
      <w:r w:rsidRPr="007D66D9">
        <w:lastRenderedPageBreak/>
        <w:t>It has been discussed whether these points could be addressed by pharmacokinetic studies and safety data alone. For this the relation between PK and effect should be known.</w:t>
      </w:r>
    </w:p>
    <w:p w14:paraId="4D5B7778" w14:textId="77777777" w:rsidR="005A2A5B" w:rsidRPr="007D66D9" w:rsidRDefault="005A2A5B" w:rsidP="005A2A5B">
      <w:r w:rsidRPr="007D66D9">
        <w:t>Most of these dot points have been fulfilled.</w:t>
      </w:r>
    </w:p>
    <w:p w14:paraId="490303EB" w14:textId="77777777" w:rsidR="005A2A5B" w:rsidRPr="007D66D9" w:rsidRDefault="005A2A5B" w:rsidP="005A2A5B">
      <w:pPr>
        <w:pStyle w:val="Numberbullet0"/>
        <w:numPr>
          <w:ilvl w:val="0"/>
          <w:numId w:val="14"/>
        </w:numPr>
      </w:pPr>
      <w:r w:rsidRPr="007D66D9">
        <w:t xml:space="preserve">To compare the efficacy versus the oral </w:t>
      </w:r>
      <w:r w:rsidRPr="006723BE">
        <w:t>(in this case 1month versus 3month) formulation</w:t>
      </w:r>
      <w:r w:rsidRPr="007D66D9">
        <w:t xml:space="preserve"> in stabilised patients. This was conducted in Study 3011. To quote the guideline ‘Placebo, as an additional arm would ensure assay sensitivity.’ 37 subjects (8.1%) in the </w:t>
      </w:r>
      <w:proofErr w:type="spellStart"/>
      <w:r w:rsidR="005968B3" w:rsidRPr="00A04896">
        <w:t>Invega</w:t>
      </w:r>
      <w:proofErr w:type="spellEnd"/>
      <w:r w:rsidR="005968B3" w:rsidRPr="00A04896">
        <w:t xml:space="preserve"> </w:t>
      </w:r>
      <w:proofErr w:type="spellStart"/>
      <w:r w:rsidR="005968B3" w:rsidRPr="00A04896">
        <w:t>Trinza</w:t>
      </w:r>
      <w:proofErr w:type="spellEnd"/>
      <w:r w:rsidRPr="007D66D9">
        <w:t xml:space="preserve"> group and 45 subjects (9.2%) subjects in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7D66D9">
        <w:t xml:space="preserve"> group had a relapse event duri</w:t>
      </w:r>
      <w:r>
        <w:t>ng</w:t>
      </w:r>
      <w:r w:rsidRPr="007D66D9">
        <w:t xml:space="preserve"> the </w:t>
      </w:r>
      <w:r>
        <w:t>Double blind Phase</w:t>
      </w:r>
      <w:r w:rsidRPr="007D66D9">
        <w:t>. In interpreti</w:t>
      </w:r>
      <w:r>
        <w:t>ng</w:t>
      </w:r>
      <w:r w:rsidRPr="007D66D9">
        <w:t xml:space="preserve"> the non- inferiority result the population size calculations to show with 90% power that PP3M was no worse than PP1M were based on an expected survival (percentage of subjects remaini</w:t>
      </w:r>
      <w:r>
        <w:t>ng</w:t>
      </w:r>
      <w:r w:rsidRPr="007D66D9">
        <w:t xml:space="preserve"> relapse-free) rat</w:t>
      </w:r>
      <w:r>
        <w:t>e in PP1M of 70%. Whereas Study </w:t>
      </w:r>
      <w:r w:rsidRPr="007D66D9">
        <w:t xml:space="preserve">3001 showed a 10% relapse rate (90% survival) on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7D66D9">
        <w:t xml:space="preserve"> at the time of the Interim (primary) Analysis when only 37% of subjects in the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7D66D9">
        <w:t xml:space="preserve"> group had received at least 5 injections (4 months of injections).</w:t>
      </w:r>
    </w:p>
    <w:p w14:paraId="13BA3999" w14:textId="77777777" w:rsidR="005A2A5B" w:rsidRPr="007D66D9" w:rsidRDefault="005A2A5B" w:rsidP="005A2A5B">
      <w:pPr>
        <w:pStyle w:val="Numberbullet0"/>
        <w:numPr>
          <w:ilvl w:val="0"/>
          <w:numId w:val="12"/>
        </w:numPr>
      </w:pPr>
      <w:r w:rsidRPr="007D66D9">
        <w:t>To assess safety issues specific to the depot formulation. The sponsor undertook adequate le</w:t>
      </w:r>
      <w:r>
        <w:t>ng</w:t>
      </w:r>
      <w:r w:rsidRPr="007D66D9">
        <w:t>th of exposure showi</w:t>
      </w:r>
      <w:r>
        <w:t>ng</w:t>
      </w:r>
      <w:r w:rsidRPr="007D66D9">
        <w:t xml:space="preserve"> there </w:t>
      </w:r>
      <w:proofErr w:type="gramStart"/>
      <w:r w:rsidRPr="007D66D9">
        <w:t>exists</w:t>
      </w:r>
      <w:proofErr w:type="gramEnd"/>
      <w:r w:rsidRPr="007D66D9">
        <w:t xml:space="preserve"> an approximate 2% risk of dose dumpi</w:t>
      </w:r>
      <w:r>
        <w:t>ng</w:t>
      </w:r>
      <w:r w:rsidRPr="007D66D9">
        <w:t xml:space="preserve"> (high initial levels of </w:t>
      </w:r>
      <w:proofErr w:type="spellStart"/>
      <w:r w:rsidRPr="007D66D9">
        <w:t>paliperidone</w:t>
      </w:r>
      <w:proofErr w:type="spellEnd"/>
      <w:r w:rsidRPr="007D66D9">
        <w:t>).</w:t>
      </w:r>
      <w:r>
        <w:t xml:space="preserve"> </w:t>
      </w:r>
      <w:r w:rsidRPr="007D66D9">
        <w:t>The sponsor has generally reviewed the risk of increased AEs against those of the existi</w:t>
      </w:r>
      <w:r>
        <w:t>ng</w:t>
      </w:r>
      <w:r w:rsidRPr="007D66D9">
        <w:t xml:space="preserve"> approved formulation.</w:t>
      </w:r>
    </w:p>
    <w:p w14:paraId="6A405348" w14:textId="77777777" w:rsidR="005A2A5B" w:rsidRDefault="005A2A5B" w:rsidP="005A2A5B">
      <w:r w:rsidRPr="007D66D9">
        <w:t>Against these deficiencies the sponsor has the results of a physicians’ survey that showed a willi</w:t>
      </w:r>
      <w:r>
        <w:t>ng</w:t>
      </w:r>
      <w:r w:rsidRPr="007D66D9">
        <w:t>ness by physicians to accept a decrease in efficacy for patients with a history of poor adherence to dosi</w:t>
      </w:r>
      <w:r>
        <w:t>ng.</w:t>
      </w:r>
    </w:p>
    <w:p w14:paraId="40C7F3E8" w14:textId="77777777" w:rsidR="00605AD4" w:rsidRPr="00605AD4" w:rsidRDefault="005A2A5B" w:rsidP="00605AD4">
      <w:r w:rsidRPr="007D66D9">
        <w:t xml:space="preserve">This evaluator finds the benefit-risk balance of </w:t>
      </w:r>
      <w:proofErr w:type="spellStart"/>
      <w:r w:rsidR="005968B3" w:rsidRPr="00A04896">
        <w:t>Invega</w:t>
      </w:r>
      <w:proofErr w:type="spellEnd"/>
      <w:r w:rsidR="005968B3" w:rsidRPr="00A04896">
        <w:t xml:space="preserve"> </w:t>
      </w:r>
      <w:proofErr w:type="spellStart"/>
      <w:r w:rsidR="005968B3" w:rsidRPr="00A04896">
        <w:t>Trinza</w:t>
      </w:r>
      <w:proofErr w:type="spellEnd"/>
      <w:r w:rsidRPr="007D66D9">
        <w:t>, given the proposed usage, and based on the guideline is favourable but with some reservations in relation to the</w:t>
      </w:r>
      <w:r>
        <w:t xml:space="preserve"> approximately2% incidence of dose dumping.</w:t>
      </w:r>
    </w:p>
    <w:p w14:paraId="51E4E3B2" w14:textId="77777777" w:rsidR="00605AD4" w:rsidRPr="00605AD4" w:rsidRDefault="00605AD4" w:rsidP="00605AD4">
      <w:pPr>
        <w:pStyle w:val="Heading3"/>
        <w:rPr>
          <w:rFonts w:eastAsia="Cambria"/>
        </w:rPr>
      </w:pPr>
      <w:bookmarkStart w:id="113" w:name="_Toc497913791"/>
      <w:r w:rsidRPr="00605AD4">
        <w:rPr>
          <w:rFonts w:eastAsia="Cambria"/>
        </w:rPr>
        <w:t>First Round Recommendation Regarding Authorisation</w:t>
      </w:r>
      <w:bookmarkEnd w:id="113"/>
    </w:p>
    <w:p w14:paraId="55000A64" w14:textId="77777777" w:rsidR="00605AD4" w:rsidRPr="00605AD4" w:rsidRDefault="005A2A5B" w:rsidP="00605AD4">
      <w:r w:rsidRPr="006723BE">
        <w:t>It is recommended that authorisation of registration occur, but with the proviso that the PI carry a warning on dose dumping.</w:t>
      </w:r>
    </w:p>
    <w:p w14:paraId="7D9B794A" w14:textId="77777777" w:rsidR="00605AD4" w:rsidRPr="00605AD4" w:rsidRDefault="00605AD4" w:rsidP="00605AD4">
      <w:pPr>
        <w:pStyle w:val="Heading3"/>
        <w:rPr>
          <w:rFonts w:eastAsia="Cambria"/>
        </w:rPr>
      </w:pPr>
      <w:bookmarkStart w:id="114" w:name="_Toc497913792"/>
      <w:r w:rsidRPr="00605AD4">
        <w:rPr>
          <w:rFonts w:eastAsia="Cambria"/>
        </w:rPr>
        <w:t>Clinical Question</w:t>
      </w:r>
      <w:r w:rsidR="005A2A5B">
        <w:rPr>
          <w:rFonts w:eastAsia="Cambria"/>
        </w:rPr>
        <w:t xml:space="preserve">s and </w:t>
      </w:r>
      <w:r w:rsidRPr="00605AD4">
        <w:rPr>
          <w:rFonts w:eastAsia="Cambria"/>
        </w:rPr>
        <w:t>Second Round Evaluation of clinical data submitted in response to questions</w:t>
      </w:r>
      <w:bookmarkEnd w:id="114"/>
    </w:p>
    <w:p w14:paraId="5088F95A" w14:textId="77777777" w:rsidR="006136D7" w:rsidRPr="00605AD4" w:rsidRDefault="006136D7" w:rsidP="006136D7">
      <w:r>
        <w:t xml:space="preserve">For details of the </w:t>
      </w:r>
      <w:r w:rsidR="005A2A5B">
        <w:t xml:space="preserve">clinical questions and the </w:t>
      </w:r>
      <w:r>
        <w:t>sponsor’s responses and the evaluation of these responses please see Attachment 2.</w:t>
      </w:r>
    </w:p>
    <w:p w14:paraId="31D2DA12" w14:textId="77777777" w:rsidR="00605AD4" w:rsidRPr="00605AD4" w:rsidRDefault="00605AD4" w:rsidP="00546154">
      <w:pPr>
        <w:pStyle w:val="Heading3"/>
        <w:rPr>
          <w:rFonts w:eastAsia="Cambria"/>
        </w:rPr>
      </w:pPr>
      <w:bookmarkStart w:id="115" w:name="_Toc497913793"/>
      <w:r w:rsidRPr="00605AD4">
        <w:rPr>
          <w:rFonts w:eastAsia="Cambria"/>
        </w:rPr>
        <w:t>Second Round Benefit-Risk Assessment</w:t>
      </w:r>
      <w:bookmarkEnd w:id="115"/>
    </w:p>
    <w:p w14:paraId="0104BF5B" w14:textId="77777777" w:rsidR="00FC4C8B" w:rsidRPr="00FC4C8B" w:rsidRDefault="00FC4C8B" w:rsidP="00FC4C8B">
      <w:pPr>
        <w:pStyle w:val="Heading4"/>
      </w:pPr>
      <w:bookmarkStart w:id="116" w:name="_Toc272414709"/>
      <w:bookmarkStart w:id="117" w:name="_Toc290846349"/>
      <w:bookmarkStart w:id="118" w:name="_Toc290888886"/>
      <w:bookmarkStart w:id="119" w:name="_Toc315264274"/>
      <w:bookmarkStart w:id="120" w:name="_Toc484774172"/>
      <w:r w:rsidRPr="00FC4C8B">
        <w:t>Second round assessment of benefits</w:t>
      </w:r>
      <w:bookmarkEnd w:id="116"/>
      <w:bookmarkEnd w:id="117"/>
      <w:bookmarkEnd w:id="118"/>
      <w:bookmarkEnd w:id="119"/>
      <w:bookmarkEnd w:id="120"/>
    </w:p>
    <w:p w14:paraId="2E2DBF3B" w14:textId="77777777" w:rsidR="00FC4C8B" w:rsidRPr="00FC4C8B" w:rsidRDefault="00FC4C8B" w:rsidP="00FC4C8B">
      <w:r w:rsidRPr="00FC4C8B">
        <w:t>No new clinical information was submitted in response to questions. Accordingly, the risks are unchanged from those identified in the first round assessment of benefits.</w:t>
      </w:r>
    </w:p>
    <w:p w14:paraId="2C0E049E" w14:textId="77777777" w:rsidR="00FC4C8B" w:rsidRPr="00FC4C8B" w:rsidRDefault="00FC4C8B" w:rsidP="00FC4C8B">
      <w:pPr>
        <w:pStyle w:val="Heading4"/>
      </w:pPr>
      <w:bookmarkStart w:id="121" w:name="_Toc315264275"/>
      <w:bookmarkStart w:id="122" w:name="_Toc290888887"/>
      <w:bookmarkStart w:id="123" w:name="_Toc290846350"/>
      <w:bookmarkStart w:id="124" w:name="_Toc272414710"/>
      <w:bookmarkStart w:id="125" w:name="_Toc453054950"/>
      <w:bookmarkStart w:id="126" w:name="_Toc484774173"/>
      <w:r w:rsidRPr="00FC4C8B">
        <w:t>Second round assessment of risks</w:t>
      </w:r>
      <w:bookmarkEnd w:id="121"/>
      <w:bookmarkEnd w:id="122"/>
      <w:bookmarkEnd w:id="123"/>
      <w:bookmarkEnd w:id="124"/>
      <w:bookmarkEnd w:id="125"/>
      <w:bookmarkEnd w:id="126"/>
    </w:p>
    <w:p w14:paraId="30D3D9A2" w14:textId="77777777" w:rsidR="00FC4C8B" w:rsidRPr="00FC4C8B" w:rsidRDefault="00FC4C8B" w:rsidP="00FC4C8B">
      <w:r w:rsidRPr="00FC4C8B">
        <w:t>No new clinical information was submitted in response to questions. Accordingly, the risks are unchanged from those identified in the first round assessment of risks.</w:t>
      </w:r>
    </w:p>
    <w:p w14:paraId="4A50EED6" w14:textId="77777777" w:rsidR="00FC4C8B" w:rsidRPr="00FC4C8B" w:rsidRDefault="00FC4C8B" w:rsidP="00FC4C8B">
      <w:pPr>
        <w:pStyle w:val="Heading4"/>
      </w:pPr>
      <w:bookmarkStart w:id="127" w:name="_Toc315264276"/>
      <w:bookmarkStart w:id="128" w:name="_Toc290888888"/>
      <w:bookmarkStart w:id="129" w:name="_Toc290846351"/>
      <w:bookmarkStart w:id="130" w:name="_Toc272414711"/>
      <w:bookmarkStart w:id="131" w:name="_Toc453054951"/>
      <w:bookmarkStart w:id="132" w:name="_Toc484774174"/>
      <w:r w:rsidRPr="00FC4C8B">
        <w:lastRenderedPageBreak/>
        <w:t>Second round assessment of benefit-risk balance</w:t>
      </w:r>
      <w:bookmarkEnd w:id="127"/>
      <w:bookmarkEnd w:id="128"/>
      <w:bookmarkEnd w:id="129"/>
      <w:bookmarkEnd w:id="130"/>
      <w:bookmarkEnd w:id="131"/>
      <w:bookmarkEnd w:id="132"/>
    </w:p>
    <w:p w14:paraId="1DE754CF" w14:textId="77777777" w:rsidR="00FC4C8B" w:rsidRPr="00FC4C8B" w:rsidRDefault="00FC4C8B" w:rsidP="00FC4C8B">
      <w:r w:rsidRPr="00FC4C8B">
        <w:t>The benefit-risk balance is thus considered unchanged.</w:t>
      </w:r>
    </w:p>
    <w:p w14:paraId="4EAD48E3" w14:textId="77777777" w:rsidR="00FC4C8B" w:rsidRPr="00FC4C8B" w:rsidRDefault="00FC4C8B" w:rsidP="00FC4C8B">
      <w:pPr>
        <w:pStyle w:val="Heading4"/>
      </w:pPr>
      <w:bookmarkStart w:id="133" w:name="_Toc484774175"/>
      <w:r w:rsidRPr="00FC4C8B">
        <w:t>Second round recommendation regarding authorisation</w:t>
      </w:r>
      <w:bookmarkEnd w:id="133"/>
    </w:p>
    <w:p w14:paraId="68D21570" w14:textId="77777777" w:rsidR="00FC4C8B" w:rsidRPr="00FC4C8B" w:rsidRDefault="00FC4C8B" w:rsidP="00FC4C8B">
      <w:r w:rsidRPr="00FC4C8B">
        <w:t>In commenting on this evaluator’s recommendations concerning the proposed PI the sponsor objected to the use of the term ‘dose dumping. The recommendation regarding authorisation is recommended accordingly.</w:t>
      </w:r>
    </w:p>
    <w:p w14:paraId="5E8D55E2" w14:textId="77777777" w:rsidR="008E7846" w:rsidRPr="00E41208" w:rsidRDefault="008E7846" w:rsidP="00546154">
      <w:pPr>
        <w:pStyle w:val="Heading2"/>
      </w:pPr>
      <w:bookmarkStart w:id="134" w:name="_Toc497913794"/>
      <w:r w:rsidRPr="00E41208">
        <w:t xml:space="preserve">V. Pharmacovigilance </w:t>
      </w:r>
      <w:r>
        <w:t>f</w:t>
      </w:r>
      <w:r w:rsidRPr="00E41208">
        <w:t>indings</w:t>
      </w:r>
      <w:bookmarkEnd w:id="106"/>
      <w:bookmarkEnd w:id="107"/>
      <w:bookmarkEnd w:id="134"/>
    </w:p>
    <w:p w14:paraId="6F24A407" w14:textId="77777777" w:rsidR="008E7846" w:rsidRDefault="00386150" w:rsidP="008E7846">
      <w:pPr>
        <w:pStyle w:val="Heading3"/>
        <w:rPr>
          <w:lang w:eastAsia="en-AU"/>
        </w:rPr>
      </w:pPr>
      <w:bookmarkStart w:id="135" w:name="_Toc247691526"/>
      <w:bookmarkStart w:id="136" w:name="_Toc314842509"/>
      <w:bookmarkStart w:id="137" w:name="_Toc497913795"/>
      <w:r>
        <w:rPr>
          <w:lang w:eastAsia="en-AU"/>
        </w:rPr>
        <w:t>Risk m</w:t>
      </w:r>
      <w:r w:rsidR="008E7846">
        <w:rPr>
          <w:lang w:eastAsia="en-AU"/>
        </w:rPr>
        <w:t xml:space="preserve">anagement </w:t>
      </w:r>
      <w:r>
        <w:rPr>
          <w:lang w:eastAsia="en-AU"/>
        </w:rPr>
        <w:t>p</w:t>
      </w:r>
      <w:r w:rsidR="008E7846">
        <w:rPr>
          <w:lang w:eastAsia="en-AU"/>
        </w:rPr>
        <w:t>lan</w:t>
      </w:r>
      <w:bookmarkEnd w:id="135"/>
      <w:bookmarkEnd w:id="136"/>
      <w:bookmarkEnd w:id="137"/>
    </w:p>
    <w:p w14:paraId="6BB59414" w14:textId="77777777" w:rsidR="008E7846" w:rsidRDefault="008E7846" w:rsidP="008E7846">
      <w:pPr>
        <w:rPr>
          <w:lang w:eastAsia="en-AU"/>
        </w:rPr>
      </w:pPr>
      <w:r>
        <w:rPr>
          <w:lang w:eastAsia="en-AU"/>
        </w:rPr>
        <w:t xml:space="preserve">The sponsor submitted a Risk Management </w:t>
      </w:r>
      <w:r w:rsidRPr="00ED2BF4">
        <w:t>Plan</w:t>
      </w:r>
      <w:r w:rsidR="006F25B8" w:rsidRPr="00ED2BF4">
        <w:t xml:space="preserve"> </w:t>
      </w:r>
      <w:r w:rsidR="00ED2BF4" w:rsidRPr="00ED2BF4">
        <w:t xml:space="preserve">EU-RMP Version 7.0 (dated 9 March 2015) and Australian Specific Annex Version 1.0 (dated 22 September 2015) </w:t>
      </w:r>
      <w:r>
        <w:rPr>
          <w:lang w:eastAsia="en-AU"/>
        </w:rPr>
        <w:t xml:space="preserve">which was reviewed by the </w:t>
      </w:r>
      <w:r w:rsidR="00FC1FCA">
        <w:rPr>
          <w:lang w:eastAsia="en-AU"/>
        </w:rPr>
        <w:t>RMP evaluator.</w:t>
      </w:r>
    </w:p>
    <w:p w14:paraId="2FFEC711" w14:textId="77777777" w:rsidR="008E7846" w:rsidRDefault="003A7F6C" w:rsidP="008E7846">
      <w:pPr>
        <w:pStyle w:val="Heading4"/>
        <w:rPr>
          <w:lang w:eastAsia="en-AU"/>
        </w:rPr>
      </w:pPr>
      <w:r>
        <w:rPr>
          <w:lang w:eastAsia="en-AU"/>
        </w:rPr>
        <w:t>Safety s</w:t>
      </w:r>
      <w:r w:rsidR="008E7846">
        <w:rPr>
          <w:lang w:eastAsia="en-AU"/>
        </w:rPr>
        <w:t>pecification</w:t>
      </w:r>
    </w:p>
    <w:p w14:paraId="5C279E22" w14:textId="77777777"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on</w:t>
      </w:r>
      <w:r w:rsidR="0076790D">
        <w:rPr>
          <w:lang w:eastAsia="en-AU"/>
        </w:rPr>
        <w:t>cerns which are shown in Table 6</w:t>
      </w:r>
      <w:r>
        <w:rPr>
          <w:lang w:eastAsia="en-AU"/>
        </w:rPr>
        <w:t>.</w:t>
      </w:r>
    </w:p>
    <w:p w14:paraId="76EA58B6" w14:textId="77777777" w:rsidR="00ED2BF4" w:rsidRDefault="0076790D" w:rsidP="0076790D">
      <w:pPr>
        <w:pStyle w:val="TableTitle"/>
        <w:rPr>
          <w:lang w:eastAsia="en-AU"/>
        </w:rPr>
      </w:pPr>
      <w:r>
        <w:rPr>
          <w:lang w:eastAsia="en-AU"/>
        </w:rPr>
        <w:t>Table 6: Ongoing safety concerns</w:t>
      </w:r>
    </w:p>
    <w:tbl>
      <w:tblPr>
        <w:tblStyle w:val="TableTGAblue"/>
        <w:tblW w:w="0" w:type="auto"/>
        <w:tblLook w:val="04A0" w:firstRow="1" w:lastRow="0" w:firstColumn="1" w:lastColumn="0" w:noHBand="0" w:noVBand="1"/>
      </w:tblPr>
      <w:tblGrid>
        <w:gridCol w:w="3227"/>
        <w:gridCol w:w="5493"/>
      </w:tblGrid>
      <w:tr w:rsidR="00ED2BF4" w:rsidRPr="00ED2BF4" w14:paraId="7C6BDDA7" w14:textId="77777777" w:rsidTr="00ED2BF4">
        <w:trPr>
          <w:cnfStyle w:val="100000000000" w:firstRow="1" w:lastRow="0" w:firstColumn="0" w:lastColumn="0" w:oddVBand="0" w:evenVBand="0" w:oddHBand="0" w:evenHBand="0" w:firstRowFirstColumn="0" w:firstRowLastColumn="0" w:lastRowFirstColumn="0" w:lastRowLastColumn="0"/>
        </w:trPr>
        <w:tc>
          <w:tcPr>
            <w:tcW w:w="8720" w:type="dxa"/>
            <w:gridSpan w:val="2"/>
          </w:tcPr>
          <w:p w14:paraId="175A4092" w14:textId="77777777" w:rsidR="00ED2BF4" w:rsidRPr="00ED2BF4" w:rsidRDefault="00ED2BF4" w:rsidP="00ED2BF4">
            <w:pPr>
              <w:rPr>
                <w:sz w:val="20"/>
                <w:szCs w:val="20"/>
              </w:rPr>
            </w:pPr>
            <w:r>
              <w:rPr>
                <w:sz w:val="20"/>
                <w:szCs w:val="20"/>
              </w:rPr>
              <w:t>Ongoing safety concerns</w:t>
            </w:r>
          </w:p>
        </w:tc>
      </w:tr>
      <w:tr w:rsidR="00ED2BF4" w:rsidRPr="00ED2BF4" w14:paraId="05DC906F" w14:textId="77777777" w:rsidTr="0076790D">
        <w:tc>
          <w:tcPr>
            <w:tcW w:w="3227" w:type="dxa"/>
          </w:tcPr>
          <w:p w14:paraId="51234DD9" w14:textId="77777777" w:rsidR="00ED2BF4" w:rsidRPr="00ED2BF4" w:rsidRDefault="00ED2BF4" w:rsidP="00ED2BF4">
            <w:pPr>
              <w:ind w:left="0"/>
              <w:rPr>
                <w:b/>
                <w:sz w:val="20"/>
                <w:szCs w:val="20"/>
              </w:rPr>
            </w:pPr>
            <w:r w:rsidRPr="00ED2BF4">
              <w:rPr>
                <w:b/>
                <w:sz w:val="20"/>
                <w:szCs w:val="20"/>
              </w:rPr>
              <w:t>Important identified risks</w:t>
            </w:r>
          </w:p>
        </w:tc>
        <w:tc>
          <w:tcPr>
            <w:tcW w:w="5493" w:type="dxa"/>
          </w:tcPr>
          <w:p w14:paraId="526E532D" w14:textId="77777777" w:rsidR="00ED2BF4" w:rsidRPr="00ED2BF4" w:rsidRDefault="00ED2BF4" w:rsidP="00ED2BF4">
            <w:pPr>
              <w:ind w:left="0"/>
              <w:rPr>
                <w:sz w:val="20"/>
                <w:szCs w:val="20"/>
              </w:rPr>
            </w:pPr>
            <w:r w:rsidRPr="00ED2BF4">
              <w:rPr>
                <w:sz w:val="20"/>
                <w:szCs w:val="20"/>
              </w:rPr>
              <w:t>Hyperprolactinaemia and potentially prolactin-related adverse events</w:t>
            </w:r>
          </w:p>
          <w:p w14:paraId="6D79BAEA" w14:textId="77777777" w:rsidR="00ED2BF4" w:rsidRPr="00ED2BF4" w:rsidRDefault="00ED2BF4" w:rsidP="00ED2BF4">
            <w:pPr>
              <w:ind w:left="0"/>
              <w:rPr>
                <w:sz w:val="20"/>
                <w:szCs w:val="20"/>
              </w:rPr>
            </w:pPr>
            <w:r w:rsidRPr="00ED2BF4">
              <w:rPr>
                <w:sz w:val="20"/>
                <w:szCs w:val="20"/>
              </w:rPr>
              <w:t>QT prolongation</w:t>
            </w:r>
          </w:p>
          <w:p w14:paraId="72048D7A" w14:textId="77777777" w:rsidR="00ED2BF4" w:rsidRPr="00ED2BF4" w:rsidRDefault="00ED2BF4" w:rsidP="00ED2BF4">
            <w:pPr>
              <w:ind w:left="0"/>
              <w:rPr>
                <w:sz w:val="20"/>
                <w:szCs w:val="20"/>
              </w:rPr>
            </w:pPr>
            <w:r w:rsidRPr="00ED2BF4">
              <w:rPr>
                <w:sz w:val="20"/>
                <w:szCs w:val="20"/>
              </w:rPr>
              <w:t>Orthostatic hypotension</w:t>
            </w:r>
          </w:p>
          <w:p w14:paraId="33B485DF" w14:textId="77777777" w:rsidR="00ED2BF4" w:rsidRPr="00ED2BF4" w:rsidRDefault="00ED2BF4" w:rsidP="00ED2BF4">
            <w:pPr>
              <w:ind w:left="0"/>
              <w:rPr>
                <w:sz w:val="20"/>
                <w:szCs w:val="20"/>
              </w:rPr>
            </w:pPr>
            <w:r w:rsidRPr="00ED2BF4">
              <w:rPr>
                <w:sz w:val="20"/>
                <w:szCs w:val="20"/>
              </w:rPr>
              <w:t>Extrapyramidal symptoms/tardive dyskinesia</w:t>
            </w:r>
          </w:p>
          <w:p w14:paraId="2F807BED" w14:textId="77777777" w:rsidR="00ED2BF4" w:rsidRPr="00ED2BF4" w:rsidRDefault="00ED2BF4" w:rsidP="00ED2BF4">
            <w:pPr>
              <w:ind w:left="0"/>
              <w:rPr>
                <w:sz w:val="20"/>
                <w:szCs w:val="20"/>
              </w:rPr>
            </w:pPr>
            <w:r w:rsidRPr="00ED2BF4">
              <w:rPr>
                <w:sz w:val="20"/>
                <w:szCs w:val="20"/>
              </w:rPr>
              <w:t>Neuroleptic malignant syndrome</w:t>
            </w:r>
          </w:p>
          <w:p w14:paraId="6F1F0A9D" w14:textId="77777777" w:rsidR="00ED2BF4" w:rsidRPr="00ED2BF4" w:rsidRDefault="00ED2BF4" w:rsidP="00ED2BF4">
            <w:pPr>
              <w:ind w:left="0"/>
              <w:rPr>
                <w:sz w:val="20"/>
                <w:szCs w:val="20"/>
              </w:rPr>
            </w:pPr>
            <w:r w:rsidRPr="00ED2BF4">
              <w:rPr>
                <w:sz w:val="20"/>
                <w:szCs w:val="20"/>
              </w:rPr>
              <w:t>Diabetes mellitus and hyperglycaemia-related adverse events</w:t>
            </w:r>
          </w:p>
          <w:p w14:paraId="14E708DF" w14:textId="77777777" w:rsidR="00ED2BF4" w:rsidRPr="00ED2BF4" w:rsidRDefault="00ED2BF4" w:rsidP="00ED2BF4">
            <w:pPr>
              <w:ind w:left="0"/>
              <w:rPr>
                <w:sz w:val="20"/>
                <w:szCs w:val="20"/>
              </w:rPr>
            </w:pPr>
            <w:r w:rsidRPr="00ED2BF4">
              <w:rPr>
                <w:sz w:val="20"/>
                <w:szCs w:val="20"/>
              </w:rPr>
              <w:t>Weight gain</w:t>
            </w:r>
          </w:p>
          <w:p w14:paraId="7E4C12C6" w14:textId="77777777" w:rsidR="00ED2BF4" w:rsidRPr="00ED2BF4" w:rsidRDefault="00ED2BF4" w:rsidP="00ED2BF4">
            <w:pPr>
              <w:ind w:left="0"/>
              <w:rPr>
                <w:sz w:val="20"/>
                <w:szCs w:val="20"/>
              </w:rPr>
            </w:pPr>
            <w:r w:rsidRPr="00ED2BF4">
              <w:rPr>
                <w:sz w:val="20"/>
                <w:szCs w:val="20"/>
              </w:rPr>
              <w:t>Seizures</w:t>
            </w:r>
          </w:p>
          <w:p w14:paraId="477925DF" w14:textId="77777777" w:rsidR="00ED2BF4" w:rsidRPr="00ED2BF4" w:rsidRDefault="00ED2BF4" w:rsidP="00ED2BF4">
            <w:pPr>
              <w:ind w:left="0"/>
              <w:rPr>
                <w:sz w:val="20"/>
                <w:szCs w:val="20"/>
              </w:rPr>
            </w:pPr>
            <w:r w:rsidRPr="00ED2BF4">
              <w:rPr>
                <w:sz w:val="20"/>
                <w:szCs w:val="20"/>
              </w:rPr>
              <w:t>Somnolence</w:t>
            </w:r>
          </w:p>
          <w:p w14:paraId="0DAEC43E" w14:textId="77777777" w:rsidR="00ED2BF4" w:rsidRPr="00ED2BF4" w:rsidRDefault="00ED2BF4" w:rsidP="00ED2BF4">
            <w:pPr>
              <w:ind w:left="0"/>
              <w:rPr>
                <w:sz w:val="20"/>
                <w:szCs w:val="20"/>
              </w:rPr>
            </w:pPr>
            <w:r w:rsidRPr="00ED2BF4">
              <w:rPr>
                <w:sz w:val="20"/>
                <w:szCs w:val="20"/>
              </w:rPr>
              <w:t>Priapism</w:t>
            </w:r>
          </w:p>
          <w:p w14:paraId="04AB250A" w14:textId="77777777" w:rsidR="00ED2BF4" w:rsidRPr="00ED2BF4" w:rsidRDefault="00ED2BF4" w:rsidP="00ED2BF4">
            <w:pPr>
              <w:ind w:left="0"/>
              <w:rPr>
                <w:sz w:val="20"/>
                <w:szCs w:val="20"/>
              </w:rPr>
            </w:pPr>
            <w:r w:rsidRPr="00ED2BF4">
              <w:rPr>
                <w:sz w:val="20"/>
                <w:szCs w:val="20"/>
              </w:rPr>
              <w:t>Cerebrovascular accident</w:t>
            </w:r>
          </w:p>
          <w:p w14:paraId="34B8B20C" w14:textId="77777777" w:rsidR="00ED2BF4" w:rsidRPr="00ED2BF4" w:rsidRDefault="00ED2BF4" w:rsidP="00ED2BF4">
            <w:pPr>
              <w:ind w:left="0"/>
              <w:rPr>
                <w:sz w:val="20"/>
                <w:szCs w:val="20"/>
              </w:rPr>
            </w:pPr>
            <w:r w:rsidRPr="00ED2BF4">
              <w:rPr>
                <w:sz w:val="20"/>
                <w:szCs w:val="20"/>
              </w:rPr>
              <w:t>Venous thromboembolism</w:t>
            </w:r>
          </w:p>
          <w:p w14:paraId="2C933FCA" w14:textId="77777777" w:rsidR="00ED2BF4" w:rsidRPr="00ED2BF4" w:rsidRDefault="00ED2BF4" w:rsidP="00ED2BF4">
            <w:pPr>
              <w:ind w:left="0"/>
              <w:rPr>
                <w:sz w:val="20"/>
                <w:szCs w:val="20"/>
              </w:rPr>
            </w:pPr>
            <w:r w:rsidRPr="00ED2BF4">
              <w:rPr>
                <w:sz w:val="20"/>
                <w:szCs w:val="20"/>
              </w:rPr>
              <w:t>Leukopenia</w:t>
            </w:r>
          </w:p>
          <w:p w14:paraId="28030286" w14:textId="77777777" w:rsidR="00ED2BF4" w:rsidRPr="00ED2BF4" w:rsidRDefault="00ED2BF4" w:rsidP="00ED2BF4">
            <w:pPr>
              <w:ind w:left="0"/>
              <w:rPr>
                <w:sz w:val="20"/>
                <w:szCs w:val="20"/>
              </w:rPr>
            </w:pPr>
            <w:r w:rsidRPr="00ED2BF4">
              <w:rPr>
                <w:sz w:val="20"/>
                <w:szCs w:val="20"/>
              </w:rPr>
              <w:t>Agranulocytosis</w:t>
            </w:r>
          </w:p>
          <w:p w14:paraId="168495DD" w14:textId="77777777" w:rsidR="00ED2BF4" w:rsidRPr="00ED2BF4" w:rsidRDefault="00ED2BF4" w:rsidP="00ED2BF4">
            <w:pPr>
              <w:ind w:left="0"/>
              <w:rPr>
                <w:sz w:val="20"/>
                <w:szCs w:val="20"/>
              </w:rPr>
            </w:pPr>
            <w:r w:rsidRPr="00ED2BF4">
              <w:rPr>
                <w:sz w:val="20"/>
                <w:szCs w:val="20"/>
              </w:rPr>
              <w:t>Thrombocytopenia</w:t>
            </w:r>
          </w:p>
          <w:p w14:paraId="77760830" w14:textId="77777777" w:rsidR="00ED2BF4" w:rsidRPr="00ED2BF4" w:rsidRDefault="00ED2BF4" w:rsidP="00ED2BF4">
            <w:pPr>
              <w:ind w:left="0"/>
              <w:rPr>
                <w:sz w:val="20"/>
                <w:szCs w:val="20"/>
              </w:rPr>
            </w:pPr>
            <w:r w:rsidRPr="00ED2BF4">
              <w:rPr>
                <w:sz w:val="20"/>
                <w:szCs w:val="20"/>
              </w:rPr>
              <w:t>Rhabdomyolysis</w:t>
            </w:r>
          </w:p>
          <w:p w14:paraId="06250F87" w14:textId="77777777" w:rsidR="00ED2BF4" w:rsidRPr="00ED2BF4" w:rsidRDefault="00ED2BF4" w:rsidP="00ED2BF4">
            <w:pPr>
              <w:ind w:left="0"/>
              <w:rPr>
                <w:sz w:val="20"/>
                <w:szCs w:val="20"/>
              </w:rPr>
            </w:pPr>
            <w:r w:rsidRPr="00ED2BF4">
              <w:rPr>
                <w:sz w:val="20"/>
                <w:szCs w:val="20"/>
              </w:rPr>
              <w:t>Elevated plasma concentrations in patients with renal disease</w:t>
            </w:r>
          </w:p>
          <w:p w14:paraId="56D16BB5" w14:textId="77777777" w:rsidR="00ED2BF4" w:rsidRPr="00ED2BF4" w:rsidRDefault="00ED2BF4" w:rsidP="00ED2BF4">
            <w:pPr>
              <w:ind w:left="0"/>
              <w:rPr>
                <w:sz w:val="20"/>
                <w:szCs w:val="20"/>
              </w:rPr>
            </w:pPr>
            <w:r w:rsidRPr="00ED2BF4">
              <w:rPr>
                <w:sz w:val="20"/>
                <w:szCs w:val="20"/>
              </w:rPr>
              <w:t>Injection site reactions (injectable formulations only)</w:t>
            </w:r>
          </w:p>
          <w:p w14:paraId="3B1DEB67" w14:textId="77777777" w:rsidR="00ED2BF4" w:rsidRPr="00ED2BF4" w:rsidRDefault="00ED2BF4" w:rsidP="00ED2BF4">
            <w:pPr>
              <w:ind w:left="0"/>
              <w:rPr>
                <w:sz w:val="20"/>
                <w:szCs w:val="20"/>
              </w:rPr>
            </w:pPr>
            <w:r w:rsidRPr="00ED2BF4">
              <w:rPr>
                <w:sz w:val="20"/>
                <w:szCs w:val="20"/>
              </w:rPr>
              <w:lastRenderedPageBreak/>
              <w:t>Hypersensitivity reactions (injectable formulations only)</w:t>
            </w:r>
          </w:p>
        </w:tc>
      </w:tr>
      <w:tr w:rsidR="00ED2BF4" w:rsidRPr="00ED2BF4" w14:paraId="23C83B18" w14:textId="77777777" w:rsidTr="0076790D">
        <w:tc>
          <w:tcPr>
            <w:tcW w:w="3227" w:type="dxa"/>
          </w:tcPr>
          <w:p w14:paraId="799DA6C5" w14:textId="77777777" w:rsidR="00ED2BF4" w:rsidRPr="00ED2BF4" w:rsidRDefault="00ED2BF4" w:rsidP="00ED2BF4">
            <w:pPr>
              <w:ind w:left="0"/>
              <w:rPr>
                <w:b/>
                <w:sz w:val="20"/>
                <w:szCs w:val="20"/>
              </w:rPr>
            </w:pPr>
            <w:r w:rsidRPr="00ED2BF4">
              <w:rPr>
                <w:b/>
                <w:sz w:val="20"/>
                <w:szCs w:val="20"/>
              </w:rPr>
              <w:lastRenderedPageBreak/>
              <w:t>Important potential risks</w:t>
            </w:r>
          </w:p>
        </w:tc>
        <w:tc>
          <w:tcPr>
            <w:tcW w:w="5493" w:type="dxa"/>
          </w:tcPr>
          <w:p w14:paraId="3013D977" w14:textId="77777777" w:rsidR="00ED2BF4" w:rsidRPr="00ED2BF4" w:rsidRDefault="00ED2BF4" w:rsidP="00ED2BF4">
            <w:pPr>
              <w:ind w:left="0"/>
              <w:rPr>
                <w:sz w:val="20"/>
                <w:szCs w:val="20"/>
              </w:rPr>
            </w:pPr>
            <w:r w:rsidRPr="00ED2BF4">
              <w:rPr>
                <w:sz w:val="20"/>
                <w:szCs w:val="20"/>
              </w:rPr>
              <w:t>Carcinogenicity (pituitary adenomas, endocrine pancreas tumours, breast cancer)</w:t>
            </w:r>
          </w:p>
          <w:p w14:paraId="048A747D" w14:textId="77777777" w:rsidR="00ED2BF4" w:rsidRPr="00ED2BF4" w:rsidRDefault="00ED2BF4" w:rsidP="00ED2BF4">
            <w:pPr>
              <w:ind w:left="0"/>
              <w:rPr>
                <w:sz w:val="20"/>
                <w:szCs w:val="20"/>
              </w:rPr>
            </w:pPr>
            <w:r w:rsidRPr="00ED2BF4">
              <w:rPr>
                <w:sz w:val="20"/>
                <w:szCs w:val="20"/>
              </w:rPr>
              <w:t>Overall increased mortality in elderly patients with dementia</w:t>
            </w:r>
          </w:p>
          <w:p w14:paraId="4EA3931C" w14:textId="77777777" w:rsidR="00ED2BF4" w:rsidRPr="00ED2BF4" w:rsidRDefault="00ED2BF4" w:rsidP="00ED2BF4">
            <w:pPr>
              <w:ind w:left="0"/>
              <w:rPr>
                <w:sz w:val="20"/>
                <w:szCs w:val="20"/>
              </w:rPr>
            </w:pPr>
            <w:r w:rsidRPr="00ED2BF4">
              <w:rPr>
                <w:sz w:val="20"/>
                <w:szCs w:val="20"/>
              </w:rPr>
              <w:t>Cerebrovascular adverse events in elderly patients with dementia</w:t>
            </w:r>
          </w:p>
          <w:p w14:paraId="744F7FBF" w14:textId="77777777" w:rsidR="00ED2BF4" w:rsidRPr="00ED2BF4" w:rsidRDefault="00ED2BF4" w:rsidP="00ED2BF4">
            <w:pPr>
              <w:ind w:left="0"/>
              <w:rPr>
                <w:sz w:val="20"/>
                <w:szCs w:val="20"/>
              </w:rPr>
            </w:pPr>
            <w:r w:rsidRPr="00ED2BF4">
              <w:rPr>
                <w:sz w:val="20"/>
                <w:szCs w:val="20"/>
              </w:rPr>
              <w:t>Cognitive and motor impairment</w:t>
            </w:r>
          </w:p>
          <w:p w14:paraId="28E4B5C7" w14:textId="77777777" w:rsidR="00ED2BF4" w:rsidRPr="00ED2BF4" w:rsidRDefault="00ED2BF4" w:rsidP="00ED2BF4">
            <w:pPr>
              <w:ind w:left="0"/>
              <w:rPr>
                <w:sz w:val="20"/>
                <w:szCs w:val="20"/>
              </w:rPr>
            </w:pPr>
            <w:r w:rsidRPr="00ED2BF4">
              <w:rPr>
                <w:sz w:val="20"/>
                <w:szCs w:val="20"/>
              </w:rPr>
              <w:t>Body temperature dysregulation</w:t>
            </w:r>
          </w:p>
          <w:p w14:paraId="691E62A4" w14:textId="77777777" w:rsidR="00ED2BF4" w:rsidRPr="00ED2BF4" w:rsidRDefault="00ED2BF4" w:rsidP="00ED2BF4">
            <w:pPr>
              <w:ind w:left="0"/>
              <w:rPr>
                <w:sz w:val="20"/>
                <w:szCs w:val="20"/>
              </w:rPr>
            </w:pPr>
            <w:r w:rsidRPr="00ED2BF4">
              <w:rPr>
                <w:sz w:val="20"/>
                <w:szCs w:val="20"/>
              </w:rPr>
              <w:t>Suicidality</w:t>
            </w:r>
          </w:p>
          <w:p w14:paraId="4DBB1521" w14:textId="77777777" w:rsidR="00ED2BF4" w:rsidRPr="00ED2BF4" w:rsidRDefault="00ED2BF4" w:rsidP="00ED2BF4">
            <w:pPr>
              <w:ind w:left="0"/>
              <w:rPr>
                <w:sz w:val="20"/>
                <w:szCs w:val="20"/>
              </w:rPr>
            </w:pPr>
            <w:r w:rsidRPr="00ED2BF4">
              <w:rPr>
                <w:sz w:val="20"/>
                <w:szCs w:val="20"/>
              </w:rPr>
              <w:t>Depression in patients with affective disorders (INVEGA only)</w:t>
            </w:r>
          </w:p>
          <w:p w14:paraId="1D266DE1" w14:textId="77777777" w:rsidR="00ED2BF4" w:rsidRPr="00ED2BF4" w:rsidRDefault="00ED2BF4" w:rsidP="00ED2BF4">
            <w:pPr>
              <w:ind w:left="0"/>
              <w:rPr>
                <w:sz w:val="20"/>
                <w:szCs w:val="20"/>
              </w:rPr>
            </w:pPr>
            <w:r w:rsidRPr="00ED2BF4">
              <w:rPr>
                <w:sz w:val="20"/>
                <w:szCs w:val="20"/>
              </w:rPr>
              <w:t>Increased sensitivity to antipsychotics in patients with Parkinson's disease or</w:t>
            </w:r>
          </w:p>
          <w:p w14:paraId="665210E0" w14:textId="77777777" w:rsidR="00ED2BF4" w:rsidRPr="00ED2BF4" w:rsidRDefault="00ED2BF4" w:rsidP="00ED2BF4">
            <w:pPr>
              <w:ind w:left="0"/>
              <w:rPr>
                <w:sz w:val="20"/>
                <w:szCs w:val="20"/>
              </w:rPr>
            </w:pPr>
            <w:r w:rsidRPr="00ED2BF4">
              <w:rPr>
                <w:sz w:val="20"/>
                <w:szCs w:val="20"/>
              </w:rPr>
              <w:t>Dementia with Lewy bodies</w:t>
            </w:r>
          </w:p>
          <w:p w14:paraId="755E4DCB" w14:textId="77777777" w:rsidR="00ED2BF4" w:rsidRPr="00ED2BF4" w:rsidRDefault="00ED2BF4" w:rsidP="00ED2BF4">
            <w:pPr>
              <w:ind w:left="0"/>
              <w:rPr>
                <w:sz w:val="20"/>
                <w:szCs w:val="20"/>
              </w:rPr>
            </w:pPr>
            <w:r w:rsidRPr="00ED2BF4">
              <w:rPr>
                <w:sz w:val="20"/>
                <w:szCs w:val="20"/>
              </w:rPr>
              <w:t>Gastrointestinal obstruction (in patients with pre-existing severe gastrointestinal narrowing [pathologic or iatrogenic] or in patients with dysphagia or significant difficulty in swallowing tablets) (INVEGA only)</w:t>
            </w:r>
          </w:p>
          <w:p w14:paraId="3DDB5E94" w14:textId="77777777" w:rsidR="00ED2BF4" w:rsidRPr="00ED2BF4" w:rsidRDefault="00ED2BF4" w:rsidP="00ED2BF4">
            <w:pPr>
              <w:ind w:left="0"/>
              <w:rPr>
                <w:sz w:val="20"/>
                <w:szCs w:val="20"/>
              </w:rPr>
            </w:pPr>
            <w:r w:rsidRPr="00ED2BF4">
              <w:rPr>
                <w:sz w:val="20"/>
                <w:szCs w:val="20"/>
              </w:rPr>
              <w:t>Decreased bone mineral density/osteoporosis</w:t>
            </w:r>
          </w:p>
        </w:tc>
      </w:tr>
      <w:tr w:rsidR="00ED2BF4" w:rsidRPr="00ED2BF4" w14:paraId="416D0CA9" w14:textId="77777777" w:rsidTr="0076790D">
        <w:tc>
          <w:tcPr>
            <w:tcW w:w="3227" w:type="dxa"/>
          </w:tcPr>
          <w:p w14:paraId="538FCDB3" w14:textId="77777777" w:rsidR="00ED2BF4" w:rsidRPr="00ED2BF4" w:rsidRDefault="00ED2BF4" w:rsidP="00ED2BF4">
            <w:pPr>
              <w:ind w:left="0"/>
              <w:rPr>
                <w:b/>
                <w:sz w:val="20"/>
                <w:szCs w:val="20"/>
              </w:rPr>
            </w:pPr>
            <w:r w:rsidRPr="00ED2BF4">
              <w:rPr>
                <w:b/>
                <w:sz w:val="20"/>
                <w:szCs w:val="20"/>
              </w:rPr>
              <w:t>Missing information</w:t>
            </w:r>
          </w:p>
        </w:tc>
        <w:tc>
          <w:tcPr>
            <w:tcW w:w="5493" w:type="dxa"/>
          </w:tcPr>
          <w:p w14:paraId="4ED33EE4" w14:textId="77777777" w:rsidR="00ED2BF4" w:rsidRPr="00ED2BF4" w:rsidRDefault="00ED2BF4" w:rsidP="00ED2BF4">
            <w:pPr>
              <w:ind w:left="0"/>
              <w:rPr>
                <w:sz w:val="20"/>
                <w:szCs w:val="20"/>
              </w:rPr>
            </w:pPr>
            <w:r w:rsidRPr="00ED2BF4">
              <w:rPr>
                <w:sz w:val="20"/>
                <w:szCs w:val="20"/>
              </w:rPr>
              <w:t>Use in haemodialysis patients</w:t>
            </w:r>
          </w:p>
          <w:p w14:paraId="19209C21" w14:textId="77777777" w:rsidR="00ED2BF4" w:rsidRPr="00ED2BF4" w:rsidRDefault="00ED2BF4" w:rsidP="00ED2BF4">
            <w:pPr>
              <w:ind w:left="0"/>
              <w:rPr>
                <w:sz w:val="20"/>
                <w:szCs w:val="20"/>
              </w:rPr>
            </w:pPr>
            <w:r w:rsidRPr="00ED2BF4">
              <w:rPr>
                <w:sz w:val="20"/>
                <w:szCs w:val="20"/>
              </w:rPr>
              <w:t>Exposure during pregnancy</w:t>
            </w:r>
          </w:p>
          <w:p w14:paraId="131255AA" w14:textId="77777777" w:rsidR="00ED2BF4" w:rsidRPr="00ED2BF4" w:rsidRDefault="00ED2BF4" w:rsidP="00ED2BF4">
            <w:pPr>
              <w:ind w:left="0"/>
              <w:rPr>
                <w:sz w:val="20"/>
                <w:szCs w:val="20"/>
              </w:rPr>
            </w:pPr>
            <w:r w:rsidRPr="00ED2BF4">
              <w:rPr>
                <w:sz w:val="20"/>
                <w:szCs w:val="20"/>
              </w:rPr>
              <w:t>Exposure via breastfeeding</w:t>
            </w:r>
          </w:p>
        </w:tc>
      </w:tr>
    </w:tbl>
    <w:p w14:paraId="76F45647" w14:textId="77777777"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14:paraId="169ECE84" w14:textId="77777777" w:rsidR="009F6DEF" w:rsidRDefault="009F6DEF" w:rsidP="009F6DEF">
      <w:r w:rsidRPr="009F6DEF">
        <w:t>The sponsor is proposing routine pharmacovigilance activities for all specified safety concerns.</w:t>
      </w:r>
    </w:p>
    <w:p w14:paraId="65656702" w14:textId="77777777" w:rsidR="009F6DEF" w:rsidRPr="009F6DEF" w:rsidRDefault="009F6DEF" w:rsidP="009F6DEF">
      <w:r w:rsidRPr="009F6DEF">
        <w:t>Although specified in the EU RMP a specific adverse event follow-up questionnaire for the important identified risk ‘injection site reactions’ is not proposed for Australia and has been discontinued in the EU.</w:t>
      </w:r>
    </w:p>
    <w:p w14:paraId="7E2D9562" w14:textId="77777777" w:rsidR="009F6DEF" w:rsidRDefault="009F6DEF" w:rsidP="009F6DEF">
      <w:r w:rsidRPr="009F6DEF">
        <w:t xml:space="preserve">The following ongoing activity is proposed as additional </w:t>
      </w:r>
      <w:r w:rsidR="005968B3">
        <w:t>pharmacovigilance in the EU RMP (Table 7)</w:t>
      </w:r>
    </w:p>
    <w:p w14:paraId="35C8D2C1" w14:textId="77777777" w:rsidR="005968B3" w:rsidRPr="009F6DEF" w:rsidRDefault="005968B3" w:rsidP="005968B3">
      <w:pPr>
        <w:pStyle w:val="TableTitle"/>
      </w:pPr>
      <w:r>
        <w:lastRenderedPageBreak/>
        <w:t xml:space="preserve">Table 7: Additional </w:t>
      </w:r>
      <w:r w:rsidRPr="009F6DEF">
        <w:t xml:space="preserve">proposed </w:t>
      </w:r>
      <w:r>
        <w:t>pharmacovigilance in the EU RMP</w:t>
      </w:r>
    </w:p>
    <w:tbl>
      <w:tblPr>
        <w:tblStyle w:val="TableTGAblue"/>
        <w:tblW w:w="8747" w:type="dxa"/>
        <w:tblLayout w:type="fixed"/>
        <w:tblLook w:val="04A0" w:firstRow="1" w:lastRow="0" w:firstColumn="1" w:lastColumn="0" w:noHBand="0" w:noVBand="1"/>
      </w:tblPr>
      <w:tblGrid>
        <w:gridCol w:w="1858"/>
        <w:gridCol w:w="2139"/>
        <w:gridCol w:w="3397"/>
        <w:gridCol w:w="1353"/>
      </w:tblGrid>
      <w:tr w:rsidR="009F6DEF" w:rsidRPr="009F6DEF" w14:paraId="3CA42EA7" w14:textId="77777777" w:rsidTr="009F6DEF">
        <w:trPr>
          <w:cnfStyle w:val="100000000000" w:firstRow="1" w:lastRow="0" w:firstColumn="0" w:lastColumn="0" w:oddVBand="0" w:evenVBand="0" w:oddHBand="0" w:evenHBand="0" w:firstRowFirstColumn="0" w:firstRowLastColumn="0" w:lastRowFirstColumn="0" w:lastRowLastColumn="0"/>
          <w:trHeight w:val="1418"/>
        </w:trPr>
        <w:tc>
          <w:tcPr>
            <w:tcW w:w="1858" w:type="dxa"/>
          </w:tcPr>
          <w:p w14:paraId="7449FD38" w14:textId="77777777" w:rsidR="009F6DEF" w:rsidRPr="009F6DEF" w:rsidRDefault="009F6DEF" w:rsidP="009F6DEF">
            <w:pPr>
              <w:ind w:left="0"/>
              <w:rPr>
                <w:sz w:val="20"/>
                <w:szCs w:val="20"/>
              </w:rPr>
            </w:pPr>
            <w:r w:rsidRPr="009F6DEF">
              <w:rPr>
                <w:sz w:val="20"/>
                <w:szCs w:val="20"/>
              </w:rPr>
              <w:t>Additional activity</w:t>
            </w:r>
          </w:p>
        </w:tc>
        <w:tc>
          <w:tcPr>
            <w:tcW w:w="2139" w:type="dxa"/>
          </w:tcPr>
          <w:p w14:paraId="558435A5" w14:textId="77777777" w:rsidR="009F6DEF" w:rsidRPr="009F6DEF" w:rsidRDefault="009F6DEF" w:rsidP="009F6DEF">
            <w:pPr>
              <w:ind w:left="0"/>
              <w:rPr>
                <w:sz w:val="20"/>
                <w:szCs w:val="20"/>
              </w:rPr>
            </w:pPr>
            <w:r w:rsidRPr="009F6DEF">
              <w:rPr>
                <w:sz w:val="20"/>
                <w:szCs w:val="20"/>
              </w:rPr>
              <w:t>Assigned safety concern</w:t>
            </w:r>
          </w:p>
        </w:tc>
        <w:tc>
          <w:tcPr>
            <w:tcW w:w="3397" w:type="dxa"/>
          </w:tcPr>
          <w:p w14:paraId="4C0ACEC9" w14:textId="77777777" w:rsidR="009F6DEF" w:rsidRPr="009F6DEF" w:rsidRDefault="009F6DEF" w:rsidP="009F6DEF">
            <w:pPr>
              <w:ind w:left="0"/>
              <w:rPr>
                <w:sz w:val="20"/>
                <w:szCs w:val="20"/>
              </w:rPr>
            </w:pPr>
            <w:r w:rsidRPr="009F6DEF">
              <w:rPr>
                <w:sz w:val="20"/>
                <w:szCs w:val="20"/>
              </w:rPr>
              <w:t>Actions/outcome proposed</w:t>
            </w:r>
          </w:p>
        </w:tc>
        <w:tc>
          <w:tcPr>
            <w:tcW w:w="1353" w:type="dxa"/>
          </w:tcPr>
          <w:p w14:paraId="55ABD8AC" w14:textId="77777777" w:rsidR="009F6DEF" w:rsidRPr="009F6DEF" w:rsidRDefault="009F6DEF" w:rsidP="009F6DEF">
            <w:pPr>
              <w:ind w:left="0"/>
              <w:rPr>
                <w:sz w:val="20"/>
                <w:szCs w:val="20"/>
              </w:rPr>
            </w:pPr>
            <w:r w:rsidRPr="009F6DEF">
              <w:rPr>
                <w:sz w:val="20"/>
                <w:szCs w:val="20"/>
              </w:rPr>
              <w:t>Estimated planned submission of final data</w:t>
            </w:r>
          </w:p>
        </w:tc>
      </w:tr>
      <w:tr w:rsidR="009F6DEF" w:rsidRPr="009F6DEF" w14:paraId="0DBC2E4D" w14:textId="77777777" w:rsidTr="009F6DEF">
        <w:trPr>
          <w:trHeight w:val="5315"/>
        </w:trPr>
        <w:tc>
          <w:tcPr>
            <w:tcW w:w="1858" w:type="dxa"/>
          </w:tcPr>
          <w:p w14:paraId="019E934A" w14:textId="77777777" w:rsidR="009F6DEF" w:rsidRPr="009F6DEF" w:rsidRDefault="009F6DEF" w:rsidP="009F6DEF">
            <w:pPr>
              <w:ind w:left="0"/>
              <w:rPr>
                <w:sz w:val="20"/>
                <w:szCs w:val="20"/>
              </w:rPr>
            </w:pPr>
            <w:r w:rsidRPr="009F6DEF">
              <w:rPr>
                <w:sz w:val="20"/>
                <w:szCs w:val="20"/>
              </w:rPr>
              <w:t xml:space="preserve">Post-Authorisation Safety Study (PASS) of cardiovascular and cerebrovascular adverse events in elderly patients treated with </w:t>
            </w:r>
            <w:proofErr w:type="spellStart"/>
            <w:r w:rsidRPr="009F6DEF">
              <w:rPr>
                <w:sz w:val="20"/>
                <w:szCs w:val="20"/>
              </w:rPr>
              <w:t>paliperidone</w:t>
            </w:r>
            <w:proofErr w:type="spellEnd"/>
            <w:r w:rsidRPr="009F6DEF">
              <w:rPr>
                <w:sz w:val="20"/>
                <w:szCs w:val="20"/>
              </w:rPr>
              <w:t xml:space="preserve"> PR, </w:t>
            </w:r>
            <w:proofErr w:type="spellStart"/>
            <w:r w:rsidRPr="009F6DEF">
              <w:rPr>
                <w:sz w:val="20"/>
                <w:szCs w:val="20"/>
              </w:rPr>
              <w:t>paliperidone</w:t>
            </w:r>
            <w:proofErr w:type="spellEnd"/>
            <w:r w:rsidRPr="009F6DEF">
              <w:rPr>
                <w:sz w:val="20"/>
                <w:szCs w:val="20"/>
              </w:rPr>
              <w:t xml:space="preserve"> palmitate and other antipsychotics.</w:t>
            </w:r>
          </w:p>
          <w:p w14:paraId="3B853076" w14:textId="77777777" w:rsidR="009F6DEF" w:rsidRPr="009F6DEF" w:rsidRDefault="009F6DEF" w:rsidP="009F6DEF">
            <w:pPr>
              <w:ind w:left="0"/>
              <w:rPr>
                <w:sz w:val="20"/>
                <w:szCs w:val="20"/>
              </w:rPr>
            </w:pPr>
            <w:r w:rsidRPr="009F6DEF">
              <w:rPr>
                <w:sz w:val="20"/>
                <w:szCs w:val="20"/>
              </w:rPr>
              <w:t xml:space="preserve">(Category 2 for </w:t>
            </w:r>
            <w:proofErr w:type="spellStart"/>
            <w:r w:rsidRPr="009F6DEF">
              <w:rPr>
                <w:sz w:val="20"/>
                <w:szCs w:val="20"/>
              </w:rPr>
              <w:t>Xeplion</w:t>
            </w:r>
            <w:proofErr w:type="spellEnd"/>
            <w:r w:rsidRPr="009F6DEF">
              <w:rPr>
                <w:sz w:val="20"/>
                <w:szCs w:val="20"/>
              </w:rPr>
              <w:t>)</w:t>
            </w:r>
            <w:r>
              <w:rPr>
                <w:sz w:val="20"/>
                <w:szCs w:val="20"/>
              </w:rPr>
              <w:t xml:space="preserve"> </w:t>
            </w:r>
            <w:r w:rsidRPr="009F6DEF">
              <w:rPr>
                <w:sz w:val="20"/>
                <w:szCs w:val="20"/>
              </w:rPr>
              <w:t xml:space="preserve">(Category 3 for </w:t>
            </w:r>
            <w:proofErr w:type="spellStart"/>
            <w:r w:rsidRPr="009F6DEF">
              <w:rPr>
                <w:sz w:val="20"/>
                <w:szCs w:val="20"/>
              </w:rPr>
              <w:t>Invega</w:t>
            </w:r>
            <w:proofErr w:type="spellEnd"/>
            <w:r w:rsidRPr="009F6DEF">
              <w:rPr>
                <w:sz w:val="20"/>
                <w:szCs w:val="20"/>
              </w:rPr>
              <w:t>)</w:t>
            </w:r>
          </w:p>
        </w:tc>
        <w:tc>
          <w:tcPr>
            <w:tcW w:w="2139" w:type="dxa"/>
          </w:tcPr>
          <w:p w14:paraId="7FA0E9A5" w14:textId="77777777" w:rsidR="009F6DEF" w:rsidRPr="009F6DEF" w:rsidRDefault="009F6DEF" w:rsidP="009F6DEF">
            <w:pPr>
              <w:ind w:left="0"/>
              <w:rPr>
                <w:sz w:val="20"/>
                <w:szCs w:val="20"/>
              </w:rPr>
            </w:pPr>
            <w:r w:rsidRPr="009F6DEF">
              <w:rPr>
                <w:sz w:val="20"/>
                <w:szCs w:val="20"/>
              </w:rPr>
              <w:t>Important identified risk: cerebrovascular accident</w:t>
            </w:r>
          </w:p>
          <w:p w14:paraId="5B304EE2" w14:textId="77777777" w:rsidR="009F6DEF" w:rsidRPr="009F6DEF" w:rsidRDefault="009F6DEF" w:rsidP="009F6DEF">
            <w:pPr>
              <w:ind w:left="0"/>
              <w:rPr>
                <w:sz w:val="20"/>
                <w:szCs w:val="20"/>
              </w:rPr>
            </w:pPr>
            <w:r>
              <w:rPr>
                <w:sz w:val="20"/>
                <w:szCs w:val="20"/>
              </w:rPr>
              <w:t xml:space="preserve">Important potential risks: </w:t>
            </w:r>
            <w:r w:rsidRPr="009F6DEF">
              <w:rPr>
                <w:sz w:val="20"/>
                <w:szCs w:val="20"/>
              </w:rPr>
              <w:t>Overall increased mortality in elderly patients with dementia and Cerebrovascular adverse events in elderly patients with dementia.</w:t>
            </w:r>
          </w:p>
        </w:tc>
        <w:tc>
          <w:tcPr>
            <w:tcW w:w="3397" w:type="dxa"/>
          </w:tcPr>
          <w:p w14:paraId="674F1C53" w14:textId="77777777" w:rsidR="009F6DEF" w:rsidRPr="009F6DEF" w:rsidRDefault="009F6DEF" w:rsidP="009F6DEF">
            <w:pPr>
              <w:ind w:left="0"/>
              <w:rPr>
                <w:sz w:val="20"/>
                <w:szCs w:val="20"/>
              </w:rPr>
            </w:pPr>
            <w:r w:rsidRPr="009F6DEF">
              <w:rPr>
                <w:sz w:val="20"/>
                <w:szCs w:val="20"/>
              </w:rPr>
              <w:t>To estimate the incidence of cardiovascular and cerebrovascular events among elderly patients treated with XEPLION, INVEGA, and other oral and parenteral antipsychotics.</w:t>
            </w:r>
          </w:p>
          <w:p w14:paraId="60FE8F64" w14:textId="77777777" w:rsidR="009F6DEF" w:rsidRPr="009F6DEF" w:rsidRDefault="009F6DEF" w:rsidP="009F6DEF">
            <w:pPr>
              <w:ind w:left="0"/>
              <w:rPr>
                <w:sz w:val="20"/>
                <w:szCs w:val="20"/>
              </w:rPr>
            </w:pPr>
            <w:r w:rsidRPr="009F6DEF">
              <w:rPr>
                <w:rFonts w:hint="eastAsia"/>
                <w:sz w:val="20"/>
                <w:szCs w:val="20"/>
              </w:rPr>
              <w:t>To compare the incidence of</w:t>
            </w:r>
            <w:r w:rsidRPr="009F6DEF">
              <w:rPr>
                <w:sz w:val="20"/>
                <w:szCs w:val="20"/>
              </w:rPr>
              <w:t xml:space="preserve"> cardiovascular and cerebrovascular events among elderly patients treated with </w:t>
            </w:r>
            <w:proofErr w:type="spellStart"/>
            <w:r w:rsidRPr="009F6DEF">
              <w:rPr>
                <w:sz w:val="20"/>
                <w:szCs w:val="20"/>
              </w:rPr>
              <w:t>paliperidone</w:t>
            </w:r>
            <w:proofErr w:type="spellEnd"/>
            <w:r w:rsidRPr="009F6DEF">
              <w:rPr>
                <w:sz w:val="20"/>
                <w:szCs w:val="20"/>
              </w:rPr>
              <w:t xml:space="preserve"> (stratified</w:t>
            </w:r>
            <w:r>
              <w:rPr>
                <w:sz w:val="20"/>
                <w:szCs w:val="20"/>
              </w:rPr>
              <w:t xml:space="preserve"> </w:t>
            </w:r>
            <w:r w:rsidRPr="009F6DEF">
              <w:rPr>
                <w:sz w:val="20"/>
                <w:szCs w:val="20"/>
              </w:rPr>
              <w:t>according to INVEGA users and XEPLION users) to the incidence among elderly patients treated with other oral and parenteral antipsychotics.</w:t>
            </w:r>
          </w:p>
          <w:p w14:paraId="20CFD71B" w14:textId="77777777" w:rsidR="009F6DEF" w:rsidRPr="009F6DEF" w:rsidRDefault="009F6DEF" w:rsidP="009F6DEF">
            <w:pPr>
              <w:ind w:left="0"/>
              <w:rPr>
                <w:sz w:val="20"/>
                <w:szCs w:val="20"/>
              </w:rPr>
            </w:pPr>
            <w:r w:rsidRPr="009F6DEF">
              <w:rPr>
                <w:rFonts w:hint="eastAsia"/>
                <w:sz w:val="20"/>
                <w:szCs w:val="20"/>
              </w:rPr>
              <w:t>To describe the demographic</w:t>
            </w:r>
            <w:r w:rsidRPr="009F6DEF">
              <w:rPr>
                <w:sz w:val="20"/>
                <w:szCs w:val="20"/>
              </w:rPr>
              <w:t xml:space="preserve"> characteristics, comorbidities, and concomitant medications among elderly (age ≥</w:t>
            </w:r>
            <w:r>
              <w:rPr>
                <w:sz w:val="20"/>
                <w:szCs w:val="20"/>
              </w:rPr>
              <w:t xml:space="preserve"> </w:t>
            </w:r>
            <w:r w:rsidRPr="009F6DEF">
              <w:rPr>
                <w:sz w:val="20"/>
                <w:szCs w:val="20"/>
              </w:rPr>
              <w:t>65 years) patients treated with INVEGA, XEPLION, and other oral and parenteral antipsychotics.</w:t>
            </w:r>
          </w:p>
        </w:tc>
        <w:tc>
          <w:tcPr>
            <w:tcW w:w="1353" w:type="dxa"/>
          </w:tcPr>
          <w:p w14:paraId="607BF03D" w14:textId="77777777" w:rsidR="009F6DEF" w:rsidRPr="009F6DEF" w:rsidRDefault="009F6DEF" w:rsidP="009F6DEF">
            <w:pPr>
              <w:ind w:left="0"/>
              <w:rPr>
                <w:sz w:val="20"/>
                <w:szCs w:val="20"/>
              </w:rPr>
            </w:pPr>
            <w:r w:rsidRPr="009F6DEF">
              <w:rPr>
                <w:sz w:val="20"/>
                <w:szCs w:val="20"/>
              </w:rPr>
              <w:t>End of 2015</w:t>
            </w:r>
          </w:p>
        </w:tc>
      </w:tr>
    </w:tbl>
    <w:p w14:paraId="17A45270" w14:textId="77777777"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14:paraId="15FB626A" w14:textId="77777777" w:rsidR="009F6DEF" w:rsidRDefault="009F6DEF" w:rsidP="009F6DEF">
      <w:bookmarkStart w:id="138" w:name="_Toc247691527"/>
      <w:r w:rsidRPr="009F6DEF">
        <w:t>The sponsor has concluded that routine risk minimisation activities only are sufficient to mitigate the risks associated with the product.</w:t>
      </w:r>
    </w:p>
    <w:p w14:paraId="67FB3A2C" w14:textId="77777777" w:rsidR="009F6DEF" w:rsidRPr="009F6DEF" w:rsidRDefault="009F6DEF" w:rsidP="009F6DEF">
      <w:r w:rsidRPr="009F6DEF">
        <w:t xml:space="preserve">Advice will be sought from the ACSOM regarding the sufficiency of the risk minimisation plan to mitigate risks associated with </w:t>
      </w:r>
      <w:proofErr w:type="spellStart"/>
      <w:r w:rsidR="005968B3" w:rsidRPr="00A04896">
        <w:t>Invega</w:t>
      </w:r>
      <w:proofErr w:type="spellEnd"/>
      <w:r w:rsidR="005968B3" w:rsidRPr="00A04896">
        <w:t xml:space="preserve"> </w:t>
      </w:r>
      <w:proofErr w:type="spellStart"/>
      <w:r w:rsidR="005968B3" w:rsidRPr="00A04896">
        <w:t>Trinza</w:t>
      </w:r>
      <w:proofErr w:type="spellEnd"/>
      <w:r w:rsidRPr="009F6DEF">
        <w:t>.</w:t>
      </w:r>
      <w:r w:rsidR="00A04896">
        <w:t xml:space="preserve"> </w:t>
      </w:r>
      <w:r w:rsidRPr="009F6DEF">
        <w:t xml:space="preserve">Specifically, advice will be sought regarding the adequacy of routine risk minimisation activities alone to mitigate safety issues relating to the </w:t>
      </w:r>
      <w:r w:rsidR="008D4FE3">
        <w:t xml:space="preserve">3 month </w:t>
      </w:r>
      <w:r w:rsidRPr="009F6DEF">
        <w:t>formulation in clinical practice.</w:t>
      </w:r>
      <w:r w:rsidR="00A04896">
        <w:t xml:space="preserve"> </w:t>
      </w:r>
      <w:r w:rsidRPr="009F6DEF">
        <w:t>This advice will be considered in the round 2 RMP evaluation.</w:t>
      </w:r>
    </w:p>
    <w:p w14:paraId="2BF396A2" w14:textId="77777777" w:rsidR="009F6DEF" w:rsidRPr="009F6DEF" w:rsidRDefault="009F6DEF" w:rsidP="009F6DEF">
      <w:r w:rsidRPr="009F6DEF">
        <w:t xml:space="preserve">The sponsor should justify the absence of an educational program to cover topics including but not limited to appropriate patient selection, injection technique, missed doses, re-initiation and safe use of the </w:t>
      </w:r>
      <w:r w:rsidR="008D4FE3">
        <w:t xml:space="preserve">3 month </w:t>
      </w:r>
      <w:r w:rsidRPr="009F6DEF">
        <w:t>product.</w:t>
      </w:r>
    </w:p>
    <w:p w14:paraId="3AE686DD" w14:textId="77777777" w:rsidR="006F25B8" w:rsidRDefault="006F25B8" w:rsidP="006F25B8">
      <w:pPr>
        <w:pStyle w:val="Heading4"/>
        <w:rPr>
          <w:lang w:eastAsia="en-AU"/>
        </w:rPr>
      </w:pPr>
      <w:r w:rsidRPr="006F25B8">
        <w:rPr>
          <w:lang w:eastAsia="en-AU"/>
        </w:rPr>
        <w:t>Reconciliation of is</w:t>
      </w:r>
      <w:r w:rsidR="00C1604D">
        <w:rPr>
          <w:lang w:eastAsia="en-AU"/>
        </w:rPr>
        <w:t>sues outlined in the RMP report</w:t>
      </w:r>
    </w:p>
    <w:p w14:paraId="38D0A719" w14:textId="77777777" w:rsidR="00D044AE" w:rsidRDefault="00D044AE" w:rsidP="00D044AE">
      <w:pPr>
        <w:pStyle w:val="Heading5"/>
      </w:pPr>
      <w:r>
        <w:t>TGA recommendation 1</w:t>
      </w:r>
    </w:p>
    <w:p w14:paraId="37A7499E" w14:textId="52260517" w:rsidR="006F25B8" w:rsidRPr="00A04896" w:rsidRDefault="00C1604D" w:rsidP="00A04896">
      <w:r w:rsidRPr="00A04896">
        <w:t xml:space="preserve">Safety considerations may be raised by the nonclinical and clinical evaluators through the consolidated request </w:t>
      </w:r>
      <w:r w:rsidR="00A04896" w:rsidRPr="00A04896">
        <w:t xml:space="preserve">for information </w:t>
      </w:r>
      <w:r w:rsidRPr="00A04896">
        <w:t xml:space="preserve">and/or the </w:t>
      </w:r>
      <w:r w:rsidR="00A04896" w:rsidRPr="00A04896">
        <w:t>n</w:t>
      </w:r>
      <w:r w:rsidRPr="00A04896">
        <w:t xml:space="preserve">onclinical and </w:t>
      </w:r>
      <w:r w:rsidR="00A04896" w:rsidRPr="00A04896">
        <w:t>clinical evaluation rep</w:t>
      </w:r>
      <w:r w:rsidR="00A04896">
        <w:t xml:space="preserve">orts respectively. </w:t>
      </w:r>
      <w:r w:rsidRPr="00A04896">
        <w:t>It is important to ensure that the information provided in response to these include</w:t>
      </w:r>
      <w:r w:rsidR="00D1543B">
        <w:t>s</w:t>
      </w:r>
      <w:r w:rsidRPr="00A04896">
        <w:t xml:space="preserve"> a consideration of the relevance for the </w:t>
      </w:r>
      <w:r w:rsidR="00A04896">
        <w:t>RMP</w:t>
      </w:r>
      <w:r w:rsidRPr="00A04896">
        <w:t>, and any specific information needed to address this issue in the RMP.</w:t>
      </w:r>
      <w:r w:rsidR="00A04896">
        <w:t xml:space="preserve"> </w:t>
      </w:r>
      <w:r w:rsidRPr="00A04896">
        <w:t xml:space="preserve">For any safety considerations so raised, the </w:t>
      </w:r>
      <w:r w:rsidRPr="00A04896">
        <w:lastRenderedPageBreak/>
        <w:t>sponsor should provide information that is relevant and necessary to address the issue in the RMP.</w:t>
      </w:r>
    </w:p>
    <w:p w14:paraId="27BFFC94" w14:textId="77777777" w:rsidR="00A04896" w:rsidRPr="00A04896" w:rsidRDefault="00C1604D" w:rsidP="006F25B8">
      <w:pPr>
        <w:rPr>
          <w:i/>
        </w:rPr>
      </w:pPr>
      <w:r w:rsidRPr="00A04896">
        <w:rPr>
          <w:i/>
        </w:rPr>
        <w:t>Sponsor’s response:</w:t>
      </w:r>
    </w:p>
    <w:p w14:paraId="0B498CDD" w14:textId="77777777" w:rsidR="00C1604D" w:rsidRPr="00A04896" w:rsidRDefault="00C1604D" w:rsidP="00A04896">
      <w:r w:rsidRPr="00A04896">
        <w:t xml:space="preserve">The </w:t>
      </w:r>
      <w:r w:rsidR="005968B3">
        <w:t>sponsor</w:t>
      </w:r>
      <w:r w:rsidRPr="00A04896">
        <w:t xml:space="preserve"> confirms that comments made within the Nonclinical and Clinical Evaluation reports have been considered with regard to relevance to the RMP. The </w:t>
      </w:r>
      <w:r w:rsidR="005968B3">
        <w:t>sponsor</w:t>
      </w:r>
      <w:r w:rsidRPr="00A04896">
        <w:t xml:space="preserve"> does not consider there to be any updates required to the RMP based on the </w:t>
      </w:r>
      <w:r w:rsidR="005968B3">
        <w:t>sponsor</w:t>
      </w:r>
      <w:r w:rsidRPr="00A04896">
        <w:t xml:space="preserve">’s responses to the </w:t>
      </w:r>
      <w:r w:rsidR="00186E45">
        <w:t>evaluator</w:t>
      </w:r>
      <w:r w:rsidRPr="00A04896">
        <w:t>s’ questions/comments to date.</w:t>
      </w:r>
    </w:p>
    <w:p w14:paraId="1FADBE9F" w14:textId="77777777" w:rsidR="00A04896" w:rsidRPr="00A04896" w:rsidRDefault="00C1604D" w:rsidP="00A04896">
      <w:pPr>
        <w:rPr>
          <w:i/>
        </w:rPr>
      </w:pPr>
      <w:r w:rsidRPr="00A04896">
        <w:rPr>
          <w:i/>
        </w:rPr>
        <w:t xml:space="preserve">RMP </w:t>
      </w:r>
      <w:r w:rsidR="00186E45">
        <w:rPr>
          <w:i/>
        </w:rPr>
        <w:t>evaluator</w:t>
      </w:r>
      <w:r w:rsidRPr="00A04896">
        <w:rPr>
          <w:i/>
        </w:rPr>
        <w:t xml:space="preserve"> comment:</w:t>
      </w:r>
    </w:p>
    <w:p w14:paraId="6776A669" w14:textId="77777777" w:rsidR="00C1604D" w:rsidRPr="00A04896" w:rsidRDefault="00C1604D" w:rsidP="00A04896">
      <w:r w:rsidRPr="00A04896">
        <w:t xml:space="preserve">It is noted that </w:t>
      </w:r>
      <w:r w:rsidR="00A04896" w:rsidRPr="00A04896">
        <w:t>the clinical evaluat</w:t>
      </w:r>
      <w:r w:rsidR="00A04896">
        <w:t xml:space="preserve">or raised concerns around </w:t>
      </w:r>
      <w:r w:rsidR="005968B3">
        <w:t>‘</w:t>
      </w:r>
      <w:r w:rsidR="00A04896">
        <w:t xml:space="preserve">dose </w:t>
      </w:r>
      <w:r w:rsidRPr="00A04896">
        <w:t>dumping</w:t>
      </w:r>
      <w:r w:rsidR="005968B3">
        <w:t>’</w:t>
      </w:r>
      <w:r w:rsidRPr="00A04896">
        <w:t>, and therefore this issue has been referred to the Delegate for consideration. This is also discussed below under TGA recommendation 5</w:t>
      </w:r>
      <w:r w:rsidR="00A04896">
        <w:t xml:space="preserve"> (below)</w:t>
      </w:r>
      <w:r w:rsidRPr="00A04896">
        <w:t xml:space="preserve"> and in the </w:t>
      </w:r>
      <w:r w:rsidR="00A04896">
        <w:t>ACSOM advice.</w:t>
      </w:r>
    </w:p>
    <w:p w14:paraId="4DDB0361" w14:textId="77777777" w:rsidR="00A04896" w:rsidRDefault="00A04896" w:rsidP="00A04896">
      <w:pPr>
        <w:pStyle w:val="Heading5"/>
      </w:pPr>
      <w:r>
        <w:t>TGA recommendation 2</w:t>
      </w:r>
    </w:p>
    <w:p w14:paraId="661D7607" w14:textId="77777777" w:rsidR="00C1604D" w:rsidRPr="00A04896" w:rsidRDefault="00C1604D" w:rsidP="00A04896">
      <w:r w:rsidRPr="00A04896">
        <w:t xml:space="preserve">Given the implications of incorrect administration of the </w:t>
      </w:r>
      <w:r w:rsidR="005968B3">
        <w:t>3 monthly</w:t>
      </w:r>
      <w:r w:rsidRPr="00A04896">
        <w:t xml:space="preserve"> injectable </w:t>
      </w:r>
      <w:proofErr w:type="gramStart"/>
      <w:r w:rsidRPr="00A04896">
        <w:t>product</w:t>
      </w:r>
      <w:proofErr w:type="gramEnd"/>
      <w:r w:rsidRPr="00A04896">
        <w:t xml:space="preserve"> the sponsor should justify the omission of ‘medication error’ as an important potential risk.</w:t>
      </w:r>
    </w:p>
    <w:p w14:paraId="1345E9ED" w14:textId="77777777" w:rsidR="00A04896" w:rsidRPr="00A04896" w:rsidRDefault="00C1604D" w:rsidP="00A04896">
      <w:pPr>
        <w:rPr>
          <w:i/>
        </w:rPr>
      </w:pPr>
      <w:r w:rsidRPr="00A04896">
        <w:rPr>
          <w:i/>
        </w:rPr>
        <w:t>Sponsor’s response</w:t>
      </w:r>
      <w:r w:rsidR="00A04896">
        <w:rPr>
          <w:i/>
        </w:rPr>
        <w:t>:</w:t>
      </w:r>
    </w:p>
    <w:p w14:paraId="7C2BD47A" w14:textId="77777777" w:rsidR="00C1604D" w:rsidRPr="00A04896" w:rsidRDefault="00C1604D" w:rsidP="00A04896">
      <w:r w:rsidRPr="00A04896">
        <w:t xml:space="preserve">The </w:t>
      </w:r>
      <w:r w:rsidR="005968B3">
        <w:t>sponsor</w:t>
      </w:r>
      <w:r w:rsidRPr="00A04896">
        <w:t xml:space="preserve"> does not consider there any reason to suggest that ‘</w:t>
      </w:r>
      <w:r w:rsidR="005968B3" w:rsidRPr="00A04896">
        <w:t>medication e</w:t>
      </w:r>
      <w:r w:rsidRPr="00A04896">
        <w:t xml:space="preserve">rror’ should be added as an important potential risk for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 As reported in the RMP, medication errors reported during clinical and post</w:t>
      </w:r>
      <w:r w:rsidR="00A04896">
        <w:t>-</w:t>
      </w:r>
      <w:r w:rsidRPr="00A04896">
        <w:t xml:space="preserve">marketing use of PP1M and PP3M are regularly assessed as part of routine pharmacovigilance. These assessments have not revealed any signal that medication error should be regarded as a risk for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A04896">
        <w:t xml:space="preserve"> or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w:t>
      </w:r>
    </w:p>
    <w:p w14:paraId="3883530B" w14:textId="77777777" w:rsidR="00C1604D" w:rsidRPr="00A04896" w:rsidRDefault="005968B3" w:rsidP="00A04896">
      <w:r>
        <w:t>As discussed in the RMP</w:t>
      </w:r>
      <w:r w:rsidR="00C1604D" w:rsidRPr="00A04896">
        <w:t>, several preventive steps have been taken to mitigate the risk of medication error with PP3M (including consideration of the product name and packaging design). In addition, a training and educational program is planned to accompany the introduction of the product in Australia, similar to what has been done in the United States (US) and the EU. This will be aimed at educating healthcare providers.</w:t>
      </w:r>
    </w:p>
    <w:p w14:paraId="21159741" w14:textId="77777777" w:rsidR="00C1604D" w:rsidRPr="00A04896" w:rsidRDefault="00C1604D" w:rsidP="00A04896">
      <w:r w:rsidRPr="00A04896">
        <w:t xml:space="preserve">The </w:t>
      </w:r>
      <w:r w:rsidR="005968B3">
        <w:t>sponsor</w:t>
      </w:r>
      <w:r w:rsidRPr="00A04896">
        <w:t xml:space="preserve"> considers these measures, along with routine pharmacovigilance, are sufficient to manage and monitor any potential for medication error with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 xml:space="preserve"> and help ensure safe and effective use of the product.</w:t>
      </w:r>
    </w:p>
    <w:p w14:paraId="54584C50" w14:textId="77777777" w:rsidR="00A04896" w:rsidRPr="00A04896" w:rsidRDefault="00C1604D" w:rsidP="00A04896">
      <w:pPr>
        <w:rPr>
          <w:i/>
        </w:rPr>
      </w:pPr>
      <w:r w:rsidRPr="00A04896">
        <w:rPr>
          <w:i/>
        </w:rPr>
        <w:t xml:space="preserve">RMP </w:t>
      </w:r>
      <w:r w:rsidR="00186E45">
        <w:rPr>
          <w:i/>
        </w:rPr>
        <w:t>evaluator</w:t>
      </w:r>
      <w:r w:rsidRPr="00A04896">
        <w:rPr>
          <w:i/>
        </w:rPr>
        <w:t xml:space="preserve"> comment:</w:t>
      </w:r>
    </w:p>
    <w:p w14:paraId="5A747FA3" w14:textId="77777777" w:rsidR="00C1604D" w:rsidRPr="00A04896" w:rsidRDefault="00C1604D" w:rsidP="00A04896">
      <w:r w:rsidRPr="00A04896">
        <w:t xml:space="preserve">The </w:t>
      </w:r>
      <w:r w:rsidR="005968B3">
        <w:t>sponsor</w:t>
      </w:r>
      <w:r w:rsidRPr="00A04896">
        <w:t xml:space="preserve">’s response is noted. However, the reasoning provided indicates that the </w:t>
      </w:r>
      <w:r w:rsidR="005968B3">
        <w:t>sponsor</w:t>
      </w:r>
      <w:r w:rsidRPr="00A04896">
        <w:t xml:space="preserve"> is taking additional measures to reduce the risk of medication error. In addition, ACSOM raised concerns regarding medication error as they concluded that the level of medication error in the clinical trials was relatively high, and was expected to be higher in clinical practice. Therefore, it is recommended that medication error is added as an important potential risk in the summary of safety </w:t>
      </w:r>
      <w:proofErr w:type="gramStart"/>
      <w:r w:rsidRPr="00A04896">
        <w:t>concerns,</w:t>
      </w:r>
      <w:proofErr w:type="gramEnd"/>
      <w:r w:rsidRPr="00A04896">
        <w:t xml:space="preserve"> and the associated additional risk minimisation activities of health care provider education is also included in a revised ASA.</w:t>
      </w:r>
    </w:p>
    <w:p w14:paraId="4251839B" w14:textId="77777777" w:rsidR="00A04896" w:rsidRDefault="00A04896" w:rsidP="00A04896">
      <w:pPr>
        <w:pStyle w:val="Heading5"/>
      </w:pPr>
      <w:r>
        <w:t>TGA recommendation 3</w:t>
      </w:r>
    </w:p>
    <w:p w14:paraId="4C32A0A8" w14:textId="77777777" w:rsidR="00C1604D" w:rsidRPr="00A04896" w:rsidRDefault="00C1604D" w:rsidP="00A04896">
      <w:r w:rsidRPr="00A04896">
        <w:t>The sponsor should provide justification for the omission of ‘inability to rapidly discontinue treatment’ or similar as a safety concern.</w:t>
      </w:r>
    </w:p>
    <w:p w14:paraId="4D4A3495" w14:textId="77777777" w:rsidR="00A04896" w:rsidRPr="00A04896" w:rsidRDefault="00C1604D" w:rsidP="00A04896">
      <w:pPr>
        <w:rPr>
          <w:i/>
        </w:rPr>
      </w:pPr>
      <w:r w:rsidRPr="00A04896">
        <w:rPr>
          <w:i/>
        </w:rPr>
        <w:t>Sponsor’s response:</w:t>
      </w:r>
    </w:p>
    <w:p w14:paraId="32D01305" w14:textId="77777777" w:rsidR="00C1604D" w:rsidRPr="00A04896" w:rsidRDefault="00C1604D" w:rsidP="00A04896">
      <w:r w:rsidRPr="00A04896">
        <w:t xml:space="preserve">The </w:t>
      </w:r>
      <w:r w:rsidR="005968B3">
        <w:t>sponsor</w:t>
      </w:r>
      <w:r w:rsidRPr="00A04896">
        <w:t xml:space="preserve"> acknowledges that it takes several months for </w:t>
      </w:r>
      <w:proofErr w:type="spellStart"/>
      <w:r w:rsidRPr="00A04896">
        <w:t>paliperidone</w:t>
      </w:r>
      <w:proofErr w:type="spellEnd"/>
      <w:r w:rsidRPr="00A04896">
        <w:t xml:space="preserve"> plasma concentrations to fall following discontinuation of PP3M. This was an important consideration for the </w:t>
      </w:r>
      <w:r w:rsidR="005968B3">
        <w:t>sponsor</w:t>
      </w:r>
      <w:r w:rsidRPr="00A04896">
        <w:t xml:space="preserve"> when developing the PP3M clinical trial program and the proposed therapeutic indication. For this reason, the proposed indication for PP3M has been restricted for use only in those patients who have been adequately treated with the </w:t>
      </w:r>
      <w:r w:rsidR="005968B3">
        <w:lastRenderedPageBreak/>
        <w:t>1 </w:t>
      </w:r>
      <w:r w:rsidR="008D4FE3">
        <w:t>month</w:t>
      </w:r>
      <w:r w:rsidRPr="00A04896">
        <w:t xml:space="preserve"> formulation (PP1M) for at least 4 months. The dosage and administration guidance in the PI also states that: </w:t>
      </w:r>
      <w:r w:rsidR="005968B3">
        <w:t>‘</w:t>
      </w:r>
      <w:r w:rsidRPr="005968B3">
        <w:rPr>
          <w:i/>
        </w:rPr>
        <w:t xml:space="preserve">In order to establish a consistent maintenance dose, it is recommended that the last two doses of the </w:t>
      </w:r>
      <w:r w:rsidR="008D4FE3" w:rsidRPr="005968B3">
        <w:rPr>
          <w:i/>
        </w:rPr>
        <w:t>1 month</w:t>
      </w:r>
      <w:r w:rsidRPr="005968B3">
        <w:rPr>
          <w:i/>
        </w:rPr>
        <w:t xml:space="preserve"> injection be the same dosage strength before starting </w:t>
      </w:r>
      <w:proofErr w:type="spellStart"/>
      <w:r w:rsidR="005968B3" w:rsidRPr="005968B3">
        <w:rPr>
          <w:i/>
        </w:rPr>
        <w:t>Invega</w:t>
      </w:r>
      <w:proofErr w:type="spellEnd"/>
      <w:r w:rsidR="005968B3" w:rsidRPr="005968B3">
        <w:rPr>
          <w:i/>
        </w:rPr>
        <w:t xml:space="preserve"> </w:t>
      </w:r>
      <w:proofErr w:type="spellStart"/>
      <w:r w:rsidR="005968B3" w:rsidRPr="005968B3">
        <w:rPr>
          <w:i/>
        </w:rPr>
        <w:t>Trinza</w:t>
      </w:r>
      <w:proofErr w:type="spellEnd"/>
      <w:r w:rsidRPr="00A04896">
        <w:t>.</w:t>
      </w:r>
      <w:r w:rsidR="005968B3">
        <w:t>’</w:t>
      </w:r>
      <w:r w:rsidRPr="00A04896">
        <w:t xml:space="preserve"> This guidance is to further highlight that patients should be on a stable dose of PP1M prior to converting to PP3M.</w:t>
      </w:r>
    </w:p>
    <w:p w14:paraId="737666F4" w14:textId="77777777" w:rsidR="00C1604D" w:rsidRPr="00A04896" w:rsidRDefault="00C1604D" w:rsidP="00A04896">
      <w:r w:rsidRPr="00A04896">
        <w:t xml:space="preserve">Four months is considered the minimum time in which an adequate and stable maintenance dose of PP1M can be established, and also considered a sufficient period to allow for detection of any tolerability issues with the compound. Thus, if a patient does need to withdraw from treatment due to a tolerability issue, this is most likely to happen during the PP1M treatment period rather than after the transition to PP3M. This is supported by the low discontinuation rates observed following conversion to PP3M in the </w:t>
      </w:r>
      <w:r w:rsidR="005968B3">
        <w:t>Phase III</w:t>
      </w:r>
      <w:r w:rsidRPr="00A04896">
        <w:t xml:space="preserve"> PP3M clinical studies. In Study PSY-3011, 3% of subjects in the PP3M treatment arm and 3% of subjects in the PP1M treatment arm discontinued treatment due to an adverse event during the </w:t>
      </w:r>
      <w:r w:rsidR="005968B3">
        <w:t xml:space="preserve">double </w:t>
      </w:r>
      <w:r w:rsidRPr="00A04896">
        <w:t xml:space="preserve">blind Phase, with the majority of subjects completing the </w:t>
      </w:r>
      <w:r w:rsidR="005968B3">
        <w:t>48 week</w:t>
      </w:r>
      <w:r w:rsidRPr="00A04896">
        <w:t xml:space="preserve"> treatment period (84% and 82%, respectively). In Study PSY-3012, no subjects in the PP3M treatment arm discontinued from the </w:t>
      </w:r>
      <w:r w:rsidR="006D3626">
        <w:t>double blind</w:t>
      </w:r>
      <w:r w:rsidRPr="00A04896">
        <w:t xml:space="preserve"> Phase due to an adverse event.</w:t>
      </w:r>
    </w:p>
    <w:p w14:paraId="20588B10" w14:textId="77777777" w:rsidR="00C1604D" w:rsidRPr="00A04896" w:rsidRDefault="00C1604D" w:rsidP="00A04896">
      <w:r w:rsidRPr="00A04896">
        <w:t xml:space="preserve">The current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 xml:space="preserve"> PI includes several statements to highlight the long-acting nature of the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 xml:space="preserve"> formulation to prescribers. The </w:t>
      </w:r>
      <w:r w:rsidR="006D3626" w:rsidRPr="00A04896">
        <w:t xml:space="preserve">dosage and administration </w:t>
      </w:r>
      <w:r w:rsidRPr="00A04896">
        <w:t xml:space="preserve">section of the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 xml:space="preserve"> PI states that </w:t>
      </w:r>
      <w:r w:rsidR="005968B3" w:rsidRPr="006D3626">
        <w:rPr>
          <w:i/>
        </w:rPr>
        <w:t>‘</w:t>
      </w:r>
      <w:r w:rsidRPr="006D3626">
        <w:rPr>
          <w:i/>
        </w:rPr>
        <w:t xml:space="preserve">If </w:t>
      </w:r>
      <w:proofErr w:type="spellStart"/>
      <w:r w:rsidR="005968B3" w:rsidRPr="006D3626">
        <w:rPr>
          <w:i/>
        </w:rPr>
        <w:t>Invega</w:t>
      </w:r>
      <w:proofErr w:type="spellEnd"/>
      <w:r w:rsidR="005968B3" w:rsidRPr="006D3626">
        <w:rPr>
          <w:i/>
        </w:rPr>
        <w:t xml:space="preserve"> </w:t>
      </w:r>
      <w:proofErr w:type="spellStart"/>
      <w:r w:rsidR="005968B3" w:rsidRPr="006D3626">
        <w:rPr>
          <w:i/>
        </w:rPr>
        <w:t>Trinza</w:t>
      </w:r>
      <w:proofErr w:type="spellEnd"/>
      <w:r w:rsidRPr="006D3626">
        <w:rPr>
          <w:i/>
        </w:rPr>
        <w:t xml:space="preserve"> is </w:t>
      </w:r>
      <w:r w:rsidR="006D3626" w:rsidRPr="006D3626">
        <w:rPr>
          <w:i/>
        </w:rPr>
        <w:t xml:space="preserve">discontinued; its prolonged </w:t>
      </w:r>
      <w:r w:rsidRPr="006D3626">
        <w:rPr>
          <w:i/>
        </w:rPr>
        <w:t>release characteristics must be considered.</w:t>
      </w:r>
      <w:r w:rsidR="005968B3">
        <w:t>’</w:t>
      </w:r>
      <w:r w:rsidRPr="00A04896">
        <w:t xml:space="preserve"> Within the </w:t>
      </w:r>
      <w:r w:rsidR="006D3626" w:rsidRPr="00A04896">
        <w:t>p</w:t>
      </w:r>
      <w:r w:rsidRPr="00A04896">
        <w:t xml:space="preserve">recautions section of the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 xml:space="preserve"> PI, the following sections are supplemented with the statement </w:t>
      </w:r>
      <w:r w:rsidR="005968B3">
        <w:t>‘</w:t>
      </w:r>
      <w:r w:rsidRPr="006D3626">
        <w:rPr>
          <w:i/>
        </w:rPr>
        <w:t xml:space="preserve">Consideration should be given to the long-acting nature of </w:t>
      </w:r>
      <w:proofErr w:type="spellStart"/>
      <w:r w:rsidR="005968B3" w:rsidRPr="006D3626">
        <w:rPr>
          <w:i/>
        </w:rPr>
        <w:t>Invega</w:t>
      </w:r>
      <w:proofErr w:type="spellEnd"/>
      <w:r w:rsidR="005968B3" w:rsidRPr="006D3626">
        <w:rPr>
          <w:i/>
        </w:rPr>
        <w:t xml:space="preserve"> </w:t>
      </w:r>
      <w:proofErr w:type="spellStart"/>
      <w:r w:rsidR="005968B3" w:rsidRPr="006D3626">
        <w:rPr>
          <w:i/>
        </w:rPr>
        <w:t>Trinza</w:t>
      </w:r>
      <w:proofErr w:type="spellEnd"/>
      <w:r w:rsidR="005968B3">
        <w:t>’</w:t>
      </w:r>
      <w:r w:rsidRPr="00A04896">
        <w:t xml:space="preserve"> warning prescribers of the possible persistence of related adverse effects:</w:t>
      </w:r>
    </w:p>
    <w:p w14:paraId="7FDBB85B" w14:textId="77777777" w:rsidR="00C1604D" w:rsidRPr="00A04896" w:rsidRDefault="00C1604D" w:rsidP="00A04896">
      <w:pPr>
        <w:pStyle w:val="ListBullet"/>
      </w:pPr>
      <w:r w:rsidRPr="00A04896">
        <w:t>Neuroleptic Malignant Syndrome</w:t>
      </w:r>
    </w:p>
    <w:p w14:paraId="2B3C6934" w14:textId="77777777" w:rsidR="00C1604D" w:rsidRPr="00A04896" w:rsidRDefault="00C1604D" w:rsidP="00A04896">
      <w:pPr>
        <w:pStyle w:val="ListBullet"/>
      </w:pPr>
      <w:r w:rsidRPr="00A04896">
        <w:t>Tardive dyskinesia</w:t>
      </w:r>
    </w:p>
    <w:p w14:paraId="479CCA54" w14:textId="77777777" w:rsidR="00C1604D" w:rsidRPr="00A04896" w:rsidRDefault="00C1604D" w:rsidP="00A04896">
      <w:pPr>
        <w:pStyle w:val="ListBullet"/>
      </w:pPr>
      <w:r w:rsidRPr="00A04896">
        <w:t>Leukopenia, neutropenia and agranulocytosis</w:t>
      </w:r>
    </w:p>
    <w:p w14:paraId="650ADB92" w14:textId="77777777" w:rsidR="00C1604D" w:rsidRPr="00A04896" w:rsidRDefault="00C1604D" w:rsidP="00A04896">
      <w:r w:rsidRPr="00A04896">
        <w:t xml:space="preserve">Additionally, the following sections of the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 xml:space="preserve"> PI also contain warnings regarding the long-acting nature of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w:t>
      </w:r>
    </w:p>
    <w:p w14:paraId="6C964ED2" w14:textId="77777777" w:rsidR="00C1604D" w:rsidRPr="00A04896" w:rsidRDefault="00C1604D" w:rsidP="00A04896">
      <w:pPr>
        <w:pStyle w:val="ListBullet"/>
      </w:pPr>
      <w:r w:rsidRPr="00A04896">
        <w:t xml:space="preserve">Potential for other drugs to affect </w:t>
      </w:r>
      <w:proofErr w:type="spellStart"/>
      <w:r w:rsidR="005968B3" w:rsidRPr="00A04896">
        <w:t>Invega</w:t>
      </w:r>
      <w:proofErr w:type="spellEnd"/>
      <w:r w:rsidR="005968B3" w:rsidRPr="00A04896">
        <w:t xml:space="preserve"> </w:t>
      </w:r>
      <w:proofErr w:type="spellStart"/>
      <w:r w:rsidR="005968B3" w:rsidRPr="00A04896">
        <w:t>Trinza</w:t>
      </w:r>
      <w:proofErr w:type="spellEnd"/>
    </w:p>
    <w:p w14:paraId="5D5AC5E0" w14:textId="77777777" w:rsidR="00C1604D" w:rsidRPr="00A04896" w:rsidRDefault="00C1604D" w:rsidP="00A04896">
      <w:pPr>
        <w:pStyle w:val="ListBullet"/>
      </w:pPr>
      <w:r w:rsidRPr="00A04896">
        <w:t>Use in pregnancy</w:t>
      </w:r>
    </w:p>
    <w:p w14:paraId="7E65F850" w14:textId="77777777" w:rsidR="00C1604D" w:rsidRPr="00A04896" w:rsidRDefault="00C1604D" w:rsidP="00A04896">
      <w:pPr>
        <w:pStyle w:val="ListBullet"/>
      </w:pPr>
      <w:r w:rsidRPr="00A04896">
        <w:t>Use in lactation</w:t>
      </w:r>
    </w:p>
    <w:p w14:paraId="28F42261" w14:textId="77777777" w:rsidR="00C1604D" w:rsidRPr="00A04896" w:rsidRDefault="00C1604D" w:rsidP="00A04896">
      <w:pPr>
        <w:pStyle w:val="ListBullet"/>
      </w:pPr>
      <w:r w:rsidRPr="00A04896">
        <w:t>Overdose</w:t>
      </w:r>
    </w:p>
    <w:p w14:paraId="38D7ACE5" w14:textId="77777777" w:rsidR="00C1604D" w:rsidRPr="00A04896" w:rsidRDefault="00C1604D" w:rsidP="00A04896">
      <w:r w:rsidRPr="00A04896">
        <w:t xml:space="preserve">The </w:t>
      </w:r>
      <w:r w:rsidR="005968B3">
        <w:t>sponsor</w:t>
      </w:r>
      <w:r w:rsidRPr="00A04896">
        <w:t xml:space="preserve"> therefore considers that the current statements within the PI adequately address the prolonged release nature of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w:t>
      </w:r>
    </w:p>
    <w:p w14:paraId="451095DF" w14:textId="77777777" w:rsidR="00C1604D" w:rsidRPr="00A04896" w:rsidRDefault="00C1604D" w:rsidP="00A04896">
      <w:r w:rsidRPr="00A04896">
        <w:t xml:space="preserve">Overall, the </w:t>
      </w:r>
      <w:r w:rsidR="005968B3">
        <w:t>sponsor</w:t>
      </w:r>
      <w:r w:rsidRPr="00A04896">
        <w:t xml:space="preserve"> does not consider the ‘inability to rapidly discontinue treatment’ to be a specific safety concern for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 xml:space="preserve">. The current guidance and warnings in the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A04896">
        <w:t xml:space="preserve"> PI, along with routine pharmacovigilance, are considered sufficient to minimize and monitor any issues related to inability to rapidly discontinue treatment.</w:t>
      </w:r>
    </w:p>
    <w:p w14:paraId="28526D32" w14:textId="77777777" w:rsidR="00A04896" w:rsidRPr="00A04896" w:rsidRDefault="00C1604D" w:rsidP="00A04896">
      <w:pPr>
        <w:rPr>
          <w:i/>
        </w:rPr>
      </w:pPr>
      <w:r w:rsidRPr="00A04896">
        <w:rPr>
          <w:i/>
        </w:rPr>
        <w:t xml:space="preserve">RMP </w:t>
      </w:r>
      <w:r w:rsidR="00186E45">
        <w:rPr>
          <w:i/>
        </w:rPr>
        <w:t>evaluator</w:t>
      </w:r>
      <w:r w:rsidRPr="00A04896">
        <w:rPr>
          <w:i/>
        </w:rPr>
        <w:t xml:space="preserve"> comment:</w:t>
      </w:r>
    </w:p>
    <w:p w14:paraId="7D33E131" w14:textId="1966BD18" w:rsidR="00C1604D" w:rsidRPr="00A04896" w:rsidRDefault="00C1604D" w:rsidP="00A04896">
      <w:r w:rsidRPr="00A04896">
        <w:t xml:space="preserve">The </w:t>
      </w:r>
      <w:r w:rsidR="005968B3">
        <w:t>sponsor</w:t>
      </w:r>
      <w:r w:rsidRPr="00A04896">
        <w:t xml:space="preserve">’s comments have been considered. The concern regarding the inability to rapidly discontinue treatment in the occurrence of an adverse event has been recognised by the </w:t>
      </w:r>
      <w:r w:rsidR="005968B3">
        <w:t>sponsor</w:t>
      </w:r>
      <w:r w:rsidRPr="00A04896">
        <w:t xml:space="preserve">. The RMP evaluator respectfully disagrees with the </w:t>
      </w:r>
      <w:r w:rsidR="005968B3">
        <w:t>sponsor</w:t>
      </w:r>
      <w:r w:rsidRPr="00A04896">
        <w:t>’s conclusion that this does not constitute a specific safety concern. The inability to withdraw treatment when a serious adverse event emerges</w:t>
      </w:r>
      <w:r w:rsidR="006D3626">
        <w:t>,</w:t>
      </w:r>
      <w:r w:rsidRPr="00A04896">
        <w:t xml:space="preserve"> impacts the risk</w:t>
      </w:r>
      <w:r w:rsidR="006D3626">
        <w:t>-benefit balance of the product;</w:t>
      </w:r>
      <w:r w:rsidRPr="00A04896">
        <w:t xml:space="preserve"> which supports its classification as an important identified risk</w:t>
      </w:r>
      <w:r w:rsidR="006D3626">
        <w:t>,</w:t>
      </w:r>
      <w:r w:rsidRPr="00A04896">
        <w:t xml:space="preserve"> based on the definitions in </w:t>
      </w:r>
      <w:r w:rsidRPr="00A04896">
        <w:lastRenderedPageBreak/>
        <w:t>the EMA guideline</w:t>
      </w:r>
      <w:r w:rsidR="00D1543B">
        <w:t>.</w:t>
      </w:r>
      <w:r w:rsidR="006D3626">
        <w:rPr>
          <w:rStyle w:val="FootnoteReference"/>
        </w:rPr>
        <w:footnoteReference w:id="9"/>
      </w:r>
      <w:r w:rsidRPr="00A04896">
        <w:t xml:space="preserve"> Therefore, the RMP evaluator recommends that the safety concern of </w:t>
      </w:r>
      <w:r w:rsidR="005968B3">
        <w:t>‘</w:t>
      </w:r>
      <w:r w:rsidRPr="00A04896">
        <w:t>inability to rapidly discontinue treatment</w:t>
      </w:r>
      <w:r w:rsidR="005968B3">
        <w:t>’</w:t>
      </w:r>
      <w:r w:rsidRPr="00A04896">
        <w:t xml:space="preserve"> is captured in </w:t>
      </w:r>
      <w:r w:rsidR="006D3626" w:rsidRPr="00A04896">
        <w:t>the safety specificatio</w:t>
      </w:r>
      <w:r w:rsidRPr="00A04896">
        <w:t>n as an important identified risk.</w:t>
      </w:r>
    </w:p>
    <w:p w14:paraId="4A530053" w14:textId="77777777" w:rsidR="00A04896" w:rsidRDefault="00C1604D" w:rsidP="00A04896">
      <w:pPr>
        <w:pStyle w:val="Heading5"/>
      </w:pPr>
      <w:r w:rsidRPr="00A71607">
        <w:t xml:space="preserve">TGA </w:t>
      </w:r>
      <w:r w:rsidR="00A04896">
        <w:t>recommendation 4</w:t>
      </w:r>
    </w:p>
    <w:p w14:paraId="6D403CCD" w14:textId="77777777" w:rsidR="00C1604D" w:rsidRPr="00A04896" w:rsidRDefault="00C1604D" w:rsidP="00A04896">
      <w:r w:rsidRPr="00A04896">
        <w:t xml:space="preserve">Acute psychotic episodes will invariably be treated with additional antipsychotics/sedatives whilst the patient is being treated with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w:t>
      </w:r>
      <w:r w:rsidR="00A04896" w:rsidRPr="00A04896">
        <w:t xml:space="preserve"> </w:t>
      </w:r>
      <w:r w:rsidR="006D3626">
        <w:t>Cumulative effects of anti</w:t>
      </w:r>
      <w:r w:rsidRPr="00A04896">
        <w:t>psychotics can be problematic for a number of body systems.</w:t>
      </w:r>
      <w:r w:rsidR="00A04896" w:rsidRPr="00A04896">
        <w:t xml:space="preserve"> </w:t>
      </w:r>
      <w:r w:rsidRPr="00A04896">
        <w:t xml:space="preserve">This is complicated by the inability to rapidly discontinue a </w:t>
      </w:r>
      <w:r w:rsidR="008D4FE3">
        <w:t xml:space="preserve">3 month </w:t>
      </w:r>
      <w:r w:rsidRPr="00A04896">
        <w:t>product with action possibly extending past 3 months (according to the PI the release of the drug may last for as long as 18 months).</w:t>
      </w:r>
      <w:r w:rsidR="00A04896" w:rsidRPr="00A04896">
        <w:t xml:space="preserve"> </w:t>
      </w:r>
      <w:r w:rsidRPr="00A04896">
        <w:t>The sponsor should confirm whethe</w:t>
      </w:r>
      <w:r w:rsidR="006D3626">
        <w:t>r the safety of additional anti</w:t>
      </w:r>
      <w:r w:rsidRPr="00A04896">
        <w:t xml:space="preserve">psychotic treatment for acute episodes whilst on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 xml:space="preserve"> has been specifically studied.</w:t>
      </w:r>
      <w:r w:rsidR="00A04896" w:rsidRPr="00A04896">
        <w:t xml:space="preserve"> </w:t>
      </w:r>
      <w:r w:rsidRPr="00A04896">
        <w:t>If not, the sponsor should specifically comment on whether such a situation is expected to raise safety issues in real world use.</w:t>
      </w:r>
    </w:p>
    <w:p w14:paraId="54697DB5" w14:textId="77777777" w:rsidR="00A04896" w:rsidRPr="00A04896" w:rsidRDefault="00C1604D" w:rsidP="00A04896">
      <w:pPr>
        <w:rPr>
          <w:i/>
        </w:rPr>
      </w:pPr>
      <w:r w:rsidRPr="00A04896">
        <w:rPr>
          <w:i/>
        </w:rPr>
        <w:t>Sponsor’s response:</w:t>
      </w:r>
    </w:p>
    <w:p w14:paraId="6E085EB2" w14:textId="77777777" w:rsidR="00C1604D" w:rsidRPr="00A04896" w:rsidRDefault="00C1604D" w:rsidP="00A04896">
      <w:r w:rsidRPr="00A04896">
        <w:t xml:space="preserve">Concomitant use of PP3M with other antipsychotics has not been specifically studied. In the </w:t>
      </w:r>
      <w:r w:rsidR="005968B3">
        <w:t>Phase III</w:t>
      </w:r>
      <w:r w:rsidRPr="00A04896">
        <w:t xml:space="preserve"> studies (PSY-3011 and PSY-3012), use of concomitant antipsychotics was not permitted per protocol. However, concomitant antipsychotic medication (</w:t>
      </w:r>
      <w:r w:rsidR="006D3626">
        <w:t>that is</w:t>
      </w:r>
      <w:r w:rsidRPr="00A04896">
        <w:t xml:space="preserve">, continuation of pre-existing medication) was allowed in the </w:t>
      </w:r>
      <w:r w:rsidR="00ED67BE">
        <w:t>single dose</w:t>
      </w:r>
      <w:r w:rsidRPr="00A04896">
        <w:t xml:space="preserve"> study (PSY-1005). In this study, patients on a stable dose of oral antipsychotic medication were give a single dose of PP3M (varying by injection location and dose). Overall, tolerability of the addition of PP3M to other antipsychotic medications was good with reasonably low numbers of adverse events, considering the population and the time patients were monitored (</w:t>
      </w:r>
      <w:r w:rsidR="006D3626">
        <w:t xml:space="preserve">12 to 18 </w:t>
      </w:r>
      <w:r w:rsidRPr="00A04896">
        <w:t>months).</w:t>
      </w:r>
    </w:p>
    <w:p w14:paraId="5225B99D" w14:textId="77777777" w:rsidR="00C1604D" w:rsidRPr="00A04896" w:rsidRDefault="00C1604D" w:rsidP="00A04896">
      <w:r w:rsidRPr="00A04896">
        <w:t xml:space="preserve">The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 xml:space="preserve"> PI contains the following warning regarding use of PP3M with other antipsychotics:</w:t>
      </w:r>
    </w:p>
    <w:p w14:paraId="0C4EAC0E" w14:textId="77777777" w:rsidR="00C1604D" w:rsidRPr="006D3626" w:rsidRDefault="005968B3" w:rsidP="00A04896">
      <w:pPr>
        <w:rPr>
          <w:i/>
        </w:rPr>
      </w:pPr>
      <w:r w:rsidRPr="006D3626">
        <w:rPr>
          <w:i/>
        </w:rPr>
        <w:t>‘</w:t>
      </w:r>
      <w:r w:rsidR="00C1604D" w:rsidRPr="006D3626">
        <w:rPr>
          <w:i/>
        </w:rPr>
        <w:t xml:space="preserve">Since </w:t>
      </w:r>
      <w:proofErr w:type="spellStart"/>
      <w:r w:rsidR="00C1604D" w:rsidRPr="006D3626">
        <w:rPr>
          <w:i/>
        </w:rPr>
        <w:t>paliperidone</w:t>
      </w:r>
      <w:proofErr w:type="spellEnd"/>
      <w:r w:rsidR="00C1604D" w:rsidRPr="006D3626">
        <w:rPr>
          <w:i/>
        </w:rPr>
        <w:t xml:space="preserve"> is the major active metabolite of risperidone, the co-administration of </w:t>
      </w:r>
      <w:proofErr w:type="spellStart"/>
      <w:r w:rsidRPr="006D3626">
        <w:rPr>
          <w:i/>
        </w:rPr>
        <w:t>Invega</w:t>
      </w:r>
      <w:proofErr w:type="spellEnd"/>
      <w:r w:rsidRPr="006D3626">
        <w:rPr>
          <w:i/>
        </w:rPr>
        <w:t xml:space="preserve"> </w:t>
      </w:r>
      <w:proofErr w:type="spellStart"/>
      <w:r w:rsidRPr="006D3626">
        <w:rPr>
          <w:i/>
        </w:rPr>
        <w:t>Trinza</w:t>
      </w:r>
      <w:proofErr w:type="spellEnd"/>
      <w:r w:rsidR="00C1604D" w:rsidRPr="006D3626">
        <w:rPr>
          <w:i/>
        </w:rPr>
        <w:t xml:space="preserve"> with oral risperidone or </w:t>
      </w:r>
      <w:proofErr w:type="spellStart"/>
      <w:r w:rsidR="00C1604D" w:rsidRPr="006D3626">
        <w:rPr>
          <w:i/>
        </w:rPr>
        <w:t>paliperidone</w:t>
      </w:r>
      <w:proofErr w:type="spellEnd"/>
      <w:r w:rsidR="00C1604D" w:rsidRPr="006D3626">
        <w:rPr>
          <w:i/>
        </w:rPr>
        <w:t xml:space="preserve"> is likely to result in an increase in the </w:t>
      </w:r>
      <w:proofErr w:type="spellStart"/>
      <w:r w:rsidR="00C1604D" w:rsidRPr="006D3626">
        <w:rPr>
          <w:i/>
        </w:rPr>
        <w:t>paliperidone</w:t>
      </w:r>
      <w:proofErr w:type="spellEnd"/>
      <w:r w:rsidR="00C1604D" w:rsidRPr="006D3626">
        <w:rPr>
          <w:i/>
        </w:rPr>
        <w:t xml:space="preserve"> concentration, within</w:t>
      </w:r>
      <w:r w:rsidR="00A04896" w:rsidRPr="006D3626">
        <w:rPr>
          <w:i/>
        </w:rPr>
        <w:t xml:space="preserve"> </w:t>
      </w:r>
      <w:r w:rsidR="00C1604D" w:rsidRPr="006D3626">
        <w:rPr>
          <w:i/>
        </w:rPr>
        <w:t xml:space="preserve">the bloodstream. Caution should be exercised when </w:t>
      </w:r>
      <w:proofErr w:type="spellStart"/>
      <w:r w:rsidRPr="006D3626">
        <w:rPr>
          <w:i/>
        </w:rPr>
        <w:t>Invega</w:t>
      </w:r>
      <w:proofErr w:type="spellEnd"/>
      <w:r w:rsidRPr="006D3626">
        <w:rPr>
          <w:i/>
        </w:rPr>
        <w:t xml:space="preserve"> </w:t>
      </w:r>
      <w:proofErr w:type="spellStart"/>
      <w:r w:rsidRPr="006D3626">
        <w:rPr>
          <w:i/>
        </w:rPr>
        <w:t>Trinza</w:t>
      </w:r>
      <w:proofErr w:type="spellEnd"/>
      <w:r w:rsidR="00C1604D" w:rsidRPr="006D3626">
        <w:rPr>
          <w:i/>
        </w:rPr>
        <w:t xml:space="preserve"> is co</w:t>
      </w:r>
      <w:r w:rsidR="00370D5E">
        <w:rPr>
          <w:i/>
        </w:rPr>
        <w:t>-</w:t>
      </w:r>
      <w:r w:rsidR="00C1604D" w:rsidRPr="006D3626">
        <w:rPr>
          <w:i/>
        </w:rPr>
        <w:t xml:space="preserve">administered with risperidone or with oral </w:t>
      </w:r>
      <w:proofErr w:type="spellStart"/>
      <w:r w:rsidR="00C1604D" w:rsidRPr="006D3626">
        <w:rPr>
          <w:i/>
        </w:rPr>
        <w:t>paliperidone</w:t>
      </w:r>
      <w:proofErr w:type="spellEnd"/>
      <w:r w:rsidR="00C1604D" w:rsidRPr="006D3626">
        <w:rPr>
          <w:i/>
        </w:rPr>
        <w:t xml:space="preserve"> for extended periods of time.</w:t>
      </w:r>
    </w:p>
    <w:p w14:paraId="412B5DC4" w14:textId="77777777" w:rsidR="00C1604D" w:rsidRPr="006D3626" w:rsidRDefault="00C1604D" w:rsidP="00A04896">
      <w:pPr>
        <w:rPr>
          <w:i/>
        </w:rPr>
      </w:pPr>
      <w:r w:rsidRPr="006D3626">
        <w:rPr>
          <w:i/>
        </w:rPr>
        <w:t xml:space="preserve">Safety data involving concomitant use of </w:t>
      </w:r>
      <w:proofErr w:type="spellStart"/>
      <w:r w:rsidR="005968B3" w:rsidRPr="006D3626">
        <w:rPr>
          <w:i/>
        </w:rPr>
        <w:t>Invega</w:t>
      </w:r>
      <w:proofErr w:type="spellEnd"/>
      <w:r w:rsidR="005968B3" w:rsidRPr="006D3626">
        <w:rPr>
          <w:i/>
        </w:rPr>
        <w:t xml:space="preserve"> </w:t>
      </w:r>
      <w:proofErr w:type="spellStart"/>
      <w:r w:rsidR="005968B3" w:rsidRPr="006D3626">
        <w:rPr>
          <w:i/>
        </w:rPr>
        <w:t>Trinza</w:t>
      </w:r>
      <w:proofErr w:type="spellEnd"/>
      <w:r w:rsidRPr="006D3626">
        <w:rPr>
          <w:i/>
        </w:rPr>
        <w:t xml:space="preserve"> with other antipsychotics is limited.</w:t>
      </w:r>
      <w:r w:rsidR="005968B3" w:rsidRPr="006D3626">
        <w:rPr>
          <w:i/>
        </w:rPr>
        <w:t>’</w:t>
      </w:r>
    </w:p>
    <w:p w14:paraId="37B90963" w14:textId="77777777" w:rsidR="00C1604D" w:rsidRPr="00A04896" w:rsidRDefault="00C1604D" w:rsidP="00A04896">
      <w:r w:rsidRPr="00A04896">
        <w:t xml:space="preserve">While the data is limited on the use of PP3M with other antipsychotics, the </w:t>
      </w:r>
      <w:r w:rsidR="005968B3">
        <w:t>sponsor</w:t>
      </w:r>
      <w:r w:rsidRPr="00A04896">
        <w:t xml:space="preserve"> is aware that polypharmacy occurs in real-world use. It would not be expected that there would be any different issues related to polypharmacy with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 xml:space="preserve"> than PP1M or any other antipsychotic. Since PP3M is meant to be used predominantly as monotherapy, and it is stated in the label that experience with the concomitant use of other antipsychotics is limited, the </w:t>
      </w:r>
      <w:r w:rsidR="005968B3">
        <w:t>sponsor</w:t>
      </w:r>
      <w:r w:rsidRPr="00A04896">
        <w:t xml:space="preserve"> would expect healthcare</w:t>
      </w:r>
      <w:r w:rsidR="006D3626">
        <w:t xml:space="preserve"> </w:t>
      </w:r>
      <w:r w:rsidRPr="00A04896">
        <w:t>professionals</w:t>
      </w:r>
      <w:r w:rsidR="006D3626">
        <w:t xml:space="preserve"> </w:t>
      </w:r>
      <w:r w:rsidRPr="00A04896">
        <w:t>to</w:t>
      </w:r>
      <w:r w:rsidR="006D3626">
        <w:t xml:space="preserve"> </w:t>
      </w:r>
      <w:r w:rsidRPr="00A04896">
        <w:t>monitor</w:t>
      </w:r>
      <w:r w:rsidR="006D3626">
        <w:t xml:space="preserve"> </w:t>
      </w:r>
      <w:r w:rsidRPr="00A04896">
        <w:t>for</w:t>
      </w:r>
      <w:r w:rsidR="006D3626">
        <w:t xml:space="preserve"> </w:t>
      </w:r>
      <w:r w:rsidRPr="00A04896">
        <w:t>increased</w:t>
      </w:r>
      <w:r w:rsidR="006D3626">
        <w:t xml:space="preserve"> </w:t>
      </w:r>
      <w:r w:rsidRPr="00A04896">
        <w:t>side</w:t>
      </w:r>
      <w:r w:rsidR="006D3626">
        <w:t xml:space="preserve"> </w:t>
      </w:r>
      <w:r w:rsidRPr="00A04896">
        <w:t>effects</w:t>
      </w:r>
      <w:r w:rsidR="006D3626">
        <w:t xml:space="preserve"> </w:t>
      </w:r>
      <w:r w:rsidRPr="00A04896">
        <w:t>when</w:t>
      </w:r>
      <w:r w:rsidR="006D3626">
        <w:t xml:space="preserve"> </w:t>
      </w:r>
      <w:r w:rsidRPr="00A04896">
        <w:t>starting</w:t>
      </w:r>
      <w:r w:rsidR="006D3626">
        <w:t xml:space="preserve"> </w:t>
      </w:r>
      <w:r w:rsidRPr="00A04896">
        <w:t>additional antipsychotic treatment, as this would be standard of care.</w:t>
      </w:r>
    </w:p>
    <w:p w14:paraId="50A9E4FE" w14:textId="77777777" w:rsidR="00A04896" w:rsidRPr="00A04896" w:rsidRDefault="00C1604D" w:rsidP="00A04896">
      <w:pPr>
        <w:rPr>
          <w:i/>
        </w:rPr>
      </w:pPr>
      <w:r w:rsidRPr="00A04896">
        <w:rPr>
          <w:i/>
        </w:rPr>
        <w:t xml:space="preserve">RMP </w:t>
      </w:r>
      <w:r w:rsidR="00186E45">
        <w:rPr>
          <w:i/>
        </w:rPr>
        <w:t>evaluator</w:t>
      </w:r>
      <w:r w:rsidRPr="00A04896">
        <w:rPr>
          <w:i/>
        </w:rPr>
        <w:t xml:space="preserve"> comment:</w:t>
      </w:r>
    </w:p>
    <w:p w14:paraId="20C2CFCC" w14:textId="459EAE37" w:rsidR="00C1604D" w:rsidRPr="00A04896" w:rsidRDefault="00C1604D" w:rsidP="00A04896">
      <w:r w:rsidRPr="00A04896">
        <w:t xml:space="preserve">The </w:t>
      </w:r>
      <w:r w:rsidR="005968B3">
        <w:t>sponsor</w:t>
      </w:r>
      <w:r w:rsidRPr="00A04896">
        <w:t xml:space="preserve"> has reported that there is little data on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 xml:space="preserve"> in combination with other antipsychotics, and that polypharmacy can be expected in the </w:t>
      </w:r>
      <w:r w:rsidR="005968B3">
        <w:t>‘</w:t>
      </w:r>
      <w:r w:rsidR="006D3626">
        <w:t xml:space="preserve">real </w:t>
      </w:r>
      <w:r w:rsidRPr="00A04896">
        <w:t>world</w:t>
      </w:r>
      <w:r w:rsidR="005968B3">
        <w:t>’</w:t>
      </w:r>
      <w:r w:rsidRPr="00A04896">
        <w:t>. This was also noted by ACSOM</w:t>
      </w:r>
      <w:r w:rsidRPr="006D3626">
        <w:t>,</w:t>
      </w:r>
      <w:r w:rsidRPr="00A04896">
        <w:t xml:space="preserve"> and the committee advised that these issues raise the possibility of unexpected drug interactions. The PI contains statements that indicate limited safety data for concomitant use with other antipsychotics, and caution for use with drugs known to </w:t>
      </w:r>
      <w:r w:rsidRPr="00A04896">
        <w:lastRenderedPageBreak/>
        <w:t xml:space="preserve">prolong QT interval. These measures are considered adequate as the drug interactions are unlikely to be different from those with oral or 1 month formulations of </w:t>
      </w:r>
      <w:proofErr w:type="spellStart"/>
      <w:r w:rsidRPr="00A04896">
        <w:t>paliperidone</w:t>
      </w:r>
      <w:proofErr w:type="spellEnd"/>
      <w:r w:rsidRPr="00A04896">
        <w:t>.</w:t>
      </w:r>
    </w:p>
    <w:p w14:paraId="6CAA91AF" w14:textId="77777777" w:rsidR="00A04896" w:rsidRDefault="00A04896" w:rsidP="00A04896">
      <w:pPr>
        <w:pStyle w:val="Heading5"/>
      </w:pPr>
      <w:r>
        <w:t>TGA recommendation 5</w:t>
      </w:r>
    </w:p>
    <w:p w14:paraId="66A3D8D6" w14:textId="77777777" w:rsidR="00C1604D" w:rsidRPr="00A04896" w:rsidRDefault="00D044AE" w:rsidP="00A04896">
      <w:r w:rsidRPr="00A04896">
        <w:t xml:space="preserve">The sponsor should provide a justification as to why dose dumping is not included as a separate safety concern for the </w:t>
      </w:r>
      <w:r w:rsidR="008D4FE3">
        <w:t xml:space="preserve">3 month </w:t>
      </w:r>
      <w:r w:rsidRPr="00A04896">
        <w:t>formulation.</w:t>
      </w:r>
    </w:p>
    <w:p w14:paraId="36C28A18" w14:textId="77777777" w:rsidR="00A04896" w:rsidRPr="00A04896" w:rsidRDefault="00A04896" w:rsidP="00A04896">
      <w:pPr>
        <w:rPr>
          <w:i/>
        </w:rPr>
      </w:pPr>
      <w:r w:rsidRPr="00A04896">
        <w:rPr>
          <w:i/>
        </w:rPr>
        <w:t>Sponsor’s response:</w:t>
      </w:r>
    </w:p>
    <w:p w14:paraId="60389A53" w14:textId="77777777" w:rsidR="00D044AE" w:rsidRPr="00A04896" w:rsidRDefault="00D044AE" w:rsidP="00A04896">
      <w:r w:rsidRPr="00A04896">
        <w:t xml:space="preserve">As previously discussed in response to the </w:t>
      </w:r>
      <w:r w:rsidR="006D3626" w:rsidRPr="00A04896">
        <w:t>clinical e</w:t>
      </w:r>
      <w:r w:rsidRPr="00A04896">
        <w:t xml:space="preserve">valuator, the </w:t>
      </w:r>
      <w:r w:rsidR="005968B3">
        <w:t>sponsor</w:t>
      </w:r>
      <w:r w:rsidRPr="00A04896">
        <w:t xml:space="preserve"> does not consider there is evidence to suggest that dose dumping should be considered a separate safety concern for the </w:t>
      </w:r>
      <w:r w:rsidR="008D4FE3">
        <w:t xml:space="preserve">3 month </w:t>
      </w:r>
      <w:r w:rsidRPr="00A04896">
        <w:t>formulation.</w:t>
      </w:r>
    </w:p>
    <w:p w14:paraId="768559A9" w14:textId="77777777" w:rsidR="00D044AE" w:rsidRPr="00A04896" w:rsidRDefault="00D044AE" w:rsidP="00A04896">
      <w:r w:rsidRPr="00A04896">
        <w:t xml:space="preserve">As noted in Section 2 above (see Question 3), only 1 case of potential partial IV administration was suspected in the PP3M clinical trial program based on the presence of </w:t>
      </w:r>
      <w:proofErr w:type="spellStart"/>
      <w:r w:rsidRPr="00A04896">
        <w:t>paliperidone</w:t>
      </w:r>
      <w:proofErr w:type="spellEnd"/>
      <w:r w:rsidRPr="00A04896">
        <w:t xml:space="preserve"> palmitate in plasma samples and a relatively high </w:t>
      </w:r>
      <w:proofErr w:type="spellStart"/>
      <w:r w:rsidRPr="00A04896">
        <w:t>paliperidone</w:t>
      </w:r>
      <w:proofErr w:type="spellEnd"/>
      <w:r w:rsidRPr="00A04896">
        <w:t xml:space="preserve"> concentration (416 ng/mL) in a subject who received a single dose of 525 mg eq. This was not recorded as a medication error adverse event. Of note, this subject did not experience any adverse events around the time of partial IV administration, and</w:t>
      </w:r>
      <w:r w:rsidR="00A04896" w:rsidRPr="00A04896">
        <w:t xml:space="preserve"> </w:t>
      </w:r>
      <w:r w:rsidR="0054619C">
        <w:t>extrapyramidal symptoms (</w:t>
      </w:r>
      <w:r w:rsidRPr="00A04896">
        <w:t>EPS</w:t>
      </w:r>
      <w:r w:rsidR="0054619C">
        <w:t>)</w:t>
      </w:r>
      <w:r w:rsidRPr="00A04896">
        <w:t xml:space="preserve"> rating scales did not meaningfully</w:t>
      </w:r>
      <w:r w:rsidR="00A04896" w:rsidRPr="00A04896">
        <w:t xml:space="preserve"> </w:t>
      </w:r>
      <w:r w:rsidRPr="00A04896">
        <w:t xml:space="preserve">change at Day 6. Therefore, this patient was able to tolerate very high levels of </w:t>
      </w:r>
      <w:proofErr w:type="spellStart"/>
      <w:r w:rsidRPr="00A04896">
        <w:t>paliperidone</w:t>
      </w:r>
      <w:proofErr w:type="spellEnd"/>
      <w:r w:rsidRPr="00A04896">
        <w:t xml:space="preserve"> without any adverse effects.</w:t>
      </w:r>
    </w:p>
    <w:p w14:paraId="74CD9DBB" w14:textId="77777777" w:rsidR="00D044AE" w:rsidRPr="00A04896" w:rsidRDefault="00D044AE" w:rsidP="00A04896">
      <w:r w:rsidRPr="00A04896">
        <w:t xml:space="preserve">Similarly, clinical review of safety data across all PP3M clinical trials in other subjects who experienced a plasma concentration </w:t>
      </w:r>
      <w:r w:rsidR="006D3626">
        <w:t xml:space="preserve">&gt; </w:t>
      </w:r>
      <w:r w:rsidRPr="00A04896">
        <w:t>125 ng/mL showed no evidence to suggest plasma concentrations</w:t>
      </w:r>
      <w:r w:rsidR="00A04896" w:rsidRPr="00A04896">
        <w:t xml:space="preserve"> </w:t>
      </w:r>
      <w:r w:rsidR="006D3626">
        <w:t xml:space="preserve">&gt; </w:t>
      </w:r>
      <w:r w:rsidRPr="00A04896">
        <w:t>125</w:t>
      </w:r>
      <w:r w:rsidR="00A04896" w:rsidRPr="00A04896">
        <w:t xml:space="preserve"> </w:t>
      </w:r>
      <w:r w:rsidRPr="00A04896">
        <w:t>ng/mL</w:t>
      </w:r>
      <w:r w:rsidR="00A04896" w:rsidRPr="00A04896">
        <w:t xml:space="preserve"> </w:t>
      </w:r>
      <w:r w:rsidRPr="00A04896">
        <w:t>were</w:t>
      </w:r>
      <w:r w:rsidR="00A04896" w:rsidRPr="00A04896">
        <w:t xml:space="preserve"> </w:t>
      </w:r>
      <w:r w:rsidRPr="00A04896">
        <w:t>associated</w:t>
      </w:r>
      <w:r w:rsidR="00A04896" w:rsidRPr="00A04896">
        <w:t xml:space="preserve"> </w:t>
      </w:r>
      <w:r w:rsidRPr="00A04896">
        <w:t>with</w:t>
      </w:r>
      <w:r w:rsidR="00A04896" w:rsidRPr="00A04896">
        <w:t xml:space="preserve"> </w:t>
      </w:r>
      <w:r w:rsidRPr="00A04896">
        <w:t>increased</w:t>
      </w:r>
      <w:r w:rsidR="00A04896" w:rsidRPr="00A04896">
        <w:t xml:space="preserve"> </w:t>
      </w:r>
      <w:r w:rsidRPr="00A04896">
        <w:t>adverse</w:t>
      </w:r>
      <w:r w:rsidR="00A04896" w:rsidRPr="00A04896">
        <w:t xml:space="preserve"> </w:t>
      </w:r>
      <w:r w:rsidRPr="00A04896">
        <w:t>effects.</w:t>
      </w:r>
      <w:r w:rsidR="00A04896" w:rsidRPr="00A04896">
        <w:t xml:space="preserve"> </w:t>
      </w:r>
      <w:r w:rsidRPr="00A04896">
        <w:t xml:space="preserve">Concentrations </w:t>
      </w:r>
      <w:r w:rsidR="006D3626">
        <w:t xml:space="preserve">&gt; </w:t>
      </w:r>
      <w:r w:rsidRPr="00A04896">
        <w:t xml:space="preserve">125 ng/mL were predominantly observed in the PP3M 525 mg eq. or PP1M 150 mg eq. dose group, and most likely due to inter-subject variation. Overall, no clear cases of dose dumping were observed in the </w:t>
      </w:r>
      <w:r w:rsidR="005968B3">
        <w:t>Phase III</w:t>
      </w:r>
      <w:r w:rsidR="006D3626">
        <w:t xml:space="preserve"> studies. The level </w:t>
      </w:r>
      <w:proofErr w:type="gramStart"/>
      <w:r w:rsidR="006D3626">
        <w:t>of 125 </w:t>
      </w:r>
      <w:r w:rsidRPr="00A04896">
        <w:t>ng/mL</w:t>
      </w:r>
      <w:proofErr w:type="gramEnd"/>
      <w:r w:rsidRPr="00A04896">
        <w:t xml:space="preserve"> is not indicative of dose dumping, and should simply be regarded as a value above the 95th percentile for </w:t>
      </w:r>
      <w:proofErr w:type="spellStart"/>
      <w:r w:rsidR="008D4FE3" w:rsidRPr="00D71C16">
        <w:t>C</w:t>
      </w:r>
      <w:r w:rsidR="008D4FE3" w:rsidRPr="008D4FE3">
        <w:rPr>
          <w:vertAlign w:val="subscript"/>
        </w:rPr>
        <w:t>max</w:t>
      </w:r>
      <w:proofErr w:type="spellEnd"/>
      <w:r w:rsidRPr="00A04896">
        <w:t xml:space="preserve"> after the fourth injection of PP3M 525 mg eq. in the deltoid and gluteal sites, based on in the population PK model. Further, there were no clear pattern of adverse events in these patients with higher levels, and no safety issue was identified due to high drug levels.</w:t>
      </w:r>
    </w:p>
    <w:p w14:paraId="0F28FA29" w14:textId="77777777" w:rsidR="00D044AE" w:rsidRPr="00A04896" w:rsidRDefault="00D044AE" w:rsidP="00A04896">
      <w:r w:rsidRPr="00A04896">
        <w:t xml:space="preserve">Likewise, no cases of dose dumping have been reported with PP3M based on </w:t>
      </w:r>
      <w:r w:rsidR="006D3626">
        <w:t>post-marketing</w:t>
      </w:r>
      <w:r w:rsidRPr="00A04896">
        <w:t xml:space="preserve"> experience to date (including estimated exposure of 3,614 person-years based on the</w:t>
      </w:r>
      <w:r w:rsidR="00A04896" w:rsidRPr="00A04896">
        <w:t xml:space="preserve"> </w:t>
      </w:r>
      <w:r w:rsidRPr="00A04896">
        <w:t>14,4</w:t>
      </w:r>
      <w:r w:rsidR="006D3626">
        <w:t>55 syringes of PP3M distributed</w:t>
      </w:r>
      <w:r w:rsidRPr="00A04896">
        <w:t xml:space="preserve"> up to 31 December 2015).</w:t>
      </w:r>
    </w:p>
    <w:p w14:paraId="3211A7AD" w14:textId="77777777" w:rsidR="00D044AE" w:rsidRPr="00A04896" w:rsidRDefault="00D044AE" w:rsidP="00A04896">
      <w:r w:rsidRPr="00A04896">
        <w:t xml:space="preserve">There is no reason to suspect that the risk of inadvertent IV administration or dose dumping will be any greater for PP3M than it is for PP1M. Both products are administered by a healthcare professional, and both products are administered via </w:t>
      </w:r>
      <w:r w:rsidR="006D3626">
        <w:t>IM</w:t>
      </w:r>
      <w:r w:rsidRPr="00A04896">
        <w:t xml:space="preserve"> injection using the same injection technique. Extensive clinical and </w:t>
      </w:r>
      <w:r w:rsidR="006D3626">
        <w:t>post-marketing</w:t>
      </w:r>
      <w:r w:rsidRPr="00A04896">
        <w:t xml:space="preserve"> experience with PP1M indicates a low risk of IV administration with this product. Based on a cumulative review of </w:t>
      </w:r>
      <w:r w:rsidR="006D3626">
        <w:t>post-marketing</w:t>
      </w:r>
      <w:r w:rsidRPr="00A04896">
        <w:t xml:space="preserve"> data with PP1M (including an estimated 767,937 person-years of exposure, based on the 7,444,590 syringes of PP1M distributed worldwide from launch to 31 December 2014) only 11 cases of IV administration were reported. Furthermore, review of the cases involving an IV administration revealed no cases indicative of increased PP1M plasma levels.</w:t>
      </w:r>
    </w:p>
    <w:p w14:paraId="6A5A54D6" w14:textId="77777777" w:rsidR="00C1604D" w:rsidRDefault="00D044AE" w:rsidP="00D044AE">
      <w:r w:rsidRPr="0089769D">
        <w:t xml:space="preserve">In conclusion, the </w:t>
      </w:r>
      <w:r w:rsidR="005968B3">
        <w:t>sponsor</w:t>
      </w:r>
      <w:r w:rsidRPr="0089769D">
        <w:t xml:space="preserve"> does not consider dose dumping to be a safety concern for PP3M.</w:t>
      </w:r>
    </w:p>
    <w:p w14:paraId="26759067" w14:textId="77777777" w:rsidR="00A04896" w:rsidRPr="00A04896" w:rsidRDefault="00D044AE" w:rsidP="00A04896">
      <w:pPr>
        <w:rPr>
          <w:i/>
        </w:rPr>
      </w:pPr>
      <w:r w:rsidRPr="00A04896">
        <w:rPr>
          <w:i/>
        </w:rPr>
        <w:t xml:space="preserve">RMP </w:t>
      </w:r>
      <w:r w:rsidR="00186E45">
        <w:rPr>
          <w:i/>
        </w:rPr>
        <w:t>evaluator</w:t>
      </w:r>
      <w:r w:rsidRPr="00A04896">
        <w:rPr>
          <w:i/>
        </w:rPr>
        <w:t xml:space="preserve"> comment:</w:t>
      </w:r>
    </w:p>
    <w:p w14:paraId="07318029" w14:textId="77777777" w:rsidR="00C1604D" w:rsidRPr="00A04896" w:rsidRDefault="00D044AE" w:rsidP="00A04896">
      <w:r w:rsidRPr="00A04896">
        <w:t xml:space="preserve">This resolution of this issue is being undertaken by the </w:t>
      </w:r>
      <w:r w:rsidR="00154950" w:rsidRPr="00A04896">
        <w:t xml:space="preserve">clinical evaluation unit </w:t>
      </w:r>
      <w:r w:rsidRPr="00A04896">
        <w:t>(see comment for TGA recommendation 1, above).</w:t>
      </w:r>
    </w:p>
    <w:p w14:paraId="110E55FA" w14:textId="77777777" w:rsidR="00A04896" w:rsidRDefault="00A04896" w:rsidP="00A04896">
      <w:pPr>
        <w:pStyle w:val="Heading5"/>
      </w:pPr>
      <w:r>
        <w:lastRenderedPageBreak/>
        <w:t>TGA recommendation 6</w:t>
      </w:r>
    </w:p>
    <w:p w14:paraId="6E050A52" w14:textId="77777777" w:rsidR="00C1604D" w:rsidRPr="00A04896" w:rsidRDefault="00D044AE" w:rsidP="00A04896">
      <w:r w:rsidRPr="00A04896">
        <w:t xml:space="preserve">Introduction of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 xml:space="preserve">, a </w:t>
      </w:r>
      <w:r w:rsidR="005968B3">
        <w:t>3 monthly</w:t>
      </w:r>
      <w:r w:rsidRPr="00A04896">
        <w:t xml:space="preserve"> injectable antipsychotic, has the potential to substantially change the landscape of depot antipsychotic treatment in Australia.</w:t>
      </w:r>
      <w:r w:rsidR="00A04896" w:rsidRPr="00A04896">
        <w:t xml:space="preserve"> </w:t>
      </w:r>
      <w:r w:rsidRPr="00A04896">
        <w:t>Currently available depot products are typically administered fortnightly, or at most monthly.</w:t>
      </w:r>
      <w:r w:rsidR="00A04896" w:rsidRPr="00A04896">
        <w:t xml:space="preserve"> </w:t>
      </w:r>
      <w:r w:rsidRPr="00A04896">
        <w:t>Whilst the introduction of a longer acting product may have positive effects on medication compliance there are disadvantages to long term treatments including the inability to rapidly discontinue treatment in the setting of adverse events.</w:t>
      </w:r>
      <w:r w:rsidR="00A04896" w:rsidRPr="00A04896">
        <w:t xml:space="preserve"> </w:t>
      </w:r>
      <w:r w:rsidRPr="00A04896">
        <w:t xml:space="preserve">This issue importantly differentiates the </w:t>
      </w:r>
      <w:r w:rsidR="008D4FE3">
        <w:t xml:space="preserve">3 month </w:t>
      </w:r>
      <w:r w:rsidRPr="00A04896">
        <w:t>product from a safety perspective.</w:t>
      </w:r>
      <w:r w:rsidR="00A04896" w:rsidRPr="00A04896">
        <w:t xml:space="preserve"> </w:t>
      </w:r>
      <w:r w:rsidRPr="00A04896">
        <w:t>The sponsor should therefore justify the absence of specific pharmacovigilance activities to monitor this safety concern.</w:t>
      </w:r>
    </w:p>
    <w:p w14:paraId="5269D5F6" w14:textId="77777777" w:rsidR="00A04896" w:rsidRPr="00A04896" w:rsidRDefault="00D044AE" w:rsidP="00A04896">
      <w:pPr>
        <w:rPr>
          <w:i/>
        </w:rPr>
      </w:pPr>
      <w:r w:rsidRPr="00A04896">
        <w:rPr>
          <w:i/>
        </w:rPr>
        <w:t>Sponsor’s response:</w:t>
      </w:r>
    </w:p>
    <w:p w14:paraId="4142270B" w14:textId="77777777" w:rsidR="00D044AE" w:rsidRPr="00A04896" w:rsidRDefault="00D044AE" w:rsidP="00A04896">
      <w:r w:rsidRPr="00A04896">
        <w:t xml:space="preserve">As noted in the response to RMP Question 3, the </w:t>
      </w:r>
      <w:r w:rsidR="005968B3">
        <w:t>sponsor</w:t>
      </w:r>
      <w:r w:rsidRPr="00A04896">
        <w:t xml:space="preserve"> acknowledges it takes several months for </w:t>
      </w:r>
      <w:proofErr w:type="spellStart"/>
      <w:r w:rsidRPr="00A04896">
        <w:t>paliperidone</w:t>
      </w:r>
      <w:proofErr w:type="spellEnd"/>
      <w:r w:rsidRPr="00A04896">
        <w:t xml:space="preserve"> plasma concentrations to fall following discontinuation of PP3M. However, the </w:t>
      </w:r>
      <w:r w:rsidR="005968B3">
        <w:t>sponsor</w:t>
      </w:r>
      <w:r w:rsidRPr="00A04896">
        <w:t xml:space="preserve"> does not consider this to be a specific safety concern.</w:t>
      </w:r>
    </w:p>
    <w:p w14:paraId="21E0A152" w14:textId="7130DF50" w:rsidR="00D044AE" w:rsidRPr="00A04896" w:rsidRDefault="00D044AE" w:rsidP="00A04896">
      <w:r w:rsidRPr="00A04896">
        <w:t xml:space="preserve">The current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 xml:space="preserve"> PI requires that patients first receive treatment with PP1M for at least 4 months prior to converting to PP3M; this is considered a sufficient period in which to identify patients with intolerable side effects who may require treatment discontinuation. Thus, treatment discontinuation is most likely to occur during treatment with the shorter-acting PP1M, rather than with PP3M. The PI also contains several statements to highlight the long-acting nature of the product to prescrib</w:t>
      </w:r>
      <w:r w:rsidR="00EA33E5">
        <w:t>ers (see RMP </w:t>
      </w:r>
      <w:r w:rsidRPr="00A04896">
        <w:t>Question 3).</w:t>
      </w:r>
    </w:p>
    <w:p w14:paraId="419995D7" w14:textId="77777777" w:rsidR="00C1604D" w:rsidRDefault="00D044AE" w:rsidP="00D044AE">
      <w:r w:rsidRPr="0089769D">
        <w:t xml:space="preserve">Overall, the </w:t>
      </w:r>
      <w:r w:rsidR="005968B3">
        <w:t>sponsor</w:t>
      </w:r>
      <w:r w:rsidRPr="0089769D">
        <w:t xml:space="preserve"> considers the current guidance and warnings in the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89769D">
        <w:rPr>
          <w:w w:val="101"/>
        </w:rPr>
        <w:t xml:space="preserve"> </w:t>
      </w:r>
      <w:r w:rsidRPr="0089769D">
        <w:t>PI, along with routine pharmacovigilance, are sufficient to minimize and monitor any risks related to inability to rapidly discontinue treatment.</w:t>
      </w:r>
    </w:p>
    <w:p w14:paraId="3C1624C9" w14:textId="77777777" w:rsidR="00A04896" w:rsidRPr="00A04896" w:rsidRDefault="00D044AE" w:rsidP="00A04896">
      <w:pPr>
        <w:rPr>
          <w:i/>
        </w:rPr>
      </w:pPr>
      <w:r w:rsidRPr="00A04896">
        <w:rPr>
          <w:i/>
        </w:rPr>
        <w:t xml:space="preserve">RMP </w:t>
      </w:r>
      <w:r w:rsidR="00186E45">
        <w:rPr>
          <w:i/>
        </w:rPr>
        <w:t>evaluator</w:t>
      </w:r>
      <w:r w:rsidRPr="00A04896">
        <w:rPr>
          <w:i/>
        </w:rPr>
        <w:t xml:space="preserve"> comment:</w:t>
      </w:r>
    </w:p>
    <w:p w14:paraId="388DF807" w14:textId="77777777" w:rsidR="00C1604D" w:rsidRDefault="00D044AE" w:rsidP="00A04896">
      <w:pPr>
        <w:rPr>
          <w:lang w:eastAsia="en-AU"/>
        </w:rPr>
      </w:pPr>
      <w:r w:rsidRPr="00A04896">
        <w:t xml:space="preserve">See RMP </w:t>
      </w:r>
      <w:r w:rsidR="00186E45">
        <w:t>evaluator</w:t>
      </w:r>
      <w:r w:rsidRPr="00A04896">
        <w:t xml:space="preserve"> comment for TGA Recommendation 3</w:t>
      </w:r>
      <w:r w:rsidR="00154950">
        <w:t xml:space="preserve"> and outstanding issues.</w:t>
      </w:r>
    </w:p>
    <w:p w14:paraId="3971098C" w14:textId="77777777" w:rsidR="00A04896" w:rsidRDefault="00A04896" w:rsidP="00A04896">
      <w:pPr>
        <w:pStyle w:val="Heading5"/>
      </w:pPr>
      <w:r>
        <w:t>TGA recommendation 7</w:t>
      </w:r>
    </w:p>
    <w:p w14:paraId="40881401" w14:textId="77777777" w:rsidR="00D044AE" w:rsidRPr="00A04896" w:rsidRDefault="00D044AE" w:rsidP="00A04896">
      <w:r w:rsidRPr="00A04896">
        <w:t xml:space="preserve">In addition, the issue mentioned in section 7 regarding the cumulative effects of other anti-psychotics in the setting of an acute psychiatric episode on the background of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 xml:space="preserve"> treatment need consideration in terms of the pharmacovigilance plan.</w:t>
      </w:r>
    </w:p>
    <w:p w14:paraId="3F744387" w14:textId="77777777" w:rsidR="00A04896" w:rsidRPr="00A04896" w:rsidRDefault="00D044AE" w:rsidP="006F25B8">
      <w:pPr>
        <w:rPr>
          <w:i/>
        </w:rPr>
      </w:pPr>
      <w:r w:rsidRPr="00A04896">
        <w:rPr>
          <w:i/>
        </w:rPr>
        <w:t>Sponsor’s response:</w:t>
      </w:r>
    </w:p>
    <w:p w14:paraId="6A4F71B9" w14:textId="77777777" w:rsidR="00D044AE" w:rsidRDefault="00D044AE" w:rsidP="006F25B8">
      <w:pPr>
        <w:rPr>
          <w:lang w:eastAsia="en-AU"/>
        </w:rPr>
      </w:pPr>
      <w:r w:rsidRPr="0089769D">
        <w:t xml:space="preserve">As noted in the response to RMP Question 4, the </w:t>
      </w:r>
      <w:r w:rsidR="005968B3">
        <w:t>sponsor</w:t>
      </w:r>
      <w:r w:rsidRPr="0089769D">
        <w:t xml:space="preserve"> does not consider the effects of other antipsychotics to be a safety issue. Routine pharmacovigilance includes a detection system that is</w:t>
      </w:r>
      <w:r w:rsidRPr="0089769D">
        <w:rPr>
          <w:w w:val="101"/>
        </w:rPr>
        <w:t xml:space="preserve"> </w:t>
      </w:r>
      <w:r w:rsidRPr="0089769D">
        <w:t>reviewed monthly to capture any increase in reporting of individual adverse events. This would be adequate to pick up an issue with cumulative effects of other antipsychotics</w:t>
      </w:r>
    </w:p>
    <w:p w14:paraId="04CAC4B1" w14:textId="77777777" w:rsidR="00A04896" w:rsidRPr="00A04896" w:rsidRDefault="00A04896" w:rsidP="006F25B8">
      <w:pPr>
        <w:rPr>
          <w:rFonts w:asciiTheme="minorHAnsi" w:hAnsiTheme="minorHAnsi"/>
          <w:i/>
          <w:szCs w:val="20"/>
        </w:rPr>
      </w:pPr>
      <w:r w:rsidRPr="00A04896">
        <w:rPr>
          <w:rFonts w:asciiTheme="minorHAnsi" w:hAnsiTheme="minorHAnsi"/>
          <w:i/>
          <w:szCs w:val="20"/>
        </w:rPr>
        <w:t xml:space="preserve">RMP </w:t>
      </w:r>
      <w:r w:rsidR="00186E45">
        <w:rPr>
          <w:rFonts w:asciiTheme="minorHAnsi" w:hAnsiTheme="minorHAnsi"/>
          <w:i/>
          <w:szCs w:val="20"/>
        </w:rPr>
        <w:t>evaluator</w:t>
      </w:r>
      <w:r w:rsidRPr="00A04896">
        <w:rPr>
          <w:rFonts w:asciiTheme="minorHAnsi" w:hAnsiTheme="minorHAnsi"/>
          <w:i/>
          <w:szCs w:val="20"/>
        </w:rPr>
        <w:t xml:space="preserve"> comment:</w:t>
      </w:r>
    </w:p>
    <w:p w14:paraId="71E85ECA" w14:textId="77777777" w:rsidR="00D044AE" w:rsidRPr="00A04896" w:rsidRDefault="00D044AE" w:rsidP="006F25B8">
      <w:pPr>
        <w:rPr>
          <w:sz w:val="24"/>
          <w:lang w:eastAsia="en-AU"/>
        </w:rPr>
      </w:pPr>
      <w:r w:rsidRPr="00A04896">
        <w:rPr>
          <w:rFonts w:asciiTheme="minorHAnsi" w:hAnsiTheme="minorHAnsi"/>
          <w:szCs w:val="20"/>
        </w:rPr>
        <w:t xml:space="preserve">See RMP </w:t>
      </w:r>
      <w:r w:rsidR="00186E45">
        <w:rPr>
          <w:rFonts w:asciiTheme="minorHAnsi" w:hAnsiTheme="minorHAnsi"/>
          <w:szCs w:val="20"/>
        </w:rPr>
        <w:t>evaluator</w:t>
      </w:r>
      <w:r w:rsidRPr="00A04896">
        <w:rPr>
          <w:rFonts w:asciiTheme="minorHAnsi" w:hAnsiTheme="minorHAnsi"/>
          <w:szCs w:val="20"/>
        </w:rPr>
        <w:t xml:space="preserve"> comment for TGA Recommendation 4</w:t>
      </w:r>
    </w:p>
    <w:p w14:paraId="7A8956D4" w14:textId="77777777" w:rsidR="00A04896" w:rsidRDefault="00A04896" w:rsidP="00A04896">
      <w:pPr>
        <w:pStyle w:val="Heading5"/>
      </w:pPr>
      <w:r>
        <w:t>TGA recommendation 8</w:t>
      </w:r>
    </w:p>
    <w:p w14:paraId="01D4EF24" w14:textId="77777777" w:rsidR="00D044AE" w:rsidRPr="00A04896" w:rsidRDefault="00D044AE" w:rsidP="00A04896">
      <w:r w:rsidRPr="00A04896">
        <w:t>The long-term nature of the proposed treatment also has particular implications for women of childbearing age.</w:t>
      </w:r>
      <w:r w:rsidR="00A04896" w:rsidRPr="00A04896">
        <w:t xml:space="preserve"> </w:t>
      </w:r>
      <w:r w:rsidRPr="00A04896">
        <w:t xml:space="preserve">If pregnancy were to occur on treatment with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 xml:space="preserve"> (proposed Pregnancy Category C</w:t>
      </w:r>
      <w:r w:rsidR="00154950">
        <w:rPr>
          <w:rStyle w:val="FootnoteReference"/>
        </w:rPr>
        <w:footnoteReference w:id="10"/>
      </w:r>
      <w:r w:rsidRPr="00A04896">
        <w:t xml:space="preserve">) the options to change/discontinue therapy could be </w:t>
      </w:r>
      <w:r w:rsidRPr="00A04896">
        <w:lastRenderedPageBreak/>
        <w:t>quite limited for a substantial proportion of the pregnancy.</w:t>
      </w:r>
      <w:r w:rsidR="00A04896" w:rsidRPr="00A04896">
        <w:t xml:space="preserve"> </w:t>
      </w:r>
      <w:r w:rsidRPr="00A04896">
        <w:t>It is unclear how this risk will be monitored or minimised.</w:t>
      </w:r>
    </w:p>
    <w:p w14:paraId="60E6EFC0" w14:textId="77777777" w:rsidR="00A04896" w:rsidRPr="00A04896" w:rsidRDefault="00D044AE" w:rsidP="00A04896">
      <w:pPr>
        <w:rPr>
          <w:i/>
        </w:rPr>
      </w:pPr>
      <w:r w:rsidRPr="00A04896">
        <w:rPr>
          <w:i/>
        </w:rPr>
        <w:t>Sponsor’s response:</w:t>
      </w:r>
    </w:p>
    <w:p w14:paraId="16887105" w14:textId="77777777" w:rsidR="00D044AE" w:rsidRPr="00A04896" w:rsidRDefault="00D044AE" w:rsidP="00A04896">
      <w:r w:rsidRPr="00A04896">
        <w:t xml:space="preserve">As noted in the PI,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 xml:space="preserve"> should only be used during pregnancy if the benefits outweigh the risks. Pregnancy is not a contraindication for the use of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w:t>
      </w:r>
    </w:p>
    <w:p w14:paraId="0B649640" w14:textId="77777777" w:rsidR="00D044AE" w:rsidRPr="00A04896" w:rsidRDefault="00D044AE" w:rsidP="00A04896">
      <w:r w:rsidRPr="00A04896">
        <w:t xml:space="preserve">The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 xml:space="preserve"> PI does contain a specific statement within the </w:t>
      </w:r>
      <w:r w:rsidR="00154950" w:rsidRPr="00A04896">
        <w:t>p</w:t>
      </w:r>
      <w:r w:rsidRPr="00A04896">
        <w:t>regnancy se</w:t>
      </w:r>
      <w:r w:rsidR="00154950">
        <w:t xml:space="preserve">ction which highlights the long </w:t>
      </w:r>
      <w:r w:rsidRPr="00A04896">
        <w:t xml:space="preserve">acting nature of this product. The specific text is shown below (note that this text includes some revisions that were proposed by the </w:t>
      </w:r>
      <w:r w:rsidR="005968B3">
        <w:t>sponsor</w:t>
      </w:r>
      <w:r w:rsidRPr="00A04896">
        <w:t xml:space="preserve"> in response to </w:t>
      </w:r>
      <w:r w:rsidR="00154950" w:rsidRPr="00A04896">
        <w:t>evaluator’s comments within the nonclinical evaluation report</w:t>
      </w:r>
      <w:r w:rsidRPr="00A04896">
        <w:t>:</w:t>
      </w:r>
    </w:p>
    <w:p w14:paraId="2CE4C907" w14:textId="77777777" w:rsidR="00D044AE" w:rsidRPr="00154950" w:rsidRDefault="005968B3" w:rsidP="00154950">
      <w:pPr>
        <w:ind w:left="720"/>
        <w:rPr>
          <w:i/>
        </w:rPr>
      </w:pPr>
      <w:r w:rsidRPr="00154950">
        <w:rPr>
          <w:i/>
        </w:rPr>
        <w:t>‘</w:t>
      </w:r>
      <w:r w:rsidR="00D044AE" w:rsidRPr="00154950">
        <w:rPr>
          <w:i/>
        </w:rPr>
        <w:t xml:space="preserve">Since </w:t>
      </w:r>
      <w:proofErr w:type="spellStart"/>
      <w:r w:rsidR="00D044AE" w:rsidRPr="00154950">
        <w:rPr>
          <w:i/>
        </w:rPr>
        <w:t>paliperidone</w:t>
      </w:r>
      <w:proofErr w:type="spellEnd"/>
      <w:r w:rsidR="00D044AE" w:rsidRPr="00154950">
        <w:rPr>
          <w:i/>
        </w:rPr>
        <w:t xml:space="preserve"> has been detected in plasma</w:t>
      </w:r>
      <w:r w:rsidR="00154950">
        <w:rPr>
          <w:i/>
        </w:rPr>
        <w:t xml:space="preserve"> up to 18 months after a single </w:t>
      </w:r>
      <w:r w:rsidR="00D044AE" w:rsidRPr="00154950">
        <w:rPr>
          <w:i/>
        </w:rPr>
        <w:t xml:space="preserve">dose administration of </w:t>
      </w:r>
      <w:proofErr w:type="spellStart"/>
      <w:r w:rsidRPr="00154950">
        <w:rPr>
          <w:i/>
        </w:rPr>
        <w:t>Invega</w:t>
      </w:r>
      <w:proofErr w:type="spellEnd"/>
      <w:r w:rsidRPr="00154950">
        <w:rPr>
          <w:i/>
        </w:rPr>
        <w:t xml:space="preserve"> </w:t>
      </w:r>
      <w:proofErr w:type="spellStart"/>
      <w:r w:rsidRPr="00154950">
        <w:rPr>
          <w:i/>
        </w:rPr>
        <w:t>Trinza</w:t>
      </w:r>
      <w:proofErr w:type="spellEnd"/>
      <w:r w:rsidR="00D044AE" w:rsidRPr="00154950">
        <w:rPr>
          <w:i/>
        </w:rPr>
        <w:t xml:space="preserve">, consideration should be given to the long-acting nature of </w:t>
      </w:r>
      <w:proofErr w:type="spellStart"/>
      <w:r w:rsidRPr="00154950">
        <w:rPr>
          <w:i/>
        </w:rPr>
        <w:t>Invega</w:t>
      </w:r>
      <w:proofErr w:type="spellEnd"/>
      <w:r w:rsidRPr="00154950">
        <w:rPr>
          <w:i/>
        </w:rPr>
        <w:t xml:space="preserve"> </w:t>
      </w:r>
      <w:proofErr w:type="spellStart"/>
      <w:r w:rsidRPr="00154950">
        <w:rPr>
          <w:i/>
        </w:rPr>
        <w:t>Trinza</w:t>
      </w:r>
      <w:proofErr w:type="spellEnd"/>
      <w:r w:rsidR="00D044AE" w:rsidRPr="00154950">
        <w:rPr>
          <w:i/>
        </w:rPr>
        <w:t xml:space="preserve"> as maternal exposure to </w:t>
      </w:r>
      <w:proofErr w:type="spellStart"/>
      <w:r w:rsidRPr="00154950">
        <w:rPr>
          <w:i/>
        </w:rPr>
        <w:t>Invega</w:t>
      </w:r>
      <w:proofErr w:type="spellEnd"/>
      <w:r w:rsidRPr="00154950">
        <w:rPr>
          <w:i/>
        </w:rPr>
        <w:t xml:space="preserve"> </w:t>
      </w:r>
      <w:proofErr w:type="spellStart"/>
      <w:r w:rsidRPr="00154950">
        <w:rPr>
          <w:i/>
        </w:rPr>
        <w:t>Trinza</w:t>
      </w:r>
      <w:proofErr w:type="spellEnd"/>
      <w:r w:rsidR="00D044AE" w:rsidRPr="00154950">
        <w:rPr>
          <w:i/>
        </w:rPr>
        <w:t xml:space="preserve"> before or during pregnancy may lead to adverse reactions in the newborn child.</w:t>
      </w:r>
      <w:r w:rsidRPr="00154950">
        <w:rPr>
          <w:i/>
        </w:rPr>
        <w:t>’</w:t>
      </w:r>
    </w:p>
    <w:p w14:paraId="6000D8B9" w14:textId="77777777" w:rsidR="00D044AE" w:rsidRPr="00A04896" w:rsidRDefault="00D044AE" w:rsidP="00A04896">
      <w:r w:rsidRPr="00A04896">
        <w:t xml:space="preserve">The </w:t>
      </w:r>
      <w:r w:rsidR="005968B3">
        <w:t>sponsor</w:t>
      </w:r>
      <w:r w:rsidRPr="00A04896">
        <w:t xml:space="preserve"> considers this statement to be a sufficient warning to prescribers who are considering t</w:t>
      </w:r>
      <w:r w:rsidR="00154950">
        <w:t xml:space="preserve">he use PP3M in a woman of child </w:t>
      </w:r>
      <w:r w:rsidRPr="00A04896">
        <w:t>bearing potential.</w:t>
      </w:r>
    </w:p>
    <w:p w14:paraId="1B87207A" w14:textId="77777777" w:rsidR="00A04896" w:rsidRPr="00A04896" w:rsidRDefault="00D044AE" w:rsidP="00A04896">
      <w:pPr>
        <w:rPr>
          <w:i/>
        </w:rPr>
      </w:pPr>
      <w:r w:rsidRPr="00A04896">
        <w:rPr>
          <w:i/>
        </w:rPr>
        <w:t xml:space="preserve">RMP </w:t>
      </w:r>
      <w:r w:rsidR="00186E45">
        <w:rPr>
          <w:i/>
        </w:rPr>
        <w:t>evaluator</w:t>
      </w:r>
      <w:r w:rsidRPr="00A04896">
        <w:rPr>
          <w:i/>
        </w:rPr>
        <w:t xml:space="preserve"> comment:</w:t>
      </w:r>
    </w:p>
    <w:p w14:paraId="29F5B80C" w14:textId="77777777" w:rsidR="00D044AE" w:rsidRPr="00A04896" w:rsidRDefault="00D044AE" w:rsidP="00A04896">
      <w:r w:rsidRPr="00A04896">
        <w:t xml:space="preserve">The proposed PI statements to minimise risk in pregnancy are generally considered appropriate. The lack of teratogenicity in animal studies with </w:t>
      </w:r>
      <w:proofErr w:type="spellStart"/>
      <w:r w:rsidRPr="00A04896">
        <w:t>paliperidone</w:t>
      </w:r>
      <w:proofErr w:type="spellEnd"/>
      <w:r w:rsidRPr="00A04896">
        <w:t xml:space="preserve"> and risperidone allay some of the concerns regarding exposure in the first trimester.</w:t>
      </w:r>
    </w:p>
    <w:p w14:paraId="52A26206" w14:textId="77777777" w:rsidR="00A04896" w:rsidRDefault="00D044AE" w:rsidP="00A04896">
      <w:pPr>
        <w:pStyle w:val="Heading5"/>
      </w:pPr>
      <w:r w:rsidRPr="00A71607">
        <w:t>TGA recom</w:t>
      </w:r>
      <w:r w:rsidR="00A04896">
        <w:t>mendation 9</w:t>
      </w:r>
    </w:p>
    <w:p w14:paraId="3A976CD4" w14:textId="77777777" w:rsidR="007F742D" w:rsidRDefault="00D044AE" w:rsidP="00A04896">
      <w:r w:rsidRPr="00A04896">
        <w:t>Advice will be sought from the Advisory Committee on the Safety of Medicines (ACSOM) regarding the capability of the pharmacovigilance pla</w:t>
      </w:r>
      <w:r w:rsidR="00154950">
        <w:t xml:space="preserve">n to monitor the safety of real </w:t>
      </w:r>
      <w:r w:rsidRPr="00A04896">
        <w:t>world use of this product in Australia given the issues raised above</w:t>
      </w:r>
      <w:r w:rsidR="007F742D">
        <w:t>.</w:t>
      </w:r>
    </w:p>
    <w:p w14:paraId="5E36C307" w14:textId="77777777" w:rsidR="00A04896" w:rsidRPr="00A04896" w:rsidRDefault="00D044AE" w:rsidP="00A04896">
      <w:pPr>
        <w:rPr>
          <w:i/>
        </w:rPr>
      </w:pPr>
      <w:r w:rsidRPr="00A04896">
        <w:rPr>
          <w:i/>
        </w:rPr>
        <w:t>Sponsor’s response:</w:t>
      </w:r>
    </w:p>
    <w:p w14:paraId="75E4BE5A" w14:textId="77777777" w:rsidR="00D044AE" w:rsidRPr="00A04896" w:rsidRDefault="00D044AE" w:rsidP="00A04896">
      <w:r w:rsidRPr="00A04896">
        <w:t>Janssen has made note of this commen</w:t>
      </w:r>
      <w:r w:rsidR="00A04896" w:rsidRPr="00A04896">
        <w:t>t</w:t>
      </w:r>
    </w:p>
    <w:p w14:paraId="63678897" w14:textId="77777777" w:rsidR="00A04896" w:rsidRPr="00A04896" w:rsidRDefault="00D044AE" w:rsidP="00A04896">
      <w:pPr>
        <w:rPr>
          <w:i/>
        </w:rPr>
      </w:pPr>
      <w:r w:rsidRPr="00A04896">
        <w:rPr>
          <w:i/>
        </w:rPr>
        <w:t xml:space="preserve">RMP </w:t>
      </w:r>
      <w:r w:rsidR="00186E45">
        <w:rPr>
          <w:i/>
        </w:rPr>
        <w:t>evaluator</w:t>
      </w:r>
      <w:r w:rsidRPr="00A04896">
        <w:rPr>
          <w:i/>
        </w:rPr>
        <w:t xml:space="preserve"> comment:</w:t>
      </w:r>
    </w:p>
    <w:p w14:paraId="15EFF97A" w14:textId="77777777" w:rsidR="00D044AE" w:rsidRPr="00A04896" w:rsidRDefault="00D044AE" w:rsidP="00A04896">
      <w:r w:rsidRPr="00A04896">
        <w:t xml:space="preserve">The ACSOM </w:t>
      </w:r>
      <w:r w:rsidRPr="00154950">
        <w:t xml:space="preserve">advice is discussed </w:t>
      </w:r>
      <w:r w:rsidR="00154950" w:rsidRPr="00154950">
        <w:t>below</w:t>
      </w:r>
    </w:p>
    <w:p w14:paraId="32427106" w14:textId="77777777" w:rsidR="00A04896" w:rsidRDefault="00A04896" w:rsidP="00A04896">
      <w:pPr>
        <w:pStyle w:val="Heading5"/>
        <w:rPr>
          <w:rFonts w:cstheme="majorHAnsi"/>
          <w:color w:val="000000"/>
        </w:rPr>
      </w:pPr>
      <w:r>
        <w:t>TGA recommendation 10</w:t>
      </w:r>
    </w:p>
    <w:p w14:paraId="39F6B365" w14:textId="77777777" w:rsidR="00D044AE" w:rsidRPr="00A04896" w:rsidRDefault="00D044AE" w:rsidP="00A04896">
      <w:r w:rsidRPr="00A04896">
        <w:t xml:space="preserve">Advice will be sought from the ACSOM regarding the sufficiency of the risk minimisation plan to mitigate risks associated with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w:t>
      </w:r>
      <w:r w:rsidR="00A04896" w:rsidRPr="00A04896">
        <w:t xml:space="preserve"> </w:t>
      </w:r>
      <w:r w:rsidRPr="00A04896">
        <w:t xml:space="preserve">Specifically, advice will be sought regarding the adequacy of routine risk minimisation activities to mitigate safety issues relating to the </w:t>
      </w:r>
      <w:r w:rsidR="008D4FE3">
        <w:t xml:space="preserve">3 month </w:t>
      </w:r>
      <w:r w:rsidRPr="00A04896">
        <w:t>fo</w:t>
      </w:r>
      <w:r w:rsidR="00186E45">
        <w:t>rmulation in clinical practice.</w:t>
      </w:r>
    </w:p>
    <w:p w14:paraId="484CF6B8" w14:textId="77777777" w:rsidR="00A04896" w:rsidRPr="00A04896" w:rsidRDefault="00A04896" w:rsidP="00A04896">
      <w:pPr>
        <w:rPr>
          <w:i/>
        </w:rPr>
      </w:pPr>
      <w:r w:rsidRPr="00A04896">
        <w:rPr>
          <w:i/>
        </w:rPr>
        <w:t>Sponsor’s response:</w:t>
      </w:r>
    </w:p>
    <w:p w14:paraId="4BA1C031" w14:textId="77777777" w:rsidR="00D044AE" w:rsidRPr="00A04896" w:rsidRDefault="00D044AE" w:rsidP="00A04896">
      <w:r w:rsidRPr="00A04896">
        <w:t>Janssen has made note of this comment.</w:t>
      </w:r>
    </w:p>
    <w:p w14:paraId="1756FF5B" w14:textId="77777777" w:rsidR="00A04896" w:rsidRPr="00A04896" w:rsidRDefault="00A04896" w:rsidP="00A04896">
      <w:pPr>
        <w:rPr>
          <w:i/>
        </w:rPr>
      </w:pPr>
      <w:r w:rsidRPr="00A04896">
        <w:rPr>
          <w:i/>
        </w:rPr>
        <w:t xml:space="preserve">RMP </w:t>
      </w:r>
      <w:r w:rsidR="00186E45">
        <w:rPr>
          <w:i/>
        </w:rPr>
        <w:t>evaluator</w:t>
      </w:r>
      <w:r w:rsidRPr="00A04896">
        <w:rPr>
          <w:i/>
        </w:rPr>
        <w:t xml:space="preserve"> comment</w:t>
      </w:r>
      <w:r>
        <w:rPr>
          <w:i/>
        </w:rPr>
        <w:t>:</w:t>
      </w:r>
    </w:p>
    <w:p w14:paraId="7F8EFA94" w14:textId="77777777" w:rsidR="00A04896" w:rsidRDefault="00D044AE" w:rsidP="006F25B8">
      <w:r w:rsidRPr="00A04896">
        <w:t xml:space="preserve">The ACSOM advice </w:t>
      </w:r>
      <w:r w:rsidRPr="00186E45">
        <w:t xml:space="preserve">is discussed </w:t>
      </w:r>
      <w:r w:rsidR="00186E45" w:rsidRPr="00186E45">
        <w:t>below</w:t>
      </w:r>
      <w:r w:rsidR="00186E45">
        <w:t>.</w:t>
      </w:r>
    </w:p>
    <w:p w14:paraId="2B300CA2" w14:textId="77777777" w:rsidR="00A04896" w:rsidRPr="00A04896" w:rsidRDefault="00A04896" w:rsidP="00A04896">
      <w:pPr>
        <w:pStyle w:val="Heading5"/>
        <w:rPr>
          <w:szCs w:val="22"/>
        </w:rPr>
      </w:pPr>
      <w:r>
        <w:t>TGA recommendation 11</w:t>
      </w:r>
    </w:p>
    <w:p w14:paraId="6D6168E8" w14:textId="77777777" w:rsidR="00D044AE" w:rsidRPr="00A04896" w:rsidRDefault="00D044AE" w:rsidP="00A04896">
      <w:r w:rsidRPr="00A04896">
        <w:t xml:space="preserve">The sponsor should justify the absence of an educational program to cover topics including but not limited to appropriate patient selection, injection technique, missed doses, re-initiation and safe use of the </w:t>
      </w:r>
      <w:r w:rsidR="008D4FE3">
        <w:t xml:space="preserve">3 month </w:t>
      </w:r>
      <w:r w:rsidRPr="00A04896">
        <w:t>product.</w:t>
      </w:r>
    </w:p>
    <w:p w14:paraId="4D02861D" w14:textId="77777777" w:rsidR="00A04896" w:rsidRPr="00A04896" w:rsidRDefault="00D044AE" w:rsidP="00A04896">
      <w:pPr>
        <w:rPr>
          <w:i/>
        </w:rPr>
      </w:pPr>
      <w:r w:rsidRPr="00A04896">
        <w:rPr>
          <w:i/>
        </w:rPr>
        <w:t>Sponsor’s response:</w:t>
      </w:r>
    </w:p>
    <w:p w14:paraId="74DFEDDC" w14:textId="77777777" w:rsidR="00D044AE" w:rsidRPr="00A04896" w:rsidRDefault="00D044AE" w:rsidP="00A04896">
      <w:r w:rsidRPr="00A04896">
        <w:t xml:space="preserve">Education on the above mentioned topics is considered to be part of the preparation for product introduction to market in Australia, and not as part of a formal educational program detailed in the RMP/ASA for additional risk minimisation. This is considered by </w:t>
      </w:r>
      <w:r w:rsidRPr="00A04896">
        <w:lastRenderedPageBreak/>
        <w:t xml:space="preserve">the </w:t>
      </w:r>
      <w:r w:rsidR="005968B3">
        <w:t>sponsor</w:t>
      </w:r>
      <w:r w:rsidRPr="00A04896">
        <w:t xml:space="preserve"> to be adequate at this time to help ensure safe and effective use of the product.</w:t>
      </w:r>
    </w:p>
    <w:p w14:paraId="4DB4FD45" w14:textId="77777777" w:rsidR="00A04896" w:rsidRPr="00A04896" w:rsidRDefault="00D044AE" w:rsidP="00A04896">
      <w:pPr>
        <w:rPr>
          <w:i/>
        </w:rPr>
      </w:pPr>
      <w:r w:rsidRPr="00A04896">
        <w:rPr>
          <w:i/>
        </w:rPr>
        <w:t xml:space="preserve">RMP </w:t>
      </w:r>
      <w:r w:rsidR="00186E45">
        <w:rPr>
          <w:i/>
        </w:rPr>
        <w:t>evaluator</w:t>
      </w:r>
      <w:r w:rsidRPr="00A04896">
        <w:rPr>
          <w:i/>
        </w:rPr>
        <w:t xml:space="preserve"> comment:</w:t>
      </w:r>
    </w:p>
    <w:p w14:paraId="33650CB8" w14:textId="77777777" w:rsidR="00D044AE" w:rsidRPr="00A04896" w:rsidRDefault="00D044AE" w:rsidP="00A04896">
      <w:r w:rsidRPr="00A04896">
        <w:t>See</w:t>
      </w:r>
      <w:r w:rsidR="00186E45">
        <w:t xml:space="preserve"> evaluation of</w:t>
      </w:r>
      <w:r w:rsidRPr="00A04896">
        <w:t xml:space="preserve"> response to TGA recommendations 13 and 14, below.</w:t>
      </w:r>
    </w:p>
    <w:p w14:paraId="46A5C1B7" w14:textId="77777777" w:rsidR="00A04896" w:rsidRDefault="00A04896" w:rsidP="00A04896">
      <w:pPr>
        <w:pStyle w:val="Heading5"/>
      </w:pPr>
      <w:r>
        <w:t>TGA recommendation 12</w:t>
      </w:r>
    </w:p>
    <w:p w14:paraId="60055F46" w14:textId="77777777" w:rsidR="00D044AE" w:rsidRPr="00A04896" w:rsidRDefault="00D044AE" w:rsidP="00A04896">
      <w:r w:rsidRPr="00A04896">
        <w:t xml:space="preserve">One proposed trade name for this product is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w:t>
      </w:r>
      <w:r w:rsidR="00A04896" w:rsidRPr="00A04896">
        <w:t xml:space="preserve"> </w:t>
      </w:r>
      <w:r w:rsidRPr="00A04896">
        <w:t xml:space="preserve">The registered once monthly injectable product is named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A04896">
        <w:t>.</w:t>
      </w:r>
      <w:r w:rsidR="00A04896" w:rsidRPr="00A04896">
        <w:t xml:space="preserve"> </w:t>
      </w:r>
      <w:r w:rsidRPr="00A04896">
        <w:t>The sponsor should explain what measures, other than the name and packaging differences, are being taken in Australia to minimise the risk of inadvertently switching products as it is likely that both formulations will be stocked in mental health formularies.</w:t>
      </w:r>
    </w:p>
    <w:p w14:paraId="4924D972" w14:textId="77777777" w:rsidR="00A04896" w:rsidRPr="00A04896" w:rsidRDefault="00D044AE" w:rsidP="00A04896">
      <w:pPr>
        <w:rPr>
          <w:i/>
        </w:rPr>
      </w:pPr>
      <w:r w:rsidRPr="00A04896">
        <w:rPr>
          <w:i/>
        </w:rPr>
        <w:t>Sponsor’s response:</w:t>
      </w:r>
    </w:p>
    <w:p w14:paraId="25B6BC2A" w14:textId="77777777" w:rsidR="00D044AE" w:rsidRPr="00A04896" w:rsidRDefault="00186E45" w:rsidP="00A04896">
      <w:r>
        <w:t>As discussed in the RMP</w:t>
      </w:r>
      <w:r w:rsidR="00D044AE" w:rsidRPr="00A04896">
        <w:t xml:space="preserve"> and summarized below, the </w:t>
      </w:r>
      <w:r w:rsidR="005968B3">
        <w:t>sponsor</w:t>
      </w:r>
      <w:r w:rsidR="00D044AE" w:rsidRPr="00A04896">
        <w:t xml:space="preserve"> has taken several measures to prevent inadvertent switching between the </w:t>
      </w:r>
      <w:r w:rsidR="008D4FE3">
        <w:t>1 month</w:t>
      </w:r>
      <w:r w:rsidR="00D044AE" w:rsidRPr="00A04896">
        <w:t xml:space="preserve"> and </w:t>
      </w:r>
      <w:r w:rsidR="008D4FE3">
        <w:t xml:space="preserve">3 month </w:t>
      </w:r>
      <w:r w:rsidR="00D044AE" w:rsidRPr="00A04896">
        <w:t>products.</w:t>
      </w:r>
    </w:p>
    <w:p w14:paraId="6E5D5140" w14:textId="77777777" w:rsidR="00D044AE" w:rsidRPr="00A04896" w:rsidRDefault="00D044AE" w:rsidP="00A04896">
      <w:r w:rsidRPr="00A04896">
        <w:t xml:space="preserve">Appropriate labelling and packaging artwork has been developed to differentiate </w:t>
      </w:r>
      <w:proofErr w:type="spellStart"/>
      <w:r w:rsidR="00186E45">
        <w:t>Invega</w:t>
      </w:r>
      <w:proofErr w:type="spellEnd"/>
      <w:r w:rsidR="00186E45">
        <w:t> </w:t>
      </w:r>
      <w:proofErr w:type="spellStart"/>
      <w:r w:rsidR="005968B3" w:rsidRPr="00A04896">
        <w:t>Sustenna</w:t>
      </w:r>
      <w:proofErr w:type="spellEnd"/>
      <w:r w:rsidRPr="00A04896">
        <w:t xml:space="preserve"> and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 xml:space="preserve"> to reduce the chance that an error confusing these products will occur during any phase of the medication use process. Different design and </w:t>
      </w:r>
      <w:r w:rsidR="00186E45" w:rsidRPr="00A04896">
        <w:t>colours</w:t>
      </w:r>
      <w:r w:rsidRPr="00A04896">
        <w:t xml:space="preserve"> have been used for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 xml:space="preserve"> </w:t>
      </w:r>
      <w:r w:rsidR="00186E45">
        <w:t>versus</w:t>
      </w:r>
      <w:r w:rsidRPr="00A04896">
        <w:t xml:space="preserve">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A04896">
        <w:t>.</w:t>
      </w:r>
    </w:p>
    <w:p w14:paraId="0D02F4B9" w14:textId="77777777" w:rsidR="00D044AE" w:rsidRPr="00A04896" w:rsidRDefault="00D044AE" w:rsidP="00A04896">
      <w:r w:rsidRPr="00A04896">
        <w:t xml:space="preserve">The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 xml:space="preserve"> dosage strength is presented in large and BOLD font on the outer carton and is also clearly stated on the syringe label. The </w:t>
      </w:r>
      <w:r w:rsidR="00186E45" w:rsidRPr="00A04896">
        <w:t>colour</w:t>
      </w:r>
      <w:r w:rsidRPr="00A04896">
        <w:t xml:space="preserve"> coding per strength is carried through the packaging component hierarchy. Additional risk management labelling measures for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 xml:space="preserve"> are as follows:</w:t>
      </w:r>
    </w:p>
    <w:p w14:paraId="4573030C" w14:textId="77777777" w:rsidR="00D044AE" w:rsidRPr="00A04896" w:rsidRDefault="00D044AE" w:rsidP="00A04896">
      <w:pPr>
        <w:pStyle w:val="ListBullet"/>
      </w:pPr>
      <w:r w:rsidRPr="00A04896">
        <w:t xml:space="preserve">The instructions to </w:t>
      </w:r>
      <w:r w:rsidR="00186E45">
        <w:t>‘</w:t>
      </w:r>
      <w:r w:rsidRPr="00A04896">
        <w:t>Administer once every 3 months</w:t>
      </w:r>
      <w:r w:rsidR="00186E45">
        <w:t>’</w:t>
      </w:r>
      <w:r w:rsidRPr="00A04896">
        <w:t xml:space="preserve"> with pictogram and </w:t>
      </w:r>
      <w:r w:rsidR="00186E45">
        <w:t>‘</w:t>
      </w:r>
      <w:r w:rsidRPr="00A04896">
        <w:t>Shake syringe vigorously for at least 15 seconds</w:t>
      </w:r>
      <w:r w:rsidR="005968B3">
        <w:t>’</w:t>
      </w:r>
      <w:r w:rsidRPr="00A04896">
        <w:t xml:space="preserve"> with pictogram have been added to the outer carton.</w:t>
      </w:r>
    </w:p>
    <w:p w14:paraId="6848B2C8" w14:textId="77777777" w:rsidR="00D044AE" w:rsidRPr="00A04896" w:rsidRDefault="00D044AE" w:rsidP="00A04896">
      <w:pPr>
        <w:pStyle w:val="ListBullet"/>
      </w:pPr>
      <w:r w:rsidRPr="00A04896">
        <w:t xml:space="preserve">The instruction </w:t>
      </w:r>
      <w:r w:rsidR="005968B3">
        <w:t>‘</w:t>
      </w:r>
      <w:r w:rsidRPr="00A04896">
        <w:t>shake vigorously</w:t>
      </w:r>
      <w:r w:rsidR="005968B3">
        <w:t>’</w:t>
      </w:r>
      <w:r w:rsidRPr="00A04896">
        <w:t xml:space="preserve"> with pictogram is added to the syringe label.</w:t>
      </w:r>
    </w:p>
    <w:p w14:paraId="47FF912D" w14:textId="77777777" w:rsidR="00D044AE" w:rsidRPr="00A04896" w:rsidRDefault="00D044AE" w:rsidP="00A04896">
      <w:pPr>
        <w:pStyle w:val="ListBullet"/>
      </w:pPr>
      <w:r w:rsidRPr="00A04896">
        <w:t xml:space="preserve">The </w:t>
      </w:r>
      <w:r w:rsidR="00186E45">
        <w:t>i</w:t>
      </w:r>
      <w:r w:rsidRPr="00A04896">
        <w:t xml:space="preserve">nformation intended for medical or health care professionals (IFU) contains the same pictograms for </w:t>
      </w:r>
      <w:r w:rsidR="00186E45">
        <w:t>‘</w:t>
      </w:r>
      <w:r w:rsidRPr="00A04896">
        <w:t>Shake syringe vigorously for at least 15 seconds</w:t>
      </w:r>
      <w:r w:rsidR="00186E45">
        <w:t>’</w:t>
      </w:r>
      <w:r w:rsidRPr="00A04896">
        <w:t xml:space="preserve"> and </w:t>
      </w:r>
      <w:r w:rsidR="00186E45">
        <w:t>‘</w:t>
      </w:r>
      <w:r w:rsidRPr="00A04896">
        <w:t>Administer once every 3 months</w:t>
      </w:r>
      <w:r w:rsidR="005968B3">
        <w:t>’</w:t>
      </w:r>
      <w:r w:rsidRPr="00A04896">
        <w:t xml:space="preserve"> as depicted on the syringe label and outer carton and enhances the link with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w:t>
      </w:r>
    </w:p>
    <w:p w14:paraId="3271421E" w14:textId="77777777" w:rsidR="00D044AE" w:rsidRPr="00A04896" w:rsidRDefault="00D044AE" w:rsidP="00A04896">
      <w:r w:rsidRPr="00A04896">
        <w:t>Besides the differentiation of the packaging and syringe label, differentiation is also obtained by selection of the name. The results from a Failure Mode and Effect Analysis (FMEA) looking at mix-up risk based on inputs from 100 European healthcare professionals considered the use of a qualifier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 xml:space="preserve">) as the clearest approach for identifying and differentiating the proposed </w:t>
      </w:r>
      <w:r w:rsidR="008D4FE3">
        <w:t xml:space="preserve">3 month </w:t>
      </w:r>
      <w:proofErr w:type="spellStart"/>
      <w:r w:rsidRPr="00A04896">
        <w:t>paliperidone</w:t>
      </w:r>
      <w:proofErr w:type="spellEnd"/>
      <w:r w:rsidRPr="00A04896">
        <w:t xml:space="preserve"> palmitate formulation from the </w:t>
      </w:r>
      <w:r w:rsidR="008D4FE3">
        <w:t>1 month</w:t>
      </w:r>
      <w:r w:rsidRPr="00A04896">
        <w:t xml:space="preserve"> formulation, such that in prescription communications practitioners will have an additional piece of information (the qualifier), in addition to the distinctive strength of </w:t>
      </w:r>
      <w:r w:rsidR="008D4FE3">
        <w:t xml:space="preserve">3 month </w:t>
      </w:r>
      <w:proofErr w:type="spellStart"/>
      <w:r w:rsidRPr="00A04896">
        <w:t>paliperidone</w:t>
      </w:r>
      <w:proofErr w:type="spellEnd"/>
      <w:r w:rsidRPr="00A04896">
        <w:t xml:space="preserve"> palmitate, in order to correctly identify the product and help protect against confusion with the once every month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A04896">
        <w:t>.</w:t>
      </w:r>
    </w:p>
    <w:p w14:paraId="3E02396A" w14:textId="77777777" w:rsidR="00D044AE" w:rsidRPr="00A04896" w:rsidRDefault="00D044AE" w:rsidP="00A04896">
      <w:proofErr w:type="gramStart"/>
      <w:r w:rsidRPr="00A04896">
        <w:t>Both</w:t>
      </w:r>
      <w:r w:rsidR="00A04896" w:rsidRPr="00A04896">
        <w:t xml:space="preserve"> </w:t>
      </w:r>
      <w:r w:rsidRPr="00A04896">
        <w:t>the</w:t>
      </w:r>
      <w:proofErr w:type="gramEnd"/>
      <w:r w:rsidR="00A04896" w:rsidRPr="00A04896">
        <w:t xml:space="preserve"> </w:t>
      </w:r>
      <w:r w:rsidRPr="00A04896">
        <w:t>qualifier</w:t>
      </w:r>
      <w:r w:rsidR="00A04896" w:rsidRPr="00A04896">
        <w:t xml:space="preserve"> </w:t>
      </w:r>
      <w:r w:rsidRPr="00A04896">
        <w:t>naming</w:t>
      </w:r>
      <w:r w:rsidR="00A04896" w:rsidRPr="00A04896">
        <w:t xml:space="preserve"> </w:t>
      </w:r>
      <w:r w:rsidRPr="00A04896">
        <w:t>strategy</w:t>
      </w:r>
      <w:r w:rsidR="00A04896" w:rsidRPr="00A04896">
        <w:t xml:space="preserve"> </w:t>
      </w:r>
      <w:r w:rsidRPr="00A04896">
        <w:t>and</w:t>
      </w:r>
      <w:r w:rsidR="00A04896" w:rsidRPr="00A04896">
        <w:t xml:space="preserve"> </w:t>
      </w:r>
      <w:r w:rsidRPr="00A04896">
        <w:t>the</w:t>
      </w:r>
      <w:r w:rsidR="00A04896" w:rsidRPr="00A04896">
        <w:t xml:space="preserve"> </w:t>
      </w:r>
      <w:r w:rsidRPr="00A04896">
        <w:t>differentiated</w:t>
      </w:r>
      <w:r w:rsidR="00A04896" w:rsidRPr="00A04896">
        <w:t xml:space="preserve"> </w:t>
      </w:r>
      <w:r w:rsidR="00186E45" w:rsidRPr="00A04896">
        <w:t>labelling</w:t>
      </w:r>
      <w:r w:rsidR="00A04896" w:rsidRPr="00A04896">
        <w:t xml:space="preserve"> </w:t>
      </w:r>
      <w:r w:rsidRPr="00A04896">
        <w:t>as</w:t>
      </w:r>
      <w:r w:rsidR="00A04896" w:rsidRPr="00A04896">
        <w:t xml:space="preserve"> </w:t>
      </w:r>
      <w:r w:rsidRPr="00A04896">
        <w:t>well</w:t>
      </w:r>
      <w:r w:rsidR="00A04896" w:rsidRPr="00A04896">
        <w:t xml:space="preserve"> </w:t>
      </w:r>
      <w:r w:rsidRPr="00A04896">
        <w:t>as</w:t>
      </w:r>
      <w:r w:rsidR="00A04896" w:rsidRPr="00A04896">
        <w:t xml:space="preserve"> </w:t>
      </w:r>
      <w:r w:rsidRPr="00A04896">
        <w:t>packaging</w:t>
      </w:r>
      <w:r w:rsidR="00A04896" w:rsidRPr="00A04896">
        <w:t xml:space="preserve"> </w:t>
      </w:r>
      <w:r w:rsidRPr="00A04896">
        <w:t>will facilitate</w:t>
      </w:r>
      <w:r w:rsidR="00A04896" w:rsidRPr="00A04896">
        <w:t xml:space="preserve"> </w:t>
      </w:r>
      <w:r w:rsidRPr="00A04896">
        <w:t>correct</w:t>
      </w:r>
      <w:r w:rsidR="00A04896" w:rsidRPr="00A04896">
        <w:t xml:space="preserve"> </w:t>
      </w:r>
      <w:r w:rsidRPr="00A04896">
        <w:t>interpretation</w:t>
      </w:r>
      <w:r w:rsidR="00A04896" w:rsidRPr="00A04896">
        <w:t xml:space="preserve"> </w:t>
      </w:r>
      <w:r w:rsidRPr="00A04896">
        <w:t>of</w:t>
      </w:r>
      <w:r w:rsidR="00A04896" w:rsidRPr="00A04896">
        <w:t xml:space="preserve"> </w:t>
      </w:r>
      <w:r w:rsidRPr="00A04896">
        <w:t>the</w:t>
      </w:r>
      <w:r w:rsidR="00A04896" w:rsidRPr="00A04896">
        <w:t xml:space="preserve"> </w:t>
      </w:r>
      <w:r w:rsidRPr="00A04896">
        <w:t>prescription</w:t>
      </w:r>
      <w:r w:rsidR="00A04896" w:rsidRPr="00A04896">
        <w:t xml:space="preserve"> </w:t>
      </w:r>
      <w:r w:rsidRPr="00A04896">
        <w:t>and</w:t>
      </w:r>
      <w:r w:rsidR="00A04896" w:rsidRPr="00A04896">
        <w:t xml:space="preserve"> </w:t>
      </w:r>
      <w:r w:rsidRPr="00A04896">
        <w:t>product</w:t>
      </w:r>
      <w:r w:rsidR="00A04896" w:rsidRPr="00A04896">
        <w:t xml:space="preserve"> </w:t>
      </w:r>
      <w:r w:rsidRPr="00A04896">
        <w:t>selection</w:t>
      </w:r>
      <w:r w:rsidR="00A04896" w:rsidRPr="00A04896">
        <w:t xml:space="preserve"> </w:t>
      </w:r>
      <w:r w:rsidRPr="00A04896">
        <w:t>from</w:t>
      </w:r>
      <w:r w:rsidR="00A04896" w:rsidRPr="00A04896">
        <w:t xml:space="preserve"> </w:t>
      </w:r>
      <w:r w:rsidRPr="00A04896">
        <w:t>dispensing</w:t>
      </w:r>
      <w:r w:rsidR="00A04896" w:rsidRPr="00A04896">
        <w:t xml:space="preserve"> </w:t>
      </w:r>
      <w:r w:rsidRPr="00A04896">
        <w:t>and administering perspectives, thereby minimizing the risk of potential confusion between PP1M and PP3M</w:t>
      </w:r>
      <w:r w:rsidR="00A04896" w:rsidRPr="00A04896">
        <w:t xml:space="preserve"> </w:t>
      </w:r>
      <w:r w:rsidRPr="00A04896">
        <w:t>and</w:t>
      </w:r>
      <w:r w:rsidR="00A04896" w:rsidRPr="00A04896">
        <w:t xml:space="preserve"> </w:t>
      </w:r>
      <w:r w:rsidRPr="00A04896">
        <w:t>eliminating</w:t>
      </w:r>
      <w:r w:rsidR="00A04896" w:rsidRPr="00A04896">
        <w:t xml:space="preserve"> </w:t>
      </w:r>
      <w:r w:rsidRPr="00A04896">
        <w:t>the</w:t>
      </w:r>
      <w:r w:rsidR="00A04896" w:rsidRPr="00A04896">
        <w:t xml:space="preserve"> </w:t>
      </w:r>
      <w:r w:rsidRPr="00A04896">
        <w:t>need</w:t>
      </w:r>
      <w:r w:rsidR="00A04896" w:rsidRPr="00A04896">
        <w:t xml:space="preserve"> </w:t>
      </w:r>
      <w:r w:rsidRPr="00A04896">
        <w:t>for</w:t>
      </w:r>
      <w:r w:rsidR="00A04896" w:rsidRPr="00A04896">
        <w:t xml:space="preserve"> </w:t>
      </w:r>
      <w:r w:rsidRPr="00A04896">
        <w:t>additional</w:t>
      </w:r>
      <w:r w:rsidR="00A04896" w:rsidRPr="00A04896">
        <w:t xml:space="preserve"> </w:t>
      </w:r>
      <w:r w:rsidRPr="00A04896">
        <w:t>measures.</w:t>
      </w:r>
      <w:r w:rsidR="00A04896" w:rsidRPr="00A04896">
        <w:t xml:space="preserve"> </w:t>
      </w:r>
      <w:r w:rsidRPr="00A04896">
        <w:t>Thus, we</w:t>
      </w:r>
      <w:r w:rsidR="00A04896" w:rsidRPr="00A04896">
        <w:t xml:space="preserve"> </w:t>
      </w:r>
      <w:r w:rsidRPr="00A04896">
        <w:t>believe</w:t>
      </w:r>
      <w:r w:rsidR="00A04896" w:rsidRPr="00A04896">
        <w:t xml:space="preserve"> </w:t>
      </w:r>
      <w:r w:rsidRPr="00A04896">
        <w:t>that</w:t>
      </w:r>
      <w:r w:rsidR="00A04896" w:rsidRPr="00A04896">
        <w:t xml:space="preserve">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A04896">
        <w:t xml:space="preserve"> and the proposed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 xml:space="preserve"> can safely coexist in the marketplace without any confusion.</w:t>
      </w:r>
    </w:p>
    <w:p w14:paraId="76615A0B" w14:textId="77777777" w:rsidR="00A04896" w:rsidRPr="00A04896" w:rsidRDefault="00D044AE" w:rsidP="00370D5E">
      <w:pPr>
        <w:keepNext/>
        <w:rPr>
          <w:i/>
        </w:rPr>
      </w:pPr>
      <w:r w:rsidRPr="00A04896">
        <w:rPr>
          <w:i/>
        </w:rPr>
        <w:lastRenderedPageBreak/>
        <w:t xml:space="preserve">RMP </w:t>
      </w:r>
      <w:r w:rsidR="00186E45">
        <w:rPr>
          <w:i/>
        </w:rPr>
        <w:t>evaluator</w:t>
      </w:r>
      <w:r w:rsidRPr="00A04896">
        <w:rPr>
          <w:i/>
        </w:rPr>
        <w:t xml:space="preserve"> comment:</w:t>
      </w:r>
    </w:p>
    <w:p w14:paraId="0FC83D3A" w14:textId="77777777" w:rsidR="00D044AE" w:rsidRPr="00A04896" w:rsidRDefault="00D044AE" w:rsidP="00A04896">
      <w:r w:rsidRPr="00A04896">
        <w:t xml:space="preserve">The RMP </w:t>
      </w:r>
      <w:r w:rsidR="00186E45">
        <w:t>evaluator</w:t>
      </w:r>
      <w:r w:rsidRPr="00A04896">
        <w:t xml:space="preserve"> considers the proposed packaging and labelling to be sufficient risk minimisation measures to address the concern for confusion between the one and three month dosage forms.</w:t>
      </w:r>
    </w:p>
    <w:p w14:paraId="0FE19CD6" w14:textId="77777777" w:rsidR="00A04896" w:rsidRDefault="00A04896" w:rsidP="00A04896">
      <w:pPr>
        <w:pStyle w:val="Heading5"/>
        <w:rPr>
          <w:rFonts w:cstheme="majorHAnsi"/>
          <w:color w:val="000000"/>
        </w:rPr>
      </w:pPr>
      <w:r>
        <w:t>TGA recommendation 13</w:t>
      </w:r>
    </w:p>
    <w:p w14:paraId="5D4A6B26" w14:textId="77777777" w:rsidR="00D044AE" w:rsidRPr="00A04896" w:rsidRDefault="00D044AE" w:rsidP="00A04896">
      <w:r w:rsidRPr="00A04896">
        <w:t>The PI includes advice to shake the pre-filled syringe vigorously for 15 seconds prior to administration and to repeat if 5 minutes elapse after shaking.</w:t>
      </w:r>
      <w:r w:rsidR="00A04896" w:rsidRPr="00A04896">
        <w:t xml:space="preserve"> </w:t>
      </w:r>
      <w:r w:rsidRPr="00A04896">
        <w:t>The sponsor should advise if there are any expected safety implications if the medication is administered without properly suspending it.</w:t>
      </w:r>
    </w:p>
    <w:p w14:paraId="0AFD6D7F" w14:textId="77777777" w:rsidR="00A04896" w:rsidRPr="00A04896" w:rsidRDefault="00D044AE" w:rsidP="00A04896">
      <w:pPr>
        <w:rPr>
          <w:i/>
        </w:rPr>
      </w:pPr>
      <w:r w:rsidRPr="00A04896">
        <w:rPr>
          <w:i/>
        </w:rPr>
        <w:t>Sponsor’s response:</w:t>
      </w:r>
    </w:p>
    <w:p w14:paraId="375E48B3" w14:textId="77777777" w:rsidR="00D044AE" w:rsidRPr="00A04896" w:rsidRDefault="00D044AE" w:rsidP="00A04896">
      <w:r w:rsidRPr="00A04896">
        <w:t>The</w:t>
      </w:r>
      <w:r w:rsidR="00A04896" w:rsidRPr="00A04896">
        <w:t xml:space="preserve"> </w:t>
      </w:r>
      <w:r w:rsidRPr="00A04896">
        <w:t>instruction</w:t>
      </w:r>
      <w:r w:rsidR="00A04896" w:rsidRPr="00A04896">
        <w:t xml:space="preserve"> </w:t>
      </w:r>
      <w:r w:rsidRPr="00A04896">
        <w:t>to</w:t>
      </w:r>
      <w:r w:rsidR="00A04896" w:rsidRPr="00A04896">
        <w:t xml:space="preserve"> </w:t>
      </w:r>
      <w:r w:rsidRPr="00A04896">
        <w:t>vigorously</w:t>
      </w:r>
      <w:r w:rsidR="00A04896" w:rsidRPr="00A04896">
        <w:t xml:space="preserve"> </w:t>
      </w:r>
      <w:r w:rsidRPr="00A04896">
        <w:t>sake</w:t>
      </w:r>
      <w:r w:rsidR="00A04896" w:rsidRPr="00A04896">
        <w:t xml:space="preserve"> </w:t>
      </w:r>
      <w:r w:rsidRPr="00A04896">
        <w:t>the</w:t>
      </w:r>
      <w:r w:rsidR="00A04896" w:rsidRPr="00A04896">
        <w:t xml:space="preserve"> </w:t>
      </w:r>
      <w:r w:rsidRPr="00A04896">
        <w:t>PP3M</w:t>
      </w:r>
      <w:r w:rsidR="00A04896" w:rsidRPr="00A04896">
        <w:t xml:space="preserve"> </w:t>
      </w:r>
      <w:r w:rsidRPr="00A04896">
        <w:t>syringe</w:t>
      </w:r>
      <w:r w:rsidR="00A04896" w:rsidRPr="00A04896">
        <w:t xml:space="preserve"> </w:t>
      </w:r>
      <w:r w:rsidRPr="00A04896">
        <w:t>for</w:t>
      </w:r>
      <w:r w:rsidR="00A04896" w:rsidRPr="00A04896">
        <w:t xml:space="preserve"> </w:t>
      </w:r>
      <w:r w:rsidRPr="00A04896">
        <w:t>15</w:t>
      </w:r>
      <w:r w:rsidR="00A04896" w:rsidRPr="00A04896">
        <w:t xml:space="preserve"> </w:t>
      </w:r>
      <w:r w:rsidRPr="00A04896">
        <w:t>seconds</w:t>
      </w:r>
      <w:r w:rsidR="00A04896" w:rsidRPr="00A04896">
        <w:t xml:space="preserve"> </w:t>
      </w:r>
      <w:r w:rsidRPr="00A04896">
        <w:t>is</w:t>
      </w:r>
      <w:r w:rsidR="00A04896" w:rsidRPr="00A04896">
        <w:t xml:space="preserve"> </w:t>
      </w:r>
      <w:r w:rsidRPr="00A04896">
        <w:t>to</w:t>
      </w:r>
      <w:r w:rsidR="00A04896" w:rsidRPr="00A04896">
        <w:t xml:space="preserve"> </w:t>
      </w:r>
      <w:r w:rsidRPr="00A04896">
        <w:t>ensure</w:t>
      </w:r>
      <w:r w:rsidR="00A04896" w:rsidRPr="00A04896">
        <w:t xml:space="preserve"> </w:t>
      </w:r>
      <w:r w:rsidRPr="00A04896">
        <w:t>adequate re</w:t>
      </w:r>
      <w:r w:rsidR="00186E45">
        <w:t>-</w:t>
      </w:r>
      <w:r w:rsidRPr="00A04896">
        <w:t>suspension of the product prior to injecting. Inadequate re</w:t>
      </w:r>
      <w:r w:rsidR="00186E45">
        <w:t>-</w:t>
      </w:r>
      <w:r w:rsidRPr="00A04896">
        <w:t xml:space="preserve">suspension may result in incomplete injection of </w:t>
      </w:r>
      <w:r w:rsidR="00186E45">
        <w:t xml:space="preserve">the product, resulting in lower than </w:t>
      </w:r>
      <w:r w:rsidRPr="00A04896">
        <w:t xml:space="preserve">expected </w:t>
      </w:r>
      <w:proofErr w:type="spellStart"/>
      <w:r w:rsidRPr="00A04896">
        <w:t>paliperidone</w:t>
      </w:r>
      <w:proofErr w:type="spellEnd"/>
      <w:r w:rsidRPr="00A04896">
        <w:t xml:space="preserve"> exposure.</w:t>
      </w:r>
      <w:r w:rsidR="00A04896" w:rsidRPr="00A04896">
        <w:t xml:space="preserve"> </w:t>
      </w:r>
      <w:r w:rsidRPr="00A04896">
        <w:t>In terms</w:t>
      </w:r>
      <w:r w:rsidR="00A04896" w:rsidRPr="00A04896">
        <w:t xml:space="preserve"> </w:t>
      </w:r>
      <w:r w:rsidRPr="00A04896">
        <w:t xml:space="preserve">of safety, this error would not result in any increased tolerability issues but may potentially compromise efficacy if </w:t>
      </w:r>
      <w:proofErr w:type="spellStart"/>
      <w:r w:rsidRPr="00A04896">
        <w:t>paliperidone</w:t>
      </w:r>
      <w:proofErr w:type="spellEnd"/>
      <w:r w:rsidRPr="00A04896">
        <w:t xml:space="preserve"> plasma concentrations fall below the patient’s individual therapeutic level.</w:t>
      </w:r>
    </w:p>
    <w:p w14:paraId="3717D145" w14:textId="77777777" w:rsidR="00D044AE" w:rsidRPr="00A04896" w:rsidRDefault="00D044AE" w:rsidP="00A04896">
      <w:r w:rsidRPr="00A04896">
        <w:t xml:space="preserve">The </w:t>
      </w:r>
      <w:r w:rsidR="005968B3">
        <w:t>sponsor</w:t>
      </w:r>
      <w:r w:rsidRPr="00A04896">
        <w:t xml:space="preserve"> is aware of the need to make sure that PP3M is sufficiently shaken. Education and training of clinical staff involved in the injections will be important. There will be additional training material including educational videos and training regarding adequate shaking technique (shake </w:t>
      </w:r>
      <w:proofErr w:type="spellStart"/>
      <w:r w:rsidRPr="00A04896">
        <w:t>vigor</w:t>
      </w:r>
      <w:proofErr w:type="spellEnd"/>
      <w:r w:rsidRPr="00A04896">
        <w:t>/motion and duration) to ensure correct and proper re</w:t>
      </w:r>
      <w:r w:rsidR="00186E45">
        <w:noBreakHyphen/>
      </w:r>
      <w:r w:rsidRPr="00A04896">
        <w:t>suspension of the product. Also of note, compared to the investigational product, the commercial syringes have a transparent label so that it is much easier to see if the contents are in a suspension and if the entire volume has been injected.</w:t>
      </w:r>
    </w:p>
    <w:p w14:paraId="27C42088" w14:textId="77777777" w:rsidR="00D044AE" w:rsidRPr="00A04896" w:rsidRDefault="00D044AE" w:rsidP="00A04896">
      <w:r w:rsidRPr="00A04896">
        <w:t>Training on sufficient shaking of the PP3M suspension was shown to effectively reduce occurrence of incomplete injections during the PP3M clini</w:t>
      </w:r>
      <w:r w:rsidR="00186E45">
        <w:t>cal trial program. In Study PSY</w:t>
      </w:r>
      <w:r w:rsidR="00186E45">
        <w:noBreakHyphen/>
      </w:r>
      <w:r w:rsidRPr="00A04896">
        <w:t xml:space="preserve">1005, some incomplete injections were observed during Panels A and C, and increased training of investigators was implemented prior to the subsequent panels (Panels B and D). With this increased training, no further incomplete injections were observed in Panel B or D; this was confirmed by inspection of the syringes post injection by sponsor staff to check for residual content. Additionally, the relative bioavailability of PP3M compared to immediate-release </w:t>
      </w:r>
      <w:proofErr w:type="spellStart"/>
      <w:r w:rsidRPr="00A04896">
        <w:t>paliperidone</w:t>
      </w:r>
      <w:proofErr w:type="spellEnd"/>
      <w:r w:rsidRPr="00A04896">
        <w:t xml:space="preserve"> was approximately 100% for al</w:t>
      </w:r>
      <w:r w:rsidR="00186E45">
        <w:t xml:space="preserve">l PP3M doses tested in Panel B </w:t>
      </w:r>
      <w:r w:rsidRPr="00A04896">
        <w:t>and Panel D, suggesting that complete PP3M doses were injected in those panels.</w:t>
      </w:r>
    </w:p>
    <w:p w14:paraId="2A20BA6E" w14:textId="77777777" w:rsidR="00D044AE" w:rsidRPr="00A04896" w:rsidRDefault="00D044AE" w:rsidP="00A04896">
      <w:r w:rsidRPr="00A04896">
        <w:t xml:space="preserve">In the </w:t>
      </w:r>
      <w:r w:rsidR="005968B3">
        <w:t>Phase III</w:t>
      </w:r>
      <w:r w:rsidRPr="00A04896">
        <w:t xml:space="preserve"> studies (PSY-3011 and PSY-3012), the importance of shaking vigorously was emphasized during investigator meetings and there was required training for all staff involved in injections, including a video. Study drug administrators were instructed to inspect the syringe after injection to make sure there was no residual fluid. Any instances of residual fluid or anomalies with the product were recorded as a product quality complaint (PQC). If there was a PQC, the </w:t>
      </w:r>
      <w:r w:rsidR="005968B3">
        <w:t>sponsor</w:t>
      </w:r>
      <w:r w:rsidRPr="00A04896">
        <w:t xml:space="preserve"> also inspe</w:t>
      </w:r>
      <w:r w:rsidR="00186E45">
        <w:t>cted the syringes. In Study PSY</w:t>
      </w:r>
      <w:r w:rsidR="00186E45">
        <w:noBreakHyphen/>
      </w:r>
      <w:r w:rsidRPr="00A04896">
        <w:t xml:space="preserve">3012, no incomplete injections were observed. In Study PSY-3011, 5 incomplete injections occurred in subjects assigned to PP3M (all with active product), which were identified by PQCs as described in the </w:t>
      </w:r>
      <w:r w:rsidR="00186E45">
        <w:t>clinical study report</w:t>
      </w:r>
      <w:r w:rsidR="00186E45" w:rsidRPr="00A04896">
        <w:t xml:space="preserve"> </w:t>
      </w:r>
      <w:r w:rsidR="00186E45">
        <w:t>(</w:t>
      </w:r>
      <w:r w:rsidRPr="00A04896">
        <w:t>CSR</w:t>
      </w:r>
      <w:r w:rsidR="00186E45">
        <w:t>)</w:t>
      </w:r>
      <w:r w:rsidRPr="00A04896">
        <w:t xml:space="preserve">. After investigation, it was determined that these were caused by incomplete shaking. Of note, none of these 5 patients had a relapse event. Thus, incomplete injections observed in the </w:t>
      </w:r>
      <w:r w:rsidR="005968B3">
        <w:t>Phase III</w:t>
      </w:r>
      <w:r w:rsidRPr="00A04896">
        <w:t xml:space="preserve"> studies did not appear to impact efficacy.</w:t>
      </w:r>
    </w:p>
    <w:p w14:paraId="449CCA34" w14:textId="77777777" w:rsidR="00A04896" w:rsidRPr="00A04896" w:rsidRDefault="00A04896" w:rsidP="00A04896">
      <w:pPr>
        <w:rPr>
          <w:i/>
        </w:rPr>
      </w:pPr>
      <w:r w:rsidRPr="00A04896">
        <w:rPr>
          <w:i/>
        </w:rPr>
        <w:t xml:space="preserve">RMP </w:t>
      </w:r>
      <w:r w:rsidR="00186E45">
        <w:rPr>
          <w:i/>
        </w:rPr>
        <w:t>evaluator</w:t>
      </w:r>
      <w:r w:rsidRPr="00A04896">
        <w:rPr>
          <w:i/>
        </w:rPr>
        <w:t xml:space="preserve"> comment:</w:t>
      </w:r>
    </w:p>
    <w:p w14:paraId="4E06083A" w14:textId="77777777" w:rsidR="00D044AE" w:rsidRPr="00A04896" w:rsidRDefault="00D044AE" w:rsidP="00A04896">
      <w:r w:rsidRPr="00A04896">
        <w:t xml:space="preserve">The </w:t>
      </w:r>
      <w:r w:rsidR="005968B3">
        <w:t>sponsor</w:t>
      </w:r>
      <w:r w:rsidRPr="00A04896">
        <w:t xml:space="preserve">’s response has been considered in combination with the ACSOM advice. The proposed educational plan appears appropriate to address the concerns regarding incomplete dosing/ medication error. The data from clinical trials which demonstrated a decrease in medication errors following the educational material could be considered a </w:t>
      </w:r>
      <w:r w:rsidRPr="00A04896">
        <w:lastRenderedPageBreak/>
        <w:t xml:space="preserve">measure of effectiveness for these activities. As noted in the ACSOM advice, there was concern that if medication errors occurred in the controlled setting of a clinical trial, that they could be expected to occur more frequently in clinical practice. This reinforces the need for the proposed educational materials. The RMP </w:t>
      </w:r>
      <w:r w:rsidR="00186E45">
        <w:t>e</w:t>
      </w:r>
      <w:r w:rsidRPr="00A04896">
        <w:t>valuator concludes that these are additional risk minimisation activities, and therefore these programmes should be described and attached a</w:t>
      </w:r>
      <w:r w:rsidR="00186E45">
        <w:t>s an appendix in a revised ASA.</w:t>
      </w:r>
    </w:p>
    <w:p w14:paraId="58768305" w14:textId="77777777" w:rsidR="00A04896" w:rsidRDefault="00A04896" w:rsidP="00A04896">
      <w:pPr>
        <w:pStyle w:val="Heading5"/>
      </w:pPr>
      <w:r>
        <w:t>TGA recommendation 14</w:t>
      </w:r>
    </w:p>
    <w:p w14:paraId="558D2A83" w14:textId="77777777" w:rsidR="00D044AE" w:rsidRPr="00A04896" w:rsidRDefault="00D044AE" w:rsidP="00A04896">
      <w:r w:rsidRPr="00A04896">
        <w:t>It appears that the sponsor is conducting what would be considered to be additional risk minimisation activities for healthcare professionals and patients in the United States</w:t>
      </w:r>
      <w:r w:rsidRPr="00186E45">
        <w:rPr>
          <w:vertAlign w:val="superscript"/>
        </w:rPr>
        <w:footnoteReference w:id="11"/>
      </w:r>
      <w:r w:rsidRPr="00186E45">
        <w:rPr>
          <w:vertAlign w:val="superscript"/>
        </w:rPr>
        <w:t>.</w:t>
      </w:r>
      <w:r w:rsidR="00A04896" w:rsidRPr="00A04896">
        <w:t xml:space="preserve"> </w:t>
      </w:r>
      <w:r w:rsidRPr="00A04896">
        <w:t>This includes an instructional video, patient brochure and other educational resources.</w:t>
      </w:r>
      <w:r w:rsidR="00A04896" w:rsidRPr="00A04896">
        <w:t xml:space="preserve"> </w:t>
      </w:r>
      <w:r w:rsidRPr="00A04896">
        <w:t>However routine risk minimisation only is proposed in the EU RMP and the ASA.</w:t>
      </w:r>
      <w:r w:rsidR="00A04896" w:rsidRPr="00A04896">
        <w:t xml:space="preserve"> </w:t>
      </w:r>
      <w:r w:rsidRPr="00A04896">
        <w:t>The sponsor should confirm whether a similar program to what is being conducted in the United States will be implemented in Australia.</w:t>
      </w:r>
      <w:r w:rsidR="00A04896" w:rsidRPr="00A04896">
        <w:t xml:space="preserve"> </w:t>
      </w:r>
      <w:r w:rsidRPr="00A04896">
        <w:t>If so, the RMP/ASA requires revision to include details of this program including draft materials, distribution strategy and proposed measures of effectiveness.</w:t>
      </w:r>
    </w:p>
    <w:p w14:paraId="23A4B94F" w14:textId="77777777" w:rsidR="00A04896" w:rsidRPr="00A04896" w:rsidRDefault="00D044AE" w:rsidP="00A04896">
      <w:pPr>
        <w:rPr>
          <w:i/>
        </w:rPr>
      </w:pPr>
      <w:r w:rsidRPr="00A04896">
        <w:rPr>
          <w:i/>
        </w:rPr>
        <w:t>Sponsor’s response:</w:t>
      </w:r>
    </w:p>
    <w:p w14:paraId="0165DDC0" w14:textId="77777777" w:rsidR="00D044AE" w:rsidRPr="00A04896" w:rsidRDefault="00D044AE" w:rsidP="00A04896">
      <w:r w:rsidRPr="00A04896">
        <w:t>A</w:t>
      </w:r>
      <w:r w:rsidR="00A04896" w:rsidRPr="00A04896">
        <w:t xml:space="preserve"> </w:t>
      </w:r>
      <w:r w:rsidRPr="00A04896">
        <w:t>similar</w:t>
      </w:r>
      <w:r w:rsidR="00A04896" w:rsidRPr="00A04896">
        <w:t xml:space="preserve"> </w:t>
      </w:r>
      <w:r w:rsidRPr="00A04896">
        <w:t>program</w:t>
      </w:r>
      <w:r w:rsidR="00A04896" w:rsidRPr="00A04896">
        <w:t xml:space="preserve"> </w:t>
      </w:r>
      <w:r w:rsidRPr="00A04896">
        <w:t>as</w:t>
      </w:r>
      <w:r w:rsidR="00A04896" w:rsidRPr="00A04896">
        <w:t xml:space="preserve"> </w:t>
      </w:r>
      <w:r w:rsidRPr="00A04896">
        <w:t>was</w:t>
      </w:r>
      <w:r w:rsidR="00A04896" w:rsidRPr="00A04896">
        <w:t xml:space="preserve"> </w:t>
      </w:r>
      <w:r w:rsidRPr="00A04896">
        <w:t>implemented</w:t>
      </w:r>
      <w:r w:rsidR="00A04896" w:rsidRPr="00A04896">
        <w:t xml:space="preserve"> </w:t>
      </w:r>
      <w:r w:rsidRPr="00A04896">
        <w:t>in</w:t>
      </w:r>
      <w:r w:rsidR="00A04896" w:rsidRPr="00A04896">
        <w:t xml:space="preserve"> </w:t>
      </w:r>
      <w:r w:rsidRPr="00A04896">
        <w:t>the</w:t>
      </w:r>
      <w:r w:rsidR="00A04896" w:rsidRPr="00A04896">
        <w:t xml:space="preserve"> </w:t>
      </w:r>
      <w:r w:rsidR="00186E45">
        <w:t>US</w:t>
      </w:r>
      <w:r w:rsidR="00A04896" w:rsidRPr="00A04896">
        <w:t xml:space="preserve"> </w:t>
      </w:r>
      <w:r w:rsidRPr="00A04896">
        <w:t>is</w:t>
      </w:r>
      <w:r w:rsidR="00A04896" w:rsidRPr="00A04896">
        <w:t xml:space="preserve"> </w:t>
      </w:r>
      <w:r w:rsidRPr="00A04896">
        <w:t>planned</w:t>
      </w:r>
      <w:r w:rsidR="00A04896" w:rsidRPr="00A04896">
        <w:t xml:space="preserve"> </w:t>
      </w:r>
      <w:r w:rsidRPr="00A04896">
        <w:t>to</w:t>
      </w:r>
      <w:r w:rsidR="00A04896" w:rsidRPr="00A04896">
        <w:t xml:space="preserve"> </w:t>
      </w:r>
      <w:r w:rsidRPr="00A04896">
        <w:t>accompany</w:t>
      </w:r>
      <w:r w:rsidR="00A04896" w:rsidRPr="00A04896">
        <w:t xml:space="preserve"> </w:t>
      </w:r>
      <w:r w:rsidRPr="00A04896">
        <w:t>the introduction of the product in EU. In the EU, these activities are considered to be part of preparation for product introduction to market, and not steps that are to be included in the EU RMP as additional measures to be taken.</w:t>
      </w:r>
    </w:p>
    <w:p w14:paraId="3BF8BE41" w14:textId="77777777" w:rsidR="00D044AE" w:rsidRPr="00A04896" w:rsidRDefault="00D044AE" w:rsidP="00A04896">
      <w:r w:rsidRPr="00A04896">
        <w:t>In Australia, a similar program will be aimed at education of healthcare providers, and (as per EU) are considered as part of preparation for product introduction to market and not as a formal educational program detailed in the RMP/ASA for additional risk minimisation. This is considered by the company to be adequate at this time to help ensure safe and effective use of the product.</w:t>
      </w:r>
    </w:p>
    <w:p w14:paraId="50A7A399" w14:textId="77777777" w:rsidR="00A04896" w:rsidRPr="00A04896" w:rsidRDefault="00D044AE" w:rsidP="00A04896">
      <w:pPr>
        <w:rPr>
          <w:i/>
        </w:rPr>
      </w:pPr>
      <w:r w:rsidRPr="00A04896">
        <w:rPr>
          <w:i/>
        </w:rPr>
        <w:t>RMP Evaluator comment:</w:t>
      </w:r>
    </w:p>
    <w:p w14:paraId="4A3BFDAC" w14:textId="77777777" w:rsidR="00D044AE" w:rsidRPr="00A04896" w:rsidRDefault="00D044AE" w:rsidP="00A04896">
      <w:r w:rsidRPr="00A04896">
        <w:t>The US patient information brochure includes important safety information regarding adverse effects, and addresses many of the important identified risks. A similar information brochure is recommended for use in Australia, and is considered to be an additional risk minimisation activity. The patient brochure intended for Australia should be submitted as an appendix to a revised ASA. If prescriber educational materials beyond those referred to in response to TGA recommendation 13 are planned, these should also be included in a revised AS</w:t>
      </w:r>
      <w:r w:rsidR="00186E45">
        <w:t>A.</w:t>
      </w:r>
    </w:p>
    <w:p w14:paraId="7A7F8832" w14:textId="77777777" w:rsidR="00A04896" w:rsidRDefault="00A04896" w:rsidP="00A04896">
      <w:pPr>
        <w:pStyle w:val="Heading5"/>
      </w:pPr>
      <w:r>
        <w:t>TGA recommendation 15</w:t>
      </w:r>
    </w:p>
    <w:p w14:paraId="0998E8C5" w14:textId="77777777" w:rsidR="00D044AE" w:rsidRPr="00A04896" w:rsidRDefault="00D044AE" w:rsidP="00A04896">
      <w:r w:rsidRPr="00A04896">
        <w:t>The evaluator is unable to locate the product insert referred to on the product box mock-up.</w:t>
      </w:r>
      <w:r w:rsidR="00A04896" w:rsidRPr="00A04896">
        <w:t xml:space="preserve"> </w:t>
      </w:r>
      <w:r w:rsidRPr="00A04896">
        <w:t>The sponsor should submit a copy of the product insert unless it has been previously provided</w:t>
      </w:r>
      <w:r w:rsidR="00186E45">
        <w:t>.</w:t>
      </w:r>
    </w:p>
    <w:p w14:paraId="4A2671C2" w14:textId="77777777" w:rsidR="00A04896" w:rsidRPr="00A04896" w:rsidRDefault="00D044AE" w:rsidP="00A04896">
      <w:pPr>
        <w:rPr>
          <w:i/>
        </w:rPr>
      </w:pPr>
      <w:r w:rsidRPr="00A04896">
        <w:rPr>
          <w:i/>
        </w:rPr>
        <w:t>Sponsor’s response:</w:t>
      </w:r>
    </w:p>
    <w:p w14:paraId="3FE6EF0D" w14:textId="77777777" w:rsidR="00D044AE" w:rsidRPr="00A04896" w:rsidRDefault="00D044AE" w:rsidP="00A04896">
      <w:r w:rsidRPr="00A04896">
        <w:t xml:space="preserve">As this is an injectable product, the PI will form the package insert. As the PI is still being evaluated, the </w:t>
      </w:r>
      <w:r w:rsidR="005968B3">
        <w:t>sponsor</w:t>
      </w:r>
      <w:r w:rsidRPr="00A04896">
        <w:t xml:space="preserve"> provides assurance, to the RMP evaluator, that the approved PI will be the package insert.</w:t>
      </w:r>
    </w:p>
    <w:p w14:paraId="196D9BD1" w14:textId="77777777" w:rsidR="00A04896" w:rsidRPr="00A04896" w:rsidRDefault="00D044AE" w:rsidP="00A04896">
      <w:pPr>
        <w:rPr>
          <w:i/>
        </w:rPr>
      </w:pPr>
      <w:r w:rsidRPr="00A04896">
        <w:rPr>
          <w:i/>
        </w:rPr>
        <w:t>RMP Evaluator comment:</w:t>
      </w:r>
    </w:p>
    <w:p w14:paraId="1CFF6F74" w14:textId="77777777" w:rsidR="00D044AE" w:rsidRPr="00A04896" w:rsidRDefault="00D044AE" w:rsidP="00A04896">
      <w:r w:rsidRPr="00A04896">
        <w:t xml:space="preserve">The </w:t>
      </w:r>
      <w:r w:rsidR="005968B3">
        <w:t>sponsor</w:t>
      </w:r>
      <w:r w:rsidRPr="00A04896">
        <w:t>’s commitment to provide the approved PI as the package insert has been noted.</w:t>
      </w:r>
    </w:p>
    <w:p w14:paraId="0E637668" w14:textId="77777777" w:rsidR="00A04896" w:rsidRDefault="00A04896" w:rsidP="00A04896">
      <w:pPr>
        <w:pStyle w:val="Heading5"/>
      </w:pPr>
      <w:r>
        <w:lastRenderedPageBreak/>
        <w:t>TGA recommendation 16</w:t>
      </w:r>
    </w:p>
    <w:p w14:paraId="18C22F47" w14:textId="77777777" w:rsidR="00D044AE" w:rsidRPr="00A04896" w:rsidRDefault="00D044AE" w:rsidP="00A04896">
      <w:r w:rsidRPr="00A04896">
        <w:t xml:space="preserve">Use of a </w:t>
      </w:r>
      <w:r w:rsidR="008D4FE3">
        <w:t xml:space="preserve">3 month </w:t>
      </w:r>
      <w:r w:rsidRPr="00A04896">
        <w:t xml:space="preserve">product is a complex clinical decision, including anticipation of possible adverse events and risk factors for adverse events and should not be made solely on the </w:t>
      </w:r>
      <w:r w:rsidR="00186E45">
        <w:t xml:space="preserve">patient having a stable shorter </w:t>
      </w:r>
      <w:r w:rsidRPr="00A04896">
        <w:t xml:space="preserve">acting </w:t>
      </w:r>
      <w:proofErr w:type="spellStart"/>
      <w:r w:rsidRPr="00A04896">
        <w:t>paliperidone</w:t>
      </w:r>
      <w:proofErr w:type="spellEnd"/>
      <w:r w:rsidRPr="00A04896">
        <w:t xml:space="preserve"> dose.</w:t>
      </w:r>
      <w:r w:rsidR="00A04896" w:rsidRPr="00A04896">
        <w:t xml:space="preserve"> </w:t>
      </w:r>
      <w:r w:rsidRPr="00A04896">
        <w:t xml:space="preserve">From a risk minimisation perspective the Delegate is advised that it would be helpful if more advice recognising the complexities of a </w:t>
      </w:r>
      <w:r w:rsidR="008D4FE3">
        <w:t xml:space="preserve">3 month </w:t>
      </w:r>
      <w:r w:rsidRPr="00A04896">
        <w:t>treatment was included in the PI.</w:t>
      </w:r>
      <w:r w:rsidR="00A04896" w:rsidRPr="00A04896">
        <w:t xml:space="preserve"> </w:t>
      </w:r>
      <w:r w:rsidRPr="00A04896">
        <w:t xml:space="preserve">The clinician should carefully weigh the risks and benefits for that particular patient as well as the established stability of </w:t>
      </w:r>
      <w:proofErr w:type="spellStart"/>
      <w:r w:rsidRPr="00A04896">
        <w:t>paliperidone</w:t>
      </w:r>
      <w:proofErr w:type="spellEnd"/>
      <w:r w:rsidRPr="00A04896">
        <w:t xml:space="preserve"> prior to commencing treatment.</w:t>
      </w:r>
    </w:p>
    <w:p w14:paraId="6C9C72CF" w14:textId="77777777" w:rsidR="00A04896" w:rsidRPr="00A04896" w:rsidRDefault="00D044AE" w:rsidP="00A04896">
      <w:pPr>
        <w:rPr>
          <w:i/>
        </w:rPr>
      </w:pPr>
      <w:r w:rsidRPr="00A04896">
        <w:rPr>
          <w:i/>
        </w:rPr>
        <w:t>Sponsor’s response:</w:t>
      </w:r>
    </w:p>
    <w:p w14:paraId="48ED5BFF" w14:textId="77777777" w:rsidR="00D044AE" w:rsidRPr="00A04896" w:rsidRDefault="00D044AE" w:rsidP="00A04896">
      <w:r w:rsidRPr="00A04896">
        <w:t>The</w:t>
      </w:r>
      <w:r w:rsidR="00A04896" w:rsidRPr="00A04896">
        <w:t xml:space="preserve"> </w:t>
      </w:r>
      <w:r w:rsidR="005968B3">
        <w:t>sponsor</w:t>
      </w:r>
      <w:r w:rsidR="00A04896" w:rsidRPr="00A04896">
        <w:t xml:space="preserve"> </w:t>
      </w:r>
      <w:r w:rsidRPr="00A04896">
        <w:t>agrees</w:t>
      </w:r>
      <w:r w:rsidR="00A04896" w:rsidRPr="00A04896">
        <w:t xml:space="preserve"> </w:t>
      </w:r>
      <w:r w:rsidRPr="00A04896">
        <w:t>that</w:t>
      </w:r>
      <w:r w:rsidR="00A04896" w:rsidRPr="00A04896">
        <w:t xml:space="preserve"> </w:t>
      </w:r>
      <w:r w:rsidRPr="00A04896">
        <w:t>the</w:t>
      </w:r>
      <w:r w:rsidR="00A04896" w:rsidRPr="00A04896">
        <w:t xml:space="preserve"> </w:t>
      </w:r>
      <w:r w:rsidRPr="00A04896">
        <w:t>clinician</w:t>
      </w:r>
      <w:r w:rsidR="00A04896" w:rsidRPr="00A04896">
        <w:t xml:space="preserve"> </w:t>
      </w:r>
      <w:r w:rsidRPr="00A04896">
        <w:t>needs</w:t>
      </w:r>
      <w:r w:rsidR="00A04896" w:rsidRPr="00A04896">
        <w:t xml:space="preserve"> </w:t>
      </w:r>
      <w:r w:rsidRPr="00A04896">
        <w:t>to</w:t>
      </w:r>
      <w:r w:rsidR="00A04896" w:rsidRPr="00A04896">
        <w:t xml:space="preserve"> </w:t>
      </w:r>
      <w:r w:rsidRPr="00A04896">
        <w:t>carefully</w:t>
      </w:r>
      <w:r w:rsidR="00A04896" w:rsidRPr="00A04896">
        <w:t xml:space="preserve"> </w:t>
      </w:r>
      <w:r w:rsidRPr="00A04896">
        <w:t>weigh</w:t>
      </w:r>
      <w:r w:rsidR="00A04896" w:rsidRPr="00A04896">
        <w:t xml:space="preserve"> </w:t>
      </w:r>
      <w:r w:rsidRPr="00A04896">
        <w:t>the</w:t>
      </w:r>
      <w:r w:rsidR="00A04896" w:rsidRPr="00A04896">
        <w:t xml:space="preserve"> </w:t>
      </w:r>
      <w:r w:rsidRPr="00A04896">
        <w:t>risks</w:t>
      </w:r>
      <w:r w:rsidR="00A04896" w:rsidRPr="00A04896">
        <w:t xml:space="preserve"> </w:t>
      </w:r>
      <w:r w:rsidRPr="00A04896">
        <w:t>and</w:t>
      </w:r>
      <w:r w:rsidR="00A04896" w:rsidRPr="00A04896">
        <w:t xml:space="preserve"> </w:t>
      </w:r>
      <w:r w:rsidRPr="00A04896">
        <w:t>benefits</w:t>
      </w:r>
      <w:r w:rsidR="00A04896" w:rsidRPr="00A04896">
        <w:t xml:space="preserve"> </w:t>
      </w:r>
      <w:r w:rsidRPr="00A04896">
        <w:t xml:space="preserve">when considering a transition to PP3M. </w:t>
      </w:r>
      <w:proofErr w:type="gramStart"/>
      <w:r w:rsidRPr="00A04896">
        <w:t xml:space="preserve">As with all treatment decisions, the decision to initiate PP3M should be made based on careful evaluation of the patient’s medical history, concomitant medications, and medication preferences, </w:t>
      </w:r>
      <w:r w:rsidR="00186E45">
        <w:t>etcetera</w:t>
      </w:r>
      <w:r w:rsidRPr="00A04896">
        <w:t>.</w:t>
      </w:r>
      <w:proofErr w:type="gramEnd"/>
      <w:r w:rsidRPr="00A04896">
        <w:t xml:space="preserve"> This is inherent for all treatment decisions.</w:t>
      </w:r>
    </w:p>
    <w:p w14:paraId="54EF1596" w14:textId="6846B196" w:rsidR="00D044AE" w:rsidRPr="00A04896" w:rsidRDefault="00D044AE" w:rsidP="00A04896">
      <w:r w:rsidRPr="00A04896">
        <w:t xml:space="preserve">The </w:t>
      </w:r>
      <w:r w:rsidR="005968B3">
        <w:t>sponsor</w:t>
      </w:r>
      <w:r w:rsidRPr="00A04896">
        <w:t xml:space="preserve"> believes that the current guidance in the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 xml:space="preserve"> PI is sufficient to inform clinicians of the complexities of </w:t>
      </w:r>
      <w:r w:rsidR="005968B3">
        <w:t>3 monthly</w:t>
      </w:r>
      <w:r w:rsidRPr="00A04896">
        <w:t xml:space="preserve"> </w:t>
      </w:r>
      <w:proofErr w:type="gramStart"/>
      <w:r w:rsidRPr="00A04896">
        <w:t>treatment</w:t>
      </w:r>
      <w:proofErr w:type="gramEnd"/>
      <w:r w:rsidRPr="00A04896">
        <w:t>, and the need to establish patients on a stable maintenance dose of PP1M prior to conversion to PP3M.</w:t>
      </w:r>
    </w:p>
    <w:p w14:paraId="731BEE0F" w14:textId="77777777" w:rsidR="00D044AE" w:rsidRPr="00A04896" w:rsidRDefault="00D044AE" w:rsidP="00A04896">
      <w:r w:rsidRPr="00A04896">
        <w:t>The PI provides clear guidance with regard to the mi</w:t>
      </w:r>
      <w:r w:rsidR="00186E45">
        <w:t>nimum requirement of at least 4 </w:t>
      </w:r>
      <w:r w:rsidRPr="00A04896">
        <w:t xml:space="preserve">months prior treatment with PP1M prior to the switch to PP3M. Also, the dosage and administration section further highlights the need to first establish patients on a consistent maintenance dose, by recommending that the last 2 doses of PP1M be the same dosage strength before starting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w:t>
      </w:r>
    </w:p>
    <w:p w14:paraId="1188BC19" w14:textId="77777777" w:rsidR="00D044AE" w:rsidRPr="00A04896" w:rsidRDefault="00D044AE" w:rsidP="00A04896">
      <w:r w:rsidRPr="00A04896">
        <w:t>If a patient is stable on PP1M prior to converting to PP3M, there should be no reason to suspect that the efficacy or tolerability of therapy will change following the conversion to PP3M. This was demonstrated in the non-inferiority study, PSY-3011, where both treatment arms (PP1M and PP3M) had similar efficacy as well as safety. As discussed above, the low rates of relapse and low discontinuation rates over 48 weeks indicate the adequacy of the initiation with PP1M and the importance of establishing an effective dose of PP1M prior to starting PP3M.</w:t>
      </w:r>
    </w:p>
    <w:p w14:paraId="45A4CE4B" w14:textId="77777777" w:rsidR="00A04896" w:rsidRPr="00A04896" w:rsidRDefault="00D044AE" w:rsidP="00A04896">
      <w:pPr>
        <w:rPr>
          <w:i/>
        </w:rPr>
      </w:pPr>
      <w:r w:rsidRPr="00A04896">
        <w:rPr>
          <w:i/>
        </w:rPr>
        <w:t xml:space="preserve">RMP </w:t>
      </w:r>
      <w:r w:rsidR="00186E45">
        <w:rPr>
          <w:i/>
        </w:rPr>
        <w:t>evaluator</w:t>
      </w:r>
      <w:r w:rsidRPr="00A04896">
        <w:rPr>
          <w:i/>
        </w:rPr>
        <w:t xml:space="preserve"> comment:</w:t>
      </w:r>
    </w:p>
    <w:p w14:paraId="5E8AEA76" w14:textId="77777777" w:rsidR="00D044AE" w:rsidRPr="00A04896" w:rsidRDefault="00D044AE" w:rsidP="00A04896">
      <w:r w:rsidRPr="00A04896">
        <w:t xml:space="preserve">The </w:t>
      </w:r>
      <w:r w:rsidR="005968B3">
        <w:t>sponsor</w:t>
      </w:r>
      <w:r w:rsidRPr="00A04896">
        <w:t xml:space="preserve">’s response has been noted. Additional recommendations </w:t>
      </w:r>
      <w:r w:rsidR="00186E45">
        <w:t>were</w:t>
      </w:r>
      <w:r w:rsidRPr="00A04896">
        <w:t xml:space="preserve"> made </w:t>
      </w:r>
      <w:r w:rsidR="00186E45">
        <w:t>(see below)</w:t>
      </w:r>
      <w:r w:rsidRPr="00A04896">
        <w:t xml:space="preserve"> which are intended to provide additional support to prescribers and support the safe use of this formulation of </w:t>
      </w:r>
      <w:proofErr w:type="spellStart"/>
      <w:r w:rsidRPr="00A04896">
        <w:t>paliperidone</w:t>
      </w:r>
      <w:proofErr w:type="spellEnd"/>
      <w:r w:rsidRPr="00A04896">
        <w:t>.</w:t>
      </w:r>
    </w:p>
    <w:p w14:paraId="12519B32" w14:textId="77777777" w:rsidR="00A04896" w:rsidRDefault="00A04896" w:rsidP="00A04896">
      <w:pPr>
        <w:pStyle w:val="Heading5"/>
      </w:pPr>
      <w:r>
        <w:t>TGA recommendation 17</w:t>
      </w:r>
    </w:p>
    <w:p w14:paraId="5FBB76F9" w14:textId="77777777" w:rsidR="00D044AE" w:rsidRPr="00A04896" w:rsidRDefault="00D044AE" w:rsidP="00A04896">
      <w:r w:rsidRPr="00A04896">
        <w:t>From a risk minimisation perspective the PI would benefit from further elaboration on the definition of the ‘adequately treated’ patient.</w:t>
      </w:r>
      <w:r w:rsidR="00A04896" w:rsidRPr="00A04896">
        <w:t xml:space="preserve"> </w:t>
      </w:r>
      <w:r w:rsidRPr="00A04896">
        <w:t xml:space="preserve">Patients prone to relapse with background antipsychotic treatment, including those with comorbid illicit drug use, may be less suitable for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 xml:space="preserve"> given the possible cumulative effects of additional antipsychotics used to treat acute episodes.</w:t>
      </w:r>
    </w:p>
    <w:p w14:paraId="35D015EF" w14:textId="77777777" w:rsidR="00A04896" w:rsidRPr="00A04896" w:rsidRDefault="00D044AE" w:rsidP="00186E45">
      <w:pPr>
        <w:keepNext/>
        <w:rPr>
          <w:i/>
        </w:rPr>
      </w:pPr>
      <w:r w:rsidRPr="00A04896">
        <w:rPr>
          <w:i/>
        </w:rPr>
        <w:t>Sponsor’s response:</w:t>
      </w:r>
    </w:p>
    <w:p w14:paraId="0AE645BF" w14:textId="77777777" w:rsidR="00D044AE" w:rsidRPr="00A04896" w:rsidRDefault="00D044AE" w:rsidP="00A04896">
      <w:r w:rsidRPr="00A04896">
        <w:t xml:space="preserve">As stated in the response to RMP Question 16, the decision to initiate PP3M should be made based on careful assessments of the patient’s medical history, concomitant medications, and medication preferences, </w:t>
      </w:r>
      <w:r w:rsidR="00186E45">
        <w:t>etcetera</w:t>
      </w:r>
      <w:r w:rsidRPr="00A04896">
        <w:t>.; and the benefit risk balance of the drug should be carefully considered for each individual patient.</w:t>
      </w:r>
    </w:p>
    <w:p w14:paraId="3F0E74A6" w14:textId="77777777" w:rsidR="00D044AE" w:rsidRPr="00A04896" w:rsidRDefault="005968B3" w:rsidP="00A04896">
      <w:proofErr w:type="spellStart"/>
      <w:r w:rsidRPr="00A04896">
        <w:t>Invega</w:t>
      </w:r>
      <w:proofErr w:type="spellEnd"/>
      <w:r w:rsidRPr="00A04896">
        <w:t xml:space="preserve"> </w:t>
      </w:r>
      <w:proofErr w:type="spellStart"/>
      <w:r w:rsidRPr="00A04896">
        <w:t>Trinza</w:t>
      </w:r>
      <w:proofErr w:type="spellEnd"/>
      <w:r w:rsidR="00D044AE" w:rsidRPr="00A04896">
        <w:t xml:space="preserve"> is recommended for patients who have been treated with </w:t>
      </w:r>
      <w:proofErr w:type="spellStart"/>
      <w:r w:rsidRPr="00A04896">
        <w:t>Invega</w:t>
      </w:r>
      <w:proofErr w:type="spellEnd"/>
      <w:r w:rsidRPr="00A04896">
        <w:t xml:space="preserve"> </w:t>
      </w:r>
      <w:proofErr w:type="spellStart"/>
      <w:r w:rsidRPr="00A04896">
        <w:t>Sustenna</w:t>
      </w:r>
      <w:proofErr w:type="spellEnd"/>
      <w:r w:rsidR="00D044AE" w:rsidRPr="00A04896">
        <w:t xml:space="preserve"> for at least 4 months and the last two doses of </w:t>
      </w:r>
      <w:proofErr w:type="spellStart"/>
      <w:r w:rsidRPr="00A04896">
        <w:t>Invega</w:t>
      </w:r>
      <w:proofErr w:type="spellEnd"/>
      <w:r w:rsidRPr="00A04896">
        <w:t xml:space="preserve"> </w:t>
      </w:r>
      <w:proofErr w:type="spellStart"/>
      <w:r w:rsidRPr="00A04896">
        <w:t>Sustenna</w:t>
      </w:r>
      <w:proofErr w:type="spellEnd"/>
      <w:r w:rsidR="00D044AE" w:rsidRPr="00A04896">
        <w:t xml:space="preserve"> should be the same. This is considered </w:t>
      </w:r>
      <w:r>
        <w:t>‘</w:t>
      </w:r>
      <w:r w:rsidR="00D044AE" w:rsidRPr="00A04896">
        <w:t>adequately treated.</w:t>
      </w:r>
      <w:r>
        <w:t>’</w:t>
      </w:r>
      <w:r w:rsidR="00D044AE" w:rsidRPr="00A04896">
        <w:t xml:space="preserve"> This recommendation is based on the outcome for the </w:t>
      </w:r>
      <w:r w:rsidR="00186E45">
        <w:t>two</w:t>
      </w:r>
      <w:r w:rsidR="00D044AE" w:rsidRPr="00A04896">
        <w:t xml:space="preserve"> </w:t>
      </w:r>
      <w:r>
        <w:t>Phase III</w:t>
      </w:r>
      <w:r w:rsidR="00D044AE" w:rsidRPr="00A04896">
        <w:t xml:space="preserve"> trials which showed robust efficacy and no new or unexpected safety </w:t>
      </w:r>
      <w:r w:rsidR="00D044AE" w:rsidRPr="00A04896">
        <w:lastRenderedPageBreak/>
        <w:t xml:space="preserve">findings were identified. The </w:t>
      </w:r>
      <w:r>
        <w:t>sponsor</w:t>
      </w:r>
      <w:r w:rsidR="00D044AE" w:rsidRPr="00A04896">
        <w:t xml:space="preserve"> considers the PI provides appropriate guidance for the prescribers and flexibilities for them to make informed decision based on a patient’s conditions.</w:t>
      </w:r>
    </w:p>
    <w:p w14:paraId="289DC9FD" w14:textId="77777777" w:rsidR="00A04896" w:rsidRPr="00A04896" w:rsidRDefault="00D044AE" w:rsidP="00A04896">
      <w:pPr>
        <w:keepNext/>
        <w:rPr>
          <w:i/>
        </w:rPr>
      </w:pPr>
      <w:r w:rsidRPr="00A04896">
        <w:rPr>
          <w:i/>
        </w:rPr>
        <w:t xml:space="preserve">RMP </w:t>
      </w:r>
      <w:r w:rsidR="00186E45">
        <w:rPr>
          <w:i/>
        </w:rPr>
        <w:t>evaluator</w:t>
      </w:r>
      <w:r w:rsidRPr="00A04896">
        <w:rPr>
          <w:i/>
        </w:rPr>
        <w:t xml:space="preserve"> comment:</w:t>
      </w:r>
    </w:p>
    <w:p w14:paraId="485AC5E7" w14:textId="77777777" w:rsidR="00D044AE" w:rsidRPr="00A04896" w:rsidRDefault="00D044AE" w:rsidP="00A04896">
      <w:r w:rsidRPr="00A04896">
        <w:t xml:space="preserve">The </w:t>
      </w:r>
      <w:r w:rsidR="005968B3">
        <w:t>sponsor</w:t>
      </w:r>
      <w:r w:rsidRPr="00A04896">
        <w:t xml:space="preserve">’s definition of </w:t>
      </w:r>
      <w:r w:rsidR="005968B3">
        <w:t>‘</w:t>
      </w:r>
      <w:r w:rsidRPr="00A04896">
        <w:t xml:space="preserve">adequately </w:t>
      </w:r>
      <w:r w:rsidRPr="00186E45">
        <w:t>treated</w:t>
      </w:r>
      <w:r w:rsidR="005968B3" w:rsidRPr="00186E45">
        <w:t>’</w:t>
      </w:r>
      <w:r w:rsidRPr="00186E45">
        <w:t xml:space="preserve"> has been noted. Additional recommendations to identify suitable patients </w:t>
      </w:r>
      <w:r w:rsidR="00186E45">
        <w:t>were</w:t>
      </w:r>
      <w:r w:rsidRPr="00186E45">
        <w:t xml:space="preserve"> discussed </w:t>
      </w:r>
      <w:r w:rsidR="00186E45" w:rsidRPr="00186E45">
        <w:t>below</w:t>
      </w:r>
      <w:r w:rsidRPr="00A04896">
        <w:t>.</w:t>
      </w:r>
    </w:p>
    <w:p w14:paraId="5D670456" w14:textId="77777777" w:rsidR="00A04896" w:rsidRDefault="00A04896" w:rsidP="00A04896">
      <w:pPr>
        <w:pStyle w:val="Heading5"/>
      </w:pPr>
      <w:r>
        <w:t>TGA recommendation 18</w:t>
      </w:r>
    </w:p>
    <w:p w14:paraId="541E33C7" w14:textId="77777777" w:rsidR="00D044AE" w:rsidRPr="00A04896" w:rsidRDefault="00D044AE" w:rsidP="00A04896">
      <w:r w:rsidRPr="00A04896">
        <w:t xml:space="preserve">In general the precautions included in the approved PI for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A04896">
        <w:t xml:space="preserve"> contain more comprehensive information than the precautions proposed for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w:t>
      </w:r>
      <w:r w:rsidR="00A04896" w:rsidRPr="00A04896">
        <w:t xml:space="preserve"> </w:t>
      </w:r>
      <w:r w:rsidRPr="00A04896">
        <w:t xml:space="preserve">In the absence of a compelling justification for these differences the RMP evaluator would favour the revision of the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 xml:space="preserve"> precautions to better align with those in the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A04896">
        <w:t xml:space="preserve"> PI.</w:t>
      </w:r>
    </w:p>
    <w:p w14:paraId="25B53FA6" w14:textId="77777777" w:rsidR="00A04896" w:rsidRPr="00A04896" w:rsidRDefault="00D044AE" w:rsidP="00A04896">
      <w:pPr>
        <w:rPr>
          <w:i/>
        </w:rPr>
      </w:pPr>
      <w:r w:rsidRPr="00A04896">
        <w:rPr>
          <w:i/>
        </w:rPr>
        <w:t>Sponsor’s response:</w:t>
      </w:r>
    </w:p>
    <w:p w14:paraId="35577B6D" w14:textId="77777777" w:rsidR="00D044AE" w:rsidRPr="00A04896" w:rsidRDefault="00D044AE" w:rsidP="00A04896">
      <w:r w:rsidRPr="00A04896">
        <w:t xml:space="preserve">As previously noted </w:t>
      </w:r>
      <w:r w:rsidR="00186E45">
        <w:t>in response to Question 16</w:t>
      </w:r>
      <w:r w:rsidRPr="00A04896">
        <w:t xml:space="preserve">, the </w:t>
      </w:r>
      <w:r w:rsidR="005968B3">
        <w:t>sponsor</w:t>
      </w:r>
      <w:r w:rsidRPr="00A04896">
        <w:t xml:space="preserve"> has agreed to revise the text in the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 xml:space="preserve"> PI to align with the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A04896">
        <w:t xml:space="preserve"> PI.</w:t>
      </w:r>
    </w:p>
    <w:p w14:paraId="7826E04F" w14:textId="77777777" w:rsidR="00A04896" w:rsidRPr="00A04896" w:rsidRDefault="00D044AE" w:rsidP="00A04896">
      <w:pPr>
        <w:rPr>
          <w:i/>
        </w:rPr>
      </w:pPr>
      <w:r w:rsidRPr="00A04896">
        <w:rPr>
          <w:i/>
        </w:rPr>
        <w:t xml:space="preserve">RMP </w:t>
      </w:r>
      <w:r w:rsidR="00186E45">
        <w:rPr>
          <w:i/>
        </w:rPr>
        <w:t>evaluator</w:t>
      </w:r>
      <w:r w:rsidRPr="00A04896">
        <w:rPr>
          <w:i/>
        </w:rPr>
        <w:t xml:space="preserve"> comment:</w:t>
      </w:r>
    </w:p>
    <w:p w14:paraId="06781D21" w14:textId="77777777" w:rsidR="00D044AE" w:rsidRPr="00A04896" w:rsidRDefault="00D044AE" w:rsidP="00A04896">
      <w:r w:rsidRPr="00A04896">
        <w:t xml:space="preserve">The </w:t>
      </w:r>
      <w:r w:rsidR="005968B3">
        <w:t>sponsor</w:t>
      </w:r>
      <w:r w:rsidRPr="00A04896">
        <w:t xml:space="preserve"> has addressed the evaluator’s concerns in the revised PI submitted to the TGA on 16 June 2016.</w:t>
      </w:r>
    </w:p>
    <w:p w14:paraId="49023A27" w14:textId="77777777" w:rsidR="00A04896" w:rsidRDefault="00A04896" w:rsidP="00A04896">
      <w:pPr>
        <w:pStyle w:val="Heading5"/>
      </w:pPr>
      <w:r>
        <w:t>TGA recommendation 19</w:t>
      </w:r>
    </w:p>
    <w:p w14:paraId="757DC8B9" w14:textId="77777777" w:rsidR="00D044AE" w:rsidRPr="00A04896" w:rsidRDefault="00D044AE" w:rsidP="00A04896">
      <w:r w:rsidRPr="00A04896">
        <w:t xml:space="preserve">The Delegate is advised of the additional observed disparities between the approved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A04896">
        <w:t xml:space="preserve"> PI and the proposed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 xml:space="preserve"> PI:</w:t>
      </w:r>
    </w:p>
    <w:p w14:paraId="758A6A3F" w14:textId="77777777" w:rsidR="00D044AE" w:rsidRPr="00A04896" w:rsidRDefault="00D044AE" w:rsidP="00A04896">
      <w:pPr>
        <w:pStyle w:val="Numberbullet2"/>
      </w:pPr>
      <w:r w:rsidRPr="00A04896">
        <w:t xml:space="preserve">The approved PI for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A04896">
        <w:t xml:space="preserve"> includes a precaution for </w:t>
      </w:r>
      <w:r w:rsidR="00186E45" w:rsidRPr="00A04896">
        <w:t>h</w:t>
      </w:r>
      <w:r w:rsidRPr="00A04896">
        <w:t xml:space="preserve">yperprolactinemia which does not appear in the draft PI for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w:t>
      </w:r>
    </w:p>
    <w:p w14:paraId="5A1AFBA1" w14:textId="77777777" w:rsidR="00D044AE" w:rsidRPr="00A04896" w:rsidRDefault="00D044AE" w:rsidP="00A04896">
      <w:pPr>
        <w:pStyle w:val="Numberbullet2"/>
      </w:pPr>
      <w:r w:rsidRPr="00A04896">
        <w:t xml:space="preserve">The approved PI for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A04896">
        <w:t xml:space="preserve"> includes a precaution </w:t>
      </w:r>
      <w:r w:rsidR="00186E45" w:rsidRPr="00A04896">
        <w:t>for s</w:t>
      </w:r>
      <w:r w:rsidRPr="00A04896">
        <w:t xml:space="preserve">uicide which does not appear in the draft PI for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w:t>
      </w:r>
    </w:p>
    <w:p w14:paraId="58343C5C" w14:textId="77777777" w:rsidR="00D044AE" w:rsidRPr="00A04896" w:rsidRDefault="00D044AE" w:rsidP="00A04896">
      <w:pPr>
        <w:pStyle w:val="Numberbullet2"/>
      </w:pPr>
      <w:r w:rsidRPr="00A04896">
        <w:t xml:space="preserve">The approved PI for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A04896">
        <w:t xml:space="preserve"> includes a precaution </w:t>
      </w:r>
      <w:r w:rsidR="00186E45" w:rsidRPr="00A04896">
        <w:t xml:space="preserve">for potential for cognitive and motor impairment </w:t>
      </w:r>
      <w:r w:rsidRPr="00A04896">
        <w:t xml:space="preserve">which does not appear in the draft PI for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w:t>
      </w:r>
    </w:p>
    <w:p w14:paraId="66FC6C56" w14:textId="77777777" w:rsidR="00D044AE" w:rsidRPr="00A04896" w:rsidRDefault="00D044AE" w:rsidP="00A04896">
      <w:pPr>
        <w:pStyle w:val="Numberbullet2"/>
      </w:pPr>
      <w:r w:rsidRPr="00A04896">
        <w:t xml:space="preserve">The approved PI for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A04896">
        <w:t xml:space="preserve"> includes a precaution </w:t>
      </w:r>
      <w:r w:rsidR="00186E45" w:rsidRPr="00A04896">
        <w:t>for d</w:t>
      </w:r>
      <w:r w:rsidRPr="00A04896">
        <w:t xml:space="preserve">ysphagia which does not appear in the draft PI for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w:t>
      </w:r>
    </w:p>
    <w:p w14:paraId="7CD5140D" w14:textId="77777777" w:rsidR="00D044AE" w:rsidRPr="00A04896" w:rsidRDefault="00D044AE" w:rsidP="00A04896">
      <w:pPr>
        <w:pStyle w:val="Numberbullet2"/>
      </w:pPr>
      <w:r w:rsidRPr="00A04896">
        <w:t xml:space="preserve">The approved PI for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A04896">
        <w:t xml:space="preserve"> includes a precaution for</w:t>
      </w:r>
      <w:r w:rsidR="00186E45" w:rsidRPr="00A04896">
        <w:t xml:space="preserve"> thrombotic </w:t>
      </w:r>
      <w:proofErr w:type="spellStart"/>
      <w:r w:rsidR="00186E45" w:rsidRPr="00A04896">
        <w:t>thrombocytic</w:t>
      </w:r>
      <w:proofErr w:type="spellEnd"/>
      <w:r w:rsidR="00186E45" w:rsidRPr="00A04896">
        <w:t xml:space="preserve"> purpura w</w:t>
      </w:r>
      <w:r w:rsidRPr="00A04896">
        <w:t xml:space="preserve">hich does not appear in the draft PI for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w:t>
      </w:r>
    </w:p>
    <w:p w14:paraId="156F3DBF" w14:textId="77777777" w:rsidR="00D044AE" w:rsidRPr="00A04896" w:rsidRDefault="00D044AE" w:rsidP="00A04896">
      <w:pPr>
        <w:pStyle w:val="Numberbullet2"/>
      </w:pPr>
      <w:r w:rsidRPr="00A04896">
        <w:t xml:space="preserve">The approved PI for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A04896">
        <w:t xml:space="preserve"> includes a precaution </w:t>
      </w:r>
      <w:r w:rsidR="00186E45" w:rsidRPr="00A04896">
        <w:t>for extrapyramidal sym</w:t>
      </w:r>
      <w:r w:rsidRPr="00A04896">
        <w:t xml:space="preserve">ptoms which does not appear in the draft PI for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w:t>
      </w:r>
    </w:p>
    <w:p w14:paraId="67A08826" w14:textId="77777777" w:rsidR="00D044AE" w:rsidRPr="00A04896" w:rsidRDefault="00D044AE" w:rsidP="00A04896">
      <w:pPr>
        <w:pStyle w:val="Numberbullet2"/>
      </w:pPr>
      <w:r w:rsidRPr="00A04896">
        <w:t xml:space="preserve">The approved PI for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A04896">
        <w:t xml:space="preserve"> includes a precaution for</w:t>
      </w:r>
      <w:r w:rsidR="00186E45" w:rsidRPr="00A04896">
        <w:t xml:space="preserve"> orthostatic hypertension and syncop</w:t>
      </w:r>
      <w:r w:rsidRPr="00A04896">
        <w:t xml:space="preserve">e whereas the draft PI for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 xml:space="preserve"> includes a precaution </w:t>
      </w:r>
      <w:r w:rsidR="00186E45" w:rsidRPr="00A04896">
        <w:t xml:space="preserve">for orthostatic hypertension </w:t>
      </w:r>
      <w:r w:rsidRPr="00A04896">
        <w:t>only.</w:t>
      </w:r>
    </w:p>
    <w:p w14:paraId="149409C0" w14:textId="77777777" w:rsidR="00A04896" w:rsidRPr="00A04896" w:rsidRDefault="00D044AE" w:rsidP="00A04896">
      <w:pPr>
        <w:rPr>
          <w:i/>
        </w:rPr>
      </w:pPr>
      <w:r w:rsidRPr="00A04896">
        <w:rPr>
          <w:i/>
        </w:rPr>
        <w:t>Sponsor’s response:</w:t>
      </w:r>
    </w:p>
    <w:p w14:paraId="0E46CC77" w14:textId="77777777" w:rsidR="00D044AE" w:rsidRPr="00A04896" w:rsidRDefault="00D044AE" w:rsidP="00A04896">
      <w:r w:rsidRPr="00A04896">
        <w:t xml:space="preserve">Response to parts a, c, f and g: As previously noted, the </w:t>
      </w:r>
      <w:r w:rsidR="005968B3">
        <w:t>sponsor</w:t>
      </w:r>
      <w:r w:rsidRPr="00A04896">
        <w:t xml:space="preserve"> has agreed to revise the text in the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 xml:space="preserve"> PI to align with the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A04896">
        <w:t xml:space="preserve"> PI.</w:t>
      </w:r>
    </w:p>
    <w:p w14:paraId="4D1EB02B" w14:textId="77777777" w:rsidR="00D044AE" w:rsidRPr="00A04896" w:rsidRDefault="00D044AE" w:rsidP="00A04896">
      <w:r w:rsidRPr="00A04896">
        <w:t xml:space="preserve">Part b: The </w:t>
      </w:r>
      <w:r w:rsidR="005968B3">
        <w:t>sponsor</w:t>
      </w:r>
      <w:r w:rsidRPr="00A04896">
        <w:t xml:space="preserve"> proposes to add the existing precaution </w:t>
      </w:r>
      <w:r w:rsidR="00186E45" w:rsidRPr="00A04896">
        <w:t>for s</w:t>
      </w:r>
      <w:r w:rsidRPr="00A04896">
        <w:t xml:space="preserve">uicide in the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A04896">
        <w:t xml:space="preserve"> PI to the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 xml:space="preserve"> PI. The following text (from the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A04896">
        <w:t xml:space="preserve"> PI) will be added:</w:t>
      </w:r>
    </w:p>
    <w:p w14:paraId="2D5951A4" w14:textId="77777777" w:rsidR="00D044AE" w:rsidRPr="00186E45" w:rsidRDefault="005968B3" w:rsidP="00EA33E5">
      <w:pPr>
        <w:keepNext/>
        <w:ind w:left="720"/>
        <w:rPr>
          <w:i/>
        </w:rPr>
      </w:pPr>
      <w:r w:rsidRPr="00186E45">
        <w:rPr>
          <w:i/>
        </w:rPr>
        <w:lastRenderedPageBreak/>
        <w:t>‘</w:t>
      </w:r>
      <w:r w:rsidR="00D044AE" w:rsidRPr="00186E45">
        <w:rPr>
          <w:i/>
        </w:rPr>
        <w:t>Suicide</w:t>
      </w:r>
    </w:p>
    <w:p w14:paraId="569DC942" w14:textId="77777777" w:rsidR="00D044AE" w:rsidRPr="00A04896" w:rsidRDefault="00D044AE" w:rsidP="00186E45">
      <w:pPr>
        <w:ind w:left="720"/>
      </w:pPr>
      <w:r w:rsidRPr="00186E45">
        <w:rPr>
          <w:i/>
        </w:rPr>
        <w:t>The possibility of suicide attempt is inherent in psychotic illnesses, and close supervision of high-risk patients should accompany drug therapy.</w:t>
      </w:r>
      <w:r w:rsidR="005968B3" w:rsidRPr="00186E45">
        <w:rPr>
          <w:i/>
        </w:rPr>
        <w:t>’</w:t>
      </w:r>
    </w:p>
    <w:p w14:paraId="7E3ECA28" w14:textId="77777777" w:rsidR="00D044AE" w:rsidRPr="00A04896" w:rsidRDefault="00D044AE" w:rsidP="00A04896">
      <w:r w:rsidRPr="00A04896">
        <w:t xml:space="preserve">Part d: The </w:t>
      </w:r>
      <w:r w:rsidR="005968B3">
        <w:t>sponsor</w:t>
      </w:r>
      <w:r w:rsidRPr="00A04896">
        <w:t xml:space="preserve"> proposes to add the precaution </w:t>
      </w:r>
      <w:r w:rsidR="00186E45" w:rsidRPr="00A04896">
        <w:t xml:space="preserve">for dysphagia </w:t>
      </w:r>
      <w:r w:rsidRPr="00A04896">
        <w:t xml:space="preserve">in the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A04896">
        <w:t xml:space="preserve"> PI to the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 xml:space="preserve"> PI. The following text (from the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A04896">
        <w:t xml:space="preserve"> PI) will be added:</w:t>
      </w:r>
    </w:p>
    <w:p w14:paraId="49DE50EC" w14:textId="77777777" w:rsidR="00D044AE" w:rsidRPr="00186E45" w:rsidRDefault="005968B3" w:rsidP="00186E45">
      <w:pPr>
        <w:ind w:left="720"/>
        <w:rPr>
          <w:i/>
        </w:rPr>
      </w:pPr>
      <w:r>
        <w:t>‘</w:t>
      </w:r>
      <w:r w:rsidR="00D044AE" w:rsidRPr="00186E45">
        <w:rPr>
          <w:i/>
        </w:rPr>
        <w:t>Dysphagia</w:t>
      </w:r>
    </w:p>
    <w:p w14:paraId="70D35941" w14:textId="77777777" w:rsidR="00D044AE" w:rsidRPr="00186E45" w:rsidRDefault="00D044AE" w:rsidP="00186E45">
      <w:pPr>
        <w:ind w:left="720"/>
        <w:rPr>
          <w:i/>
        </w:rPr>
      </w:pPr>
      <w:proofErr w:type="spellStart"/>
      <w:r w:rsidRPr="00186E45">
        <w:rPr>
          <w:i/>
        </w:rPr>
        <w:t>Esophageal</w:t>
      </w:r>
      <w:proofErr w:type="spellEnd"/>
      <w:r w:rsidRPr="00186E45">
        <w:rPr>
          <w:i/>
        </w:rPr>
        <w:t xml:space="preserve"> </w:t>
      </w:r>
      <w:proofErr w:type="spellStart"/>
      <w:r w:rsidRPr="00186E45">
        <w:rPr>
          <w:i/>
        </w:rPr>
        <w:t>dysmotility</w:t>
      </w:r>
      <w:proofErr w:type="spellEnd"/>
      <w:r w:rsidRPr="00186E45">
        <w:rPr>
          <w:i/>
        </w:rPr>
        <w:t xml:space="preserve"> and aspiration have been associated with antipsychotic drug use. Aspiration pneumonia is a common cause of morbidity and mortality in patients with advanced Alzheimer’s</w:t>
      </w:r>
      <w:r w:rsidR="00A04896" w:rsidRPr="00186E45">
        <w:rPr>
          <w:i/>
        </w:rPr>
        <w:t xml:space="preserve"> </w:t>
      </w:r>
      <w:r w:rsidRPr="00186E45">
        <w:rPr>
          <w:i/>
        </w:rPr>
        <w:t>dementia.</w:t>
      </w:r>
      <w:r w:rsidR="00A04896" w:rsidRPr="00186E45">
        <w:rPr>
          <w:i/>
        </w:rPr>
        <w:t xml:space="preserve"> </w:t>
      </w:r>
      <w:proofErr w:type="spellStart"/>
      <w:r w:rsidR="005968B3" w:rsidRPr="00186E45">
        <w:rPr>
          <w:i/>
        </w:rPr>
        <w:t>Invega</w:t>
      </w:r>
      <w:proofErr w:type="spellEnd"/>
      <w:r w:rsidR="005968B3" w:rsidRPr="00186E45">
        <w:rPr>
          <w:i/>
        </w:rPr>
        <w:t xml:space="preserve"> </w:t>
      </w:r>
      <w:proofErr w:type="spellStart"/>
      <w:r w:rsidR="005968B3" w:rsidRPr="00186E45">
        <w:rPr>
          <w:i/>
        </w:rPr>
        <w:t>Trinza</w:t>
      </w:r>
      <w:proofErr w:type="spellEnd"/>
      <w:r w:rsidR="00A04896" w:rsidRPr="00186E45">
        <w:rPr>
          <w:i/>
        </w:rPr>
        <w:t xml:space="preserve"> </w:t>
      </w:r>
      <w:r w:rsidRPr="00186E45">
        <w:rPr>
          <w:i/>
        </w:rPr>
        <w:t>and</w:t>
      </w:r>
      <w:r w:rsidR="00A04896" w:rsidRPr="00186E45">
        <w:rPr>
          <w:i/>
        </w:rPr>
        <w:t xml:space="preserve"> </w:t>
      </w:r>
      <w:r w:rsidRPr="00186E45">
        <w:rPr>
          <w:i/>
        </w:rPr>
        <w:t>other</w:t>
      </w:r>
      <w:r w:rsidR="00A04896" w:rsidRPr="00186E45">
        <w:rPr>
          <w:i/>
        </w:rPr>
        <w:t xml:space="preserve"> </w:t>
      </w:r>
      <w:r w:rsidRPr="00186E45">
        <w:rPr>
          <w:i/>
        </w:rPr>
        <w:t>antipsychotic</w:t>
      </w:r>
      <w:r w:rsidR="00A04896" w:rsidRPr="00186E45">
        <w:rPr>
          <w:i/>
        </w:rPr>
        <w:t xml:space="preserve"> </w:t>
      </w:r>
      <w:r w:rsidRPr="00186E45">
        <w:rPr>
          <w:i/>
        </w:rPr>
        <w:t>drugs</w:t>
      </w:r>
      <w:r w:rsidR="00A04896" w:rsidRPr="00186E45">
        <w:rPr>
          <w:i/>
        </w:rPr>
        <w:t xml:space="preserve"> </w:t>
      </w:r>
      <w:r w:rsidRPr="00186E45">
        <w:rPr>
          <w:i/>
        </w:rPr>
        <w:t>should</w:t>
      </w:r>
      <w:r w:rsidR="00A04896" w:rsidRPr="00186E45">
        <w:rPr>
          <w:i/>
        </w:rPr>
        <w:t xml:space="preserve"> </w:t>
      </w:r>
      <w:r w:rsidRPr="00186E45">
        <w:rPr>
          <w:i/>
        </w:rPr>
        <w:t>be</w:t>
      </w:r>
      <w:r w:rsidR="00A04896" w:rsidRPr="00186E45">
        <w:rPr>
          <w:i/>
        </w:rPr>
        <w:t xml:space="preserve"> </w:t>
      </w:r>
      <w:r w:rsidRPr="00186E45">
        <w:rPr>
          <w:i/>
        </w:rPr>
        <w:t>used cautiously in patients at risk for aspiration pneumonia.</w:t>
      </w:r>
      <w:r w:rsidR="005968B3" w:rsidRPr="00186E45">
        <w:rPr>
          <w:i/>
        </w:rPr>
        <w:t>’</w:t>
      </w:r>
    </w:p>
    <w:p w14:paraId="7714058D" w14:textId="77777777" w:rsidR="00D044AE" w:rsidRPr="00A04896" w:rsidRDefault="00D044AE" w:rsidP="00A04896">
      <w:r w:rsidRPr="00A04896">
        <w:t>Part e: The</w:t>
      </w:r>
      <w:r w:rsidR="00A04896" w:rsidRPr="00A04896">
        <w:t xml:space="preserve"> </w:t>
      </w:r>
      <w:r w:rsidR="005968B3">
        <w:t>sponsor</w:t>
      </w:r>
      <w:r w:rsidR="00A04896" w:rsidRPr="00A04896">
        <w:t xml:space="preserve"> </w:t>
      </w:r>
      <w:r w:rsidRPr="00A04896">
        <w:t>proposes</w:t>
      </w:r>
      <w:r w:rsidR="00A04896" w:rsidRPr="00A04896">
        <w:t xml:space="preserve"> </w:t>
      </w:r>
      <w:r w:rsidRPr="00A04896">
        <w:t>to</w:t>
      </w:r>
      <w:r w:rsidR="00A04896" w:rsidRPr="00A04896">
        <w:t xml:space="preserve"> </w:t>
      </w:r>
      <w:r w:rsidRPr="00A04896">
        <w:t>add</w:t>
      </w:r>
      <w:r w:rsidR="00A04896" w:rsidRPr="00A04896">
        <w:t xml:space="preserve"> </w:t>
      </w:r>
      <w:r w:rsidRPr="00A04896">
        <w:t>the</w:t>
      </w:r>
      <w:r w:rsidR="00A04896" w:rsidRPr="00A04896">
        <w:t xml:space="preserve"> </w:t>
      </w:r>
      <w:r w:rsidRPr="00A04896">
        <w:t>precaution</w:t>
      </w:r>
      <w:r w:rsidR="00A04896" w:rsidRPr="00A04896">
        <w:t xml:space="preserve"> </w:t>
      </w:r>
      <w:r w:rsidRPr="00A04896">
        <w:t>for</w:t>
      </w:r>
      <w:r w:rsidR="00A04896" w:rsidRPr="00A04896">
        <w:t xml:space="preserve"> </w:t>
      </w:r>
      <w:r w:rsidR="00186E45" w:rsidRPr="00A04896">
        <w:t xml:space="preserve">thrombotic </w:t>
      </w:r>
      <w:proofErr w:type="spellStart"/>
      <w:r w:rsidR="00186E45" w:rsidRPr="00A04896">
        <w:t>thrombocytic</w:t>
      </w:r>
      <w:proofErr w:type="spellEnd"/>
      <w:r w:rsidR="00186E45" w:rsidRPr="00A04896">
        <w:t xml:space="preserve"> purpura </w:t>
      </w:r>
      <w:r w:rsidRPr="00A04896">
        <w:t>in</w:t>
      </w:r>
      <w:r w:rsidR="00A04896" w:rsidRPr="00A04896">
        <w:t xml:space="preserve"> </w:t>
      </w:r>
      <w:r w:rsidRPr="00A04896">
        <w:t xml:space="preserve">the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A04896">
        <w:t xml:space="preserve"> PI to the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4896">
        <w:t xml:space="preserve"> PI. The following text (from the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A04896">
        <w:t xml:space="preserve"> PI) will be added:</w:t>
      </w:r>
    </w:p>
    <w:p w14:paraId="5625E4A3" w14:textId="77777777" w:rsidR="00D044AE" w:rsidRPr="00186E45" w:rsidRDefault="005968B3" w:rsidP="00186E45">
      <w:pPr>
        <w:ind w:left="720"/>
        <w:rPr>
          <w:i/>
        </w:rPr>
      </w:pPr>
      <w:r w:rsidRPr="00186E45">
        <w:rPr>
          <w:i/>
        </w:rPr>
        <w:t>‘</w:t>
      </w:r>
      <w:r w:rsidR="00D044AE" w:rsidRPr="00186E45">
        <w:rPr>
          <w:i/>
        </w:rPr>
        <w:t>Thrombotic Thrombocytopenic Purpura (TTP)</w:t>
      </w:r>
    </w:p>
    <w:p w14:paraId="06C12925" w14:textId="77777777" w:rsidR="00D044AE" w:rsidRPr="00186E45" w:rsidRDefault="00D044AE" w:rsidP="00186E45">
      <w:pPr>
        <w:ind w:left="720"/>
        <w:rPr>
          <w:i/>
        </w:rPr>
      </w:pPr>
      <w:r w:rsidRPr="00186E45">
        <w:rPr>
          <w:i/>
        </w:rPr>
        <w:t xml:space="preserve">No cases of TTP were observed during clinical studies with oral </w:t>
      </w:r>
      <w:proofErr w:type="spellStart"/>
      <w:r w:rsidRPr="00186E45">
        <w:rPr>
          <w:i/>
        </w:rPr>
        <w:t>paliperidone</w:t>
      </w:r>
      <w:proofErr w:type="spellEnd"/>
      <w:r w:rsidRPr="00186E45">
        <w:rPr>
          <w:i/>
        </w:rPr>
        <w:t xml:space="preserve">, the </w:t>
      </w:r>
      <w:r w:rsidR="008D4FE3" w:rsidRPr="00186E45">
        <w:rPr>
          <w:i/>
        </w:rPr>
        <w:t>1 month</w:t>
      </w:r>
      <w:r w:rsidRPr="00186E45">
        <w:rPr>
          <w:i/>
        </w:rPr>
        <w:t xml:space="preserve"> </w:t>
      </w:r>
      <w:proofErr w:type="spellStart"/>
      <w:r w:rsidRPr="00186E45">
        <w:rPr>
          <w:i/>
        </w:rPr>
        <w:t>paliperidone</w:t>
      </w:r>
      <w:proofErr w:type="spellEnd"/>
      <w:r w:rsidRPr="00186E45">
        <w:rPr>
          <w:i/>
        </w:rPr>
        <w:t xml:space="preserve"> palmitate injectable product, or </w:t>
      </w:r>
      <w:proofErr w:type="spellStart"/>
      <w:r w:rsidR="005968B3" w:rsidRPr="00186E45">
        <w:rPr>
          <w:i/>
        </w:rPr>
        <w:t>Invega</w:t>
      </w:r>
      <w:proofErr w:type="spellEnd"/>
      <w:r w:rsidR="005968B3" w:rsidRPr="00186E45">
        <w:rPr>
          <w:i/>
        </w:rPr>
        <w:t xml:space="preserve"> </w:t>
      </w:r>
      <w:proofErr w:type="spellStart"/>
      <w:r w:rsidR="005968B3" w:rsidRPr="00186E45">
        <w:rPr>
          <w:i/>
        </w:rPr>
        <w:t>Trinza</w:t>
      </w:r>
      <w:proofErr w:type="spellEnd"/>
      <w:r w:rsidRPr="00186E45">
        <w:rPr>
          <w:i/>
        </w:rPr>
        <w:t>. Although cases of TTP have been reported in association with risperidone administration, the relationship to risperidone therapy is unknown.</w:t>
      </w:r>
      <w:r w:rsidR="005968B3" w:rsidRPr="00186E45">
        <w:rPr>
          <w:i/>
        </w:rPr>
        <w:t>’</w:t>
      </w:r>
    </w:p>
    <w:p w14:paraId="3B542172" w14:textId="77777777" w:rsidR="00A04896" w:rsidRPr="00A04896" w:rsidRDefault="00D044AE" w:rsidP="00A04896">
      <w:pPr>
        <w:rPr>
          <w:i/>
        </w:rPr>
      </w:pPr>
      <w:r w:rsidRPr="00A04896">
        <w:rPr>
          <w:i/>
        </w:rPr>
        <w:t xml:space="preserve">RMP </w:t>
      </w:r>
      <w:r w:rsidR="00186E45">
        <w:rPr>
          <w:i/>
        </w:rPr>
        <w:t>evaluator</w:t>
      </w:r>
      <w:r w:rsidRPr="00A04896">
        <w:rPr>
          <w:i/>
        </w:rPr>
        <w:t xml:space="preserve"> comment:</w:t>
      </w:r>
    </w:p>
    <w:p w14:paraId="2593E450" w14:textId="77777777" w:rsidR="00D044AE" w:rsidRPr="00A04896" w:rsidRDefault="00D044AE" w:rsidP="00A04896">
      <w:r w:rsidRPr="00A04896">
        <w:t xml:space="preserve">The </w:t>
      </w:r>
      <w:r w:rsidR="005968B3">
        <w:t>sponsor</w:t>
      </w:r>
      <w:r w:rsidRPr="00A04896">
        <w:t xml:space="preserve"> has addressed the RMP </w:t>
      </w:r>
      <w:r w:rsidR="00186E45">
        <w:t>evaluator</w:t>
      </w:r>
      <w:r w:rsidRPr="00A04896">
        <w:t>’s concerns in the revised PI which was submitted to the TGA on 16 June 2016.</w:t>
      </w:r>
    </w:p>
    <w:p w14:paraId="35AA98FF" w14:textId="77777777" w:rsidR="00A04896" w:rsidRDefault="00A04896" w:rsidP="00A04896">
      <w:pPr>
        <w:pStyle w:val="Heading5"/>
        <w:rPr>
          <w:rFonts w:cstheme="majorHAnsi"/>
          <w:color w:val="000000"/>
        </w:rPr>
      </w:pPr>
      <w:r>
        <w:t>TGA recommendation 20</w:t>
      </w:r>
    </w:p>
    <w:p w14:paraId="6CBC307F" w14:textId="77777777" w:rsidR="00D044AE" w:rsidRPr="00A04896" w:rsidRDefault="00D044AE" w:rsidP="00A04896">
      <w:r w:rsidRPr="00A04896">
        <w:t xml:space="preserve">The table comparing the EU </w:t>
      </w:r>
      <w:proofErr w:type="spellStart"/>
      <w:r w:rsidRPr="00A04896">
        <w:t>SmPC</w:t>
      </w:r>
      <w:proofErr w:type="spellEnd"/>
      <w:r w:rsidRPr="00A04896">
        <w:t xml:space="preserve"> with the proposed ASA (submitted to the TGA following submission assessment) should be incorporated into the ASA whenever it is revised.</w:t>
      </w:r>
    </w:p>
    <w:p w14:paraId="0A9D6B61" w14:textId="77777777" w:rsidR="00A04896" w:rsidRPr="00A04896" w:rsidRDefault="00D044AE" w:rsidP="00A04896">
      <w:pPr>
        <w:rPr>
          <w:i/>
        </w:rPr>
      </w:pPr>
      <w:r w:rsidRPr="00A04896">
        <w:rPr>
          <w:i/>
        </w:rPr>
        <w:t>Sponsor’s response:</w:t>
      </w:r>
    </w:p>
    <w:p w14:paraId="542D29CD" w14:textId="77777777" w:rsidR="00D044AE" w:rsidRPr="00A04896" w:rsidRDefault="00D044AE" w:rsidP="00A04896">
      <w:r w:rsidRPr="00A04896">
        <w:t>The table has been included in the updated ASA as per TGA request.</w:t>
      </w:r>
    </w:p>
    <w:p w14:paraId="63A974D6" w14:textId="77777777" w:rsidR="00A04896" w:rsidRPr="00A04896" w:rsidRDefault="00D044AE" w:rsidP="00A04896">
      <w:pPr>
        <w:rPr>
          <w:i/>
        </w:rPr>
      </w:pPr>
      <w:r w:rsidRPr="00A04896">
        <w:rPr>
          <w:i/>
        </w:rPr>
        <w:t xml:space="preserve">RMP </w:t>
      </w:r>
      <w:r w:rsidR="00186E45">
        <w:rPr>
          <w:i/>
        </w:rPr>
        <w:t>evaluator</w:t>
      </w:r>
      <w:r w:rsidRPr="00A04896">
        <w:rPr>
          <w:i/>
        </w:rPr>
        <w:t xml:space="preserve"> comment:</w:t>
      </w:r>
    </w:p>
    <w:p w14:paraId="76F42E00" w14:textId="77777777" w:rsidR="00D044AE" w:rsidRPr="00D044AE" w:rsidRDefault="00D044AE" w:rsidP="00D044AE">
      <w:r w:rsidRPr="00A04896">
        <w:t xml:space="preserve">The inclusion of this table is noted. The </w:t>
      </w:r>
      <w:r w:rsidR="005968B3">
        <w:t>sponsor</w:t>
      </w:r>
      <w:r w:rsidRPr="00A04896">
        <w:t xml:space="preserve"> should ensure that the statements in this table are updated to reflect the approved version of the PI once it has been finalised.</w:t>
      </w:r>
    </w:p>
    <w:p w14:paraId="1095A44C" w14:textId="77777777"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14:paraId="57CCB978" w14:textId="77777777" w:rsidR="00A002B8" w:rsidRDefault="00A002B8" w:rsidP="00A002B8">
      <w:bookmarkStart w:id="139" w:name="_Toc314842510"/>
      <w:r w:rsidRPr="00A002B8">
        <w:t xml:space="preserve">The safety concerns for </w:t>
      </w:r>
      <w:proofErr w:type="spellStart"/>
      <w:r w:rsidR="005968B3" w:rsidRPr="00A04896">
        <w:t>Invega</w:t>
      </w:r>
      <w:proofErr w:type="spellEnd"/>
      <w:r w:rsidR="005968B3" w:rsidRPr="00A04896">
        <w:t xml:space="preserve"> </w:t>
      </w:r>
      <w:proofErr w:type="spellStart"/>
      <w:r w:rsidR="005968B3" w:rsidRPr="00A04896">
        <w:t>Trinza</w:t>
      </w:r>
      <w:proofErr w:type="spellEnd"/>
      <w:r w:rsidRPr="00A002B8">
        <w:t xml:space="preserve">/ </w:t>
      </w:r>
      <w:proofErr w:type="spellStart"/>
      <w:r w:rsidRPr="00A002B8">
        <w:t>Trivecta</w:t>
      </w:r>
      <w:proofErr w:type="spellEnd"/>
      <w:r w:rsidRPr="00A002B8">
        <w:t xml:space="preserve"> (PP3M) are similar to those for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A002B8">
        <w:t xml:space="preserve"> (1 month injection; PP1M) and </w:t>
      </w:r>
      <w:proofErr w:type="spellStart"/>
      <w:r w:rsidRPr="00A002B8">
        <w:t>Invega</w:t>
      </w:r>
      <w:proofErr w:type="spellEnd"/>
      <w:r w:rsidRPr="00A002B8">
        <w:t xml:space="preserve"> (tablet form). However, the management of any emerging adverse event is complicated by the three month formulation. The inability to rapidly discontinue PP3M forms the basis of concerns regarding risk identification and risk mitigation strategies for this formulation of </w:t>
      </w:r>
      <w:proofErr w:type="spellStart"/>
      <w:r w:rsidRPr="00A002B8">
        <w:t>paliperidone</w:t>
      </w:r>
      <w:proofErr w:type="spellEnd"/>
      <w:r w:rsidRPr="00A002B8">
        <w:t>. The rec</w:t>
      </w:r>
      <w:r w:rsidR="007F742D">
        <w:t>ommendations for this report are provided below</w:t>
      </w:r>
      <w:r w:rsidRPr="00A002B8">
        <w:t>.</w:t>
      </w:r>
    </w:p>
    <w:p w14:paraId="63F423D5" w14:textId="77777777" w:rsidR="00EF622E" w:rsidRPr="00EF622E" w:rsidRDefault="007F742D" w:rsidP="007F742D">
      <w:pPr>
        <w:pStyle w:val="Heading5"/>
      </w:pPr>
      <w:r>
        <w:t>Issues in relation to the RMP</w:t>
      </w:r>
    </w:p>
    <w:p w14:paraId="280F8A28" w14:textId="77777777" w:rsidR="00EF622E" w:rsidRPr="00EF622E" w:rsidRDefault="00EF622E" w:rsidP="00EF622E">
      <w:pPr>
        <w:pStyle w:val="Heading5"/>
      </w:pPr>
      <w:bookmarkStart w:id="140" w:name="_Ref453758723"/>
      <w:r w:rsidRPr="00EF622E">
        <w:t>Advice from the Advisory Committee on the Safety of Medicines (ACSOM)</w:t>
      </w:r>
      <w:bookmarkEnd w:id="140"/>
    </w:p>
    <w:p w14:paraId="7733E9F5" w14:textId="77777777" w:rsidR="00EF622E" w:rsidRPr="00EF622E" w:rsidRDefault="00EF622E" w:rsidP="00EF622E">
      <w:r w:rsidRPr="00EF622E">
        <w:t>The key safety concerns raised by ACSOM were:</w:t>
      </w:r>
    </w:p>
    <w:p w14:paraId="1DA35C82" w14:textId="77777777" w:rsidR="00EF622E" w:rsidRPr="00EF622E" w:rsidRDefault="00EF622E" w:rsidP="00EF622E">
      <w:pPr>
        <w:pStyle w:val="ListBullet"/>
      </w:pPr>
      <w:r w:rsidRPr="00EF622E">
        <w:t>The long duration of effect and associated inability to withdraw treatment at the emergence of an adverse event or in the case of pregnancy.</w:t>
      </w:r>
    </w:p>
    <w:p w14:paraId="1F20AE7C" w14:textId="77777777" w:rsidR="00EF622E" w:rsidRPr="00EF622E" w:rsidRDefault="00EF622E" w:rsidP="00EF622E">
      <w:pPr>
        <w:pStyle w:val="ListBullet"/>
      </w:pPr>
      <w:r w:rsidRPr="00EF622E">
        <w:t>The risk of administration errors as indicated by variable plasma levels, dosing errors during the clinical trials, and the relatively complex administration instructions.</w:t>
      </w:r>
    </w:p>
    <w:p w14:paraId="43D29AEC" w14:textId="77777777" w:rsidR="00EF622E" w:rsidRPr="00EF622E" w:rsidRDefault="00EF622E" w:rsidP="00EF622E">
      <w:pPr>
        <w:pStyle w:val="ListBullet"/>
      </w:pPr>
      <w:r w:rsidRPr="00EF622E">
        <w:lastRenderedPageBreak/>
        <w:t xml:space="preserve">The risk of </w:t>
      </w:r>
      <w:r w:rsidR="005968B3">
        <w:t>‘</w:t>
      </w:r>
      <w:r w:rsidRPr="00EF622E">
        <w:t>post-injection syndrome</w:t>
      </w:r>
      <w:r w:rsidR="005968B3">
        <w:t>’</w:t>
      </w:r>
      <w:r w:rsidRPr="00EF622E">
        <w:t xml:space="preserve"> (also referred to as dose-dumping).</w:t>
      </w:r>
    </w:p>
    <w:p w14:paraId="018E1B57" w14:textId="77777777" w:rsidR="00EF622E" w:rsidRPr="00EF622E" w:rsidRDefault="00EF622E" w:rsidP="00EF622E">
      <w:pPr>
        <w:pStyle w:val="ListBullet"/>
      </w:pPr>
      <w:r w:rsidRPr="00EF622E">
        <w:t>The risk of drug interactions, particularly those which may arise from concomitant administration of medicines that may have a cumulative risk of adverse events such as QT prolongation. This concern was increased due to the patient population which may be uncooperative with a patient alert card or similar risk minimisation measure, and may not report, or accurately report, the use of the 3 month injection.</w:t>
      </w:r>
    </w:p>
    <w:p w14:paraId="43BB96A5" w14:textId="77777777" w:rsidR="00EF622E" w:rsidRPr="00EF622E" w:rsidRDefault="007F742D" w:rsidP="00EF622E">
      <w:pPr>
        <w:pStyle w:val="Heading5"/>
        <w:rPr>
          <w:rFonts w:eastAsia="Cambria"/>
        </w:rPr>
      </w:pPr>
      <w:bookmarkStart w:id="141" w:name="_Ref454182561"/>
      <w:bookmarkStart w:id="142" w:name="rnd2recstart"/>
      <w:r>
        <w:rPr>
          <w:rFonts w:eastAsia="Cambria"/>
        </w:rPr>
        <w:t>R</w:t>
      </w:r>
      <w:r w:rsidR="00EF622E" w:rsidRPr="00EF622E">
        <w:rPr>
          <w:rFonts w:eastAsia="Cambria"/>
        </w:rPr>
        <w:t>ecommendations</w:t>
      </w:r>
      <w:bookmarkEnd w:id="141"/>
    </w:p>
    <w:bookmarkEnd w:id="142"/>
    <w:p w14:paraId="0E8F2112" w14:textId="77777777" w:rsidR="00EF622E" w:rsidRPr="00EF622E" w:rsidRDefault="00EF622E" w:rsidP="00EF622E">
      <w:r w:rsidRPr="00EF622E">
        <w:t xml:space="preserve">The following recommendations are made based on consideration of the </w:t>
      </w:r>
      <w:r w:rsidR="005968B3">
        <w:t>sponsor</w:t>
      </w:r>
      <w:r w:rsidRPr="00EF622E">
        <w:t xml:space="preserve">’s response to the </w:t>
      </w:r>
      <w:r w:rsidR="007F742D">
        <w:t>first round</w:t>
      </w:r>
      <w:r w:rsidRPr="00EF622E">
        <w:t xml:space="preserve"> RMP </w:t>
      </w:r>
      <w:r w:rsidR="007F742D" w:rsidRPr="00EF622E">
        <w:t>evaluation r</w:t>
      </w:r>
      <w:r w:rsidRPr="00EF622E">
        <w:t>eport and the ACSOM advice.</w:t>
      </w:r>
    </w:p>
    <w:p w14:paraId="23F46869" w14:textId="77777777" w:rsidR="00EF622E" w:rsidRPr="00EF622E" w:rsidRDefault="00EF622E" w:rsidP="007F742D">
      <w:pPr>
        <w:pStyle w:val="Numberbullet0"/>
        <w:numPr>
          <w:ilvl w:val="0"/>
          <w:numId w:val="9"/>
        </w:numPr>
      </w:pPr>
      <w:bookmarkStart w:id="143" w:name="rnd2rec1"/>
      <w:r w:rsidRPr="00EF622E">
        <w:t xml:space="preserve">The </w:t>
      </w:r>
      <w:bookmarkEnd w:id="143"/>
      <w:r w:rsidR="005968B3">
        <w:t>sponsor</w:t>
      </w:r>
      <w:r w:rsidRPr="00EF622E">
        <w:t xml:space="preserve"> should add </w:t>
      </w:r>
      <w:r w:rsidR="005968B3">
        <w:t>‘</w:t>
      </w:r>
      <w:r w:rsidRPr="00EF622E">
        <w:t>inability to rapidly discontinue treatment</w:t>
      </w:r>
      <w:r w:rsidR="005968B3">
        <w:t>’</w:t>
      </w:r>
      <w:r w:rsidRPr="00EF622E">
        <w:t xml:space="preserve"> as an important identified risk in </w:t>
      </w:r>
      <w:r w:rsidR="007F742D" w:rsidRPr="00EF622E">
        <w:t>the summary of safety concerns</w:t>
      </w:r>
      <w:r w:rsidRPr="00EF622E">
        <w:t>. It is recommended that the risk minimisation activities for this risk should be a strengthening of precautions to include the contraindications listed below. The basis for this is that the clinical management of these adverse events w</w:t>
      </w:r>
      <w:r w:rsidR="007F742D">
        <w:t xml:space="preserve">ould be compromised by the long </w:t>
      </w:r>
      <w:r w:rsidRPr="00EF622E">
        <w:t xml:space="preserve">acting nature of PP3M, and their development may not be adequately predicted by the </w:t>
      </w:r>
      <w:r w:rsidR="007F742D">
        <w:t>4 </w:t>
      </w:r>
      <w:r w:rsidRPr="00EF622E">
        <w:t>month lead-in phase:</w:t>
      </w:r>
    </w:p>
    <w:p w14:paraId="725658D0" w14:textId="77777777" w:rsidR="00EF622E" w:rsidRPr="00EF622E" w:rsidRDefault="00EF622E" w:rsidP="00EF622E">
      <w:pPr>
        <w:pStyle w:val="ListBullet"/>
      </w:pPr>
      <w:r w:rsidRPr="00EF622E">
        <w:t>Neuroleptic malignant syndrome (NMS): A history of NMS should be a contraindication for PP3M, as recurrences of NMS have been reported.</w:t>
      </w:r>
    </w:p>
    <w:p w14:paraId="759A0724" w14:textId="77777777" w:rsidR="00EF622E" w:rsidRPr="00EF622E" w:rsidRDefault="00EF622E" w:rsidP="00EF622E">
      <w:pPr>
        <w:pStyle w:val="ListBullet"/>
      </w:pPr>
      <w:r w:rsidRPr="00EF622E">
        <w:t xml:space="preserve">Congenital long QT syndrome and a history of cardiac arrhythmia: as </w:t>
      </w:r>
      <w:proofErr w:type="spellStart"/>
      <w:r w:rsidRPr="00EF622E">
        <w:t>paliperidone</w:t>
      </w:r>
      <w:proofErr w:type="spellEnd"/>
      <w:r w:rsidRPr="00EF622E">
        <w:t xml:space="preserve"> can prolong QT interval, use of the 3 month formulation should be contraindicated in patients at increased risk of developing QT prolongation.</w:t>
      </w:r>
    </w:p>
    <w:p w14:paraId="3110D95B" w14:textId="77777777" w:rsidR="00EF622E" w:rsidRPr="00EF622E" w:rsidRDefault="00EF622E" w:rsidP="00EF622E">
      <w:pPr>
        <w:pStyle w:val="ListBullet"/>
      </w:pPr>
      <w:r w:rsidRPr="00EF622E">
        <w:t>Tardive dyskinesia: a history of tardive dyskinesia should be a contraindication for PP3M as the only treatment is withdrawal of the medication, without which the syndrome may become irreversible.</w:t>
      </w:r>
    </w:p>
    <w:p w14:paraId="6E6F3379" w14:textId="77777777" w:rsidR="00EF622E" w:rsidRPr="00EF622E" w:rsidRDefault="00EF622E" w:rsidP="00EF622E">
      <w:pPr>
        <w:pStyle w:val="ListBullet"/>
      </w:pPr>
      <w:r w:rsidRPr="00EF622E">
        <w:t>Low white blood</w:t>
      </w:r>
      <w:r w:rsidR="007F742D">
        <w:t xml:space="preserve"> cell count and history of drug </w:t>
      </w:r>
      <w:r w:rsidRPr="00EF622E">
        <w:t>induce</w:t>
      </w:r>
      <w:r w:rsidR="007F742D">
        <w:t>d</w:t>
      </w:r>
      <w:r w:rsidRPr="00EF622E">
        <w:t xml:space="preserve"> leukopenia/ neutropenia: in the PI these are identified as risk factors for the adverse event of leukopenia/ neutropenia with the management advice including discontinuation of </w:t>
      </w:r>
      <w:proofErr w:type="spellStart"/>
      <w:r w:rsidRPr="00EF622E">
        <w:t>paliperidone</w:t>
      </w:r>
      <w:proofErr w:type="spellEnd"/>
      <w:r w:rsidRPr="00EF622E">
        <w:t xml:space="preserve"> until WBC numbers have recovered.</w:t>
      </w:r>
    </w:p>
    <w:p w14:paraId="3B16AABC" w14:textId="77777777" w:rsidR="00EF622E" w:rsidRPr="00EF622E" w:rsidRDefault="00EF622E" w:rsidP="00EF622E">
      <w:pPr>
        <w:pStyle w:val="Numberbullet0"/>
      </w:pPr>
      <w:bookmarkStart w:id="144" w:name="rnd2rec2"/>
      <w:r w:rsidRPr="00EF622E">
        <w:t xml:space="preserve">The </w:t>
      </w:r>
      <w:bookmarkEnd w:id="144"/>
      <w:r w:rsidR="005968B3">
        <w:t>sponsor</w:t>
      </w:r>
      <w:r w:rsidRPr="00EF622E">
        <w:t xml:space="preserve"> should add </w:t>
      </w:r>
      <w:r w:rsidR="005968B3">
        <w:t>‘</w:t>
      </w:r>
      <w:r w:rsidRPr="00EF622E">
        <w:t>medication error</w:t>
      </w:r>
      <w:r w:rsidR="005968B3">
        <w:t>’</w:t>
      </w:r>
      <w:r w:rsidRPr="00EF622E">
        <w:t xml:space="preserve"> as an important potential risk. The </w:t>
      </w:r>
      <w:r w:rsidR="005968B3">
        <w:t>sponsor</w:t>
      </w:r>
      <w:r w:rsidRPr="00EF622E">
        <w:t xml:space="preserve"> has indicated that educational videos and training of health care providers will be used (see </w:t>
      </w:r>
      <w:r w:rsidR="005968B3">
        <w:t>sponsor</w:t>
      </w:r>
      <w:r w:rsidRPr="00EF622E">
        <w:t xml:space="preserve">’s response to TGA Recommendation 13). The </w:t>
      </w:r>
      <w:r w:rsidR="005968B3">
        <w:t>sponsor</w:t>
      </w:r>
      <w:r w:rsidRPr="00EF622E">
        <w:t xml:space="preserve"> also indicated that these measures demonstrated a reduction in medication errors in the clinical trial programme. These measures are considered to be additional risk minimisation activities, and therefore should also be included in a revised ASA. The educational materials should be submitted to the TGA (as an appendix to the revised ASA) for evaluation.</w:t>
      </w:r>
    </w:p>
    <w:p w14:paraId="6FA0B8D9" w14:textId="77777777" w:rsidR="007F742D" w:rsidRDefault="00EF622E" w:rsidP="00EF622E">
      <w:pPr>
        <w:pStyle w:val="Numberbullet0"/>
      </w:pPr>
      <w:bookmarkStart w:id="145" w:name="rnd2rec3"/>
      <w:r w:rsidRPr="00EF622E">
        <w:t xml:space="preserve">Seventeen </w:t>
      </w:r>
      <w:bookmarkEnd w:id="145"/>
      <w:r w:rsidRPr="00EF622E">
        <w:t>important identified risks were removed from the revised EU-RMP on the basis of a PRAC recommendation. These risks are still considered to be important in the Australian context. Therefore, it is recommended that these risks are reinstated in a revised ASA, along with the proposed pharmacovigilance and risk minimisation activities for these safety concerns</w:t>
      </w:r>
      <w:r w:rsidR="007F742D">
        <w:t>.</w:t>
      </w:r>
    </w:p>
    <w:p w14:paraId="03E052C6" w14:textId="77777777" w:rsidR="007F742D" w:rsidRDefault="00EF622E" w:rsidP="00EF622E">
      <w:pPr>
        <w:pStyle w:val="Numberbullet0"/>
      </w:pPr>
      <w:bookmarkStart w:id="146" w:name="rnd2rec4"/>
      <w:r>
        <w:t xml:space="preserve">The patient </w:t>
      </w:r>
      <w:bookmarkEnd w:id="146"/>
      <w:r>
        <w:t xml:space="preserve">information brochure referred to by the </w:t>
      </w:r>
      <w:r w:rsidR="005968B3">
        <w:t>sponsor</w:t>
      </w:r>
      <w:r>
        <w:t xml:space="preserve"> in response to Round 1 TGA recommendation 14 is considered to be an additional risk minimisation activity (patient education). Therefore, this should be included in the ASA as an additional risk minimisation activity, and the educational materials be submitted to the TGA as an appendix to a revised ASA. The US patient information brochure has been briefly considered, and a version of this document that has been adapted to the Australian context is recommended for patient education in Australia. In addition, any educational materials for healthcare providers beyond that to address medication </w:t>
      </w:r>
      <w:r>
        <w:lastRenderedPageBreak/>
        <w:t>errors (see above) should be included in the ASA and submitted to the TGA as they are also considered to be additional risk minimisation activities</w:t>
      </w:r>
      <w:r w:rsidR="007F742D">
        <w:t>.</w:t>
      </w:r>
    </w:p>
    <w:p w14:paraId="4FD425CF" w14:textId="77777777" w:rsidR="00EF622E" w:rsidRDefault="00EF622E" w:rsidP="00EF622E">
      <w:pPr>
        <w:pStyle w:val="Numberbullet0"/>
      </w:pPr>
      <w:bookmarkStart w:id="147" w:name="rnd2rec5"/>
      <w:r>
        <w:t xml:space="preserve">The ACSOM </w:t>
      </w:r>
      <w:bookmarkEnd w:id="147"/>
      <w:r>
        <w:t xml:space="preserve">identified numerous concerns regarding the quality of the draft Consumer Medicine Information document. Similar issues were noted with the CMI for </w:t>
      </w:r>
      <w:proofErr w:type="spellStart"/>
      <w:r w:rsidR="005968B3" w:rsidRPr="00A04896">
        <w:t>Invega</w:t>
      </w:r>
      <w:proofErr w:type="spellEnd"/>
      <w:r w:rsidR="005968B3" w:rsidRPr="00A04896">
        <w:t xml:space="preserve"> </w:t>
      </w:r>
      <w:proofErr w:type="spellStart"/>
      <w:r w:rsidR="005968B3" w:rsidRPr="00A04896">
        <w:t>Sustenna</w:t>
      </w:r>
      <w:proofErr w:type="spellEnd"/>
      <w:r>
        <w:t xml:space="preserve">. In general, the information from the US patient information brochure is considered to be well worded, and the statements included in this brochure could be considered by the </w:t>
      </w:r>
      <w:r w:rsidR="005968B3">
        <w:t>sponsor</w:t>
      </w:r>
      <w:r>
        <w:t xml:space="preserve"> in revising the CMI. For exam</w:t>
      </w:r>
      <w:r w:rsidR="007F742D">
        <w:t xml:space="preserve">ple the information (on pages 12 to </w:t>
      </w:r>
      <w:r>
        <w:t>13</w:t>
      </w:r>
      <w:r w:rsidR="007F742D">
        <w:t>)</w:t>
      </w:r>
      <w:r>
        <w:t xml:space="preserve"> clearly communicates the serious side effects that may occur.</w:t>
      </w:r>
      <w:r>
        <w:rPr>
          <w:rStyle w:val="FootnoteReference"/>
          <w:sz w:val="24"/>
        </w:rPr>
        <w:footnoteReference w:id="12"/>
      </w:r>
      <w:r>
        <w:t xml:space="preserve"> In addition, the following issues should be specifically addressed in both the </w:t>
      </w:r>
      <w:proofErr w:type="spellStart"/>
      <w:r w:rsidR="005968B3" w:rsidRPr="00A04896">
        <w:t>Invega</w:t>
      </w:r>
      <w:proofErr w:type="spellEnd"/>
      <w:r w:rsidR="005968B3" w:rsidRPr="00A04896">
        <w:t xml:space="preserve"> </w:t>
      </w:r>
      <w:proofErr w:type="spellStart"/>
      <w:r w:rsidR="005968B3" w:rsidRPr="00A04896">
        <w:t>Trinza</w:t>
      </w:r>
      <w:proofErr w:type="spellEnd"/>
      <w:r w:rsidR="007F742D">
        <w:rPr>
          <w:smallCaps/>
        </w:rPr>
        <w:t>/</w:t>
      </w:r>
      <w:proofErr w:type="spellStart"/>
      <w:r w:rsidR="007F742D" w:rsidRPr="007F742D">
        <w:t>Trevicta</w:t>
      </w:r>
      <w:proofErr w:type="spellEnd"/>
      <w:r w:rsidR="007F742D" w:rsidRPr="007F742D">
        <w:t xml:space="preserve"> </w:t>
      </w:r>
      <w:r>
        <w:t xml:space="preserve">and </w:t>
      </w:r>
      <w:proofErr w:type="spellStart"/>
      <w:r w:rsidR="005968B3" w:rsidRPr="00A04896">
        <w:t>Invega</w:t>
      </w:r>
      <w:proofErr w:type="spellEnd"/>
      <w:r w:rsidR="005968B3" w:rsidRPr="00A04896">
        <w:t xml:space="preserve"> </w:t>
      </w:r>
      <w:proofErr w:type="spellStart"/>
      <w:r w:rsidR="005968B3" w:rsidRPr="00A04896">
        <w:t>Sustenna</w:t>
      </w:r>
      <w:proofErr w:type="spellEnd"/>
      <w:r>
        <w:t xml:space="preserve"> CMI documents:</w:t>
      </w:r>
    </w:p>
    <w:p w14:paraId="18BB52AA" w14:textId="77777777" w:rsidR="00EF622E" w:rsidRPr="00EF622E" w:rsidRDefault="00EF622E" w:rsidP="00EF622E">
      <w:pPr>
        <w:pStyle w:val="ListBullet"/>
      </w:pPr>
      <w:r w:rsidRPr="00EF622E">
        <w:t>The descripti</w:t>
      </w:r>
      <w:r w:rsidR="007F742D">
        <w:t>on of delusions is not correct;</w:t>
      </w:r>
      <w:r w:rsidRPr="00EF622E">
        <w:t xml:space="preserve"> the CMI refers to </w:t>
      </w:r>
      <w:r w:rsidR="005968B3">
        <w:t>‘</w:t>
      </w:r>
      <w:r w:rsidRPr="00EF622E">
        <w:t>believing that what other people say is not true</w:t>
      </w:r>
      <w:r w:rsidR="005968B3">
        <w:t>’</w:t>
      </w:r>
      <w:r w:rsidRPr="00EF622E">
        <w:t xml:space="preserve"> as delusions. In contrast, delusions are </w:t>
      </w:r>
      <w:r w:rsidR="005968B3">
        <w:t>‘</w:t>
      </w:r>
      <w:r w:rsidRPr="007F742D">
        <w:rPr>
          <w:i/>
        </w:rPr>
        <w:t>a false belief or wrong judgment, sometimes associated with hallucinations, held with conviction despite evidence to the contrary</w:t>
      </w:r>
      <w:r w:rsidR="005968B3">
        <w:t>’</w:t>
      </w:r>
      <w:r w:rsidRPr="00EF622E">
        <w:t>.</w:t>
      </w:r>
      <w:r w:rsidRPr="007F742D">
        <w:rPr>
          <w:vertAlign w:val="superscript"/>
        </w:rPr>
        <w:footnoteReference w:id="13"/>
      </w:r>
      <w:r w:rsidRPr="00EF622E">
        <w:t xml:space="preserve"> The definition of delusions should be corrected in the CMI.</w:t>
      </w:r>
    </w:p>
    <w:p w14:paraId="655EFCC7" w14:textId="77777777" w:rsidR="00EF622E" w:rsidRPr="00EF622E" w:rsidRDefault="00EF622E" w:rsidP="00EF622E">
      <w:pPr>
        <w:pStyle w:val="ListBullet"/>
      </w:pPr>
      <w:r w:rsidRPr="00EF622E">
        <w:t xml:space="preserve">Under the heading </w:t>
      </w:r>
      <w:r w:rsidR="005968B3">
        <w:t>‘</w:t>
      </w:r>
      <w:r w:rsidRPr="00EF622E">
        <w:t>before you start to use it</w:t>
      </w:r>
      <w:r w:rsidR="005968B3">
        <w:t>’</w:t>
      </w:r>
      <w:r w:rsidRPr="00EF622E">
        <w:t xml:space="preserve"> the following issues should be addressed:</w:t>
      </w:r>
    </w:p>
    <w:p w14:paraId="081440E7" w14:textId="77777777" w:rsidR="00EF622E" w:rsidRPr="00EF622E" w:rsidRDefault="005968B3" w:rsidP="00EF622E">
      <w:pPr>
        <w:pStyle w:val="ListBullet2"/>
      </w:pPr>
      <w:r>
        <w:t>‘</w:t>
      </w:r>
      <w:r w:rsidR="00EF622E" w:rsidRPr="00EF622E">
        <w:t>Low or low blood pressure</w:t>
      </w:r>
      <w:r>
        <w:t>’</w:t>
      </w:r>
      <w:r w:rsidR="00EF622E" w:rsidRPr="00EF622E">
        <w:t xml:space="preserve">; this should be revised to </w:t>
      </w:r>
      <w:r>
        <w:t>‘</w:t>
      </w:r>
      <w:r w:rsidR="00EF622E" w:rsidRPr="00EF622E">
        <w:t>low or high</w:t>
      </w:r>
      <w:r>
        <w:t>’</w:t>
      </w:r>
      <w:r w:rsidR="00EF622E" w:rsidRPr="00EF622E">
        <w:t>.</w:t>
      </w:r>
    </w:p>
    <w:p w14:paraId="0C0A92E5" w14:textId="77777777" w:rsidR="00EF622E" w:rsidRPr="00EF622E" w:rsidRDefault="005968B3" w:rsidP="00EF622E">
      <w:pPr>
        <w:pStyle w:val="ListBullet2"/>
      </w:pPr>
      <w:r>
        <w:t>‘</w:t>
      </w:r>
      <w:r w:rsidR="00EF622E" w:rsidRPr="00EF622E">
        <w:t>Suicide</w:t>
      </w:r>
      <w:r>
        <w:t>’</w:t>
      </w:r>
      <w:r w:rsidR="00EF622E" w:rsidRPr="00EF622E">
        <w:t>; this should be revised to suicidal thoughts or attempted suicide or a similar statement.</w:t>
      </w:r>
    </w:p>
    <w:p w14:paraId="0CB21EC8" w14:textId="77777777" w:rsidR="00EF622E" w:rsidRPr="00EF622E" w:rsidRDefault="00EF622E" w:rsidP="00EF622E">
      <w:pPr>
        <w:pStyle w:val="ListBullet2"/>
      </w:pPr>
      <w:r w:rsidRPr="00EF622E">
        <w:t xml:space="preserve">It is recommended that </w:t>
      </w:r>
      <w:r w:rsidR="005968B3">
        <w:t>‘</w:t>
      </w:r>
      <w:r w:rsidRPr="00EF622E">
        <w:t>heart beat irregularities</w:t>
      </w:r>
      <w:r w:rsidR="005968B3">
        <w:t>’</w:t>
      </w:r>
      <w:r w:rsidRPr="00EF622E">
        <w:t xml:space="preserve"> is added to this list.</w:t>
      </w:r>
    </w:p>
    <w:p w14:paraId="28538BFD" w14:textId="77777777" w:rsidR="00EF622E" w:rsidRPr="00EF622E" w:rsidRDefault="00EF622E" w:rsidP="00EF622E">
      <w:pPr>
        <w:pStyle w:val="ListBullet"/>
      </w:pPr>
      <w:r w:rsidRPr="00EF622E">
        <w:t>The list of side effects and their classification should be revised. The following issues should be specifically addressed:</w:t>
      </w:r>
    </w:p>
    <w:p w14:paraId="282E3EA1" w14:textId="77777777" w:rsidR="00EF622E" w:rsidRPr="00EF622E" w:rsidRDefault="00EF622E" w:rsidP="00EF622E">
      <w:pPr>
        <w:pStyle w:val="ListBullet2"/>
      </w:pPr>
      <w:r w:rsidRPr="00EF622E">
        <w:t>There is some overlap between side effects that are listed as mild and those as potentially serious, and this could lead to confusion for consumers. For example, fever (a serious side effect) is also a sign of many of the infections listed as mild side effects. Similarly, excessive thirst is listed as mild but is a symptom of diabetes which may be a serious side effect.</w:t>
      </w:r>
    </w:p>
    <w:p w14:paraId="1125788A" w14:textId="77777777" w:rsidR="00EF622E" w:rsidRPr="00EF622E" w:rsidRDefault="00EF622E" w:rsidP="00EF622E">
      <w:pPr>
        <w:pStyle w:val="ListBullet2"/>
      </w:pPr>
      <w:r w:rsidRPr="00EF622E">
        <w:t xml:space="preserve">There should be a subheading for the diabetes symptoms which are currently listed under </w:t>
      </w:r>
      <w:r w:rsidR="005968B3">
        <w:t>‘</w:t>
      </w:r>
      <w:r w:rsidRPr="00EF622E">
        <w:t>heart or blood pressure problems</w:t>
      </w:r>
      <w:r w:rsidR="005968B3">
        <w:t>’</w:t>
      </w:r>
      <w:r w:rsidRPr="00EF622E">
        <w:t xml:space="preserve"> </w:t>
      </w:r>
      <w:r w:rsidR="007F742D">
        <w:t>(</w:t>
      </w:r>
      <w:r w:rsidRPr="00EF622E">
        <w:t>on page 4 of the CMI</w:t>
      </w:r>
      <w:r w:rsidR="007F742D">
        <w:t>)</w:t>
      </w:r>
      <w:r w:rsidRPr="00EF622E">
        <w:t>.</w:t>
      </w:r>
    </w:p>
    <w:p w14:paraId="658DF5A3" w14:textId="77777777" w:rsidR="00EF622E" w:rsidRPr="00EF622E" w:rsidRDefault="00EF622E" w:rsidP="00EF622E">
      <w:pPr>
        <w:pStyle w:val="ListBullet2"/>
      </w:pPr>
      <w:r w:rsidRPr="00EF622E">
        <w:t>Symptoms of tardive dyskinesia are currently listed under mild side effects, but would be more appropriately classified as potentially serious</w:t>
      </w:r>
    </w:p>
    <w:p w14:paraId="12154E33" w14:textId="77777777" w:rsidR="00EF622E" w:rsidRPr="00EF622E" w:rsidRDefault="00EF622E" w:rsidP="00EF622E">
      <w:pPr>
        <w:pStyle w:val="ListBullet2"/>
      </w:pPr>
      <w:r w:rsidRPr="00EF622E">
        <w:t xml:space="preserve">It is recommended that similar symptoms be listed one after another in the list of </w:t>
      </w:r>
      <w:r w:rsidR="005968B3">
        <w:t>‘</w:t>
      </w:r>
      <w:r w:rsidRPr="00EF622E">
        <w:t>side effects</w:t>
      </w:r>
      <w:r w:rsidR="005968B3">
        <w:t>’</w:t>
      </w:r>
      <w:r w:rsidRPr="00EF622E">
        <w:t xml:space="preserve">. For example, infection, pneumonia, common cold symptoms, flu-like symptoms should follow one after the other in the list. Alternately, the sponsor may want to change this symptom to be </w:t>
      </w:r>
      <w:r w:rsidR="005968B3">
        <w:t>‘</w:t>
      </w:r>
      <w:r w:rsidRPr="00EF622E">
        <w:t>infections, including cold or flu-like symptoms, pneumonia and/or urinary tract infections</w:t>
      </w:r>
      <w:r w:rsidR="005968B3">
        <w:t>’</w:t>
      </w:r>
      <w:r w:rsidRPr="00EF622E">
        <w:t>.</w:t>
      </w:r>
    </w:p>
    <w:p w14:paraId="5665C827" w14:textId="77777777" w:rsidR="00EF622E" w:rsidRPr="00EF622E" w:rsidRDefault="00EF622E" w:rsidP="00EF622E">
      <w:r w:rsidRPr="00EF622E">
        <w:t xml:space="preserve">The RMP </w:t>
      </w:r>
      <w:r w:rsidR="00186E45">
        <w:t>evaluator</w:t>
      </w:r>
      <w:r w:rsidRPr="00EF622E">
        <w:t xml:space="preserve"> and the ACSOM raised concerns regarding </w:t>
      </w:r>
      <w:r w:rsidR="005968B3">
        <w:t>‘</w:t>
      </w:r>
      <w:r w:rsidRPr="00EF622E">
        <w:t>dose-dumping</w:t>
      </w:r>
      <w:r w:rsidR="005968B3">
        <w:t>’</w:t>
      </w:r>
      <w:r w:rsidRPr="00EF622E">
        <w:t xml:space="preserve"> following administration of PP3M. It is noted that similar concerns were raised by the </w:t>
      </w:r>
      <w:r w:rsidR="007F742D">
        <w:t>c</w:t>
      </w:r>
      <w:r w:rsidRPr="00EF622E">
        <w:t xml:space="preserve">linical </w:t>
      </w:r>
      <w:r w:rsidR="00186E45">
        <w:t>evaluator</w:t>
      </w:r>
      <w:r w:rsidRPr="00EF622E">
        <w:t xml:space="preserve">. Therefore, the resolution of these concerns is deferred to the Delegate, and there are </w:t>
      </w:r>
      <w:bookmarkStart w:id="148" w:name="rnd2recend"/>
      <w:r w:rsidRPr="00EF622E">
        <w:t>no recommendations from the RMP evaluator regarding this issue.</w:t>
      </w:r>
      <w:bookmarkEnd w:id="148"/>
    </w:p>
    <w:p w14:paraId="19BC60E7" w14:textId="77777777" w:rsidR="00EF622E" w:rsidRPr="00EF622E" w:rsidRDefault="00EF622E" w:rsidP="00EF622E">
      <w:pPr>
        <w:pStyle w:val="Heading5"/>
      </w:pPr>
      <w:r w:rsidRPr="00EF622E">
        <w:lastRenderedPageBreak/>
        <w:t>Suggested wording</w:t>
      </w:r>
      <w:r w:rsidR="007F742D">
        <w:t xml:space="preserve"> for conditions of registration</w:t>
      </w:r>
    </w:p>
    <w:p w14:paraId="6ADE4480" w14:textId="77777777" w:rsidR="00EF622E" w:rsidRPr="00EF622E" w:rsidRDefault="00EF622E" w:rsidP="00EF622E">
      <w:r w:rsidRPr="00EF622E">
        <w:t>Any changes to which the sponsor agreed become part of the risk management system, whether they are included in the currently available version of the RMP document, or not included, inadvertently or otherwise. The suggested wording is:</w:t>
      </w:r>
    </w:p>
    <w:p w14:paraId="6BF6C062" w14:textId="77777777" w:rsidR="00EF622E" w:rsidRDefault="00EF622E" w:rsidP="00EF622E">
      <w:pPr>
        <w:ind w:left="720"/>
      </w:pPr>
      <w:r w:rsidRPr="00EF622E">
        <w:t>The European Risk Management Plan (version 7.1, 8 March 2016, DLP 30 June 2015) and Australian-specific Annex (version 1.1, 27 April 2016), to be revised to the satisfaction of the TGA, must be implemented (see outstanding issues above).</w:t>
      </w:r>
    </w:p>
    <w:p w14:paraId="743F605E" w14:textId="77777777" w:rsidR="008E7846" w:rsidRPr="00792A32" w:rsidRDefault="008E7846" w:rsidP="008E7846">
      <w:pPr>
        <w:pStyle w:val="Heading2"/>
      </w:pPr>
      <w:bookmarkStart w:id="149" w:name="_Toc497913796"/>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08"/>
      <w:bookmarkEnd w:id="138"/>
      <w:bookmarkEnd w:id="139"/>
      <w:bookmarkEnd w:id="149"/>
    </w:p>
    <w:p w14:paraId="3E60DE39" w14:textId="77777777" w:rsidR="008E7846" w:rsidRDefault="008E7846" w:rsidP="008E7846">
      <w:bookmarkStart w:id="150" w:name="_Toc247691528"/>
      <w:r>
        <w:t xml:space="preserve">The submission was summarised in the following </w:t>
      </w:r>
      <w:r w:rsidRPr="00EF5C48">
        <w:t xml:space="preserve">Delegate’s </w:t>
      </w:r>
      <w:r>
        <w:t>overview</w:t>
      </w:r>
      <w:r w:rsidRPr="00EF5C48">
        <w:t xml:space="preserve"> and recommendation</w:t>
      </w:r>
      <w:r>
        <w:t>s:</w:t>
      </w:r>
    </w:p>
    <w:p w14:paraId="253A1616" w14:textId="77777777" w:rsidR="008E7846" w:rsidRDefault="008E7846" w:rsidP="008E7846">
      <w:pPr>
        <w:pStyle w:val="Heading3"/>
      </w:pPr>
      <w:bookmarkStart w:id="151" w:name="_Toc314842511"/>
      <w:bookmarkStart w:id="152" w:name="_Toc497913797"/>
      <w:r>
        <w:t>Quality</w:t>
      </w:r>
      <w:bookmarkEnd w:id="150"/>
      <w:bookmarkEnd w:id="151"/>
      <w:bookmarkEnd w:id="152"/>
    </w:p>
    <w:p w14:paraId="406E1A9E" w14:textId="77777777" w:rsidR="0017075E" w:rsidRPr="0017075E" w:rsidRDefault="0017075E" w:rsidP="0017075E">
      <w:r w:rsidRPr="0017075E">
        <w:t>There were no objections to approval.</w:t>
      </w:r>
      <w:r w:rsidR="00A04896">
        <w:t xml:space="preserve"> </w:t>
      </w:r>
      <w:r w:rsidRPr="0017075E">
        <w:t xml:space="preserve">The chemistry evaluator noted that </w:t>
      </w:r>
      <w:proofErr w:type="spellStart"/>
      <w:r w:rsidRPr="0017075E">
        <w:t>paliperidone</w:t>
      </w:r>
      <w:proofErr w:type="spellEnd"/>
      <w:r w:rsidRPr="0017075E">
        <w:t xml:space="preserve"> is a racemic mixture.</w:t>
      </w:r>
      <w:r w:rsidR="00A04896">
        <w:t xml:space="preserve"> </w:t>
      </w:r>
      <w:r w:rsidRPr="0017075E">
        <w:t xml:space="preserve">In the pharmacokinetic study, PSY1005, plasma concentrations of the </w:t>
      </w:r>
      <w:proofErr w:type="gramStart"/>
      <w:r w:rsidRPr="0017075E">
        <w:t>R078543(</w:t>
      </w:r>
      <w:proofErr w:type="gramEnd"/>
      <w:r w:rsidRPr="0017075E">
        <w:t xml:space="preserve">+) enantiomer were consistently higher than those for the R078544(-) enantiomer. From this study, the R078543(+)/R078544(-) PK parameter ratios after </w:t>
      </w:r>
      <w:r w:rsidR="007F742D">
        <w:t>IM</w:t>
      </w:r>
      <w:r w:rsidRPr="0017075E">
        <w:t xml:space="preserve"> injections of </w:t>
      </w:r>
      <w:proofErr w:type="spellStart"/>
      <w:r w:rsidRPr="0017075E">
        <w:t>paliperidone</w:t>
      </w:r>
      <w:proofErr w:type="spellEnd"/>
      <w:r w:rsidRPr="0017075E">
        <w:t xml:space="preserve"> palmitate are approximately 1.8 and 1.9 for AUC and </w:t>
      </w:r>
      <w:proofErr w:type="spellStart"/>
      <w:r w:rsidR="008D4FE3" w:rsidRPr="00D71C16">
        <w:t>C</w:t>
      </w:r>
      <w:r w:rsidR="008D4FE3" w:rsidRPr="008D4FE3">
        <w:rPr>
          <w:vertAlign w:val="subscript"/>
        </w:rPr>
        <w:t>max</w:t>
      </w:r>
      <w:proofErr w:type="spellEnd"/>
      <w:r w:rsidRPr="0017075E">
        <w:t xml:space="preserve"> respectively, similar to the </w:t>
      </w:r>
      <w:r w:rsidR="008D4FE3">
        <w:t>1 month</w:t>
      </w:r>
      <w:r w:rsidRPr="0017075E">
        <w:t xml:space="preserve"> formulation.</w:t>
      </w:r>
    </w:p>
    <w:p w14:paraId="5AFFE3F5" w14:textId="77777777" w:rsidR="008E7846" w:rsidRPr="0017075E" w:rsidRDefault="0017075E" w:rsidP="0017075E">
      <w:r w:rsidRPr="0017075E">
        <w:t xml:space="preserve">That study also showed that on comparing deltoid and gluteal </w:t>
      </w:r>
      <w:r w:rsidR="007F742D">
        <w:t>IM</w:t>
      </w:r>
      <w:r w:rsidRPr="0017075E">
        <w:t xml:space="preserve"> administration t</w:t>
      </w:r>
      <w:r w:rsidRPr="0017075E">
        <w:rPr>
          <w:rFonts w:hint="eastAsia"/>
        </w:rPr>
        <w:t xml:space="preserve">he LS means of </w:t>
      </w:r>
      <w:proofErr w:type="spellStart"/>
      <w:r w:rsidR="008D4FE3" w:rsidRPr="00D71C16">
        <w:t>C</w:t>
      </w:r>
      <w:r w:rsidR="008D4FE3" w:rsidRPr="008D4FE3">
        <w:rPr>
          <w:vertAlign w:val="subscript"/>
        </w:rPr>
        <w:t>max</w:t>
      </w:r>
      <w:proofErr w:type="spellEnd"/>
      <w:r w:rsidRPr="0017075E">
        <w:rPr>
          <w:rFonts w:hint="eastAsia"/>
        </w:rPr>
        <w:t xml:space="preserve"> of </w:t>
      </w:r>
      <w:proofErr w:type="spellStart"/>
      <w:r w:rsidRPr="0017075E">
        <w:rPr>
          <w:rFonts w:hint="eastAsia"/>
        </w:rPr>
        <w:t>paliperidone</w:t>
      </w:r>
      <w:proofErr w:type="spellEnd"/>
      <w:r w:rsidRPr="0017075E">
        <w:rPr>
          <w:rFonts w:hint="eastAsia"/>
        </w:rPr>
        <w:t xml:space="preserve"> was higher by 27% over all dose levels after injection of </w:t>
      </w:r>
      <w:proofErr w:type="spellStart"/>
      <w:r w:rsidRPr="0017075E">
        <w:rPr>
          <w:rFonts w:hint="eastAsia"/>
        </w:rPr>
        <w:t>paliperidone</w:t>
      </w:r>
      <w:proofErr w:type="spellEnd"/>
      <w:r w:rsidRPr="0017075E">
        <w:rPr>
          <w:rFonts w:hint="eastAsia"/>
        </w:rPr>
        <w:t xml:space="preserve"> palmitate in the deltoid muscle compared to the gluteal muscle, whereas there was no difference between both injection sites for </w:t>
      </w:r>
      <w:r w:rsidR="008D4FE3" w:rsidRPr="00D71C16">
        <w:t>AUC</w:t>
      </w:r>
      <w:r w:rsidR="008D4FE3" w:rsidRPr="008D4FE3">
        <w:rPr>
          <w:vertAlign w:val="subscript"/>
        </w:rPr>
        <w:t>0-∞</w:t>
      </w:r>
      <w:r w:rsidRPr="0017075E">
        <w:rPr>
          <w:rFonts w:hint="eastAsia"/>
        </w:rPr>
        <w:t>.</w:t>
      </w:r>
    </w:p>
    <w:p w14:paraId="25D90F90" w14:textId="77777777" w:rsidR="008E7846" w:rsidRDefault="008E7846" w:rsidP="008E7846">
      <w:pPr>
        <w:pStyle w:val="Heading3"/>
      </w:pPr>
      <w:bookmarkStart w:id="153" w:name="_Toc314842512"/>
      <w:bookmarkStart w:id="154" w:name="_Toc497913798"/>
      <w:r>
        <w:t>Nonclinical</w:t>
      </w:r>
      <w:bookmarkEnd w:id="153"/>
      <w:bookmarkEnd w:id="154"/>
    </w:p>
    <w:p w14:paraId="1336CDD3" w14:textId="3F941A95" w:rsidR="0017075E" w:rsidRPr="0017075E" w:rsidRDefault="0017075E" w:rsidP="0017075E">
      <w:r w:rsidRPr="0017075E">
        <w:t>There were no objections to approval.</w:t>
      </w:r>
      <w:r w:rsidR="00A04896">
        <w:t xml:space="preserve"> </w:t>
      </w:r>
      <w:r w:rsidRPr="0017075E">
        <w:t xml:space="preserve">The nonclinical evaluator noted that the new formulation contains the same API and excipients as the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17075E">
        <w:t xml:space="preserve"> formulation, apart from particle size)</w:t>
      </w:r>
      <w:r w:rsidR="00E85F33">
        <w:t>[information redacted]</w:t>
      </w:r>
      <w:r w:rsidR="00A04896">
        <w:t xml:space="preserve"> </w:t>
      </w:r>
      <w:r w:rsidRPr="0017075E">
        <w:t>and a higher concentration of the drug substance (</w:t>
      </w:r>
      <w:proofErr w:type="spellStart"/>
      <w:r w:rsidR="005968B3" w:rsidRPr="00A04896">
        <w:t>Invega</w:t>
      </w:r>
      <w:proofErr w:type="spellEnd"/>
      <w:r w:rsidR="005968B3" w:rsidRPr="00A04896">
        <w:t xml:space="preserve"> </w:t>
      </w:r>
      <w:proofErr w:type="spellStart"/>
      <w:r w:rsidR="005968B3" w:rsidRPr="00A04896">
        <w:t>Trinza</w:t>
      </w:r>
      <w:proofErr w:type="spellEnd"/>
      <w:r w:rsidRPr="0017075E">
        <w:t xml:space="preserve"> 312 mg/mL;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17075E">
        <w:t xml:space="preserve"> 156 mg/mL) and of some excipients. The maximum injection volume is also increased, from 1.5 mL (150 mg </w:t>
      </w:r>
      <w:proofErr w:type="spellStart"/>
      <w:r w:rsidRPr="0017075E">
        <w:t>paliperidone</w:t>
      </w:r>
      <w:proofErr w:type="spellEnd"/>
      <w:r w:rsidRPr="0017075E">
        <w:t xml:space="preserve">) for the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17075E">
        <w:t xml:space="preserve"> product to 2.625 mL (525 mg </w:t>
      </w:r>
      <w:proofErr w:type="spellStart"/>
      <w:r w:rsidRPr="0017075E">
        <w:t>paliperidone</w:t>
      </w:r>
      <w:proofErr w:type="spellEnd"/>
      <w:r w:rsidRPr="0017075E">
        <w:t xml:space="preserve">) for the </w:t>
      </w:r>
      <w:proofErr w:type="spellStart"/>
      <w:r w:rsidR="005968B3" w:rsidRPr="00A04896">
        <w:t>Invega</w:t>
      </w:r>
      <w:proofErr w:type="spellEnd"/>
      <w:r w:rsidR="005968B3" w:rsidRPr="00A04896">
        <w:t xml:space="preserve"> </w:t>
      </w:r>
      <w:proofErr w:type="spellStart"/>
      <w:r w:rsidR="005968B3" w:rsidRPr="00A04896">
        <w:t>Trinza</w:t>
      </w:r>
      <w:proofErr w:type="spellEnd"/>
      <w:r w:rsidRPr="0017075E">
        <w:t xml:space="preserve"> product.</w:t>
      </w:r>
    </w:p>
    <w:p w14:paraId="3882C835" w14:textId="77777777" w:rsidR="0017075E" w:rsidRPr="00ED67BE" w:rsidRDefault="0017075E" w:rsidP="00ED67BE">
      <w:r w:rsidRPr="0017075E">
        <w:t xml:space="preserve">The evaluator noted that there is no new nonclinical information in the more recent, higher dose study which would impact on the risk assessment of the </w:t>
      </w:r>
      <w:r w:rsidR="008D4FE3">
        <w:t xml:space="preserve">3 month </w:t>
      </w:r>
      <w:r w:rsidRPr="0017075E">
        <w:t>injection product.</w:t>
      </w:r>
    </w:p>
    <w:p w14:paraId="0C4767B5" w14:textId="77777777" w:rsidR="008E7846" w:rsidRDefault="008E7846" w:rsidP="008E7846">
      <w:pPr>
        <w:pStyle w:val="Heading3"/>
      </w:pPr>
      <w:bookmarkStart w:id="155" w:name="_Toc247691530"/>
      <w:bookmarkStart w:id="156" w:name="_Toc314842513"/>
      <w:bookmarkStart w:id="157" w:name="_Toc497913799"/>
      <w:r>
        <w:t>Clinical</w:t>
      </w:r>
      <w:bookmarkEnd w:id="155"/>
      <w:bookmarkEnd w:id="156"/>
      <w:bookmarkEnd w:id="157"/>
    </w:p>
    <w:p w14:paraId="2A62450D" w14:textId="77777777" w:rsidR="00892A6B" w:rsidRPr="00892A6B" w:rsidRDefault="00892A6B" w:rsidP="00892A6B">
      <w:pPr>
        <w:pStyle w:val="Heading4"/>
      </w:pPr>
      <w:bookmarkStart w:id="158" w:name="_Toc314842514"/>
      <w:r w:rsidRPr="00892A6B">
        <w:t>Pharmacology</w:t>
      </w:r>
    </w:p>
    <w:p w14:paraId="16FFC357" w14:textId="203D2003" w:rsidR="00892A6B" w:rsidRPr="00892A6B" w:rsidRDefault="00892A6B" w:rsidP="00892A6B">
      <w:r w:rsidRPr="00892A6B">
        <w:t>The PP3M formulation (</w:t>
      </w:r>
      <w:proofErr w:type="spellStart"/>
      <w:r w:rsidR="005968B3" w:rsidRPr="00A04896">
        <w:t>Invega</w:t>
      </w:r>
      <w:proofErr w:type="spellEnd"/>
      <w:r w:rsidR="005968B3" w:rsidRPr="00A04896">
        <w:t xml:space="preserve"> </w:t>
      </w:r>
      <w:proofErr w:type="spellStart"/>
      <w:r w:rsidR="005968B3" w:rsidRPr="00A04896">
        <w:t>Trinza</w:t>
      </w:r>
      <w:proofErr w:type="spellEnd"/>
      <w:r w:rsidRPr="00892A6B">
        <w:t>) differs from the PP1M formulation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892A6B">
        <w:t xml:space="preserve">) in its suspension strength, particle size </w:t>
      </w:r>
      <w:r w:rsidR="00011796">
        <w:t xml:space="preserve">[information </w:t>
      </w:r>
      <w:r w:rsidR="00011796" w:rsidRPr="00D1543B">
        <w:t>redacted]</w:t>
      </w:r>
      <w:r w:rsidRPr="00D1543B">
        <w:t xml:space="preserve"> and</w:t>
      </w:r>
      <w:r w:rsidRPr="00892A6B">
        <w:t xml:space="preserve"> higher fill volume in order to ensure a physically and chemically stable </w:t>
      </w:r>
      <w:r w:rsidR="008D4FE3">
        <w:t xml:space="preserve">3 month </w:t>
      </w:r>
      <w:r w:rsidR="00ED67BE">
        <w:t>formulation that is easily re</w:t>
      </w:r>
      <w:r w:rsidR="00ED67BE">
        <w:noBreakHyphen/>
      </w:r>
      <w:proofErr w:type="spellStart"/>
      <w:r w:rsidRPr="00892A6B">
        <w:t>suspendable</w:t>
      </w:r>
      <w:proofErr w:type="spellEnd"/>
      <w:r w:rsidRPr="00892A6B">
        <w:t xml:space="preserve"> and minimizes injection force. The PP3M formulation contains the same drug substance and excipients as the PP1M formulation with the minor exception of the removal of disodium hydrogen </w:t>
      </w:r>
      <w:r w:rsidRPr="00D1543B">
        <w:t>phosphate</w:t>
      </w:r>
      <w:r w:rsidR="00011796" w:rsidRPr="00D1543B">
        <w:t>.</w:t>
      </w:r>
    </w:p>
    <w:p w14:paraId="6CF59C3F" w14:textId="77777777" w:rsidR="007F742D" w:rsidRDefault="00892A6B" w:rsidP="00892A6B">
      <w:r w:rsidRPr="00892A6B">
        <w:lastRenderedPageBreak/>
        <w:t xml:space="preserve">The pharmacokinetics of the proposed formulation was assessed in a </w:t>
      </w:r>
      <w:r w:rsidR="00ED67BE">
        <w:t>single dose</w:t>
      </w:r>
      <w:r w:rsidRPr="00892A6B">
        <w:t xml:space="preserve">, </w:t>
      </w:r>
      <w:r w:rsidR="00ED67BE">
        <w:t>open label</w:t>
      </w:r>
      <w:r w:rsidRPr="00892A6B">
        <w:t>, randomised study (PSY-1005) which was supplemented with pharmacokinetic reports from two safety and efficacy studies (PSY-3011 and PSY-3012) and pop</w:t>
      </w:r>
      <w:r w:rsidR="00ED67BE">
        <w:t xml:space="preserve">ulation </w:t>
      </w:r>
      <w:r w:rsidRPr="00892A6B">
        <w:t>PK analyses</w:t>
      </w:r>
      <w:r w:rsidR="007F742D">
        <w:t>.</w:t>
      </w:r>
    </w:p>
    <w:p w14:paraId="25780D35" w14:textId="77777777" w:rsidR="00892A6B" w:rsidRPr="00892A6B" w:rsidRDefault="00892A6B" w:rsidP="00892A6B">
      <w:r w:rsidRPr="00892A6B">
        <w:t>Only panels B and D from Study PSY-1005 were considered in the assessment of this study because these panels compared the pharmacokinetics of the formulation proposed for marketing.</w:t>
      </w:r>
      <w:r w:rsidR="00A04896">
        <w:t xml:space="preserve"> </w:t>
      </w:r>
      <w:r w:rsidRPr="00892A6B">
        <w:t xml:space="preserve">The </w:t>
      </w:r>
      <w:proofErr w:type="spellStart"/>
      <w:r w:rsidR="008D4FE3" w:rsidRPr="00D71C16">
        <w:t>C</w:t>
      </w:r>
      <w:r w:rsidR="008D4FE3" w:rsidRPr="008D4FE3">
        <w:rPr>
          <w:vertAlign w:val="subscript"/>
        </w:rPr>
        <w:t>max</w:t>
      </w:r>
      <w:proofErr w:type="spellEnd"/>
      <w:r w:rsidRPr="00892A6B">
        <w:t xml:space="preserve"> and AUC of PP3M increase dose proportionally. The LS mean AUC and bioavailability were similar after deltoid or gluteal intramuscular injection.</w:t>
      </w:r>
      <w:r w:rsidR="00A04896">
        <w:t xml:space="preserve"> </w:t>
      </w:r>
      <w:r w:rsidRPr="00892A6B">
        <w:t xml:space="preserve">The </w:t>
      </w:r>
      <w:r w:rsidRPr="00ED67BE">
        <w:t>%</w:t>
      </w:r>
      <w:r w:rsidR="00ED67BE">
        <w:t> </w:t>
      </w:r>
      <w:r w:rsidR="00ED67BE" w:rsidRPr="00ED67BE">
        <w:t>c</w:t>
      </w:r>
      <w:r w:rsidR="00ED67BE">
        <w:t>ovariance (CV)</w:t>
      </w:r>
      <w:r w:rsidRPr="00892A6B">
        <w:t xml:space="preserve"> for </w:t>
      </w:r>
      <w:proofErr w:type="spellStart"/>
      <w:r w:rsidR="008D4FE3" w:rsidRPr="00D71C16">
        <w:t>C</w:t>
      </w:r>
      <w:r w:rsidR="008D4FE3" w:rsidRPr="008D4FE3">
        <w:rPr>
          <w:vertAlign w:val="subscript"/>
        </w:rPr>
        <w:t>max</w:t>
      </w:r>
      <w:proofErr w:type="spellEnd"/>
      <w:r w:rsidRPr="00892A6B">
        <w:t xml:space="preserve"> is larger with gluteal administration (up to around 100%) but the </w:t>
      </w:r>
      <w:r w:rsidR="00ED67BE">
        <w:t xml:space="preserve">%CV for AUC is smaller at 22.0 to </w:t>
      </w:r>
      <w:r w:rsidRPr="00892A6B">
        <w:t>31.7% for gluteal or deltoid administration.</w:t>
      </w:r>
      <w:r w:rsidR="00A04896">
        <w:t xml:space="preserve"> </w:t>
      </w:r>
      <w:r w:rsidRPr="00892A6B">
        <w:t>Bioavailability approaches 100%.</w:t>
      </w:r>
      <w:r w:rsidR="00A04896">
        <w:t xml:space="preserve"> </w:t>
      </w:r>
      <w:r w:rsidRPr="00892A6B">
        <w:t xml:space="preserve">Median </w:t>
      </w:r>
      <w:proofErr w:type="spellStart"/>
      <w:r w:rsidRPr="00892A6B">
        <w:t>paliperidone</w:t>
      </w:r>
      <w:proofErr w:type="spellEnd"/>
      <w:r w:rsidRPr="00892A6B">
        <w:t xml:space="preserve"> exposure following PP3M administration is similar to exposure following oral </w:t>
      </w:r>
      <w:proofErr w:type="spellStart"/>
      <w:r w:rsidRPr="00892A6B">
        <w:t>paliperidone</w:t>
      </w:r>
      <w:proofErr w:type="spellEnd"/>
      <w:r w:rsidRPr="00892A6B">
        <w:t xml:space="preserve"> treatment. The PP3M formulation is not bioequivalent to the </w:t>
      </w:r>
      <w:r w:rsidR="008D4FE3">
        <w:t>1 month</w:t>
      </w:r>
      <w:r w:rsidRPr="00892A6B">
        <w:t xml:space="preserve"> formulation, PP3M when administered as proposed has a higher </w:t>
      </w:r>
      <w:proofErr w:type="spellStart"/>
      <w:r w:rsidR="008D4FE3" w:rsidRPr="00D71C16">
        <w:t>C</w:t>
      </w:r>
      <w:r w:rsidR="008D4FE3" w:rsidRPr="008D4FE3">
        <w:rPr>
          <w:vertAlign w:val="subscript"/>
        </w:rPr>
        <w:t>max</w:t>
      </w:r>
      <w:proofErr w:type="spellEnd"/>
      <w:r w:rsidRPr="00892A6B">
        <w:t>/</w:t>
      </w:r>
      <w:proofErr w:type="spellStart"/>
      <w:r w:rsidRPr="00892A6B">
        <w:t>C</w:t>
      </w:r>
      <w:r w:rsidRPr="00ED67BE">
        <w:rPr>
          <w:vertAlign w:val="subscript"/>
        </w:rPr>
        <w:t>min</w:t>
      </w:r>
      <w:proofErr w:type="spellEnd"/>
      <w:r w:rsidRPr="00892A6B">
        <w:t xml:space="preserve"> ratio compared to PP1M but lower compared to the oral </w:t>
      </w:r>
      <w:r w:rsidR="0054619C">
        <w:t>extended release</w:t>
      </w:r>
      <w:r w:rsidR="0054619C" w:rsidRPr="00892A6B">
        <w:t xml:space="preserve"> </w:t>
      </w:r>
      <w:r w:rsidR="0054619C">
        <w:t>(</w:t>
      </w:r>
      <w:r w:rsidRPr="00892A6B">
        <w:t>ER</w:t>
      </w:r>
      <w:r w:rsidR="0054619C">
        <w:t>)</w:t>
      </w:r>
      <w:r w:rsidRPr="00892A6B">
        <w:t xml:space="preserve"> formulation as </w:t>
      </w:r>
      <w:r w:rsidRPr="00FF24A3">
        <w:t xml:space="preserve">shown </w:t>
      </w:r>
      <w:r w:rsidR="00FF24A3" w:rsidRPr="00FF24A3">
        <w:t>in Tables 8 and 9</w:t>
      </w:r>
      <w:r w:rsidRPr="00FF24A3">
        <w:t>.</w:t>
      </w:r>
    </w:p>
    <w:p w14:paraId="099F6886" w14:textId="77777777" w:rsidR="007F742D" w:rsidRDefault="00892A6B" w:rsidP="00892A6B">
      <w:proofErr w:type="spellStart"/>
      <w:r w:rsidRPr="00892A6B">
        <w:t>PopPK</w:t>
      </w:r>
      <w:proofErr w:type="spellEnd"/>
      <w:r w:rsidRPr="00892A6B">
        <w:t xml:space="preserve"> simulations were conducted to predict the effects of delayed or early dosing with estimates shown </w:t>
      </w:r>
      <w:r w:rsidRPr="00FF24A3">
        <w:t xml:space="preserve">in Table </w:t>
      </w:r>
      <w:r w:rsidR="00FF24A3" w:rsidRPr="00FF24A3">
        <w:t>10</w:t>
      </w:r>
      <w:r w:rsidRPr="00FF24A3">
        <w:t>.</w:t>
      </w:r>
      <w:r w:rsidR="00A04896" w:rsidRPr="00FF24A3">
        <w:t xml:space="preserve"> </w:t>
      </w:r>
      <w:r w:rsidRPr="00FF24A3">
        <w:t>These supported the proposed allowance of early and late injections up to 2 weeks before or after</w:t>
      </w:r>
      <w:r w:rsidRPr="00892A6B">
        <w:t xml:space="preserve"> the </w:t>
      </w:r>
      <w:r w:rsidR="008D4FE3">
        <w:t xml:space="preserve">3 month </w:t>
      </w:r>
      <w:r w:rsidRPr="00892A6B">
        <w:t>re-injection time</w:t>
      </w:r>
      <w:r w:rsidR="00ED67BE">
        <w:t>-</w:t>
      </w:r>
      <w:r w:rsidRPr="00892A6B">
        <w:t>point.</w:t>
      </w:r>
      <w:r w:rsidR="00A04896">
        <w:t xml:space="preserve"> </w:t>
      </w:r>
      <w:r w:rsidRPr="00892A6B">
        <w:t>Additional simulations were performed to estimate the PK for patients who present between 1 and 6 months overdue for PP3M re-injection.</w:t>
      </w:r>
      <w:r w:rsidR="006D3626">
        <w:t xml:space="preserve"> </w:t>
      </w:r>
      <w:r w:rsidRPr="00892A6B">
        <w:t xml:space="preserve">Simulations were also produced for the proposed regimen for switching to oral </w:t>
      </w:r>
      <w:proofErr w:type="spellStart"/>
      <w:r w:rsidRPr="00892A6B">
        <w:t>paliperidone</w:t>
      </w:r>
      <w:proofErr w:type="spellEnd"/>
      <w:r w:rsidR="007F742D">
        <w:t>.</w:t>
      </w:r>
    </w:p>
    <w:p w14:paraId="43798DFC" w14:textId="77777777" w:rsidR="00FF24A3" w:rsidRDefault="00FF24A3" w:rsidP="00FF24A3">
      <w:pPr>
        <w:pStyle w:val="Tabletitle0"/>
        <w:rPr>
          <w:lang w:eastAsia="en-AU"/>
        </w:rPr>
      </w:pPr>
      <w:r w:rsidRPr="00FF24A3">
        <w:t>Table 8:</w:t>
      </w:r>
      <w:r w:rsidRPr="00FF24A3">
        <w:rPr>
          <w:lang w:eastAsia="en-AU"/>
        </w:rPr>
        <w:t xml:space="preserve"> Summary</w:t>
      </w:r>
      <w:r w:rsidRPr="007D66D9">
        <w:rPr>
          <w:lang w:eastAsia="en-AU"/>
        </w:rPr>
        <w:t xml:space="preserve"> of the key PKs of </w:t>
      </w:r>
      <w:proofErr w:type="spellStart"/>
      <w:r w:rsidRPr="007D66D9">
        <w:rPr>
          <w:lang w:eastAsia="en-AU"/>
        </w:rPr>
        <w:t>paliperidone</w:t>
      </w:r>
      <w:proofErr w:type="spellEnd"/>
      <w:r w:rsidRPr="007D66D9">
        <w:rPr>
          <w:lang w:eastAsia="en-AU"/>
        </w:rPr>
        <w:t xml:space="preserve"> after administration of PP1M </w:t>
      </w:r>
      <w:r>
        <w:rPr>
          <w:lang w:eastAsia="en-AU"/>
        </w:rPr>
        <w:t xml:space="preserve">during the double </w:t>
      </w:r>
      <w:r w:rsidRPr="007D66D9">
        <w:rPr>
          <w:lang w:eastAsia="en-AU"/>
        </w:rPr>
        <w:t>blind phase, Study 3011</w:t>
      </w:r>
    </w:p>
    <w:p w14:paraId="2948C3F5" w14:textId="77777777" w:rsidR="00FF24A3" w:rsidRDefault="00FF24A3" w:rsidP="00892A6B">
      <w:r>
        <w:rPr>
          <w:noProof/>
          <w:lang w:eastAsia="en-AU"/>
        </w:rPr>
        <w:drawing>
          <wp:inline distT="0" distB="0" distL="0" distR="0" wp14:anchorId="6F2C58AF" wp14:editId="1353141C">
            <wp:extent cx="5400040" cy="1703090"/>
            <wp:effectExtent l="0" t="0" r="0" b="0"/>
            <wp:docPr id="5" name="Picture 5" descr="Table 8: Summary of the key PKs of paliperidone after administration of PP1M during the double blind phase, Study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1703090"/>
                    </a:xfrm>
                    <a:prstGeom prst="rect">
                      <a:avLst/>
                    </a:prstGeom>
                  </pic:spPr>
                </pic:pic>
              </a:graphicData>
            </a:graphic>
          </wp:inline>
        </w:drawing>
      </w:r>
    </w:p>
    <w:p w14:paraId="67924573" w14:textId="77777777" w:rsidR="00FF24A3" w:rsidRPr="007D66D9" w:rsidRDefault="00FF24A3" w:rsidP="00FF24A3">
      <w:pPr>
        <w:pStyle w:val="Tabletitle0"/>
        <w:rPr>
          <w:lang w:eastAsia="en-AU"/>
        </w:rPr>
      </w:pPr>
      <w:bookmarkStart w:id="159" w:name="_Toc453055048"/>
      <w:r w:rsidRPr="00FF24A3">
        <w:rPr>
          <w:lang w:eastAsia="en-AU"/>
        </w:rPr>
        <w:t>Table 9: Summary</w:t>
      </w:r>
      <w:r w:rsidRPr="009F485A">
        <w:rPr>
          <w:lang w:eastAsia="en-AU"/>
        </w:rPr>
        <w:t xml:space="preserve"> of the</w:t>
      </w:r>
      <w:r w:rsidRPr="007D66D9">
        <w:rPr>
          <w:lang w:eastAsia="en-AU"/>
        </w:rPr>
        <w:t xml:space="preserve"> key PKs of </w:t>
      </w:r>
      <w:proofErr w:type="spellStart"/>
      <w:r w:rsidRPr="007D66D9">
        <w:rPr>
          <w:lang w:eastAsia="en-AU"/>
        </w:rPr>
        <w:t>paliperidone</w:t>
      </w:r>
      <w:proofErr w:type="spellEnd"/>
      <w:r w:rsidRPr="007D66D9">
        <w:rPr>
          <w:lang w:eastAsia="en-AU"/>
        </w:rPr>
        <w:t xml:space="preserve"> after administration of PP3M </w:t>
      </w:r>
      <w:r>
        <w:rPr>
          <w:lang w:eastAsia="en-AU"/>
        </w:rPr>
        <w:t xml:space="preserve">during the double </w:t>
      </w:r>
      <w:r w:rsidRPr="007D66D9">
        <w:rPr>
          <w:lang w:eastAsia="en-AU"/>
        </w:rPr>
        <w:t>blind phase, Study 3011</w:t>
      </w:r>
      <w:bookmarkEnd w:id="159"/>
    </w:p>
    <w:p w14:paraId="717F3680" w14:textId="77777777" w:rsidR="00FF24A3" w:rsidRDefault="00FF24A3" w:rsidP="00892A6B">
      <w:r>
        <w:rPr>
          <w:noProof/>
          <w:lang w:eastAsia="en-AU"/>
        </w:rPr>
        <w:drawing>
          <wp:inline distT="0" distB="0" distL="0" distR="0" wp14:anchorId="75372440" wp14:editId="5F76A049">
            <wp:extent cx="5400040" cy="1465395"/>
            <wp:effectExtent l="0" t="0" r="0" b="1905"/>
            <wp:docPr id="6" name="Picture 6" descr="Table 9: Summary of the key PKs of paliperidone after administration of PP3M during the double blind phase, Study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1465395"/>
                    </a:xfrm>
                    <a:prstGeom prst="rect">
                      <a:avLst/>
                    </a:prstGeom>
                  </pic:spPr>
                </pic:pic>
              </a:graphicData>
            </a:graphic>
          </wp:inline>
        </w:drawing>
      </w:r>
    </w:p>
    <w:p w14:paraId="385AB1A7" w14:textId="77777777" w:rsidR="00FF24A3" w:rsidRDefault="00FF24A3" w:rsidP="00FF24A3">
      <w:pPr>
        <w:pStyle w:val="TableTitle"/>
      </w:pPr>
      <w:bookmarkStart w:id="160" w:name="_Toc453054986"/>
      <w:r>
        <w:lastRenderedPageBreak/>
        <w:t>Table 10:</w:t>
      </w:r>
      <w:r w:rsidRPr="00FF24A3">
        <w:t xml:space="preserve"> </w:t>
      </w:r>
      <w:r>
        <w:t xml:space="preserve">Median </w:t>
      </w:r>
      <w:proofErr w:type="spellStart"/>
      <w:r>
        <w:t>C</w:t>
      </w:r>
      <w:r w:rsidRPr="00B644C6">
        <w:rPr>
          <w:vertAlign w:val="subscript"/>
        </w:rPr>
        <w:t>min</w:t>
      </w:r>
      <w:proofErr w:type="spellEnd"/>
      <w:r>
        <w:t xml:space="preserve"> and </w:t>
      </w:r>
      <w:proofErr w:type="spellStart"/>
      <w:r>
        <w:t>C</w:t>
      </w:r>
      <w:r w:rsidRPr="00B644C6">
        <w:rPr>
          <w:vertAlign w:val="subscript"/>
        </w:rPr>
        <w:t>max</w:t>
      </w:r>
      <w:proofErr w:type="spellEnd"/>
      <w:r>
        <w:t xml:space="preserve"> when switching from PP1M to PP3M at Week 17, ± 1 week, and dosing windows around the regularly scheduled 12-week dosing interval, ± 1, ± 2 and ± 3 weeks, after subjects reached apparent steady-state on treatment with PP3M deltoid injections</w:t>
      </w:r>
      <w:bookmarkEnd w:id="160"/>
    </w:p>
    <w:p w14:paraId="0A5E35E7" w14:textId="77777777" w:rsidR="00FF24A3" w:rsidRDefault="00FF24A3" w:rsidP="00892A6B">
      <w:r>
        <w:rPr>
          <w:noProof/>
          <w:lang w:eastAsia="en-AU"/>
        </w:rPr>
        <w:drawing>
          <wp:inline distT="0" distB="0" distL="0" distR="0" wp14:anchorId="64F0063B" wp14:editId="672BECFC">
            <wp:extent cx="5400040" cy="1441741"/>
            <wp:effectExtent l="0" t="0" r="0" b="6350"/>
            <wp:docPr id="8" name="Picture 8" descr="Table 10: Median Cmin and Cmax when switching from PP1M to PP3M at Week 17, ± 1 week, and dosing windows around the regularly scheduled 12-week dosing interval, ± 1, ± 2 and ± 3 weeks, after subjects reached apparent steady-state on treatment with PP3M deltoid in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1441741"/>
                    </a:xfrm>
                    <a:prstGeom prst="rect">
                      <a:avLst/>
                    </a:prstGeom>
                  </pic:spPr>
                </pic:pic>
              </a:graphicData>
            </a:graphic>
          </wp:inline>
        </w:drawing>
      </w:r>
    </w:p>
    <w:p w14:paraId="5B46976A" w14:textId="77777777" w:rsidR="00892A6B" w:rsidRPr="00892A6B" w:rsidRDefault="00892A6B" w:rsidP="00892A6B">
      <w:pPr>
        <w:pStyle w:val="Heading4"/>
      </w:pPr>
      <w:r w:rsidRPr="00892A6B">
        <w:t>Efficacy</w:t>
      </w:r>
    </w:p>
    <w:p w14:paraId="3E2B95B3" w14:textId="77777777" w:rsidR="007F742D" w:rsidRDefault="00892A6B" w:rsidP="00892A6B">
      <w:r w:rsidRPr="00892A6B">
        <w:t>Two studies examined efficacy and safety of PP3M</w:t>
      </w:r>
      <w:r w:rsidR="007F742D">
        <w:t>.</w:t>
      </w:r>
    </w:p>
    <w:p w14:paraId="291AC5DA" w14:textId="77777777" w:rsidR="00892A6B" w:rsidRDefault="00892A6B" w:rsidP="00892A6B">
      <w:pPr>
        <w:pStyle w:val="Heading5"/>
      </w:pPr>
      <w:r w:rsidRPr="00892A6B">
        <w:t xml:space="preserve">PSY 3012 </w:t>
      </w:r>
    </w:p>
    <w:p w14:paraId="0324FD2A" w14:textId="77777777" w:rsidR="00892A6B" w:rsidRPr="00892A6B" w:rsidRDefault="00892A6B" w:rsidP="00892A6B">
      <w:r w:rsidRPr="00892A6B">
        <w:t xml:space="preserve">PSY 3012 was </w:t>
      </w:r>
      <w:r>
        <w:t>a</w:t>
      </w:r>
      <w:r w:rsidRPr="00892A6B">
        <w:t xml:space="preserve"> randomised, </w:t>
      </w:r>
      <w:r w:rsidR="006D3626">
        <w:t>double blind</w:t>
      </w:r>
      <w:r w:rsidRPr="00892A6B">
        <w:t xml:space="preserve">, </w:t>
      </w:r>
      <w:r w:rsidR="00ED67BE">
        <w:t>parallel group</w:t>
      </w:r>
      <w:r w:rsidRPr="00892A6B">
        <w:t xml:space="preserve">, </w:t>
      </w:r>
      <w:r w:rsidR="00ED67BE">
        <w:t>placebo controlled</w:t>
      </w:r>
      <w:r w:rsidRPr="00892A6B">
        <w:t>, multicentre study to determine the efficacy and safety of PP3M in the prevention of relapse of schizoph</w:t>
      </w:r>
      <w:r w:rsidR="00ED67BE">
        <w:t>renia. This study had 4 phases:</w:t>
      </w:r>
    </w:p>
    <w:p w14:paraId="3D10D3E1" w14:textId="77777777" w:rsidR="00ED67BE" w:rsidRDefault="00892A6B" w:rsidP="00892A6B">
      <w:pPr>
        <w:pStyle w:val="ListBullet"/>
      </w:pPr>
      <w:r w:rsidRPr="00892A6B">
        <w:t>a Screening Phase (up to 3 weeks)</w:t>
      </w:r>
    </w:p>
    <w:p w14:paraId="499D2B3E" w14:textId="77777777" w:rsidR="00ED67BE" w:rsidRDefault="00ED67BE" w:rsidP="00892A6B">
      <w:pPr>
        <w:pStyle w:val="ListBullet"/>
      </w:pPr>
      <w:r>
        <w:t xml:space="preserve">a 17 </w:t>
      </w:r>
      <w:r w:rsidR="00892A6B" w:rsidRPr="00892A6B">
        <w:t xml:space="preserve">week flexible dose </w:t>
      </w:r>
      <w:r>
        <w:t>open label</w:t>
      </w:r>
      <w:r w:rsidR="00892A6B" w:rsidRPr="00892A6B">
        <w:t xml:space="preserve"> Transition Phase</w:t>
      </w:r>
    </w:p>
    <w:p w14:paraId="2D90C576" w14:textId="77777777" w:rsidR="00892A6B" w:rsidRPr="00892A6B" w:rsidRDefault="00892A6B" w:rsidP="00892A6B">
      <w:pPr>
        <w:pStyle w:val="ListBullet"/>
      </w:pPr>
      <w:r w:rsidRPr="00892A6B">
        <w:t xml:space="preserve">a </w:t>
      </w:r>
      <w:r w:rsidR="008D4FE3">
        <w:t>12 week</w:t>
      </w:r>
      <w:r w:rsidRPr="00892A6B">
        <w:t xml:space="preserve"> fixed dose </w:t>
      </w:r>
      <w:r w:rsidR="00ED67BE">
        <w:t>open label Maintenance Phase</w:t>
      </w:r>
    </w:p>
    <w:p w14:paraId="25F414D6" w14:textId="77777777" w:rsidR="007F742D" w:rsidRDefault="00892A6B" w:rsidP="00892A6B">
      <w:pPr>
        <w:pStyle w:val="ListBullet"/>
      </w:pPr>
      <w:r w:rsidRPr="00892A6B">
        <w:t xml:space="preserve">a randomised, </w:t>
      </w:r>
      <w:r w:rsidR="006D3626">
        <w:t>double blind</w:t>
      </w:r>
      <w:r w:rsidRPr="00892A6B">
        <w:t xml:space="preserve">, fixed dose, </w:t>
      </w:r>
      <w:r w:rsidR="00ED67BE">
        <w:t>placebo controlled</w:t>
      </w:r>
      <w:r w:rsidRPr="00892A6B">
        <w:t xml:space="preserve"> relapse prevention phase during which subjects were randomly assigned, in a 1:1 ratio, to receive either a fixed dose of PP3M or placebo</w:t>
      </w:r>
      <w:r w:rsidR="007F742D">
        <w:t>.</w:t>
      </w:r>
    </w:p>
    <w:p w14:paraId="1FD02ED6" w14:textId="77777777" w:rsidR="00892A6B" w:rsidRPr="00892A6B" w:rsidRDefault="00892A6B" w:rsidP="00892A6B">
      <w:r w:rsidRPr="00892A6B">
        <w:t xml:space="preserve">The </w:t>
      </w:r>
      <w:r w:rsidR="006D3626">
        <w:t>double blind</w:t>
      </w:r>
      <w:r w:rsidRPr="00892A6B">
        <w:t xml:space="preserve"> phase was of variable duration.</w:t>
      </w:r>
      <w:r w:rsidR="00A04896">
        <w:t xml:space="preserve"> </w:t>
      </w:r>
      <w:r w:rsidRPr="00892A6B">
        <w:t>Subjects could remain in the study for as long as they were clinically stable. The randomised withdrawal of treatment after symptom stabilisation with PP1M and continuation with PP3M was to assess whether continuation with PP3M resulted in a longer time to relapse compared with placebo treatment.</w:t>
      </w:r>
    </w:p>
    <w:p w14:paraId="10A17A19" w14:textId="77777777" w:rsidR="007F742D" w:rsidRDefault="00892A6B" w:rsidP="00892A6B">
      <w:r w:rsidRPr="00892A6B">
        <w:t xml:space="preserve">Patients were not required to have been stabilised on </w:t>
      </w:r>
      <w:proofErr w:type="spellStart"/>
      <w:r w:rsidRPr="00892A6B">
        <w:t>paliperidone</w:t>
      </w:r>
      <w:proofErr w:type="spellEnd"/>
      <w:r w:rsidRPr="00892A6B">
        <w:t xml:space="preserve"> prior to study entry but</w:t>
      </w:r>
      <w:r w:rsidR="00ED67BE">
        <w:t xml:space="preserve"> rather underwent a transition P</w:t>
      </w:r>
      <w:r w:rsidRPr="00892A6B">
        <w:t>hase within the study during which they commenced or continued PP1M.</w:t>
      </w:r>
      <w:r w:rsidR="00A04896">
        <w:t xml:space="preserve"> </w:t>
      </w:r>
      <w:r w:rsidR="00ED67BE">
        <w:t>That P</w:t>
      </w:r>
      <w:r w:rsidRPr="00892A6B">
        <w:t>hase w</w:t>
      </w:r>
      <w:r w:rsidR="00ED67BE">
        <w:t>as followed by the maintenance P</w:t>
      </w:r>
      <w:r w:rsidRPr="00892A6B">
        <w:t xml:space="preserve">hase where all patients received PP1M prior to </w:t>
      </w:r>
      <w:r w:rsidR="00ED67BE">
        <w:t xml:space="preserve">the </w:t>
      </w:r>
      <w:r w:rsidRPr="00892A6B">
        <w:t>randomised withdrawal for the placebo group.</w:t>
      </w:r>
      <w:r w:rsidR="00A04896">
        <w:t xml:space="preserve"> </w:t>
      </w:r>
      <w:r w:rsidRPr="00892A6B">
        <w:t xml:space="preserve">Clinically stable patients continued to the </w:t>
      </w:r>
      <w:r w:rsidR="006D3626">
        <w:t>double blind</w:t>
      </w:r>
      <w:r w:rsidR="00ED67BE">
        <w:t>, randomised withdrawal P</w:t>
      </w:r>
      <w:r w:rsidRPr="00892A6B">
        <w:t>hase</w:t>
      </w:r>
      <w:r w:rsidR="007F742D">
        <w:t>.</w:t>
      </w:r>
    </w:p>
    <w:p w14:paraId="1DD5C6F5" w14:textId="77777777" w:rsidR="007F742D" w:rsidRDefault="00892A6B" w:rsidP="00892A6B">
      <w:r w:rsidRPr="00892A6B">
        <w:t>A pre-planned interim analysis was conducted after the 42nd relapse event which is reported in the CER</w:t>
      </w:r>
      <w:r w:rsidR="00ED67BE">
        <w:t xml:space="preserve"> (see Attachment 2)</w:t>
      </w:r>
      <w:r w:rsidRPr="00892A6B">
        <w:t>.</w:t>
      </w:r>
      <w:r w:rsidR="00A04896">
        <w:t xml:space="preserve"> </w:t>
      </w:r>
      <w:r w:rsidRPr="00892A6B">
        <w:t>The interim analysis showed positive results for PP3M so the study was stopped. Thus the interim analysis was the primary analysis. The final analysis included events after the interim analysis data cut-off (24 January 2014) up to study completion (09 April 2014), and is considered confirmatory</w:t>
      </w:r>
      <w:r w:rsidR="007F742D">
        <w:t>.</w:t>
      </w:r>
    </w:p>
    <w:p w14:paraId="2D3E6F7C" w14:textId="77777777" w:rsidR="00892A6B" w:rsidRDefault="00892A6B" w:rsidP="00892A6B">
      <w:r w:rsidRPr="00892A6B">
        <w:t xml:space="preserve">For the interim analysis, in the </w:t>
      </w:r>
      <w:r w:rsidR="006D3626">
        <w:t>double blind</w:t>
      </w:r>
      <w:r w:rsidRPr="00892A6B">
        <w:t xml:space="preserve"> period, 42 patients experienced a relapse event, (23.0%) received placebo and 11 (7.4%) received PP3M.</w:t>
      </w:r>
      <w:r w:rsidR="00A04896">
        <w:t xml:space="preserve"> </w:t>
      </w:r>
      <w:r w:rsidRPr="00892A6B">
        <w:t>The difference was statistically significant (p &lt; 0.001 based on the log-rank test).</w:t>
      </w:r>
      <w:r w:rsidR="00A04896">
        <w:t xml:space="preserve"> </w:t>
      </w:r>
      <w:r w:rsidR="00ED67BE">
        <w:t>In the final analysis 42 </w:t>
      </w:r>
      <w:r w:rsidRPr="00892A6B">
        <w:t>(29.0%) patients given placebo and 14 (8.8%) given PP</w:t>
      </w:r>
      <w:r w:rsidR="00ED67BE">
        <w:t xml:space="preserve">3M experienced a relapse event </w:t>
      </w:r>
      <w:r w:rsidRPr="00892A6B">
        <w:t>and this difference was also statistically significant (p</w:t>
      </w:r>
      <w:r w:rsidR="00ED67BE">
        <w:t xml:space="preserve"> </w:t>
      </w:r>
      <w:r w:rsidRPr="00892A6B">
        <w:t>&lt;</w:t>
      </w:r>
      <w:r w:rsidR="00ED67BE">
        <w:t xml:space="preserve"> </w:t>
      </w:r>
      <w:r w:rsidRPr="00892A6B">
        <w:t>0.001).</w:t>
      </w:r>
      <w:r w:rsidR="00A04896">
        <w:t xml:space="preserve"> </w:t>
      </w:r>
      <w:r w:rsidRPr="00892A6B">
        <w:t xml:space="preserve">Kaplan Meier plots of time to relapse for the interim and final analyses are </w:t>
      </w:r>
      <w:r w:rsidRPr="00440213">
        <w:t xml:space="preserve">shown in Figures </w:t>
      </w:r>
      <w:r w:rsidR="00440213" w:rsidRPr="00440213">
        <w:t>2</w:t>
      </w:r>
      <w:r w:rsidRPr="00440213">
        <w:t xml:space="preserve"> and </w:t>
      </w:r>
      <w:r w:rsidR="00440213" w:rsidRPr="00440213">
        <w:t>3</w:t>
      </w:r>
      <w:r w:rsidRPr="00440213">
        <w:t xml:space="preserve"> respectively</w:t>
      </w:r>
      <w:r w:rsidRPr="00892A6B">
        <w:t>.</w:t>
      </w:r>
    </w:p>
    <w:p w14:paraId="4F47B0A7" w14:textId="77777777" w:rsidR="00440213" w:rsidRDefault="00440213" w:rsidP="00440213">
      <w:pPr>
        <w:pStyle w:val="FigureTitle"/>
      </w:pPr>
      <w:r>
        <w:lastRenderedPageBreak/>
        <w:t xml:space="preserve">Figure </w:t>
      </w:r>
      <w:bookmarkStart w:id="161" w:name="_Ref440359631"/>
      <w:bookmarkStart w:id="162" w:name="_Toc453055072"/>
      <w:r>
        <w:t xml:space="preserve">2: </w:t>
      </w:r>
      <w:r w:rsidRPr="00F72A8C">
        <w:t xml:space="preserve">Kaplan-Meier plot of time to relapse </w:t>
      </w:r>
      <w:r>
        <w:t xml:space="preserve">- </w:t>
      </w:r>
      <w:r w:rsidRPr="00F72A8C">
        <w:t>double-blind phase – interim analysis</w:t>
      </w:r>
      <w:bookmarkEnd w:id="161"/>
      <w:bookmarkEnd w:id="162"/>
    </w:p>
    <w:p w14:paraId="0C50D0E3" w14:textId="77777777" w:rsidR="00440213" w:rsidRDefault="00440213" w:rsidP="00892A6B">
      <w:r>
        <w:rPr>
          <w:noProof/>
          <w:lang w:eastAsia="en-AU"/>
        </w:rPr>
        <w:drawing>
          <wp:inline distT="0" distB="0" distL="0" distR="0" wp14:anchorId="1B2F5A70" wp14:editId="02AD3AD5">
            <wp:extent cx="5400040" cy="3328294"/>
            <wp:effectExtent l="0" t="0" r="0" b="5715"/>
            <wp:docPr id="9" name="Picture 9" descr="Figure 2: Kaplan-Meier plot of time to relapse - double-blind phase – interim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3328294"/>
                    </a:xfrm>
                    <a:prstGeom prst="rect">
                      <a:avLst/>
                    </a:prstGeom>
                  </pic:spPr>
                </pic:pic>
              </a:graphicData>
            </a:graphic>
          </wp:inline>
        </w:drawing>
      </w:r>
    </w:p>
    <w:p w14:paraId="136A3C41" w14:textId="77777777" w:rsidR="00440213" w:rsidRDefault="00440213" w:rsidP="00440213">
      <w:pPr>
        <w:pStyle w:val="FigureTitle"/>
      </w:pPr>
      <w:r>
        <w:t xml:space="preserve">Figure </w:t>
      </w:r>
      <w:bookmarkStart w:id="163" w:name="_Ref440359644"/>
      <w:bookmarkStart w:id="164" w:name="_Toc453055073"/>
      <w:r>
        <w:t>3: Kaplan-Meier plot of time to relapse – double blind phase – final (confirmatory) analysis</w:t>
      </w:r>
      <w:bookmarkEnd w:id="163"/>
      <w:bookmarkEnd w:id="164"/>
    </w:p>
    <w:p w14:paraId="6D964E65" w14:textId="77777777" w:rsidR="00440213" w:rsidRPr="00892A6B" w:rsidRDefault="00440213" w:rsidP="00892A6B">
      <w:r>
        <w:rPr>
          <w:noProof/>
          <w:lang w:eastAsia="en-AU"/>
        </w:rPr>
        <w:drawing>
          <wp:inline distT="0" distB="0" distL="0" distR="0" wp14:anchorId="4AB69D13" wp14:editId="5AB4B560">
            <wp:extent cx="5400040" cy="3214639"/>
            <wp:effectExtent l="0" t="0" r="0" b="5080"/>
            <wp:docPr id="10" name="Picture 10" descr="Figure 3: Kaplan-Meier plot of time to relapse – double blind phase – final (confirmator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3214639"/>
                    </a:xfrm>
                    <a:prstGeom prst="rect">
                      <a:avLst/>
                    </a:prstGeom>
                  </pic:spPr>
                </pic:pic>
              </a:graphicData>
            </a:graphic>
          </wp:inline>
        </w:drawing>
      </w:r>
    </w:p>
    <w:p w14:paraId="3A4A6F27" w14:textId="77777777" w:rsidR="00892A6B" w:rsidRDefault="00892A6B" w:rsidP="00892A6B">
      <w:pPr>
        <w:pStyle w:val="Heading5"/>
      </w:pPr>
      <w:r w:rsidRPr="00892A6B">
        <w:t>Study PSY 3011</w:t>
      </w:r>
    </w:p>
    <w:p w14:paraId="54970BC0" w14:textId="77777777" w:rsidR="00892A6B" w:rsidRPr="00892A6B" w:rsidRDefault="00892A6B" w:rsidP="00892A6B">
      <w:r w:rsidRPr="00892A6B">
        <w:t xml:space="preserve">Study PSY 3011 was a randomised, </w:t>
      </w:r>
      <w:r w:rsidR="006D3626">
        <w:t>double blind</w:t>
      </w:r>
      <w:r w:rsidRPr="00892A6B">
        <w:t xml:space="preserve">, </w:t>
      </w:r>
      <w:r w:rsidR="00ED67BE">
        <w:t>parallel group</w:t>
      </w:r>
      <w:r w:rsidRPr="00892A6B">
        <w:t>, multicentre non-inferiority study to determine if efficacy of PP3M was non-inferior to the efficacy of PP1M for the treatment of adults with schizophrenia.</w:t>
      </w:r>
      <w:r w:rsidR="00A04896">
        <w:t xml:space="preserve"> </w:t>
      </w:r>
      <w:r w:rsidRPr="00892A6B">
        <w:t>T</w:t>
      </w:r>
      <w:r w:rsidR="00ED67BE">
        <w:t>he study consisted of 3 phases:</w:t>
      </w:r>
    </w:p>
    <w:p w14:paraId="41AAA3C2" w14:textId="77777777" w:rsidR="00ED67BE" w:rsidRDefault="00892A6B" w:rsidP="00892A6B">
      <w:pPr>
        <w:pStyle w:val="ListBullet"/>
      </w:pPr>
      <w:r w:rsidRPr="00892A6B">
        <w:t xml:space="preserve">a </w:t>
      </w:r>
      <w:r w:rsidR="00ED67BE" w:rsidRPr="00892A6B">
        <w:t xml:space="preserve">screening/washout/tolerability phase </w:t>
      </w:r>
      <w:r w:rsidRPr="00892A6B">
        <w:t>(up to 21 days)</w:t>
      </w:r>
    </w:p>
    <w:p w14:paraId="4A592F9B" w14:textId="77777777" w:rsidR="00892A6B" w:rsidRPr="00892A6B" w:rsidRDefault="00ED67BE" w:rsidP="00892A6B">
      <w:pPr>
        <w:pStyle w:val="ListBullet"/>
      </w:pPr>
      <w:r>
        <w:t xml:space="preserve">a 17 </w:t>
      </w:r>
      <w:r w:rsidR="00892A6B" w:rsidRPr="00892A6B">
        <w:t xml:space="preserve">week flexible </w:t>
      </w:r>
      <w:r w:rsidRPr="00892A6B">
        <w:t xml:space="preserve">dose </w:t>
      </w:r>
      <w:r>
        <w:t>open label</w:t>
      </w:r>
      <w:r w:rsidRPr="00892A6B">
        <w:t xml:space="preserve"> stabilisation phase</w:t>
      </w:r>
    </w:p>
    <w:p w14:paraId="5A8416E3" w14:textId="77777777" w:rsidR="007F742D" w:rsidRDefault="00892A6B" w:rsidP="00892A6B">
      <w:pPr>
        <w:pStyle w:val="ListBullet"/>
      </w:pPr>
      <w:proofErr w:type="gramStart"/>
      <w:r w:rsidRPr="00892A6B">
        <w:lastRenderedPageBreak/>
        <w:t>a</w:t>
      </w:r>
      <w:proofErr w:type="gramEnd"/>
      <w:r w:rsidRPr="00892A6B">
        <w:t xml:space="preserve"> </w:t>
      </w:r>
      <w:r w:rsidR="005968B3">
        <w:t>48 week</w:t>
      </w:r>
      <w:r w:rsidRPr="00892A6B">
        <w:t xml:space="preserve"> randomised, fixed </w:t>
      </w:r>
      <w:r w:rsidR="00ED67BE">
        <w:t xml:space="preserve">dose, double </w:t>
      </w:r>
      <w:r w:rsidR="00ED67BE" w:rsidRPr="00892A6B">
        <w:t>blind controlled phase</w:t>
      </w:r>
      <w:r w:rsidR="007F742D">
        <w:t>.</w:t>
      </w:r>
    </w:p>
    <w:p w14:paraId="186EEA8B" w14:textId="77777777" w:rsidR="007F742D" w:rsidRDefault="00892A6B" w:rsidP="00892A6B">
      <w:r w:rsidRPr="00892A6B">
        <w:t xml:space="preserve">The primary efficacy endpoint was the percentage of subjects (per protocol) who had not relapsed at the end of the </w:t>
      </w:r>
      <w:r w:rsidR="005968B3">
        <w:t>48 week</w:t>
      </w:r>
      <w:r w:rsidRPr="00892A6B">
        <w:t xml:space="preserve"> </w:t>
      </w:r>
      <w:r w:rsidR="006D3626">
        <w:t>double blind</w:t>
      </w:r>
      <w:r w:rsidRPr="00892A6B">
        <w:t xml:space="preserve"> treatment phase. This was determined based on the Kaplan-Meier </w:t>
      </w:r>
      <w:r w:rsidR="005968B3">
        <w:t>48 week</w:t>
      </w:r>
      <w:r w:rsidRPr="00892A6B">
        <w:t xml:space="preserve"> cumulative estimate of survival (</w:t>
      </w:r>
      <w:r w:rsidR="00ED67BE">
        <w:t xml:space="preserve">that is, </w:t>
      </w:r>
      <w:r w:rsidRPr="00892A6B">
        <w:t>percentage of subjects remaining relapse free). The predefined non-inferiority margin for difference in relapse rate between PP1M and PP3M was -15%</w:t>
      </w:r>
      <w:r w:rsidR="007F742D">
        <w:t>.</w:t>
      </w:r>
    </w:p>
    <w:p w14:paraId="7228956F" w14:textId="77777777" w:rsidR="00892A6B" w:rsidRPr="00892A6B" w:rsidRDefault="00892A6B" w:rsidP="00892A6B">
      <w:r w:rsidRPr="00892A6B">
        <w:t xml:space="preserve">Non-inferiority was demonstrated with 37 subjects (8.1%) in the PP3M group and 45 subjects (9.2%) in PP1M group experiencing a relapse event during the </w:t>
      </w:r>
      <w:r w:rsidR="006D3626">
        <w:t>double blind</w:t>
      </w:r>
      <w:r w:rsidRPr="00892A6B">
        <w:t xml:space="preserve"> phase. The difference (95% CI) between the treatment groups (PP3M- PP1M) in the percentages of subjects who remained relapse free was 1.2% (95%CI: -2.7%, 5.1%).</w:t>
      </w:r>
      <w:r w:rsidR="006D3626">
        <w:t xml:space="preserve"> </w:t>
      </w:r>
      <w:r w:rsidRPr="00892A6B">
        <w:t>Non-inferiority was confirmed by the results of the Modified Intent-to-Treat (</w:t>
      </w:r>
      <w:r w:rsidR="0054619C">
        <w:t>double blind</w:t>
      </w:r>
      <w:r w:rsidRPr="00892A6B">
        <w:t>) sensitivity analysis result for the difference of 1.5% (-2.3%, 5.3%).</w:t>
      </w:r>
    </w:p>
    <w:p w14:paraId="19F9B358" w14:textId="77777777" w:rsidR="00892A6B" w:rsidRPr="00892A6B" w:rsidRDefault="00892A6B" w:rsidP="00892A6B">
      <w:pPr>
        <w:pStyle w:val="Heading4"/>
      </w:pPr>
      <w:r w:rsidRPr="00892A6B">
        <w:t>Safety</w:t>
      </w:r>
    </w:p>
    <w:p w14:paraId="1B61FFBA" w14:textId="77777777" w:rsidR="007F742D" w:rsidRDefault="00892A6B" w:rsidP="00892A6B">
      <w:r w:rsidRPr="00892A6B">
        <w:t xml:space="preserve">The clinical evaluator was particularly concerned with the possibility of dose-dumping (rapid initial absorption of PP3M after injection) and with a possibility of increased likelihood of relapse due to low serum levels of </w:t>
      </w:r>
      <w:proofErr w:type="spellStart"/>
      <w:r w:rsidRPr="00892A6B">
        <w:t>paliperidone</w:t>
      </w:r>
      <w:proofErr w:type="spellEnd"/>
      <w:r w:rsidRPr="00892A6B">
        <w:t xml:space="preserve"> with the PP3M formulation compared to the PP1M formulation but that wasn’t apparent in the results from studies PSY 3012 and </w:t>
      </w:r>
      <w:r w:rsidR="00ED67BE">
        <w:t xml:space="preserve">PSY </w:t>
      </w:r>
      <w:r w:rsidRPr="00892A6B">
        <w:t>3011</w:t>
      </w:r>
      <w:r w:rsidR="007F742D">
        <w:t>.</w:t>
      </w:r>
    </w:p>
    <w:p w14:paraId="199C445C" w14:textId="77777777" w:rsidR="007F742D" w:rsidRDefault="00892A6B" w:rsidP="00892A6B">
      <w:r w:rsidRPr="00892A6B">
        <w:t xml:space="preserve">The higher </w:t>
      </w:r>
      <w:proofErr w:type="spellStart"/>
      <w:r w:rsidR="008D4FE3" w:rsidRPr="00D71C16">
        <w:t>C</w:t>
      </w:r>
      <w:r w:rsidR="008D4FE3" w:rsidRPr="008D4FE3">
        <w:rPr>
          <w:vertAlign w:val="subscript"/>
        </w:rPr>
        <w:t>max</w:t>
      </w:r>
      <w:proofErr w:type="spellEnd"/>
      <w:r w:rsidRPr="00892A6B">
        <w:t xml:space="preserve"> of </w:t>
      </w:r>
      <w:proofErr w:type="spellStart"/>
      <w:r w:rsidRPr="00892A6B">
        <w:t>paliperidone</w:t>
      </w:r>
      <w:proofErr w:type="spellEnd"/>
      <w:r w:rsidRPr="00892A6B">
        <w:t xml:space="preserve"> after PP3M compared to PP1M did not result in a noticeable difference in the frequency or nature of AEs attributed to </w:t>
      </w:r>
      <w:proofErr w:type="spellStart"/>
      <w:r w:rsidRPr="00892A6B">
        <w:t>paliperidone</w:t>
      </w:r>
      <w:proofErr w:type="spellEnd"/>
      <w:r w:rsidRPr="00892A6B">
        <w:t xml:space="preserve"> in the </w:t>
      </w:r>
      <w:r w:rsidR="005968B3">
        <w:t>Phase III</w:t>
      </w:r>
      <w:r w:rsidRPr="00892A6B">
        <w:t xml:space="preserve"> studies.</w:t>
      </w:r>
      <w:r w:rsidR="00A04896">
        <w:t xml:space="preserve"> </w:t>
      </w:r>
      <w:r w:rsidRPr="00892A6B">
        <w:t xml:space="preserve">The only noticeable difference in </w:t>
      </w:r>
      <w:r w:rsidR="009761DE">
        <w:t xml:space="preserve">treatment </w:t>
      </w:r>
      <w:r w:rsidR="00FF0518">
        <w:t>emergent adverse events</w:t>
      </w:r>
      <w:r w:rsidR="00FF0518" w:rsidRPr="00892A6B">
        <w:t xml:space="preserve"> </w:t>
      </w:r>
      <w:r w:rsidR="00FF0518">
        <w:t>(</w:t>
      </w:r>
      <w:r w:rsidRPr="00892A6B">
        <w:t>TEAEs</w:t>
      </w:r>
      <w:r w:rsidR="00FF0518">
        <w:t>)</w:t>
      </w:r>
      <w:r w:rsidRPr="00892A6B">
        <w:t xml:space="preserve"> was for injection site reactions which were reported for 7.9% of patients given PP3M compared with 5.9% given PP1M.</w:t>
      </w:r>
      <w:r w:rsidR="00A04896">
        <w:t xml:space="preserve"> </w:t>
      </w:r>
      <w:r w:rsidRPr="00892A6B">
        <w:t xml:space="preserve">These differences were mostly due to higher incidences of swelling and induration associated with PP3M </w:t>
      </w:r>
      <w:r w:rsidRPr="009761DE">
        <w:t xml:space="preserve">as shown in Table </w:t>
      </w:r>
      <w:r w:rsidR="009761DE" w:rsidRPr="009761DE">
        <w:t>11</w:t>
      </w:r>
      <w:r w:rsidR="007F742D" w:rsidRPr="009761DE">
        <w:t>.</w:t>
      </w:r>
    </w:p>
    <w:p w14:paraId="1AF74355" w14:textId="77777777" w:rsidR="007F742D" w:rsidRDefault="00892A6B" w:rsidP="00892A6B">
      <w:r w:rsidRPr="00892A6B">
        <w:t>Overall the safety profile of PP3M was very similar to that of PP1M, including the frequency of extrapyramidal effects and the extent of weight gain</w:t>
      </w:r>
      <w:r w:rsidR="007F742D">
        <w:t>.</w:t>
      </w:r>
    </w:p>
    <w:p w14:paraId="1ADED96A" w14:textId="77777777" w:rsidR="009761DE" w:rsidRDefault="009761DE" w:rsidP="009761DE">
      <w:pPr>
        <w:pStyle w:val="Tabletitle0"/>
      </w:pPr>
      <w:r>
        <w:t xml:space="preserve">Table 11: </w:t>
      </w:r>
      <w:bookmarkStart w:id="165" w:name="_Toc453055018"/>
      <w:r>
        <w:t>Treatment-emergent adverse events related to injection site during the double blind phase (safety analysis set)</w:t>
      </w:r>
      <w:bookmarkEnd w:id="165"/>
    </w:p>
    <w:p w14:paraId="7247808F" w14:textId="77777777" w:rsidR="009761DE" w:rsidRDefault="009761DE" w:rsidP="00892A6B">
      <w:r>
        <w:rPr>
          <w:noProof/>
          <w:lang w:eastAsia="en-AU"/>
        </w:rPr>
        <w:drawing>
          <wp:inline distT="0" distB="0" distL="0" distR="0" wp14:anchorId="619EFBB0" wp14:editId="2B2A8AA5">
            <wp:extent cx="5400040" cy="3284447"/>
            <wp:effectExtent l="0" t="0" r="0" b="0"/>
            <wp:docPr id="11" name="Picture 11" descr="Table 11: Treatment-emergent adverse events related to injection site during the double blind phase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3284447"/>
                    </a:xfrm>
                    <a:prstGeom prst="rect">
                      <a:avLst/>
                    </a:prstGeom>
                  </pic:spPr>
                </pic:pic>
              </a:graphicData>
            </a:graphic>
          </wp:inline>
        </w:drawing>
      </w:r>
    </w:p>
    <w:p w14:paraId="3C1BF1F9" w14:textId="77777777" w:rsidR="008E7846" w:rsidRDefault="00386150" w:rsidP="007B6132">
      <w:pPr>
        <w:pStyle w:val="Heading3"/>
        <w:rPr>
          <w:lang w:eastAsia="en-AU"/>
        </w:rPr>
      </w:pPr>
      <w:bookmarkStart w:id="166" w:name="_Toc497913800"/>
      <w:r>
        <w:rPr>
          <w:lang w:eastAsia="en-AU"/>
        </w:rPr>
        <w:lastRenderedPageBreak/>
        <w:t>Risk m</w:t>
      </w:r>
      <w:r w:rsidR="008E7846">
        <w:rPr>
          <w:lang w:eastAsia="en-AU"/>
        </w:rPr>
        <w:t xml:space="preserve">anagement </w:t>
      </w:r>
      <w:r>
        <w:rPr>
          <w:lang w:eastAsia="en-AU"/>
        </w:rPr>
        <w:t>p</w:t>
      </w:r>
      <w:r w:rsidR="008E7846">
        <w:rPr>
          <w:lang w:eastAsia="en-AU"/>
        </w:rPr>
        <w:t>lan</w:t>
      </w:r>
      <w:bookmarkEnd w:id="158"/>
      <w:bookmarkEnd w:id="166"/>
    </w:p>
    <w:p w14:paraId="171EB966" w14:textId="77777777" w:rsidR="00892A6B" w:rsidRPr="00892A6B" w:rsidRDefault="00892A6B" w:rsidP="00892A6B">
      <w:r w:rsidRPr="00892A6B">
        <w:t xml:space="preserve">The RMP evaluator has noted the potential risks which were considered by the </w:t>
      </w:r>
      <w:r w:rsidR="00ED67BE">
        <w:t>ACSOM</w:t>
      </w:r>
      <w:r w:rsidRPr="00892A6B">
        <w:t>.</w:t>
      </w:r>
      <w:r w:rsidR="00A04896">
        <w:t xml:space="preserve"> </w:t>
      </w:r>
      <w:r w:rsidRPr="00892A6B">
        <w:t>In summary these were:</w:t>
      </w:r>
    </w:p>
    <w:p w14:paraId="10BB2CAA" w14:textId="77777777" w:rsidR="00892A6B" w:rsidRPr="00892A6B" w:rsidRDefault="00892A6B" w:rsidP="00892A6B">
      <w:pPr>
        <w:pStyle w:val="ListBullet"/>
      </w:pPr>
      <w:r w:rsidRPr="00892A6B">
        <w:t>The long duration of effect and associated inability to withdraw treatment at the emergence of an adverse event or in the case of pregnancy.</w:t>
      </w:r>
    </w:p>
    <w:p w14:paraId="77AD287B" w14:textId="77777777" w:rsidR="00892A6B" w:rsidRPr="00892A6B" w:rsidRDefault="00892A6B" w:rsidP="00892A6B">
      <w:pPr>
        <w:pStyle w:val="ListBullet"/>
      </w:pPr>
      <w:r w:rsidRPr="00892A6B">
        <w:t>The risk of administration errors as indicated by variable plasma levels, dosing errors during the clinical trials, and the relatively complex administration instructions.</w:t>
      </w:r>
    </w:p>
    <w:p w14:paraId="48F6F5C3" w14:textId="77777777" w:rsidR="00892A6B" w:rsidRPr="00892A6B" w:rsidRDefault="00892A6B" w:rsidP="00892A6B">
      <w:pPr>
        <w:pStyle w:val="ListBullet"/>
      </w:pPr>
      <w:r w:rsidRPr="00892A6B">
        <w:t xml:space="preserve">The risk of </w:t>
      </w:r>
      <w:r w:rsidR="005968B3">
        <w:t>‘</w:t>
      </w:r>
      <w:r w:rsidRPr="00892A6B">
        <w:t>post-injection syndrome</w:t>
      </w:r>
      <w:r w:rsidR="005968B3">
        <w:t>’</w:t>
      </w:r>
      <w:r w:rsidRPr="00892A6B">
        <w:t xml:space="preserve"> (also referred to as dose-dumping).</w:t>
      </w:r>
    </w:p>
    <w:p w14:paraId="453F1614" w14:textId="77777777" w:rsidR="00892A6B" w:rsidRPr="00892A6B" w:rsidRDefault="00892A6B" w:rsidP="00892A6B">
      <w:pPr>
        <w:pStyle w:val="ListBullet"/>
      </w:pPr>
      <w:r w:rsidRPr="00892A6B">
        <w:t xml:space="preserve">The risk of drug interactions, particularly those which may arise from concomitant administration of medicines that may have a cumulative risk of adverse events such as QT prolongation. This concern was increased due to the patient population which may be uncooperative with a patient alert card or similar risk minimisation measure, and may not report, or accurately report, the use of the </w:t>
      </w:r>
      <w:r w:rsidR="008D4FE3">
        <w:t xml:space="preserve">3 month </w:t>
      </w:r>
      <w:r w:rsidRPr="00892A6B">
        <w:t>injection.</w:t>
      </w:r>
    </w:p>
    <w:p w14:paraId="203EC7BF" w14:textId="77777777" w:rsidR="00892A6B" w:rsidRPr="00892A6B" w:rsidRDefault="00892A6B" w:rsidP="00892A6B">
      <w:r w:rsidRPr="00892A6B">
        <w:t xml:space="preserve">The RMP evaluator considered that these risks could be managed by amendments to the </w:t>
      </w:r>
      <w:r w:rsidR="00ED67BE">
        <w:t>PI</w:t>
      </w:r>
      <w:r w:rsidRPr="00892A6B">
        <w:t xml:space="preserve">, including additional contraindications and by amendments to </w:t>
      </w:r>
      <w:r w:rsidR="00ED67BE" w:rsidRPr="00892A6B">
        <w:t xml:space="preserve">the safety specifications </w:t>
      </w:r>
      <w:r w:rsidRPr="00892A6B">
        <w:t xml:space="preserve">of the </w:t>
      </w:r>
      <w:r w:rsidR="00ED67BE">
        <w:t>RMP</w:t>
      </w:r>
      <w:r w:rsidRPr="00892A6B">
        <w:t>.</w:t>
      </w:r>
      <w:r w:rsidR="00A04896">
        <w:t xml:space="preserve"> </w:t>
      </w:r>
      <w:r w:rsidRPr="00892A6B">
        <w:t>The basis for the recommendations was that the clinical management of the adverse events below w</w:t>
      </w:r>
      <w:r w:rsidR="00ED67BE">
        <w:t xml:space="preserve">ould be compromised by the long </w:t>
      </w:r>
      <w:r w:rsidRPr="00892A6B">
        <w:t>acting nature of PP3M, and their development may not b</w:t>
      </w:r>
      <w:r w:rsidR="00ED67BE">
        <w:t>e adequately predicted by the 4</w:t>
      </w:r>
      <w:r w:rsidRPr="00892A6B">
        <w:t xml:space="preserve"> month lead-in phase.</w:t>
      </w:r>
    </w:p>
    <w:p w14:paraId="2381B2FF" w14:textId="77777777" w:rsidR="00892A6B" w:rsidRPr="00892A6B" w:rsidRDefault="00892A6B" w:rsidP="00892A6B">
      <w:r w:rsidRPr="00892A6B">
        <w:t>The proposed contraindications to use of PP3M were:</w:t>
      </w:r>
    </w:p>
    <w:p w14:paraId="41BC947D" w14:textId="77777777" w:rsidR="00892A6B" w:rsidRPr="00892A6B" w:rsidRDefault="00892A6B" w:rsidP="00892A6B">
      <w:pPr>
        <w:pStyle w:val="ListBullet"/>
      </w:pPr>
      <w:r w:rsidRPr="00892A6B">
        <w:t>Neuroleptic malignant syndrome (NMS): a history of NMS should be a contraindication for PP3M, as recurrences of NMS have been reported.</w:t>
      </w:r>
    </w:p>
    <w:p w14:paraId="7A994D8F" w14:textId="77777777" w:rsidR="00892A6B" w:rsidRPr="00892A6B" w:rsidRDefault="00892A6B" w:rsidP="00892A6B">
      <w:pPr>
        <w:pStyle w:val="ListBullet"/>
      </w:pPr>
      <w:r w:rsidRPr="00892A6B">
        <w:t xml:space="preserve">Congenital long QT syndrome and a history of cardiac arrhythmia: as </w:t>
      </w:r>
      <w:proofErr w:type="spellStart"/>
      <w:r w:rsidRPr="00892A6B">
        <w:t>paliperidone</w:t>
      </w:r>
      <w:proofErr w:type="spellEnd"/>
      <w:r w:rsidRPr="00892A6B">
        <w:t xml:space="preserve"> can prolong QT interval, use of the 3 month formulation should be contraindicated in patients at increased risk of developing QT prolongation.</w:t>
      </w:r>
    </w:p>
    <w:p w14:paraId="66415218" w14:textId="77777777" w:rsidR="00892A6B" w:rsidRPr="00892A6B" w:rsidRDefault="00892A6B" w:rsidP="00892A6B">
      <w:pPr>
        <w:pStyle w:val="ListBullet"/>
      </w:pPr>
      <w:r w:rsidRPr="00892A6B">
        <w:t>Tardive dyskinesia: a history of tardive dyskinesia should be a contraindication for PP3M as the only treatment is withdrawal of the medication, without which the syndrome may become irreversible.</w:t>
      </w:r>
    </w:p>
    <w:p w14:paraId="72F75954" w14:textId="77777777" w:rsidR="008E7846" w:rsidRDefault="00892A6B" w:rsidP="008E7846">
      <w:pPr>
        <w:pStyle w:val="ListBullet"/>
      </w:pPr>
      <w:r w:rsidRPr="00892A6B">
        <w:t>Low white blood cell count and history of drug-induced leukopenia/ neutropenia: in the PI these are identified as risk factors for the adverse event of leukopenia/ neutropenia with the management advice including discontinuation</w:t>
      </w:r>
      <w:r w:rsidRPr="002F6602">
        <w:t xml:space="preserve"> of </w:t>
      </w:r>
      <w:proofErr w:type="spellStart"/>
      <w:r w:rsidRPr="002F6602">
        <w:t>paliperidone</w:t>
      </w:r>
      <w:proofErr w:type="spellEnd"/>
      <w:r w:rsidRPr="002F6602">
        <w:t xml:space="preserve"> until WBC numbers have recovered.</w:t>
      </w:r>
    </w:p>
    <w:p w14:paraId="162AD9F6" w14:textId="77777777" w:rsidR="008E7846" w:rsidRDefault="00AA0ED0" w:rsidP="008E7846">
      <w:pPr>
        <w:pStyle w:val="Heading3"/>
      </w:pPr>
      <w:bookmarkStart w:id="167" w:name="_Toc247691531"/>
      <w:bookmarkStart w:id="168" w:name="_Toc314842515"/>
      <w:bookmarkStart w:id="169" w:name="_Toc196046505"/>
      <w:bookmarkStart w:id="170" w:name="_Toc196046949"/>
      <w:bookmarkStart w:id="171" w:name="_Toc497913801"/>
      <w:r>
        <w:t>Risk-benefit a</w:t>
      </w:r>
      <w:r w:rsidR="008E7846">
        <w:t>nalysis</w:t>
      </w:r>
      <w:bookmarkEnd w:id="167"/>
      <w:bookmarkEnd w:id="168"/>
      <w:bookmarkEnd w:id="171"/>
    </w:p>
    <w:p w14:paraId="04F88252" w14:textId="77777777" w:rsidR="008B7D82" w:rsidRPr="00D23139" w:rsidRDefault="008B7D82" w:rsidP="008B7D82">
      <w:pPr>
        <w:pStyle w:val="Heading4"/>
      </w:pPr>
      <w:r w:rsidRPr="00D23139">
        <w:t xml:space="preserve">Delegate’s considerations </w:t>
      </w:r>
    </w:p>
    <w:p w14:paraId="4CAC2FFF" w14:textId="77777777" w:rsidR="007F742D" w:rsidRDefault="00892A6B" w:rsidP="00892A6B">
      <w:r w:rsidRPr="00892A6B">
        <w:t xml:space="preserve">Inter-subject variability for </w:t>
      </w:r>
      <w:proofErr w:type="spellStart"/>
      <w:r w:rsidR="008D4FE3" w:rsidRPr="00D71C16">
        <w:t>C</w:t>
      </w:r>
      <w:r w:rsidR="008D4FE3" w:rsidRPr="008D4FE3">
        <w:rPr>
          <w:vertAlign w:val="subscript"/>
        </w:rPr>
        <w:t>max</w:t>
      </w:r>
      <w:proofErr w:type="spellEnd"/>
      <w:r w:rsidRPr="00892A6B">
        <w:t xml:space="preserve"> with </w:t>
      </w:r>
      <w:proofErr w:type="spellStart"/>
      <w:r w:rsidR="005968B3" w:rsidRPr="00A04896">
        <w:t>Invega</w:t>
      </w:r>
      <w:proofErr w:type="spellEnd"/>
      <w:r w:rsidR="005968B3" w:rsidRPr="00A04896">
        <w:t xml:space="preserve"> </w:t>
      </w:r>
      <w:proofErr w:type="spellStart"/>
      <w:r w:rsidR="005968B3" w:rsidRPr="00A04896">
        <w:t>Trinza</w:t>
      </w:r>
      <w:proofErr w:type="spellEnd"/>
      <w:r w:rsidRPr="00892A6B">
        <w:t xml:space="preserve"> was somewhat larger that seen with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892A6B">
        <w:t>.</w:t>
      </w:r>
      <w:r w:rsidR="00A04896">
        <w:t xml:space="preserve"> </w:t>
      </w:r>
      <w:r w:rsidRPr="00892A6B">
        <w:t xml:space="preserve">The inter-subject variability for AUC was proportionally less than that of </w:t>
      </w:r>
      <w:proofErr w:type="spellStart"/>
      <w:r w:rsidR="008D4FE3" w:rsidRPr="00D71C16">
        <w:t>C</w:t>
      </w:r>
      <w:r w:rsidR="008D4FE3" w:rsidRPr="008D4FE3">
        <w:rPr>
          <w:vertAlign w:val="subscript"/>
        </w:rPr>
        <w:t>max</w:t>
      </w:r>
      <w:proofErr w:type="spellEnd"/>
      <w:r w:rsidRPr="00892A6B">
        <w:t>.</w:t>
      </w:r>
      <w:r w:rsidR="00A04896">
        <w:t xml:space="preserve"> </w:t>
      </w:r>
      <w:r w:rsidRPr="00892A6B">
        <w:t>Deltoid or gluteal administration had similar pharmacokinetics and there was minimal difference in PK with increased patient weight.</w:t>
      </w:r>
      <w:r w:rsidR="00A04896">
        <w:t xml:space="preserve"> </w:t>
      </w:r>
      <w:r w:rsidRPr="00892A6B">
        <w:t xml:space="preserve">PK simulations supported the proposed dose adjustments for missed doses and for switching to oral treatment. The </w:t>
      </w:r>
      <w:r w:rsidR="00ED67BE">
        <w:t xml:space="preserve">between </w:t>
      </w:r>
      <w:r w:rsidRPr="00892A6B">
        <w:t xml:space="preserve">subject variability for </w:t>
      </w:r>
      <w:proofErr w:type="spellStart"/>
      <w:r w:rsidRPr="00892A6B">
        <w:t>paliperidone</w:t>
      </w:r>
      <w:proofErr w:type="spellEnd"/>
      <w:r w:rsidRPr="00892A6B">
        <w:t xml:space="preserve"> pharmacokinetics following delivery from </w:t>
      </w:r>
      <w:proofErr w:type="spellStart"/>
      <w:r w:rsidR="005968B3" w:rsidRPr="00A04896">
        <w:t>Invega</w:t>
      </w:r>
      <w:proofErr w:type="spellEnd"/>
      <w:r w:rsidR="005968B3" w:rsidRPr="00A04896">
        <w:t xml:space="preserve"> </w:t>
      </w:r>
      <w:proofErr w:type="spellStart"/>
      <w:r w:rsidR="005968B3" w:rsidRPr="00A04896">
        <w:t>Trinza</w:t>
      </w:r>
      <w:proofErr w:type="spellEnd"/>
      <w:r w:rsidRPr="00892A6B">
        <w:t xml:space="preserve"> is similar to the variab</w:t>
      </w:r>
      <w:r w:rsidR="00ED67BE">
        <w:t xml:space="preserve">ility for </w:t>
      </w:r>
      <w:proofErr w:type="spellStart"/>
      <w:r w:rsidR="00ED67BE">
        <w:t>paliperidone</w:t>
      </w:r>
      <w:proofErr w:type="spellEnd"/>
      <w:r w:rsidR="00ED67BE">
        <w:t xml:space="preserve"> extended </w:t>
      </w:r>
      <w:r w:rsidRPr="00892A6B">
        <w:t>release tablets</w:t>
      </w:r>
      <w:r w:rsidR="007F742D">
        <w:t>.</w:t>
      </w:r>
    </w:p>
    <w:p w14:paraId="04BA29EC" w14:textId="77777777" w:rsidR="007F742D" w:rsidRDefault="00892A6B" w:rsidP="00892A6B">
      <w:r w:rsidRPr="00892A6B">
        <w:t xml:space="preserve">The difference in median pharmacokinetic profiles among the three </w:t>
      </w:r>
      <w:proofErr w:type="spellStart"/>
      <w:r w:rsidRPr="00892A6B">
        <w:t>paliperidone</w:t>
      </w:r>
      <w:proofErr w:type="spellEnd"/>
      <w:r w:rsidRPr="00892A6B">
        <w:t xml:space="preserve"> formulations may cause some variation in exposure within patients and some dose adjustment either upwards or downwards may be needed on switching between formulations however this occurs with any switching between products.</w:t>
      </w:r>
      <w:r w:rsidR="00A04896">
        <w:t xml:space="preserve"> </w:t>
      </w:r>
      <w:r w:rsidRPr="00892A6B">
        <w:t xml:space="preserve">This issue of </w:t>
      </w:r>
      <w:r w:rsidRPr="00892A6B">
        <w:lastRenderedPageBreak/>
        <w:t xml:space="preserve">concern is the longer time period in which patients may have either a higher or lower exposure to </w:t>
      </w:r>
      <w:proofErr w:type="spellStart"/>
      <w:r w:rsidRPr="00892A6B">
        <w:t>paliperidone</w:t>
      </w:r>
      <w:proofErr w:type="spellEnd"/>
      <w:r w:rsidRPr="00892A6B">
        <w:t xml:space="preserve"> than would have been the case on either oral or </w:t>
      </w:r>
      <w:r w:rsidR="008D4FE3">
        <w:t>1 month</w:t>
      </w:r>
      <w:r w:rsidRPr="00892A6B">
        <w:t xml:space="preserve"> </w:t>
      </w:r>
      <w:proofErr w:type="spellStart"/>
      <w:r w:rsidRPr="00892A6B">
        <w:t>paliperidone</w:t>
      </w:r>
      <w:proofErr w:type="spellEnd"/>
      <w:r w:rsidRPr="00892A6B">
        <w:t>.</w:t>
      </w:r>
      <w:r w:rsidR="00A04896">
        <w:t xml:space="preserve"> </w:t>
      </w:r>
      <w:r w:rsidRPr="00892A6B">
        <w:t xml:space="preserve">However, there is a relatively broad therapeutic index for </w:t>
      </w:r>
      <w:proofErr w:type="spellStart"/>
      <w:r w:rsidRPr="00892A6B">
        <w:t>paliperidone</w:t>
      </w:r>
      <w:proofErr w:type="spellEnd"/>
      <w:r w:rsidRPr="00892A6B">
        <w:t xml:space="preserve"> and this potential variability in exposure for individual patients does not appear to have been associated with reduced safety or efficacy in the </w:t>
      </w:r>
      <w:r w:rsidR="005968B3">
        <w:t>Phase III</w:t>
      </w:r>
      <w:r w:rsidRPr="00892A6B">
        <w:t xml:space="preserve"> clinical studies</w:t>
      </w:r>
      <w:r w:rsidR="007F742D">
        <w:t>.</w:t>
      </w:r>
    </w:p>
    <w:p w14:paraId="74E705DE" w14:textId="77777777" w:rsidR="007F742D" w:rsidRDefault="00892A6B" w:rsidP="00892A6B">
      <w:r w:rsidRPr="00892A6B">
        <w:t>Efficacy of the PP3M formulation and dose regimen has been well demonstrated in a randomised withdrawal study and a non-inferiority study.</w:t>
      </w:r>
      <w:r w:rsidR="00A04896">
        <w:t xml:space="preserve"> </w:t>
      </w:r>
      <w:r w:rsidRPr="00892A6B">
        <w:t>While there was no placebo control group in the non-inferiority study, given the high relapse rate seen in the placebo control group in study PSY3012 it is acceptable that no placebo group was included as a control in the non-inferiority study.</w:t>
      </w:r>
      <w:r w:rsidR="00A04896">
        <w:t xml:space="preserve"> </w:t>
      </w:r>
      <w:r w:rsidRPr="00892A6B">
        <w:t xml:space="preserve">The difference in relapse rates between </w:t>
      </w:r>
      <w:proofErr w:type="spellStart"/>
      <w:r w:rsidRPr="00892A6B">
        <w:t>I</w:t>
      </w:r>
      <w:r w:rsidR="00ED67BE" w:rsidRPr="00892A6B">
        <w:t>nvega</w:t>
      </w:r>
      <w:proofErr w:type="spellEnd"/>
      <w:r w:rsidRPr="00892A6B">
        <w:t xml:space="preserve"> </w:t>
      </w:r>
      <w:proofErr w:type="spellStart"/>
      <w:r w:rsidR="009761DE" w:rsidRPr="00892A6B">
        <w:t>Sustenna</w:t>
      </w:r>
      <w:proofErr w:type="spellEnd"/>
      <w:r w:rsidRPr="00892A6B">
        <w:t xml:space="preserve"> and </w:t>
      </w:r>
      <w:proofErr w:type="spellStart"/>
      <w:r w:rsidR="005968B3" w:rsidRPr="00A04896">
        <w:t>Invega</w:t>
      </w:r>
      <w:proofErr w:type="spellEnd"/>
      <w:r w:rsidR="005968B3" w:rsidRPr="00A04896">
        <w:t xml:space="preserve"> </w:t>
      </w:r>
      <w:proofErr w:type="spellStart"/>
      <w:r w:rsidR="005968B3" w:rsidRPr="00A04896">
        <w:t>Trinza</w:t>
      </w:r>
      <w:proofErr w:type="spellEnd"/>
      <w:r w:rsidRPr="00892A6B">
        <w:t xml:space="preserve"> was not clinically significant and supports the proposed dose recommendations for </w:t>
      </w:r>
      <w:proofErr w:type="spellStart"/>
      <w:r w:rsidR="005968B3" w:rsidRPr="00A04896">
        <w:t>Invega</w:t>
      </w:r>
      <w:proofErr w:type="spellEnd"/>
      <w:r w:rsidR="005968B3" w:rsidRPr="00A04896">
        <w:t xml:space="preserve"> </w:t>
      </w:r>
      <w:proofErr w:type="spellStart"/>
      <w:r w:rsidR="005968B3" w:rsidRPr="00A04896">
        <w:t>Trinza</w:t>
      </w:r>
      <w:proofErr w:type="spellEnd"/>
      <w:r w:rsidRPr="00892A6B">
        <w:t>.</w:t>
      </w:r>
      <w:r w:rsidR="00A04896">
        <w:t xml:space="preserve"> </w:t>
      </w:r>
      <w:r w:rsidRPr="00892A6B">
        <w:t xml:space="preserve">Given that many patients did not stabilise on </w:t>
      </w:r>
      <w:proofErr w:type="spellStart"/>
      <w:r w:rsidRPr="00892A6B">
        <w:t>paliperidone</w:t>
      </w:r>
      <w:proofErr w:type="spellEnd"/>
      <w:r w:rsidRPr="00892A6B">
        <w:t xml:space="preserve"> preparations in the clinical trials it is important that </w:t>
      </w:r>
      <w:proofErr w:type="spellStart"/>
      <w:r w:rsidR="005968B3" w:rsidRPr="00A04896">
        <w:t>Invega</w:t>
      </w:r>
      <w:proofErr w:type="spellEnd"/>
      <w:r w:rsidR="005968B3" w:rsidRPr="00A04896">
        <w:t xml:space="preserve"> </w:t>
      </w:r>
      <w:proofErr w:type="spellStart"/>
      <w:r w:rsidR="005968B3" w:rsidRPr="00A04896">
        <w:t>Trinza</w:t>
      </w:r>
      <w:proofErr w:type="spellEnd"/>
      <w:r w:rsidRPr="00892A6B">
        <w:t xml:space="preserve"> only be used as proposed </w:t>
      </w:r>
      <w:r w:rsidR="00ED67BE">
        <w:t xml:space="preserve">that is </w:t>
      </w:r>
      <w:r w:rsidRPr="00892A6B">
        <w:t xml:space="preserve">in that population who have stabilised on a </w:t>
      </w:r>
      <w:r w:rsidR="008D4FE3">
        <w:t>1 month</w:t>
      </w:r>
      <w:r w:rsidRPr="00892A6B">
        <w:t xml:space="preserve"> depot </w:t>
      </w:r>
      <w:proofErr w:type="spellStart"/>
      <w:r w:rsidRPr="00892A6B">
        <w:t>paliperidone</w:t>
      </w:r>
      <w:proofErr w:type="spellEnd"/>
      <w:r w:rsidRPr="00892A6B">
        <w:t xml:space="preserve"> preparation</w:t>
      </w:r>
      <w:r w:rsidR="007F742D">
        <w:t>.</w:t>
      </w:r>
    </w:p>
    <w:p w14:paraId="5DD90C42" w14:textId="77777777" w:rsidR="007F742D" w:rsidRDefault="00892A6B" w:rsidP="00892A6B">
      <w:r w:rsidRPr="00892A6B">
        <w:t>There were no clinically significant differences in the safety profile of the PP3M formulation compared with the current monthly formulation.</w:t>
      </w:r>
      <w:r w:rsidR="00A04896">
        <w:t xml:space="preserve"> </w:t>
      </w:r>
      <w:r w:rsidRPr="00892A6B">
        <w:t>The only clinical area where safety has not been assessed is the proposed catch-up and early dose regimens.</w:t>
      </w:r>
      <w:r w:rsidR="00A04896">
        <w:t xml:space="preserve"> </w:t>
      </w:r>
      <w:r w:rsidRPr="00892A6B">
        <w:t xml:space="preserve">Missed doses of PP3M will require more intensive follow up and treatment to resume </w:t>
      </w:r>
      <w:proofErr w:type="spellStart"/>
      <w:r w:rsidR="005968B3" w:rsidRPr="00A04896">
        <w:t>Invega</w:t>
      </w:r>
      <w:proofErr w:type="spellEnd"/>
      <w:r w:rsidR="005968B3" w:rsidRPr="00A04896">
        <w:t xml:space="preserve"> </w:t>
      </w:r>
      <w:proofErr w:type="spellStart"/>
      <w:r w:rsidR="005968B3" w:rsidRPr="00A04896">
        <w:t>Trinza</w:t>
      </w:r>
      <w:proofErr w:type="spellEnd"/>
      <w:r w:rsidRPr="00892A6B">
        <w:t xml:space="preserve"> than is required for missed doses of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892A6B">
        <w:t xml:space="preserve"> due to the long duration of action of </w:t>
      </w:r>
      <w:proofErr w:type="spellStart"/>
      <w:r w:rsidR="005968B3" w:rsidRPr="00A04896">
        <w:t>Invega</w:t>
      </w:r>
      <w:proofErr w:type="spellEnd"/>
      <w:r w:rsidR="005968B3" w:rsidRPr="00A04896">
        <w:t xml:space="preserve"> </w:t>
      </w:r>
      <w:proofErr w:type="spellStart"/>
      <w:r w:rsidR="005968B3" w:rsidRPr="00A04896">
        <w:t>Trinza</w:t>
      </w:r>
      <w:proofErr w:type="spellEnd"/>
      <w:r w:rsidRPr="00892A6B">
        <w:t>.</w:t>
      </w:r>
      <w:r w:rsidR="00A04896">
        <w:t xml:space="preserve"> </w:t>
      </w:r>
      <w:r w:rsidRPr="00892A6B">
        <w:t>Larger variations in drug concentration and AUC would be expected under these circumstances</w:t>
      </w:r>
      <w:r w:rsidR="007F742D">
        <w:t>.</w:t>
      </w:r>
    </w:p>
    <w:p w14:paraId="6AB82E7E" w14:textId="77777777" w:rsidR="007F742D" w:rsidRDefault="00892A6B" w:rsidP="00892A6B">
      <w:r w:rsidRPr="00892A6B">
        <w:t xml:space="preserve">ACSOM have recommended additional contraindications which are intended to apply to the </w:t>
      </w:r>
      <w:r w:rsidR="008D4FE3">
        <w:t xml:space="preserve">3 month </w:t>
      </w:r>
      <w:r w:rsidRPr="00892A6B">
        <w:t xml:space="preserve">preparation of </w:t>
      </w:r>
      <w:proofErr w:type="spellStart"/>
      <w:r w:rsidRPr="00892A6B">
        <w:t>paliperidone</w:t>
      </w:r>
      <w:proofErr w:type="spellEnd"/>
      <w:r w:rsidRPr="00892A6B">
        <w:t xml:space="preserve"> but not to other </w:t>
      </w:r>
      <w:proofErr w:type="spellStart"/>
      <w:r w:rsidRPr="00892A6B">
        <w:t>paliperidone</w:t>
      </w:r>
      <w:proofErr w:type="spellEnd"/>
      <w:r w:rsidRPr="00892A6B">
        <w:t xml:space="preserve"> preparations.</w:t>
      </w:r>
      <w:r w:rsidR="00A04896">
        <w:t xml:space="preserve"> </w:t>
      </w:r>
      <w:r w:rsidRPr="00892A6B">
        <w:t xml:space="preserve">Given these contraindications have been recommended due to the prolonged exposure to an antipsychotic agent the same contraindications would need </w:t>
      </w:r>
      <w:r w:rsidR="00ED67BE">
        <w:t xml:space="preserve">to apply to any other prolonged </w:t>
      </w:r>
      <w:r w:rsidRPr="00892A6B">
        <w:t>action depot antipsychotic agent as a precedent would have been established</w:t>
      </w:r>
      <w:r w:rsidR="007F742D">
        <w:t>.</w:t>
      </w:r>
    </w:p>
    <w:p w14:paraId="36DC94E8" w14:textId="77777777" w:rsidR="00892A6B" w:rsidRDefault="00892A6B" w:rsidP="00892A6B">
      <w:r w:rsidRPr="00892A6B">
        <w:t>It is not clear that these additional contraindications wou</w:t>
      </w:r>
      <w:r w:rsidR="00ED67BE">
        <w:t>ld improve the safety of longer acting depot anti</w:t>
      </w:r>
      <w:r w:rsidRPr="00892A6B">
        <w:t>psychotic agents or the management of patients requiring antipsychotic treatment.</w:t>
      </w:r>
      <w:r w:rsidR="00A04896">
        <w:t xml:space="preserve"> </w:t>
      </w:r>
      <w:r w:rsidRPr="00892A6B">
        <w:t xml:space="preserve">Specifically, it is not clear how management of </w:t>
      </w:r>
      <w:r w:rsidR="00ED67BE">
        <w:t xml:space="preserve">neuroleptic malignant syndrome </w:t>
      </w:r>
      <w:r w:rsidR="00ED67BE" w:rsidRPr="00ED67BE">
        <w:t>(</w:t>
      </w:r>
      <w:r w:rsidRPr="00ED67BE">
        <w:t>NMS</w:t>
      </w:r>
      <w:r w:rsidR="00ED67BE" w:rsidRPr="00ED67BE">
        <w:t>)</w:t>
      </w:r>
      <w:r w:rsidRPr="00ED67BE">
        <w:t xml:space="preserve"> or</w:t>
      </w:r>
      <w:r w:rsidRPr="00892A6B">
        <w:t xml:space="preserve"> leukopenia/ neutropenia would be more difficult with a </w:t>
      </w:r>
      <w:r w:rsidR="008D4FE3">
        <w:t xml:space="preserve">3 month </w:t>
      </w:r>
      <w:r w:rsidRPr="00892A6B">
        <w:t xml:space="preserve">depot preparation compared to a </w:t>
      </w:r>
      <w:r w:rsidR="00ED67BE">
        <w:t>1 </w:t>
      </w:r>
      <w:r w:rsidR="008D4FE3">
        <w:t>month</w:t>
      </w:r>
      <w:r w:rsidRPr="00892A6B">
        <w:t xml:space="preserve"> preparation.</w:t>
      </w:r>
      <w:r w:rsidR="00A04896">
        <w:t xml:space="preserve"> </w:t>
      </w:r>
      <w:r w:rsidRPr="00892A6B">
        <w:t xml:space="preserve">Additionally </w:t>
      </w:r>
      <w:proofErr w:type="spellStart"/>
      <w:r w:rsidRPr="00892A6B">
        <w:t>paliperidone</w:t>
      </w:r>
      <w:proofErr w:type="spellEnd"/>
      <w:r w:rsidRPr="00892A6B">
        <w:t xml:space="preserve"> is less strongly associated with prolonged QT syndrome that some other atypical antipsychotic agents (</w:t>
      </w:r>
      <w:r w:rsidR="00ED67BE">
        <w:t>for example,</w:t>
      </w:r>
      <w:r w:rsidRPr="00892A6B">
        <w:t xml:space="preserve"> ziprasidone) so contraindicating use of PP3M due to the potential for QT prolongation appears to be a disproportionate response.</w:t>
      </w:r>
      <w:r w:rsidR="00A04896">
        <w:t xml:space="preserve"> </w:t>
      </w:r>
      <w:r w:rsidRPr="00892A6B">
        <w:t>Likewise ACSOM’s justification for recommending that PP3M be contraindicated in patients with a history of tardive dyskinesia appears more as a justification for using the minimum dose and duration of any antipsychotic agent to achieve adequate response rather than a justification for contraindicating longer acting depot antipsychotic agents for all patients with a history of tardive dyskinesia.</w:t>
      </w:r>
      <w:r w:rsidR="00A04896">
        <w:t xml:space="preserve"> </w:t>
      </w:r>
      <w:r w:rsidRPr="00892A6B">
        <w:t>The advice of the committee is particu</w:t>
      </w:r>
      <w:r>
        <w:t>larly requested on these issues.</w:t>
      </w:r>
    </w:p>
    <w:p w14:paraId="474948CB" w14:textId="77777777" w:rsidR="008B7D82" w:rsidRDefault="008B7D82" w:rsidP="008B7D82">
      <w:pPr>
        <w:pStyle w:val="Heading5"/>
      </w:pPr>
      <w:r>
        <w:t>Summary of issues</w:t>
      </w:r>
    </w:p>
    <w:p w14:paraId="617A7CA5" w14:textId="77777777" w:rsidR="008B7D82" w:rsidRPr="008B7D82" w:rsidRDefault="00ED67BE" w:rsidP="008B7D82">
      <w:r>
        <w:t>The Delegate had</w:t>
      </w:r>
      <w:r w:rsidR="008B7D82" w:rsidRPr="008B7D82">
        <w:t xml:space="preserve"> received advice which would lead to additional contraindications applying to all depot antipsychotic preparations with duration of action longer than </w:t>
      </w:r>
      <w:r>
        <w:t>1 </w:t>
      </w:r>
      <w:r w:rsidR="008D4FE3">
        <w:t>month</w:t>
      </w:r>
      <w:r w:rsidR="008B7D82" w:rsidRPr="008B7D82">
        <w:t>.</w:t>
      </w:r>
      <w:r w:rsidR="00A04896">
        <w:t xml:space="preserve"> </w:t>
      </w:r>
      <w:r>
        <w:t>It is not clear to the D</w:t>
      </w:r>
      <w:r w:rsidR="008B7D82" w:rsidRPr="008B7D82">
        <w:t>elegate that these contraindications are justified.</w:t>
      </w:r>
    </w:p>
    <w:p w14:paraId="330CAB2C" w14:textId="77777777" w:rsidR="008B7D82" w:rsidRPr="008B7D82" w:rsidRDefault="008B7D82" w:rsidP="008B7D82">
      <w:r w:rsidRPr="008B7D82">
        <w:t xml:space="preserve">Variability in the AUC and </w:t>
      </w:r>
      <w:proofErr w:type="spellStart"/>
      <w:r w:rsidR="008D4FE3" w:rsidRPr="00D71C16">
        <w:t>C</w:t>
      </w:r>
      <w:r w:rsidR="008D4FE3" w:rsidRPr="008D4FE3">
        <w:rPr>
          <w:vertAlign w:val="subscript"/>
        </w:rPr>
        <w:t>max</w:t>
      </w:r>
      <w:proofErr w:type="spellEnd"/>
      <w:r w:rsidRPr="008B7D82">
        <w:t xml:space="preserve"> of </w:t>
      </w:r>
      <w:proofErr w:type="spellStart"/>
      <w:r w:rsidRPr="008B7D82">
        <w:t>paliperidone</w:t>
      </w:r>
      <w:proofErr w:type="spellEnd"/>
      <w:r w:rsidRPr="008B7D82">
        <w:t xml:space="preserve"> when given as PP3M is similar to that of oral </w:t>
      </w:r>
      <w:proofErr w:type="spellStart"/>
      <w:r w:rsidRPr="008B7D82">
        <w:t>paliperidone</w:t>
      </w:r>
      <w:proofErr w:type="spellEnd"/>
      <w:r w:rsidRPr="008B7D82">
        <w:t xml:space="preserve"> however the duration of extremes of AUC and </w:t>
      </w:r>
      <w:proofErr w:type="spellStart"/>
      <w:r w:rsidR="008D4FE3" w:rsidRPr="00D71C16">
        <w:t>C</w:t>
      </w:r>
      <w:r w:rsidR="008D4FE3" w:rsidRPr="008D4FE3">
        <w:rPr>
          <w:vertAlign w:val="subscript"/>
        </w:rPr>
        <w:t>max</w:t>
      </w:r>
      <w:proofErr w:type="spellEnd"/>
      <w:r w:rsidRPr="008B7D82">
        <w:t xml:space="preserve"> is likely to be longer given the depot nature of the product.</w:t>
      </w:r>
      <w:r w:rsidR="00A04896">
        <w:t xml:space="preserve"> </w:t>
      </w:r>
      <w:r w:rsidRPr="008B7D82">
        <w:t xml:space="preserve">It is not clear how this should be expressed in the </w:t>
      </w:r>
      <w:r w:rsidR="00ED67BE">
        <w:t>PI</w:t>
      </w:r>
      <w:r w:rsidRPr="008B7D82">
        <w:t>.</w:t>
      </w:r>
    </w:p>
    <w:p w14:paraId="080F79AD" w14:textId="77777777" w:rsidR="00D23139" w:rsidRDefault="00D23139" w:rsidP="00D23139">
      <w:pPr>
        <w:pStyle w:val="Heading4"/>
      </w:pPr>
      <w:r w:rsidRPr="00D23139">
        <w:lastRenderedPageBreak/>
        <w:t>Proposed action</w:t>
      </w:r>
    </w:p>
    <w:p w14:paraId="54BB8849" w14:textId="77777777" w:rsidR="008B7D82" w:rsidRPr="008B7D82" w:rsidRDefault="008B7D82" w:rsidP="008B7D82">
      <w:r>
        <w:rPr>
          <w:rFonts w:asciiTheme="minorHAnsi" w:hAnsiTheme="minorHAnsi"/>
          <w:bCs/>
        </w:rPr>
        <w:t>The Delegate had</w:t>
      </w:r>
      <w:r w:rsidRPr="00C80339">
        <w:rPr>
          <w:rFonts w:asciiTheme="minorHAnsi" w:hAnsiTheme="minorHAnsi"/>
          <w:bCs/>
        </w:rPr>
        <w:t xml:space="preserve"> no reason to say, at this time, that the application for </w:t>
      </w:r>
      <w:proofErr w:type="spellStart"/>
      <w:r w:rsidR="005968B3" w:rsidRPr="00A04896">
        <w:t>Invega</w:t>
      </w:r>
      <w:proofErr w:type="spellEnd"/>
      <w:r w:rsidR="005968B3" w:rsidRPr="00A04896">
        <w:t xml:space="preserve"> </w:t>
      </w:r>
      <w:proofErr w:type="spellStart"/>
      <w:r w:rsidR="005968B3" w:rsidRPr="00A04896">
        <w:t>Trinza</w:t>
      </w:r>
      <w:proofErr w:type="spellEnd"/>
      <w:r w:rsidRPr="00DC66EB">
        <w:rPr>
          <w:rFonts w:asciiTheme="minorHAnsi" w:hAnsiTheme="minorHAnsi"/>
          <w:bCs/>
        </w:rPr>
        <w:t xml:space="preserve"> </w:t>
      </w:r>
      <w:r>
        <w:rPr>
          <w:rFonts w:asciiTheme="minorHAnsi" w:hAnsiTheme="minorHAnsi"/>
          <w:bCs/>
        </w:rPr>
        <w:t xml:space="preserve">/ </w:t>
      </w:r>
      <w:proofErr w:type="spellStart"/>
      <w:r>
        <w:rPr>
          <w:rFonts w:asciiTheme="minorHAnsi" w:hAnsiTheme="minorHAnsi"/>
          <w:bCs/>
        </w:rPr>
        <w:t>T</w:t>
      </w:r>
      <w:r w:rsidR="00ED67BE">
        <w:rPr>
          <w:rFonts w:asciiTheme="minorHAnsi" w:hAnsiTheme="minorHAnsi"/>
          <w:bCs/>
        </w:rPr>
        <w:t>revicta</w:t>
      </w:r>
      <w:proofErr w:type="spellEnd"/>
      <w:r w:rsidRPr="00194473">
        <w:rPr>
          <w:rFonts w:asciiTheme="minorHAnsi" w:hAnsiTheme="minorHAnsi"/>
          <w:bCs/>
        </w:rPr>
        <w:t xml:space="preserve"> </w:t>
      </w:r>
      <w:r w:rsidRPr="00C80339">
        <w:rPr>
          <w:rFonts w:asciiTheme="minorHAnsi" w:hAnsiTheme="minorHAnsi"/>
          <w:bCs/>
        </w:rPr>
        <w:t>should not be approved for registration</w:t>
      </w:r>
      <w:r>
        <w:rPr>
          <w:rFonts w:asciiTheme="minorHAnsi" w:hAnsiTheme="minorHAnsi"/>
          <w:bCs/>
        </w:rPr>
        <w:t xml:space="preserve"> subject to finalisation of the P</w:t>
      </w:r>
      <w:r w:rsidR="00ED67BE">
        <w:rPr>
          <w:rFonts w:asciiTheme="minorHAnsi" w:hAnsiTheme="minorHAnsi"/>
          <w:bCs/>
        </w:rPr>
        <w:t>I</w:t>
      </w:r>
      <w:r>
        <w:rPr>
          <w:rFonts w:asciiTheme="minorHAnsi" w:hAnsiTheme="minorHAnsi"/>
          <w:bCs/>
        </w:rPr>
        <w:t xml:space="preserve"> and R</w:t>
      </w:r>
      <w:r w:rsidR="00ED67BE">
        <w:rPr>
          <w:rFonts w:asciiTheme="minorHAnsi" w:hAnsiTheme="minorHAnsi"/>
          <w:bCs/>
        </w:rPr>
        <w:t xml:space="preserve">MP </w:t>
      </w:r>
      <w:r>
        <w:rPr>
          <w:rFonts w:asciiTheme="minorHAnsi" w:hAnsiTheme="minorHAnsi"/>
          <w:bCs/>
        </w:rPr>
        <w:t>to the satisfaction of the TGA</w:t>
      </w:r>
    </w:p>
    <w:p w14:paraId="39683954" w14:textId="77777777" w:rsidR="00D23139" w:rsidRDefault="00D23139" w:rsidP="00D23139">
      <w:pPr>
        <w:pStyle w:val="Heading4"/>
      </w:pPr>
      <w:r w:rsidRPr="00D23139">
        <w:t>Request for ACPM advice</w:t>
      </w:r>
    </w:p>
    <w:p w14:paraId="6E6C1910" w14:textId="77777777" w:rsidR="008B7D82" w:rsidRPr="008B7D82" w:rsidRDefault="008B7D82" w:rsidP="008B7D82">
      <w:r w:rsidRPr="008B7D82">
        <w:t>The committee is requested to provide advice on the following</w:t>
      </w:r>
      <w:r>
        <w:t xml:space="preserve"> </w:t>
      </w:r>
      <w:r w:rsidRPr="008B7D82">
        <w:t>specific issues:</w:t>
      </w:r>
    </w:p>
    <w:p w14:paraId="440A7AF1" w14:textId="77777777" w:rsidR="007F742D" w:rsidRDefault="008B7D82" w:rsidP="00ED67BE">
      <w:pPr>
        <w:pStyle w:val="Numberbullet0"/>
        <w:numPr>
          <w:ilvl w:val="0"/>
          <w:numId w:val="19"/>
        </w:numPr>
      </w:pPr>
      <w:r w:rsidRPr="008B7D82">
        <w:t xml:space="preserve">Contraindications unique to longer acting depot antipsychotic preparations including </w:t>
      </w:r>
      <w:proofErr w:type="spellStart"/>
      <w:r w:rsidR="005968B3" w:rsidRPr="00A04896">
        <w:t>Invega</w:t>
      </w:r>
      <w:proofErr w:type="spellEnd"/>
      <w:r w:rsidR="005968B3" w:rsidRPr="00A04896">
        <w:t xml:space="preserve"> </w:t>
      </w:r>
      <w:proofErr w:type="spellStart"/>
      <w:r w:rsidR="005968B3" w:rsidRPr="00A04896">
        <w:t>Trinza</w:t>
      </w:r>
      <w:proofErr w:type="spellEnd"/>
      <w:r w:rsidRPr="008B7D82">
        <w:t xml:space="preserve"> have been recommended by the ACSOM due to the difficulty reversing actions of such long acting antipsychotic products.</w:t>
      </w:r>
      <w:r w:rsidR="00A04896">
        <w:t xml:space="preserve"> </w:t>
      </w:r>
      <w:r w:rsidRPr="008B7D82">
        <w:t>Further advice on these contraindications, as discussed is requested</w:t>
      </w:r>
      <w:r w:rsidR="007F742D">
        <w:t>.</w:t>
      </w:r>
    </w:p>
    <w:p w14:paraId="611B3A67" w14:textId="77777777" w:rsidR="007F742D" w:rsidRDefault="008B7D82" w:rsidP="00ED67BE">
      <w:pPr>
        <w:pStyle w:val="Numberbullet0"/>
        <w:numPr>
          <w:ilvl w:val="0"/>
          <w:numId w:val="19"/>
        </w:numPr>
      </w:pPr>
      <w:r w:rsidRPr="008B7D82">
        <w:t xml:space="preserve">There is potential for higher and lower total exposures (AUC) and maximum and minimum exposures to </w:t>
      </w:r>
      <w:proofErr w:type="spellStart"/>
      <w:r w:rsidRPr="008B7D82">
        <w:t>paliperidone</w:t>
      </w:r>
      <w:proofErr w:type="spellEnd"/>
      <w:r w:rsidRPr="008B7D82">
        <w:t xml:space="preserve"> on switching from a </w:t>
      </w:r>
      <w:r w:rsidR="008D4FE3">
        <w:t>1 month</w:t>
      </w:r>
      <w:r w:rsidRPr="008B7D82">
        <w:t xml:space="preserve"> depot preparation to </w:t>
      </w:r>
      <w:proofErr w:type="spellStart"/>
      <w:r w:rsidR="005968B3" w:rsidRPr="00A04896">
        <w:t>Invega</w:t>
      </w:r>
      <w:proofErr w:type="spellEnd"/>
      <w:r w:rsidR="005968B3" w:rsidRPr="00A04896">
        <w:t xml:space="preserve"> </w:t>
      </w:r>
      <w:proofErr w:type="spellStart"/>
      <w:r w:rsidR="005968B3" w:rsidRPr="00A04896">
        <w:t>Trinza</w:t>
      </w:r>
      <w:proofErr w:type="spellEnd"/>
      <w:r w:rsidRPr="008B7D82">
        <w:t>.</w:t>
      </w:r>
      <w:r w:rsidR="00A04896">
        <w:t xml:space="preserve"> </w:t>
      </w:r>
      <w:r w:rsidRPr="008B7D82">
        <w:t xml:space="preserve">While no clear evidence of increased or different adverse effects or reduced efficacy was apparent in the </w:t>
      </w:r>
      <w:r w:rsidR="005968B3">
        <w:t>Phase III</w:t>
      </w:r>
      <w:r w:rsidRPr="008B7D82">
        <w:t xml:space="preserve"> clinical trials advice on whether this variability is adequately expressed in the draft </w:t>
      </w:r>
      <w:r w:rsidR="00ED67BE">
        <w:t>PI</w:t>
      </w:r>
      <w:r w:rsidRPr="008B7D82">
        <w:t xml:space="preserve"> is requested</w:t>
      </w:r>
      <w:r w:rsidR="007F742D">
        <w:t>.</w:t>
      </w:r>
    </w:p>
    <w:p w14:paraId="6C9C6CDD" w14:textId="77777777" w:rsidR="008B7D82" w:rsidRPr="008B7D82" w:rsidRDefault="008B7D82" w:rsidP="008B7D82">
      <w:r w:rsidRPr="008B7D82">
        <w:t>The committee is (also) requested to provide advice on any other issues that it thinks may be relevant to a decision on whether or not to approve this application.</w:t>
      </w:r>
    </w:p>
    <w:p w14:paraId="48094642" w14:textId="36C62127" w:rsidR="00D23139" w:rsidRPr="00ED67BE" w:rsidRDefault="00D23139" w:rsidP="00ED67BE">
      <w:pPr>
        <w:pStyle w:val="Heading4"/>
      </w:pPr>
      <w:r w:rsidRPr="00ED67BE">
        <w:t xml:space="preserve">Response from </w:t>
      </w:r>
      <w:r w:rsidR="005968B3" w:rsidRPr="00ED67BE">
        <w:t>sponsor</w:t>
      </w:r>
    </w:p>
    <w:p w14:paraId="26D92214" w14:textId="77777777" w:rsidR="008B7D82" w:rsidRPr="00ED67BE" w:rsidRDefault="008B7D82" w:rsidP="00ED67BE">
      <w:r w:rsidRPr="00ED67BE">
        <w:t xml:space="preserve">On the 24 June 2016, </w:t>
      </w:r>
      <w:r w:rsidR="00ED67BE">
        <w:t>the sponsor</w:t>
      </w:r>
      <w:r w:rsidRPr="00ED67BE">
        <w:t xml:space="preserve"> received the Delegate’s </w:t>
      </w:r>
      <w:r w:rsidR="00ED67BE">
        <w:t>r</w:t>
      </w:r>
      <w:r w:rsidRPr="00ED67BE">
        <w:t>equest for the</w:t>
      </w:r>
      <w:r w:rsidR="00ED67BE">
        <w:t xml:space="preserve"> ACPM a</w:t>
      </w:r>
      <w:r w:rsidRPr="00ED67BE">
        <w:t xml:space="preserve">dvice. </w:t>
      </w:r>
      <w:r w:rsidR="00ED67BE">
        <w:t>The sponsor</w:t>
      </w:r>
      <w:r w:rsidRPr="00ED67BE">
        <w:t xml:space="preserve"> thank</w:t>
      </w:r>
      <w:r w:rsidR="00ED67BE">
        <w:t>ed</w:t>
      </w:r>
      <w:r w:rsidRPr="00ED67BE">
        <w:t xml:space="preserve"> the Delegate for the opportunity to provide comment to the ACPM on the particular issues raised below.</w:t>
      </w:r>
    </w:p>
    <w:p w14:paraId="72FD1368" w14:textId="77777777" w:rsidR="008B7D82" w:rsidRPr="008B7D82" w:rsidRDefault="008B7D82" w:rsidP="00E85CCF">
      <w:pPr>
        <w:pStyle w:val="Numberbullet0"/>
        <w:numPr>
          <w:ilvl w:val="0"/>
          <w:numId w:val="5"/>
        </w:numPr>
        <w:rPr>
          <w:i/>
        </w:rPr>
      </w:pPr>
      <w:r w:rsidRPr="008B7D82">
        <w:rPr>
          <w:i/>
        </w:rPr>
        <w:t xml:space="preserve">Contraindications unique to longer acting depot antipsychotic preparations including </w:t>
      </w:r>
      <w:proofErr w:type="spellStart"/>
      <w:r w:rsidR="005968B3" w:rsidRPr="00A04896">
        <w:t>Invega</w:t>
      </w:r>
      <w:proofErr w:type="spellEnd"/>
      <w:r w:rsidR="005968B3" w:rsidRPr="00A04896">
        <w:t xml:space="preserve"> </w:t>
      </w:r>
      <w:proofErr w:type="spellStart"/>
      <w:r w:rsidR="005968B3" w:rsidRPr="00A04896">
        <w:t>Trinza</w:t>
      </w:r>
      <w:proofErr w:type="spellEnd"/>
      <w:r w:rsidRPr="008B7D82">
        <w:rPr>
          <w:i/>
        </w:rPr>
        <w:t xml:space="preserve"> have been recommended by the ACSOM due to the difficulty reversing actions of such long acting antipsychotic products. Further advice on these contraindications, as discussed is requested.</w:t>
      </w:r>
    </w:p>
    <w:p w14:paraId="71DE7B2F" w14:textId="77777777" w:rsidR="008B7D82" w:rsidRPr="008B7D82" w:rsidRDefault="00ED67BE" w:rsidP="008B7D82">
      <w:r>
        <w:t>Sponsor’s r</w:t>
      </w:r>
      <w:r w:rsidR="008B7D82" w:rsidRPr="008B7D82">
        <w:t>esponse:</w:t>
      </w:r>
    </w:p>
    <w:p w14:paraId="7F28A465" w14:textId="77777777" w:rsidR="008B7D82" w:rsidRPr="008B7D82" w:rsidRDefault="008B7D82" w:rsidP="008B7D82">
      <w:r w:rsidRPr="008B7D82">
        <w:t xml:space="preserve">As noted by the Delegate, the RMP </w:t>
      </w:r>
      <w:r w:rsidR="00186E45">
        <w:t>evaluator</w:t>
      </w:r>
      <w:r w:rsidRPr="008B7D82">
        <w:t xml:space="preserve"> recommended inclusion o</w:t>
      </w:r>
      <w:r>
        <w:t xml:space="preserve">f additional contraindications </w:t>
      </w:r>
      <w:r w:rsidRPr="008B7D82">
        <w:t xml:space="preserve">for </w:t>
      </w:r>
      <w:proofErr w:type="spellStart"/>
      <w:r w:rsidR="005968B3" w:rsidRPr="00A04896">
        <w:t>Invega</w:t>
      </w:r>
      <w:proofErr w:type="spellEnd"/>
      <w:r w:rsidR="005968B3" w:rsidRPr="00A04896">
        <w:t xml:space="preserve"> </w:t>
      </w:r>
      <w:proofErr w:type="spellStart"/>
      <w:r w:rsidR="005968B3" w:rsidRPr="00A04896">
        <w:t>Trinza</w:t>
      </w:r>
      <w:proofErr w:type="spellEnd"/>
      <w:r w:rsidRPr="008B7D82">
        <w:t xml:space="preserve"> (</w:t>
      </w:r>
      <w:proofErr w:type="spellStart"/>
      <w:r w:rsidRPr="008B7D82">
        <w:t>paliperidone</w:t>
      </w:r>
      <w:proofErr w:type="spellEnd"/>
      <w:r w:rsidRPr="008B7D82">
        <w:t xml:space="preserve"> palmitate </w:t>
      </w:r>
      <w:r w:rsidR="008D4FE3">
        <w:t xml:space="preserve">3 month </w:t>
      </w:r>
      <w:r w:rsidRPr="008B7D82">
        <w:t>injection [</w:t>
      </w:r>
      <w:r>
        <w:t xml:space="preserve">PP3M]) based on advice received </w:t>
      </w:r>
      <w:r w:rsidRPr="008B7D82">
        <w:t xml:space="preserve">from the ACSOM. The RMP </w:t>
      </w:r>
      <w:r w:rsidR="00186E45">
        <w:t>evaluator</w:t>
      </w:r>
      <w:r w:rsidRPr="008B7D82">
        <w:t>’s basis for the recomm</w:t>
      </w:r>
      <w:r>
        <w:t xml:space="preserve">endations was that the clinical </w:t>
      </w:r>
      <w:r w:rsidRPr="008B7D82">
        <w:t>management of the adverse events listed below would be compromised b</w:t>
      </w:r>
      <w:r w:rsidR="00ED67BE">
        <w:t xml:space="preserve">y the long </w:t>
      </w:r>
      <w:r>
        <w:t xml:space="preserve">acting nature of </w:t>
      </w:r>
      <w:r w:rsidRPr="008B7D82">
        <w:t>PP3M, and their development may not b</w:t>
      </w:r>
      <w:r w:rsidR="00ED67BE">
        <w:t>e adequately predicted by the 4</w:t>
      </w:r>
      <w:r w:rsidRPr="008B7D82">
        <w:t xml:space="preserve"> month lead‐</w:t>
      </w:r>
      <w:r>
        <w:t xml:space="preserve">in phase. The </w:t>
      </w:r>
      <w:r w:rsidRPr="008B7D82">
        <w:t>proposed contraindications to the use of PP3M were related to:</w:t>
      </w:r>
      <w:r>
        <w:t xml:space="preserve"> </w:t>
      </w:r>
      <w:r w:rsidR="00ED67BE">
        <w:t>NMS</w:t>
      </w:r>
      <w:r w:rsidRPr="008B7D82">
        <w:t>; congenital long QT syndrome and a history of cardiac arrh</w:t>
      </w:r>
      <w:r>
        <w:t xml:space="preserve">ythmia; tardive dyskinesia, and </w:t>
      </w:r>
      <w:r w:rsidRPr="008B7D82">
        <w:t>low white blood cell (WBC) count and history of drug‐induced leukopenia/neutropenia.</w:t>
      </w:r>
    </w:p>
    <w:p w14:paraId="5537AD4D" w14:textId="77777777" w:rsidR="008B7D82" w:rsidRPr="008B7D82" w:rsidRDefault="008B7D82" w:rsidP="008B7D82">
      <w:r w:rsidRPr="008B7D82">
        <w:t xml:space="preserve">The </w:t>
      </w:r>
      <w:r w:rsidR="005968B3">
        <w:t>sponsor</w:t>
      </w:r>
      <w:r w:rsidRPr="008B7D82">
        <w:t xml:space="preserve"> understands the concern of the RMP evaluator </w:t>
      </w:r>
      <w:r w:rsidR="00ED67BE">
        <w:t xml:space="preserve">and ACSOM about the long </w:t>
      </w:r>
      <w:r w:rsidR="00930FA0">
        <w:t xml:space="preserve">acting </w:t>
      </w:r>
      <w:r w:rsidRPr="008B7D82">
        <w:t xml:space="preserve">nature of </w:t>
      </w:r>
      <w:proofErr w:type="spellStart"/>
      <w:r w:rsidR="005968B3" w:rsidRPr="00A04896">
        <w:t>Invega</w:t>
      </w:r>
      <w:proofErr w:type="spellEnd"/>
      <w:r w:rsidR="005968B3" w:rsidRPr="00A04896">
        <w:t xml:space="preserve"> </w:t>
      </w:r>
      <w:proofErr w:type="spellStart"/>
      <w:r w:rsidR="005968B3" w:rsidRPr="00A04896">
        <w:t>Trinza</w:t>
      </w:r>
      <w:proofErr w:type="spellEnd"/>
      <w:r w:rsidRPr="008B7D82">
        <w:t>, but does not consider the cont</w:t>
      </w:r>
      <w:r w:rsidR="00930FA0">
        <w:t xml:space="preserve">raindications for </w:t>
      </w:r>
      <w:proofErr w:type="spellStart"/>
      <w:r w:rsidR="005968B3" w:rsidRPr="00A04896">
        <w:t>Invega</w:t>
      </w:r>
      <w:proofErr w:type="spellEnd"/>
      <w:r w:rsidR="005968B3" w:rsidRPr="00A04896">
        <w:t xml:space="preserve"> </w:t>
      </w:r>
      <w:proofErr w:type="spellStart"/>
      <w:r w:rsidR="005968B3" w:rsidRPr="00A04896">
        <w:t>Trinza</w:t>
      </w:r>
      <w:proofErr w:type="spellEnd"/>
      <w:r w:rsidR="00930FA0">
        <w:t xml:space="preserve"> </w:t>
      </w:r>
      <w:r w:rsidRPr="008B7D82">
        <w:t>should b</w:t>
      </w:r>
      <w:r w:rsidR="00ED67BE">
        <w:t xml:space="preserve">e any different from other long </w:t>
      </w:r>
      <w:r w:rsidRPr="008B7D82">
        <w:t>acting injectable (LAI) an</w:t>
      </w:r>
      <w:r w:rsidR="00930FA0">
        <w:t xml:space="preserve">tipsychotics. We have noted the </w:t>
      </w:r>
      <w:r w:rsidRPr="008B7D82">
        <w:t>RMP evaluator and ACSOM’s comments relating to the contraindications and</w:t>
      </w:r>
      <w:r w:rsidR="00930FA0">
        <w:t xml:space="preserve"> we also note that the </w:t>
      </w:r>
      <w:r w:rsidRPr="008B7D82">
        <w:t>Delegate has made comments, in the summary of issues, that thes</w:t>
      </w:r>
      <w:r w:rsidR="00930FA0">
        <w:t xml:space="preserve">e may not be justified. </w:t>
      </w:r>
      <w:r w:rsidR="00ED67BE">
        <w:t>The sponsor</w:t>
      </w:r>
      <w:r w:rsidR="00930FA0">
        <w:t xml:space="preserve"> </w:t>
      </w:r>
      <w:r w:rsidRPr="008B7D82">
        <w:t xml:space="preserve">would like to take this opportunity to provide a justification for why </w:t>
      </w:r>
      <w:r w:rsidR="00930FA0">
        <w:t xml:space="preserve">these precautions should remain </w:t>
      </w:r>
      <w:r w:rsidRPr="008B7D82">
        <w:t>as precautions and not be moved to the contraindications section of the PI.</w:t>
      </w:r>
    </w:p>
    <w:p w14:paraId="5400517E" w14:textId="77777777" w:rsidR="00930FA0" w:rsidRDefault="00930FA0" w:rsidP="00930FA0">
      <w:r w:rsidRPr="00930FA0">
        <w:t xml:space="preserve">The </w:t>
      </w:r>
      <w:r w:rsidR="005968B3">
        <w:t>sponsor</w:t>
      </w:r>
      <w:r w:rsidRPr="00930FA0">
        <w:t xml:space="preserve"> understands there could be concern in initiating a </w:t>
      </w:r>
      <w:r w:rsidR="008D4FE3">
        <w:t xml:space="preserve">3 month </w:t>
      </w:r>
      <w:r w:rsidRPr="00930FA0">
        <w:t>medication if the medication</w:t>
      </w:r>
      <w:r>
        <w:t xml:space="preserve"> </w:t>
      </w:r>
      <w:r w:rsidRPr="00930FA0">
        <w:t>was initiated wi</w:t>
      </w:r>
      <w:r w:rsidR="00ED67BE">
        <w:t xml:space="preserve">thout prior exposure to shorter </w:t>
      </w:r>
      <w:r w:rsidRPr="00930FA0">
        <w:t>acting versions of th</w:t>
      </w:r>
      <w:r>
        <w:t xml:space="preserve">ese medications. However, for a </w:t>
      </w:r>
      <w:r w:rsidRPr="00930FA0">
        <w:t xml:space="preserve">patient to start on </w:t>
      </w:r>
      <w:proofErr w:type="spellStart"/>
      <w:r w:rsidR="005968B3" w:rsidRPr="00A04896">
        <w:t>Invega</w:t>
      </w:r>
      <w:proofErr w:type="spellEnd"/>
      <w:r w:rsidR="005968B3" w:rsidRPr="00A04896">
        <w:t xml:space="preserve"> </w:t>
      </w:r>
      <w:proofErr w:type="spellStart"/>
      <w:r w:rsidR="005968B3" w:rsidRPr="00A04896">
        <w:t>Trinza</w:t>
      </w:r>
      <w:proofErr w:type="spellEnd"/>
      <w:r w:rsidRPr="00930FA0">
        <w:t>, the patient needs exten</w:t>
      </w:r>
      <w:r>
        <w:t xml:space="preserve">sive </w:t>
      </w:r>
      <w:r>
        <w:lastRenderedPageBreak/>
        <w:t xml:space="preserve">exposure to other forms of </w:t>
      </w:r>
      <w:proofErr w:type="spellStart"/>
      <w:r w:rsidRPr="00930FA0">
        <w:t>paliperidone</w:t>
      </w:r>
      <w:proofErr w:type="spellEnd"/>
      <w:r w:rsidRPr="00930FA0">
        <w:t xml:space="preserve"> or risperidone. Prior to starting the </w:t>
      </w:r>
      <w:r w:rsidR="008D4FE3">
        <w:t>1 month</w:t>
      </w:r>
      <w:r w:rsidRPr="00930FA0">
        <w:t xml:space="preserve"> </w:t>
      </w:r>
      <w:proofErr w:type="spellStart"/>
      <w:r w:rsidRPr="00930FA0">
        <w:t>paliperidone</w:t>
      </w:r>
      <w:proofErr w:type="spellEnd"/>
      <w:r w:rsidRPr="00930FA0">
        <w:t xml:space="preserve"> palmitate injectable product</w:t>
      </w:r>
      <w:r>
        <w:t xml:space="preserve"> </w:t>
      </w:r>
      <w:r w:rsidRPr="00930FA0">
        <w:t xml:space="preserve">(PP1M; </w:t>
      </w:r>
      <w:proofErr w:type="spellStart"/>
      <w:r w:rsidR="005968B3" w:rsidRPr="00A04896">
        <w:t>Invega</w:t>
      </w:r>
      <w:proofErr w:type="spellEnd"/>
      <w:r w:rsidR="005968B3" w:rsidRPr="00A04896">
        <w:t xml:space="preserve"> </w:t>
      </w:r>
      <w:proofErr w:type="spellStart"/>
      <w:r w:rsidR="005968B3" w:rsidRPr="00A04896">
        <w:t>Sustenna</w:t>
      </w:r>
      <w:proofErr w:type="spellEnd"/>
      <w:r w:rsidRPr="00930FA0">
        <w:t>), patients need to have demonstrated tolerability to risperidone</w:t>
      </w:r>
      <w:r>
        <w:t xml:space="preserve"> </w:t>
      </w:r>
      <w:r w:rsidRPr="00930FA0">
        <w:t xml:space="preserve">(whose major metabolite is </w:t>
      </w:r>
      <w:proofErr w:type="spellStart"/>
      <w:r w:rsidRPr="00930FA0">
        <w:t>paliperidone</w:t>
      </w:r>
      <w:proofErr w:type="spellEnd"/>
      <w:r w:rsidRPr="00930FA0">
        <w:t xml:space="preserve">) or oral </w:t>
      </w:r>
      <w:proofErr w:type="spellStart"/>
      <w:r w:rsidRPr="00930FA0">
        <w:t>paliperidone</w:t>
      </w:r>
      <w:proofErr w:type="spellEnd"/>
      <w:r w:rsidRPr="00930FA0">
        <w:t xml:space="preserve">. Per the </w:t>
      </w:r>
      <w:proofErr w:type="spellStart"/>
      <w:r w:rsidR="005968B3" w:rsidRPr="00A04896">
        <w:t>Invega</w:t>
      </w:r>
      <w:proofErr w:type="spellEnd"/>
      <w:r w:rsidR="005968B3" w:rsidRPr="00A04896">
        <w:t xml:space="preserve"> </w:t>
      </w:r>
      <w:proofErr w:type="spellStart"/>
      <w:r w:rsidR="005968B3" w:rsidRPr="00A04896">
        <w:t>Trinza</w:t>
      </w:r>
      <w:proofErr w:type="spellEnd"/>
      <w:r w:rsidRPr="00930FA0">
        <w:t xml:space="preserve"> PI, a</w:t>
      </w:r>
      <w:r>
        <w:t xml:space="preserve"> </w:t>
      </w:r>
      <w:r w:rsidRPr="00930FA0">
        <w:t>patient then nee</w:t>
      </w:r>
      <w:r w:rsidR="00ED67BE">
        <w:t>ds to be on PP1M for at least 4 </w:t>
      </w:r>
      <w:r w:rsidRPr="00930FA0">
        <w:t>months (5 injec</w:t>
      </w:r>
      <w:r>
        <w:t xml:space="preserve">tions) prior to starting </w:t>
      </w:r>
      <w:proofErr w:type="spellStart"/>
      <w:r w:rsidR="005968B3" w:rsidRPr="00A04896">
        <w:t>Invega</w:t>
      </w:r>
      <w:proofErr w:type="spellEnd"/>
      <w:r w:rsidR="005968B3" w:rsidRPr="00A04896">
        <w:t xml:space="preserve"> </w:t>
      </w:r>
      <w:proofErr w:type="spellStart"/>
      <w:r w:rsidR="005968B3" w:rsidRPr="00A04896">
        <w:t>Trinza</w:t>
      </w:r>
      <w:proofErr w:type="spellEnd"/>
      <w:r w:rsidRPr="00930FA0">
        <w:t>. This is an extensive period of time to determine tolerability to</w:t>
      </w:r>
      <w:r>
        <w:t xml:space="preserve"> the medication. Further, it is </w:t>
      </w:r>
      <w:r w:rsidRPr="00930FA0">
        <w:t>recommended that the dose of PP1M is stable prior to starting</w:t>
      </w:r>
      <w:r>
        <w:t xml:space="preserve"> </w:t>
      </w:r>
      <w:proofErr w:type="spellStart"/>
      <w:r w:rsidR="005968B3" w:rsidRPr="00A04896">
        <w:t>Invega</w:t>
      </w:r>
      <w:proofErr w:type="spellEnd"/>
      <w:r w:rsidR="005968B3" w:rsidRPr="00A04896">
        <w:t xml:space="preserve"> </w:t>
      </w:r>
      <w:proofErr w:type="spellStart"/>
      <w:r w:rsidR="005968B3" w:rsidRPr="00A04896">
        <w:t>Trinza</w:t>
      </w:r>
      <w:proofErr w:type="spellEnd"/>
      <w:r>
        <w:t xml:space="preserve"> by administering </w:t>
      </w:r>
      <w:r w:rsidRPr="00930FA0">
        <w:t xml:space="preserve">the same strength for the last 2 doses. The benefit of the </w:t>
      </w:r>
      <w:r w:rsidR="00ED67BE">
        <w:t>4 month</w:t>
      </w:r>
      <w:r w:rsidRPr="00930FA0">
        <w:t xml:space="preserve"> lea</w:t>
      </w:r>
      <w:r>
        <w:t xml:space="preserve">d-in period was demonstrated in </w:t>
      </w:r>
      <w:r w:rsidRPr="00930FA0">
        <w:t xml:space="preserve">the </w:t>
      </w:r>
      <w:r w:rsidR="005968B3">
        <w:t>Phase III</w:t>
      </w:r>
      <w:r w:rsidRPr="00930FA0">
        <w:t xml:space="preserve"> studies with PP3M, as shown by the low discontin</w:t>
      </w:r>
      <w:r>
        <w:t xml:space="preserve">uation rates observed following </w:t>
      </w:r>
      <w:r w:rsidRPr="00930FA0">
        <w:t>conversion to PP3M. In Study PSY-3011, 3% of subjects in t</w:t>
      </w:r>
      <w:r>
        <w:t xml:space="preserve">he PP3M treatment arm and 3% of </w:t>
      </w:r>
      <w:r w:rsidRPr="00930FA0">
        <w:t>subjects in the PP1M treatment arm discontinued treatment due to an advers</w:t>
      </w:r>
      <w:r>
        <w:t xml:space="preserve">e event during the </w:t>
      </w:r>
      <w:r w:rsidR="00ED67BE">
        <w:t xml:space="preserve">double </w:t>
      </w:r>
      <w:r w:rsidR="00ED67BE" w:rsidRPr="00930FA0">
        <w:t>blind phase</w:t>
      </w:r>
      <w:r w:rsidRPr="00930FA0">
        <w:t xml:space="preserve">, with the majority of subjects completing the </w:t>
      </w:r>
      <w:r w:rsidR="005968B3">
        <w:t>48 week</w:t>
      </w:r>
      <w:r>
        <w:t xml:space="preserve"> treatment period (84% and </w:t>
      </w:r>
      <w:r w:rsidRPr="00930FA0">
        <w:t>82%, respectively</w:t>
      </w:r>
      <w:r w:rsidRPr="00300331">
        <w:t>) (Table 12). In Study</w:t>
      </w:r>
      <w:r w:rsidRPr="00930FA0">
        <w:t xml:space="preserve"> PS</w:t>
      </w:r>
      <w:r>
        <w:t xml:space="preserve">Y-3012, no subjects in the PP3M </w:t>
      </w:r>
      <w:r w:rsidRPr="00930FA0">
        <w:t xml:space="preserve">treatment arm discontinued from the </w:t>
      </w:r>
      <w:r w:rsidR="00ED67BE">
        <w:t xml:space="preserve">double </w:t>
      </w:r>
      <w:r w:rsidR="00ED67BE" w:rsidRPr="00930FA0">
        <w:t xml:space="preserve">blind phase </w:t>
      </w:r>
      <w:r w:rsidRPr="00930FA0">
        <w:t>due t</w:t>
      </w:r>
      <w:r>
        <w:t xml:space="preserve">o an adverse </w:t>
      </w:r>
      <w:r w:rsidRPr="00300331">
        <w:t xml:space="preserve">event </w:t>
      </w:r>
      <w:r w:rsidR="00300331" w:rsidRPr="00300331">
        <w:t>(Table 13</w:t>
      </w:r>
      <w:r w:rsidRPr="00300331">
        <w:t>).</w:t>
      </w:r>
      <w:r w:rsidRPr="00930FA0">
        <w:t xml:space="preserve"> As part of the consideration to initiate </w:t>
      </w:r>
      <w:proofErr w:type="spellStart"/>
      <w:r w:rsidR="005968B3" w:rsidRPr="00A04896">
        <w:t>Invega</w:t>
      </w:r>
      <w:proofErr w:type="spellEnd"/>
      <w:r w:rsidR="005968B3" w:rsidRPr="00A04896">
        <w:t xml:space="preserve"> </w:t>
      </w:r>
      <w:proofErr w:type="spellStart"/>
      <w:r w:rsidR="005968B3" w:rsidRPr="00A04896">
        <w:t>Trinza</w:t>
      </w:r>
      <w:proofErr w:type="spellEnd"/>
      <w:r w:rsidRPr="00930FA0">
        <w:t>, t</w:t>
      </w:r>
      <w:r>
        <w:t xml:space="preserve">he clinician may also decide to </w:t>
      </w:r>
      <w:r w:rsidRPr="00930FA0">
        <w:t>maintain a patient on PP1M treatment for longer than the required 4 mo</w:t>
      </w:r>
      <w:r>
        <w:t xml:space="preserve">nths to confirm tolerability if </w:t>
      </w:r>
      <w:r w:rsidRPr="00930FA0">
        <w:t>the patient had a history of significant adverse events.</w:t>
      </w:r>
    </w:p>
    <w:p w14:paraId="2B43258B" w14:textId="77777777" w:rsidR="00300331" w:rsidRDefault="00300331" w:rsidP="00300331">
      <w:pPr>
        <w:pStyle w:val="Tabletitle0"/>
      </w:pPr>
      <w:r w:rsidRPr="00300331">
        <w:t>Table 12</w:t>
      </w:r>
      <w:r>
        <w:t>:</w:t>
      </w:r>
      <w:r w:rsidRPr="00300331">
        <w:t xml:space="preserve"> PSY 3011 Completion/withdrawa</w:t>
      </w:r>
      <w:r>
        <w:t xml:space="preserve">l information during the double </w:t>
      </w:r>
      <w:r w:rsidRPr="00300331">
        <w:t>blind phase</w:t>
      </w:r>
    </w:p>
    <w:p w14:paraId="4A040602" w14:textId="77777777" w:rsidR="00300331" w:rsidRDefault="00300331" w:rsidP="00300331">
      <w:r>
        <w:rPr>
          <w:noProof/>
          <w:lang w:eastAsia="en-AU"/>
        </w:rPr>
        <w:drawing>
          <wp:inline distT="0" distB="0" distL="0" distR="0" wp14:anchorId="1A15B183" wp14:editId="4D47B2B3">
            <wp:extent cx="5400040" cy="2197516"/>
            <wp:effectExtent l="0" t="0" r="0" b="0"/>
            <wp:docPr id="12" name="Picture 12" descr="Table 12: PSY 3011 Completion/withdrawal information during the double blind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2197516"/>
                    </a:xfrm>
                    <a:prstGeom prst="rect">
                      <a:avLst/>
                    </a:prstGeom>
                  </pic:spPr>
                </pic:pic>
              </a:graphicData>
            </a:graphic>
          </wp:inline>
        </w:drawing>
      </w:r>
    </w:p>
    <w:p w14:paraId="176763A1" w14:textId="77777777" w:rsidR="00300331" w:rsidRDefault="00300331" w:rsidP="00300331">
      <w:pPr>
        <w:pStyle w:val="Tabletitle0"/>
      </w:pPr>
      <w:r w:rsidRPr="00300331">
        <w:t>Table 13 PSY 3012 Completion/withdrawal inform</w:t>
      </w:r>
      <w:r>
        <w:t xml:space="preserve">ation during the double </w:t>
      </w:r>
      <w:r w:rsidRPr="00300331">
        <w:t>blind phase</w:t>
      </w:r>
    </w:p>
    <w:p w14:paraId="7465D65A" w14:textId="77777777" w:rsidR="00300331" w:rsidRPr="00300331" w:rsidRDefault="00300331" w:rsidP="00300331">
      <w:r>
        <w:rPr>
          <w:noProof/>
          <w:lang w:eastAsia="en-AU"/>
        </w:rPr>
        <w:drawing>
          <wp:inline distT="0" distB="0" distL="0" distR="0" wp14:anchorId="529F5B23" wp14:editId="46782CF3">
            <wp:extent cx="5400040" cy="2266171"/>
            <wp:effectExtent l="0" t="0" r="0" b="1270"/>
            <wp:docPr id="13" name="Picture 13" descr="Table 13 PSY 3012 Completion/withdrawal information during the double blind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2266171"/>
                    </a:xfrm>
                    <a:prstGeom prst="rect">
                      <a:avLst/>
                    </a:prstGeom>
                  </pic:spPr>
                </pic:pic>
              </a:graphicData>
            </a:graphic>
          </wp:inline>
        </w:drawing>
      </w:r>
    </w:p>
    <w:p w14:paraId="01DD23C0" w14:textId="77777777" w:rsidR="00930FA0" w:rsidRPr="00930FA0" w:rsidRDefault="00930FA0" w:rsidP="00930FA0">
      <w:r w:rsidRPr="00930FA0">
        <w:t xml:space="preserve">The </w:t>
      </w:r>
      <w:r w:rsidR="005968B3">
        <w:t>sponsor</w:t>
      </w:r>
      <w:r w:rsidRPr="00930FA0">
        <w:t xml:space="preserve"> agrees with the Delegate’s comment that it is</w:t>
      </w:r>
      <w:r>
        <w:t xml:space="preserve"> unclear whether these proposed </w:t>
      </w:r>
      <w:r w:rsidRPr="00930FA0">
        <w:t>contraindications wou</w:t>
      </w:r>
      <w:r w:rsidR="00ED67BE">
        <w:t xml:space="preserve">ld improve the safety of longer </w:t>
      </w:r>
      <w:r w:rsidRPr="00930FA0">
        <w:t>acting de</w:t>
      </w:r>
      <w:r>
        <w:t xml:space="preserve">pot antipsychotic agents or the </w:t>
      </w:r>
      <w:r w:rsidRPr="00930FA0">
        <w:t>management of patients requiring antipsychotic treatment. The signif</w:t>
      </w:r>
      <w:r>
        <w:t xml:space="preserve">icant </w:t>
      </w:r>
      <w:r>
        <w:lastRenderedPageBreak/>
        <w:t xml:space="preserve">adverse outcomes noted by </w:t>
      </w:r>
      <w:r w:rsidRPr="00930FA0">
        <w:t xml:space="preserve">the RMP </w:t>
      </w:r>
      <w:r w:rsidR="00186E45">
        <w:t>evaluator</w:t>
      </w:r>
      <w:r w:rsidRPr="00930FA0">
        <w:t xml:space="preserve"> above (</w:t>
      </w:r>
      <w:r w:rsidR="00ED67BE">
        <w:t>that is</w:t>
      </w:r>
      <w:r w:rsidRPr="00930FA0">
        <w:t>, NMS, tardive dyskinesia, prolonge</w:t>
      </w:r>
      <w:r>
        <w:t xml:space="preserve">d QT, and neutropenia) are rare </w:t>
      </w:r>
      <w:r w:rsidRPr="00930FA0">
        <w:t xml:space="preserve">events that have the potential to occur with any antipsychotic medication. It is likely that </w:t>
      </w:r>
      <w:r>
        <w:t xml:space="preserve">a patient </w:t>
      </w:r>
      <w:r w:rsidRPr="00930FA0">
        <w:t>will be prescribed antipsychotic medications other than PP3M if these</w:t>
      </w:r>
      <w:r>
        <w:t xml:space="preserve"> contraindications are included </w:t>
      </w:r>
      <w:r w:rsidRPr="00930FA0">
        <w:t>in the PI. By introducing these contraindications it reduces the numb</w:t>
      </w:r>
      <w:r>
        <w:t xml:space="preserve">er of patients that can benefit </w:t>
      </w:r>
      <w:r w:rsidRPr="00930FA0">
        <w:t xml:space="preserve">from the receipt of treatment only four times a year versus monthly. </w:t>
      </w:r>
      <w:r>
        <w:t xml:space="preserve">Poor adherence to medication is </w:t>
      </w:r>
      <w:r w:rsidRPr="00930FA0">
        <w:t>common in patients with schizophrenia and can lead to relapse and</w:t>
      </w:r>
      <w:r>
        <w:t xml:space="preserve"> other serious adverse outcomes </w:t>
      </w:r>
      <w:r w:rsidRPr="00930FA0">
        <w:t>(</w:t>
      </w:r>
      <w:r w:rsidR="00ED67BE">
        <w:t>for example</w:t>
      </w:r>
      <w:r w:rsidR="002403B4">
        <w:t>, hospitalization</w:t>
      </w:r>
      <w:r w:rsidRPr="00930FA0">
        <w:t xml:space="preserve"> </w:t>
      </w:r>
      <w:r w:rsidR="002403B4" w:rsidRPr="00930FA0">
        <w:t>and suicide</w:t>
      </w:r>
      <w:r w:rsidRPr="00930FA0">
        <w:t>). The risk for poor adherence is muc</w:t>
      </w:r>
      <w:r>
        <w:t xml:space="preserve">h higher than for these adverse </w:t>
      </w:r>
      <w:r w:rsidRPr="00930FA0">
        <w:t>events. Particularly for people with difficulty accessing healthcare su</w:t>
      </w:r>
      <w:r>
        <w:t xml:space="preserve">ch as in rural areas, there are </w:t>
      </w:r>
      <w:r w:rsidRPr="00930FA0">
        <w:t>multiple advantages of longer coverage with LAI medication and</w:t>
      </w:r>
      <w:r>
        <w:t xml:space="preserve"> these considerations should be </w:t>
      </w:r>
      <w:r w:rsidRPr="00930FA0">
        <w:t>balanced against these four risks which are rare and can often be mi</w:t>
      </w:r>
      <w:r>
        <w:t xml:space="preserve">tigated. The specific events in </w:t>
      </w:r>
      <w:r w:rsidRPr="00930FA0">
        <w:t>question will be discussed further below.</w:t>
      </w:r>
    </w:p>
    <w:p w14:paraId="1BB12357" w14:textId="77777777" w:rsidR="00351A66" w:rsidRPr="00351A66" w:rsidRDefault="00351A66" w:rsidP="00351A66">
      <w:pPr>
        <w:pStyle w:val="Heading6"/>
        <w:rPr>
          <w:rFonts w:eastAsiaTheme="minorHAnsi"/>
        </w:rPr>
      </w:pPr>
      <w:r w:rsidRPr="00351A66">
        <w:rPr>
          <w:rFonts w:eastAsiaTheme="minorHAnsi"/>
        </w:rPr>
        <w:t>Neuroleptic Malignant Syndrome</w:t>
      </w:r>
    </w:p>
    <w:p w14:paraId="75A588FC" w14:textId="1DAF5738" w:rsidR="002E07E5" w:rsidRPr="002E07E5" w:rsidRDefault="00351A66" w:rsidP="002E07E5">
      <w:r w:rsidRPr="00351A66">
        <w:t xml:space="preserve">The risks of developing NMS with </w:t>
      </w:r>
      <w:proofErr w:type="spellStart"/>
      <w:r w:rsidR="005968B3" w:rsidRPr="00A04896">
        <w:t>Invega</w:t>
      </w:r>
      <w:proofErr w:type="spellEnd"/>
      <w:r w:rsidR="005968B3" w:rsidRPr="00A04896">
        <w:t xml:space="preserve"> </w:t>
      </w:r>
      <w:proofErr w:type="spellStart"/>
      <w:r w:rsidR="005968B3" w:rsidRPr="00A04896">
        <w:t>Trinza</w:t>
      </w:r>
      <w:proofErr w:type="spellEnd"/>
      <w:r w:rsidRPr="00351A66">
        <w:t xml:space="preserve"> are extremely l</w:t>
      </w:r>
      <w:r>
        <w:t xml:space="preserve">ow given the gradual release of </w:t>
      </w:r>
      <w:proofErr w:type="spellStart"/>
      <w:r w:rsidRPr="00351A66">
        <w:t>paliperidone</w:t>
      </w:r>
      <w:proofErr w:type="spellEnd"/>
      <w:r w:rsidRPr="00351A66">
        <w:t xml:space="preserve"> from the injection site and the previous exposure to </w:t>
      </w:r>
      <w:proofErr w:type="spellStart"/>
      <w:r w:rsidRPr="00351A66">
        <w:t>paliperi</w:t>
      </w:r>
      <w:r>
        <w:t>done</w:t>
      </w:r>
      <w:proofErr w:type="spellEnd"/>
      <w:r>
        <w:t xml:space="preserve"> prior to the initiation of </w:t>
      </w:r>
      <w:r w:rsidRPr="00351A66">
        <w:t>PP3M. In general, NMS is related to the initiation of a new antipsychot</w:t>
      </w:r>
      <w:r>
        <w:t xml:space="preserve">ic medication or in rarer cases </w:t>
      </w:r>
      <w:r w:rsidRPr="00351A66">
        <w:t>with an increase in dose. Patients typically develop NMS within ho</w:t>
      </w:r>
      <w:r>
        <w:t xml:space="preserve">urs or days after exposure to a </w:t>
      </w:r>
      <w:r w:rsidRPr="00351A66">
        <w:t>causative drug, with most exhibiting symptoms within 2 weeks and nearly all within 30 days.</w:t>
      </w:r>
      <w:bookmarkStart w:id="172" w:name="_Ref489450222"/>
      <w:r w:rsidR="002403B4">
        <w:rPr>
          <w:rStyle w:val="FootnoteReference"/>
        </w:rPr>
        <w:footnoteReference w:id="14"/>
      </w:r>
      <w:bookmarkEnd w:id="172"/>
      <w:r w:rsidR="002403B4">
        <w:t xml:space="preserve"> </w:t>
      </w:r>
      <w:r>
        <w:t xml:space="preserve">NMS </w:t>
      </w:r>
      <w:r w:rsidRPr="00351A66">
        <w:t xml:space="preserve">is also less likely to occur if a patient has been on a stable dose of </w:t>
      </w:r>
      <w:r>
        <w:t xml:space="preserve">their antipsychotics for a long </w:t>
      </w:r>
      <w:r w:rsidRPr="00351A66">
        <w:t>period of time and there are no issues of nonadherence.</w:t>
      </w:r>
      <w:r w:rsidR="002403B4" w:rsidRPr="002403B4">
        <w:rPr>
          <w:vertAlign w:val="superscript"/>
        </w:rPr>
        <w:fldChar w:fldCharType="begin"/>
      </w:r>
      <w:r w:rsidR="002403B4" w:rsidRPr="002403B4">
        <w:rPr>
          <w:vertAlign w:val="superscript"/>
        </w:rPr>
        <w:instrText xml:space="preserve"> NOTEREF _Ref489450222 \h </w:instrText>
      </w:r>
      <w:r w:rsidR="002403B4">
        <w:rPr>
          <w:vertAlign w:val="superscript"/>
        </w:rPr>
        <w:instrText xml:space="preserve"> \* MERGEFORMAT </w:instrText>
      </w:r>
      <w:r w:rsidR="002403B4" w:rsidRPr="002403B4">
        <w:rPr>
          <w:vertAlign w:val="superscript"/>
        </w:rPr>
      </w:r>
      <w:r w:rsidR="002403B4" w:rsidRPr="002403B4">
        <w:rPr>
          <w:vertAlign w:val="superscript"/>
        </w:rPr>
        <w:fldChar w:fldCharType="separate"/>
      </w:r>
      <w:r w:rsidR="000D1E2B">
        <w:rPr>
          <w:vertAlign w:val="superscript"/>
        </w:rPr>
        <w:t>16</w:t>
      </w:r>
      <w:r w:rsidR="002403B4" w:rsidRPr="002403B4">
        <w:rPr>
          <w:vertAlign w:val="superscript"/>
        </w:rPr>
        <w:fldChar w:fldCharType="end"/>
      </w:r>
      <w:r w:rsidRPr="00351A66">
        <w:t xml:space="preserve"> Thus, </w:t>
      </w:r>
      <w:r>
        <w:t xml:space="preserve">NMS is unlikely to occur during </w:t>
      </w:r>
      <w:r w:rsidRPr="00351A66">
        <w:t xml:space="preserve">treatment with </w:t>
      </w:r>
      <w:proofErr w:type="spellStart"/>
      <w:r w:rsidR="005968B3" w:rsidRPr="00A04896">
        <w:t>Invega</w:t>
      </w:r>
      <w:proofErr w:type="spellEnd"/>
      <w:r w:rsidR="005968B3" w:rsidRPr="00A04896">
        <w:t xml:space="preserve"> </w:t>
      </w:r>
      <w:proofErr w:type="spellStart"/>
      <w:r w:rsidR="005968B3" w:rsidRPr="00A04896">
        <w:t>Trinza</w:t>
      </w:r>
      <w:proofErr w:type="spellEnd"/>
      <w:r w:rsidRPr="00351A66">
        <w:t xml:space="preserve"> given that patients have already be</w:t>
      </w:r>
      <w:r>
        <w:t xml:space="preserve">en established on a stable dose </w:t>
      </w:r>
      <w:r w:rsidRPr="00351A66">
        <w:t xml:space="preserve">during treatment with PP1M for at least 4 months. Glazer </w:t>
      </w:r>
      <w:r w:rsidR="008D4FE3">
        <w:t>and</w:t>
      </w:r>
      <w:r w:rsidRPr="00351A66">
        <w:t xml:space="preserve"> Kane</w:t>
      </w:r>
      <w:r w:rsidR="002403B4">
        <w:rPr>
          <w:rStyle w:val="FootnoteReference"/>
        </w:rPr>
        <w:footnoteReference w:id="15"/>
      </w:r>
      <w:r w:rsidR="002403B4">
        <w:t xml:space="preserve"> </w:t>
      </w:r>
      <w:r w:rsidRPr="00351A66">
        <w:t>fo</w:t>
      </w:r>
      <w:r>
        <w:t xml:space="preserve">und no evidence to suggest that </w:t>
      </w:r>
      <w:r w:rsidRPr="00351A66">
        <w:t>LAI medications increased the risk of NMS compared with the oral route. In fact the risk of NMS</w:t>
      </w:r>
      <w:r w:rsidR="002E07E5">
        <w:t xml:space="preserve"> </w:t>
      </w:r>
      <w:r w:rsidR="002E07E5" w:rsidRPr="002E07E5">
        <w:t xml:space="preserve">due to non-adherence may be reduced in patients receiving regular </w:t>
      </w:r>
      <w:r w:rsidR="002403B4">
        <w:t>long-acting injectable</w:t>
      </w:r>
      <w:r w:rsidR="002403B4" w:rsidRPr="002E07E5">
        <w:t xml:space="preserve"> </w:t>
      </w:r>
      <w:r w:rsidR="002403B4">
        <w:t>(</w:t>
      </w:r>
      <w:r w:rsidR="002E07E5" w:rsidRPr="002E07E5">
        <w:t>LAI</w:t>
      </w:r>
      <w:r w:rsidR="002403B4">
        <w:t>)</w:t>
      </w:r>
      <w:r w:rsidR="002E07E5" w:rsidRPr="002E07E5">
        <w:t xml:space="preserve"> treatment. For example, if someone is intermittently non</w:t>
      </w:r>
      <w:r w:rsidR="002403B4">
        <w:t>-</w:t>
      </w:r>
      <w:r w:rsidR="002E07E5" w:rsidRPr="002E07E5">
        <w:t xml:space="preserve">adherent to oral medications, there may be a higher risk </w:t>
      </w:r>
      <w:r w:rsidR="002E07E5">
        <w:t xml:space="preserve">of developing </w:t>
      </w:r>
      <w:r w:rsidR="002E07E5" w:rsidRPr="002E07E5">
        <w:t>NMS by restarting a higher dose after being non</w:t>
      </w:r>
      <w:r w:rsidR="002403B4">
        <w:t>-</w:t>
      </w:r>
      <w:r w:rsidR="002E07E5" w:rsidRPr="002E07E5">
        <w:t>adherent for mu</w:t>
      </w:r>
      <w:r w:rsidR="002E07E5">
        <w:t xml:space="preserve">ltiple days. Recurrences of NMS </w:t>
      </w:r>
      <w:r w:rsidR="002E07E5" w:rsidRPr="002E07E5">
        <w:t>have been reported, especially when a patient is restarted on a neuro</w:t>
      </w:r>
      <w:r w:rsidR="002E07E5">
        <w:t xml:space="preserve">leptic with high potency or too </w:t>
      </w:r>
      <w:r w:rsidR="002E07E5" w:rsidRPr="002E07E5">
        <w:t>quickly after their initial episode. However, most</w:t>
      </w:r>
      <w:r w:rsidR="002E07E5">
        <w:t xml:space="preserve"> patients who require continued antipsychotic </w:t>
      </w:r>
      <w:r w:rsidR="002E07E5" w:rsidRPr="002E07E5">
        <w:t>treatment are able to have a neuroleptic safely reintroduced with pr</w:t>
      </w:r>
      <w:r w:rsidR="002E07E5">
        <w:t xml:space="preserve">oper precautions including very </w:t>
      </w:r>
      <w:r w:rsidR="002E07E5" w:rsidRPr="002E07E5">
        <w:t>slow titration and careful monitoring.</w:t>
      </w:r>
      <w:r w:rsidR="002403B4" w:rsidRPr="002403B4">
        <w:rPr>
          <w:vertAlign w:val="superscript"/>
        </w:rPr>
        <w:fldChar w:fldCharType="begin"/>
      </w:r>
      <w:r w:rsidR="002403B4" w:rsidRPr="002403B4">
        <w:rPr>
          <w:vertAlign w:val="superscript"/>
        </w:rPr>
        <w:instrText xml:space="preserve"> NOTEREF _Ref489450222 \h </w:instrText>
      </w:r>
      <w:r w:rsidR="002403B4">
        <w:rPr>
          <w:vertAlign w:val="superscript"/>
        </w:rPr>
        <w:instrText xml:space="preserve"> \* MERGEFORMAT </w:instrText>
      </w:r>
      <w:r w:rsidR="002403B4" w:rsidRPr="002403B4">
        <w:rPr>
          <w:vertAlign w:val="superscript"/>
        </w:rPr>
      </w:r>
      <w:r w:rsidR="002403B4" w:rsidRPr="002403B4">
        <w:rPr>
          <w:vertAlign w:val="superscript"/>
        </w:rPr>
        <w:fldChar w:fldCharType="separate"/>
      </w:r>
      <w:r w:rsidR="000D1E2B">
        <w:rPr>
          <w:vertAlign w:val="superscript"/>
        </w:rPr>
        <w:t>16</w:t>
      </w:r>
      <w:r w:rsidR="002403B4" w:rsidRPr="002403B4">
        <w:rPr>
          <w:vertAlign w:val="superscript"/>
        </w:rPr>
        <w:fldChar w:fldCharType="end"/>
      </w:r>
      <w:r w:rsidR="002E07E5" w:rsidRPr="002E07E5">
        <w:t xml:space="preserve"> With a patient with a history of NMS, an oral medication</w:t>
      </w:r>
      <w:r w:rsidR="002E07E5">
        <w:t xml:space="preserve"> </w:t>
      </w:r>
      <w:r w:rsidR="002E07E5" w:rsidRPr="002E07E5">
        <w:t>would be initially introduced to establish tolerability and only after an extended period of time would</w:t>
      </w:r>
      <w:r w:rsidR="002E07E5">
        <w:t xml:space="preserve"> </w:t>
      </w:r>
      <w:r w:rsidR="002E07E5" w:rsidRPr="002E07E5">
        <w:t>one start a LAI like PP1M.</w:t>
      </w:r>
    </w:p>
    <w:p w14:paraId="6A852E38" w14:textId="77777777" w:rsidR="00930FA0" w:rsidRPr="002E07E5" w:rsidRDefault="002E07E5" w:rsidP="002E07E5">
      <w:r w:rsidRPr="002E07E5">
        <w:t xml:space="preserve">No cases of NMS were seen in the PP3M clinical program. In the </w:t>
      </w:r>
      <w:r>
        <w:t xml:space="preserve">extremely unlikely event of NMS </w:t>
      </w:r>
      <w:r w:rsidRPr="002E07E5">
        <w:t>occurring due to PP3M (and not another short acting antipsychotic</w:t>
      </w:r>
      <w:r>
        <w:t xml:space="preserve"> added to PP3M), the management </w:t>
      </w:r>
      <w:r w:rsidRPr="002E07E5">
        <w:t>would be the same as with PP1M with supportive care until symptoms improve.</w:t>
      </w:r>
    </w:p>
    <w:p w14:paraId="124B1228" w14:textId="77777777" w:rsidR="002E07E5" w:rsidRPr="002E07E5" w:rsidRDefault="002E07E5" w:rsidP="002E07E5">
      <w:pPr>
        <w:pStyle w:val="Heading6"/>
        <w:rPr>
          <w:rFonts w:eastAsiaTheme="minorHAnsi"/>
        </w:rPr>
      </w:pPr>
      <w:r w:rsidRPr="002E07E5">
        <w:rPr>
          <w:rFonts w:eastAsiaTheme="minorHAnsi"/>
        </w:rPr>
        <w:t>QT Prolongation</w:t>
      </w:r>
    </w:p>
    <w:p w14:paraId="65044D04" w14:textId="77777777" w:rsidR="002E07E5" w:rsidRPr="002E07E5" w:rsidRDefault="002E07E5" w:rsidP="002E07E5">
      <w:r w:rsidRPr="002E07E5">
        <w:t>For patients with a history of QT prolongation, this risk is true for all</w:t>
      </w:r>
      <w:r>
        <w:t xml:space="preserve"> antipsychotic medications and, </w:t>
      </w:r>
      <w:r w:rsidRPr="002E07E5">
        <w:t>as the Delegate noted, the lengthening of the QT prolongation appea</w:t>
      </w:r>
      <w:r>
        <w:t xml:space="preserve">rs to be less with </w:t>
      </w:r>
      <w:proofErr w:type="spellStart"/>
      <w:r>
        <w:t>paliperidone</w:t>
      </w:r>
      <w:proofErr w:type="spellEnd"/>
      <w:r>
        <w:t xml:space="preserve"> </w:t>
      </w:r>
      <w:r w:rsidRPr="002E07E5">
        <w:t xml:space="preserve">than some other antipsychotic </w:t>
      </w:r>
      <w:proofErr w:type="gramStart"/>
      <w:r w:rsidRPr="002403B4">
        <w:t>medications.</w:t>
      </w:r>
      <w:r w:rsidR="002403B4" w:rsidRPr="002403B4">
        <w:rPr>
          <w:rStyle w:val="FootnoteReference"/>
        </w:rPr>
        <w:footnoteReference w:id="16"/>
      </w:r>
      <w:r w:rsidR="002403B4" w:rsidRPr="002403B4">
        <w:t>,</w:t>
      </w:r>
      <w:proofErr w:type="gramEnd"/>
      <w:r w:rsidR="002403B4" w:rsidRPr="002403B4">
        <w:t xml:space="preserve"> </w:t>
      </w:r>
      <w:r w:rsidR="002403B4" w:rsidRPr="002403B4">
        <w:rPr>
          <w:rStyle w:val="FootnoteReference"/>
        </w:rPr>
        <w:footnoteReference w:id="17"/>
      </w:r>
      <w:r w:rsidRPr="002403B4">
        <w:t xml:space="preserve"> Further</w:t>
      </w:r>
      <w:r w:rsidRPr="002E07E5">
        <w:t>, the QT prolo</w:t>
      </w:r>
      <w:r>
        <w:t xml:space="preserve">ngation is thought to be due to </w:t>
      </w:r>
      <w:r w:rsidRPr="002E07E5">
        <w:t xml:space="preserve">blockade of potassium channels involved in </w:t>
      </w:r>
      <w:r w:rsidRPr="002E07E5">
        <w:lastRenderedPageBreak/>
        <w:t xml:space="preserve">repolarization of </w:t>
      </w:r>
      <w:r>
        <w:t xml:space="preserve">cardiac muscle. The activity of </w:t>
      </w:r>
      <w:proofErr w:type="spellStart"/>
      <w:r w:rsidRPr="002E07E5">
        <w:t>paliperidone</w:t>
      </w:r>
      <w:proofErr w:type="spellEnd"/>
      <w:r w:rsidRPr="002E07E5">
        <w:t xml:space="preserve"> on these channels is thought to occur quickly after </w:t>
      </w:r>
      <w:r>
        <w:t xml:space="preserve">oral dosing and likely would be </w:t>
      </w:r>
      <w:r w:rsidRPr="002E07E5">
        <w:t xml:space="preserve">detected during the tolerability testing of oral </w:t>
      </w:r>
      <w:proofErr w:type="spellStart"/>
      <w:r w:rsidRPr="002E07E5">
        <w:t>paliperidone</w:t>
      </w:r>
      <w:proofErr w:type="spellEnd"/>
      <w:r w:rsidRPr="002E07E5">
        <w:t xml:space="preserve"> or </w:t>
      </w:r>
      <w:r>
        <w:t xml:space="preserve">risperidone, or during the PP1M </w:t>
      </w:r>
      <w:r w:rsidRPr="002E07E5">
        <w:t>treatment for 4 months. A clinician would likely be monitorin</w:t>
      </w:r>
      <w:r>
        <w:t xml:space="preserve">g patients with a history of QT </w:t>
      </w:r>
      <w:r w:rsidRPr="002E07E5">
        <w:t>prolongation carefully during treatment, particularly during treatment</w:t>
      </w:r>
      <w:r>
        <w:t xml:space="preserve"> initiation. The current PI for </w:t>
      </w:r>
      <w:proofErr w:type="spellStart"/>
      <w:r w:rsidR="005968B3" w:rsidRPr="00A04896">
        <w:t>Invega</w:t>
      </w:r>
      <w:proofErr w:type="spellEnd"/>
      <w:r w:rsidR="005968B3" w:rsidRPr="00A04896">
        <w:t xml:space="preserve"> </w:t>
      </w:r>
      <w:proofErr w:type="spellStart"/>
      <w:r w:rsidR="005968B3" w:rsidRPr="00A04896">
        <w:t>Trinza</w:t>
      </w:r>
      <w:proofErr w:type="spellEnd"/>
      <w:r w:rsidRPr="002E07E5">
        <w:t xml:space="preserve"> already contains a statement that </w:t>
      </w:r>
      <w:r w:rsidR="005968B3">
        <w:t>‘</w:t>
      </w:r>
      <w:proofErr w:type="spellStart"/>
      <w:r w:rsidRPr="002E07E5">
        <w:t>Paliperidone</w:t>
      </w:r>
      <w:proofErr w:type="spellEnd"/>
      <w:r w:rsidRPr="002E07E5">
        <w:t xml:space="preserve"> should also be avoided in p</w:t>
      </w:r>
      <w:r>
        <w:t xml:space="preserve">atients </w:t>
      </w:r>
      <w:r w:rsidRPr="002E07E5">
        <w:t xml:space="preserve">with congenital long QT syndrome and in patients with a history of </w:t>
      </w:r>
      <w:r>
        <w:t>cardiac arrhythmias.</w:t>
      </w:r>
      <w:r w:rsidR="005968B3">
        <w:t>’</w:t>
      </w:r>
      <w:r>
        <w:t xml:space="preserve"> New onset </w:t>
      </w:r>
      <w:r w:rsidRPr="002E07E5">
        <w:t>of QT prolongation during PP3M treatment would likely be du</w:t>
      </w:r>
      <w:r>
        <w:t xml:space="preserve">e to the addition of additional </w:t>
      </w:r>
      <w:r w:rsidRPr="002E07E5">
        <w:t>medication that prolongs QT or due to electrolyte imbalance (hypok</w:t>
      </w:r>
      <w:r>
        <w:t>alaemia or hypo</w:t>
      </w:r>
      <w:r w:rsidR="002403B4">
        <w:t>-</w:t>
      </w:r>
      <w:r>
        <w:t xml:space="preserve">magnesium) or to </w:t>
      </w:r>
      <w:r w:rsidRPr="002E07E5">
        <w:t xml:space="preserve">new cardiac issues. In these circumstances, the management of the </w:t>
      </w:r>
      <w:r>
        <w:t xml:space="preserve">patient would be to address the </w:t>
      </w:r>
      <w:r w:rsidRPr="002E07E5">
        <w:t>new cause of the prolonged QT, such as discontinuing the new medicat</w:t>
      </w:r>
      <w:r>
        <w:t xml:space="preserve">ion, correcting the electrolyte </w:t>
      </w:r>
      <w:r w:rsidRPr="002E07E5">
        <w:t>imbalance, or treating the cardiac condition. The management wou</w:t>
      </w:r>
      <w:r>
        <w:t xml:space="preserve">ld be no different than that of </w:t>
      </w:r>
      <w:r w:rsidRPr="002E07E5">
        <w:t>PP1M and likely the prolongation would be no longer.</w:t>
      </w:r>
    </w:p>
    <w:p w14:paraId="710B6D0A" w14:textId="77777777" w:rsidR="002E07E5" w:rsidRPr="002E07E5" w:rsidRDefault="002E07E5" w:rsidP="002E07E5">
      <w:r w:rsidRPr="002E07E5">
        <w:t xml:space="preserve">In the </w:t>
      </w:r>
      <w:r w:rsidR="005968B3">
        <w:t>Phase III</w:t>
      </w:r>
      <w:r w:rsidRPr="002E07E5">
        <w:t xml:space="preserve"> trials with PP3M, prolongation of QT more than 60 </w:t>
      </w:r>
      <w:proofErr w:type="spellStart"/>
      <w:r w:rsidRPr="002E07E5">
        <w:t>ms</w:t>
      </w:r>
      <w:r>
        <w:t>ec</w:t>
      </w:r>
      <w:proofErr w:type="spellEnd"/>
      <w:r>
        <w:t xml:space="preserve"> occurred in only 1 </w:t>
      </w:r>
      <w:r w:rsidRPr="002E07E5">
        <w:t>subject treated with PP3M, which lessened at subsequent evaluations.</w:t>
      </w:r>
    </w:p>
    <w:p w14:paraId="5E6309A0" w14:textId="77777777" w:rsidR="002E07E5" w:rsidRPr="002E07E5" w:rsidRDefault="002E07E5" w:rsidP="002E07E5">
      <w:pPr>
        <w:pStyle w:val="Heading6"/>
        <w:rPr>
          <w:rFonts w:eastAsiaTheme="minorHAnsi"/>
        </w:rPr>
      </w:pPr>
      <w:r w:rsidRPr="002E07E5">
        <w:rPr>
          <w:rFonts w:eastAsiaTheme="minorHAnsi"/>
        </w:rPr>
        <w:t>Tardive Dyskinesia</w:t>
      </w:r>
    </w:p>
    <w:p w14:paraId="187515AB" w14:textId="77777777" w:rsidR="002E07E5" w:rsidRPr="002E07E5" w:rsidRDefault="002E07E5" w:rsidP="002E07E5">
      <w:r w:rsidRPr="002E07E5">
        <w:t>As reported for oral formulations,</w:t>
      </w:r>
      <w:r w:rsidR="002403B4">
        <w:rPr>
          <w:rStyle w:val="FootnoteReference"/>
        </w:rPr>
        <w:footnoteReference w:id="18"/>
      </w:r>
      <w:r w:rsidRPr="002E07E5">
        <w:t xml:space="preserve"> the risk of tardive dyskinesia (T</w:t>
      </w:r>
      <w:r>
        <w:t xml:space="preserve">D) and other movement disorders </w:t>
      </w:r>
      <w:r w:rsidRPr="002E07E5">
        <w:t>appears to be lower with atypical (second-generation) LAIs (</w:t>
      </w:r>
      <w:r w:rsidR="002403B4">
        <w:t>for example</w:t>
      </w:r>
      <w:r w:rsidRPr="002E07E5">
        <w:t>, risperidone LAI,</w:t>
      </w:r>
      <w:r w:rsidR="002403B4">
        <w:rPr>
          <w:rStyle w:val="FootnoteReference"/>
        </w:rPr>
        <w:footnoteReference w:id="19"/>
      </w:r>
      <w:r w:rsidRPr="002E07E5">
        <w:t xml:space="preserve"> PP1M</w:t>
      </w:r>
      <w:r w:rsidR="002403B4">
        <w:rPr>
          <w:rStyle w:val="FootnoteReference"/>
        </w:rPr>
        <w:footnoteReference w:id="20"/>
      </w:r>
      <w:r>
        <w:t xml:space="preserve">) than for </w:t>
      </w:r>
      <w:r w:rsidRPr="002E07E5">
        <w:t>typical antipsychotic LAIs (</w:t>
      </w:r>
      <w:r w:rsidR="002403B4">
        <w:t>for example</w:t>
      </w:r>
      <w:r w:rsidRPr="002E07E5">
        <w:t xml:space="preserve">, haloperidol </w:t>
      </w:r>
      <w:proofErr w:type="spellStart"/>
      <w:r w:rsidRPr="002E07E5">
        <w:t>decanoate</w:t>
      </w:r>
      <w:proofErr w:type="spellEnd"/>
      <w:r w:rsidRPr="002E07E5">
        <w:t xml:space="preserve">). The </w:t>
      </w:r>
      <w:r w:rsidR="005968B3">
        <w:t>sponsor</w:t>
      </w:r>
      <w:r>
        <w:t xml:space="preserve"> performed a review of TD </w:t>
      </w:r>
      <w:r w:rsidRPr="002E07E5">
        <w:t>associated with the PP1M program which showed a low risk o</w:t>
      </w:r>
      <w:r>
        <w:t xml:space="preserve">f TD with </w:t>
      </w:r>
      <w:proofErr w:type="spellStart"/>
      <w:r>
        <w:t>paliperidone</w:t>
      </w:r>
      <w:proofErr w:type="spellEnd"/>
      <w:r>
        <w:t xml:space="preserve">, with no </w:t>
      </w:r>
      <w:r w:rsidRPr="002E07E5">
        <w:t>difference between the oral and LAI formulations, and a risk estimat</w:t>
      </w:r>
      <w:r>
        <w:t xml:space="preserve">e of persistent TD of 0.12% for </w:t>
      </w:r>
      <w:r w:rsidRPr="002E07E5">
        <w:t>PP1M.</w:t>
      </w:r>
      <w:r w:rsidR="001C63DA">
        <w:rPr>
          <w:rStyle w:val="FootnoteReference"/>
        </w:rPr>
        <w:footnoteReference w:id="21"/>
      </w:r>
      <w:r w:rsidRPr="002E07E5">
        <w:t xml:space="preserve"> Although unpleasant, TD is not life threatening </w:t>
      </w:r>
      <w:r>
        <w:t xml:space="preserve">and in many cases resolves with </w:t>
      </w:r>
      <w:r w:rsidRPr="002E07E5">
        <w:t>discontinuation of the medication.</w:t>
      </w:r>
    </w:p>
    <w:p w14:paraId="5ECD1317" w14:textId="77777777" w:rsidR="002E07E5" w:rsidRPr="002E07E5" w:rsidRDefault="002E07E5" w:rsidP="002E07E5">
      <w:r w:rsidRPr="002E07E5">
        <w:t>As the Delegate mentioned, with a patient with a history of TD, it is important that the lowest</w:t>
      </w:r>
      <w:r>
        <w:t xml:space="preserve"> </w:t>
      </w:r>
      <w:r w:rsidRPr="002E07E5">
        <w:t xml:space="preserve">possible dose be used. This recommendation is reflected in the </w:t>
      </w:r>
      <w:r w:rsidR="001C63DA" w:rsidRPr="002E07E5">
        <w:t>cu</w:t>
      </w:r>
      <w:r w:rsidR="001C63DA">
        <w:t>rrent p</w:t>
      </w:r>
      <w:r>
        <w:t xml:space="preserve">recautions in the </w:t>
      </w:r>
      <w:proofErr w:type="spellStart"/>
      <w:r w:rsidR="005968B3" w:rsidRPr="00A04896">
        <w:t>Invega</w:t>
      </w:r>
      <w:proofErr w:type="spellEnd"/>
      <w:r w:rsidR="005968B3" w:rsidRPr="00A04896">
        <w:t xml:space="preserve"> </w:t>
      </w:r>
      <w:proofErr w:type="spellStart"/>
      <w:r w:rsidR="005968B3" w:rsidRPr="00A04896">
        <w:t>Trinza</w:t>
      </w:r>
      <w:proofErr w:type="spellEnd"/>
      <w:r w:rsidRPr="002E07E5">
        <w:t xml:space="preserve"> PI. Further, there will be multiple months of exposure to P</w:t>
      </w:r>
      <w:r>
        <w:t xml:space="preserve">P1M prior to initiating PP3M to </w:t>
      </w:r>
      <w:r w:rsidRPr="002E07E5">
        <w:t>determine if the previous TD reoccurs and to determine if the ris</w:t>
      </w:r>
      <w:r>
        <w:t xml:space="preserve">ks and benefits of initiating a </w:t>
      </w:r>
      <w:r w:rsidR="008D4FE3">
        <w:t xml:space="preserve">3 month </w:t>
      </w:r>
      <w:r w:rsidRPr="002E07E5">
        <w:t>compound are appropriate in a particular patient. If T</w:t>
      </w:r>
      <w:r>
        <w:t xml:space="preserve">D develops in a patient on PP3M </w:t>
      </w:r>
      <w:r w:rsidRPr="002E07E5">
        <w:t>(either new TD or in patient with a previous history) then the treatment would be to d</w:t>
      </w:r>
      <w:r>
        <w:t xml:space="preserve">iscontinue or to </w:t>
      </w:r>
      <w:r w:rsidRPr="002E07E5">
        <w:t xml:space="preserve">lower the medication. The decision to discontinue medication </w:t>
      </w:r>
      <w:r>
        <w:t xml:space="preserve">should be made based on careful </w:t>
      </w:r>
      <w:r w:rsidRPr="002E07E5">
        <w:t>consideration of the risk and benefits of the treatment, which depends</w:t>
      </w:r>
      <w:r>
        <w:t xml:space="preserve"> on the severity of the TD, the </w:t>
      </w:r>
      <w:r w:rsidRPr="002E07E5">
        <w:t>impact of the TD on the patient, and the effectiveness of the medic</w:t>
      </w:r>
      <w:r>
        <w:t xml:space="preserve">ation. If a patient can only be </w:t>
      </w:r>
      <w:r w:rsidRPr="002E07E5">
        <w:t>successfully treated with a LAI, these treatment benefits have to b</w:t>
      </w:r>
      <w:r>
        <w:t xml:space="preserve">e weighed against the TD. Based </w:t>
      </w:r>
      <w:r w:rsidRPr="002E07E5">
        <w:t>on a recent review,</w:t>
      </w:r>
      <w:r w:rsidR="001C63DA">
        <w:rPr>
          <w:rStyle w:val="FootnoteReference"/>
        </w:rPr>
        <w:footnoteReference w:id="22"/>
      </w:r>
      <w:r w:rsidRPr="002E07E5">
        <w:t xml:space="preserve"> some authors have suggested there is insuff</w:t>
      </w:r>
      <w:r>
        <w:t xml:space="preserve">icient evidence to support drug </w:t>
      </w:r>
      <w:r w:rsidRPr="002E07E5">
        <w:t>cessation or reduction as effective treatments for TD, especia</w:t>
      </w:r>
      <w:r>
        <w:t xml:space="preserve">lly when contrasted with robust </w:t>
      </w:r>
      <w:r w:rsidRPr="002E07E5">
        <w:t>evidence for the risk of psychotic relapse. There may also be som</w:t>
      </w:r>
      <w:r>
        <w:t xml:space="preserve">e advantages to the long-acting </w:t>
      </w:r>
      <w:r w:rsidRPr="002E07E5">
        <w:t xml:space="preserve">nature of the medication (whether PP1M or PP3M) when TD develops. </w:t>
      </w:r>
      <w:r w:rsidRPr="002E07E5">
        <w:lastRenderedPageBreak/>
        <w:t>Often</w:t>
      </w:r>
      <w:r>
        <w:t xml:space="preserve"> dyskinesia worsens </w:t>
      </w:r>
      <w:r w:rsidRPr="002E07E5">
        <w:t>when medication is abruptly withdrawn and so a slow decrease in dose is needed. This is</w:t>
      </w:r>
      <w:r>
        <w:t xml:space="preserve"> </w:t>
      </w:r>
      <w:r w:rsidRPr="002E07E5">
        <w:t xml:space="preserve">accomplished with discontinuation of </w:t>
      </w:r>
      <w:proofErr w:type="spellStart"/>
      <w:r w:rsidR="005968B3" w:rsidRPr="00A04896">
        <w:t>Invega</w:t>
      </w:r>
      <w:proofErr w:type="spellEnd"/>
      <w:r w:rsidR="005968B3" w:rsidRPr="00A04896">
        <w:t xml:space="preserve"> </w:t>
      </w:r>
      <w:proofErr w:type="spellStart"/>
      <w:r w:rsidR="005968B3" w:rsidRPr="00A04896">
        <w:t>Trinza</w:t>
      </w:r>
      <w:proofErr w:type="spellEnd"/>
      <w:r w:rsidRPr="002E07E5">
        <w:t xml:space="preserve"> due to its slow release properties.</w:t>
      </w:r>
    </w:p>
    <w:p w14:paraId="7C624E9D" w14:textId="77777777" w:rsidR="002E07E5" w:rsidRPr="002E07E5" w:rsidRDefault="002E07E5" w:rsidP="002E07E5">
      <w:r w:rsidRPr="002E07E5">
        <w:t xml:space="preserve">In the </w:t>
      </w:r>
      <w:r w:rsidR="005968B3">
        <w:t>Phase III</w:t>
      </w:r>
      <w:r w:rsidRPr="002E07E5">
        <w:t xml:space="preserve"> program with PP3M, one patient had an adverse </w:t>
      </w:r>
      <w:r>
        <w:t xml:space="preserve">event of TD while on PP3M. This </w:t>
      </w:r>
      <w:r w:rsidRPr="002E07E5">
        <w:t>subject (in Study PSY-3011) had an adverse event of TD on Day 3</w:t>
      </w:r>
      <w:r>
        <w:t xml:space="preserve">73 (moderate severity; </w:t>
      </w:r>
      <w:r w:rsidRPr="0054619C">
        <w:t>Abnormal Involuntary Movement Scale</w:t>
      </w:r>
      <w:r w:rsidR="0054619C" w:rsidRPr="0054619C">
        <w:rPr>
          <w:rStyle w:val="FootnoteReference"/>
        </w:rPr>
        <w:footnoteReference w:id="23"/>
      </w:r>
      <w:r w:rsidR="0054619C">
        <w:t xml:space="preserve"> (AIMS)</w:t>
      </w:r>
      <w:r w:rsidRPr="002E07E5">
        <w:t xml:space="preserve"> total score</w:t>
      </w:r>
      <w:r w:rsidR="001C63DA">
        <w:t xml:space="preserve"> = </w:t>
      </w:r>
      <w:r w:rsidRPr="002E07E5">
        <w:t>6) that led to treatme</w:t>
      </w:r>
      <w:r>
        <w:t xml:space="preserve">nt discontinuation. The subject </w:t>
      </w:r>
      <w:r w:rsidRPr="002E07E5">
        <w:t>was next seen at the follow-up visit 3 months later, at which t</w:t>
      </w:r>
      <w:r>
        <w:t xml:space="preserve">ime the adverse event of TD was </w:t>
      </w:r>
      <w:r w:rsidRPr="002E07E5">
        <w:t>resolved (AIMS total score</w:t>
      </w:r>
      <w:r w:rsidR="001C63DA">
        <w:t xml:space="preserve"> = 0). At the follow</w:t>
      </w:r>
      <w:r w:rsidR="001C63DA">
        <w:noBreakHyphen/>
      </w:r>
      <w:r w:rsidRPr="002E07E5">
        <w:t>up visit, the subject w</w:t>
      </w:r>
      <w:r>
        <w:t xml:space="preserve">ould still have had significant </w:t>
      </w:r>
      <w:r w:rsidRPr="002E07E5">
        <w:t xml:space="preserve">levels of </w:t>
      </w:r>
      <w:proofErr w:type="spellStart"/>
      <w:r w:rsidRPr="002E07E5">
        <w:t>paliperidone</w:t>
      </w:r>
      <w:proofErr w:type="spellEnd"/>
      <w:r w:rsidRPr="002E07E5">
        <w:t>. It is unknown if the symptoms of TD resolved ear</w:t>
      </w:r>
      <w:r>
        <w:t xml:space="preserve">lier, but these results suggest </w:t>
      </w:r>
      <w:r w:rsidRPr="002E07E5">
        <w:t>that symptoms may resolve long before the medication is eliminated from the body.</w:t>
      </w:r>
    </w:p>
    <w:p w14:paraId="626EE780" w14:textId="77777777" w:rsidR="002E07E5" w:rsidRPr="002E07E5" w:rsidRDefault="002E07E5" w:rsidP="002E07E5">
      <w:pPr>
        <w:pStyle w:val="Heading6"/>
        <w:rPr>
          <w:rFonts w:eastAsiaTheme="minorHAnsi"/>
        </w:rPr>
      </w:pPr>
      <w:r w:rsidRPr="002E07E5">
        <w:rPr>
          <w:rFonts w:eastAsiaTheme="minorHAnsi"/>
        </w:rPr>
        <w:t>Leukopenia, neutropenia, and agranulocytosis</w:t>
      </w:r>
    </w:p>
    <w:p w14:paraId="53B40D1D" w14:textId="6AB1D25D" w:rsidR="002E07E5" w:rsidRPr="002E07E5" w:rsidRDefault="002E07E5" w:rsidP="002E07E5">
      <w:r w:rsidRPr="002E07E5">
        <w:t xml:space="preserve">Leukopenia, neutropenia, and agranulocytosis are rare but serious </w:t>
      </w:r>
      <w:r w:rsidR="001C63DA" w:rsidRPr="002E07E5">
        <w:t>haematological</w:t>
      </w:r>
      <w:r w:rsidRPr="002E07E5">
        <w:t xml:space="preserve"> side effect</w:t>
      </w:r>
      <w:r>
        <w:t xml:space="preserve">s </w:t>
      </w:r>
      <w:r w:rsidRPr="002E07E5">
        <w:t>associated with the use of typical and atypical antipsychotic drugs, es</w:t>
      </w:r>
      <w:r>
        <w:t xml:space="preserve">pecially clozapine. As with the </w:t>
      </w:r>
      <w:r w:rsidRPr="002E07E5">
        <w:t>other adverse events noted above, the risk of these events is a risk for</w:t>
      </w:r>
      <w:r>
        <w:t xml:space="preserve"> all antipsychotic medications, </w:t>
      </w:r>
      <w:r w:rsidRPr="002E07E5">
        <w:t xml:space="preserve">with </w:t>
      </w:r>
      <w:proofErr w:type="spellStart"/>
      <w:r w:rsidRPr="002E07E5">
        <w:t>paliperidone</w:t>
      </w:r>
      <w:proofErr w:type="spellEnd"/>
      <w:r w:rsidRPr="002E07E5">
        <w:t xml:space="preserve"> not having a higher known risk than other med</w:t>
      </w:r>
      <w:r>
        <w:t xml:space="preserve">ications. Very few instances of </w:t>
      </w:r>
      <w:r w:rsidRPr="002E07E5">
        <w:t xml:space="preserve">leukopenia and neutropenia have been reported with </w:t>
      </w:r>
      <w:proofErr w:type="spellStart"/>
      <w:r w:rsidRPr="002E07E5">
        <w:t>paliperidone</w:t>
      </w:r>
      <w:proofErr w:type="spellEnd"/>
      <w:r w:rsidRPr="002E07E5">
        <w:t>.</w:t>
      </w:r>
      <w:r w:rsidR="001C63DA">
        <w:rPr>
          <w:rStyle w:val="FootnoteReference"/>
        </w:rPr>
        <w:footnoteReference w:id="24"/>
      </w:r>
      <w:r w:rsidRPr="002E07E5">
        <w:t xml:space="preserve"> </w:t>
      </w:r>
      <w:r>
        <w:t xml:space="preserve">In patients with a history of </w:t>
      </w:r>
      <w:r w:rsidRPr="002E07E5">
        <w:t xml:space="preserve">antipsychotic-induced </w:t>
      </w:r>
      <w:proofErr w:type="spellStart"/>
      <w:r w:rsidRPr="002E07E5">
        <w:t>dyscrasias</w:t>
      </w:r>
      <w:proofErr w:type="spellEnd"/>
      <w:r w:rsidRPr="002E07E5">
        <w:t>, risperidone (whose major metab</w:t>
      </w:r>
      <w:r>
        <w:t xml:space="preserve">olite is </w:t>
      </w:r>
      <w:proofErr w:type="spellStart"/>
      <w:r>
        <w:t>paliperidone</w:t>
      </w:r>
      <w:proofErr w:type="spellEnd"/>
      <w:r>
        <w:t xml:space="preserve">) has been </w:t>
      </w:r>
      <w:r w:rsidRPr="002E07E5">
        <w:t xml:space="preserve">reported as a safe </w:t>
      </w:r>
      <w:r w:rsidRPr="001C63DA">
        <w:t>alternative.</w:t>
      </w:r>
      <w:bookmarkStart w:id="173" w:name="_Ref489452135"/>
      <w:r w:rsidR="009058BC">
        <w:t xml:space="preserve"> </w:t>
      </w:r>
      <w:r w:rsidR="001C63DA" w:rsidRPr="001C63DA">
        <w:rPr>
          <w:rStyle w:val="FootnoteReference"/>
        </w:rPr>
        <w:footnoteReference w:id="25"/>
      </w:r>
      <w:bookmarkEnd w:id="173"/>
      <w:r w:rsidR="001C63DA" w:rsidRPr="001C63DA">
        <w:t xml:space="preserve">, </w:t>
      </w:r>
      <w:r w:rsidR="001C63DA" w:rsidRPr="001C63DA">
        <w:rPr>
          <w:rStyle w:val="FootnoteReference"/>
        </w:rPr>
        <w:footnoteReference w:id="26"/>
      </w:r>
      <w:r w:rsidRPr="001C63DA">
        <w:t xml:space="preserve"> In contrast</w:t>
      </w:r>
      <w:r w:rsidRPr="002E07E5">
        <w:t>, prolonged leuko</w:t>
      </w:r>
      <w:r>
        <w:t xml:space="preserve">penia has been observed in some </w:t>
      </w:r>
      <w:r w:rsidRPr="002E07E5">
        <w:t>patients switched from clozapine to olanzapine or quetiapine.</w:t>
      </w:r>
      <w:r w:rsidR="001C63DA" w:rsidRPr="001C63DA">
        <w:rPr>
          <w:vertAlign w:val="superscript"/>
        </w:rPr>
        <w:fldChar w:fldCharType="begin"/>
      </w:r>
      <w:r w:rsidR="001C63DA" w:rsidRPr="001C63DA">
        <w:rPr>
          <w:vertAlign w:val="superscript"/>
        </w:rPr>
        <w:instrText xml:space="preserve"> NOTEREF _Ref489452135 \h </w:instrText>
      </w:r>
      <w:r w:rsidR="001C63DA">
        <w:rPr>
          <w:vertAlign w:val="superscript"/>
        </w:rPr>
        <w:instrText xml:space="preserve"> \* MERGEFORMAT </w:instrText>
      </w:r>
      <w:r w:rsidR="001C63DA" w:rsidRPr="001C63DA">
        <w:rPr>
          <w:vertAlign w:val="superscript"/>
        </w:rPr>
      </w:r>
      <w:r w:rsidR="001C63DA" w:rsidRPr="001C63DA">
        <w:rPr>
          <w:vertAlign w:val="superscript"/>
        </w:rPr>
        <w:fldChar w:fldCharType="separate"/>
      </w:r>
      <w:r w:rsidR="000D1E2B">
        <w:rPr>
          <w:vertAlign w:val="superscript"/>
        </w:rPr>
        <w:t>27</w:t>
      </w:r>
      <w:r w:rsidR="001C63DA" w:rsidRPr="001C63DA">
        <w:rPr>
          <w:vertAlign w:val="superscript"/>
        </w:rPr>
        <w:fldChar w:fldCharType="end"/>
      </w:r>
    </w:p>
    <w:p w14:paraId="3D67F5CA" w14:textId="77777777" w:rsidR="002E07E5" w:rsidRPr="002E07E5" w:rsidRDefault="002E07E5" w:rsidP="002E07E5">
      <w:r w:rsidRPr="002E07E5">
        <w:t>As with the other adverse events described in the sections above, leu</w:t>
      </w:r>
      <w:r>
        <w:t xml:space="preserve">kopenia or neutropenia are more </w:t>
      </w:r>
      <w:r w:rsidRPr="002E07E5">
        <w:t>likely to occur earlier in treatment and therefore most likely to be s</w:t>
      </w:r>
      <w:r>
        <w:t xml:space="preserve">een during prior treatment with </w:t>
      </w:r>
      <w:r w:rsidRPr="002E07E5">
        <w:t>PP1M. Further, unlike with clozapine, antipsychotic induced neutropen</w:t>
      </w:r>
      <w:r>
        <w:t xml:space="preserve">ia is not associated with frank </w:t>
      </w:r>
      <w:r w:rsidRPr="002E07E5">
        <w:t>agranulocytosis with such low WBC counts that infection is a danger.</w:t>
      </w:r>
      <w:r>
        <w:t xml:space="preserve"> Often neutropenia is transient </w:t>
      </w:r>
      <w:r w:rsidRPr="002E07E5">
        <w:t xml:space="preserve">caused by viral infections or other medications. In these cases, the </w:t>
      </w:r>
      <w:r>
        <w:t xml:space="preserve">WBC count can be monitored over </w:t>
      </w:r>
      <w:r w:rsidRPr="002E07E5">
        <w:t>time. In the case where the neutropenia seems to be related to th</w:t>
      </w:r>
      <w:r>
        <w:t xml:space="preserve">e antipsychotic medication, the </w:t>
      </w:r>
      <w:r w:rsidRPr="002E07E5">
        <w:t>management would be similar for PP1M and PP3M. The decision on continuing PP3M would be</w:t>
      </w:r>
      <w:r>
        <w:t xml:space="preserve"> </w:t>
      </w:r>
      <w:r w:rsidRPr="002E07E5">
        <w:t>based on the extent of neutropenia, history of neutropenia with other</w:t>
      </w:r>
      <w:r>
        <w:t xml:space="preserve"> antipsychotic medication (if a </w:t>
      </w:r>
      <w:r w:rsidRPr="002E07E5">
        <w:t>previous history then more likely that any antipsychotic will have this effect), and a dis</w:t>
      </w:r>
      <w:r>
        <w:t xml:space="preserve">cussion of the </w:t>
      </w:r>
      <w:r w:rsidRPr="002E07E5">
        <w:t>risks and benefits of continuing or discontinuing treatment. Even if</w:t>
      </w:r>
      <w:r>
        <w:t xml:space="preserve"> the decision is to discontinue </w:t>
      </w:r>
      <w:r w:rsidRPr="002E07E5">
        <w:t>PP3M, then the WBC would be monitored over time until it improved</w:t>
      </w:r>
      <w:r>
        <w:t xml:space="preserve">. If needed, granulocyte colony </w:t>
      </w:r>
      <w:r w:rsidRPr="002E07E5">
        <w:t>stimulating factor can be used as has been done with full agranulocytosis with clozapine.</w:t>
      </w:r>
      <w:r w:rsidR="001C63DA">
        <w:rPr>
          <w:rStyle w:val="FootnoteReference"/>
        </w:rPr>
        <w:footnoteReference w:id="27"/>
      </w:r>
      <w:r w:rsidRPr="002E07E5">
        <w:t xml:space="preserve"> </w:t>
      </w:r>
      <w:r>
        <w:t xml:space="preserve">The </w:t>
      </w:r>
      <w:r w:rsidR="005968B3">
        <w:t>sponsor</w:t>
      </w:r>
      <w:r w:rsidRPr="002E07E5">
        <w:t xml:space="preserve"> considers that the benefits of the long-acting nature of</w:t>
      </w:r>
      <w:r>
        <w:t xml:space="preserve"> product needs to weighed on an </w:t>
      </w:r>
      <w:r w:rsidRPr="002E07E5">
        <w:t>individual basis with the risks of usually benign neutropenia and supp</w:t>
      </w:r>
      <w:r>
        <w:t xml:space="preserve">orts the continued inclusion of </w:t>
      </w:r>
      <w:r w:rsidRPr="002E07E5">
        <w:t>this as a precaution and not a contraindication.</w:t>
      </w:r>
    </w:p>
    <w:p w14:paraId="584D2192" w14:textId="77777777" w:rsidR="002E07E5" w:rsidRPr="002E07E5" w:rsidRDefault="002E07E5" w:rsidP="002E07E5">
      <w:r w:rsidRPr="002E07E5">
        <w:t xml:space="preserve">In summary, the </w:t>
      </w:r>
      <w:r w:rsidR="005968B3">
        <w:t>sponsor</w:t>
      </w:r>
      <w:r w:rsidRPr="002E07E5">
        <w:t xml:space="preserve"> considers that any warnings related to </w:t>
      </w:r>
      <w:r>
        <w:t xml:space="preserve">use of </w:t>
      </w:r>
      <w:proofErr w:type="spellStart"/>
      <w:r w:rsidR="005968B3" w:rsidRPr="00A04896">
        <w:t>Invega</w:t>
      </w:r>
      <w:proofErr w:type="spellEnd"/>
      <w:r w:rsidR="005968B3" w:rsidRPr="00A04896">
        <w:t xml:space="preserve"> </w:t>
      </w:r>
      <w:proofErr w:type="spellStart"/>
      <w:r w:rsidR="005968B3" w:rsidRPr="00A04896">
        <w:t>Trinza</w:t>
      </w:r>
      <w:proofErr w:type="spellEnd"/>
      <w:r>
        <w:t xml:space="preserve"> in certain </w:t>
      </w:r>
      <w:r w:rsidRPr="002E07E5">
        <w:t xml:space="preserve">subpopulations (such as those listed by the </w:t>
      </w:r>
      <w:r w:rsidR="00186E45">
        <w:t>evaluator</w:t>
      </w:r>
      <w:r w:rsidRPr="002E07E5">
        <w:t xml:space="preserve"> above) should re</w:t>
      </w:r>
      <w:r>
        <w:t xml:space="preserve">main in the </w:t>
      </w:r>
      <w:r w:rsidR="001C63DA">
        <w:t>p</w:t>
      </w:r>
      <w:r>
        <w:t xml:space="preserve">recautions section </w:t>
      </w:r>
      <w:r w:rsidRPr="002E07E5">
        <w:t xml:space="preserve">and not in the </w:t>
      </w:r>
      <w:r w:rsidR="001C63DA">
        <w:t>c</w:t>
      </w:r>
      <w:r w:rsidRPr="002E07E5">
        <w:t xml:space="preserve">ontraindications section of the PI. The </w:t>
      </w:r>
      <w:r w:rsidR="005968B3">
        <w:t>sponsor</w:t>
      </w:r>
      <w:r w:rsidRPr="002E07E5">
        <w:t xml:space="preserve"> </w:t>
      </w:r>
      <w:r w:rsidRPr="002E07E5">
        <w:lastRenderedPageBreak/>
        <w:t>cons</w:t>
      </w:r>
      <w:r>
        <w:t xml:space="preserve">iders that the clinician, along </w:t>
      </w:r>
      <w:r w:rsidRPr="002E07E5">
        <w:t>with those patients who may have a history of these conditions (NMS</w:t>
      </w:r>
      <w:r>
        <w:t xml:space="preserve">, tardive dyskinesia, prolonged </w:t>
      </w:r>
      <w:r w:rsidRPr="002E07E5">
        <w:t>QT, and neutropenia), should make a risk benefit decision about the</w:t>
      </w:r>
      <w:r>
        <w:t xml:space="preserve"> use of </w:t>
      </w:r>
      <w:proofErr w:type="spellStart"/>
      <w:r w:rsidR="005968B3" w:rsidRPr="00A04896">
        <w:t>Invega</w:t>
      </w:r>
      <w:proofErr w:type="spellEnd"/>
      <w:r w:rsidR="005968B3" w:rsidRPr="00A04896">
        <w:t xml:space="preserve"> </w:t>
      </w:r>
      <w:proofErr w:type="spellStart"/>
      <w:r w:rsidR="005968B3" w:rsidRPr="00A04896">
        <w:t>Trinza</w:t>
      </w:r>
      <w:proofErr w:type="spellEnd"/>
      <w:r>
        <w:t xml:space="preserve">, rather </w:t>
      </w:r>
      <w:r w:rsidRPr="002E07E5">
        <w:t>than contraindicating this medication when this may be the best op</w:t>
      </w:r>
      <w:r>
        <w:t xml:space="preserve">tion for an individual patient, </w:t>
      </w:r>
      <w:r w:rsidRPr="002E07E5">
        <w:t xml:space="preserve">particularly considering </w:t>
      </w:r>
      <w:proofErr w:type="spellStart"/>
      <w:r w:rsidRPr="002E07E5">
        <w:t>paliperidone</w:t>
      </w:r>
      <w:proofErr w:type="spellEnd"/>
      <w:r w:rsidRPr="002E07E5">
        <w:t>, as noted by the Del</w:t>
      </w:r>
      <w:r>
        <w:t xml:space="preserve">egate, has some advantages over some other </w:t>
      </w:r>
      <w:r w:rsidRPr="002E07E5">
        <w:t>antipsychotic medications with regard to some of these events</w:t>
      </w:r>
      <w:r>
        <w:t xml:space="preserve"> (QT prolongation, TD, possibly </w:t>
      </w:r>
      <w:r w:rsidRPr="002E07E5">
        <w:t>neutropenia). These risks are common to all antipsychotic medicat</w:t>
      </w:r>
      <w:r>
        <w:t xml:space="preserve">ions and the management of them </w:t>
      </w:r>
      <w:r w:rsidRPr="002E07E5">
        <w:t xml:space="preserve">(as described above) would be similar for a </w:t>
      </w:r>
      <w:r w:rsidR="008D4FE3">
        <w:t>1 month</w:t>
      </w:r>
      <w:r w:rsidRPr="002E07E5">
        <w:t xml:space="preserve"> LAI as well as a </w:t>
      </w:r>
      <w:r w:rsidR="008D4FE3">
        <w:t xml:space="preserve">3 month </w:t>
      </w:r>
      <w:r w:rsidRPr="002E07E5">
        <w:t>LAI.</w:t>
      </w:r>
    </w:p>
    <w:p w14:paraId="220DBA0E" w14:textId="77777777" w:rsidR="002E07E5" w:rsidRPr="002E07E5" w:rsidRDefault="002E07E5" w:rsidP="002E07E5">
      <w:r w:rsidRPr="002E07E5">
        <w:t xml:space="preserve">The </w:t>
      </w:r>
      <w:r w:rsidR="005968B3">
        <w:t>sponsor</w:t>
      </w:r>
      <w:r w:rsidRPr="002E07E5">
        <w:t xml:space="preserve"> is willing to work with the Delegate to strengthen the language in these </w:t>
      </w:r>
      <w:r w:rsidR="001C63DA">
        <w:t>p</w:t>
      </w:r>
      <w:r w:rsidRPr="002E07E5">
        <w:t>recautions, if</w:t>
      </w:r>
      <w:r>
        <w:t xml:space="preserve"> </w:t>
      </w:r>
      <w:r w:rsidR="001C63DA">
        <w:t xml:space="preserve">needed, to highlight the long </w:t>
      </w:r>
      <w:r w:rsidRPr="002E07E5">
        <w:t xml:space="preserve">acting nature of </w:t>
      </w:r>
      <w:proofErr w:type="spellStart"/>
      <w:r w:rsidR="005968B3" w:rsidRPr="00A04896">
        <w:t>Invega</w:t>
      </w:r>
      <w:proofErr w:type="spellEnd"/>
      <w:r w:rsidR="005968B3" w:rsidRPr="00A04896">
        <w:t xml:space="preserve"> </w:t>
      </w:r>
      <w:proofErr w:type="spellStart"/>
      <w:r w:rsidR="005968B3" w:rsidRPr="00A04896">
        <w:t>Trinza</w:t>
      </w:r>
      <w:proofErr w:type="spellEnd"/>
      <w:r w:rsidRPr="002E07E5">
        <w:t xml:space="preserve"> an</w:t>
      </w:r>
      <w:r>
        <w:t xml:space="preserve">d the need to balance risks and </w:t>
      </w:r>
      <w:r w:rsidRPr="002E07E5">
        <w:t xml:space="preserve">benefits in treating patients with a history of these conditions. </w:t>
      </w:r>
      <w:proofErr w:type="spellStart"/>
      <w:r w:rsidR="005968B3" w:rsidRPr="00A04896">
        <w:t>Invega</w:t>
      </w:r>
      <w:proofErr w:type="spellEnd"/>
      <w:r w:rsidR="005968B3" w:rsidRPr="00A04896">
        <w:t xml:space="preserve"> </w:t>
      </w:r>
      <w:proofErr w:type="spellStart"/>
      <w:r w:rsidR="005968B3" w:rsidRPr="00A04896">
        <w:t>Trinza</w:t>
      </w:r>
      <w:proofErr w:type="spellEnd"/>
      <w:r>
        <w:t xml:space="preserve"> is an important </w:t>
      </w:r>
      <w:r w:rsidRPr="002E07E5">
        <w:t>and, at present, a unique option for patients with schizophrenia</w:t>
      </w:r>
      <w:r>
        <w:t xml:space="preserve"> and this option should be made </w:t>
      </w:r>
      <w:r w:rsidRPr="002E07E5">
        <w:t>available as long as the medication is used safely and the prescr</w:t>
      </w:r>
      <w:r>
        <w:t xml:space="preserve">iber is aware of the risks when </w:t>
      </w:r>
      <w:r w:rsidRPr="002E07E5">
        <w:t>initiating the medication. Adding the proposed contraindications would,</w:t>
      </w:r>
      <w:r>
        <w:t xml:space="preserve"> in effect, preclude the use of </w:t>
      </w:r>
      <w:r w:rsidRPr="002E07E5">
        <w:t>the product in some patients for whom benefits may outweigh the risks.</w:t>
      </w:r>
    </w:p>
    <w:p w14:paraId="03A760AA" w14:textId="77777777" w:rsidR="002E07E5" w:rsidRPr="002E07E5" w:rsidRDefault="002E07E5" w:rsidP="002E07E5">
      <w:pPr>
        <w:pStyle w:val="Numberbullet0"/>
        <w:rPr>
          <w:i/>
        </w:rPr>
      </w:pPr>
      <w:r w:rsidRPr="002E07E5">
        <w:rPr>
          <w:i/>
        </w:rPr>
        <w:t xml:space="preserve">There is potential for higher and lower total exposures (AUC) and maximum and minimum exposures to </w:t>
      </w:r>
      <w:proofErr w:type="spellStart"/>
      <w:r w:rsidRPr="002E07E5">
        <w:rPr>
          <w:i/>
        </w:rPr>
        <w:t>paliperidone</w:t>
      </w:r>
      <w:proofErr w:type="spellEnd"/>
      <w:r w:rsidRPr="002E07E5">
        <w:rPr>
          <w:i/>
        </w:rPr>
        <w:t xml:space="preserve"> on switching from a 1‐month depot preparation to </w:t>
      </w:r>
      <w:proofErr w:type="spellStart"/>
      <w:r w:rsidR="005968B3" w:rsidRPr="001C63DA">
        <w:rPr>
          <w:i/>
        </w:rPr>
        <w:t>Invega</w:t>
      </w:r>
      <w:proofErr w:type="spellEnd"/>
      <w:r w:rsidR="005968B3" w:rsidRPr="001C63DA">
        <w:rPr>
          <w:i/>
        </w:rPr>
        <w:t xml:space="preserve"> </w:t>
      </w:r>
      <w:proofErr w:type="spellStart"/>
      <w:r w:rsidR="005968B3" w:rsidRPr="001C63DA">
        <w:rPr>
          <w:i/>
        </w:rPr>
        <w:t>Trinza</w:t>
      </w:r>
      <w:proofErr w:type="spellEnd"/>
      <w:r w:rsidRPr="002E07E5">
        <w:rPr>
          <w:i/>
        </w:rPr>
        <w:t xml:space="preserve">. While no clear evidence of increased or different adverse effects or reduced efficacy was apparent in the </w:t>
      </w:r>
      <w:r w:rsidR="005968B3">
        <w:rPr>
          <w:i/>
        </w:rPr>
        <w:t>Phase III</w:t>
      </w:r>
      <w:r w:rsidRPr="002E07E5">
        <w:rPr>
          <w:i/>
        </w:rPr>
        <w:t xml:space="preserve"> clinical trials advice on whether this variability is adequately expressed in the draft Product Information is requested.</w:t>
      </w:r>
    </w:p>
    <w:p w14:paraId="4734085D" w14:textId="77777777" w:rsidR="002E07E5" w:rsidRDefault="002E07E5" w:rsidP="002E07E5">
      <w:r w:rsidRPr="002E07E5">
        <w:t xml:space="preserve">The </w:t>
      </w:r>
      <w:r w:rsidR="005968B3">
        <w:t>sponsor</w:t>
      </w:r>
      <w:r w:rsidRPr="002E07E5">
        <w:t xml:space="preserve"> acknowledges the Delegate’s comments regarding how variability across the three</w:t>
      </w:r>
      <w:r>
        <w:t xml:space="preserve"> </w:t>
      </w:r>
      <w:proofErr w:type="spellStart"/>
      <w:r w:rsidRPr="002E07E5">
        <w:t>paliperidone</w:t>
      </w:r>
      <w:proofErr w:type="spellEnd"/>
      <w:r w:rsidRPr="002E07E5">
        <w:t xml:space="preserve"> formulations is expressed in the PI. The </w:t>
      </w:r>
      <w:r w:rsidR="005968B3">
        <w:t>sponsor</w:t>
      </w:r>
      <w:r>
        <w:t xml:space="preserve"> accepts the recommendations to </w:t>
      </w:r>
      <w:r w:rsidRPr="002E07E5">
        <w:t>include a paragraph on adequately expressing the variability acros</w:t>
      </w:r>
      <w:r>
        <w:t xml:space="preserve">s the </w:t>
      </w:r>
      <w:r w:rsidR="001C63DA">
        <w:t>formulations;</w:t>
      </w:r>
      <w:r>
        <w:t xml:space="preserve"> however, </w:t>
      </w:r>
      <w:r w:rsidR="001C63DA">
        <w:t>the sponsor</w:t>
      </w:r>
      <w:r>
        <w:t xml:space="preserve"> </w:t>
      </w:r>
      <w:r w:rsidR="001C63DA">
        <w:t>proposes a</w:t>
      </w:r>
      <w:r w:rsidRPr="002E07E5">
        <w:t xml:space="preserve"> minor editorial change to the text </w:t>
      </w:r>
      <w:r w:rsidR="005C5CFE">
        <w:t>(to read as provided below).</w:t>
      </w:r>
    </w:p>
    <w:p w14:paraId="3231B0E0" w14:textId="77777777" w:rsidR="005C5CFE" w:rsidRPr="005C5CFE" w:rsidRDefault="001C63DA" w:rsidP="005C5CFE">
      <w:pPr>
        <w:ind w:left="720"/>
      </w:pPr>
      <w:r>
        <w:t xml:space="preserve">The between </w:t>
      </w:r>
      <w:r w:rsidR="005C5CFE" w:rsidRPr="005C5CFE">
        <w:t xml:space="preserve">subject variability for </w:t>
      </w:r>
      <w:proofErr w:type="spellStart"/>
      <w:r w:rsidR="005C5CFE" w:rsidRPr="005C5CFE">
        <w:t>paliperidone</w:t>
      </w:r>
      <w:proofErr w:type="spellEnd"/>
      <w:r w:rsidR="005C5CFE" w:rsidRPr="005C5CFE">
        <w:t xml:space="preserve"> pharmacokinetics following delivery from</w:t>
      </w:r>
      <w:r w:rsidR="005C5CFE">
        <w:t xml:space="preserve"> </w:t>
      </w:r>
      <w:proofErr w:type="spellStart"/>
      <w:r w:rsidR="005968B3" w:rsidRPr="00A04896">
        <w:t>Invega</w:t>
      </w:r>
      <w:proofErr w:type="spellEnd"/>
      <w:r w:rsidR="005968B3" w:rsidRPr="00A04896">
        <w:t xml:space="preserve"> </w:t>
      </w:r>
      <w:proofErr w:type="spellStart"/>
      <w:r w:rsidR="005968B3" w:rsidRPr="00A04896">
        <w:t>Trinza</w:t>
      </w:r>
      <w:proofErr w:type="spellEnd"/>
      <w:r w:rsidR="005C5CFE" w:rsidRPr="005C5CFE">
        <w:t xml:space="preserve"> is similar to the variability for </w:t>
      </w:r>
      <w:proofErr w:type="spellStart"/>
      <w:r w:rsidR="005C5CFE" w:rsidRPr="005C5CFE">
        <w:t>paliper</w:t>
      </w:r>
      <w:r>
        <w:t>idone</w:t>
      </w:r>
      <w:proofErr w:type="spellEnd"/>
      <w:r>
        <w:t xml:space="preserve"> extended </w:t>
      </w:r>
      <w:r w:rsidR="005C5CFE">
        <w:t xml:space="preserve">release tablets. </w:t>
      </w:r>
      <w:r>
        <w:t xml:space="preserve">Because of the possible within </w:t>
      </w:r>
      <w:r w:rsidR="005C5CFE" w:rsidRPr="005C5CFE">
        <w:t xml:space="preserve">subject differences in </w:t>
      </w:r>
      <w:r w:rsidR="005C5CFE">
        <w:t xml:space="preserve">pharmacokinetic profiles among </w:t>
      </w:r>
      <w:r w:rsidR="005C5CFE" w:rsidRPr="005C5CFE">
        <w:t xml:space="preserve">the three </w:t>
      </w:r>
      <w:proofErr w:type="spellStart"/>
      <w:r w:rsidR="005C5CFE" w:rsidRPr="005C5CFE">
        <w:t>paliperidone</w:t>
      </w:r>
      <w:proofErr w:type="spellEnd"/>
      <w:r w:rsidR="005C5CFE" w:rsidRPr="005C5CFE">
        <w:t xml:space="preserve"> formulations, caution should be exercised when mak</w:t>
      </w:r>
      <w:r w:rsidR="005C5CFE">
        <w:t xml:space="preserve">ing a direct </w:t>
      </w:r>
      <w:r w:rsidR="005C5CFE" w:rsidRPr="005C5CFE">
        <w:t>comparison of their pharmacokinetic behaviour in a given patient.</w:t>
      </w:r>
    </w:p>
    <w:p w14:paraId="375B5A17" w14:textId="77777777" w:rsidR="002E07E5" w:rsidRPr="008B7D82" w:rsidRDefault="005C5CFE" w:rsidP="008B7D82">
      <w:r w:rsidRPr="005C5CFE">
        <w:t>The above proposal is aimed at providin</w:t>
      </w:r>
      <w:r w:rsidR="001C63DA">
        <w:t xml:space="preserve">g assurance that, while between </w:t>
      </w:r>
      <w:r w:rsidRPr="005C5CFE">
        <w:t>subject variability in a</w:t>
      </w:r>
      <w:r>
        <w:t xml:space="preserve"> </w:t>
      </w:r>
      <w:r w:rsidR="008D4FE3">
        <w:t xml:space="preserve">3 month </w:t>
      </w:r>
      <w:r w:rsidR="001C63DA">
        <w:t xml:space="preserve">interval at steady </w:t>
      </w:r>
      <w:r w:rsidRPr="005C5CFE">
        <w:t>state is similar across the three formulations,</w:t>
      </w:r>
      <w:r>
        <w:t xml:space="preserve"> individual differences in </w:t>
      </w:r>
      <w:r w:rsidR="001C63DA">
        <w:t>for example,</w:t>
      </w:r>
      <w:r>
        <w:t xml:space="preserve"> </w:t>
      </w:r>
      <w:r w:rsidRPr="005C5CFE">
        <w:t>maximum and minimum exposures across formulations (</w:t>
      </w:r>
      <w:r w:rsidR="001C63DA">
        <w:t>for example</w:t>
      </w:r>
      <w:r w:rsidRPr="005C5CFE">
        <w:t xml:space="preserve"> PP3M </w:t>
      </w:r>
      <w:r w:rsidR="00186E45">
        <w:t>versus</w:t>
      </w:r>
      <w:r>
        <w:t xml:space="preserve"> PP1M) may exist, and hence a </w:t>
      </w:r>
      <w:r w:rsidRPr="005C5CFE">
        <w:t>direct comparison should be avoided. Since the above text is being</w:t>
      </w:r>
      <w:r>
        <w:t xml:space="preserve"> added, the </w:t>
      </w:r>
      <w:r w:rsidR="005968B3">
        <w:t>sponsor</w:t>
      </w:r>
      <w:r>
        <w:t xml:space="preserve"> also agrees </w:t>
      </w:r>
      <w:r w:rsidRPr="005C5CFE">
        <w:t>with the Delegate’s other recommendation to delete Figure 1 from the PI.</w:t>
      </w:r>
    </w:p>
    <w:p w14:paraId="469C0098" w14:textId="77777777" w:rsidR="008E7846" w:rsidRDefault="008E7846" w:rsidP="008E7846">
      <w:pPr>
        <w:pStyle w:val="Heading4"/>
      </w:pPr>
      <w:r>
        <w:t xml:space="preserve">Advisory </w:t>
      </w:r>
      <w:r w:rsidR="001C63DA">
        <w:t>committee considerations</w:t>
      </w:r>
    </w:p>
    <w:p w14:paraId="69CF91B2" w14:textId="77777777" w:rsidR="00552464" w:rsidRDefault="00D23139" w:rsidP="008E7846">
      <w:pPr>
        <w:rPr>
          <w:bCs/>
        </w:rPr>
      </w:pPr>
      <w:r w:rsidRPr="00D23139">
        <w:rPr>
          <w:bCs/>
        </w:rPr>
        <w:t xml:space="preserve">The </w:t>
      </w:r>
      <w:r w:rsidR="001C63DA">
        <w:rPr>
          <w:bCs/>
        </w:rPr>
        <w:t>ACPM</w:t>
      </w:r>
      <w:r w:rsidRPr="00D23139">
        <w:rPr>
          <w:bCs/>
        </w:rPr>
        <w:t>, having considered the evaluations and the Delegate’s overview, as well as the sponsor’s response to these documents, advised the following:</w:t>
      </w:r>
    </w:p>
    <w:p w14:paraId="5B1548A2" w14:textId="77777777" w:rsidR="00552464" w:rsidRPr="00552464" w:rsidRDefault="00552464" w:rsidP="00552464">
      <w:r w:rsidRPr="00552464">
        <w:t xml:space="preserve">The ACPM, taking into account the submitted evidence of efficacy, safety and quality, agreed with the </w:t>
      </w:r>
      <w:r w:rsidR="001C63DA">
        <w:t>D</w:t>
      </w:r>
      <w:r w:rsidRPr="00552464">
        <w:t xml:space="preserve">elegate and considered </w:t>
      </w:r>
      <w:proofErr w:type="spellStart"/>
      <w:r w:rsidR="005968B3" w:rsidRPr="00A04896">
        <w:t>Invega</w:t>
      </w:r>
      <w:proofErr w:type="spellEnd"/>
      <w:r w:rsidR="005968B3" w:rsidRPr="00A04896">
        <w:t xml:space="preserve"> </w:t>
      </w:r>
      <w:proofErr w:type="spellStart"/>
      <w:r w:rsidR="005968B3" w:rsidRPr="00A04896">
        <w:t>Trinza</w:t>
      </w:r>
      <w:proofErr w:type="spellEnd"/>
      <w:r w:rsidRPr="00552464">
        <w:t xml:space="preserve"> and </w:t>
      </w:r>
      <w:proofErr w:type="spellStart"/>
      <w:r w:rsidRPr="00552464">
        <w:t>T</w:t>
      </w:r>
      <w:r w:rsidR="001C63DA" w:rsidRPr="00552464">
        <w:t>revicta</w:t>
      </w:r>
      <w:proofErr w:type="spellEnd"/>
      <w:r w:rsidRPr="00552464">
        <w:t xml:space="preserve"> </w:t>
      </w:r>
      <w:r w:rsidR="001C63DA">
        <w:t>m</w:t>
      </w:r>
      <w:r w:rsidRPr="00552464">
        <w:t>odified release injection pre-filled syringe and 2 safety needles in a kit</w:t>
      </w:r>
      <w:r w:rsidR="001C63DA">
        <w:t xml:space="preserve"> containing 175 mg, 263 mg, 350 </w:t>
      </w:r>
      <w:r w:rsidRPr="00552464">
        <w:t xml:space="preserve">mg and 525 mg of </w:t>
      </w:r>
      <w:proofErr w:type="spellStart"/>
      <w:r w:rsidRPr="00552464">
        <w:t>paliperidone</w:t>
      </w:r>
      <w:proofErr w:type="spellEnd"/>
      <w:r w:rsidRPr="00552464">
        <w:t xml:space="preserve"> palmitate to have an overall positive benefit–risk profile for the proposed indication;</w:t>
      </w:r>
    </w:p>
    <w:p w14:paraId="5A904910" w14:textId="77777777" w:rsidR="00552464" w:rsidRPr="00552464" w:rsidRDefault="005968B3" w:rsidP="00552464">
      <w:pPr>
        <w:ind w:left="720"/>
        <w:rPr>
          <w:i/>
        </w:rPr>
      </w:pPr>
      <w:proofErr w:type="spellStart"/>
      <w:r w:rsidRPr="00A04896">
        <w:lastRenderedPageBreak/>
        <w:t>Invega</w:t>
      </w:r>
      <w:proofErr w:type="spellEnd"/>
      <w:r w:rsidRPr="00A04896">
        <w:t xml:space="preserve"> </w:t>
      </w:r>
      <w:proofErr w:type="spellStart"/>
      <w:r w:rsidRPr="00A04896">
        <w:t>Trinza</w:t>
      </w:r>
      <w:proofErr w:type="spellEnd"/>
      <w:r w:rsidR="00552464" w:rsidRPr="00552464">
        <w:rPr>
          <w:i/>
        </w:rPr>
        <w:t xml:space="preserve"> and </w:t>
      </w:r>
      <w:proofErr w:type="spellStart"/>
      <w:r w:rsidR="00552464" w:rsidRPr="00552464">
        <w:rPr>
          <w:i/>
        </w:rPr>
        <w:t>T</w:t>
      </w:r>
      <w:r w:rsidR="001C63DA" w:rsidRPr="00552464">
        <w:rPr>
          <w:i/>
        </w:rPr>
        <w:t>revicta</w:t>
      </w:r>
      <w:proofErr w:type="spellEnd"/>
      <w:r w:rsidR="00552464" w:rsidRPr="00552464">
        <w:rPr>
          <w:i/>
        </w:rPr>
        <w:t xml:space="preserve">, 3 month injections, are indicated for the maintenance treatment of schizophrenia in adult patients who have been adequately treated with the </w:t>
      </w:r>
      <w:r w:rsidR="008D4FE3">
        <w:rPr>
          <w:i/>
        </w:rPr>
        <w:t>1 month</w:t>
      </w:r>
      <w:r w:rsidR="00552464" w:rsidRPr="00552464">
        <w:rPr>
          <w:i/>
        </w:rPr>
        <w:t xml:space="preserve"> </w:t>
      </w:r>
      <w:proofErr w:type="spellStart"/>
      <w:r w:rsidR="00552464" w:rsidRPr="00552464">
        <w:rPr>
          <w:i/>
        </w:rPr>
        <w:t>paliperidone</w:t>
      </w:r>
      <w:proofErr w:type="spellEnd"/>
      <w:r w:rsidR="00552464" w:rsidRPr="00552464">
        <w:rPr>
          <w:i/>
        </w:rPr>
        <w:t xml:space="preserve"> palmitate injectable product for at least four months.</w:t>
      </w:r>
    </w:p>
    <w:p w14:paraId="6C4FDF53" w14:textId="77777777" w:rsidR="00552464" w:rsidRPr="00552464" w:rsidRDefault="00552464" w:rsidP="00552464">
      <w:r w:rsidRPr="00552464">
        <w:t>In making this recommendation the ACPM</w:t>
      </w:r>
    </w:p>
    <w:p w14:paraId="4F375E4D" w14:textId="77777777" w:rsidR="00552464" w:rsidRPr="00552464" w:rsidRDefault="00552464" w:rsidP="00552464">
      <w:pPr>
        <w:pStyle w:val="ListBullet"/>
      </w:pPr>
      <w:proofErr w:type="gramStart"/>
      <w:r w:rsidRPr="00552464">
        <w:t>noted</w:t>
      </w:r>
      <w:proofErr w:type="gramEnd"/>
      <w:r w:rsidRPr="00552464">
        <w:t xml:space="preserve"> that </w:t>
      </w:r>
      <w:proofErr w:type="spellStart"/>
      <w:r w:rsidRPr="00552464">
        <w:t>paliperidone</w:t>
      </w:r>
      <w:proofErr w:type="spellEnd"/>
      <w:r w:rsidRPr="00552464">
        <w:t xml:space="preserve"> palmitate demonstrated reasonable efficacy for the proposed.</w:t>
      </w:r>
    </w:p>
    <w:p w14:paraId="1A298039" w14:textId="77777777" w:rsidR="00552464" w:rsidRPr="00552464" w:rsidRDefault="00552464" w:rsidP="00552464">
      <w:r w:rsidRPr="00552464">
        <w:t xml:space="preserve">The committee agreed with the ACSOM in that the safety concerns for the PP3M preparation are greater than for the PP1M preparation. The committee highlighted </w:t>
      </w:r>
      <w:r w:rsidR="001C63DA">
        <w:t xml:space="preserve">several properties of this long </w:t>
      </w:r>
      <w:r w:rsidRPr="00552464">
        <w:t>acting preparation that raised particular and serious safety concerns.</w:t>
      </w:r>
    </w:p>
    <w:p w14:paraId="4528D2CA" w14:textId="77777777" w:rsidR="00552464" w:rsidRPr="00552464" w:rsidRDefault="00552464" w:rsidP="00552464">
      <w:pPr>
        <w:pStyle w:val="ListBullet"/>
      </w:pPr>
      <w:r w:rsidRPr="00552464">
        <w:t xml:space="preserve">The long duration of effect means that it is impossible to withdraw the therapy if adverse events develop. The committee noted that serious adverse events from </w:t>
      </w:r>
      <w:proofErr w:type="spellStart"/>
      <w:r w:rsidRPr="00552464">
        <w:t>paliperidone</w:t>
      </w:r>
      <w:proofErr w:type="spellEnd"/>
      <w:r w:rsidRPr="00552464">
        <w:t xml:space="preserve"> include tardive dyskinesia, QT prolongation, serotonin syndrome, neuroleptic malignant syndrome and neutropenia/</w:t>
      </w:r>
      <w:proofErr w:type="spellStart"/>
      <w:r w:rsidRPr="00552464">
        <w:t>leukopaenia</w:t>
      </w:r>
      <w:proofErr w:type="spellEnd"/>
      <w:r w:rsidRPr="00552464">
        <w:t>.</w:t>
      </w:r>
    </w:p>
    <w:p w14:paraId="4A2B5F2E" w14:textId="77777777" w:rsidR="00552464" w:rsidRPr="00552464" w:rsidRDefault="00552464" w:rsidP="00552464">
      <w:pPr>
        <w:pStyle w:val="ListBullet"/>
      </w:pPr>
      <w:r w:rsidRPr="00552464">
        <w:t>The three month interval between injections may directly lead to less contact between the patient and health practitioners and consequently less monitoring for safety and efficacy. The committee emphasised that contact between a patient and health practitioners should be based on clinical need and not be based solely on the administration interval for medicines.</w:t>
      </w:r>
    </w:p>
    <w:p w14:paraId="7CEF52B5" w14:textId="77777777" w:rsidR="00552464" w:rsidRPr="00552464" w:rsidRDefault="00552464" w:rsidP="00552464">
      <w:pPr>
        <w:pStyle w:val="ListBullet"/>
      </w:pPr>
      <w:r w:rsidRPr="00552464">
        <w:t>The variability of plasma levels and the high number of detected administration errors indicated that there are technical difficulties in the administration of the PP3M.</w:t>
      </w:r>
    </w:p>
    <w:p w14:paraId="0444D248" w14:textId="42E01D84" w:rsidR="00552464" w:rsidRPr="00552464" w:rsidRDefault="00552464" w:rsidP="00552464">
      <w:pPr>
        <w:pStyle w:val="ListBullet"/>
      </w:pPr>
      <w:r w:rsidRPr="00552464">
        <w:t>Additional medicines may be prescribed by a prescriber who is unaware that the patient has pr</w:t>
      </w:r>
      <w:r w:rsidR="001C63DA">
        <w:t xml:space="preserve">eviously been administered long </w:t>
      </w:r>
      <w:r w:rsidRPr="00552464">
        <w:t xml:space="preserve">acting </w:t>
      </w:r>
      <w:proofErr w:type="spellStart"/>
      <w:r w:rsidRPr="00552464">
        <w:t>paliperidone</w:t>
      </w:r>
      <w:proofErr w:type="spellEnd"/>
      <w:r w:rsidRPr="00552464">
        <w:t>. The patient may have an inaccurate recollection of the length of time since the PP3M injection. Patients with schizophrenia may not cooperate in using a patient alert card. These issues raised the possibility of unexpected drug-drug interactions, including serious events such as tardive dyskinesia, neutropenia/</w:t>
      </w:r>
      <w:r w:rsidR="00A135B6" w:rsidRPr="00552464">
        <w:t>leukopenia</w:t>
      </w:r>
      <w:r w:rsidRPr="00552464">
        <w:t>, neuroleptic malignant syndrome and QT prolongation.</w:t>
      </w:r>
    </w:p>
    <w:p w14:paraId="5F43D69E" w14:textId="77777777" w:rsidR="00552464" w:rsidRPr="00552464" w:rsidRDefault="00552464" w:rsidP="00552464">
      <w:r w:rsidRPr="00552464">
        <w:t>The ACPM agreed with the ACSOM on the safet</w:t>
      </w:r>
      <w:r w:rsidR="001C63DA">
        <w:t xml:space="preserve">y issues associated with a long </w:t>
      </w:r>
      <w:r w:rsidRPr="00552464">
        <w:t xml:space="preserve">acting injection of </w:t>
      </w:r>
      <w:proofErr w:type="spellStart"/>
      <w:r w:rsidRPr="00552464">
        <w:t>paliperidone</w:t>
      </w:r>
      <w:proofErr w:type="spellEnd"/>
      <w:r w:rsidRPr="00552464">
        <w:t>:</w:t>
      </w:r>
    </w:p>
    <w:p w14:paraId="488D49A8" w14:textId="77777777" w:rsidR="00552464" w:rsidRPr="00552464" w:rsidRDefault="00552464" w:rsidP="00552464">
      <w:pPr>
        <w:pStyle w:val="ListBullet"/>
      </w:pPr>
      <w:r w:rsidRPr="00552464">
        <w:t>The inability to rapidly discontinue treatment in response to adverse event.</w:t>
      </w:r>
    </w:p>
    <w:p w14:paraId="6F4F9F33" w14:textId="77777777" w:rsidR="00552464" w:rsidRPr="00552464" w:rsidRDefault="00552464" w:rsidP="00552464">
      <w:pPr>
        <w:pStyle w:val="ListBullet"/>
      </w:pPr>
      <w:r w:rsidRPr="00552464">
        <w:t>Adverse events in the patient’s history that are considered ‘precautions’ with respect of PP1M may more properly be considered ‘contraindications’ with respect of PP3M. For example, it would not be appropriate to use PP3M for a patient who experienced tardive dyskinesia, QT prolongation or neuroleptic malignant syndrome with PP1M.</w:t>
      </w:r>
    </w:p>
    <w:p w14:paraId="5C9B5A51" w14:textId="77777777" w:rsidR="00552464" w:rsidRPr="00552464" w:rsidRDefault="00552464" w:rsidP="00552464">
      <w:pPr>
        <w:pStyle w:val="ListBullet"/>
      </w:pPr>
      <w:r w:rsidRPr="00552464">
        <w:t xml:space="preserve">The concerns of the use of PP3M in women of childbearing age if an unplanned pregnancy were to occur and unavoidable exposure to </w:t>
      </w:r>
      <w:proofErr w:type="spellStart"/>
      <w:r w:rsidRPr="00552464">
        <w:t>paliperidone</w:t>
      </w:r>
      <w:proofErr w:type="spellEnd"/>
      <w:r w:rsidRPr="00552464">
        <w:t xml:space="preserve"> occurred in the first trimester.</w:t>
      </w:r>
    </w:p>
    <w:p w14:paraId="4EE4B9C1" w14:textId="77777777" w:rsidR="00552464" w:rsidRPr="00552464" w:rsidRDefault="00552464" w:rsidP="00552464">
      <w:r w:rsidRPr="00552464">
        <w:t xml:space="preserve">The ACPM recommended the inclusion of statements in the </w:t>
      </w:r>
      <w:r w:rsidR="001C63DA">
        <w:t>c</w:t>
      </w:r>
      <w:r w:rsidRPr="00552464">
        <w:t xml:space="preserve">ontraindications section of the PI and relevant sections of the CMI to reflect the advice previously given by the ACSOM regarding previous history of the following severe adverse events: neuroleptic malignant syndrome (NMS), </w:t>
      </w:r>
      <w:r w:rsidR="001C63DA">
        <w:t>c</w:t>
      </w:r>
      <w:r w:rsidRPr="00552464">
        <w:t>ongenital long QT syndrome or a history of cardiac arrhythmia, tardive dyskinesia and low white blood cell count and drug-induced leukopenia/ neutropenia.</w:t>
      </w:r>
    </w:p>
    <w:p w14:paraId="37B70345" w14:textId="77777777" w:rsidR="00552464" w:rsidRPr="00552464" w:rsidRDefault="00552464" w:rsidP="00552464">
      <w:pPr>
        <w:pStyle w:val="Heading5"/>
        <w:rPr>
          <w:highlight w:val="yellow"/>
        </w:rPr>
      </w:pPr>
      <w:r w:rsidRPr="00552464">
        <w:t xml:space="preserve">Specific </w:t>
      </w:r>
      <w:r w:rsidR="001C63DA">
        <w:t>a</w:t>
      </w:r>
      <w:r w:rsidRPr="00552464">
        <w:t>dvice</w:t>
      </w:r>
    </w:p>
    <w:p w14:paraId="030545F6" w14:textId="77777777" w:rsidR="00552464" w:rsidRPr="00552464" w:rsidRDefault="00552464" w:rsidP="00552464">
      <w:pPr>
        <w:rPr>
          <w:highlight w:val="yellow"/>
        </w:rPr>
      </w:pPr>
      <w:r w:rsidRPr="00552464">
        <w:t>The ACPM advised the following in response to the Delegate’s specific questions on this submission:</w:t>
      </w:r>
    </w:p>
    <w:p w14:paraId="7C59A450" w14:textId="77777777" w:rsidR="00552464" w:rsidRPr="00552464" w:rsidRDefault="00552464" w:rsidP="00E85CCF">
      <w:pPr>
        <w:pStyle w:val="Numberbullet0"/>
        <w:numPr>
          <w:ilvl w:val="0"/>
          <w:numId w:val="6"/>
        </w:numPr>
        <w:rPr>
          <w:i/>
        </w:rPr>
      </w:pPr>
      <w:r w:rsidRPr="00552464">
        <w:rPr>
          <w:i/>
        </w:rPr>
        <w:t xml:space="preserve">Contraindications unique to longer acting depot antipsychotic preparations including </w:t>
      </w:r>
      <w:proofErr w:type="spellStart"/>
      <w:r w:rsidR="005968B3" w:rsidRPr="001C63DA">
        <w:rPr>
          <w:i/>
        </w:rPr>
        <w:t>Invega</w:t>
      </w:r>
      <w:proofErr w:type="spellEnd"/>
      <w:r w:rsidR="005968B3" w:rsidRPr="001C63DA">
        <w:rPr>
          <w:i/>
        </w:rPr>
        <w:t xml:space="preserve"> </w:t>
      </w:r>
      <w:proofErr w:type="spellStart"/>
      <w:r w:rsidR="005968B3" w:rsidRPr="001C63DA">
        <w:rPr>
          <w:i/>
        </w:rPr>
        <w:t>Trinza</w:t>
      </w:r>
      <w:proofErr w:type="spellEnd"/>
      <w:r w:rsidRPr="00552464">
        <w:rPr>
          <w:i/>
        </w:rPr>
        <w:t xml:space="preserve"> have been recommended by the ACSOM due to the difficulty reversing </w:t>
      </w:r>
      <w:r w:rsidRPr="00552464">
        <w:rPr>
          <w:i/>
        </w:rPr>
        <w:lastRenderedPageBreak/>
        <w:t>actions of such long acting antipsychotic products.</w:t>
      </w:r>
      <w:r w:rsidR="00A04896">
        <w:rPr>
          <w:i/>
        </w:rPr>
        <w:t xml:space="preserve"> </w:t>
      </w:r>
      <w:r w:rsidRPr="00552464">
        <w:rPr>
          <w:i/>
        </w:rPr>
        <w:t>Further advice on these contraindications, as discussed is requested.</w:t>
      </w:r>
    </w:p>
    <w:p w14:paraId="160188E1" w14:textId="77777777" w:rsidR="00552464" w:rsidRPr="00552464" w:rsidRDefault="00552464" w:rsidP="00552464">
      <w:r w:rsidRPr="00552464">
        <w:t xml:space="preserve">The ACPM supported the inclusion of the following adverse events in the </w:t>
      </w:r>
      <w:r w:rsidR="001C63DA">
        <w:t>c</w:t>
      </w:r>
      <w:r w:rsidRPr="00552464">
        <w:t>ontraindications section of the PI and relevant sections of CMI, as previously recommended by the ACSOM:</w:t>
      </w:r>
    </w:p>
    <w:p w14:paraId="53ECD4DD" w14:textId="77777777" w:rsidR="00552464" w:rsidRPr="00552464" w:rsidRDefault="00552464" w:rsidP="00552464">
      <w:pPr>
        <w:pStyle w:val="ListBullet"/>
      </w:pPr>
      <w:r w:rsidRPr="00552464">
        <w:t xml:space="preserve">Previous history of neuroleptic malignant syndrome (NMS) in association with </w:t>
      </w:r>
      <w:proofErr w:type="spellStart"/>
      <w:r w:rsidRPr="00552464">
        <w:t>paliperidone</w:t>
      </w:r>
      <w:proofErr w:type="spellEnd"/>
      <w:r w:rsidRPr="00552464">
        <w:t>.</w:t>
      </w:r>
    </w:p>
    <w:p w14:paraId="3FAEF3CF" w14:textId="77777777" w:rsidR="00552464" w:rsidRPr="00552464" w:rsidRDefault="00552464" w:rsidP="00552464">
      <w:pPr>
        <w:pStyle w:val="ListBullet"/>
      </w:pPr>
      <w:r w:rsidRPr="00552464">
        <w:t xml:space="preserve">History of QT prolongation and cardiac arrhythmia in association with </w:t>
      </w:r>
      <w:proofErr w:type="spellStart"/>
      <w:r w:rsidRPr="00552464">
        <w:t>paliperidone</w:t>
      </w:r>
      <w:proofErr w:type="spellEnd"/>
      <w:r w:rsidRPr="00552464">
        <w:t>.</w:t>
      </w:r>
    </w:p>
    <w:p w14:paraId="35CC17A7" w14:textId="77777777" w:rsidR="00552464" w:rsidRPr="00552464" w:rsidRDefault="00552464" w:rsidP="00552464">
      <w:pPr>
        <w:pStyle w:val="ListBullet"/>
      </w:pPr>
      <w:r w:rsidRPr="00552464">
        <w:t xml:space="preserve">History of tardive dyskinesia in association with </w:t>
      </w:r>
      <w:proofErr w:type="spellStart"/>
      <w:r w:rsidRPr="00552464">
        <w:t>paliperidone</w:t>
      </w:r>
      <w:proofErr w:type="spellEnd"/>
      <w:r w:rsidRPr="00552464">
        <w:t>.</w:t>
      </w:r>
    </w:p>
    <w:p w14:paraId="71B43822" w14:textId="77777777" w:rsidR="00552464" w:rsidRPr="00552464" w:rsidRDefault="00552464" w:rsidP="00552464">
      <w:pPr>
        <w:pStyle w:val="ListBullet"/>
      </w:pPr>
      <w:r w:rsidRPr="00552464">
        <w:t xml:space="preserve">Low white blood cell count and history of drug-induced leukopenia/ neutropenia in association with </w:t>
      </w:r>
      <w:proofErr w:type="spellStart"/>
      <w:r w:rsidRPr="00552464">
        <w:t>paliperidone</w:t>
      </w:r>
      <w:proofErr w:type="spellEnd"/>
      <w:r w:rsidRPr="00552464">
        <w:t>.</w:t>
      </w:r>
    </w:p>
    <w:p w14:paraId="29DA61B8" w14:textId="77777777" w:rsidR="007F742D" w:rsidRDefault="00552464" w:rsidP="00552464">
      <w:r w:rsidRPr="00552464">
        <w:t>The ACPM was of the view that patients presenting histories of these adverse events are at a much greater risk since first principle of treatment for each of these severe adverse events is immediate cessation of the antipsychotic. Immediate cessation of medication is not possible due to the long duration of effects from depot preparation</w:t>
      </w:r>
      <w:r w:rsidR="007F742D">
        <w:t>.</w:t>
      </w:r>
    </w:p>
    <w:p w14:paraId="39E3A2F1" w14:textId="77777777" w:rsidR="00552464" w:rsidRPr="00552464" w:rsidRDefault="00552464" w:rsidP="00552464">
      <w:pPr>
        <w:pStyle w:val="Numberbullet0"/>
        <w:rPr>
          <w:i/>
        </w:rPr>
      </w:pPr>
      <w:r w:rsidRPr="00552464">
        <w:rPr>
          <w:i/>
        </w:rPr>
        <w:t xml:space="preserve">There is potential for higher and lower total exposures (AUC) and maximum and minimum exposures to </w:t>
      </w:r>
      <w:proofErr w:type="spellStart"/>
      <w:r w:rsidRPr="00552464">
        <w:rPr>
          <w:i/>
        </w:rPr>
        <w:t>paliperidone</w:t>
      </w:r>
      <w:proofErr w:type="spellEnd"/>
      <w:r w:rsidRPr="00552464">
        <w:rPr>
          <w:i/>
        </w:rPr>
        <w:t xml:space="preserve"> on switching from a </w:t>
      </w:r>
      <w:r w:rsidR="008D4FE3">
        <w:rPr>
          <w:i/>
        </w:rPr>
        <w:t>1 month</w:t>
      </w:r>
      <w:r w:rsidRPr="00552464">
        <w:rPr>
          <w:i/>
        </w:rPr>
        <w:t xml:space="preserve"> depot preparation to </w:t>
      </w:r>
      <w:proofErr w:type="spellStart"/>
      <w:r w:rsidR="005968B3" w:rsidRPr="001C63DA">
        <w:rPr>
          <w:i/>
        </w:rPr>
        <w:t>Invega</w:t>
      </w:r>
      <w:proofErr w:type="spellEnd"/>
      <w:r w:rsidR="005968B3" w:rsidRPr="001C63DA">
        <w:rPr>
          <w:i/>
        </w:rPr>
        <w:t xml:space="preserve"> </w:t>
      </w:r>
      <w:proofErr w:type="spellStart"/>
      <w:r w:rsidR="005968B3" w:rsidRPr="001C63DA">
        <w:rPr>
          <w:i/>
        </w:rPr>
        <w:t>Trinza</w:t>
      </w:r>
      <w:proofErr w:type="spellEnd"/>
      <w:r w:rsidRPr="00552464">
        <w:rPr>
          <w:i/>
        </w:rPr>
        <w:t>.</w:t>
      </w:r>
      <w:r w:rsidR="00A04896">
        <w:rPr>
          <w:i/>
        </w:rPr>
        <w:t xml:space="preserve"> </w:t>
      </w:r>
      <w:r w:rsidRPr="00552464">
        <w:rPr>
          <w:i/>
        </w:rPr>
        <w:t xml:space="preserve">While no clear evidence of increased or different adverse effects or reduced efficacy was apparent in the Phase III clinical trials advice on whether this variability is adequately expressed in the draft </w:t>
      </w:r>
      <w:r w:rsidR="001C63DA">
        <w:rPr>
          <w:i/>
        </w:rPr>
        <w:t>PI</w:t>
      </w:r>
      <w:r w:rsidRPr="00552464">
        <w:rPr>
          <w:i/>
        </w:rPr>
        <w:t xml:space="preserve"> is requested.</w:t>
      </w:r>
    </w:p>
    <w:p w14:paraId="6CEEBBE2" w14:textId="77777777" w:rsidR="00552464" w:rsidRPr="00552464" w:rsidRDefault="00552464" w:rsidP="00552464">
      <w:r w:rsidRPr="00552464">
        <w:t xml:space="preserve">The ACPM as of the view that the variability was adequately expressed in the </w:t>
      </w:r>
      <w:r w:rsidR="005968B3">
        <w:t>‘</w:t>
      </w:r>
      <w:r w:rsidRPr="00552464">
        <w:t xml:space="preserve">Long-acting </w:t>
      </w:r>
      <w:r w:rsidR="008D4FE3">
        <w:t xml:space="preserve">3 month </w:t>
      </w:r>
      <w:proofErr w:type="spellStart"/>
      <w:r w:rsidRPr="00552464">
        <w:t>paliperidone</w:t>
      </w:r>
      <w:proofErr w:type="spellEnd"/>
      <w:r w:rsidRPr="00552464">
        <w:t xml:space="preserve"> palmitate injection versus other </w:t>
      </w:r>
      <w:proofErr w:type="spellStart"/>
      <w:r w:rsidRPr="00552464">
        <w:t>paliperidone</w:t>
      </w:r>
      <w:proofErr w:type="spellEnd"/>
      <w:r w:rsidRPr="00552464">
        <w:t xml:space="preserve"> formulations</w:t>
      </w:r>
      <w:r w:rsidR="005968B3">
        <w:t>’</w:t>
      </w:r>
      <w:r w:rsidRPr="00552464">
        <w:t xml:space="preserve"> section of the draft </w:t>
      </w:r>
      <w:r w:rsidR="001C63DA">
        <w:t>PI</w:t>
      </w:r>
      <w:r w:rsidRPr="00552464">
        <w:t>:</w:t>
      </w:r>
    </w:p>
    <w:p w14:paraId="1DAAC01E" w14:textId="77777777" w:rsidR="00552464" w:rsidRPr="00552464" w:rsidRDefault="005968B3" w:rsidP="006849DD">
      <w:pPr>
        <w:ind w:left="720"/>
      </w:pPr>
      <w:r w:rsidRPr="006849DD">
        <w:rPr>
          <w:i/>
        </w:rPr>
        <w:t>‘</w:t>
      </w:r>
      <w:r w:rsidR="00552464" w:rsidRPr="006849DD">
        <w:rPr>
          <w:i/>
        </w:rPr>
        <w:t xml:space="preserve">The concentration of </w:t>
      </w:r>
      <w:proofErr w:type="spellStart"/>
      <w:r w:rsidR="00552464" w:rsidRPr="006849DD">
        <w:rPr>
          <w:i/>
        </w:rPr>
        <w:t>paliperidone</w:t>
      </w:r>
      <w:proofErr w:type="spellEnd"/>
      <w:r w:rsidR="00552464" w:rsidRPr="006849DD">
        <w:rPr>
          <w:i/>
        </w:rPr>
        <w:t xml:space="preserve"> remaining in the circulation 18 months after dosing of 525 mg </w:t>
      </w:r>
      <w:proofErr w:type="spellStart"/>
      <w:r w:rsidRPr="006849DD">
        <w:rPr>
          <w:i/>
        </w:rPr>
        <w:t>Invega</w:t>
      </w:r>
      <w:proofErr w:type="spellEnd"/>
      <w:r w:rsidRPr="006849DD">
        <w:rPr>
          <w:i/>
        </w:rPr>
        <w:t xml:space="preserve"> </w:t>
      </w:r>
      <w:proofErr w:type="spellStart"/>
      <w:r w:rsidRPr="006849DD">
        <w:rPr>
          <w:i/>
        </w:rPr>
        <w:t>Trinza</w:t>
      </w:r>
      <w:proofErr w:type="spellEnd"/>
      <w:r w:rsidR="00552464" w:rsidRPr="006849DD">
        <w:rPr>
          <w:i/>
        </w:rPr>
        <w:t xml:space="preserve"> is stopped is estimated to be 3% (following deltoid injection) or 7% (following gluteal injection) of the average steady-state levels.</w:t>
      </w:r>
      <w:r w:rsidRPr="006849DD">
        <w:rPr>
          <w:i/>
        </w:rPr>
        <w:t>’</w:t>
      </w:r>
      <w:r w:rsidR="00552464" w:rsidRPr="006849DD">
        <w:rPr>
          <w:i/>
        </w:rPr>
        <w:t xml:space="preserve"> </w:t>
      </w:r>
      <w:r w:rsidRPr="006849DD">
        <w:rPr>
          <w:i/>
        </w:rPr>
        <w:t>‘</w:t>
      </w:r>
      <w:r w:rsidR="00552464" w:rsidRPr="006849DD">
        <w:rPr>
          <w:i/>
        </w:rPr>
        <w:t xml:space="preserve">The between-subject variability for </w:t>
      </w:r>
      <w:proofErr w:type="spellStart"/>
      <w:r w:rsidR="00552464" w:rsidRPr="006849DD">
        <w:rPr>
          <w:i/>
        </w:rPr>
        <w:t>paliperidone</w:t>
      </w:r>
      <w:proofErr w:type="spellEnd"/>
      <w:r w:rsidR="00552464" w:rsidRPr="006849DD">
        <w:rPr>
          <w:i/>
        </w:rPr>
        <w:t xml:space="preserve"> pharmacokinetics following delivery from </w:t>
      </w:r>
      <w:proofErr w:type="spellStart"/>
      <w:r w:rsidRPr="006849DD">
        <w:rPr>
          <w:i/>
        </w:rPr>
        <w:t>Invega</w:t>
      </w:r>
      <w:proofErr w:type="spellEnd"/>
      <w:r w:rsidRPr="006849DD">
        <w:rPr>
          <w:i/>
        </w:rPr>
        <w:t xml:space="preserve"> </w:t>
      </w:r>
      <w:proofErr w:type="spellStart"/>
      <w:r w:rsidRPr="006849DD">
        <w:rPr>
          <w:i/>
        </w:rPr>
        <w:t>Trinza</w:t>
      </w:r>
      <w:proofErr w:type="spellEnd"/>
      <w:r w:rsidR="00552464" w:rsidRPr="006849DD">
        <w:rPr>
          <w:i/>
        </w:rPr>
        <w:t xml:space="preserve"> is similar to the variability for </w:t>
      </w:r>
      <w:proofErr w:type="spellStart"/>
      <w:r w:rsidR="00552464" w:rsidRPr="006849DD">
        <w:rPr>
          <w:i/>
        </w:rPr>
        <w:t>paliperidone</w:t>
      </w:r>
      <w:proofErr w:type="spellEnd"/>
      <w:r w:rsidR="00552464" w:rsidRPr="006849DD">
        <w:rPr>
          <w:i/>
        </w:rPr>
        <w:t xml:space="preserve"> extended-release tablets.</w:t>
      </w:r>
      <w:r w:rsidR="00A04896" w:rsidRPr="006849DD">
        <w:rPr>
          <w:i/>
        </w:rPr>
        <w:t xml:space="preserve"> </w:t>
      </w:r>
      <w:r w:rsidR="00552464" w:rsidRPr="006849DD">
        <w:rPr>
          <w:i/>
        </w:rPr>
        <w:t xml:space="preserve">Because of the difference in median pharmacokinetic profiles among the three </w:t>
      </w:r>
      <w:proofErr w:type="spellStart"/>
      <w:r w:rsidR="00552464" w:rsidRPr="006849DD">
        <w:rPr>
          <w:i/>
        </w:rPr>
        <w:t>paliperidone</w:t>
      </w:r>
      <w:proofErr w:type="spellEnd"/>
      <w:r w:rsidR="00552464" w:rsidRPr="006849DD">
        <w:rPr>
          <w:i/>
        </w:rPr>
        <w:t xml:space="preserve"> formulations caution should </w:t>
      </w:r>
      <w:r w:rsidR="00552464" w:rsidRPr="00552464">
        <w:t>be exercised when making a direct comparison of their pharmacokinetic properties.</w:t>
      </w:r>
      <w:r>
        <w:t>’</w:t>
      </w:r>
    </w:p>
    <w:p w14:paraId="3A9911D8" w14:textId="77777777" w:rsidR="00552464" w:rsidRPr="00552464" w:rsidRDefault="00552464" w:rsidP="00552464">
      <w:r w:rsidRPr="00552464">
        <w:t>No further statement or information is required.</w:t>
      </w:r>
    </w:p>
    <w:p w14:paraId="1D4E683B" w14:textId="77777777" w:rsidR="00552464" w:rsidRPr="00A322B3" w:rsidRDefault="00552464" w:rsidP="008E7846">
      <w:r w:rsidRPr="00552464">
        <w:t>The ACPM advised that implementation by the sponsor of the recommendations outlined above to the satisfaction of the TGA, in addition to the evidence of efficacy and safety provided would support the safe and effective use of this product.</w:t>
      </w:r>
    </w:p>
    <w:p w14:paraId="64017453" w14:textId="77777777" w:rsidR="008E7846" w:rsidRPr="002E238E" w:rsidRDefault="008E7846" w:rsidP="008E7846">
      <w:pPr>
        <w:pStyle w:val="Heading3"/>
      </w:pPr>
      <w:bookmarkStart w:id="174" w:name="_Toc247691532"/>
      <w:bookmarkStart w:id="175" w:name="_Toc314842516"/>
      <w:bookmarkStart w:id="176" w:name="_Toc497913802"/>
      <w:bookmarkEnd w:id="109"/>
      <w:bookmarkEnd w:id="169"/>
      <w:bookmarkEnd w:id="170"/>
      <w:r>
        <w:t>Outcome</w:t>
      </w:r>
      <w:bookmarkEnd w:id="174"/>
      <w:bookmarkEnd w:id="175"/>
      <w:bookmarkEnd w:id="176"/>
    </w:p>
    <w:p w14:paraId="26D88CA4" w14:textId="77777777" w:rsidR="00D23139" w:rsidRPr="00F65F29" w:rsidRDefault="00D23139" w:rsidP="00F65F29">
      <w:bookmarkStart w:id="177" w:name="_Toc247691533"/>
      <w:bookmarkStart w:id="178" w:name="_Toc314842517"/>
      <w:r w:rsidRPr="00D23139">
        <w:t xml:space="preserve">Based on a review of quality, safety and efficacy, TGA approved the registration of </w:t>
      </w:r>
      <w:proofErr w:type="spellStart"/>
      <w:r w:rsidR="005968B3" w:rsidRPr="00A04896">
        <w:t>Invega</w:t>
      </w:r>
      <w:proofErr w:type="spellEnd"/>
      <w:r w:rsidR="005968B3" w:rsidRPr="00A04896">
        <w:t xml:space="preserve"> </w:t>
      </w:r>
      <w:proofErr w:type="spellStart"/>
      <w:r w:rsidR="005968B3" w:rsidRPr="00A04896">
        <w:t>Trinza</w:t>
      </w:r>
      <w:proofErr w:type="spellEnd"/>
      <w:r w:rsidR="006849DD">
        <w:t xml:space="preserve"> and </w:t>
      </w:r>
      <w:proofErr w:type="spellStart"/>
      <w:r w:rsidR="006849DD">
        <w:t>Trevicta</w:t>
      </w:r>
      <w:proofErr w:type="spellEnd"/>
      <w:r w:rsidR="006849DD">
        <w:t xml:space="preserve"> </w:t>
      </w:r>
      <w:proofErr w:type="spellStart"/>
      <w:r w:rsidR="006849DD">
        <w:t>paliperidone</w:t>
      </w:r>
      <w:proofErr w:type="spellEnd"/>
      <w:r w:rsidR="006849DD">
        <w:t xml:space="preserve"> palmitate</w:t>
      </w:r>
      <w:r w:rsidR="00F65F29">
        <w:t xml:space="preserve"> 175 m</w:t>
      </w:r>
      <w:r w:rsidR="00F65F29" w:rsidRPr="00F65F29">
        <w:t>g</w:t>
      </w:r>
      <w:r w:rsidR="00F65F29">
        <w:t>, 263 mg, 350 mg and 525 mg</w:t>
      </w:r>
      <w:r w:rsidR="00F65F29" w:rsidRPr="00F65F29">
        <w:t xml:space="preserve"> suspension for injection</w:t>
      </w:r>
      <w:r w:rsidR="00F65F29">
        <w:t xml:space="preserve"> </w:t>
      </w:r>
      <w:r w:rsidR="00F65F29" w:rsidRPr="00F65F29">
        <w:t>pre</w:t>
      </w:r>
      <w:r w:rsidR="00F65F29">
        <w:t>filled</w:t>
      </w:r>
      <w:r w:rsidR="00F65F29" w:rsidRPr="00F65F29">
        <w:t xml:space="preserve"> syringe</w:t>
      </w:r>
      <w:r w:rsidR="00F65F29">
        <w:t xml:space="preserve"> </w:t>
      </w:r>
      <w:r w:rsidRPr="00F65F29">
        <w:t>indicated for:</w:t>
      </w:r>
    </w:p>
    <w:p w14:paraId="5C98260D" w14:textId="77777777" w:rsidR="00D23139" w:rsidRPr="003370F7" w:rsidRDefault="005968B3" w:rsidP="003370F7">
      <w:pPr>
        <w:ind w:left="720"/>
        <w:rPr>
          <w:i/>
        </w:rPr>
      </w:pPr>
      <w:proofErr w:type="spellStart"/>
      <w:r w:rsidRPr="00A04896">
        <w:t>Invega</w:t>
      </w:r>
      <w:proofErr w:type="spellEnd"/>
      <w:r w:rsidRPr="00A04896">
        <w:t xml:space="preserve"> </w:t>
      </w:r>
      <w:proofErr w:type="spellStart"/>
      <w:r w:rsidRPr="00A04896">
        <w:t>Trinza</w:t>
      </w:r>
      <w:proofErr w:type="spellEnd"/>
      <w:r w:rsidR="00F65F29" w:rsidRPr="003370F7">
        <w:rPr>
          <w:i/>
        </w:rPr>
        <w:t xml:space="preserve"> and </w:t>
      </w:r>
      <w:proofErr w:type="spellStart"/>
      <w:r w:rsidR="00F65F29" w:rsidRPr="003370F7">
        <w:rPr>
          <w:i/>
        </w:rPr>
        <w:t>T</w:t>
      </w:r>
      <w:r w:rsidR="003370F7" w:rsidRPr="003370F7">
        <w:rPr>
          <w:i/>
        </w:rPr>
        <w:t>revicta</w:t>
      </w:r>
      <w:proofErr w:type="spellEnd"/>
      <w:r w:rsidR="00F65F29" w:rsidRPr="003370F7">
        <w:rPr>
          <w:i/>
        </w:rPr>
        <w:t xml:space="preserve"> </w:t>
      </w:r>
      <w:r w:rsidR="003370F7" w:rsidRPr="003370F7">
        <w:rPr>
          <w:i/>
        </w:rPr>
        <w:t>a</w:t>
      </w:r>
      <w:r w:rsidR="00F65F29" w:rsidRPr="003370F7">
        <w:rPr>
          <w:i/>
        </w:rPr>
        <w:t xml:space="preserve">re </w:t>
      </w:r>
      <w:r w:rsidR="008D4FE3">
        <w:rPr>
          <w:i/>
        </w:rPr>
        <w:t xml:space="preserve">3 month </w:t>
      </w:r>
      <w:r w:rsidR="00F65F29" w:rsidRPr="003370F7">
        <w:rPr>
          <w:i/>
        </w:rPr>
        <w:t>inject</w:t>
      </w:r>
      <w:r w:rsidR="003370F7" w:rsidRPr="003370F7">
        <w:rPr>
          <w:i/>
        </w:rPr>
        <w:t>ions that are indicated for the maintenance treatment o</w:t>
      </w:r>
      <w:r w:rsidR="00F65F29" w:rsidRPr="003370F7">
        <w:rPr>
          <w:i/>
        </w:rPr>
        <w:t>f</w:t>
      </w:r>
      <w:r w:rsidR="003370F7" w:rsidRPr="003370F7">
        <w:rPr>
          <w:i/>
        </w:rPr>
        <w:t xml:space="preserve"> schizophrenia </w:t>
      </w:r>
      <w:r w:rsidR="00F65F29" w:rsidRPr="003370F7">
        <w:rPr>
          <w:i/>
        </w:rPr>
        <w:t>in adult</w:t>
      </w:r>
      <w:r w:rsidR="003370F7" w:rsidRPr="003370F7">
        <w:rPr>
          <w:i/>
        </w:rPr>
        <w:t xml:space="preserve"> patients</w:t>
      </w:r>
      <w:r w:rsidR="00F65F29" w:rsidRPr="003370F7">
        <w:rPr>
          <w:i/>
        </w:rPr>
        <w:t xml:space="preserve"> who </w:t>
      </w:r>
      <w:r w:rsidR="003370F7" w:rsidRPr="003370F7">
        <w:rPr>
          <w:i/>
        </w:rPr>
        <w:t>have</w:t>
      </w:r>
      <w:r w:rsidR="00F65F29" w:rsidRPr="003370F7">
        <w:rPr>
          <w:i/>
        </w:rPr>
        <w:t xml:space="preserve"> been </w:t>
      </w:r>
      <w:r w:rsidR="003370F7" w:rsidRPr="003370F7">
        <w:rPr>
          <w:i/>
        </w:rPr>
        <w:t>adequately</w:t>
      </w:r>
      <w:r w:rsidR="00F65F29" w:rsidRPr="003370F7">
        <w:rPr>
          <w:i/>
        </w:rPr>
        <w:t xml:space="preserve"> </w:t>
      </w:r>
      <w:r w:rsidR="003370F7" w:rsidRPr="003370F7">
        <w:rPr>
          <w:i/>
        </w:rPr>
        <w:t xml:space="preserve">treated with the 1 month </w:t>
      </w:r>
      <w:proofErr w:type="spellStart"/>
      <w:r w:rsidR="003370F7" w:rsidRPr="003370F7">
        <w:rPr>
          <w:i/>
        </w:rPr>
        <w:t>paliperidone</w:t>
      </w:r>
      <w:proofErr w:type="spellEnd"/>
      <w:r w:rsidR="00F65F29" w:rsidRPr="003370F7">
        <w:rPr>
          <w:i/>
        </w:rPr>
        <w:t xml:space="preserve"> </w:t>
      </w:r>
      <w:r w:rsidR="003370F7" w:rsidRPr="003370F7">
        <w:rPr>
          <w:i/>
        </w:rPr>
        <w:t>palmitate</w:t>
      </w:r>
      <w:r w:rsidR="00F65F29" w:rsidRPr="003370F7">
        <w:rPr>
          <w:i/>
        </w:rPr>
        <w:t xml:space="preserve"> </w:t>
      </w:r>
      <w:r w:rsidR="003370F7" w:rsidRPr="003370F7">
        <w:rPr>
          <w:i/>
        </w:rPr>
        <w:t>injectable</w:t>
      </w:r>
      <w:r w:rsidR="00F65F29" w:rsidRPr="003370F7">
        <w:rPr>
          <w:i/>
        </w:rPr>
        <w:t xml:space="preserve"> product</w:t>
      </w:r>
      <w:r w:rsidR="003370F7" w:rsidRPr="003370F7">
        <w:rPr>
          <w:i/>
        </w:rPr>
        <w:t xml:space="preserve"> for a</w:t>
      </w:r>
      <w:r w:rsidR="00F65F29" w:rsidRPr="003370F7">
        <w:rPr>
          <w:i/>
        </w:rPr>
        <w:t>t</w:t>
      </w:r>
      <w:r w:rsidR="003370F7" w:rsidRPr="003370F7">
        <w:rPr>
          <w:i/>
        </w:rPr>
        <w:t xml:space="preserve"> least four months.</w:t>
      </w:r>
    </w:p>
    <w:p w14:paraId="53F89C95" w14:textId="77777777" w:rsidR="00D23139" w:rsidRPr="00D23139" w:rsidRDefault="00D23139" w:rsidP="00D23139">
      <w:pPr>
        <w:pStyle w:val="Heading4"/>
      </w:pPr>
      <w:r w:rsidRPr="00D23139">
        <w:lastRenderedPageBreak/>
        <w:t>Specific conditions of registration applying to these goods</w:t>
      </w:r>
    </w:p>
    <w:p w14:paraId="039BF47F" w14:textId="77777777" w:rsidR="00D23139" w:rsidRPr="003370F7" w:rsidRDefault="003370F7" w:rsidP="003370F7">
      <w:r w:rsidRPr="003370F7">
        <w:t>The European Risk Management Plan (ve</w:t>
      </w:r>
      <w:r>
        <w:t>rsion 7.1,8 March 2016, DLP 30 J</w:t>
      </w:r>
      <w:r w:rsidRPr="003370F7">
        <w:t>une 2015)</w:t>
      </w:r>
      <w:r>
        <w:t xml:space="preserve"> </w:t>
      </w:r>
      <w:r w:rsidRPr="003370F7">
        <w:t>and Australian-specific Annex (version 1.1,</w:t>
      </w:r>
      <w:r>
        <w:t xml:space="preserve"> </w:t>
      </w:r>
      <w:r w:rsidRPr="003370F7">
        <w:t>27 April</w:t>
      </w:r>
      <w:r>
        <w:t xml:space="preserve"> </w:t>
      </w:r>
      <w:r w:rsidRPr="003370F7">
        <w:t>2</w:t>
      </w:r>
      <w:r>
        <w:t xml:space="preserve">016) submitted with application </w:t>
      </w:r>
      <w:r w:rsidRPr="003370F7">
        <w:t xml:space="preserve">PM-2015-02788-1-1, to be revised to the satisfaction </w:t>
      </w:r>
      <w:r>
        <w:t xml:space="preserve">of the TGA, must be implemented </w:t>
      </w:r>
      <w:r w:rsidRPr="003370F7">
        <w:t>in Australia.</w:t>
      </w:r>
    </w:p>
    <w:p w14:paraId="10FF62FD" w14:textId="77777777" w:rsidR="008E7846" w:rsidRDefault="00A80B5B" w:rsidP="00D23139">
      <w:pPr>
        <w:pStyle w:val="Heading2"/>
      </w:pPr>
      <w:bookmarkStart w:id="179" w:name="_Toc497913803"/>
      <w:proofErr w:type="gramStart"/>
      <w:r>
        <w:t>Attachment 1.</w:t>
      </w:r>
      <w:proofErr w:type="gramEnd"/>
      <w:r>
        <w:t xml:space="preserve"> </w:t>
      </w:r>
      <w:r w:rsidR="008E7846">
        <w:t xml:space="preserve">Product </w:t>
      </w:r>
      <w:r w:rsidR="00AA0ED0">
        <w:t>I</w:t>
      </w:r>
      <w:r w:rsidR="008E7846">
        <w:t>nformation</w:t>
      </w:r>
      <w:bookmarkEnd w:id="177"/>
      <w:bookmarkEnd w:id="178"/>
      <w:bookmarkEnd w:id="179"/>
    </w:p>
    <w:p w14:paraId="308535E3" w14:textId="77777777" w:rsidR="00C80137" w:rsidRDefault="006136D7" w:rsidP="00C80137">
      <w:pPr>
        <w:rPr>
          <w:color w:val="000000"/>
          <w:lang w:eastAsia="en-AU"/>
        </w:rPr>
      </w:pPr>
      <w:r w:rsidRPr="002B3624">
        <w:t xml:space="preserve">The </w:t>
      </w:r>
      <w:r>
        <w:t>PI</w:t>
      </w:r>
      <w:r w:rsidRPr="002B3624">
        <w:t xml:space="preserve"> for </w:t>
      </w:r>
      <w:proofErr w:type="spellStart"/>
      <w:r w:rsidR="005968B3" w:rsidRPr="00A04896">
        <w:t>Invega</w:t>
      </w:r>
      <w:proofErr w:type="spellEnd"/>
      <w:r w:rsidR="005968B3" w:rsidRPr="00A04896">
        <w:t xml:space="preserve"> </w:t>
      </w:r>
      <w:proofErr w:type="spellStart"/>
      <w:r w:rsidR="005968B3" w:rsidRPr="00A04896">
        <w:t>Trinza</w:t>
      </w:r>
      <w:proofErr w:type="spellEnd"/>
      <w:r w:rsidRPr="002B3624">
        <w:t xml:space="preserve"> </w:t>
      </w:r>
      <w:r>
        <w:t xml:space="preserve">approved with the submission which is described in </w:t>
      </w:r>
      <w:r w:rsidRPr="002B3624">
        <w:t xml:space="preserve">this </w:t>
      </w:r>
      <w:proofErr w:type="spellStart"/>
      <w:r w:rsidRPr="002B3624">
        <w:t>AusPAR</w:t>
      </w:r>
      <w:proofErr w:type="spellEnd"/>
      <w:r w:rsidRPr="002B3624">
        <w:t xml:space="preserve"> is at Attachment 1. For the most recent </w:t>
      </w:r>
      <w:r>
        <w:t>PI,</w:t>
      </w:r>
      <w:r w:rsidRPr="002B3624">
        <w:t xml:space="preserve"> please refer to the </w:t>
      </w:r>
      <w:r w:rsidRPr="007C6B9B">
        <w:t xml:space="preserve">TGA website at </w:t>
      </w:r>
      <w:r w:rsidR="007C6B9B" w:rsidRPr="007C6B9B">
        <w:t>&lt;</w:t>
      </w:r>
      <w:hyperlink r:id="rId26" w:history="1">
        <w:r w:rsidR="007C6B9B" w:rsidRPr="00F65F29">
          <w:rPr>
            <w:rStyle w:val="Hyperlink"/>
          </w:rPr>
          <w:t>https://www.tga.gov.au/product-information-pi</w:t>
        </w:r>
      </w:hyperlink>
      <w:proofErr w:type="gramStart"/>
      <w:r w:rsidR="006D3626">
        <w:t xml:space="preserve">&gt; </w:t>
      </w:r>
      <w:r w:rsidR="007C6B9B" w:rsidRPr="00F65F29">
        <w:t>.</w:t>
      </w:r>
      <w:proofErr w:type="gramEnd"/>
      <w:r w:rsidR="007C6B9B" w:rsidRPr="00F65F29">
        <w:t xml:space="preserve"> </w:t>
      </w:r>
      <w:r w:rsidRPr="00F65F29">
        <w:t xml:space="preserve">The PI for </w:t>
      </w:r>
      <w:proofErr w:type="spellStart"/>
      <w:r w:rsidR="00F65F29" w:rsidRPr="00F65F29">
        <w:t>Trevicta</w:t>
      </w:r>
      <w:proofErr w:type="spellEnd"/>
      <w:r w:rsidRPr="00F65F29">
        <w:t xml:space="preserve"> is identical except for the product name.</w:t>
      </w:r>
    </w:p>
    <w:p w14:paraId="0171253A" w14:textId="77777777" w:rsidR="00C80137" w:rsidRDefault="00C80137" w:rsidP="00C80137">
      <w:pPr>
        <w:pStyle w:val="Heading2"/>
        <w:rPr>
          <w:lang w:eastAsia="en-AU"/>
        </w:rPr>
      </w:pPr>
      <w:bookmarkStart w:id="180" w:name="_Toc497913804"/>
      <w:proofErr w:type="gramStart"/>
      <w:r>
        <w:rPr>
          <w:lang w:eastAsia="en-AU"/>
        </w:rPr>
        <w:t>Attachment 2.</w:t>
      </w:r>
      <w:proofErr w:type="gramEnd"/>
      <w:r w:rsidR="00A80B5B">
        <w:rPr>
          <w:lang w:eastAsia="en-AU"/>
        </w:rPr>
        <w:t xml:space="preserve"> </w:t>
      </w:r>
      <w:r>
        <w:rPr>
          <w:lang w:eastAsia="en-AU"/>
        </w:rPr>
        <w:t>Extract from the Clinical Evaluation Report</w:t>
      </w:r>
      <w:bookmarkEnd w:id="180"/>
    </w:p>
    <w:p w14:paraId="37AE93AF" w14:textId="77777777" w:rsidR="00291957" w:rsidRDefault="00291957" w:rsidP="00291957">
      <w:pPr>
        <w:rPr>
          <w:lang w:eastAsia="ja-JP"/>
        </w:rPr>
      </w:pPr>
    </w:p>
    <w:p w14:paraId="3F64619D" w14:textId="77777777" w:rsidR="00C80137" w:rsidRPr="001D043B" w:rsidRDefault="00C80137" w:rsidP="003A7F6C">
      <w:pPr>
        <w:pStyle w:val="TableTitle"/>
        <w:sectPr w:rsidR="00C80137" w:rsidRPr="001D043B" w:rsidSect="00B452CE">
          <w:headerReference w:type="even" r:id="rId27"/>
          <w:headerReference w:type="default" r:id="rId28"/>
          <w:headerReference w:type="first" r:id="rId29"/>
          <w:footerReference w:type="first" r:id="rId30"/>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1C24024B" w14:textId="77777777" w:rsidTr="00A05FA4">
        <w:trPr>
          <w:trHeight w:hRule="exact" w:val="704"/>
        </w:trPr>
        <w:tc>
          <w:tcPr>
            <w:tcW w:w="9175" w:type="dxa"/>
          </w:tcPr>
          <w:p w14:paraId="090190FD" w14:textId="77777777" w:rsidR="001C32CD" w:rsidRPr="00487162" w:rsidRDefault="001C32CD" w:rsidP="00A05FA4">
            <w:pPr>
              <w:pStyle w:val="TGASignoff"/>
            </w:pPr>
            <w:r w:rsidRPr="00487162">
              <w:lastRenderedPageBreak/>
              <w:t>Therapeutic Goods Administration</w:t>
            </w:r>
          </w:p>
        </w:tc>
      </w:tr>
      <w:tr w:rsidR="001C32CD" w:rsidRPr="004C239D" w14:paraId="6D56A978" w14:textId="77777777" w:rsidTr="00A05FA4">
        <w:trPr>
          <w:trHeight w:val="1221"/>
        </w:trPr>
        <w:tc>
          <w:tcPr>
            <w:tcW w:w="9175" w:type="dxa"/>
            <w:tcMar>
              <w:top w:w="28" w:type="dxa"/>
            </w:tcMar>
          </w:tcPr>
          <w:p w14:paraId="2C78BC8E" w14:textId="77777777" w:rsidR="001C32CD" w:rsidRPr="00487162" w:rsidRDefault="001C32CD" w:rsidP="00A05FA4">
            <w:pPr>
              <w:pStyle w:val="Address"/>
            </w:pPr>
            <w:r w:rsidRPr="00487162">
              <w:t>PO Box 100 Woden ACT 2606 Australia</w:t>
            </w:r>
          </w:p>
          <w:p w14:paraId="2EE66E1A" w14:textId="77777777" w:rsidR="001C32CD" w:rsidRPr="00487162" w:rsidRDefault="001C32CD" w:rsidP="00A05FA4">
            <w:pPr>
              <w:pStyle w:val="Address"/>
            </w:pPr>
            <w:r w:rsidRPr="00487162">
              <w:t xml:space="preserve">Email: </w:t>
            </w:r>
            <w:hyperlink r:id="rId31" w:history="1">
              <w:r w:rsidRPr="004C239D">
                <w:rPr>
                  <w:rStyle w:val="Hyperlink"/>
                </w:rPr>
                <w:t>info@tga.gov.au</w:t>
              </w:r>
            </w:hyperlink>
            <w:r w:rsidR="00A04896">
              <w:t xml:space="preserve"> </w:t>
            </w:r>
            <w:r w:rsidRPr="00487162">
              <w:t>Phone: 1800 020 653</w:t>
            </w:r>
            <w:r w:rsidR="00A04896">
              <w:t xml:space="preserve"> </w:t>
            </w:r>
            <w:r w:rsidRPr="00487162">
              <w:t>Fax: 02 6232 8605</w:t>
            </w:r>
          </w:p>
          <w:p w14:paraId="591A9F1B" w14:textId="77777777" w:rsidR="001C32CD" w:rsidRPr="004C239D" w:rsidRDefault="00764CD4" w:rsidP="00A05FA4">
            <w:pPr>
              <w:pStyle w:val="Address"/>
              <w:spacing w:line="260" w:lineRule="atLeast"/>
              <w:rPr>
                <w:b/>
                <w:color w:val="0000FF"/>
                <w:u w:val="single"/>
              </w:rPr>
            </w:pPr>
            <w:hyperlink r:id="rId32" w:history="1">
              <w:r w:rsidR="007C6B9B" w:rsidRPr="007C6B9B">
                <w:rPr>
                  <w:rStyle w:val="Hyperlink"/>
                  <w:b/>
                </w:rPr>
                <w:t>https://www.tga.gov.au</w:t>
              </w:r>
            </w:hyperlink>
          </w:p>
        </w:tc>
      </w:tr>
    </w:tbl>
    <w:p w14:paraId="30B0588E" w14:textId="77777777" w:rsidR="00774E1D" w:rsidRPr="008A5E0B" w:rsidRDefault="00774E1D" w:rsidP="004C239D"/>
    <w:sectPr w:rsidR="00774E1D" w:rsidRPr="008A5E0B" w:rsidSect="001C32CD">
      <w:headerReference w:type="even" r:id="rId33"/>
      <w:headerReference w:type="default" r:id="rId34"/>
      <w:footerReference w:type="default" r:id="rId35"/>
      <w:headerReference w:type="first" r:id="rId36"/>
      <w:footerReference w:type="first" r:id="rId37"/>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69EF8E5" w15:done="0"/>
  <w15:commentEx w15:paraId="4C6422F2" w15:done="0"/>
  <w15:commentEx w15:paraId="0FD6D4C5" w15:done="0"/>
  <w15:commentEx w15:paraId="230C39F8" w15:done="0"/>
  <w15:commentEx w15:paraId="4F7DD018" w15:done="0"/>
  <w15:commentEx w15:paraId="7E0DB36A" w15:done="0"/>
  <w15:commentEx w15:paraId="27B9E123" w15:done="0"/>
  <w15:commentEx w15:paraId="01C1A90C" w15:done="0"/>
  <w15:commentEx w15:paraId="18E9F650" w15:done="0"/>
  <w15:commentEx w15:paraId="07FCBAF1" w15:done="0"/>
  <w15:commentEx w15:paraId="60284F2B" w15:done="0"/>
  <w15:commentEx w15:paraId="00AF62E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84FDF2" w14:textId="77777777" w:rsidR="00BD01F9" w:rsidRDefault="00BD01F9" w:rsidP="00C40A36">
      <w:pPr>
        <w:spacing w:after="0"/>
      </w:pPr>
      <w:r>
        <w:separator/>
      </w:r>
    </w:p>
  </w:endnote>
  <w:endnote w:type="continuationSeparator" w:id="0">
    <w:p w14:paraId="70EA101B" w14:textId="77777777" w:rsidR="00BD01F9" w:rsidRDefault="00BD01F9"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BD01F9" w:rsidRPr="00487162" w14:paraId="32DF6A61" w14:textId="77777777" w:rsidTr="00DB750B">
      <w:trPr>
        <w:trHeight w:val="269"/>
      </w:trPr>
      <w:tc>
        <w:tcPr>
          <w:tcW w:w="7371" w:type="dxa"/>
          <w:tcMar>
            <w:top w:w="142" w:type="dxa"/>
            <w:bottom w:w="0" w:type="dxa"/>
          </w:tcMar>
        </w:tcPr>
        <w:p w14:paraId="55457E73" w14:textId="02E186B7" w:rsidR="00BD01F9" w:rsidRPr="00487162" w:rsidRDefault="00BD01F9" w:rsidP="00593F6E">
          <w:pPr>
            <w:pStyle w:val="Footer"/>
          </w:pPr>
          <w:proofErr w:type="spellStart"/>
          <w:r w:rsidRPr="00487162">
            <w:t>AusPA</w:t>
          </w:r>
          <w:r>
            <w:t>R</w:t>
          </w:r>
          <w:proofErr w:type="spellEnd"/>
          <w:r>
            <w:t xml:space="preserve"> INVEGA TRINZA and</w:t>
          </w:r>
          <w:r w:rsidRPr="0017075E">
            <w:t xml:space="preserve"> TREVICTA - </w:t>
          </w:r>
          <w:proofErr w:type="spellStart"/>
          <w:r w:rsidRPr="0017075E">
            <w:t>Paliperidone</w:t>
          </w:r>
          <w:proofErr w:type="spellEnd"/>
          <w:r w:rsidRPr="0017075E">
            <w:t xml:space="preserve"> Palmitate - Janssen-</w:t>
          </w:r>
          <w:proofErr w:type="spellStart"/>
          <w:r w:rsidRPr="0017075E">
            <w:t>Cilag</w:t>
          </w:r>
          <w:proofErr w:type="spellEnd"/>
          <w:r w:rsidRPr="0017075E">
            <w:t xml:space="preserve"> Pty Ltd - PM-2015-</w:t>
          </w:r>
          <w:r>
            <w:t>02788-1-1 FINAL 13 October 2017</w:t>
          </w:r>
        </w:p>
      </w:tc>
      <w:tc>
        <w:tcPr>
          <w:tcW w:w="1490" w:type="dxa"/>
          <w:tcMar>
            <w:top w:w="142" w:type="dxa"/>
            <w:bottom w:w="0" w:type="dxa"/>
          </w:tcMar>
        </w:tcPr>
        <w:p w14:paraId="6610F04B" w14:textId="49FD97EE" w:rsidR="00BD01F9" w:rsidRPr="00487162" w:rsidRDefault="00BD01F9" w:rsidP="00DB750B">
          <w:pPr>
            <w:pStyle w:val="Footer"/>
            <w:jc w:val="right"/>
          </w:pPr>
          <w:r w:rsidRPr="00487162">
            <w:t xml:space="preserve">Page </w:t>
          </w:r>
          <w:r>
            <w:fldChar w:fldCharType="begin"/>
          </w:r>
          <w:r>
            <w:instrText xml:space="preserve"> PAGE  \* Arabic </w:instrText>
          </w:r>
          <w:r>
            <w:fldChar w:fldCharType="separate"/>
          </w:r>
          <w:r w:rsidR="00764CD4">
            <w:rPr>
              <w:noProof/>
            </w:rPr>
            <w:t>4</w:t>
          </w:r>
          <w:r>
            <w:fldChar w:fldCharType="end"/>
          </w:r>
          <w:r w:rsidRPr="00487162">
            <w:t xml:space="preserve"> of </w:t>
          </w:r>
          <w:r w:rsidR="00764CD4">
            <w:fldChar w:fldCharType="begin"/>
          </w:r>
          <w:r w:rsidR="00764CD4">
            <w:instrText xml:space="preserve"> NUMPAGES  \* Arabic </w:instrText>
          </w:r>
          <w:r w:rsidR="00764CD4">
            <w:fldChar w:fldCharType="separate"/>
          </w:r>
          <w:r w:rsidR="00764CD4">
            <w:rPr>
              <w:noProof/>
            </w:rPr>
            <w:t>59</w:t>
          </w:r>
          <w:r w:rsidR="00764CD4">
            <w:rPr>
              <w:noProof/>
            </w:rPr>
            <w:fldChar w:fldCharType="end"/>
          </w:r>
        </w:p>
      </w:tc>
    </w:tr>
  </w:tbl>
  <w:p w14:paraId="4000CBC0" w14:textId="77777777" w:rsidR="00BD01F9" w:rsidRDefault="00BD01F9"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BD01F9" w:rsidRPr="00487162" w14:paraId="2E591464" w14:textId="77777777" w:rsidTr="00E45619">
      <w:trPr>
        <w:trHeight w:val="269"/>
      </w:trPr>
      <w:tc>
        <w:tcPr>
          <w:tcW w:w="4519" w:type="dxa"/>
          <w:tcBorders>
            <w:top w:val="single" w:sz="4" w:space="0" w:color="auto"/>
          </w:tcBorders>
          <w:tcMar>
            <w:top w:w="142" w:type="dxa"/>
            <w:bottom w:w="0" w:type="dxa"/>
          </w:tcMar>
        </w:tcPr>
        <w:p w14:paraId="4915E0CD" w14:textId="77777777" w:rsidR="00BD01F9" w:rsidRPr="00487162" w:rsidRDefault="00BD01F9" w:rsidP="00FE1DEE">
          <w:pPr>
            <w:pStyle w:val="Footer"/>
          </w:pPr>
          <w:r w:rsidRPr="00487162">
            <w:t>Document title, Part #, Section # - Section title</w:t>
          </w:r>
        </w:p>
        <w:p w14:paraId="675DEF16" w14:textId="77777777" w:rsidR="00BD01F9" w:rsidRPr="00487162" w:rsidRDefault="00BD01F9" w:rsidP="00FE1DEE">
          <w:pPr>
            <w:pStyle w:val="Footer"/>
          </w:pPr>
          <w:r w:rsidRPr="00487162">
            <w:t>V1.0 October 2010</w:t>
          </w:r>
        </w:p>
      </w:tc>
      <w:tc>
        <w:tcPr>
          <w:tcW w:w="4342" w:type="dxa"/>
          <w:tcBorders>
            <w:top w:val="single" w:sz="4" w:space="0" w:color="auto"/>
          </w:tcBorders>
          <w:tcMar>
            <w:top w:w="142" w:type="dxa"/>
            <w:bottom w:w="0" w:type="dxa"/>
          </w:tcMar>
        </w:tcPr>
        <w:p w14:paraId="19AA1E4C" w14:textId="141BF87E" w:rsidR="00BD01F9" w:rsidRPr="00487162" w:rsidRDefault="00BD01F9"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764CD4">
            <w:fldChar w:fldCharType="begin"/>
          </w:r>
          <w:r w:rsidR="00764CD4">
            <w:instrText xml:space="preserve"> NUMPAGES  </w:instrText>
          </w:r>
          <w:r w:rsidR="00764CD4">
            <w:fldChar w:fldCharType="separate"/>
          </w:r>
          <w:r>
            <w:rPr>
              <w:noProof/>
            </w:rPr>
            <w:t>60</w:t>
          </w:r>
          <w:r w:rsidR="00764CD4">
            <w:rPr>
              <w:noProof/>
            </w:rPr>
            <w:fldChar w:fldCharType="end"/>
          </w:r>
        </w:p>
      </w:tc>
    </w:tr>
  </w:tbl>
  <w:p w14:paraId="2A6FFE72" w14:textId="77777777" w:rsidR="00BD01F9" w:rsidRDefault="00BD01F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1CD4B" w14:textId="77777777" w:rsidR="00BD01F9" w:rsidRPr="001C32CD" w:rsidRDefault="00BD01F9"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D01F9" w14:paraId="04870B34" w14:textId="77777777" w:rsidTr="0010601F">
      <w:trPr>
        <w:trHeight w:val="108"/>
      </w:trPr>
      <w:tc>
        <w:tcPr>
          <w:tcW w:w="8875" w:type="dxa"/>
          <w:gridSpan w:val="2"/>
          <w:tcBorders>
            <w:bottom w:val="single" w:sz="4" w:space="0" w:color="auto"/>
          </w:tcBorders>
          <w:tcMar>
            <w:right w:w="284" w:type="dxa"/>
          </w:tcMar>
        </w:tcPr>
        <w:p w14:paraId="0DA71541" w14:textId="77777777" w:rsidR="00BD01F9" w:rsidRDefault="00BD01F9" w:rsidP="006E08B3">
          <w:pPr>
            <w:pStyle w:val="Heading3"/>
          </w:pPr>
          <w:r>
            <w:t>Copyright</w:t>
          </w:r>
        </w:p>
        <w:p w14:paraId="5DE71D67" w14:textId="77777777" w:rsidR="00BD01F9" w:rsidRDefault="00BD01F9" w:rsidP="006E08B3">
          <w:r>
            <w:rPr>
              <w:rFonts w:cs="Arial"/>
            </w:rPr>
            <w:t>©</w:t>
          </w:r>
          <w:r>
            <w:t xml:space="preserve"> Commonwealth of Australia [add year]</w:t>
          </w:r>
        </w:p>
        <w:p w14:paraId="065FDA81" w14:textId="77777777" w:rsidR="00BD01F9" w:rsidRDefault="00BD01F9" w:rsidP="006E08B3"/>
        <w:p w14:paraId="264E316D" w14:textId="77777777" w:rsidR="00BD01F9" w:rsidRDefault="00BD01F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20CADCAB" w14:textId="77777777" w:rsidR="00BD01F9" w:rsidRDefault="00BD01F9" w:rsidP="006E08B3"/>
        <w:p w14:paraId="21805D32" w14:textId="77777777" w:rsidR="00BD01F9" w:rsidRDefault="00BD01F9" w:rsidP="006E08B3">
          <w:pPr>
            <w:pStyle w:val="Heading3"/>
          </w:pPr>
          <w:r>
            <w:t>Confidentiality</w:t>
          </w:r>
        </w:p>
        <w:p w14:paraId="54840F2B" w14:textId="77777777" w:rsidR="00BD01F9" w:rsidRDefault="00BD01F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6946D3D0" w14:textId="77777777" w:rsidR="00BD01F9" w:rsidRDefault="00BD01F9" w:rsidP="006E08B3"/>
        <w:p w14:paraId="5D38C1AE" w14:textId="77777777" w:rsidR="00BD01F9" w:rsidRDefault="00BD01F9" w:rsidP="006E08B3">
          <w:r>
            <w:t>For submission made by individuals, all personal details, other than your name, will be removed from your submission before it is published on the TGA’s Internet site.</w:t>
          </w:r>
        </w:p>
        <w:p w14:paraId="656B185C" w14:textId="77777777" w:rsidR="00BD01F9" w:rsidRDefault="00BD01F9" w:rsidP="006E08B3"/>
        <w:p w14:paraId="58926DB1" w14:textId="77777777" w:rsidR="00BD01F9" w:rsidRDefault="00BD01F9"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BD01F9" w14:paraId="74ADF117" w14:textId="77777777" w:rsidTr="0010601F">
      <w:trPr>
        <w:trHeight w:val="417"/>
      </w:trPr>
      <w:tc>
        <w:tcPr>
          <w:tcW w:w="4519" w:type="dxa"/>
          <w:tcBorders>
            <w:top w:val="single" w:sz="4" w:space="0" w:color="auto"/>
          </w:tcBorders>
          <w:tcMar>
            <w:top w:w="142" w:type="dxa"/>
            <w:bottom w:w="0" w:type="dxa"/>
          </w:tcMar>
        </w:tcPr>
        <w:p w14:paraId="4BC56C95" w14:textId="77777777" w:rsidR="00BD01F9" w:rsidRDefault="00BD01F9" w:rsidP="006E08B3">
          <w:r>
            <w:t>Document title, Part #, Section # - Section title</w:t>
          </w:r>
        </w:p>
        <w:p w14:paraId="6FE36DC9" w14:textId="77777777" w:rsidR="00BD01F9" w:rsidRDefault="00BD01F9" w:rsidP="006E08B3">
          <w:r>
            <w:t>V1.0 October 2010</w:t>
          </w:r>
        </w:p>
      </w:tc>
      <w:tc>
        <w:tcPr>
          <w:tcW w:w="4356" w:type="dxa"/>
          <w:tcBorders>
            <w:top w:val="single" w:sz="4" w:space="0" w:color="auto"/>
          </w:tcBorders>
          <w:tcMar>
            <w:top w:w="142" w:type="dxa"/>
            <w:bottom w:w="0" w:type="dxa"/>
          </w:tcMar>
        </w:tcPr>
        <w:p w14:paraId="02F7BA2D" w14:textId="1018C109" w:rsidR="00BD01F9" w:rsidRDefault="00BD01F9"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764CD4">
            <w:fldChar w:fldCharType="begin"/>
          </w:r>
          <w:r w:rsidR="00764CD4">
            <w:instrText xml:space="preserve"> NUMPAGES  \* Arabic </w:instrText>
          </w:r>
          <w:r w:rsidR="00764CD4">
            <w:fldChar w:fldCharType="separate"/>
          </w:r>
          <w:r>
            <w:rPr>
              <w:noProof/>
            </w:rPr>
            <w:t>60</w:t>
          </w:r>
          <w:r w:rsidR="00764CD4">
            <w:rPr>
              <w:noProof/>
            </w:rPr>
            <w:fldChar w:fldCharType="end"/>
          </w:r>
          <w:r>
            <w:t xml:space="preserve"> </w:t>
          </w:r>
        </w:p>
      </w:tc>
    </w:tr>
  </w:tbl>
  <w:p w14:paraId="5006E7A8" w14:textId="77777777" w:rsidR="00BD01F9" w:rsidRDefault="00BD01F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68025F" w14:textId="77777777" w:rsidR="00BD01F9" w:rsidRDefault="00BD01F9" w:rsidP="00C40A36">
      <w:pPr>
        <w:spacing w:after="0"/>
      </w:pPr>
      <w:r>
        <w:separator/>
      </w:r>
    </w:p>
  </w:footnote>
  <w:footnote w:type="continuationSeparator" w:id="0">
    <w:p w14:paraId="64F4F0EF" w14:textId="77777777" w:rsidR="00BD01F9" w:rsidRDefault="00BD01F9" w:rsidP="00C40A36">
      <w:pPr>
        <w:spacing w:after="0"/>
      </w:pPr>
      <w:r>
        <w:continuationSeparator/>
      </w:r>
    </w:p>
  </w:footnote>
  <w:footnote w:id="1">
    <w:p w14:paraId="078BB394" w14:textId="77777777" w:rsidR="00BD01F9" w:rsidRPr="009F485A" w:rsidRDefault="00BD01F9" w:rsidP="00D37EE4">
      <w:pPr>
        <w:pStyle w:val="FootnoteText"/>
        <w:rPr>
          <w:szCs w:val="18"/>
        </w:rPr>
      </w:pPr>
      <w:r w:rsidRPr="009F485A">
        <w:rPr>
          <w:rStyle w:val="FootnoteReference"/>
          <w:szCs w:val="18"/>
        </w:rPr>
        <w:footnoteRef/>
      </w:r>
      <w:r w:rsidRPr="009F485A">
        <w:rPr>
          <w:szCs w:val="18"/>
        </w:rPr>
        <w:t xml:space="preserve"> Comment: </w:t>
      </w:r>
      <w:proofErr w:type="spellStart"/>
      <w:r w:rsidRPr="009F485A">
        <w:rPr>
          <w:szCs w:val="18"/>
        </w:rPr>
        <w:t>Invega</w:t>
      </w:r>
      <w:proofErr w:type="spellEnd"/>
      <w:r w:rsidRPr="009F485A">
        <w:rPr>
          <w:szCs w:val="18"/>
        </w:rPr>
        <w:t xml:space="preserve"> </w:t>
      </w:r>
      <w:proofErr w:type="spellStart"/>
      <w:r w:rsidRPr="009F485A">
        <w:rPr>
          <w:szCs w:val="18"/>
        </w:rPr>
        <w:t>Trinza</w:t>
      </w:r>
      <w:proofErr w:type="spellEnd"/>
      <w:r w:rsidRPr="009F485A">
        <w:rPr>
          <w:szCs w:val="18"/>
        </w:rPr>
        <w:t xml:space="preserve"> is both a greater volume and a higher concentration than </w:t>
      </w:r>
      <w:proofErr w:type="spellStart"/>
      <w:r w:rsidRPr="009F485A">
        <w:rPr>
          <w:szCs w:val="18"/>
        </w:rPr>
        <w:t>Invega</w:t>
      </w:r>
      <w:proofErr w:type="spellEnd"/>
      <w:r w:rsidRPr="009F485A">
        <w:rPr>
          <w:szCs w:val="18"/>
        </w:rPr>
        <w:t xml:space="preserve"> </w:t>
      </w:r>
      <w:proofErr w:type="spellStart"/>
      <w:r w:rsidRPr="009F485A">
        <w:rPr>
          <w:szCs w:val="18"/>
        </w:rPr>
        <w:t>Sustenna</w:t>
      </w:r>
      <w:proofErr w:type="spellEnd"/>
    </w:p>
  </w:footnote>
  <w:footnote w:id="2">
    <w:p w14:paraId="2B10BDC4" w14:textId="77E11192" w:rsidR="00BD01F9" w:rsidRPr="00D1543B" w:rsidRDefault="00BD01F9" w:rsidP="00D1543B">
      <w:pPr>
        <w:pStyle w:val="FootnoteText"/>
      </w:pPr>
      <w:r>
        <w:rPr>
          <w:rStyle w:val="FootnoteReference"/>
        </w:rPr>
        <w:footnoteRef/>
      </w:r>
      <w:r>
        <w:t xml:space="preserve"> </w:t>
      </w:r>
      <w:r w:rsidRPr="00D1543B">
        <w:t>Clarification PSY-</w:t>
      </w:r>
      <w:proofErr w:type="gramStart"/>
      <w:r w:rsidRPr="00D1543B">
        <w:t>1005,</w:t>
      </w:r>
      <w:proofErr w:type="gramEnd"/>
      <w:r w:rsidRPr="00D1543B">
        <w:t xml:space="preserve"> is a single dose study in which patients had not been treat</w:t>
      </w:r>
      <w:r w:rsidRPr="00F048D7">
        <w:t>ed with PP1M prior to the PP3M injection. This is different than the clinical situation since all patients will be at or near steady state with PP1M before PP3M is initiated. This allows PP3M to achieve near steady state levels. If PP3M is started without this initial PP1M treatment, it would take several cycles to achieve steady state.</w:t>
      </w:r>
    </w:p>
  </w:footnote>
  <w:footnote w:id="3">
    <w:p w14:paraId="1574F2F6" w14:textId="77777777" w:rsidR="00BD01F9" w:rsidRPr="00531123" w:rsidRDefault="00BD01F9" w:rsidP="00D1543B">
      <w:pPr>
        <w:pStyle w:val="FootnoteText"/>
      </w:pPr>
      <w:r w:rsidRPr="00E84567">
        <w:rPr>
          <w:vertAlign w:val="superscript"/>
        </w:rPr>
        <w:footnoteRef/>
      </w:r>
      <w:r w:rsidRPr="00D1543B">
        <w:t xml:space="preserve"> </w:t>
      </w:r>
      <w:proofErr w:type="gramStart"/>
      <w:r w:rsidRPr="00531123">
        <w:t>except</w:t>
      </w:r>
      <w:proofErr w:type="gramEnd"/>
      <w:r w:rsidRPr="00531123">
        <w:t xml:space="preserve"> the results of subject [information redacted] which showed a dramatic rise at the end of the study.</w:t>
      </w:r>
    </w:p>
  </w:footnote>
  <w:footnote w:id="4">
    <w:p w14:paraId="429971B4" w14:textId="77777777" w:rsidR="00BD01F9" w:rsidRPr="00531123" w:rsidRDefault="00BD01F9" w:rsidP="00D37EE4">
      <w:pPr>
        <w:pStyle w:val="FootnoteText"/>
      </w:pPr>
      <w:r w:rsidRPr="00531123">
        <w:rPr>
          <w:rStyle w:val="FootnoteReference"/>
        </w:rPr>
        <w:footnoteRef/>
      </w:r>
      <w:r w:rsidRPr="00531123">
        <w:t xml:space="preserve"> </w:t>
      </w:r>
      <w:proofErr w:type="gramStart"/>
      <w:r w:rsidRPr="00531123">
        <w:t>the</w:t>
      </w:r>
      <w:proofErr w:type="gramEnd"/>
      <w:r w:rsidRPr="00531123">
        <w:t xml:space="preserve"> model was refitted with no more than 10% uncertainty in the model parameters.</w:t>
      </w:r>
    </w:p>
  </w:footnote>
  <w:footnote w:id="5">
    <w:p w14:paraId="13ABD1EC" w14:textId="77777777" w:rsidR="00BD01F9" w:rsidRPr="00FF0518" w:rsidRDefault="00BD01F9">
      <w:pPr>
        <w:pStyle w:val="FootnoteText"/>
        <w:rPr>
          <w:lang w:val="en-US"/>
        </w:rPr>
      </w:pPr>
      <w:r>
        <w:rPr>
          <w:rStyle w:val="FootnoteReference"/>
        </w:rPr>
        <w:footnoteRef/>
      </w:r>
      <w:r>
        <w:t xml:space="preserve"> </w:t>
      </w:r>
      <w:r>
        <w:rPr>
          <w:szCs w:val="18"/>
        </w:rPr>
        <w:t>PANSS</w:t>
      </w:r>
      <w:r w:rsidRPr="009F485A">
        <w:rPr>
          <w:szCs w:val="18"/>
        </w:rPr>
        <w:t xml:space="preserve"> was used to assess neuropsychiatric symptoms of schizophrenia. It has a 30-item scale that provides a total score (sum of the scores of all 30 items; 30-210) and scores for 3 subscales, the positive subscale (7 items), the negative subscale (7 items), and the general psychopathology subscale (16 items). Each scale was rated 1 (absent) to 7 (extreme). This gives a range of 180 points (30 to 210).</w:t>
      </w:r>
    </w:p>
  </w:footnote>
  <w:footnote w:id="6">
    <w:p w14:paraId="2D3CD010" w14:textId="6ED591CE" w:rsidR="00BD01F9" w:rsidRPr="00BD01F9" w:rsidRDefault="00BD01F9">
      <w:pPr>
        <w:pStyle w:val="FootnoteText"/>
        <w:rPr>
          <w:lang w:val="en-US"/>
        </w:rPr>
      </w:pPr>
      <w:r>
        <w:rPr>
          <w:rStyle w:val="FootnoteReference"/>
        </w:rPr>
        <w:footnoteRef/>
      </w:r>
      <w:r>
        <w:t xml:space="preserve"> </w:t>
      </w:r>
      <w:r w:rsidRPr="00FC0825">
        <w:t>18 or 11% received a second PP3M injection in that phase</w:t>
      </w:r>
    </w:p>
  </w:footnote>
  <w:footnote w:id="7">
    <w:p w14:paraId="04E42359" w14:textId="590E4BEA" w:rsidR="00BD01F9" w:rsidRPr="00E84567" w:rsidRDefault="00BD01F9">
      <w:pPr>
        <w:pStyle w:val="FootnoteText"/>
        <w:rPr>
          <w:lang w:val="en-US"/>
        </w:rPr>
      </w:pPr>
      <w:r>
        <w:rPr>
          <w:rStyle w:val="FootnoteReference"/>
        </w:rPr>
        <w:footnoteRef/>
      </w:r>
      <w:r>
        <w:t xml:space="preserve"> </w:t>
      </w:r>
      <w:r>
        <w:rPr>
          <w:lang w:val="en-US"/>
        </w:rPr>
        <w:t>Clarification; some of the difference might be accounted for by the less rigid investigator’s opinion criteria used in the Maintenance Phase.</w:t>
      </w:r>
    </w:p>
  </w:footnote>
  <w:footnote w:id="8">
    <w:p w14:paraId="58CF2915" w14:textId="71F16E6B" w:rsidR="00BD01F9" w:rsidRPr="009746A1" w:rsidRDefault="00BD01F9" w:rsidP="004F6EB2">
      <w:pPr>
        <w:pStyle w:val="FootnoteText"/>
        <w:rPr>
          <w:rFonts w:cstheme="minorBidi"/>
          <w:szCs w:val="18"/>
        </w:rPr>
      </w:pPr>
      <w:r w:rsidRPr="009746A1">
        <w:rPr>
          <w:rStyle w:val="FootnoteReference"/>
          <w:szCs w:val="18"/>
        </w:rPr>
        <w:footnoteRef/>
      </w:r>
      <w:r w:rsidRPr="009746A1">
        <w:rPr>
          <w:szCs w:val="18"/>
        </w:rPr>
        <w:t xml:space="preserve">Non-inferiority trials: determining whether alternative treatments are good enough Ian A Scott </w:t>
      </w:r>
      <w:r w:rsidRPr="009746A1">
        <w:rPr>
          <w:i/>
          <w:szCs w:val="18"/>
        </w:rPr>
        <w:t xml:space="preserve">Med J </w:t>
      </w:r>
      <w:proofErr w:type="spellStart"/>
      <w:r w:rsidRPr="009746A1">
        <w:rPr>
          <w:i/>
          <w:szCs w:val="18"/>
        </w:rPr>
        <w:t>Aust</w:t>
      </w:r>
      <w:proofErr w:type="spellEnd"/>
      <w:r>
        <w:rPr>
          <w:szCs w:val="18"/>
        </w:rPr>
        <w:t xml:space="preserve"> 2009; 190</w:t>
      </w:r>
      <w:r w:rsidRPr="009746A1">
        <w:rPr>
          <w:szCs w:val="18"/>
        </w:rPr>
        <w:t>: 326-330.</w:t>
      </w:r>
    </w:p>
  </w:footnote>
  <w:footnote w:id="9">
    <w:p w14:paraId="1E67DE07" w14:textId="77777777" w:rsidR="00BD01F9" w:rsidRPr="006D3626" w:rsidRDefault="00BD01F9">
      <w:pPr>
        <w:pStyle w:val="FootnoteText"/>
        <w:rPr>
          <w:lang w:val="en-US"/>
        </w:rPr>
      </w:pPr>
      <w:r>
        <w:rPr>
          <w:rStyle w:val="FootnoteReference"/>
        </w:rPr>
        <w:footnoteRef/>
      </w:r>
      <w:r>
        <w:t xml:space="preserve"> EMA/838713/2011 Rev 2 Guideline on good pharmacovigilance practices (GVP) Module V – risk management systems (Rev 2).</w:t>
      </w:r>
    </w:p>
  </w:footnote>
  <w:footnote w:id="10">
    <w:p w14:paraId="11BD6C64" w14:textId="77777777" w:rsidR="00BD01F9" w:rsidRPr="00154950" w:rsidRDefault="00BD01F9">
      <w:pPr>
        <w:pStyle w:val="FootnoteText"/>
        <w:rPr>
          <w:lang w:val="en-US"/>
        </w:rPr>
      </w:pPr>
      <w:r>
        <w:rPr>
          <w:rStyle w:val="FootnoteReference"/>
        </w:rPr>
        <w:footnoteRef/>
      </w:r>
      <w:r>
        <w:t xml:space="preserve"> </w:t>
      </w:r>
      <w:r>
        <w:rPr>
          <w:lang w:val="en-US"/>
        </w:rPr>
        <w:t xml:space="preserve">Pregnancy category C is defined as: </w:t>
      </w:r>
      <w:r w:rsidRPr="00154950">
        <w:rPr>
          <w:i/>
        </w:rPr>
        <w:t xml:space="preserve">Drugs which, owing to their pharmacological effects, have caused or may be suspected of causing, harmful effects on the human </w:t>
      </w:r>
      <w:proofErr w:type="spellStart"/>
      <w:r w:rsidRPr="00154950">
        <w:rPr>
          <w:i/>
        </w:rPr>
        <w:t>fetus</w:t>
      </w:r>
      <w:proofErr w:type="spellEnd"/>
      <w:r w:rsidRPr="00154950">
        <w:rPr>
          <w:i/>
        </w:rPr>
        <w:t xml:space="preserve"> or neonate without causing malformations. These effects may be reversible. Accompanying texts should be consulted for further details.</w:t>
      </w:r>
    </w:p>
  </w:footnote>
  <w:footnote w:id="11">
    <w:p w14:paraId="2AF3F47F" w14:textId="77777777" w:rsidR="00BD01F9" w:rsidRDefault="00BD01F9" w:rsidP="00D044AE">
      <w:pPr>
        <w:pStyle w:val="FootnoteText"/>
        <w:pBdr>
          <w:top w:val="single" w:sz="4" w:space="1" w:color="auto"/>
        </w:pBdr>
      </w:pPr>
      <w:r>
        <w:rPr>
          <w:rStyle w:val="FootnoteReference"/>
        </w:rPr>
        <w:footnoteRef/>
      </w:r>
      <w:r>
        <w:t xml:space="preserve"> </w:t>
      </w:r>
      <w:r w:rsidRPr="001234C7">
        <w:t>https://www.invegatrinzahcp.com/</w:t>
      </w:r>
    </w:p>
  </w:footnote>
  <w:footnote w:id="12">
    <w:p w14:paraId="6BF78081" w14:textId="77777777" w:rsidR="00BD01F9" w:rsidRPr="003C0396" w:rsidRDefault="00BD01F9" w:rsidP="00EF622E">
      <w:pPr>
        <w:pStyle w:val="FootnoteText"/>
        <w:pBdr>
          <w:top w:val="single" w:sz="4" w:space="6" w:color="auto"/>
        </w:pBdr>
        <w:rPr>
          <w:lang w:val="en-US"/>
        </w:rPr>
      </w:pPr>
      <w:r>
        <w:rPr>
          <w:rStyle w:val="FootnoteReference"/>
        </w:rPr>
        <w:footnoteRef/>
      </w:r>
      <w:r>
        <w:t xml:space="preserve"> </w:t>
      </w:r>
      <w:r>
        <w:rPr>
          <w:lang w:val="en-US"/>
        </w:rPr>
        <w:t>It is noted that on page 12 of the US patient information brochure that patients are advised to contact their healthcare provider immediately if they lose consciousness. The intent of this statement is understood, but consideration should be given as to how it is worded.</w:t>
      </w:r>
    </w:p>
  </w:footnote>
  <w:footnote w:id="13">
    <w:p w14:paraId="1109C2F0" w14:textId="77777777" w:rsidR="00BD01F9" w:rsidRPr="002D7330" w:rsidRDefault="00BD01F9" w:rsidP="00EF622E">
      <w:pPr>
        <w:pStyle w:val="FootnoteText"/>
        <w:rPr>
          <w:lang w:val="en-US"/>
        </w:rPr>
      </w:pPr>
      <w:r>
        <w:rPr>
          <w:rStyle w:val="FootnoteReference"/>
        </w:rPr>
        <w:footnoteRef/>
      </w:r>
      <w:r>
        <w:t xml:space="preserve"> </w:t>
      </w:r>
      <w:proofErr w:type="gramStart"/>
      <w:r>
        <w:rPr>
          <w:lang w:val="en-US"/>
        </w:rPr>
        <w:t>Stedman’s Medical Dictionary, 28</w:t>
      </w:r>
      <w:r w:rsidRPr="002D7330">
        <w:rPr>
          <w:vertAlign w:val="superscript"/>
          <w:lang w:val="en-US"/>
        </w:rPr>
        <w:t>th</w:t>
      </w:r>
      <w:r>
        <w:rPr>
          <w:lang w:val="en-US"/>
        </w:rPr>
        <w:t xml:space="preserve"> Edition.</w:t>
      </w:r>
      <w:proofErr w:type="gramEnd"/>
      <w:r>
        <w:rPr>
          <w:lang w:val="en-US"/>
        </w:rPr>
        <w:t xml:space="preserve"> Maryland: </w:t>
      </w:r>
      <w:r>
        <w:rPr>
          <w:color w:val="000000"/>
          <w:lang w:val="en"/>
        </w:rPr>
        <w:t>Lippincott Williams &amp; Wilkins. 2006</w:t>
      </w:r>
    </w:p>
  </w:footnote>
  <w:footnote w:id="14">
    <w:p w14:paraId="3E881E38" w14:textId="77777777" w:rsidR="00BD01F9" w:rsidRPr="002403B4" w:rsidRDefault="00BD01F9">
      <w:pPr>
        <w:pStyle w:val="FootnoteText"/>
        <w:rPr>
          <w:lang w:val="en-US"/>
        </w:rPr>
      </w:pPr>
      <w:r>
        <w:rPr>
          <w:rStyle w:val="FootnoteReference"/>
        </w:rPr>
        <w:footnoteRef/>
      </w:r>
      <w:r>
        <w:t xml:space="preserve"> </w:t>
      </w:r>
      <w:r>
        <w:rPr>
          <w:rFonts w:ascii="TimesNewRomanPSMT" w:eastAsiaTheme="minorHAnsi" w:hAnsi="TimesNewRomanPSMT" w:cs="TimesNewRomanPSMT"/>
          <w:szCs w:val="18"/>
        </w:rPr>
        <w:t xml:space="preserve">Berman BD. Neuroleptic malignant syndrome: a review for </w:t>
      </w:r>
      <w:proofErr w:type="spellStart"/>
      <w:r>
        <w:rPr>
          <w:rFonts w:ascii="TimesNewRomanPSMT" w:eastAsiaTheme="minorHAnsi" w:hAnsi="TimesNewRomanPSMT" w:cs="TimesNewRomanPSMT"/>
          <w:szCs w:val="18"/>
        </w:rPr>
        <w:t>neurohospitalists</w:t>
      </w:r>
      <w:proofErr w:type="spellEnd"/>
      <w:r>
        <w:rPr>
          <w:rFonts w:ascii="TimesNewRomanPSMT" w:eastAsiaTheme="minorHAnsi" w:hAnsi="TimesNewRomanPSMT" w:cs="TimesNewRomanPSMT"/>
          <w:szCs w:val="18"/>
        </w:rPr>
        <w:t xml:space="preserve">. </w:t>
      </w:r>
      <w:proofErr w:type="spellStart"/>
      <w:proofErr w:type="gramStart"/>
      <w:r w:rsidRPr="002403B4">
        <w:rPr>
          <w:rFonts w:ascii="TimesNewRomanPSMT" w:eastAsiaTheme="minorHAnsi" w:hAnsi="TimesNewRomanPSMT" w:cs="TimesNewRomanPSMT"/>
          <w:i/>
          <w:szCs w:val="18"/>
        </w:rPr>
        <w:t>Neurohospitalist</w:t>
      </w:r>
      <w:proofErr w:type="spellEnd"/>
      <w:r>
        <w:rPr>
          <w:rFonts w:ascii="TimesNewRomanPSMT" w:eastAsiaTheme="minorHAnsi" w:hAnsi="TimesNewRomanPSMT" w:cs="TimesNewRomanPSMT"/>
          <w:szCs w:val="18"/>
        </w:rPr>
        <w:t>.</w:t>
      </w:r>
      <w:proofErr w:type="gramEnd"/>
      <w:r>
        <w:rPr>
          <w:rFonts w:ascii="TimesNewRomanPSMT" w:eastAsiaTheme="minorHAnsi" w:hAnsi="TimesNewRomanPSMT" w:cs="TimesNewRomanPSMT"/>
          <w:szCs w:val="18"/>
        </w:rPr>
        <w:t xml:space="preserve"> 2011; 1: 41-47</w:t>
      </w:r>
    </w:p>
  </w:footnote>
  <w:footnote w:id="15">
    <w:p w14:paraId="06FC2A8E" w14:textId="77777777" w:rsidR="00BD01F9" w:rsidRPr="002403B4" w:rsidRDefault="00BD01F9" w:rsidP="002403B4">
      <w:pPr>
        <w:autoSpaceDE w:val="0"/>
        <w:autoSpaceDN w:val="0"/>
        <w:adjustRightInd w:val="0"/>
        <w:spacing w:before="0" w:after="0" w:line="240" w:lineRule="auto"/>
        <w:rPr>
          <w:rStyle w:val="FootnoteTextChar"/>
        </w:rPr>
      </w:pPr>
      <w:r>
        <w:rPr>
          <w:rStyle w:val="FootnoteReference"/>
        </w:rPr>
        <w:footnoteRef/>
      </w:r>
      <w:r>
        <w:t xml:space="preserve"> </w:t>
      </w:r>
      <w:proofErr w:type="gramStart"/>
      <w:r w:rsidRPr="002403B4">
        <w:rPr>
          <w:rStyle w:val="FootnoteTextChar"/>
        </w:rPr>
        <w:t>Glazer WM, Kane JM.</w:t>
      </w:r>
      <w:proofErr w:type="gramEnd"/>
      <w:r w:rsidRPr="002403B4">
        <w:rPr>
          <w:rStyle w:val="FootnoteTextChar"/>
        </w:rPr>
        <w:t xml:space="preserve"> Depot neuroleptic therapy: an underutilized treatment option</w:t>
      </w:r>
      <w:r w:rsidRPr="002403B4">
        <w:rPr>
          <w:rStyle w:val="FootnoteTextChar"/>
          <w:i/>
        </w:rPr>
        <w:t xml:space="preserve">. </w:t>
      </w:r>
      <w:proofErr w:type="gramStart"/>
      <w:r w:rsidRPr="002403B4">
        <w:rPr>
          <w:rStyle w:val="FootnoteTextChar"/>
          <w:i/>
        </w:rPr>
        <w:t xml:space="preserve">J </w:t>
      </w:r>
      <w:proofErr w:type="spellStart"/>
      <w:r w:rsidRPr="002403B4">
        <w:rPr>
          <w:rStyle w:val="FootnoteTextChar"/>
          <w:i/>
        </w:rPr>
        <w:t>Clin</w:t>
      </w:r>
      <w:proofErr w:type="spellEnd"/>
      <w:r w:rsidRPr="002403B4">
        <w:rPr>
          <w:rStyle w:val="FootnoteTextChar"/>
          <w:i/>
        </w:rPr>
        <w:t xml:space="preserve"> Psychiatry</w:t>
      </w:r>
      <w:r w:rsidRPr="002403B4">
        <w:rPr>
          <w:rStyle w:val="FootnoteTextChar"/>
        </w:rPr>
        <w:t>.</w:t>
      </w:r>
      <w:proofErr w:type="gramEnd"/>
      <w:r w:rsidRPr="002403B4">
        <w:rPr>
          <w:rStyle w:val="FootnoteTextChar"/>
        </w:rPr>
        <w:t xml:space="preserve"> 1992;</w:t>
      </w:r>
      <w:r>
        <w:rPr>
          <w:rStyle w:val="FootnoteTextChar"/>
        </w:rPr>
        <w:t xml:space="preserve"> </w:t>
      </w:r>
      <w:proofErr w:type="gramStart"/>
      <w:r w:rsidRPr="002403B4">
        <w:rPr>
          <w:rStyle w:val="FootnoteTextChar"/>
        </w:rPr>
        <w:t>53 :</w:t>
      </w:r>
      <w:proofErr w:type="gramEnd"/>
      <w:r w:rsidRPr="002403B4">
        <w:rPr>
          <w:rStyle w:val="FootnoteTextChar"/>
        </w:rPr>
        <w:t>426-</w:t>
      </w:r>
      <w:r>
        <w:rPr>
          <w:rStyle w:val="FootnoteTextChar"/>
        </w:rPr>
        <w:t xml:space="preserve"> </w:t>
      </w:r>
      <w:r w:rsidRPr="002403B4">
        <w:rPr>
          <w:rStyle w:val="FootnoteTextChar"/>
        </w:rPr>
        <w:t>433.</w:t>
      </w:r>
    </w:p>
  </w:footnote>
  <w:footnote w:id="16">
    <w:p w14:paraId="12F945C2" w14:textId="77777777" w:rsidR="00BD01F9" w:rsidRPr="002403B4" w:rsidRDefault="00BD01F9" w:rsidP="002403B4">
      <w:pPr>
        <w:autoSpaceDE w:val="0"/>
        <w:autoSpaceDN w:val="0"/>
        <w:adjustRightInd w:val="0"/>
        <w:spacing w:before="0" w:after="0" w:line="240" w:lineRule="auto"/>
        <w:rPr>
          <w:rStyle w:val="FootnoteTextChar"/>
        </w:rPr>
      </w:pPr>
      <w:r>
        <w:rPr>
          <w:rStyle w:val="FootnoteReference"/>
        </w:rPr>
        <w:footnoteRef/>
      </w:r>
      <w:r>
        <w:t xml:space="preserve"> </w:t>
      </w:r>
      <w:proofErr w:type="spellStart"/>
      <w:proofErr w:type="gramStart"/>
      <w:r w:rsidRPr="002403B4">
        <w:rPr>
          <w:rStyle w:val="FootnoteTextChar"/>
        </w:rPr>
        <w:t>Khasawneh</w:t>
      </w:r>
      <w:proofErr w:type="spellEnd"/>
      <w:r w:rsidRPr="002403B4">
        <w:rPr>
          <w:rStyle w:val="FootnoteTextChar"/>
        </w:rPr>
        <w:t xml:space="preserve"> FT, Shankar GS.</w:t>
      </w:r>
      <w:proofErr w:type="gramEnd"/>
      <w:r w:rsidRPr="002403B4">
        <w:rPr>
          <w:rStyle w:val="FootnoteTextChar"/>
        </w:rPr>
        <w:t xml:space="preserve"> </w:t>
      </w:r>
      <w:proofErr w:type="gramStart"/>
      <w:r w:rsidRPr="002403B4">
        <w:rPr>
          <w:rStyle w:val="FootnoteTextChar"/>
        </w:rPr>
        <w:t>Minimizing cardiovascular adverse effects of atypical antipsychotic drugs in patients with schizophrenia.</w:t>
      </w:r>
      <w:proofErr w:type="gramEnd"/>
      <w:r w:rsidRPr="002403B4">
        <w:rPr>
          <w:rStyle w:val="FootnoteTextChar"/>
        </w:rPr>
        <w:t xml:space="preserve"> </w:t>
      </w:r>
      <w:proofErr w:type="spellStart"/>
      <w:proofErr w:type="gramStart"/>
      <w:r w:rsidRPr="002403B4">
        <w:rPr>
          <w:rStyle w:val="FootnoteTextChar"/>
          <w:i/>
        </w:rPr>
        <w:t>Cardiol</w:t>
      </w:r>
      <w:proofErr w:type="spellEnd"/>
      <w:r w:rsidRPr="002403B4">
        <w:rPr>
          <w:rStyle w:val="FootnoteTextChar"/>
          <w:i/>
        </w:rPr>
        <w:t xml:space="preserve"> Res </w:t>
      </w:r>
      <w:proofErr w:type="spellStart"/>
      <w:r w:rsidRPr="002403B4">
        <w:rPr>
          <w:rStyle w:val="FootnoteTextChar"/>
          <w:i/>
        </w:rPr>
        <w:t>Pract</w:t>
      </w:r>
      <w:proofErr w:type="spellEnd"/>
      <w:r w:rsidRPr="002403B4">
        <w:rPr>
          <w:rStyle w:val="FootnoteTextChar"/>
        </w:rPr>
        <w:t>.</w:t>
      </w:r>
      <w:proofErr w:type="gramEnd"/>
      <w:r w:rsidRPr="002403B4">
        <w:rPr>
          <w:rStyle w:val="FootnoteTextChar"/>
        </w:rPr>
        <w:t xml:space="preserve"> 2014;</w:t>
      </w:r>
      <w:r>
        <w:rPr>
          <w:rStyle w:val="FootnoteTextChar"/>
        </w:rPr>
        <w:t xml:space="preserve"> </w:t>
      </w:r>
      <w:r w:rsidRPr="002403B4">
        <w:rPr>
          <w:rStyle w:val="FootnoteTextChar"/>
        </w:rPr>
        <w:t>2014:</w:t>
      </w:r>
      <w:r>
        <w:rPr>
          <w:rStyle w:val="FootnoteTextChar"/>
        </w:rPr>
        <w:t xml:space="preserve"> </w:t>
      </w:r>
      <w:r w:rsidRPr="002403B4">
        <w:rPr>
          <w:rStyle w:val="FootnoteTextChar"/>
        </w:rPr>
        <w:t>273060.</w:t>
      </w:r>
    </w:p>
  </w:footnote>
  <w:footnote w:id="17">
    <w:p w14:paraId="7FF5D17B" w14:textId="77777777" w:rsidR="00BD01F9" w:rsidRPr="002403B4" w:rsidRDefault="00BD01F9" w:rsidP="002403B4">
      <w:pPr>
        <w:autoSpaceDE w:val="0"/>
        <w:autoSpaceDN w:val="0"/>
        <w:adjustRightInd w:val="0"/>
        <w:spacing w:before="0" w:after="0" w:line="240" w:lineRule="auto"/>
        <w:rPr>
          <w:rStyle w:val="FootnoteTextChar"/>
        </w:rPr>
      </w:pPr>
      <w:r>
        <w:rPr>
          <w:rStyle w:val="FootnoteReference"/>
        </w:rPr>
        <w:footnoteRef/>
      </w:r>
      <w:r>
        <w:t xml:space="preserve"> </w:t>
      </w:r>
      <w:r w:rsidRPr="002403B4">
        <w:rPr>
          <w:rStyle w:val="FootnoteTextChar"/>
        </w:rPr>
        <w:t xml:space="preserve">Li EC, </w:t>
      </w:r>
      <w:r>
        <w:rPr>
          <w:rStyle w:val="FootnoteTextChar"/>
        </w:rPr>
        <w:t>et al</w:t>
      </w:r>
      <w:r w:rsidRPr="002403B4">
        <w:rPr>
          <w:rStyle w:val="FootnoteTextChar"/>
        </w:rPr>
        <w:t xml:space="preserve">. Drug-induced QT-interval prolongation: considerations for clinicians. </w:t>
      </w:r>
      <w:proofErr w:type="gramStart"/>
      <w:r w:rsidRPr="002403B4">
        <w:rPr>
          <w:rStyle w:val="FootnoteTextChar"/>
          <w:i/>
        </w:rPr>
        <w:t>Pharmacotherapy</w:t>
      </w:r>
      <w:r>
        <w:rPr>
          <w:rStyle w:val="FootnoteTextChar"/>
        </w:rPr>
        <w:t>.</w:t>
      </w:r>
      <w:proofErr w:type="gramEnd"/>
      <w:r>
        <w:rPr>
          <w:rStyle w:val="FootnoteTextChar"/>
        </w:rPr>
        <w:t xml:space="preserve"> </w:t>
      </w:r>
      <w:proofErr w:type="gramStart"/>
      <w:r>
        <w:rPr>
          <w:rStyle w:val="FootnoteTextChar"/>
        </w:rPr>
        <w:t>2010; 30</w:t>
      </w:r>
      <w:r w:rsidRPr="002403B4">
        <w:rPr>
          <w:rStyle w:val="FootnoteTextChar"/>
        </w:rPr>
        <w:t>:</w:t>
      </w:r>
      <w:r>
        <w:rPr>
          <w:rStyle w:val="FootnoteTextChar"/>
        </w:rPr>
        <w:t xml:space="preserve"> </w:t>
      </w:r>
      <w:r w:rsidRPr="002403B4">
        <w:rPr>
          <w:rStyle w:val="FootnoteTextChar"/>
        </w:rPr>
        <w:t>684-701.</w:t>
      </w:r>
      <w:proofErr w:type="gramEnd"/>
    </w:p>
  </w:footnote>
  <w:footnote w:id="18">
    <w:p w14:paraId="147249C2" w14:textId="77777777" w:rsidR="00BD01F9" w:rsidRPr="002403B4" w:rsidRDefault="00BD01F9" w:rsidP="002403B4">
      <w:pPr>
        <w:autoSpaceDE w:val="0"/>
        <w:autoSpaceDN w:val="0"/>
        <w:adjustRightInd w:val="0"/>
        <w:spacing w:before="0" w:after="0" w:line="240" w:lineRule="auto"/>
        <w:rPr>
          <w:rStyle w:val="FootnoteTextChar"/>
        </w:rPr>
      </w:pPr>
      <w:r>
        <w:rPr>
          <w:rStyle w:val="FootnoteReference"/>
        </w:rPr>
        <w:footnoteRef/>
      </w:r>
      <w:r>
        <w:t xml:space="preserve"> </w:t>
      </w:r>
      <w:proofErr w:type="spellStart"/>
      <w:r w:rsidRPr="002403B4">
        <w:rPr>
          <w:rStyle w:val="FootnoteTextChar"/>
        </w:rPr>
        <w:t>Correll</w:t>
      </w:r>
      <w:proofErr w:type="spellEnd"/>
      <w:r w:rsidRPr="002403B4">
        <w:rPr>
          <w:rStyle w:val="FootnoteTextChar"/>
        </w:rPr>
        <w:t xml:space="preserve"> CU, </w:t>
      </w:r>
      <w:proofErr w:type="spellStart"/>
      <w:r w:rsidRPr="002403B4">
        <w:rPr>
          <w:rStyle w:val="FootnoteTextChar"/>
        </w:rPr>
        <w:t>Leucht</w:t>
      </w:r>
      <w:proofErr w:type="spellEnd"/>
      <w:r w:rsidRPr="002403B4">
        <w:rPr>
          <w:rStyle w:val="FootnoteTextChar"/>
        </w:rPr>
        <w:t xml:space="preserve"> S, Kane JM. Lower risk for tardive dyskinesia associated with second-generation antipsychotics: A systematic review of 1-year studi</w:t>
      </w:r>
      <w:r>
        <w:rPr>
          <w:rStyle w:val="FootnoteTextChar"/>
        </w:rPr>
        <w:t xml:space="preserve">es. </w:t>
      </w:r>
      <w:proofErr w:type="gramStart"/>
      <w:r w:rsidRPr="002403B4">
        <w:rPr>
          <w:rStyle w:val="FootnoteTextChar"/>
          <w:i/>
        </w:rPr>
        <w:t>Am J Psychiatry</w:t>
      </w:r>
      <w:r>
        <w:rPr>
          <w:rStyle w:val="FootnoteTextChar"/>
        </w:rPr>
        <w:t>.</w:t>
      </w:r>
      <w:proofErr w:type="gramEnd"/>
      <w:r>
        <w:rPr>
          <w:rStyle w:val="FootnoteTextChar"/>
        </w:rPr>
        <w:t xml:space="preserve"> </w:t>
      </w:r>
      <w:proofErr w:type="gramStart"/>
      <w:r>
        <w:rPr>
          <w:rStyle w:val="FootnoteTextChar"/>
        </w:rPr>
        <w:t>2004; 161</w:t>
      </w:r>
      <w:r w:rsidRPr="002403B4">
        <w:rPr>
          <w:rStyle w:val="FootnoteTextChar"/>
        </w:rPr>
        <w:t>:</w:t>
      </w:r>
      <w:r>
        <w:rPr>
          <w:rStyle w:val="FootnoteTextChar"/>
        </w:rPr>
        <w:t xml:space="preserve"> </w:t>
      </w:r>
      <w:r w:rsidRPr="002403B4">
        <w:rPr>
          <w:rStyle w:val="FootnoteTextChar"/>
        </w:rPr>
        <w:t>414-425.</w:t>
      </w:r>
      <w:proofErr w:type="gramEnd"/>
    </w:p>
  </w:footnote>
  <w:footnote w:id="19">
    <w:p w14:paraId="7F844481" w14:textId="77777777" w:rsidR="00BD01F9" w:rsidRPr="002403B4" w:rsidRDefault="00BD01F9" w:rsidP="002403B4">
      <w:pPr>
        <w:pStyle w:val="FootnoteText"/>
        <w:rPr>
          <w:lang w:val="en-US"/>
        </w:rPr>
      </w:pPr>
      <w:r>
        <w:rPr>
          <w:rStyle w:val="FootnoteReference"/>
        </w:rPr>
        <w:footnoteRef/>
      </w:r>
      <w:r>
        <w:t xml:space="preserve"> </w:t>
      </w:r>
      <w:proofErr w:type="spellStart"/>
      <w:r>
        <w:t>Gharabawi</w:t>
      </w:r>
      <w:proofErr w:type="spellEnd"/>
      <w:r>
        <w:t xml:space="preserve"> GM, et al. An assessment of emergent tardive dyskinesia and existing dyskinesia in patients receiving long-acting, injectable risperidone: Results from a long-term study. </w:t>
      </w:r>
      <w:proofErr w:type="spellStart"/>
      <w:proofErr w:type="gramStart"/>
      <w:r w:rsidRPr="002403B4">
        <w:rPr>
          <w:i/>
        </w:rPr>
        <w:t>Schizophr</w:t>
      </w:r>
      <w:proofErr w:type="spellEnd"/>
      <w:r w:rsidRPr="002403B4">
        <w:rPr>
          <w:i/>
        </w:rPr>
        <w:t xml:space="preserve"> Res</w:t>
      </w:r>
      <w:r>
        <w:t>. 2005; 77: 129-139.</w:t>
      </w:r>
      <w:proofErr w:type="gramEnd"/>
    </w:p>
  </w:footnote>
  <w:footnote w:id="20">
    <w:p w14:paraId="10450F70" w14:textId="77777777" w:rsidR="00BD01F9" w:rsidRPr="002403B4" w:rsidRDefault="00BD01F9" w:rsidP="002403B4">
      <w:pPr>
        <w:autoSpaceDE w:val="0"/>
        <w:autoSpaceDN w:val="0"/>
        <w:adjustRightInd w:val="0"/>
        <w:spacing w:before="0" w:after="0" w:line="240" w:lineRule="auto"/>
        <w:rPr>
          <w:rStyle w:val="FootnoteTextChar"/>
        </w:rPr>
      </w:pPr>
      <w:r>
        <w:rPr>
          <w:rStyle w:val="FootnoteReference"/>
        </w:rPr>
        <w:footnoteRef/>
      </w:r>
      <w:r>
        <w:t xml:space="preserve"> </w:t>
      </w:r>
      <w:r w:rsidRPr="002403B4">
        <w:rPr>
          <w:rStyle w:val="FootnoteTextChar"/>
        </w:rPr>
        <w:t xml:space="preserve">Gopal S, </w:t>
      </w:r>
      <w:r>
        <w:rPr>
          <w:rStyle w:val="FootnoteTextChar"/>
        </w:rPr>
        <w:t>et al</w:t>
      </w:r>
      <w:r w:rsidRPr="002403B4">
        <w:rPr>
          <w:rStyle w:val="FootnoteTextChar"/>
        </w:rPr>
        <w:t xml:space="preserve">. Number needed to treat and number needed to harm with </w:t>
      </w:r>
      <w:proofErr w:type="spellStart"/>
      <w:r w:rsidRPr="002403B4">
        <w:rPr>
          <w:rStyle w:val="FootnoteTextChar"/>
        </w:rPr>
        <w:t>paliperidone</w:t>
      </w:r>
      <w:proofErr w:type="spellEnd"/>
      <w:r w:rsidRPr="002403B4">
        <w:rPr>
          <w:rStyle w:val="FootnoteTextChar"/>
        </w:rPr>
        <w:t xml:space="preserve"> palmitate relative to long-acting haloperidol, </w:t>
      </w:r>
      <w:proofErr w:type="spellStart"/>
      <w:r w:rsidRPr="002403B4">
        <w:rPr>
          <w:rStyle w:val="FootnoteTextChar"/>
        </w:rPr>
        <w:t>bromperidol</w:t>
      </w:r>
      <w:proofErr w:type="spellEnd"/>
      <w:r w:rsidRPr="002403B4">
        <w:rPr>
          <w:rStyle w:val="FootnoteTextChar"/>
        </w:rPr>
        <w:t xml:space="preserve">, and </w:t>
      </w:r>
      <w:proofErr w:type="spellStart"/>
      <w:r w:rsidRPr="002403B4">
        <w:rPr>
          <w:rStyle w:val="FootnoteTextChar"/>
        </w:rPr>
        <w:t>fluphenazine</w:t>
      </w:r>
      <w:proofErr w:type="spellEnd"/>
      <w:r w:rsidRPr="002403B4">
        <w:rPr>
          <w:rStyle w:val="FootnoteTextChar"/>
        </w:rPr>
        <w:t xml:space="preserve"> </w:t>
      </w:r>
      <w:proofErr w:type="spellStart"/>
      <w:r w:rsidRPr="002403B4">
        <w:rPr>
          <w:rStyle w:val="FootnoteTextChar"/>
        </w:rPr>
        <w:t>decanoate</w:t>
      </w:r>
      <w:proofErr w:type="spellEnd"/>
      <w:r w:rsidRPr="002403B4">
        <w:rPr>
          <w:rStyle w:val="FootnoteTextChar"/>
        </w:rPr>
        <w:t xml:space="preserve"> for treatment of patients with schizophrenia</w:t>
      </w:r>
      <w:r w:rsidRPr="002403B4">
        <w:rPr>
          <w:rStyle w:val="FootnoteTextChar"/>
          <w:i/>
        </w:rPr>
        <w:t xml:space="preserve">. </w:t>
      </w:r>
      <w:proofErr w:type="spellStart"/>
      <w:r w:rsidRPr="002403B4">
        <w:rPr>
          <w:rStyle w:val="FootnoteTextChar"/>
          <w:i/>
        </w:rPr>
        <w:t>Neuropsychiatr</w:t>
      </w:r>
      <w:proofErr w:type="spellEnd"/>
      <w:r w:rsidRPr="002403B4">
        <w:rPr>
          <w:rStyle w:val="FootnoteTextChar"/>
          <w:i/>
        </w:rPr>
        <w:t xml:space="preserve"> Dis Treat</w:t>
      </w:r>
      <w:r w:rsidRPr="002403B4">
        <w:rPr>
          <w:rStyle w:val="FootnoteTextChar"/>
        </w:rPr>
        <w:t xml:space="preserve">. </w:t>
      </w:r>
      <w:proofErr w:type="gramStart"/>
      <w:r w:rsidRPr="002403B4">
        <w:rPr>
          <w:rStyle w:val="FootnoteTextChar"/>
        </w:rPr>
        <w:t>2011;</w:t>
      </w:r>
      <w:r>
        <w:rPr>
          <w:rStyle w:val="FootnoteTextChar"/>
        </w:rPr>
        <w:t xml:space="preserve"> </w:t>
      </w:r>
      <w:r w:rsidRPr="002403B4">
        <w:rPr>
          <w:rStyle w:val="FootnoteTextChar"/>
        </w:rPr>
        <w:t>7:93-101.</w:t>
      </w:r>
      <w:proofErr w:type="gramEnd"/>
    </w:p>
  </w:footnote>
  <w:footnote w:id="21">
    <w:p w14:paraId="446DF7DB" w14:textId="77777777" w:rsidR="00BD01F9" w:rsidRPr="001C63DA" w:rsidRDefault="00BD01F9" w:rsidP="001C63DA">
      <w:pPr>
        <w:autoSpaceDE w:val="0"/>
        <w:autoSpaceDN w:val="0"/>
        <w:adjustRightInd w:val="0"/>
        <w:spacing w:before="0" w:after="0" w:line="240" w:lineRule="auto"/>
        <w:rPr>
          <w:rStyle w:val="FootnoteTextChar"/>
        </w:rPr>
      </w:pPr>
      <w:r>
        <w:rPr>
          <w:rStyle w:val="FootnoteReference"/>
        </w:rPr>
        <w:footnoteRef/>
      </w:r>
      <w:r>
        <w:t xml:space="preserve"> </w:t>
      </w:r>
      <w:r w:rsidRPr="001C63DA">
        <w:rPr>
          <w:rStyle w:val="FootnoteTextChar"/>
        </w:rPr>
        <w:t xml:space="preserve">Gopal S, Xu H, </w:t>
      </w:r>
      <w:proofErr w:type="spellStart"/>
      <w:r w:rsidRPr="001C63DA">
        <w:rPr>
          <w:rStyle w:val="FootnoteTextChar"/>
        </w:rPr>
        <w:t>Bossie</w:t>
      </w:r>
      <w:proofErr w:type="spellEnd"/>
      <w:r w:rsidRPr="001C63DA">
        <w:rPr>
          <w:rStyle w:val="FootnoteTextChar"/>
        </w:rPr>
        <w:t xml:space="preserve"> C, </w:t>
      </w:r>
      <w:proofErr w:type="spellStart"/>
      <w:r w:rsidRPr="001C63DA">
        <w:rPr>
          <w:rStyle w:val="FootnoteTextChar"/>
        </w:rPr>
        <w:t>Burón</w:t>
      </w:r>
      <w:proofErr w:type="spellEnd"/>
      <w:r w:rsidRPr="001C63DA">
        <w:rPr>
          <w:rStyle w:val="FootnoteTextChar"/>
        </w:rPr>
        <w:t xml:space="preserve"> JA, Fu DJ, </w:t>
      </w:r>
      <w:proofErr w:type="spellStart"/>
      <w:r w:rsidRPr="001C63DA">
        <w:rPr>
          <w:rStyle w:val="FootnoteTextChar"/>
        </w:rPr>
        <w:t>Savitz</w:t>
      </w:r>
      <w:proofErr w:type="spellEnd"/>
      <w:r w:rsidRPr="001C63DA">
        <w:rPr>
          <w:rStyle w:val="FootnoteTextChar"/>
        </w:rPr>
        <w:t xml:space="preserve"> A, </w:t>
      </w:r>
      <w:proofErr w:type="spellStart"/>
      <w:r w:rsidRPr="001C63DA">
        <w:rPr>
          <w:rStyle w:val="FootnoteTextChar"/>
        </w:rPr>
        <w:t>Nuamah</w:t>
      </w:r>
      <w:proofErr w:type="spellEnd"/>
      <w:r w:rsidRPr="001C63DA">
        <w:rPr>
          <w:rStyle w:val="FootnoteTextChar"/>
        </w:rPr>
        <w:t xml:space="preserve"> I, Hough D. Incidence of tardive dyskinesia: a comparison of long-acting injectable and oral </w:t>
      </w:r>
      <w:proofErr w:type="spellStart"/>
      <w:r w:rsidRPr="001C63DA">
        <w:rPr>
          <w:rStyle w:val="FootnoteTextChar"/>
        </w:rPr>
        <w:t>paliperidone</w:t>
      </w:r>
      <w:proofErr w:type="spellEnd"/>
      <w:r w:rsidRPr="001C63DA">
        <w:rPr>
          <w:rStyle w:val="FootnoteTextChar"/>
        </w:rPr>
        <w:t xml:space="preserve"> clinical trial databases. </w:t>
      </w:r>
      <w:proofErr w:type="spellStart"/>
      <w:r w:rsidRPr="001C63DA">
        <w:rPr>
          <w:rStyle w:val="FootnoteTextChar"/>
          <w:i/>
        </w:rPr>
        <w:t>Int</w:t>
      </w:r>
      <w:proofErr w:type="spellEnd"/>
      <w:r w:rsidRPr="001C63DA">
        <w:rPr>
          <w:rStyle w:val="FootnoteTextChar"/>
          <w:i/>
        </w:rPr>
        <w:t xml:space="preserve"> J </w:t>
      </w:r>
      <w:proofErr w:type="spellStart"/>
      <w:r w:rsidRPr="001C63DA">
        <w:rPr>
          <w:rStyle w:val="FootnoteTextChar"/>
          <w:i/>
        </w:rPr>
        <w:t>Clin</w:t>
      </w:r>
      <w:proofErr w:type="spellEnd"/>
      <w:r w:rsidRPr="001C63DA">
        <w:rPr>
          <w:rStyle w:val="FootnoteTextChar"/>
          <w:i/>
        </w:rPr>
        <w:t xml:space="preserve"> </w:t>
      </w:r>
      <w:proofErr w:type="spellStart"/>
      <w:r w:rsidRPr="001C63DA">
        <w:rPr>
          <w:rStyle w:val="FootnoteTextChar"/>
          <w:i/>
        </w:rPr>
        <w:t>Pract</w:t>
      </w:r>
      <w:proofErr w:type="spellEnd"/>
      <w:r w:rsidRPr="001C63DA">
        <w:rPr>
          <w:rStyle w:val="FootnoteTextChar"/>
        </w:rPr>
        <w:t xml:space="preserve">. </w:t>
      </w:r>
      <w:proofErr w:type="gramStart"/>
      <w:r w:rsidRPr="001C63DA">
        <w:rPr>
          <w:rStyle w:val="FootnoteTextChar"/>
        </w:rPr>
        <w:t>2</w:t>
      </w:r>
      <w:r>
        <w:rPr>
          <w:rStyle w:val="FootnoteTextChar"/>
        </w:rPr>
        <w:t>014; 68</w:t>
      </w:r>
      <w:r w:rsidRPr="001C63DA">
        <w:rPr>
          <w:rStyle w:val="FootnoteTextChar"/>
        </w:rPr>
        <w:t>:</w:t>
      </w:r>
      <w:r>
        <w:rPr>
          <w:rStyle w:val="FootnoteTextChar"/>
        </w:rPr>
        <w:t xml:space="preserve"> </w:t>
      </w:r>
      <w:r w:rsidRPr="001C63DA">
        <w:rPr>
          <w:rStyle w:val="FootnoteTextChar"/>
        </w:rPr>
        <w:t>1514-1522.</w:t>
      </w:r>
      <w:proofErr w:type="gramEnd"/>
    </w:p>
  </w:footnote>
  <w:footnote w:id="22">
    <w:p w14:paraId="49CA60ED" w14:textId="77777777" w:rsidR="00BD01F9" w:rsidRPr="001C63DA" w:rsidRDefault="00BD01F9" w:rsidP="001C63DA">
      <w:pPr>
        <w:autoSpaceDE w:val="0"/>
        <w:autoSpaceDN w:val="0"/>
        <w:adjustRightInd w:val="0"/>
        <w:spacing w:before="0" w:after="0" w:line="240" w:lineRule="auto"/>
        <w:rPr>
          <w:rStyle w:val="FootnoteTextChar"/>
        </w:rPr>
      </w:pPr>
      <w:r>
        <w:rPr>
          <w:rStyle w:val="FootnoteReference"/>
        </w:rPr>
        <w:footnoteRef/>
      </w:r>
      <w:r>
        <w:t xml:space="preserve"> </w:t>
      </w:r>
      <w:proofErr w:type="spellStart"/>
      <w:proofErr w:type="gramStart"/>
      <w:r w:rsidRPr="001C63DA">
        <w:rPr>
          <w:rStyle w:val="FootnoteTextChar"/>
        </w:rPr>
        <w:t>Caroff</w:t>
      </w:r>
      <w:proofErr w:type="spellEnd"/>
      <w:r w:rsidRPr="001C63DA">
        <w:rPr>
          <w:rStyle w:val="FootnoteTextChar"/>
        </w:rPr>
        <w:t xml:space="preserve"> SN, </w:t>
      </w:r>
      <w:proofErr w:type="spellStart"/>
      <w:r w:rsidRPr="001C63DA">
        <w:rPr>
          <w:rStyle w:val="FootnoteTextChar"/>
        </w:rPr>
        <w:t>Hurford</w:t>
      </w:r>
      <w:proofErr w:type="spellEnd"/>
      <w:r w:rsidRPr="001C63DA">
        <w:rPr>
          <w:rStyle w:val="FootnoteTextChar"/>
        </w:rPr>
        <w:t xml:space="preserve"> I, Lybrand J, Campbell EC.</w:t>
      </w:r>
      <w:proofErr w:type="gramEnd"/>
      <w:r w:rsidRPr="001C63DA">
        <w:rPr>
          <w:rStyle w:val="FootnoteTextChar"/>
        </w:rPr>
        <w:t xml:space="preserve"> Movement disorders induced by antipsychotic drugs: implications of the CATIE schizophreni</w:t>
      </w:r>
      <w:r>
        <w:rPr>
          <w:rStyle w:val="FootnoteTextChar"/>
        </w:rPr>
        <w:t xml:space="preserve">a trial. </w:t>
      </w:r>
      <w:proofErr w:type="spellStart"/>
      <w:r w:rsidRPr="001C63DA">
        <w:rPr>
          <w:rStyle w:val="FootnoteTextChar"/>
          <w:i/>
        </w:rPr>
        <w:t>Neurol</w:t>
      </w:r>
      <w:proofErr w:type="spellEnd"/>
      <w:r w:rsidRPr="001C63DA">
        <w:rPr>
          <w:rStyle w:val="FootnoteTextChar"/>
          <w:i/>
        </w:rPr>
        <w:t xml:space="preserve"> </w:t>
      </w:r>
      <w:proofErr w:type="spellStart"/>
      <w:r w:rsidRPr="001C63DA">
        <w:rPr>
          <w:rStyle w:val="FootnoteTextChar"/>
          <w:i/>
        </w:rPr>
        <w:t>Clin</w:t>
      </w:r>
      <w:proofErr w:type="spellEnd"/>
      <w:r w:rsidRPr="001C63DA">
        <w:rPr>
          <w:rStyle w:val="FootnoteTextChar"/>
          <w:i/>
        </w:rPr>
        <w:t>.</w:t>
      </w:r>
      <w:r>
        <w:rPr>
          <w:rStyle w:val="FootnoteTextChar"/>
        </w:rPr>
        <w:t xml:space="preserve"> 2011; 29</w:t>
      </w:r>
      <w:r w:rsidRPr="001C63DA">
        <w:rPr>
          <w:rStyle w:val="FootnoteTextChar"/>
        </w:rPr>
        <w:t>:</w:t>
      </w:r>
      <w:r>
        <w:rPr>
          <w:rStyle w:val="FootnoteTextChar"/>
        </w:rPr>
        <w:t xml:space="preserve"> </w:t>
      </w:r>
      <w:r w:rsidRPr="001C63DA">
        <w:rPr>
          <w:rStyle w:val="FootnoteTextChar"/>
        </w:rPr>
        <w:t>127-148</w:t>
      </w:r>
    </w:p>
  </w:footnote>
  <w:footnote w:id="23">
    <w:p w14:paraId="73F5522A" w14:textId="77777777" w:rsidR="00BD01F9" w:rsidRPr="0054619C" w:rsidRDefault="00BD01F9">
      <w:pPr>
        <w:pStyle w:val="FootnoteText"/>
        <w:rPr>
          <w:lang w:val="en-US"/>
        </w:rPr>
      </w:pPr>
      <w:r>
        <w:rPr>
          <w:rStyle w:val="FootnoteReference"/>
        </w:rPr>
        <w:footnoteRef/>
      </w:r>
      <w:r>
        <w:t xml:space="preserve"> </w:t>
      </w:r>
      <w:r>
        <w:rPr>
          <w:lang w:val="en-US"/>
        </w:rPr>
        <w:t xml:space="preserve">AIMS </w:t>
      </w:r>
      <w:r>
        <w:t>records the occurrence of tardive dyskinesia (TD</w:t>
      </w:r>
      <w:proofErr w:type="gramStart"/>
      <w:r>
        <w:t>)in</w:t>
      </w:r>
      <w:proofErr w:type="gramEnd"/>
      <w:r>
        <w:t xml:space="preserve"> patients. It is a 12 item anchored scale that is clinician administered and scored. It assesses orofacial movements, extremity and truncal dyskinesia and global severity as assessed by the examiner and the </w:t>
      </w:r>
      <w:proofErr w:type="gramStart"/>
      <w:r>
        <w:t>patients</w:t>
      </w:r>
      <w:proofErr w:type="gramEnd"/>
      <w:r>
        <w:t xml:space="preserve"> awareness and distress associated with them.</w:t>
      </w:r>
    </w:p>
  </w:footnote>
  <w:footnote w:id="24">
    <w:p w14:paraId="255E0EF1" w14:textId="77777777" w:rsidR="00BD01F9" w:rsidRPr="001C63DA" w:rsidRDefault="00BD01F9" w:rsidP="001C63DA">
      <w:pPr>
        <w:pStyle w:val="FootnoteText"/>
      </w:pPr>
      <w:r>
        <w:rPr>
          <w:rStyle w:val="FootnoteReference"/>
        </w:rPr>
        <w:footnoteRef/>
      </w:r>
      <w:r>
        <w:t xml:space="preserve"> Kim JN, et al. </w:t>
      </w:r>
      <w:proofErr w:type="spellStart"/>
      <w:r>
        <w:t>Paliperidone</w:t>
      </w:r>
      <w:proofErr w:type="spellEnd"/>
      <w:r>
        <w:t>-induced leukopenia and neutropenia: a case report</w:t>
      </w:r>
      <w:r w:rsidRPr="001C63DA">
        <w:rPr>
          <w:i/>
        </w:rPr>
        <w:t xml:space="preserve">. </w:t>
      </w:r>
      <w:proofErr w:type="spellStart"/>
      <w:r w:rsidRPr="001C63DA">
        <w:rPr>
          <w:i/>
        </w:rPr>
        <w:t>Prog</w:t>
      </w:r>
      <w:proofErr w:type="spellEnd"/>
      <w:r w:rsidRPr="001C63DA">
        <w:rPr>
          <w:i/>
        </w:rPr>
        <w:t xml:space="preserve"> </w:t>
      </w:r>
      <w:proofErr w:type="spellStart"/>
      <w:r w:rsidRPr="001C63DA">
        <w:rPr>
          <w:i/>
        </w:rPr>
        <w:t>Neuropsychopharmacol</w:t>
      </w:r>
      <w:proofErr w:type="spellEnd"/>
      <w:r w:rsidRPr="001C63DA">
        <w:rPr>
          <w:i/>
        </w:rPr>
        <w:t xml:space="preserve"> </w:t>
      </w:r>
      <w:proofErr w:type="spellStart"/>
      <w:r w:rsidRPr="001C63DA">
        <w:rPr>
          <w:i/>
        </w:rPr>
        <w:t>Biol</w:t>
      </w:r>
      <w:proofErr w:type="spellEnd"/>
      <w:r w:rsidRPr="001C63DA">
        <w:rPr>
          <w:i/>
        </w:rPr>
        <w:t xml:space="preserve"> Psychiatry</w:t>
      </w:r>
      <w:r>
        <w:t>.2011; 35: 284-285.</w:t>
      </w:r>
    </w:p>
  </w:footnote>
  <w:footnote w:id="25">
    <w:p w14:paraId="24700CCB" w14:textId="77777777" w:rsidR="00BD01F9" w:rsidRPr="001C63DA" w:rsidRDefault="00BD01F9" w:rsidP="001C63DA">
      <w:pPr>
        <w:pStyle w:val="FootnoteText"/>
      </w:pPr>
      <w:r>
        <w:rPr>
          <w:rStyle w:val="FootnoteReference"/>
        </w:rPr>
        <w:footnoteRef/>
      </w:r>
      <w:r>
        <w:t xml:space="preserve"> </w:t>
      </w:r>
      <w:proofErr w:type="spellStart"/>
      <w:r>
        <w:t>Coşar</w:t>
      </w:r>
      <w:proofErr w:type="spellEnd"/>
      <w:r>
        <w:t xml:space="preserve"> Bet al. Does switching to another antipsychotic in patients with </w:t>
      </w:r>
      <w:proofErr w:type="spellStart"/>
      <w:r>
        <w:t>clozapineassociated</w:t>
      </w:r>
      <w:proofErr w:type="spellEnd"/>
      <w:r>
        <w:t xml:space="preserve"> </w:t>
      </w:r>
      <w:proofErr w:type="spellStart"/>
      <w:r>
        <w:t>granulocytopenia</w:t>
      </w:r>
      <w:proofErr w:type="spellEnd"/>
      <w:r>
        <w:t xml:space="preserve"> solve the problem? </w:t>
      </w:r>
      <w:proofErr w:type="gramStart"/>
      <w:r>
        <w:t>Case series of 18 patients</w:t>
      </w:r>
      <w:r w:rsidRPr="001C63DA">
        <w:rPr>
          <w:i/>
        </w:rPr>
        <w:t>.</w:t>
      </w:r>
      <w:proofErr w:type="gramEnd"/>
      <w:r w:rsidRPr="001C63DA">
        <w:rPr>
          <w:i/>
        </w:rPr>
        <w:t xml:space="preserve"> J </w:t>
      </w:r>
      <w:proofErr w:type="spellStart"/>
      <w:r w:rsidRPr="001C63DA">
        <w:rPr>
          <w:i/>
        </w:rPr>
        <w:t>Clin</w:t>
      </w:r>
      <w:proofErr w:type="spellEnd"/>
      <w:r w:rsidRPr="001C63DA">
        <w:rPr>
          <w:i/>
        </w:rPr>
        <w:t xml:space="preserve"> </w:t>
      </w:r>
      <w:proofErr w:type="spellStart"/>
      <w:r w:rsidRPr="001C63DA">
        <w:rPr>
          <w:i/>
        </w:rPr>
        <w:t>Psychopharmacol</w:t>
      </w:r>
      <w:proofErr w:type="spellEnd"/>
      <w:r>
        <w:t xml:space="preserve"> 2011; 31: 169-173.</w:t>
      </w:r>
    </w:p>
  </w:footnote>
  <w:footnote w:id="26">
    <w:p w14:paraId="79A78808" w14:textId="77777777" w:rsidR="00BD01F9" w:rsidRPr="001C63DA" w:rsidRDefault="00BD01F9" w:rsidP="001C63DA">
      <w:pPr>
        <w:autoSpaceDE w:val="0"/>
        <w:autoSpaceDN w:val="0"/>
        <w:adjustRightInd w:val="0"/>
        <w:spacing w:before="0" w:after="0" w:line="240" w:lineRule="auto"/>
        <w:rPr>
          <w:rStyle w:val="FootnoteTextChar"/>
        </w:rPr>
      </w:pPr>
      <w:r>
        <w:rPr>
          <w:rStyle w:val="FootnoteReference"/>
        </w:rPr>
        <w:footnoteRef/>
      </w:r>
      <w:r>
        <w:t xml:space="preserve"> </w:t>
      </w:r>
      <w:r w:rsidRPr="001C63DA">
        <w:rPr>
          <w:rStyle w:val="FootnoteTextChar"/>
        </w:rPr>
        <w:t xml:space="preserve">Mahmood T, </w:t>
      </w:r>
      <w:r>
        <w:rPr>
          <w:rStyle w:val="FootnoteTextChar"/>
        </w:rPr>
        <w:t>et al</w:t>
      </w:r>
      <w:r w:rsidRPr="001C63DA">
        <w:rPr>
          <w:rStyle w:val="FootnoteTextChar"/>
        </w:rPr>
        <w:t xml:space="preserve">. Risperidone appears safe in patients with antipsychotic-induced blood </w:t>
      </w:r>
      <w:proofErr w:type="spellStart"/>
      <w:r w:rsidRPr="001C63DA">
        <w:rPr>
          <w:rStyle w:val="FootnoteTextChar"/>
        </w:rPr>
        <w:t>dyscrasias</w:t>
      </w:r>
      <w:proofErr w:type="spellEnd"/>
      <w:r w:rsidRPr="001C63DA">
        <w:rPr>
          <w:rStyle w:val="FootnoteTextChar"/>
        </w:rPr>
        <w:t xml:space="preserve">. </w:t>
      </w:r>
      <w:proofErr w:type="spellStart"/>
      <w:r w:rsidRPr="001C63DA">
        <w:rPr>
          <w:rStyle w:val="FootnoteTextChar"/>
          <w:i/>
        </w:rPr>
        <w:t>Int</w:t>
      </w:r>
      <w:proofErr w:type="spellEnd"/>
      <w:r w:rsidRPr="001C63DA">
        <w:rPr>
          <w:rStyle w:val="FootnoteTextChar"/>
          <w:i/>
        </w:rPr>
        <w:t xml:space="preserve"> </w:t>
      </w:r>
      <w:proofErr w:type="spellStart"/>
      <w:r w:rsidRPr="001C63DA">
        <w:rPr>
          <w:rStyle w:val="FootnoteTextChar"/>
          <w:i/>
        </w:rPr>
        <w:t>Clin</w:t>
      </w:r>
      <w:proofErr w:type="spellEnd"/>
      <w:r w:rsidRPr="001C63DA">
        <w:rPr>
          <w:rStyle w:val="FootnoteTextChar"/>
          <w:i/>
        </w:rPr>
        <w:t xml:space="preserve"> </w:t>
      </w:r>
      <w:proofErr w:type="spellStart"/>
      <w:r w:rsidRPr="001C63DA">
        <w:rPr>
          <w:rStyle w:val="FootnoteTextChar"/>
          <w:i/>
        </w:rPr>
        <w:t>Psychopharmacol</w:t>
      </w:r>
      <w:proofErr w:type="spellEnd"/>
      <w:r w:rsidRPr="001C63DA">
        <w:rPr>
          <w:rStyle w:val="FootnoteTextChar"/>
        </w:rPr>
        <w:t xml:space="preserve">. </w:t>
      </w:r>
      <w:proofErr w:type="gramStart"/>
      <w:r w:rsidRPr="001C63DA">
        <w:rPr>
          <w:rStyle w:val="FootnoteTextChar"/>
        </w:rPr>
        <w:t>1996;</w:t>
      </w:r>
      <w:r>
        <w:rPr>
          <w:rStyle w:val="FootnoteTextChar"/>
        </w:rPr>
        <w:t xml:space="preserve"> </w:t>
      </w:r>
      <w:r w:rsidRPr="001C63DA">
        <w:rPr>
          <w:rStyle w:val="FootnoteTextChar"/>
        </w:rPr>
        <w:t>11:</w:t>
      </w:r>
      <w:r>
        <w:rPr>
          <w:rStyle w:val="FootnoteTextChar"/>
        </w:rPr>
        <w:t xml:space="preserve"> </w:t>
      </w:r>
      <w:r w:rsidRPr="001C63DA">
        <w:rPr>
          <w:rStyle w:val="FootnoteTextChar"/>
        </w:rPr>
        <w:t>53-54.</w:t>
      </w:r>
      <w:proofErr w:type="gramEnd"/>
    </w:p>
  </w:footnote>
  <w:footnote w:id="27">
    <w:p w14:paraId="2B1A9544" w14:textId="77777777" w:rsidR="00BD01F9" w:rsidRPr="001C63DA" w:rsidRDefault="00BD01F9" w:rsidP="001C63DA">
      <w:pPr>
        <w:pStyle w:val="FootnoteText"/>
      </w:pPr>
      <w:r>
        <w:rPr>
          <w:rStyle w:val="FootnoteReference"/>
        </w:rPr>
        <w:footnoteRef/>
      </w:r>
      <w:r>
        <w:t xml:space="preserve"> </w:t>
      </w:r>
      <w:proofErr w:type="spellStart"/>
      <w:r>
        <w:t>Hazewinkel</w:t>
      </w:r>
      <w:proofErr w:type="spellEnd"/>
      <w:r>
        <w:t xml:space="preserve"> AW, et al. Add-on </w:t>
      </w:r>
      <w:proofErr w:type="spellStart"/>
      <w:r>
        <w:t>filgrastim</w:t>
      </w:r>
      <w:proofErr w:type="spellEnd"/>
      <w:r>
        <w:t xml:space="preserve"> during clozapine rechallenge unsuccessful in preventing agranulocytosis. </w:t>
      </w:r>
      <w:r w:rsidRPr="001C63DA">
        <w:rPr>
          <w:i/>
        </w:rPr>
        <w:t xml:space="preserve">Gen </w:t>
      </w:r>
      <w:proofErr w:type="spellStart"/>
      <w:r w:rsidRPr="001C63DA">
        <w:rPr>
          <w:i/>
        </w:rPr>
        <w:t>Hosp</w:t>
      </w:r>
      <w:proofErr w:type="spellEnd"/>
      <w:r w:rsidRPr="001C63DA">
        <w:rPr>
          <w:i/>
        </w:rPr>
        <w:t xml:space="preserve"> Psychiatry</w:t>
      </w:r>
      <w:r>
        <w:t xml:space="preserve">. 2013; </w:t>
      </w:r>
      <w:proofErr w:type="gramStart"/>
      <w:r>
        <w:t>35 :</w:t>
      </w:r>
      <w:proofErr w:type="gramEnd"/>
      <w:r>
        <w:t>576.e11-2.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EDC8B" w14:textId="77777777" w:rsidR="00BD01F9" w:rsidRDefault="00BD01F9"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C5E88" w14:textId="77777777" w:rsidR="00BD01F9" w:rsidRDefault="00BD01F9">
    <w:pPr>
      <w:rPr>
        <w:noProof/>
        <w:lang w:eastAsia="en-AU"/>
      </w:rPr>
    </w:pPr>
    <w:r w:rsidRPr="00347824">
      <w:rPr>
        <w:noProof/>
        <w:lang w:eastAsia="en-AU"/>
      </w:rPr>
      <w:drawing>
        <wp:anchor distT="0" distB="0" distL="114300" distR="114300" simplePos="0" relativeHeight="251659264" behindDoc="1" locked="0" layoutInCell="1" allowOverlap="1" wp14:anchorId="45746709" wp14:editId="1DA19B30">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2DE37088" w14:textId="77777777" w:rsidR="00BD01F9" w:rsidRDefault="00BD01F9" w:rsidP="00593AD1">
    <w:pPr>
      <w:pStyle w:val="HeaderNoLine"/>
    </w:pPr>
    <w:r>
      <w:rPr>
        <w:noProof/>
        <w:lang w:eastAsia="en-AU"/>
      </w:rPr>
      <w:drawing>
        <wp:inline distT="0" distB="0" distL="0" distR="0" wp14:anchorId="5BCB4EE3" wp14:editId="219E3B20">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7ABE7" w14:textId="77777777" w:rsidR="00BD01F9" w:rsidRDefault="00BD01F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EFB9D" w14:textId="77777777" w:rsidR="00BD01F9" w:rsidRDefault="00BD01F9">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519CF" w14:textId="77777777" w:rsidR="00BD01F9" w:rsidRDefault="00BD01F9">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ACC17" w14:textId="77777777" w:rsidR="00BD01F9" w:rsidRDefault="00BD01F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9B247" w14:textId="77777777" w:rsidR="00BD01F9" w:rsidRDefault="00BD01F9"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E6045" w14:textId="77777777" w:rsidR="00BD01F9" w:rsidRDefault="00BD01F9" w:rsidP="006E08B3">
    <w:r>
      <w:t>Therapeutic Goods Administration</w:t>
    </w:r>
  </w:p>
  <w:p w14:paraId="75D01BC4" w14:textId="77777777" w:rsidR="00BD01F9" w:rsidRDefault="00BD01F9"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C2AAB0"/>
    <w:lvl w:ilvl="0">
      <w:start w:val="1"/>
      <w:numFmt w:val="bullet"/>
      <w:pStyle w:val="Style1"/>
      <w:lvlText w:val=""/>
      <w:lvlJc w:val="left"/>
      <w:pPr>
        <w:tabs>
          <w:tab w:val="num" w:pos="360"/>
        </w:tabs>
        <w:ind w:left="360" w:hanging="360"/>
      </w:pPr>
      <w:rPr>
        <w:rFonts w:ascii="Symbol" w:hAnsi="Symbol" w:hint="default"/>
      </w:rPr>
    </w:lvl>
  </w:abstractNum>
  <w:abstractNum w:abstractNumId="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32C37A2"/>
    <w:multiLevelType w:val="hybridMultilevel"/>
    <w:tmpl w:val="E6C6C528"/>
    <w:lvl w:ilvl="0" w:tplc="0C090001">
      <w:start w:val="1"/>
      <w:numFmt w:val="bullet"/>
      <w:lvlText w:val=""/>
      <w:lvlJc w:val="left"/>
      <w:pPr>
        <w:ind w:left="1434" w:hanging="360"/>
      </w:pPr>
      <w:rPr>
        <w:rFonts w:ascii="Symbol" w:hAnsi="Symbol" w:hint="default"/>
      </w:rPr>
    </w:lvl>
    <w:lvl w:ilvl="1" w:tplc="0C090003">
      <w:start w:val="1"/>
      <w:numFmt w:val="bullet"/>
      <w:lvlText w:val="o"/>
      <w:lvlJc w:val="left"/>
      <w:pPr>
        <w:ind w:left="2062"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3DA402BA"/>
    <w:multiLevelType w:val="hybridMultilevel"/>
    <w:tmpl w:val="78CCB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44DF53D1"/>
    <w:multiLevelType w:val="hybridMultilevel"/>
    <w:tmpl w:val="71AAF3E6"/>
    <w:lvl w:ilvl="0" w:tplc="0C090001">
      <w:start w:val="1"/>
      <w:numFmt w:val="bullet"/>
      <w:lvlText w:val=""/>
      <w:lvlJc w:val="left"/>
      <w:pPr>
        <w:ind w:left="1492" w:hanging="360"/>
      </w:pPr>
      <w:rPr>
        <w:rFonts w:ascii="Symbol" w:hAnsi="Symbol" w:hint="default"/>
      </w:rPr>
    </w:lvl>
    <w:lvl w:ilvl="1" w:tplc="0C090003" w:tentative="1">
      <w:start w:val="1"/>
      <w:numFmt w:val="bullet"/>
      <w:lvlText w:val="o"/>
      <w:lvlJc w:val="left"/>
      <w:pPr>
        <w:ind w:left="2212" w:hanging="360"/>
      </w:pPr>
      <w:rPr>
        <w:rFonts w:ascii="Courier New" w:hAnsi="Courier New" w:cs="Courier New" w:hint="default"/>
      </w:rPr>
    </w:lvl>
    <w:lvl w:ilvl="2" w:tplc="0C090005" w:tentative="1">
      <w:start w:val="1"/>
      <w:numFmt w:val="bullet"/>
      <w:lvlText w:val=""/>
      <w:lvlJc w:val="left"/>
      <w:pPr>
        <w:ind w:left="2932" w:hanging="360"/>
      </w:pPr>
      <w:rPr>
        <w:rFonts w:ascii="Wingdings" w:hAnsi="Wingdings" w:hint="default"/>
      </w:rPr>
    </w:lvl>
    <w:lvl w:ilvl="3" w:tplc="0C090001" w:tentative="1">
      <w:start w:val="1"/>
      <w:numFmt w:val="bullet"/>
      <w:lvlText w:val=""/>
      <w:lvlJc w:val="left"/>
      <w:pPr>
        <w:ind w:left="3652" w:hanging="360"/>
      </w:pPr>
      <w:rPr>
        <w:rFonts w:ascii="Symbol" w:hAnsi="Symbol" w:hint="default"/>
      </w:rPr>
    </w:lvl>
    <w:lvl w:ilvl="4" w:tplc="0C090003" w:tentative="1">
      <w:start w:val="1"/>
      <w:numFmt w:val="bullet"/>
      <w:lvlText w:val="o"/>
      <w:lvlJc w:val="left"/>
      <w:pPr>
        <w:ind w:left="4372" w:hanging="360"/>
      </w:pPr>
      <w:rPr>
        <w:rFonts w:ascii="Courier New" w:hAnsi="Courier New" w:cs="Courier New" w:hint="default"/>
      </w:rPr>
    </w:lvl>
    <w:lvl w:ilvl="5" w:tplc="0C090005" w:tentative="1">
      <w:start w:val="1"/>
      <w:numFmt w:val="bullet"/>
      <w:lvlText w:val=""/>
      <w:lvlJc w:val="left"/>
      <w:pPr>
        <w:ind w:left="5092" w:hanging="360"/>
      </w:pPr>
      <w:rPr>
        <w:rFonts w:ascii="Wingdings" w:hAnsi="Wingdings" w:hint="default"/>
      </w:rPr>
    </w:lvl>
    <w:lvl w:ilvl="6" w:tplc="0C090001" w:tentative="1">
      <w:start w:val="1"/>
      <w:numFmt w:val="bullet"/>
      <w:lvlText w:val=""/>
      <w:lvlJc w:val="left"/>
      <w:pPr>
        <w:ind w:left="5812" w:hanging="360"/>
      </w:pPr>
      <w:rPr>
        <w:rFonts w:ascii="Symbol" w:hAnsi="Symbol" w:hint="default"/>
      </w:rPr>
    </w:lvl>
    <w:lvl w:ilvl="7" w:tplc="0C090003" w:tentative="1">
      <w:start w:val="1"/>
      <w:numFmt w:val="bullet"/>
      <w:lvlText w:val="o"/>
      <w:lvlJc w:val="left"/>
      <w:pPr>
        <w:ind w:left="6532" w:hanging="360"/>
      </w:pPr>
      <w:rPr>
        <w:rFonts w:ascii="Courier New" w:hAnsi="Courier New" w:cs="Courier New" w:hint="default"/>
      </w:rPr>
    </w:lvl>
    <w:lvl w:ilvl="8" w:tplc="0C090005" w:tentative="1">
      <w:start w:val="1"/>
      <w:numFmt w:val="bullet"/>
      <w:lvlText w:val=""/>
      <w:lvlJc w:val="left"/>
      <w:pPr>
        <w:ind w:left="7252" w:hanging="360"/>
      </w:pPr>
      <w:rPr>
        <w:rFonts w:ascii="Wingdings" w:hAnsi="Wingdings" w:hint="default"/>
      </w:rPr>
    </w:lvl>
  </w:abstractNum>
  <w:num w:numId="1">
    <w:abstractNumId w:val="3"/>
  </w:num>
  <w:num w:numId="2">
    <w:abstractNumId w:val="1"/>
  </w:num>
  <w:num w:numId="3">
    <w:abstractNumId w:val="3"/>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5"/>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0"/>
  </w:num>
  <w:num w:numId="12">
    <w:abstractNumId w:val="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13">
    <w:abstractNumId w:val="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14">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5">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6">
    <w:abstractNumId w:val="0"/>
  </w:num>
  <w:num w:numId="1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Zuccolotto, Peter [JACAU]">
    <w15:presenceInfo w15:providerId="AD" w15:userId="S-1-5-21-3394736580-1411037809-1917133209-1024421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2BDB"/>
    <w:rsid w:val="00002031"/>
    <w:rsid w:val="00004734"/>
    <w:rsid w:val="00006B22"/>
    <w:rsid w:val="00011796"/>
    <w:rsid w:val="0001276A"/>
    <w:rsid w:val="000246AE"/>
    <w:rsid w:val="00025C67"/>
    <w:rsid w:val="00030909"/>
    <w:rsid w:val="0004160E"/>
    <w:rsid w:val="00044772"/>
    <w:rsid w:val="0005559E"/>
    <w:rsid w:val="000604D6"/>
    <w:rsid w:val="000734D8"/>
    <w:rsid w:val="00077775"/>
    <w:rsid w:val="00090471"/>
    <w:rsid w:val="000926CF"/>
    <w:rsid w:val="000950DB"/>
    <w:rsid w:val="00096AA7"/>
    <w:rsid w:val="000A3AED"/>
    <w:rsid w:val="000B3532"/>
    <w:rsid w:val="000B3A75"/>
    <w:rsid w:val="000C00C2"/>
    <w:rsid w:val="000C5BA7"/>
    <w:rsid w:val="000C690F"/>
    <w:rsid w:val="000D1295"/>
    <w:rsid w:val="000D1E2B"/>
    <w:rsid w:val="000D391B"/>
    <w:rsid w:val="000D3D6D"/>
    <w:rsid w:val="000D4FC7"/>
    <w:rsid w:val="000E6196"/>
    <w:rsid w:val="000F4869"/>
    <w:rsid w:val="000F5B42"/>
    <w:rsid w:val="000F6E6F"/>
    <w:rsid w:val="0010601F"/>
    <w:rsid w:val="0010788A"/>
    <w:rsid w:val="00107A31"/>
    <w:rsid w:val="00110EA5"/>
    <w:rsid w:val="00112F56"/>
    <w:rsid w:val="00113AC6"/>
    <w:rsid w:val="00125318"/>
    <w:rsid w:val="001305A2"/>
    <w:rsid w:val="00133238"/>
    <w:rsid w:val="00133A1B"/>
    <w:rsid w:val="00136376"/>
    <w:rsid w:val="0014197B"/>
    <w:rsid w:val="001447CD"/>
    <w:rsid w:val="001516B1"/>
    <w:rsid w:val="001547D2"/>
    <w:rsid w:val="00154950"/>
    <w:rsid w:val="00154EBB"/>
    <w:rsid w:val="00156316"/>
    <w:rsid w:val="00161181"/>
    <w:rsid w:val="00162070"/>
    <w:rsid w:val="00162D14"/>
    <w:rsid w:val="00165389"/>
    <w:rsid w:val="0017075E"/>
    <w:rsid w:val="0017693F"/>
    <w:rsid w:val="0018110E"/>
    <w:rsid w:val="00181684"/>
    <w:rsid w:val="001843C6"/>
    <w:rsid w:val="001850E0"/>
    <w:rsid w:val="00186E45"/>
    <w:rsid w:val="001A2158"/>
    <w:rsid w:val="001A525F"/>
    <w:rsid w:val="001A6EA0"/>
    <w:rsid w:val="001B09F9"/>
    <w:rsid w:val="001B5C90"/>
    <w:rsid w:val="001B6448"/>
    <w:rsid w:val="001C32CD"/>
    <w:rsid w:val="001C63DA"/>
    <w:rsid w:val="001D2984"/>
    <w:rsid w:val="001E07CF"/>
    <w:rsid w:val="001E59F1"/>
    <w:rsid w:val="001F2CEE"/>
    <w:rsid w:val="001F49EB"/>
    <w:rsid w:val="001F6CBA"/>
    <w:rsid w:val="00201D4E"/>
    <w:rsid w:val="002076C9"/>
    <w:rsid w:val="00213B19"/>
    <w:rsid w:val="00220B8A"/>
    <w:rsid w:val="002257F3"/>
    <w:rsid w:val="0022588F"/>
    <w:rsid w:val="00233456"/>
    <w:rsid w:val="002339A5"/>
    <w:rsid w:val="002403B4"/>
    <w:rsid w:val="00257848"/>
    <w:rsid w:val="0027084A"/>
    <w:rsid w:val="00286434"/>
    <w:rsid w:val="00286C59"/>
    <w:rsid w:val="00291957"/>
    <w:rsid w:val="002942D1"/>
    <w:rsid w:val="0029501A"/>
    <w:rsid w:val="002A3721"/>
    <w:rsid w:val="002A38E7"/>
    <w:rsid w:val="002A43D6"/>
    <w:rsid w:val="002B1638"/>
    <w:rsid w:val="002B3624"/>
    <w:rsid w:val="002D0952"/>
    <w:rsid w:val="002E07E5"/>
    <w:rsid w:val="002E40B3"/>
    <w:rsid w:val="002E4C9A"/>
    <w:rsid w:val="002F11F8"/>
    <w:rsid w:val="002F3F56"/>
    <w:rsid w:val="002F44B5"/>
    <w:rsid w:val="00300331"/>
    <w:rsid w:val="00311AC0"/>
    <w:rsid w:val="003176FC"/>
    <w:rsid w:val="00322BDB"/>
    <w:rsid w:val="0032583B"/>
    <w:rsid w:val="00327883"/>
    <w:rsid w:val="00335504"/>
    <w:rsid w:val="003370F7"/>
    <w:rsid w:val="00340C18"/>
    <w:rsid w:val="003442FD"/>
    <w:rsid w:val="00347824"/>
    <w:rsid w:val="00350567"/>
    <w:rsid w:val="00351A66"/>
    <w:rsid w:val="003521E8"/>
    <w:rsid w:val="00370CE3"/>
    <w:rsid w:val="00370D5E"/>
    <w:rsid w:val="003728F3"/>
    <w:rsid w:val="0037496E"/>
    <w:rsid w:val="00383221"/>
    <w:rsid w:val="00386150"/>
    <w:rsid w:val="003874CE"/>
    <w:rsid w:val="00390900"/>
    <w:rsid w:val="003A7F6C"/>
    <w:rsid w:val="003B4D60"/>
    <w:rsid w:val="003B7E39"/>
    <w:rsid w:val="003C58DC"/>
    <w:rsid w:val="003D1E62"/>
    <w:rsid w:val="003D24CD"/>
    <w:rsid w:val="003E0B99"/>
    <w:rsid w:val="003E2486"/>
    <w:rsid w:val="003E3208"/>
    <w:rsid w:val="003F0B04"/>
    <w:rsid w:val="0040134E"/>
    <w:rsid w:val="004045E7"/>
    <w:rsid w:val="004334C7"/>
    <w:rsid w:val="00440213"/>
    <w:rsid w:val="00440A2D"/>
    <w:rsid w:val="00441C3F"/>
    <w:rsid w:val="004564A7"/>
    <w:rsid w:val="004617BF"/>
    <w:rsid w:val="00463658"/>
    <w:rsid w:val="004637A0"/>
    <w:rsid w:val="004722CC"/>
    <w:rsid w:val="00475B8E"/>
    <w:rsid w:val="004936E4"/>
    <w:rsid w:val="00494E60"/>
    <w:rsid w:val="00497487"/>
    <w:rsid w:val="004A6189"/>
    <w:rsid w:val="004A7390"/>
    <w:rsid w:val="004B7B76"/>
    <w:rsid w:val="004C239D"/>
    <w:rsid w:val="004C2DCA"/>
    <w:rsid w:val="004C61D2"/>
    <w:rsid w:val="004F0C4A"/>
    <w:rsid w:val="004F0F38"/>
    <w:rsid w:val="004F47D6"/>
    <w:rsid w:val="004F6EB2"/>
    <w:rsid w:val="00501921"/>
    <w:rsid w:val="00530354"/>
    <w:rsid w:val="00530724"/>
    <w:rsid w:val="0053625B"/>
    <w:rsid w:val="005434C6"/>
    <w:rsid w:val="00543B39"/>
    <w:rsid w:val="00546154"/>
    <w:rsid w:val="0054619C"/>
    <w:rsid w:val="00550096"/>
    <w:rsid w:val="00552464"/>
    <w:rsid w:val="00555280"/>
    <w:rsid w:val="00557FF9"/>
    <w:rsid w:val="00562327"/>
    <w:rsid w:val="005711D5"/>
    <w:rsid w:val="00576378"/>
    <w:rsid w:val="00577130"/>
    <w:rsid w:val="00577514"/>
    <w:rsid w:val="00577945"/>
    <w:rsid w:val="00577E38"/>
    <w:rsid w:val="00585322"/>
    <w:rsid w:val="005857C6"/>
    <w:rsid w:val="00592D56"/>
    <w:rsid w:val="00592F6E"/>
    <w:rsid w:val="00593AD1"/>
    <w:rsid w:val="00593F6E"/>
    <w:rsid w:val="005968B3"/>
    <w:rsid w:val="005A2A5B"/>
    <w:rsid w:val="005A68B6"/>
    <w:rsid w:val="005C5570"/>
    <w:rsid w:val="005C5945"/>
    <w:rsid w:val="005C5CFE"/>
    <w:rsid w:val="005C79A4"/>
    <w:rsid w:val="005D5442"/>
    <w:rsid w:val="0060183B"/>
    <w:rsid w:val="00603F32"/>
    <w:rsid w:val="00605AD4"/>
    <w:rsid w:val="006136D7"/>
    <w:rsid w:val="00625A6E"/>
    <w:rsid w:val="00632398"/>
    <w:rsid w:val="00640FC3"/>
    <w:rsid w:val="00642020"/>
    <w:rsid w:val="0065337B"/>
    <w:rsid w:val="0065419D"/>
    <w:rsid w:val="006604D8"/>
    <w:rsid w:val="00664A5B"/>
    <w:rsid w:val="0066735C"/>
    <w:rsid w:val="006763D2"/>
    <w:rsid w:val="00680C08"/>
    <w:rsid w:val="006849DD"/>
    <w:rsid w:val="006916A0"/>
    <w:rsid w:val="006931B1"/>
    <w:rsid w:val="006A15C0"/>
    <w:rsid w:val="006C3E2A"/>
    <w:rsid w:val="006C642F"/>
    <w:rsid w:val="006D03E5"/>
    <w:rsid w:val="006D3626"/>
    <w:rsid w:val="006D5D3E"/>
    <w:rsid w:val="006E08B3"/>
    <w:rsid w:val="006F17AC"/>
    <w:rsid w:val="006F25B8"/>
    <w:rsid w:val="006F572E"/>
    <w:rsid w:val="007046D6"/>
    <w:rsid w:val="00705DB0"/>
    <w:rsid w:val="00722B57"/>
    <w:rsid w:val="00730F8A"/>
    <w:rsid w:val="00735A8C"/>
    <w:rsid w:val="0074253D"/>
    <w:rsid w:val="0074429B"/>
    <w:rsid w:val="007615BC"/>
    <w:rsid w:val="00762F05"/>
    <w:rsid w:val="00764CD4"/>
    <w:rsid w:val="007652FF"/>
    <w:rsid w:val="0076790D"/>
    <w:rsid w:val="00770CAC"/>
    <w:rsid w:val="00770EF1"/>
    <w:rsid w:val="00773EF7"/>
    <w:rsid w:val="00774E1D"/>
    <w:rsid w:val="007765D8"/>
    <w:rsid w:val="0077675A"/>
    <w:rsid w:val="00780355"/>
    <w:rsid w:val="007819FD"/>
    <w:rsid w:val="00785717"/>
    <w:rsid w:val="00785721"/>
    <w:rsid w:val="00793A59"/>
    <w:rsid w:val="007B5AD3"/>
    <w:rsid w:val="007B6132"/>
    <w:rsid w:val="007B69FD"/>
    <w:rsid w:val="007B6E9F"/>
    <w:rsid w:val="007C1216"/>
    <w:rsid w:val="007C1AF7"/>
    <w:rsid w:val="007C6B9B"/>
    <w:rsid w:val="007F742D"/>
    <w:rsid w:val="0080352B"/>
    <w:rsid w:val="00805D27"/>
    <w:rsid w:val="00806DCB"/>
    <w:rsid w:val="0081298D"/>
    <w:rsid w:val="00821776"/>
    <w:rsid w:val="008321F5"/>
    <w:rsid w:val="00832369"/>
    <w:rsid w:val="00834660"/>
    <w:rsid w:val="00836BC2"/>
    <w:rsid w:val="00845F4A"/>
    <w:rsid w:val="0085156D"/>
    <w:rsid w:val="00853CB9"/>
    <w:rsid w:val="0085641B"/>
    <w:rsid w:val="00857136"/>
    <w:rsid w:val="00865B69"/>
    <w:rsid w:val="00875A6B"/>
    <w:rsid w:val="00883924"/>
    <w:rsid w:val="00885B11"/>
    <w:rsid w:val="00886D15"/>
    <w:rsid w:val="00887DD8"/>
    <w:rsid w:val="00891BA9"/>
    <w:rsid w:val="00892A6B"/>
    <w:rsid w:val="00896018"/>
    <w:rsid w:val="008960DD"/>
    <w:rsid w:val="0089635C"/>
    <w:rsid w:val="008A2B9D"/>
    <w:rsid w:val="008A3D9F"/>
    <w:rsid w:val="008A5E0B"/>
    <w:rsid w:val="008A6D59"/>
    <w:rsid w:val="008B20A0"/>
    <w:rsid w:val="008B4B03"/>
    <w:rsid w:val="008B596F"/>
    <w:rsid w:val="008B7D82"/>
    <w:rsid w:val="008C159F"/>
    <w:rsid w:val="008C1623"/>
    <w:rsid w:val="008C1850"/>
    <w:rsid w:val="008C3FE6"/>
    <w:rsid w:val="008C51A9"/>
    <w:rsid w:val="008D4FE3"/>
    <w:rsid w:val="008E7846"/>
    <w:rsid w:val="008F02E5"/>
    <w:rsid w:val="008F1CCC"/>
    <w:rsid w:val="008F2967"/>
    <w:rsid w:val="008F6943"/>
    <w:rsid w:val="00902A21"/>
    <w:rsid w:val="009058BC"/>
    <w:rsid w:val="00920330"/>
    <w:rsid w:val="009219D7"/>
    <w:rsid w:val="00922D53"/>
    <w:rsid w:val="00923B70"/>
    <w:rsid w:val="00924482"/>
    <w:rsid w:val="0092565A"/>
    <w:rsid w:val="00930237"/>
    <w:rsid w:val="00930FA0"/>
    <w:rsid w:val="00934C6F"/>
    <w:rsid w:val="009354C4"/>
    <w:rsid w:val="00937C17"/>
    <w:rsid w:val="00940A89"/>
    <w:rsid w:val="009445A0"/>
    <w:rsid w:val="00946EA5"/>
    <w:rsid w:val="00963C08"/>
    <w:rsid w:val="00965EA8"/>
    <w:rsid w:val="009752A5"/>
    <w:rsid w:val="009761DE"/>
    <w:rsid w:val="0098585A"/>
    <w:rsid w:val="009A4CED"/>
    <w:rsid w:val="009A690D"/>
    <w:rsid w:val="009B1D12"/>
    <w:rsid w:val="009B416B"/>
    <w:rsid w:val="009C0987"/>
    <w:rsid w:val="009C4BD5"/>
    <w:rsid w:val="009D7B77"/>
    <w:rsid w:val="009E0BB0"/>
    <w:rsid w:val="009E3FBB"/>
    <w:rsid w:val="009F5DBA"/>
    <w:rsid w:val="009F6DEF"/>
    <w:rsid w:val="009F7353"/>
    <w:rsid w:val="00A002B8"/>
    <w:rsid w:val="00A04896"/>
    <w:rsid w:val="00A04F85"/>
    <w:rsid w:val="00A05FA4"/>
    <w:rsid w:val="00A102E4"/>
    <w:rsid w:val="00A12C42"/>
    <w:rsid w:val="00A135B6"/>
    <w:rsid w:val="00A14DF7"/>
    <w:rsid w:val="00A21CA4"/>
    <w:rsid w:val="00A22F80"/>
    <w:rsid w:val="00A3246D"/>
    <w:rsid w:val="00A36FA7"/>
    <w:rsid w:val="00A44DDB"/>
    <w:rsid w:val="00A475B7"/>
    <w:rsid w:val="00A47AF7"/>
    <w:rsid w:val="00A47C3E"/>
    <w:rsid w:val="00A50226"/>
    <w:rsid w:val="00A55A93"/>
    <w:rsid w:val="00A60BAD"/>
    <w:rsid w:val="00A80B5B"/>
    <w:rsid w:val="00A84E36"/>
    <w:rsid w:val="00A90211"/>
    <w:rsid w:val="00A95777"/>
    <w:rsid w:val="00A964D1"/>
    <w:rsid w:val="00AA0ED0"/>
    <w:rsid w:val="00AA7FC9"/>
    <w:rsid w:val="00AC2B40"/>
    <w:rsid w:val="00AC2BB2"/>
    <w:rsid w:val="00AC2C3C"/>
    <w:rsid w:val="00AC512D"/>
    <w:rsid w:val="00AD0083"/>
    <w:rsid w:val="00AD3935"/>
    <w:rsid w:val="00AE65EB"/>
    <w:rsid w:val="00AE67A7"/>
    <w:rsid w:val="00AF1D94"/>
    <w:rsid w:val="00AF60C5"/>
    <w:rsid w:val="00B009C6"/>
    <w:rsid w:val="00B01548"/>
    <w:rsid w:val="00B13EBD"/>
    <w:rsid w:val="00B21D29"/>
    <w:rsid w:val="00B25034"/>
    <w:rsid w:val="00B33588"/>
    <w:rsid w:val="00B33863"/>
    <w:rsid w:val="00B35FB9"/>
    <w:rsid w:val="00B362C1"/>
    <w:rsid w:val="00B37D17"/>
    <w:rsid w:val="00B4175E"/>
    <w:rsid w:val="00B452CE"/>
    <w:rsid w:val="00B54C25"/>
    <w:rsid w:val="00B56F23"/>
    <w:rsid w:val="00B7081D"/>
    <w:rsid w:val="00B76B91"/>
    <w:rsid w:val="00B77EB1"/>
    <w:rsid w:val="00B811C6"/>
    <w:rsid w:val="00B855B0"/>
    <w:rsid w:val="00B90A28"/>
    <w:rsid w:val="00B92E08"/>
    <w:rsid w:val="00BC622A"/>
    <w:rsid w:val="00BD01F9"/>
    <w:rsid w:val="00BE0A78"/>
    <w:rsid w:val="00BE79F0"/>
    <w:rsid w:val="00BF046D"/>
    <w:rsid w:val="00BF1190"/>
    <w:rsid w:val="00BF5D04"/>
    <w:rsid w:val="00C009AA"/>
    <w:rsid w:val="00C107E2"/>
    <w:rsid w:val="00C1164D"/>
    <w:rsid w:val="00C1604D"/>
    <w:rsid w:val="00C16861"/>
    <w:rsid w:val="00C248B7"/>
    <w:rsid w:val="00C346AB"/>
    <w:rsid w:val="00C404A6"/>
    <w:rsid w:val="00C40A36"/>
    <w:rsid w:val="00C44419"/>
    <w:rsid w:val="00C45E7B"/>
    <w:rsid w:val="00C471B1"/>
    <w:rsid w:val="00C6316B"/>
    <w:rsid w:val="00C634A9"/>
    <w:rsid w:val="00C64586"/>
    <w:rsid w:val="00C70D53"/>
    <w:rsid w:val="00C73D0B"/>
    <w:rsid w:val="00C772FF"/>
    <w:rsid w:val="00C80137"/>
    <w:rsid w:val="00C801AF"/>
    <w:rsid w:val="00C80256"/>
    <w:rsid w:val="00C94CD4"/>
    <w:rsid w:val="00C9747E"/>
    <w:rsid w:val="00CB6BC0"/>
    <w:rsid w:val="00CC1B7C"/>
    <w:rsid w:val="00CC727F"/>
    <w:rsid w:val="00CF15C3"/>
    <w:rsid w:val="00CF2B6F"/>
    <w:rsid w:val="00CF2F3E"/>
    <w:rsid w:val="00CF58B6"/>
    <w:rsid w:val="00D0062D"/>
    <w:rsid w:val="00D017ED"/>
    <w:rsid w:val="00D040D3"/>
    <w:rsid w:val="00D044AE"/>
    <w:rsid w:val="00D04C65"/>
    <w:rsid w:val="00D1543B"/>
    <w:rsid w:val="00D201D2"/>
    <w:rsid w:val="00D224F5"/>
    <w:rsid w:val="00D224FE"/>
    <w:rsid w:val="00D23139"/>
    <w:rsid w:val="00D3627B"/>
    <w:rsid w:val="00D37EE4"/>
    <w:rsid w:val="00D425BB"/>
    <w:rsid w:val="00D6493E"/>
    <w:rsid w:val="00D674C8"/>
    <w:rsid w:val="00D7195D"/>
    <w:rsid w:val="00D71C16"/>
    <w:rsid w:val="00D7301E"/>
    <w:rsid w:val="00D83AE1"/>
    <w:rsid w:val="00D855D4"/>
    <w:rsid w:val="00D902C9"/>
    <w:rsid w:val="00D93466"/>
    <w:rsid w:val="00DA1124"/>
    <w:rsid w:val="00DB6124"/>
    <w:rsid w:val="00DB750B"/>
    <w:rsid w:val="00DB75B7"/>
    <w:rsid w:val="00DC6E02"/>
    <w:rsid w:val="00DD28CD"/>
    <w:rsid w:val="00DE02AE"/>
    <w:rsid w:val="00DF1D7F"/>
    <w:rsid w:val="00DF4BE4"/>
    <w:rsid w:val="00E02FB4"/>
    <w:rsid w:val="00E13FC7"/>
    <w:rsid w:val="00E20571"/>
    <w:rsid w:val="00E235F7"/>
    <w:rsid w:val="00E23659"/>
    <w:rsid w:val="00E239D4"/>
    <w:rsid w:val="00E26130"/>
    <w:rsid w:val="00E40B22"/>
    <w:rsid w:val="00E44ED1"/>
    <w:rsid w:val="00E45619"/>
    <w:rsid w:val="00E4588F"/>
    <w:rsid w:val="00E46DA3"/>
    <w:rsid w:val="00E51BB1"/>
    <w:rsid w:val="00E624A5"/>
    <w:rsid w:val="00E64BA4"/>
    <w:rsid w:val="00E7344E"/>
    <w:rsid w:val="00E82665"/>
    <w:rsid w:val="00E84567"/>
    <w:rsid w:val="00E85CCF"/>
    <w:rsid w:val="00E85F33"/>
    <w:rsid w:val="00E96A16"/>
    <w:rsid w:val="00EA33E5"/>
    <w:rsid w:val="00EB0798"/>
    <w:rsid w:val="00EB40AD"/>
    <w:rsid w:val="00EB586E"/>
    <w:rsid w:val="00EB5FC8"/>
    <w:rsid w:val="00EC463D"/>
    <w:rsid w:val="00EC7A85"/>
    <w:rsid w:val="00ED2922"/>
    <w:rsid w:val="00ED2BF4"/>
    <w:rsid w:val="00ED3CAD"/>
    <w:rsid w:val="00ED5A41"/>
    <w:rsid w:val="00ED67BE"/>
    <w:rsid w:val="00EE1DE8"/>
    <w:rsid w:val="00EE27C2"/>
    <w:rsid w:val="00EF4BAD"/>
    <w:rsid w:val="00EF59DC"/>
    <w:rsid w:val="00EF622E"/>
    <w:rsid w:val="00F033EC"/>
    <w:rsid w:val="00F048D7"/>
    <w:rsid w:val="00F04F68"/>
    <w:rsid w:val="00F12670"/>
    <w:rsid w:val="00F14B27"/>
    <w:rsid w:val="00F3148D"/>
    <w:rsid w:val="00F325C5"/>
    <w:rsid w:val="00F32FE0"/>
    <w:rsid w:val="00F35298"/>
    <w:rsid w:val="00F47333"/>
    <w:rsid w:val="00F47E37"/>
    <w:rsid w:val="00F53C07"/>
    <w:rsid w:val="00F54B65"/>
    <w:rsid w:val="00F61681"/>
    <w:rsid w:val="00F640B6"/>
    <w:rsid w:val="00F65F29"/>
    <w:rsid w:val="00F66DF2"/>
    <w:rsid w:val="00F80E40"/>
    <w:rsid w:val="00F848D9"/>
    <w:rsid w:val="00FA5B82"/>
    <w:rsid w:val="00FA639E"/>
    <w:rsid w:val="00FA79CC"/>
    <w:rsid w:val="00FC1FCA"/>
    <w:rsid w:val="00FC25E4"/>
    <w:rsid w:val="00FC4C8B"/>
    <w:rsid w:val="00FC4EF7"/>
    <w:rsid w:val="00FD0824"/>
    <w:rsid w:val="00FD119B"/>
    <w:rsid w:val="00FD1EDC"/>
    <w:rsid w:val="00FE1DEE"/>
    <w:rsid w:val="00FF0518"/>
    <w:rsid w:val="00FF2126"/>
    <w:rsid w:val="00FF24A3"/>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5B3E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iPriority="0" w:unhideWhenUsed="0"/>
    <w:lsdException w:name="footer" w:semiHidden="0" w:unhideWhenUsed="0"/>
    <w:lsdException w:name="caption" w:semiHidden="0" w:uiPriority="0" w:unhideWhenUsed="0" w:qFormat="1"/>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aliases w:val="Car"/>
    <w:basedOn w:val="Normal"/>
    <w:link w:val="FootnoteTextChar"/>
    <w:unhideWhenUsed/>
    <w:rsid w:val="001B5C90"/>
    <w:pPr>
      <w:spacing w:before="0" w:after="0" w:line="240" w:lineRule="auto"/>
    </w:pPr>
    <w:rPr>
      <w:sz w:val="18"/>
      <w:szCs w:val="20"/>
    </w:rPr>
  </w:style>
  <w:style w:type="character" w:customStyle="1" w:styleId="FootnoteTextChar">
    <w:name w:val="Footnote Text Char"/>
    <w:aliases w:val="Car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892A6B"/>
    <w:pPr>
      <w:adjustRightInd w:val="0"/>
      <w:snapToGrid w:val="0"/>
      <w:spacing w:before="180" w:after="180"/>
      <w:ind w:left="720"/>
      <w:contextualSpacing/>
    </w:pPr>
    <w:rPr>
      <w:rFonts w:eastAsia="MS Mincho"/>
      <w:szCs w:val="20"/>
      <w:lang w:eastAsia="ja-JP"/>
    </w:rPr>
  </w:style>
  <w:style w:type="paragraph" w:customStyle="1" w:styleId="Standard">
    <w:name w:val="Standard"/>
    <w:basedOn w:val="Normal"/>
    <w:link w:val="StandardChar"/>
    <w:rsid w:val="00552464"/>
    <w:pPr>
      <w:widowControl w:val="0"/>
      <w:spacing w:before="0" w:after="220" w:line="252" w:lineRule="auto"/>
    </w:pPr>
    <w:rPr>
      <w:rFonts w:eastAsia="Times New Roman"/>
      <w:kern w:val="16"/>
      <w:szCs w:val="24"/>
    </w:rPr>
  </w:style>
  <w:style w:type="character" w:customStyle="1" w:styleId="StandardChar">
    <w:name w:val="Standard Char"/>
    <w:basedOn w:val="DefaultParagraphFont"/>
    <w:link w:val="Standard"/>
    <w:rsid w:val="00552464"/>
    <w:rPr>
      <w:rFonts w:ascii="Cambria" w:eastAsia="Times New Roman" w:hAnsi="Cambria" w:cs="Times New Roman"/>
      <w:kern w:val="16"/>
      <w:szCs w:val="24"/>
    </w:rPr>
  </w:style>
  <w:style w:type="paragraph" w:customStyle="1" w:styleId="WhiteSpace">
    <w:name w:val="White Space"/>
    <w:basedOn w:val="Standard"/>
    <w:next w:val="Standard"/>
    <w:rsid w:val="00C248B7"/>
    <w:pPr>
      <w:widowControl/>
      <w:spacing w:after="0"/>
    </w:pPr>
    <w:rPr>
      <w:snapToGrid w:val="0"/>
      <w:sz w:val="16"/>
      <w:szCs w:val="16"/>
    </w:rPr>
  </w:style>
  <w:style w:type="paragraph" w:customStyle="1" w:styleId="TableHeader">
    <w:name w:val="Table Header"/>
    <w:basedOn w:val="Normal"/>
    <w:rsid w:val="00C248B7"/>
    <w:pPr>
      <w:keepNext/>
      <w:keepLines/>
      <w:widowControl w:val="0"/>
      <w:spacing w:before="60" w:after="60" w:line="200" w:lineRule="exact"/>
      <w:jc w:val="center"/>
    </w:pPr>
    <w:rPr>
      <w:rFonts w:eastAsia="MS Mincho" w:cstheme="minorBidi"/>
      <w:b/>
      <w:kern w:val="2"/>
      <w:sz w:val="19"/>
      <w:szCs w:val="19"/>
    </w:rPr>
  </w:style>
  <w:style w:type="paragraph" w:customStyle="1" w:styleId="Tabletextleft">
    <w:name w:val="Table text (left)"/>
    <w:basedOn w:val="Normal"/>
    <w:rsid w:val="00C248B7"/>
    <w:pPr>
      <w:spacing w:before="20" w:after="20" w:line="200" w:lineRule="exact"/>
      <w:ind w:left="57" w:right="57"/>
    </w:pPr>
    <w:rPr>
      <w:rFonts w:eastAsia="Times New Roman"/>
      <w:snapToGrid w:val="0"/>
      <w:kern w:val="16"/>
      <w:sz w:val="18"/>
      <w:szCs w:val="18"/>
    </w:rPr>
  </w:style>
  <w:style w:type="paragraph" w:customStyle="1" w:styleId="Tabletextparagraphs">
    <w:name w:val="Table text (paragraphs)"/>
    <w:basedOn w:val="Tabletextleft"/>
    <w:rsid w:val="00C248B7"/>
    <w:pPr>
      <w:spacing w:before="40" w:after="40"/>
      <w:ind w:left="170" w:hanging="113"/>
    </w:pPr>
    <w:rPr>
      <w:kern w:val="2"/>
    </w:rPr>
  </w:style>
  <w:style w:type="paragraph" w:customStyle="1" w:styleId="Sponsorresponse">
    <w:name w:val="Sponsor response"/>
    <w:basedOn w:val="Normal"/>
    <w:link w:val="SponsorresponseChar"/>
    <w:qFormat/>
    <w:rsid w:val="00C1604D"/>
    <w:pPr>
      <w:autoSpaceDE w:val="0"/>
      <w:autoSpaceDN w:val="0"/>
      <w:adjustRightInd w:val="0"/>
      <w:spacing w:before="0" w:line="240" w:lineRule="auto"/>
    </w:pPr>
    <w:rPr>
      <w:rFonts w:asciiTheme="minorHAnsi" w:eastAsiaTheme="minorHAnsi" w:hAnsiTheme="minorHAnsi" w:cs="TimesNewRomanPSMT"/>
      <w:i/>
      <w:sz w:val="20"/>
      <w:szCs w:val="20"/>
      <w:lang w:eastAsia="en-AU"/>
    </w:rPr>
  </w:style>
  <w:style w:type="character" w:customStyle="1" w:styleId="SponsorresponseChar">
    <w:name w:val="Sponsor response Char"/>
    <w:basedOn w:val="DefaultParagraphFont"/>
    <w:link w:val="Sponsorresponse"/>
    <w:rsid w:val="00C1604D"/>
    <w:rPr>
      <w:rFonts w:cs="TimesNewRomanPSMT"/>
      <w:i/>
      <w:sz w:val="20"/>
      <w:szCs w:val="20"/>
      <w:lang w:eastAsia="en-AU"/>
    </w:rPr>
  </w:style>
  <w:style w:type="character" w:customStyle="1" w:styleId="st1">
    <w:name w:val="st1"/>
    <w:basedOn w:val="DefaultParagraphFont"/>
    <w:rsid w:val="00D044AE"/>
  </w:style>
  <w:style w:type="paragraph" w:customStyle="1" w:styleId="Style1">
    <w:name w:val="Style1"/>
    <w:basedOn w:val="Normal"/>
    <w:link w:val="Style1Char"/>
    <w:qFormat/>
    <w:rsid w:val="003D24CD"/>
    <w:pPr>
      <w:numPr>
        <w:numId w:val="11"/>
      </w:numPr>
      <w:spacing w:after="0" w:line="240" w:lineRule="auto"/>
    </w:pPr>
    <w:rPr>
      <w:rFonts w:eastAsia="Times New Roman"/>
      <w:kern w:val="24"/>
      <w:szCs w:val="24"/>
      <w:lang w:eastAsia="en-AU"/>
    </w:rPr>
  </w:style>
  <w:style w:type="character" w:customStyle="1" w:styleId="Style1Char">
    <w:name w:val="Style1 Char"/>
    <w:basedOn w:val="DefaultParagraphFont"/>
    <w:link w:val="Style1"/>
    <w:rsid w:val="003D24CD"/>
    <w:rPr>
      <w:rFonts w:ascii="Cambria" w:eastAsia="Times New Roman" w:hAnsi="Cambria" w:cs="Times New Roman"/>
      <w:kern w:val="24"/>
      <w:szCs w:val="24"/>
      <w:lang w:eastAsia="en-AU"/>
    </w:rPr>
  </w:style>
  <w:style w:type="paragraph" w:customStyle="1" w:styleId="Tabletitle0">
    <w:name w:val="Table title"/>
    <w:basedOn w:val="Normal"/>
    <w:next w:val="Normal"/>
    <w:rsid w:val="00113AC6"/>
    <w:pPr>
      <w:keepNext/>
      <w:spacing w:after="180"/>
      <w:outlineLvl w:val="4"/>
    </w:pPr>
    <w:rPr>
      <w:rFonts w:cstheme="minorBidi"/>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iPriority="0" w:unhideWhenUsed="0"/>
    <w:lsdException w:name="footer" w:semiHidden="0" w:unhideWhenUsed="0"/>
    <w:lsdException w:name="caption" w:semiHidden="0" w:uiPriority="0" w:unhideWhenUsed="0" w:qFormat="1"/>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aliases w:val="Car"/>
    <w:basedOn w:val="Normal"/>
    <w:link w:val="FootnoteTextChar"/>
    <w:unhideWhenUsed/>
    <w:rsid w:val="001B5C90"/>
    <w:pPr>
      <w:spacing w:before="0" w:after="0" w:line="240" w:lineRule="auto"/>
    </w:pPr>
    <w:rPr>
      <w:sz w:val="18"/>
      <w:szCs w:val="20"/>
    </w:rPr>
  </w:style>
  <w:style w:type="character" w:customStyle="1" w:styleId="FootnoteTextChar">
    <w:name w:val="Footnote Text Char"/>
    <w:aliases w:val="Car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892A6B"/>
    <w:pPr>
      <w:adjustRightInd w:val="0"/>
      <w:snapToGrid w:val="0"/>
      <w:spacing w:before="180" w:after="180"/>
      <w:ind w:left="720"/>
      <w:contextualSpacing/>
    </w:pPr>
    <w:rPr>
      <w:rFonts w:eastAsia="MS Mincho"/>
      <w:szCs w:val="20"/>
      <w:lang w:eastAsia="ja-JP"/>
    </w:rPr>
  </w:style>
  <w:style w:type="paragraph" w:customStyle="1" w:styleId="Standard">
    <w:name w:val="Standard"/>
    <w:basedOn w:val="Normal"/>
    <w:link w:val="StandardChar"/>
    <w:rsid w:val="00552464"/>
    <w:pPr>
      <w:widowControl w:val="0"/>
      <w:spacing w:before="0" w:after="220" w:line="252" w:lineRule="auto"/>
    </w:pPr>
    <w:rPr>
      <w:rFonts w:eastAsia="Times New Roman"/>
      <w:kern w:val="16"/>
      <w:szCs w:val="24"/>
    </w:rPr>
  </w:style>
  <w:style w:type="character" w:customStyle="1" w:styleId="StandardChar">
    <w:name w:val="Standard Char"/>
    <w:basedOn w:val="DefaultParagraphFont"/>
    <w:link w:val="Standard"/>
    <w:rsid w:val="00552464"/>
    <w:rPr>
      <w:rFonts w:ascii="Cambria" w:eastAsia="Times New Roman" w:hAnsi="Cambria" w:cs="Times New Roman"/>
      <w:kern w:val="16"/>
      <w:szCs w:val="24"/>
    </w:rPr>
  </w:style>
  <w:style w:type="paragraph" w:customStyle="1" w:styleId="WhiteSpace">
    <w:name w:val="White Space"/>
    <w:basedOn w:val="Standard"/>
    <w:next w:val="Standard"/>
    <w:rsid w:val="00C248B7"/>
    <w:pPr>
      <w:widowControl/>
      <w:spacing w:after="0"/>
    </w:pPr>
    <w:rPr>
      <w:snapToGrid w:val="0"/>
      <w:sz w:val="16"/>
      <w:szCs w:val="16"/>
    </w:rPr>
  </w:style>
  <w:style w:type="paragraph" w:customStyle="1" w:styleId="TableHeader">
    <w:name w:val="Table Header"/>
    <w:basedOn w:val="Normal"/>
    <w:rsid w:val="00C248B7"/>
    <w:pPr>
      <w:keepNext/>
      <w:keepLines/>
      <w:widowControl w:val="0"/>
      <w:spacing w:before="60" w:after="60" w:line="200" w:lineRule="exact"/>
      <w:jc w:val="center"/>
    </w:pPr>
    <w:rPr>
      <w:rFonts w:eastAsia="MS Mincho" w:cstheme="minorBidi"/>
      <w:b/>
      <w:kern w:val="2"/>
      <w:sz w:val="19"/>
      <w:szCs w:val="19"/>
    </w:rPr>
  </w:style>
  <w:style w:type="paragraph" w:customStyle="1" w:styleId="Tabletextleft">
    <w:name w:val="Table text (left)"/>
    <w:basedOn w:val="Normal"/>
    <w:rsid w:val="00C248B7"/>
    <w:pPr>
      <w:spacing w:before="20" w:after="20" w:line="200" w:lineRule="exact"/>
      <w:ind w:left="57" w:right="57"/>
    </w:pPr>
    <w:rPr>
      <w:rFonts w:eastAsia="Times New Roman"/>
      <w:snapToGrid w:val="0"/>
      <w:kern w:val="16"/>
      <w:sz w:val="18"/>
      <w:szCs w:val="18"/>
    </w:rPr>
  </w:style>
  <w:style w:type="paragraph" w:customStyle="1" w:styleId="Tabletextparagraphs">
    <w:name w:val="Table text (paragraphs)"/>
    <w:basedOn w:val="Tabletextleft"/>
    <w:rsid w:val="00C248B7"/>
    <w:pPr>
      <w:spacing w:before="40" w:after="40"/>
      <w:ind w:left="170" w:hanging="113"/>
    </w:pPr>
    <w:rPr>
      <w:kern w:val="2"/>
    </w:rPr>
  </w:style>
  <w:style w:type="paragraph" w:customStyle="1" w:styleId="Sponsorresponse">
    <w:name w:val="Sponsor response"/>
    <w:basedOn w:val="Normal"/>
    <w:link w:val="SponsorresponseChar"/>
    <w:qFormat/>
    <w:rsid w:val="00C1604D"/>
    <w:pPr>
      <w:autoSpaceDE w:val="0"/>
      <w:autoSpaceDN w:val="0"/>
      <w:adjustRightInd w:val="0"/>
      <w:spacing w:before="0" w:line="240" w:lineRule="auto"/>
    </w:pPr>
    <w:rPr>
      <w:rFonts w:asciiTheme="minorHAnsi" w:eastAsiaTheme="minorHAnsi" w:hAnsiTheme="minorHAnsi" w:cs="TimesNewRomanPSMT"/>
      <w:i/>
      <w:sz w:val="20"/>
      <w:szCs w:val="20"/>
      <w:lang w:eastAsia="en-AU"/>
    </w:rPr>
  </w:style>
  <w:style w:type="character" w:customStyle="1" w:styleId="SponsorresponseChar">
    <w:name w:val="Sponsor response Char"/>
    <w:basedOn w:val="DefaultParagraphFont"/>
    <w:link w:val="Sponsorresponse"/>
    <w:rsid w:val="00C1604D"/>
    <w:rPr>
      <w:rFonts w:cs="TimesNewRomanPSMT"/>
      <w:i/>
      <w:sz w:val="20"/>
      <w:szCs w:val="20"/>
      <w:lang w:eastAsia="en-AU"/>
    </w:rPr>
  </w:style>
  <w:style w:type="character" w:customStyle="1" w:styleId="st1">
    <w:name w:val="st1"/>
    <w:basedOn w:val="DefaultParagraphFont"/>
    <w:rsid w:val="00D044AE"/>
  </w:style>
  <w:style w:type="paragraph" w:customStyle="1" w:styleId="Style1">
    <w:name w:val="Style1"/>
    <w:basedOn w:val="Normal"/>
    <w:link w:val="Style1Char"/>
    <w:qFormat/>
    <w:rsid w:val="003D24CD"/>
    <w:pPr>
      <w:numPr>
        <w:numId w:val="11"/>
      </w:numPr>
      <w:spacing w:after="0" w:line="240" w:lineRule="auto"/>
    </w:pPr>
    <w:rPr>
      <w:rFonts w:eastAsia="Times New Roman"/>
      <w:kern w:val="24"/>
      <w:szCs w:val="24"/>
      <w:lang w:eastAsia="en-AU"/>
    </w:rPr>
  </w:style>
  <w:style w:type="character" w:customStyle="1" w:styleId="Style1Char">
    <w:name w:val="Style1 Char"/>
    <w:basedOn w:val="DefaultParagraphFont"/>
    <w:link w:val="Style1"/>
    <w:rsid w:val="003D24CD"/>
    <w:rPr>
      <w:rFonts w:ascii="Cambria" w:eastAsia="Times New Roman" w:hAnsi="Cambria" w:cs="Times New Roman"/>
      <w:kern w:val="24"/>
      <w:szCs w:val="24"/>
      <w:lang w:eastAsia="en-AU"/>
    </w:rPr>
  </w:style>
  <w:style w:type="paragraph" w:customStyle="1" w:styleId="Tabletitle0">
    <w:name w:val="Table title"/>
    <w:basedOn w:val="Normal"/>
    <w:next w:val="Normal"/>
    <w:rsid w:val="00113AC6"/>
    <w:pPr>
      <w:keepNext/>
      <w:spacing w:after="180"/>
      <w:outlineLvl w:val="4"/>
    </w:pPr>
    <w:rPr>
      <w:rFonts w:cstheme="minorBid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410828">
      <w:bodyDiv w:val="1"/>
      <w:marLeft w:val="0"/>
      <w:marRight w:val="0"/>
      <w:marTop w:val="0"/>
      <w:marBottom w:val="0"/>
      <w:divBdr>
        <w:top w:val="none" w:sz="0" w:space="0" w:color="auto"/>
        <w:left w:val="none" w:sz="0" w:space="0" w:color="auto"/>
        <w:bottom w:val="none" w:sz="0" w:space="0" w:color="auto"/>
        <w:right w:val="none" w:sz="0" w:space="0" w:color="auto"/>
      </w:divBdr>
    </w:div>
    <w:div w:id="1266695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https://www.tga.gov.au/product-information-pi"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yperlink" Target="https://www.tga.gov.au" TargetMode="External"/><Relationship Id="rId37" Type="http://schemas.openxmlformats.org/officeDocument/2006/relationships/footer" Target="footer4.xml"/><Relationship Id="rId45"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4.xml"/><Relationship Id="rId36" Type="http://schemas.openxmlformats.org/officeDocument/2006/relationships/header" Target="header8.xm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hyperlink" Target="mailto:info@tga.gov.au" TargetMode="External"/><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footer" Target="footer2.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5304\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47111-816C-492F-86F4-A0A174BF8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56</TotalTime>
  <Pages>59</Pages>
  <Words>21532</Words>
  <Characters>122733</Characters>
  <Application>Microsoft Office Word</Application>
  <DocSecurity>0</DocSecurity>
  <Lines>1022</Lines>
  <Paragraphs>287</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
  <LinksUpToDate>false</LinksUpToDate>
  <CharactersWithSpaces>143978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Paliperidone palmitate</dc:title>
  <dc:subject>prescription medicine regulation</dc:subject>
  <dc:creator>Therapeutic Goods Administration</dc:creator>
  <cp:keywords>auspar, prescription, medicine, assessment, regulation, australia</cp:keywords>
  <cp:lastModifiedBy>THOMPSON, Lynette</cp:lastModifiedBy>
  <cp:revision>15</cp:revision>
  <cp:lastPrinted>2017-08-28T00:54:00Z</cp:lastPrinted>
  <dcterms:created xsi:type="dcterms:W3CDTF">2017-10-12T02:57:00Z</dcterms:created>
  <dcterms:modified xsi:type="dcterms:W3CDTF">2017-11-08T03:14:00Z</dcterms:modified>
  <cp:category/>
</cp:coreProperties>
</file>