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F33" w:rsidRPr="00A47F4F" w:rsidRDefault="0011309F">
      <w:pPr>
        <w:pStyle w:val="Title"/>
        <w:ind w:right="-46"/>
        <w:rPr>
          <w:sz w:val="22"/>
          <w:szCs w:val="22"/>
        </w:rPr>
      </w:pPr>
      <w:bookmarkStart w:id="0" w:name="_Toc383787382"/>
      <w:bookmarkStart w:id="1" w:name="_GoBack"/>
      <w:bookmarkEnd w:id="1"/>
      <w:r w:rsidRPr="00A47F4F">
        <w:rPr>
          <w:sz w:val="22"/>
          <w:szCs w:val="22"/>
        </w:rPr>
        <w:t>PRODUCT INFORMATION</w:t>
      </w:r>
      <w:bookmarkEnd w:id="0"/>
    </w:p>
    <w:p w:rsidR="00085F33" w:rsidRPr="00A47F4F" w:rsidRDefault="0011309F">
      <w:pPr>
        <w:pStyle w:val="Title"/>
        <w:rPr>
          <w:rStyle w:val="SubtleEmphasis"/>
          <w:i w:val="0"/>
          <w:color w:val="auto"/>
          <w:sz w:val="22"/>
          <w:szCs w:val="22"/>
        </w:rPr>
      </w:pPr>
      <w:r w:rsidRPr="00A47F4F">
        <w:rPr>
          <w:rStyle w:val="SubtleEmphasis"/>
          <w:i w:val="0"/>
          <w:color w:val="auto"/>
          <w:sz w:val="22"/>
          <w:szCs w:val="22"/>
        </w:rPr>
        <w:t>TECHNIVIE combination therapy pack</w:t>
      </w:r>
    </w:p>
    <w:p w:rsidR="00085F33" w:rsidRPr="00A47F4F" w:rsidRDefault="0011309F">
      <w:pPr>
        <w:pStyle w:val="Heading1"/>
        <w:rPr>
          <w:sz w:val="22"/>
          <w:szCs w:val="22"/>
        </w:rPr>
      </w:pPr>
      <w:bookmarkStart w:id="2" w:name="_Toc383787385"/>
      <w:r w:rsidRPr="00A47F4F">
        <w:rPr>
          <w:sz w:val="22"/>
          <w:szCs w:val="22"/>
        </w:rPr>
        <w:t>NAME OF THE MEDICINE</w:t>
      </w:r>
      <w:bookmarkEnd w:id="2"/>
    </w:p>
    <w:p w:rsidR="008502A7" w:rsidRDefault="0011309F" w:rsidP="003D1FC7">
      <w:r w:rsidRPr="00A47F4F">
        <w:t xml:space="preserve">TECHNIVIE is a fixed dose combination tablet containing </w:t>
      </w:r>
      <w:proofErr w:type="spellStart"/>
      <w:r w:rsidRPr="00A47F4F">
        <w:t>paritaprevir</w:t>
      </w:r>
      <w:proofErr w:type="spellEnd"/>
      <w:r w:rsidRPr="00A47F4F">
        <w:t>/ritonavir/</w:t>
      </w:r>
      <w:proofErr w:type="spellStart"/>
      <w:r w:rsidRPr="00A47F4F">
        <w:t>ombitasvir</w:t>
      </w:r>
      <w:proofErr w:type="spellEnd"/>
      <w:r w:rsidRPr="00A47F4F">
        <w:t xml:space="preserve"> 75/50/12.5 mg tablets. </w:t>
      </w:r>
      <w:bookmarkStart w:id="3" w:name="_Toc383787386"/>
    </w:p>
    <w:p w:rsidR="00085F33" w:rsidRPr="00CF67E1" w:rsidRDefault="0011309F" w:rsidP="00CF67E1">
      <w:pPr>
        <w:pStyle w:val="Heading2"/>
        <w:rPr>
          <w:rFonts w:ascii="Arial" w:hAnsi="Arial" w:cs="Arial"/>
          <w:color w:val="auto"/>
          <w:sz w:val="24"/>
        </w:rPr>
      </w:pPr>
      <w:r w:rsidRPr="00CF67E1">
        <w:rPr>
          <w:rFonts w:ascii="Arial" w:hAnsi="Arial" w:cs="Arial"/>
          <w:color w:val="auto"/>
          <w:sz w:val="24"/>
        </w:rPr>
        <w:t>Chemical Structure</w:t>
      </w:r>
      <w:bookmarkEnd w:id="3"/>
      <w:r w:rsidRPr="00CF67E1">
        <w:rPr>
          <w:rFonts w:ascii="Arial" w:hAnsi="Arial" w:cs="Arial"/>
          <w:color w:val="auto"/>
          <w:sz w:val="24"/>
        </w:rPr>
        <w:t xml:space="preserve"> and Description of each Active Pharmaceutical Ingredient</w:t>
      </w:r>
    </w:p>
    <w:p w:rsidR="00085F33" w:rsidRPr="00A47F4F" w:rsidRDefault="0011309F">
      <w:pPr>
        <w:pStyle w:val="Heading2Unnumbered"/>
        <w:rPr>
          <w:rFonts w:eastAsia="Times New Roman" w:cs="Times New Roman"/>
          <w:sz w:val="22"/>
          <w:szCs w:val="22"/>
          <w:lang w:val="en-AU"/>
        </w:rPr>
      </w:pPr>
      <w:proofErr w:type="spellStart"/>
      <w:r w:rsidRPr="00A47F4F">
        <w:rPr>
          <w:sz w:val="22"/>
          <w:szCs w:val="22"/>
          <w:lang w:val="en-AU"/>
        </w:rPr>
        <w:t>Paritaprevir</w:t>
      </w:r>
      <w:proofErr w:type="spellEnd"/>
    </w:p>
    <w:p w:rsidR="00085F33" w:rsidRPr="00A47F4F" w:rsidRDefault="0011309F">
      <w:pPr>
        <w:autoSpaceDE w:val="0"/>
        <w:autoSpaceDN w:val="0"/>
        <w:adjustRightInd w:val="0"/>
        <w:spacing w:after="120" w:line="240" w:lineRule="auto"/>
        <w:jc w:val="both"/>
        <w:rPr>
          <w:rFonts w:cs="Arial"/>
        </w:rPr>
      </w:pPr>
      <w:bookmarkStart w:id="4" w:name="_Toc383787388"/>
      <w:proofErr w:type="spellStart"/>
      <w:r w:rsidRPr="00A47F4F">
        <w:rPr>
          <w:rFonts w:cstheme="minorHAnsi"/>
        </w:rPr>
        <w:t>Paritaprevir</w:t>
      </w:r>
      <w:proofErr w:type="spellEnd"/>
      <w:r w:rsidRPr="00A47F4F">
        <w:rPr>
          <w:rFonts w:cstheme="minorHAnsi"/>
        </w:rPr>
        <w:t xml:space="preserve"> drug substance is manufactured as a </w:t>
      </w:r>
      <w:proofErr w:type="spellStart"/>
      <w:r w:rsidRPr="00A47F4F">
        <w:rPr>
          <w:rFonts w:cstheme="minorHAnsi"/>
        </w:rPr>
        <w:t>dihydrate</w:t>
      </w:r>
      <w:proofErr w:type="spellEnd"/>
      <w:r w:rsidR="008502A7">
        <w:rPr>
          <w:rFonts w:cstheme="minorHAnsi"/>
        </w:rPr>
        <w:t>;</w:t>
      </w:r>
      <w:r w:rsidR="008502A7" w:rsidRPr="00A47F4F">
        <w:rPr>
          <w:rFonts w:cstheme="minorHAnsi"/>
        </w:rPr>
        <w:t xml:space="preserve"> </w:t>
      </w:r>
      <w:r w:rsidRPr="00A47F4F">
        <w:rPr>
          <w:rFonts w:cstheme="minorHAnsi"/>
        </w:rPr>
        <w:t>however</w:t>
      </w:r>
      <w:r w:rsidR="008502A7">
        <w:rPr>
          <w:rFonts w:cstheme="minorHAnsi"/>
        </w:rPr>
        <w:t>,</w:t>
      </w:r>
      <w:r w:rsidRPr="00A47F4F">
        <w:rPr>
          <w:rFonts w:cstheme="minorHAnsi"/>
        </w:rPr>
        <w:t xml:space="preserve"> </w:t>
      </w:r>
      <w:r w:rsidR="005F3DF9">
        <w:rPr>
          <w:rFonts w:cstheme="minorHAnsi"/>
        </w:rPr>
        <w:t xml:space="preserve">it </w:t>
      </w:r>
      <w:r w:rsidRPr="00A47F4F">
        <w:rPr>
          <w:rFonts w:cstheme="minorHAnsi"/>
        </w:rPr>
        <w:t xml:space="preserve">is dehydrated during the drug product manufacturing process and is amorphous and anhydrous in the final product.  </w:t>
      </w:r>
      <w:proofErr w:type="spellStart"/>
      <w:r w:rsidRPr="00A47F4F">
        <w:rPr>
          <w:rFonts w:cstheme="minorHAnsi"/>
        </w:rPr>
        <w:t>Paritaprevir</w:t>
      </w:r>
      <w:proofErr w:type="spellEnd"/>
      <w:r w:rsidRPr="00A47F4F">
        <w:rPr>
          <w:rFonts w:cstheme="minorHAnsi"/>
        </w:rPr>
        <w:t xml:space="preserve"> </w:t>
      </w:r>
      <w:proofErr w:type="spellStart"/>
      <w:r w:rsidRPr="00A47F4F">
        <w:rPr>
          <w:rFonts w:cstheme="minorHAnsi"/>
        </w:rPr>
        <w:t>dihydrate</w:t>
      </w:r>
      <w:proofErr w:type="spellEnd"/>
      <w:r w:rsidRPr="00A47F4F">
        <w:rPr>
          <w:rFonts w:cstheme="minorHAnsi"/>
        </w:rPr>
        <w:t xml:space="preserve"> is chemically designated (2</w:t>
      </w:r>
      <w:r w:rsidRPr="00A47F4F">
        <w:rPr>
          <w:rFonts w:cstheme="minorHAnsi"/>
          <w:i/>
          <w:iCs/>
        </w:rPr>
        <w:t>R</w:t>
      </w:r>
      <w:r w:rsidRPr="00A47F4F">
        <w:rPr>
          <w:rFonts w:cstheme="minorHAnsi"/>
        </w:rPr>
        <w:t>,6</w:t>
      </w:r>
      <w:r w:rsidRPr="00A47F4F">
        <w:rPr>
          <w:rFonts w:cstheme="minorHAnsi"/>
          <w:i/>
          <w:iCs/>
        </w:rPr>
        <w:t>S</w:t>
      </w:r>
      <w:r w:rsidRPr="00A47F4F">
        <w:rPr>
          <w:rFonts w:cstheme="minorHAnsi"/>
        </w:rPr>
        <w:t>,12</w:t>
      </w:r>
      <w:r w:rsidRPr="00A47F4F">
        <w:rPr>
          <w:rFonts w:cstheme="minorHAnsi"/>
          <w:i/>
          <w:iCs/>
        </w:rPr>
        <w:t>Z</w:t>
      </w:r>
      <w:r w:rsidRPr="00A47F4F">
        <w:rPr>
          <w:rFonts w:cstheme="minorHAnsi"/>
        </w:rPr>
        <w:t>,13a</w:t>
      </w:r>
      <w:r w:rsidRPr="00A47F4F">
        <w:rPr>
          <w:rFonts w:cstheme="minorHAnsi"/>
          <w:i/>
          <w:iCs/>
        </w:rPr>
        <w:t>S</w:t>
      </w:r>
      <w:r w:rsidRPr="00A47F4F">
        <w:rPr>
          <w:rFonts w:cstheme="minorHAnsi"/>
        </w:rPr>
        <w:t>,14a</w:t>
      </w:r>
      <w:r w:rsidRPr="00A47F4F">
        <w:rPr>
          <w:rFonts w:cstheme="minorHAnsi"/>
          <w:i/>
          <w:iCs/>
        </w:rPr>
        <w:t>R</w:t>
      </w:r>
      <w:r w:rsidRPr="00A47F4F">
        <w:rPr>
          <w:rFonts w:cstheme="minorHAnsi"/>
        </w:rPr>
        <w:t>,16a</w:t>
      </w:r>
      <w:r w:rsidRPr="00A47F4F">
        <w:rPr>
          <w:rFonts w:cstheme="minorHAnsi"/>
          <w:i/>
          <w:iCs/>
        </w:rPr>
        <w:t>S</w:t>
      </w:r>
      <w:r w:rsidRPr="00A47F4F">
        <w:rPr>
          <w:rFonts w:cstheme="minorHAnsi"/>
        </w:rPr>
        <w:t>)-</w:t>
      </w:r>
      <w:r w:rsidRPr="00A47F4F">
        <w:rPr>
          <w:rFonts w:cstheme="minorHAnsi"/>
          <w:i/>
          <w:iCs/>
        </w:rPr>
        <w:t>N</w:t>
      </w:r>
      <w:r w:rsidRPr="00A47F4F">
        <w:rPr>
          <w:rFonts w:cstheme="minorHAnsi"/>
        </w:rPr>
        <w:t>- (</w:t>
      </w:r>
      <w:r w:rsidR="00DF6087">
        <w:rPr>
          <w:rFonts w:cstheme="minorHAnsi"/>
        </w:rPr>
        <w:t>c</w:t>
      </w:r>
      <w:r w:rsidRPr="00A47F4F">
        <w:rPr>
          <w:rFonts w:cstheme="minorHAnsi"/>
        </w:rPr>
        <w:t>yclopropylsulfonyl)-6-{[(5-methylpyrazin-2-yl)carbonyl]amino}-5,16-dioxo-2-(phenanthridin-6-yloxy)-1,2,3,6,7,8,9,10,11,13a,14,15,16,16atetradecahydrocyclopropa[</w:t>
      </w:r>
      <w:r w:rsidRPr="00A47F4F">
        <w:rPr>
          <w:rFonts w:cstheme="minorHAnsi"/>
          <w:i/>
          <w:iCs/>
        </w:rPr>
        <w:t>e</w:t>
      </w:r>
      <w:r w:rsidRPr="00A47F4F">
        <w:rPr>
          <w:rFonts w:cstheme="minorHAnsi"/>
        </w:rPr>
        <w:t>]pyrrolo[1,2-</w:t>
      </w:r>
      <w:r w:rsidRPr="00A47F4F">
        <w:rPr>
          <w:rFonts w:cstheme="minorHAnsi"/>
          <w:i/>
          <w:iCs/>
        </w:rPr>
        <w:t>a</w:t>
      </w:r>
      <w:r w:rsidRPr="00A47F4F">
        <w:rPr>
          <w:rFonts w:cstheme="minorHAnsi"/>
        </w:rPr>
        <w:t>][1,4] diazacyclopentadecine-14a(5</w:t>
      </w:r>
      <w:r w:rsidRPr="00A47F4F">
        <w:rPr>
          <w:rFonts w:cstheme="minorHAnsi"/>
          <w:i/>
          <w:iCs/>
        </w:rPr>
        <w:t>H</w:t>
      </w:r>
      <w:r w:rsidRPr="00A47F4F">
        <w:rPr>
          <w:rFonts w:cstheme="minorHAnsi"/>
        </w:rPr>
        <w:t>)-</w:t>
      </w:r>
      <w:proofErr w:type="spellStart"/>
      <w:r w:rsidRPr="00A47F4F">
        <w:rPr>
          <w:rFonts w:cstheme="minorHAnsi"/>
        </w:rPr>
        <w:t>carboxamide</w:t>
      </w:r>
      <w:proofErr w:type="spellEnd"/>
      <w:r w:rsidRPr="00A47F4F">
        <w:rPr>
          <w:rFonts w:cstheme="minorHAnsi"/>
        </w:rPr>
        <w:t xml:space="preserve"> </w:t>
      </w:r>
      <w:proofErr w:type="spellStart"/>
      <w:r w:rsidRPr="00A47F4F">
        <w:rPr>
          <w:rFonts w:cstheme="minorHAnsi"/>
        </w:rPr>
        <w:t>dihydrate</w:t>
      </w:r>
      <w:proofErr w:type="spellEnd"/>
      <w:r w:rsidRPr="00A47F4F">
        <w:rPr>
          <w:rFonts w:cstheme="minorHAnsi"/>
        </w:rPr>
        <w:t>.  The molecular formula is C</w:t>
      </w:r>
      <w:r w:rsidRPr="00A47F4F">
        <w:rPr>
          <w:rFonts w:cstheme="minorHAnsi"/>
          <w:vertAlign w:val="subscript"/>
        </w:rPr>
        <w:t>40</w:t>
      </w:r>
      <w:r w:rsidRPr="00A47F4F">
        <w:rPr>
          <w:rFonts w:cstheme="minorHAnsi"/>
        </w:rPr>
        <w:t>H</w:t>
      </w:r>
      <w:r w:rsidRPr="00A47F4F">
        <w:rPr>
          <w:rFonts w:cstheme="minorHAnsi"/>
          <w:vertAlign w:val="subscript"/>
        </w:rPr>
        <w:t>43</w:t>
      </w:r>
      <w:r w:rsidRPr="00A47F4F">
        <w:rPr>
          <w:rFonts w:cstheme="minorHAnsi"/>
        </w:rPr>
        <w:t>N</w:t>
      </w:r>
      <w:r w:rsidRPr="00A47F4F">
        <w:rPr>
          <w:rFonts w:cstheme="minorHAnsi"/>
          <w:vertAlign w:val="subscript"/>
        </w:rPr>
        <w:t>7</w:t>
      </w:r>
      <w:r w:rsidRPr="00A47F4F">
        <w:rPr>
          <w:rFonts w:cstheme="minorHAnsi"/>
        </w:rPr>
        <w:t>O</w:t>
      </w:r>
      <w:r w:rsidRPr="00A47F4F">
        <w:rPr>
          <w:rFonts w:cstheme="minorHAnsi"/>
          <w:vertAlign w:val="subscript"/>
        </w:rPr>
        <w:t>7</w:t>
      </w:r>
      <w:r w:rsidRPr="00A47F4F">
        <w:rPr>
          <w:rFonts w:cstheme="minorHAnsi"/>
        </w:rPr>
        <w:t>S•2H</w:t>
      </w:r>
      <w:r w:rsidRPr="00A47F4F">
        <w:rPr>
          <w:rFonts w:cstheme="minorHAnsi"/>
          <w:vertAlign w:val="subscript"/>
        </w:rPr>
        <w:t>2</w:t>
      </w:r>
      <w:r w:rsidRPr="00A47F4F">
        <w:rPr>
          <w:rFonts w:cstheme="minorHAnsi"/>
        </w:rPr>
        <w:t>O (</w:t>
      </w:r>
      <w:proofErr w:type="spellStart"/>
      <w:r w:rsidRPr="00A47F4F">
        <w:rPr>
          <w:rFonts w:cstheme="minorHAnsi"/>
        </w:rPr>
        <w:t>dihydrate</w:t>
      </w:r>
      <w:proofErr w:type="spellEnd"/>
      <w:r w:rsidRPr="00A47F4F">
        <w:rPr>
          <w:rFonts w:cstheme="minorHAnsi"/>
        </w:rPr>
        <w:t>) and the molecular weight for the drug substance is 801.91 (</w:t>
      </w:r>
      <w:proofErr w:type="spellStart"/>
      <w:r w:rsidRPr="00A47F4F">
        <w:rPr>
          <w:rFonts w:cstheme="minorHAnsi"/>
        </w:rPr>
        <w:t>dihydrate</w:t>
      </w:r>
      <w:proofErr w:type="spellEnd"/>
      <w:r w:rsidRPr="00A47F4F">
        <w:rPr>
          <w:rFonts w:cstheme="minorHAnsi"/>
        </w:rPr>
        <w:t xml:space="preserve">).  </w:t>
      </w:r>
      <w:proofErr w:type="spellStart"/>
      <w:r w:rsidRPr="00A47F4F">
        <w:rPr>
          <w:rFonts w:cstheme="minorHAnsi"/>
        </w:rPr>
        <w:t>Paritaprevir</w:t>
      </w:r>
      <w:proofErr w:type="spellEnd"/>
      <w:r w:rsidRPr="00A47F4F">
        <w:rPr>
          <w:rFonts w:cstheme="minorHAnsi"/>
        </w:rPr>
        <w:t xml:space="preserve"> </w:t>
      </w:r>
      <w:proofErr w:type="spellStart"/>
      <w:r w:rsidRPr="00A47F4F">
        <w:rPr>
          <w:rFonts w:cstheme="minorHAnsi"/>
        </w:rPr>
        <w:t>dihydrate</w:t>
      </w:r>
      <w:proofErr w:type="spellEnd"/>
      <w:r w:rsidRPr="00A47F4F">
        <w:rPr>
          <w:rFonts w:cstheme="minorHAnsi"/>
        </w:rPr>
        <w:t xml:space="preserve"> has the following structural formula</w:t>
      </w:r>
      <w:r w:rsidRPr="00A47F4F">
        <w:rPr>
          <w:rFonts w:cs="Arial"/>
        </w:rPr>
        <w:t>:</w:t>
      </w:r>
    </w:p>
    <w:p w:rsidR="00085F33" w:rsidRPr="00A47F4F" w:rsidRDefault="0011309F">
      <w:pPr>
        <w:jc w:val="center"/>
      </w:pPr>
      <w:r w:rsidRPr="00A47F4F">
        <w:rPr>
          <w:rFonts w:cs="Arial"/>
          <w:noProof/>
          <w:lang w:eastAsia="en-AU"/>
        </w:rPr>
        <w:drawing>
          <wp:inline distT="0" distB="0" distL="0" distR="0" wp14:anchorId="275C1D82" wp14:editId="13E4C6D7">
            <wp:extent cx="2600325" cy="1647825"/>
            <wp:effectExtent l="0" t="0" r="9525" b="9525"/>
            <wp:docPr id="4" name="Picture 4" descr="cid:image002.png@01CE7D4B.E5E54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CE7D4B.E5E544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600325" cy="1647825"/>
                    </a:xfrm>
                    <a:prstGeom prst="rect">
                      <a:avLst/>
                    </a:prstGeom>
                    <a:noFill/>
                    <a:ln>
                      <a:noFill/>
                    </a:ln>
                  </pic:spPr>
                </pic:pic>
              </a:graphicData>
            </a:graphic>
          </wp:inline>
        </w:drawing>
      </w:r>
    </w:p>
    <w:p w:rsidR="00085F33" w:rsidRPr="00A47F4F" w:rsidRDefault="0011309F">
      <w:pPr>
        <w:spacing w:line="240" w:lineRule="auto"/>
        <w:jc w:val="both"/>
      </w:pPr>
      <w:r w:rsidRPr="00A47F4F">
        <w:t>CAS Number: 1456607-71-8</w:t>
      </w:r>
    </w:p>
    <w:p w:rsidR="00085F33" w:rsidRPr="00A47F4F" w:rsidRDefault="0011309F">
      <w:pPr>
        <w:spacing w:line="240" w:lineRule="auto"/>
        <w:jc w:val="both"/>
        <w:rPr>
          <w:rFonts w:cstheme="minorHAnsi"/>
        </w:rPr>
      </w:pPr>
      <w:proofErr w:type="spellStart"/>
      <w:r w:rsidRPr="00A47F4F">
        <w:rPr>
          <w:rFonts w:cstheme="minorHAnsi"/>
        </w:rPr>
        <w:t>Paritaprevir</w:t>
      </w:r>
      <w:proofErr w:type="spellEnd"/>
      <w:r w:rsidRPr="00A47F4F">
        <w:rPr>
          <w:rFonts w:cstheme="minorHAnsi"/>
        </w:rPr>
        <w:t xml:space="preserve"> </w:t>
      </w:r>
      <w:proofErr w:type="spellStart"/>
      <w:r w:rsidRPr="00A47F4F">
        <w:rPr>
          <w:rFonts w:cstheme="minorHAnsi"/>
        </w:rPr>
        <w:t>dihydrate</w:t>
      </w:r>
      <w:proofErr w:type="spellEnd"/>
      <w:r w:rsidRPr="00A47F4F">
        <w:rPr>
          <w:rFonts w:cstheme="minorHAnsi"/>
        </w:rPr>
        <w:t xml:space="preserve"> is </w:t>
      </w:r>
      <w:r w:rsidR="00FA00D4">
        <w:rPr>
          <w:rFonts w:cstheme="minorHAnsi"/>
        </w:rPr>
        <w:t xml:space="preserve">a </w:t>
      </w:r>
      <w:r w:rsidRPr="00A47F4F">
        <w:rPr>
          <w:rFonts w:cstheme="minorHAnsi"/>
        </w:rPr>
        <w:t xml:space="preserve">white to off-white powder with very low water solubility. </w:t>
      </w:r>
      <w:r w:rsidR="008502A7">
        <w:rPr>
          <w:rFonts w:cstheme="minorHAnsi"/>
        </w:rPr>
        <w:t xml:space="preserve"> </w:t>
      </w:r>
      <w:proofErr w:type="spellStart"/>
      <w:r w:rsidRPr="00A47F4F">
        <w:rPr>
          <w:rFonts w:cstheme="minorHAnsi"/>
        </w:rPr>
        <w:t>Paritaprevir</w:t>
      </w:r>
      <w:proofErr w:type="spellEnd"/>
      <w:r w:rsidRPr="00A47F4F">
        <w:rPr>
          <w:rFonts w:cstheme="minorHAnsi"/>
        </w:rPr>
        <w:t xml:space="preserve"> </w:t>
      </w:r>
      <w:proofErr w:type="spellStart"/>
      <w:r w:rsidRPr="00A47F4F">
        <w:rPr>
          <w:rFonts w:cstheme="minorHAnsi"/>
        </w:rPr>
        <w:t>dihydrate</w:t>
      </w:r>
      <w:proofErr w:type="spellEnd"/>
      <w:r w:rsidRPr="00A47F4F">
        <w:rPr>
          <w:rFonts w:cstheme="minorHAnsi"/>
        </w:rPr>
        <w:t xml:space="preserve"> has </w:t>
      </w:r>
      <w:r w:rsidR="00FA00D4">
        <w:rPr>
          <w:rFonts w:cstheme="minorHAnsi"/>
        </w:rPr>
        <w:t xml:space="preserve">a </w:t>
      </w:r>
      <w:proofErr w:type="spellStart"/>
      <w:r w:rsidRPr="00A47F4F">
        <w:rPr>
          <w:rFonts w:cstheme="minorHAnsi"/>
        </w:rPr>
        <w:t>pKa</w:t>
      </w:r>
      <w:proofErr w:type="spellEnd"/>
      <w:r w:rsidRPr="00A47F4F">
        <w:rPr>
          <w:rFonts w:cstheme="minorHAnsi"/>
        </w:rPr>
        <w:t xml:space="preserve"> of 4.6 at 25°C.</w:t>
      </w:r>
    </w:p>
    <w:p w:rsidR="00085F33" w:rsidRPr="00A47F4F" w:rsidRDefault="0011309F">
      <w:pPr>
        <w:pStyle w:val="Heading2Unnumbered"/>
        <w:rPr>
          <w:sz w:val="22"/>
          <w:szCs w:val="22"/>
          <w:lang w:val="en-AU"/>
        </w:rPr>
      </w:pPr>
      <w:r w:rsidRPr="00A47F4F">
        <w:rPr>
          <w:sz w:val="22"/>
          <w:szCs w:val="22"/>
          <w:lang w:val="en-AU"/>
        </w:rPr>
        <w:t>Ritonavir</w:t>
      </w:r>
    </w:p>
    <w:p w:rsidR="00085F33" w:rsidRPr="00A47F4F" w:rsidRDefault="0011309F">
      <w:pPr>
        <w:spacing w:line="240" w:lineRule="auto"/>
        <w:jc w:val="both"/>
        <w:rPr>
          <w:rFonts w:cs="Arial"/>
        </w:rPr>
      </w:pPr>
      <w:r w:rsidRPr="00A47F4F">
        <w:rPr>
          <w:rFonts w:cs="Arial"/>
        </w:rPr>
        <w:t xml:space="preserve">Ritonavir is chemically designated as </w:t>
      </w:r>
      <w:r w:rsidRPr="00A47F4F">
        <w:t>[5</w:t>
      </w:r>
      <w:r w:rsidRPr="00A47F4F">
        <w:rPr>
          <w:i/>
        </w:rPr>
        <w:t>S</w:t>
      </w:r>
      <w:r w:rsidRPr="00A47F4F">
        <w:t>-(5</w:t>
      </w:r>
      <w:r w:rsidRPr="00A47F4F">
        <w:rPr>
          <w:i/>
        </w:rPr>
        <w:t>R</w:t>
      </w:r>
      <w:r w:rsidRPr="00A47F4F">
        <w:t>*,8</w:t>
      </w:r>
      <w:r w:rsidRPr="00A47F4F">
        <w:rPr>
          <w:i/>
        </w:rPr>
        <w:t>R</w:t>
      </w:r>
      <w:r w:rsidRPr="00A47F4F">
        <w:t>*,10</w:t>
      </w:r>
      <w:r w:rsidRPr="00A47F4F">
        <w:rPr>
          <w:i/>
        </w:rPr>
        <w:t>R</w:t>
      </w:r>
      <w:r w:rsidRPr="00A47F4F">
        <w:t>*,11</w:t>
      </w:r>
      <w:r w:rsidRPr="00A47F4F">
        <w:rPr>
          <w:i/>
        </w:rPr>
        <w:t>R</w:t>
      </w:r>
      <w:r w:rsidRPr="00A47F4F">
        <w:t>*)]10-</w:t>
      </w:r>
      <w:r w:rsidR="00DF6087">
        <w:t>h</w:t>
      </w:r>
      <w:r w:rsidRPr="00A47F4F">
        <w:t>ydroxy-2-methyl-5-(1-methyethyl)-1-[2-(1-methylethyl)-4-thiazolyl]-3,6-dioxo-8,11-bis(phenylmehyl)-2,4,7,12-tetraazatridecan-13-oic acid,5-thiazolylmethyl ester</w:t>
      </w:r>
      <w:r w:rsidRPr="00A47F4F">
        <w:rPr>
          <w:rFonts w:cs="Arial"/>
        </w:rPr>
        <w:t xml:space="preserve">. </w:t>
      </w:r>
      <w:r w:rsidR="008502A7">
        <w:rPr>
          <w:rFonts w:cs="Arial"/>
        </w:rPr>
        <w:t xml:space="preserve"> </w:t>
      </w:r>
      <w:r w:rsidRPr="00A47F4F">
        <w:rPr>
          <w:rFonts w:cs="Arial"/>
        </w:rPr>
        <w:t>The molecular formula is C</w:t>
      </w:r>
      <w:r w:rsidRPr="00A47F4F">
        <w:rPr>
          <w:rFonts w:cs="Arial"/>
          <w:vertAlign w:val="subscript"/>
        </w:rPr>
        <w:t>37</w:t>
      </w:r>
      <w:r w:rsidRPr="00A47F4F">
        <w:rPr>
          <w:rFonts w:cs="Arial"/>
        </w:rPr>
        <w:t>H</w:t>
      </w:r>
      <w:r w:rsidRPr="00A47F4F">
        <w:rPr>
          <w:rFonts w:cs="Arial"/>
          <w:vertAlign w:val="subscript"/>
        </w:rPr>
        <w:t>48</w:t>
      </w:r>
      <w:r w:rsidRPr="00A47F4F">
        <w:rPr>
          <w:rFonts w:cs="Arial"/>
        </w:rPr>
        <w:t>N</w:t>
      </w:r>
      <w:r w:rsidRPr="00A47F4F">
        <w:rPr>
          <w:rFonts w:cs="Arial"/>
          <w:vertAlign w:val="subscript"/>
        </w:rPr>
        <w:t>6</w:t>
      </w:r>
      <w:r w:rsidRPr="00A47F4F">
        <w:rPr>
          <w:rFonts w:cs="Arial"/>
        </w:rPr>
        <w:t>O</w:t>
      </w:r>
      <w:r w:rsidRPr="00A47F4F">
        <w:rPr>
          <w:rFonts w:cs="Arial"/>
          <w:vertAlign w:val="subscript"/>
        </w:rPr>
        <w:t>5</w:t>
      </w:r>
      <w:r w:rsidRPr="00A47F4F">
        <w:rPr>
          <w:rFonts w:cs="Arial"/>
        </w:rPr>
        <w:t>S</w:t>
      </w:r>
      <w:r w:rsidRPr="00A47F4F">
        <w:rPr>
          <w:rFonts w:cs="Arial"/>
          <w:vertAlign w:val="subscript"/>
        </w:rPr>
        <w:t>2</w:t>
      </w:r>
      <w:r w:rsidRPr="00A47F4F">
        <w:rPr>
          <w:rFonts w:cs="Arial"/>
        </w:rPr>
        <w:t xml:space="preserve"> and the molecular weight is 720.95. </w:t>
      </w:r>
      <w:r w:rsidR="008502A7">
        <w:rPr>
          <w:rFonts w:cs="Arial"/>
        </w:rPr>
        <w:t xml:space="preserve"> </w:t>
      </w:r>
      <w:r w:rsidRPr="00A47F4F">
        <w:rPr>
          <w:rFonts w:cs="Arial"/>
        </w:rPr>
        <w:t>Ritonavir has the following structural formula:</w:t>
      </w:r>
    </w:p>
    <w:p w:rsidR="00085F33" w:rsidRPr="00A47F4F" w:rsidRDefault="0011309F">
      <w:pPr>
        <w:jc w:val="center"/>
      </w:pPr>
      <w:r w:rsidRPr="00A47F4F">
        <w:rPr>
          <w:rFonts w:cs="Arial"/>
          <w:noProof/>
          <w:lang w:eastAsia="en-AU"/>
        </w:rPr>
        <w:drawing>
          <wp:inline distT="0" distB="0" distL="0" distR="0" wp14:anchorId="4AACEBF0" wp14:editId="66E43B1D">
            <wp:extent cx="3981450" cy="1695450"/>
            <wp:effectExtent l="0" t="0" r="0" b="0"/>
            <wp:docPr id="6" name="Picture 6" descr="cid:image004.png@01CE7D4B.E5E54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E7D4B.E5E5447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981450" cy="1695450"/>
                    </a:xfrm>
                    <a:prstGeom prst="rect">
                      <a:avLst/>
                    </a:prstGeom>
                    <a:noFill/>
                    <a:ln>
                      <a:noFill/>
                    </a:ln>
                  </pic:spPr>
                </pic:pic>
              </a:graphicData>
            </a:graphic>
          </wp:inline>
        </w:drawing>
      </w:r>
    </w:p>
    <w:p w:rsidR="00085F33" w:rsidRPr="00A47F4F" w:rsidRDefault="0011309F">
      <w:pPr>
        <w:spacing w:line="240" w:lineRule="auto"/>
      </w:pPr>
      <w:r w:rsidRPr="00A47F4F">
        <w:lastRenderedPageBreak/>
        <w:t xml:space="preserve">CAS Number: </w:t>
      </w:r>
      <w:r w:rsidRPr="00A47F4F">
        <w:rPr>
          <w:rFonts w:cs="Arial"/>
        </w:rPr>
        <w:t xml:space="preserve">155214-67-5 </w:t>
      </w:r>
    </w:p>
    <w:p w:rsidR="00085F33" w:rsidRPr="00A47F4F" w:rsidRDefault="0011309F">
      <w:pPr>
        <w:spacing w:line="240" w:lineRule="auto"/>
        <w:jc w:val="both"/>
        <w:rPr>
          <w:rFonts w:cs="Arial"/>
          <w:bCs/>
        </w:rPr>
      </w:pPr>
      <w:r w:rsidRPr="00A47F4F">
        <w:rPr>
          <w:rFonts w:cs="Arial"/>
        </w:rPr>
        <w:t xml:space="preserve">Ritonavir is a </w:t>
      </w:r>
      <w:r w:rsidRPr="00A47F4F">
        <w:rPr>
          <w:rFonts w:cs="Arial"/>
          <w:bCs/>
        </w:rPr>
        <w:t xml:space="preserve">white to light tan </w:t>
      </w:r>
      <w:r w:rsidRPr="00A47F4F">
        <w:rPr>
          <w:rFonts w:cs="Arial"/>
        </w:rPr>
        <w:t xml:space="preserve">powder </w:t>
      </w:r>
      <w:r w:rsidRPr="00A47F4F">
        <w:rPr>
          <w:rFonts w:cs="Arial"/>
          <w:bCs/>
        </w:rPr>
        <w:t xml:space="preserve">practically insoluble in water and freely soluble in methanol and ethanol. </w:t>
      </w:r>
      <w:r w:rsidR="008502A7">
        <w:rPr>
          <w:rFonts w:cs="Arial"/>
          <w:bCs/>
        </w:rPr>
        <w:t xml:space="preserve"> </w:t>
      </w:r>
      <w:r w:rsidRPr="00A47F4F">
        <w:rPr>
          <w:rFonts w:cs="Arial"/>
          <w:bCs/>
        </w:rPr>
        <w:t xml:space="preserve">Ritonavir has a </w:t>
      </w:r>
      <w:proofErr w:type="spellStart"/>
      <w:r w:rsidRPr="00A47F4F">
        <w:rPr>
          <w:rFonts w:cs="Arial"/>
          <w:bCs/>
        </w:rPr>
        <w:t>pKa</w:t>
      </w:r>
      <w:proofErr w:type="spellEnd"/>
      <w:r w:rsidRPr="00A47F4F">
        <w:rPr>
          <w:rFonts w:cs="Arial"/>
          <w:bCs/>
        </w:rPr>
        <w:t xml:space="preserve"> of 2.8.</w:t>
      </w:r>
    </w:p>
    <w:p w:rsidR="00085F33" w:rsidRPr="00A47F4F" w:rsidDel="00A47F4F" w:rsidRDefault="0011309F">
      <w:pPr>
        <w:pStyle w:val="Heading2Unnumbered"/>
        <w:rPr>
          <w:sz w:val="22"/>
          <w:szCs w:val="22"/>
          <w:lang w:val="en-AU"/>
        </w:rPr>
      </w:pPr>
      <w:proofErr w:type="spellStart"/>
      <w:r w:rsidRPr="00A47F4F" w:rsidDel="00A47F4F">
        <w:rPr>
          <w:sz w:val="22"/>
          <w:szCs w:val="22"/>
          <w:lang w:val="en-AU"/>
        </w:rPr>
        <w:t>Ombitasvir</w:t>
      </w:r>
      <w:proofErr w:type="spellEnd"/>
    </w:p>
    <w:p w:rsidR="00085F33" w:rsidRPr="00A47F4F" w:rsidDel="00A47F4F" w:rsidRDefault="0011309F">
      <w:pPr>
        <w:spacing w:line="240" w:lineRule="auto"/>
        <w:jc w:val="both"/>
        <w:rPr>
          <w:rFonts w:cs="Arial"/>
        </w:rPr>
      </w:pPr>
      <w:proofErr w:type="spellStart"/>
      <w:r w:rsidRPr="00A47F4F" w:rsidDel="00A47F4F">
        <w:rPr>
          <w:rFonts w:cs="Arial"/>
        </w:rPr>
        <w:t>Ombitasvir</w:t>
      </w:r>
      <w:proofErr w:type="spellEnd"/>
      <w:r w:rsidRPr="00A47F4F" w:rsidDel="00A47F4F">
        <w:rPr>
          <w:rFonts w:cs="Arial"/>
        </w:rPr>
        <w:t xml:space="preserve"> </w:t>
      </w:r>
      <w:r w:rsidRPr="00A47F4F" w:rsidDel="00A47F4F">
        <w:rPr>
          <w:rFonts w:cstheme="minorHAnsi"/>
        </w:rPr>
        <w:t>drug substance is manufactured as a hydrate</w:t>
      </w:r>
      <w:r w:rsidR="008502A7">
        <w:rPr>
          <w:rFonts w:cstheme="minorHAnsi"/>
        </w:rPr>
        <w:t>;</w:t>
      </w:r>
      <w:r w:rsidR="008502A7" w:rsidRPr="00A47F4F" w:rsidDel="00A47F4F">
        <w:rPr>
          <w:rFonts w:cstheme="minorHAnsi"/>
        </w:rPr>
        <w:t xml:space="preserve"> </w:t>
      </w:r>
      <w:r w:rsidRPr="00A47F4F" w:rsidDel="00A47F4F">
        <w:rPr>
          <w:rFonts w:cstheme="minorHAnsi"/>
        </w:rPr>
        <w:t>however</w:t>
      </w:r>
      <w:r w:rsidR="008502A7">
        <w:rPr>
          <w:rFonts w:cstheme="minorHAnsi"/>
        </w:rPr>
        <w:t>,</w:t>
      </w:r>
      <w:r w:rsidRPr="00A47F4F" w:rsidDel="00A47F4F">
        <w:rPr>
          <w:rFonts w:cstheme="minorHAnsi"/>
        </w:rPr>
        <w:t xml:space="preserve"> </w:t>
      </w:r>
      <w:r w:rsidR="005F3DF9">
        <w:rPr>
          <w:rFonts w:cstheme="minorHAnsi"/>
        </w:rPr>
        <w:t xml:space="preserve">it </w:t>
      </w:r>
      <w:r w:rsidRPr="00A47F4F" w:rsidDel="00A47F4F">
        <w:rPr>
          <w:rFonts w:cstheme="minorHAnsi"/>
        </w:rPr>
        <w:t xml:space="preserve">is dehydrated during the drug product manufacturing process and is amorphous and anhydrous in the final product.  </w:t>
      </w:r>
      <w:proofErr w:type="spellStart"/>
      <w:r w:rsidRPr="00A47F4F" w:rsidDel="00A47F4F">
        <w:rPr>
          <w:rFonts w:cs="Arial"/>
        </w:rPr>
        <w:t>Ombitasvir</w:t>
      </w:r>
      <w:proofErr w:type="spellEnd"/>
      <w:r w:rsidRPr="00A47F4F" w:rsidDel="00A47F4F">
        <w:rPr>
          <w:rFonts w:cs="Arial"/>
        </w:rPr>
        <w:t xml:space="preserve"> hydrate is chemically designated as </w:t>
      </w:r>
      <w:r w:rsidR="00DF6087">
        <w:rPr>
          <w:rFonts w:cs="Arial"/>
        </w:rPr>
        <w:t>d</w:t>
      </w:r>
      <w:r w:rsidRPr="00A47F4F" w:rsidDel="00A47F4F">
        <w:rPr>
          <w:rFonts w:cs="Arial"/>
        </w:rPr>
        <w:t>imethyl ([(2</w:t>
      </w:r>
      <w:r w:rsidRPr="00A47F4F" w:rsidDel="00A47F4F">
        <w:rPr>
          <w:rFonts w:cs="Arial"/>
          <w:i/>
        </w:rPr>
        <w:t>S</w:t>
      </w:r>
      <w:r w:rsidRPr="00A47F4F" w:rsidDel="00A47F4F">
        <w:rPr>
          <w:rFonts w:cs="Arial"/>
        </w:rPr>
        <w:t>,5</w:t>
      </w:r>
      <w:r w:rsidRPr="00A47F4F" w:rsidDel="00A47F4F">
        <w:rPr>
          <w:rFonts w:cs="Arial"/>
          <w:i/>
        </w:rPr>
        <w:t>S</w:t>
      </w:r>
      <w:r w:rsidRPr="00A47F4F" w:rsidDel="00A47F4F">
        <w:rPr>
          <w:rFonts w:cs="Arial"/>
        </w:rPr>
        <w:t>)-1-(4-</w:t>
      </w:r>
      <w:r w:rsidRPr="00A47F4F" w:rsidDel="00A47F4F">
        <w:rPr>
          <w:rFonts w:cs="Arial"/>
          <w:i/>
        </w:rPr>
        <w:t>tert</w:t>
      </w:r>
      <w:r w:rsidRPr="00A47F4F" w:rsidDel="00A47F4F">
        <w:rPr>
          <w:rFonts w:cs="Arial"/>
        </w:rPr>
        <w:t>-butylphenyl) pyrrolidine-2,5-diyl]bis{benzene-4,1-diylcarbamoyl(2</w:t>
      </w:r>
      <w:r w:rsidRPr="00A47F4F" w:rsidDel="00A47F4F">
        <w:rPr>
          <w:rFonts w:cs="Arial"/>
          <w:i/>
        </w:rPr>
        <w:t>S</w:t>
      </w:r>
      <w:r w:rsidRPr="00A47F4F" w:rsidDel="00A47F4F">
        <w:rPr>
          <w:rFonts w:cs="Arial"/>
        </w:rPr>
        <w:t>)pyrrolidine-2,1-diyl[(2</w:t>
      </w:r>
      <w:r w:rsidRPr="00A47F4F" w:rsidDel="00A47F4F">
        <w:rPr>
          <w:rFonts w:cs="Arial"/>
          <w:i/>
        </w:rPr>
        <w:t>S</w:t>
      </w:r>
      <w:r w:rsidRPr="00A47F4F" w:rsidDel="00A47F4F">
        <w:rPr>
          <w:rFonts w:cs="Arial"/>
        </w:rPr>
        <w:t>)-3-methyl-1-oxobutane-1,2-diyl]})biscarbamate hydrate.</w:t>
      </w:r>
      <w:r w:rsidR="008502A7">
        <w:rPr>
          <w:rFonts w:cs="Arial"/>
        </w:rPr>
        <w:t xml:space="preserve"> </w:t>
      </w:r>
      <w:r w:rsidRPr="00A47F4F" w:rsidDel="00A47F4F">
        <w:rPr>
          <w:rFonts w:cs="Arial"/>
        </w:rPr>
        <w:t xml:space="preserve"> The molecular formula is C</w:t>
      </w:r>
      <w:r w:rsidRPr="00A47F4F" w:rsidDel="00A47F4F">
        <w:rPr>
          <w:rFonts w:cs="Arial"/>
          <w:vertAlign w:val="subscript"/>
        </w:rPr>
        <w:t>50</w:t>
      </w:r>
      <w:r w:rsidRPr="00A47F4F" w:rsidDel="00A47F4F">
        <w:rPr>
          <w:rFonts w:cs="Arial"/>
        </w:rPr>
        <w:t>H</w:t>
      </w:r>
      <w:r w:rsidRPr="00A47F4F" w:rsidDel="00A47F4F">
        <w:rPr>
          <w:rFonts w:cs="Arial"/>
          <w:vertAlign w:val="subscript"/>
        </w:rPr>
        <w:t>67</w:t>
      </w:r>
      <w:r w:rsidRPr="00A47F4F" w:rsidDel="00A47F4F">
        <w:rPr>
          <w:rFonts w:cs="Arial"/>
        </w:rPr>
        <w:t>N</w:t>
      </w:r>
      <w:r w:rsidRPr="00A47F4F" w:rsidDel="00A47F4F">
        <w:rPr>
          <w:rFonts w:cs="Arial"/>
          <w:vertAlign w:val="subscript"/>
        </w:rPr>
        <w:t>7</w:t>
      </w:r>
      <w:r w:rsidRPr="00A47F4F" w:rsidDel="00A47F4F">
        <w:rPr>
          <w:rFonts w:cs="Arial"/>
        </w:rPr>
        <w:t>O</w:t>
      </w:r>
      <w:r w:rsidRPr="00A47F4F" w:rsidDel="00A47F4F">
        <w:rPr>
          <w:rFonts w:cs="Arial"/>
          <w:vertAlign w:val="subscript"/>
        </w:rPr>
        <w:t>8</w:t>
      </w:r>
      <w:r w:rsidRPr="00A47F4F" w:rsidDel="00A47F4F">
        <w:rPr>
          <w:rFonts w:cs="Arial"/>
        </w:rPr>
        <w:t xml:space="preserve"> • 4.5H</w:t>
      </w:r>
      <w:r w:rsidRPr="00A47F4F" w:rsidDel="00A47F4F">
        <w:rPr>
          <w:rFonts w:cs="Arial"/>
          <w:vertAlign w:val="subscript"/>
        </w:rPr>
        <w:t>2</w:t>
      </w:r>
      <w:r w:rsidRPr="00A47F4F" w:rsidDel="00A47F4F">
        <w:rPr>
          <w:rFonts w:cs="Arial"/>
        </w:rPr>
        <w:t xml:space="preserve">O (hydrate) and the molecular weight for the drug substance is 975.20 (hydrate). </w:t>
      </w:r>
      <w:r w:rsidR="008502A7">
        <w:rPr>
          <w:rFonts w:cs="Arial"/>
        </w:rPr>
        <w:t xml:space="preserve"> </w:t>
      </w:r>
      <w:proofErr w:type="spellStart"/>
      <w:r w:rsidRPr="00A47F4F" w:rsidDel="00A47F4F">
        <w:rPr>
          <w:rFonts w:cs="Arial"/>
        </w:rPr>
        <w:t>Ombitasvir</w:t>
      </w:r>
      <w:proofErr w:type="spellEnd"/>
      <w:r w:rsidRPr="00A47F4F" w:rsidDel="00A47F4F">
        <w:rPr>
          <w:rFonts w:cs="Arial"/>
        </w:rPr>
        <w:t xml:space="preserve"> hydrate has the following structural formula:</w:t>
      </w:r>
    </w:p>
    <w:p w:rsidR="00085F33" w:rsidRPr="00A47F4F" w:rsidDel="00A47F4F" w:rsidRDefault="0011309F">
      <w:pPr>
        <w:jc w:val="center"/>
      </w:pPr>
      <w:r w:rsidRPr="00A47F4F" w:rsidDel="00A47F4F">
        <w:rPr>
          <w:rFonts w:cs="Arial"/>
          <w:noProof/>
          <w:lang w:eastAsia="en-AU"/>
        </w:rPr>
        <w:drawing>
          <wp:inline distT="0" distB="0" distL="0" distR="0" wp14:anchorId="5CBCBB13" wp14:editId="4F61A530">
            <wp:extent cx="3295650" cy="1428750"/>
            <wp:effectExtent l="0" t="0" r="0" b="0"/>
            <wp:docPr id="7" name="Picture 7" descr="cid:image003.png@01CE7D4B.E5E54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E7D4B.E5E544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295650" cy="1428750"/>
                    </a:xfrm>
                    <a:prstGeom prst="rect">
                      <a:avLst/>
                    </a:prstGeom>
                    <a:noFill/>
                    <a:ln>
                      <a:noFill/>
                    </a:ln>
                  </pic:spPr>
                </pic:pic>
              </a:graphicData>
            </a:graphic>
          </wp:inline>
        </w:drawing>
      </w:r>
    </w:p>
    <w:p w:rsidR="00085F33" w:rsidRPr="00A47F4F" w:rsidDel="00A47F4F" w:rsidRDefault="0011309F">
      <w:pPr>
        <w:spacing w:line="240" w:lineRule="auto"/>
        <w:jc w:val="both"/>
      </w:pPr>
      <w:r w:rsidRPr="00A47F4F" w:rsidDel="00A47F4F">
        <w:t xml:space="preserve">CAS Number: </w:t>
      </w:r>
      <w:r w:rsidRPr="00A47F4F" w:rsidDel="00A47F4F">
        <w:rPr>
          <w:rFonts w:cs="Arial"/>
        </w:rPr>
        <w:t xml:space="preserve">1456607-70-7 </w:t>
      </w:r>
    </w:p>
    <w:p w:rsidR="00085F33" w:rsidRPr="00A47F4F" w:rsidDel="00A47F4F" w:rsidRDefault="0011309F">
      <w:pPr>
        <w:spacing w:line="240" w:lineRule="auto"/>
        <w:jc w:val="both"/>
        <w:rPr>
          <w:rFonts w:cs="Arial"/>
        </w:rPr>
      </w:pPr>
      <w:proofErr w:type="spellStart"/>
      <w:r w:rsidRPr="00A47F4F" w:rsidDel="00A47F4F">
        <w:rPr>
          <w:rFonts w:cs="Arial"/>
        </w:rPr>
        <w:t>Ombitasvir</w:t>
      </w:r>
      <w:proofErr w:type="spellEnd"/>
      <w:r w:rsidRPr="00A47F4F" w:rsidDel="00A47F4F">
        <w:rPr>
          <w:rFonts w:cs="Arial"/>
        </w:rPr>
        <w:t xml:space="preserve"> hydrate is </w:t>
      </w:r>
      <w:r w:rsidR="008502A7">
        <w:rPr>
          <w:rFonts w:cs="Arial"/>
        </w:rPr>
        <w:t xml:space="preserve">a </w:t>
      </w:r>
      <w:r w:rsidRPr="00A47F4F" w:rsidDel="00A47F4F">
        <w:rPr>
          <w:rFonts w:cs="Arial"/>
        </w:rPr>
        <w:t>white to light pink powder, and is practically insoluble in aqueous buffers but is soluble in ethanol.</w:t>
      </w:r>
      <w:r w:rsidRPr="00A47F4F" w:rsidDel="00A47F4F">
        <w:rPr>
          <w:rFonts w:ascii="Arial" w:eastAsia="Times New Roman" w:hAnsi="Arial" w:cs="Arial"/>
        </w:rPr>
        <w:t xml:space="preserve"> </w:t>
      </w:r>
      <w:r w:rsidR="00DF6087">
        <w:rPr>
          <w:rFonts w:ascii="Arial" w:eastAsia="Times New Roman" w:hAnsi="Arial" w:cs="Arial"/>
        </w:rPr>
        <w:t xml:space="preserve"> </w:t>
      </w:r>
      <w:proofErr w:type="spellStart"/>
      <w:r w:rsidRPr="00A47F4F" w:rsidDel="00A47F4F">
        <w:rPr>
          <w:rFonts w:cs="Arial"/>
        </w:rPr>
        <w:t>Ombitasvir</w:t>
      </w:r>
      <w:proofErr w:type="spellEnd"/>
      <w:r w:rsidRPr="00A47F4F" w:rsidDel="00A47F4F">
        <w:rPr>
          <w:rFonts w:cs="Arial"/>
        </w:rPr>
        <w:t xml:space="preserve"> hydrate has a </w:t>
      </w:r>
      <w:proofErr w:type="spellStart"/>
      <w:r w:rsidRPr="00A47F4F" w:rsidDel="00A47F4F">
        <w:rPr>
          <w:rFonts w:cs="Arial"/>
        </w:rPr>
        <w:t>pKa</w:t>
      </w:r>
      <w:proofErr w:type="spellEnd"/>
      <w:r w:rsidRPr="00A47F4F" w:rsidDel="00A47F4F">
        <w:rPr>
          <w:rFonts w:cs="Arial"/>
        </w:rPr>
        <w:t xml:space="preserve"> of 2.5 at 25°C. </w:t>
      </w:r>
    </w:p>
    <w:p w:rsidR="00085F33" w:rsidRPr="00A47F4F" w:rsidRDefault="0011309F">
      <w:pPr>
        <w:pStyle w:val="Heading1"/>
        <w:rPr>
          <w:sz w:val="22"/>
          <w:szCs w:val="22"/>
        </w:rPr>
      </w:pPr>
      <w:r w:rsidRPr="00A47F4F">
        <w:rPr>
          <w:sz w:val="22"/>
          <w:szCs w:val="22"/>
        </w:rPr>
        <w:t>Description</w:t>
      </w:r>
      <w:bookmarkEnd w:id="4"/>
    </w:p>
    <w:p w:rsidR="00085F33" w:rsidRPr="00A47F4F" w:rsidRDefault="0011309F">
      <w:pPr>
        <w:spacing w:line="240" w:lineRule="auto"/>
        <w:jc w:val="both"/>
        <w:rPr>
          <w:rFonts w:cs="Arial"/>
          <w:lang w:val="en-US"/>
        </w:rPr>
      </w:pPr>
      <w:r w:rsidRPr="00A47F4F">
        <w:rPr>
          <w:rFonts w:cs="Arial"/>
          <w:lang w:val="en-US"/>
        </w:rPr>
        <w:t xml:space="preserve">TECHNIVIE is a fixed-dose combination tablet containing </w:t>
      </w:r>
      <w:proofErr w:type="spellStart"/>
      <w:r w:rsidR="00CF48C0" w:rsidRPr="00A47F4F">
        <w:rPr>
          <w:rFonts w:cs="Arial"/>
          <w:lang w:val="en-US"/>
        </w:rPr>
        <w:t>paritaprevir</w:t>
      </w:r>
      <w:proofErr w:type="spellEnd"/>
      <w:r w:rsidR="00CF48C0">
        <w:rPr>
          <w:rFonts w:cs="Arial"/>
          <w:lang w:val="en-US"/>
        </w:rPr>
        <w:t>,</w:t>
      </w:r>
      <w:r w:rsidR="00CF48C0" w:rsidRPr="00A47F4F">
        <w:rPr>
          <w:rFonts w:cs="Arial"/>
          <w:lang w:val="en-US"/>
        </w:rPr>
        <w:t xml:space="preserve"> ritonavir and </w:t>
      </w:r>
      <w:proofErr w:type="spellStart"/>
      <w:r w:rsidRPr="00A47F4F">
        <w:rPr>
          <w:rFonts w:cs="Arial"/>
          <w:lang w:val="en-US"/>
        </w:rPr>
        <w:t>ombitasvir</w:t>
      </w:r>
      <w:proofErr w:type="spellEnd"/>
      <w:r w:rsidRPr="00A47F4F">
        <w:rPr>
          <w:rFonts w:cs="Arial"/>
          <w:lang w:val="en-US"/>
        </w:rPr>
        <w:t xml:space="preserve"> for oral administration.</w:t>
      </w:r>
    </w:p>
    <w:p w:rsidR="00085F33" w:rsidRPr="00A47F4F" w:rsidRDefault="00BB6FB3">
      <w:pPr>
        <w:spacing w:line="240" w:lineRule="auto"/>
        <w:jc w:val="both"/>
        <w:rPr>
          <w:rFonts w:cs="Arial"/>
        </w:rPr>
      </w:pPr>
      <w:bookmarkStart w:id="5" w:name="p309884291436540610"/>
      <w:bookmarkEnd w:id="5"/>
      <w:proofErr w:type="spellStart"/>
      <w:r>
        <w:rPr>
          <w:rFonts w:cs="Arial"/>
        </w:rPr>
        <w:t>P</w:t>
      </w:r>
      <w:r w:rsidR="0011309F" w:rsidRPr="00A47F4F">
        <w:rPr>
          <w:rFonts w:cs="Arial"/>
        </w:rPr>
        <w:t>aritaprevir</w:t>
      </w:r>
      <w:proofErr w:type="spellEnd"/>
      <w:r w:rsidR="0011309F" w:rsidRPr="00A47F4F">
        <w:rPr>
          <w:rFonts w:cs="Arial"/>
        </w:rPr>
        <w:t xml:space="preserve">, ritonavir </w:t>
      </w:r>
      <w:r>
        <w:rPr>
          <w:rFonts w:cs="Arial"/>
        </w:rPr>
        <w:t xml:space="preserve">and </w:t>
      </w:r>
      <w:proofErr w:type="spellStart"/>
      <w:r>
        <w:rPr>
          <w:rFonts w:cs="Arial"/>
        </w:rPr>
        <w:t>ombitasvir</w:t>
      </w:r>
      <w:proofErr w:type="spellEnd"/>
      <w:r>
        <w:rPr>
          <w:rFonts w:cs="Arial"/>
        </w:rPr>
        <w:t xml:space="preserve"> </w:t>
      </w:r>
      <w:r w:rsidR="0011309F" w:rsidRPr="00A47F4F">
        <w:rPr>
          <w:rFonts w:cs="Arial"/>
        </w:rPr>
        <w:t>fixed dose combination tablet includes a hepatitis C virus NS3/4A protease inhibitor (</w:t>
      </w:r>
      <w:proofErr w:type="spellStart"/>
      <w:r w:rsidR="0011309F" w:rsidRPr="00A47F4F">
        <w:rPr>
          <w:rFonts w:cs="Arial"/>
        </w:rPr>
        <w:t>paritaprevir</w:t>
      </w:r>
      <w:proofErr w:type="spellEnd"/>
      <w:r w:rsidR="0011309F" w:rsidRPr="00A47F4F">
        <w:rPr>
          <w:rFonts w:cs="Arial"/>
        </w:rPr>
        <w:t>), a hepatitis C virus NS5A inhibitor (</w:t>
      </w:r>
      <w:proofErr w:type="spellStart"/>
      <w:r w:rsidR="0011309F" w:rsidRPr="00A47F4F">
        <w:rPr>
          <w:rFonts w:cs="Arial"/>
        </w:rPr>
        <w:t>ombitasvir</w:t>
      </w:r>
      <w:proofErr w:type="spellEnd"/>
      <w:r w:rsidR="0011309F" w:rsidRPr="00A47F4F">
        <w:rPr>
          <w:rFonts w:cs="Arial"/>
        </w:rPr>
        <w:t xml:space="preserve">), and a CYP3A inhibitor (ritonavir) that inhibits CYP3A mediated metabolism of </w:t>
      </w:r>
      <w:proofErr w:type="spellStart"/>
      <w:r w:rsidR="0011309F" w:rsidRPr="00A47F4F">
        <w:rPr>
          <w:rFonts w:cs="Arial"/>
        </w:rPr>
        <w:t>paritaprevir</w:t>
      </w:r>
      <w:proofErr w:type="spellEnd"/>
      <w:r w:rsidR="0011309F" w:rsidRPr="00A47F4F">
        <w:rPr>
          <w:rFonts w:cs="Arial"/>
        </w:rPr>
        <w:t xml:space="preserve">, thereby providing increased plasma concentration of </w:t>
      </w:r>
      <w:proofErr w:type="spellStart"/>
      <w:r w:rsidR="0011309F" w:rsidRPr="00A47F4F">
        <w:rPr>
          <w:rFonts w:cs="Arial"/>
        </w:rPr>
        <w:t>paritaprevir</w:t>
      </w:r>
      <w:proofErr w:type="spellEnd"/>
      <w:r w:rsidR="0011309F" w:rsidRPr="00A47F4F">
        <w:rPr>
          <w:rFonts w:cs="Arial"/>
        </w:rPr>
        <w:t>.</w:t>
      </w:r>
    </w:p>
    <w:p w:rsidR="00085F33" w:rsidRPr="00A47F4F" w:rsidRDefault="0011309F">
      <w:pPr>
        <w:spacing w:line="240" w:lineRule="auto"/>
        <w:jc w:val="both"/>
        <w:rPr>
          <w:rFonts w:cs="Arial"/>
        </w:rPr>
      </w:pPr>
      <w:proofErr w:type="spellStart"/>
      <w:r w:rsidRPr="00A47F4F">
        <w:rPr>
          <w:rFonts w:cs="Arial"/>
        </w:rPr>
        <w:t>Paritaprevir</w:t>
      </w:r>
      <w:proofErr w:type="spellEnd"/>
      <w:r w:rsidRPr="00A47F4F">
        <w:rPr>
          <w:rFonts w:cs="Arial"/>
        </w:rPr>
        <w:t xml:space="preserve">, ritonavir, and </w:t>
      </w:r>
      <w:proofErr w:type="spellStart"/>
      <w:r w:rsidRPr="00A47F4F">
        <w:rPr>
          <w:rFonts w:cs="Arial"/>
        </w:rPr>
        <w:t>ombitasvir</w:t>
      </w:r>
      <w:proofErr w:type="spellEnd"/>
      <w:r w:rsidRPr="00A47F4F">
        <w:rPr>
          <w:rFonts w:cs="Arial"/>
        </w:rPr>
        <w:t xml:space="preserve"> are co-formulated as film-coated immediate release tablets.  The tablets also contain </w:t>
      </w:r>
      <w:proofErr w:type="spellStart"/>
      <w:r w:rsidRPr="00A47F4F">
        <w:rPr>
          <w:rFonts w:cs="Arial"/>
        </w:rPr>
        <w:t>copovidone</w:t>
      </w:r>
      <w:proofErr w:type="spellEnd"/>
      <w:r w:rsidRPr="00A47F4F">
        <w:rPr>
          <w:rFonts w:cs="Arial"/>
        </w:rPr>
        <w:t>,</w:t>
      </w:r>
      <w:r w:rsidRPr="00A47F4F">
        <w:rPr>
          <w:rFonts w:cs="Arial"/>
          <w:lang w:eastAsia="en-AU"/>
        </w:rPr>
        <w:t xml:space="preserve"> </w:t>
      </w:r>
      <w:proofErr w:type="spellStart"/>
      <w:r w:rsidRPr="00A47F4F">
        <w:rPr>
          <w:rFonts w:cs="Arial"/>
          <w:lang w:eastAsia="en-AU"/>
        </w:rPr>
        <w:t>tocofersolan</w:t>
      </w:r>
      <w:proofErr w:type="spellEnd"/>
      <w:r w:rsidRPr="00A47F4F">
        <w:rPr>
          <w:rFonts w:cs="Arial"/>
        </w:rPr>
        <w:t xml:space="preserve">, propylene glycol </w:t>
      </w:r>
      <w:proofErr w:type="spellStart"/>
      <w:r w:rsidRPr="00A47F4F">
        <w:rPr>
          <w:rFonts w:cs="Arial"/>
        </w:rPr>
        <w:t>monolaurate</w:t>
      </w:r>
      <w:proofErr w:type="spellEnd"/>
      <w:r w:rsidRPr="00A47F4F">
        <w:rPr>
          <w:rFonts w:cs="Arial"/>
        </w:rPr>
        <w:t xml:space="preserve">, </w:t>
      </w:r>
      <w:proofErr w:type="spellStart"/>
      <w:r w:rsidRPr="00A47F4F">
        <w:rPr>
          <w:rFonts w:cs="Arial"/>
        </w:rPr>
        <w:t>sorbitan</w:t>
      </w:r>
      <w:proofErr w:type="spellEnd"/>
      <w:r w:rsidRPr="00A47F4F">
        <w:rPr>
          <w:rFonts w:cs="Arial"/>
        </w:rPr>
        <w:t xml:space="preserve"> </w:t>
      </w:r>
      <w:proofErr w:type="spellStart"/>
      <w:r w:rsidRPr="00A47F4F">
        <w:rPr>
          <w:rFonts w:cs="Arial"/>
        </w:rPr>
        <w:t>monolaurate</w:t>
      </w:r>
      <w:proofErr w:type="spellEnd"/>
      <w:r w:rsidRPr="00A47F4F">
        <w:rPr>
          <w:rFonts w:cs="Arial"/>
        </w:rPr>
        <w:t xml:space="preserve">, silicon dioxide, sodium </w:t>
      </w:r>
      <w:proofErr w:type="spellStart"/>
      <w:r w:rsidRPr="00A47F4F">
        <w:rPr>
          <w:rFonts w:cs="Arial"/>
        </w:rPr>
        <w:t>stearyl</w:t>
      </w:r>
      <w:proofErr w:type="spellEnd"/>
      <w:r w:rsidRPr="00A47F4F">
        <w:rPr>
          <w:rFonts w:cs="Arial"/>
        </w:rPr>
        <w:t xml:space="preserve"> fumarate and </w:t>
      </w:r>
      <w:proofErr w:type="spellStart"/>
      <w:r w:rsidRPr="00A47F4F">
        <w:rPr>
          <w:rFonts w:cs="Arial"/>
        </w:rPr>
        <w:t>Opadry</w:t>
      </w:r>
      <w:proofErr w:type="spellEnd"/>
      <w:r w:rsidRPr="00A47F4F">
        <w:rPr>
          <w:rFonts w:cs="Arial"/>
        </w:rPr>
        <w:t xml:space="preserve"> II pink 85F140088 (polyvinyl alcohol, titanium dioxide, </w:t>
      </w:r>
      <w:proofErr w:type="spellStart"/>
      <w:r w:rsidRPr="00A47F4F">
        <w:rPr>
          <w:rFonts w:cs="Arial"/>
        </w:rPr>
        <w:t>macrogol</w:t>
      </w:r>
      <w:proofErr w:type="spellEnd"/>
      <w:r w:rsidRPr="00A47F4F">
        <w:rPr>
          <w:rFonts w:cs="Arial"/>
        </w:rPr>
        <w:t xml:space="preserve">, purified talc, and iron oxide red). </w:t>
      </w:r>
      <w:r w:rsidR="00DF6087">
        <w:rPr>
          <w:rFonts w:cs="Arial"/>
        </w:rPr>
        <w:t xml:space="preserve"> </w:t>
      </w:r>
      <w:r w:rsidRPr="00A47F4F">
        <w:rPr>
          <w:rFonts w:cs="Arial"/>
        </w:rPr>
        <w:t xml:space="preserve">The tablets do not contain gluten. </w:t>
      </w:r>
      <w:r w:rsidR="008502A7">
        <w:rPr>
          <w:rFonts w:cs="Arial"/>
        </w:rPr>
        <w:t xml:space="preserve"> </w:t>
      </w:r>
      <w:r w:rsidRPr="00A47F4F">
        <w:rPr>
          <w:rFonts w:cs="Arial"/>
        </w:rPr>
        <w:t xml:space="preserve">The strength for the fixed dose combination tablet is 75 mg </w:t>
      </w:r>
      <w:proofErr w:type="spellStart"/>
      <w:r w:rsidRPr="00A47F4F">
        <w:rPr>
          <w:rFonts w:cs="Arial"/>
        </w:rPr>
        <w:t>paritaprevir</w:t>
      </w:r>
      <w:proofErr w:type="spellEnd"/>
      <w:r w:rsidRPr="00A47F4F">
        <w:rPr>
          <w:rFonts w:cs="Arial"/>
        </w:rPr>
        <w:t xml:space="preserve">/50 mg ritonavir/12.5 mg </w:t>
      </w:r>
      <w:proofErr w:type="spellStart"/>
      <w:r w:rsidRPr="00A47F4F">
        <w:rPr>
          <w:rFonts w:cs="Arial"/>
        </w:rPr>
        <w:t>ombitasvir</w:t>
      </w:r>
      <w:proofErr w:type="spellEnd"/>
      <w:r w:rsidRPr="00A47F4F">
        <w:rPr>
          <w:rFonts w:cs="Arial"/>
        </w:rPr>
        <w:t>.</w:t>
      </w:r>
    </w:p>
    <w:p w:rsidR="00085F33" w:rsidRPr="00A47F4F" w:rsidRDefault="0011309F">
      <w:pPr>
        <w:pStyle w:val="Heading1"/>
        <w:jc w:val="left"/>
        <w:rPr>
          <w:rFonts w:cs="Arial"/>
          <w:sz w:val="22"/>
          <w:szCs w:val="22"/>
        </w:rPr>
      </w:pPr>
      <w:bookmarkStart w:id="6" w:name="_Toc383787389"/>
      <w:r w:rsidRPr="00A47F4F">
        <w:rPr>
          <w:rFonts w:cs="Arial"/>
          <w:sz w:val="22"/>
          <w:szCs w:val="22"/>
        </w:rPr>
        <w:t>Pharmacology</w:t>
      </w:r>
      <w:bookmarkEnd w:id="6"/>
    </w:p>
    <w:p w:rsidR="00085F33" w:rsidRPr="00A47F4F" w:rsidRDefault="0011309F">
      <w:pPr>
        <w:pStyle w:val="Heading2Unnumbered"/>
        <w:rPr>
          <w:sz w:val="22"/>
          <w:szCs w:val="22"/>
          <w:lang w:val="en-AU"/>
        </w:rPr>
      </w:pPr>
      <w:bookmarkStart w:id="7" w:name="_Toc383787390"/>
      <w:r w:rsidRPr="00A47F4F">
        <w:rPr>
          <w:sz w:val="22"/>
          <w:szCs w:val="22"/>
          <w:lang w:val="en-AU"/>
        </w:rPr>
        <w:t>Pharmacodynamics</w:t>
      </w:r>
      <w:bookmarkEnd w:id="7"/>
    </w:p>
    <w:p w:rsidR="00085F33" w:rsidRPr="00A47F4F" w:rsidRDefault="0011309F">
      <w:pPr>
        <w:spacing w:line="240" w:lineRule="auto"/>
        <w:jc w:val="both"/>
        <w:outlineLvl w:val="0"/>
        <w:rPr>
          <w:rFonts w:cs="Arial"/>
          <w:noProof/>
        </w:rPr>
      </w:pPr>
      <w:bookmarkStart w:id="8" w:name="_Toc383787391"/>
      <w:proofErr w:type="spellStart"/>
      <w:r w:rsidRPr="00A47F4F">
        <w:rPr>
          <w:rFonts w:cs="Arial"/>
        </w:rPr>
        <w:t>Pharmacotherapeutic</w:t>
      </w:r>
      <w:proofErr w:type="spellEnd"/>
      <w:r w:rsidRPr="00A47F4F">
        <w:rPr>
          <w:rFonts w:cs="Arial"/>
        </w:rPr>
        <w:t xml:space="preserve"> group: </w:t>
      </w:r>
      <w:r w:rsidR="00DF6087">
        <w:rPr>
          <w:rFonts w:cs="Arial"/>
        </w:rPr>
        <w:t xml:space="preserve"> </w:t>
      </w:r>
      <w:r w:rsidRPr="00A47F4F">
        <w:rPr>
          <w:rFonts w:eastAsia="TimesNewRoman" w:cs="Arial"/>
        </w:rPr>
        <w:t>Direct-acting antiviral</w:t>
      </w:r>
      <w:r w:rsidRPr="00A47F4F">
        <w:rPr>
          <w:rFonts w:cs="Arial"/>
        </w:rPr>
        <w:t>,</w:t>
      </w:r>
      <w:r w:rsidRPr="00A47F4F">
        <w:rPr>
          <w:rFonts w:cs="Arial"/>
          <w:noProof/>
        </w:rPr>
        <w:t xml:space="preserve"> ATC code: J05AX67</w:t>
      </w:r>
      <w:bookmarkEnd w:id="8"/>
    </w:p>
    <w:p w:rsidR="00085F33" w:rsidRPr="00A47F4F" w:rsidRDefault="0011309F">
      <w:pPr>
        <w:spacing w:line="240" w:lineRule="auto"/>
        <w:jc w:val="both"/>
        <w:rPr>
          <w:rFonts w:cs="Arial"/>
          <w:u w:val="single"/>
        </w:rPr>
      </w:pPr>
      <w:r w:rsidRPr="00A47F4F">
        <w:rPr>
          <w:rFonts w:cs="Arial"/>
          <w:u w:val="single"/>
        </w:rPr>
        <w:t>Mechanism of Action</w:t>
      </w:r>
    </w:p>
    <w:p w:rsidR="00085F33" w:rsidRPr="00A47F4F" w:rsidRDefault="0011309F">
      <w:pPr>
        <w:spacing w:line="240" w:lineRule="auto"/>
        <w:jc w:val="both"/>
        <w:rPr>
          <w:rFonts w:cs="Arial"/>
        </w:rPr>
      </w:pPr>
      <w:r w:rsidRPr="00A47F4F">
        <w:rPr>
          <w:rFonts w:cs="Arial"/>
        </w:rPr>
        <w:t>TECHNIVIE combines two direct-acting hepatitis C virus antiviral agents with distinct mechanisms of action and non-overlapping resistance profiles to target HCV at multiple steps in the viral lifecycle.</w:t>
      </w:r>
    </w:p>
    <w:p w:rsidR="00085F33" w:rsidRPr="00A47F4F" w:rsidRDefault="0011309F">
      <w:pPr>
        <w:spacing w:line="240" w:lineRule="auto"/>
        <w:jc w:val="both"/>
        <w:rPr>
          <w:rFonts w:eastAsia="MS Mincho" w:cs="Arial"/>
          <w:i/>
          <w:lang w:eastAsia="ja-JP"/>
        </w:rPr>
      </w:pPr>
      <w:proofErr w:type="spellStart"/>
      <w:r w:rsidRPr="00A47F4F">
        <w:rPr>
          <w:rFonts w:eastAsia="MS Mincho" w:cs="Arial"/>
          <w:i/>
          <w:lang w:eastAsia="ja-JP"/>
        </w:rPr>
        <w:lastRenderedPageBreak/>
        <w:t>Paritaprevir</w:t>
      </w:r>
      <w:proofErr w:type="spellEnd"/>
    </w:p>
    <w:p w:rsidR="00085F33" w:rsidRPr="00A47F4F" w:rsidRDefault="0011309F">
      <w:pPr>
        <w:spacing w:line="240" w:lineRule="auto"/>
        <w:jc w:val="both"/>
        <w:rPr>
          <w:rFonts w:cs="Arial"/>
        </w:rPr>
      </w:pPr>
      <w:proofErr w:type="spellStart"/>
      <w:r w:rsidRPr="00A47F4F">
        <w:rPr>
          <w:rFonts w:cs="Arial"/>
        </w:rPr>
        <w:t>Paritaprevir</w:t>
      </w:r>
      <w:proofErr w:type="spellEnd"/>
      <w:r w:rsidRPr="00A47F4F">
        <w:rPr>
          <w:rFonts w:cs="Arial"/>
        </w:rPr>
        <w:t xml:space="preserve"> is an inhibitor of HCV NS3/4A protease which is necessary for the proteolytic cleavage of the HCV encoded polyproteins </w:t>
      </w:r>
      <w:r w:rsidRPr="00A47F4F">
        <w:t xml:space="preserve">(into mature forms of the NS3, NS4A, NS4B, NS5A, and NS5B proteins) </w:t>
      </w:r>
      <w:r w:rsidRPr="00A47F4F">
        <w:rPr>
          <w:rFonts w:cs="Arial"/>
        </w:rPr>
        <w:t>and is essential for viral replication.</w:t>
      </w:r>
    </w:p>
    <w:p w:rsidR="00085F33" w:rsidRPr="00A47F4F" w:rsidRDefault="0011309F">
      <w:pPr>
        <w:spacing w:line="240" w:lineRule="auto"/>
        <w:jc w:val="both"/>
        <w:rPr>
          <w:rFonts w:cs="Arial"/>
          <w:i/>
        </w:rPr>
      </w:pPr>
      <w:r w:rsidRPr="00A47F4F">
        <w:rPr>
          <w:rFonts w:cs="Arial"/>
          <w:i/>
        </w:rPr>
        <w:t>Ritonavir</w:t>
      </w:r>
    </w:p>
    <w:p w:rsidR="00085F33" w:rsidRPr="00A47F4F" w:rsidRDefault="0011309F">
      <w:pPr>
        <w:spacing w:line="240" w:lineRule="auto"/>
        <w:jc w:val="both"/>
        <w:rPr>
          <w:rFonts w:cs="Arial"/>
        </w:rPr>
      </w:pPr>
      <w:r w:rsidRPr="00A47F4F">
        <w:rPr>
          <w:rFonts w:cs="Arial"/>
        </w:rPr>
        <w:t xml:space="preserve">Ritonavir is not active against HCV. </w:t>
      </w:r>
      <w:r w:rsidR="008502A7">
        <w:rPr>
          <w:rFonts w:cs="Arial"/>
        </w:rPr>
        <w:t xml:space="preserve"> </w:t>
      </w:r>
      <w:r w:rsidRPr="00A47F4F">
        <w:rPr>
          <w:rFonts w:cs="Arial"/>
        </w:rPr>
        <w:t xml:space="preserve">Ritonavir is a pharmacokinetic enhancer that increases peak and trough plasma drug concentrations of </w:t>
      </w:r>
      <w:proofErr w:type="spellStart"/>
      <w:r w:rsidRPr="00A47F4F">
        <w:rPr>
          <w:rFonts w:cs="Arial"/>
        </w:rPr>
        <w:t>paritaprevir</w:t>
      </w:r>
      <w:proofErr w:type="spellEnd"/>
      <w:r w:rsidRPr="00A47F4F">
        <w:rPr>
          <w:rFonts w:cs="Arial"/>
        </w:rPr>
        <w:t xml:space="preserve"> and overall drug exposure (i.e. area under the curve).</w:t>
      </w:r>
    </w:p>
    <w:p w:rsidR="00085F33" w:rsidRPr="00A47F4F" w:rsidRDefault="0011309F">
      <w:pPr>
        <w:spacing w:line="240" w:lineRule="auto"/>
        <w:jc w:val="both"/>
        <w:rPr>
          <w:rFonts w:eastAsia="MS Mincho" w:cs="Arial"/>
          <w:i/>
          <w:lang w:eastAsia="ja-JP"/>
        </w:rPr>
      </w:pPr>
      <w:proofErr w:type="spellStart"/>
      <w:r w:rsidRPr="00A47F4F">
        <w:rPr>
          <w:rFonts w:eastAsia="MS Mincho" w:cs="Arial"/>
          <w:i/>
          <w:lang w:eastAsia="ja-JP"/>
        </w:rPr>
        <w:t>Ombitasvir</w:t>
      </w:r>
      <w:proofErr w:type="spellEnd"/>
    </w:p>
    <w:p w:rsidR="00085F33" w:rsidRPr="00A47F4F" w:rsidRDefault="0011309F">
      <w:pPr>
        <w:spacing w:line="240" w:lineRule="auto"/>
        <w:jc w:val="both"/>
        <w:rPr>
          <w:rFonts w:cs="Arial"/>
        </w:rPr>
      </w:pPr>
      <w:proofErr w:type="spellStart"/>
      <w:r w:rsidRPr="00A47F4F">
        <w:rPr>
          <w:rFonts w:cs="Arial"/>
        </w:rPr>
        <w:t>Ombitasvir</w:t>
      </w:r>
      <w:proofErr w:type="spellEnd"/>
      <w:r w:rsidRPr="00A47F4F">
        <w:rPr>
          <w:rFonts w:cs="Arial"/>
        </w:rPr>
        <w:t xml:space="preserve"> is an inhibitor of HCV NS5A</w:t>
      </w:r>
      <w:r w:rsidR="004556D2" w:rsidRPr="00A47F4F">
        <w:rPr>
          <w:rFonts w:cs="Arial"/>
        </w:rPr>
        <w:t>,</w:t>
      </w:r>
      <w:r w:rsidRPr="00A47F4F">
        <w:rPr>
          <w:rFonts w:cs="Arial"/>
        </w:rPr>
        <w:t xml:space="preserve"> which is necessary for viral replication</w:t>
      </w:r>
      <w:r w:rsidR="004556D2" w:rsidRPr="00A47F4F">
        <w:t xml:space="preserve"> and </w:t>
      </w:r>
      <w:proofErr w:type="spellStart"/>
      <w:r w:rsidR="004556D2" w:rsidRPr="00A47F4F">
        <w:t>virion</w:t>
      </w:r>
      <w:proofErr w:type="spellEnd"/>
      <w:r w:rsidR="004556D2" w:rsidRPr="00A47F4F">
        <w:t xml:space="preserve"> assembly</w:t>
      </w:r>
      <w:r w:rsidRPr="00A47F4F">
        <w:rPr>
          <w:rFonts w:cs="Arial"/>
        </w:rPr>
        <w:t xml:space="preserve">. </w:t>
      </w:r>
    </w:p>
    <w:p w:rsidR="00085F33" w:rsidRPr="00A47F4F" w:rsidRDefault="0011309F">
      <w:pPr>
        <w:spacing w:line="240" w:lineRule="auto"/>
        <w:jc w:val="both"/>
        <w:rPr>
          <w:rFonts w:cs="Arial"/>
        </w:rPr>
      </w:pPr>
      <w:r w:rsidRPr="00A47F4F">
        <w:rPr>
          <w:rFonts w:cs="Arial"/>
          <w:u w:val="single"/>
        </w:rPr>
        <w:t>Activity in Cell Culture and/or Biochemical Studies</w:t>
      </w:r>
    </w:p>
    <w:p w:rsidR="00085F33" w:rsidRPr="00A47F4F" w:rsidRDefault="0011309F">
      <w:pPr>
        <w:spacing w:line="240" w:lineRule="auto"/>
        <w:jc w:val="both"/>
        <w:rPr>
          <w:rFonts w:cs="Arial"/>
        </w:rPr>
      </w:pPr>
      <w:proofErr w:type="spellStart"/>
      <w:r w:rsidRPr="00A47F4F">
        <w:rPr>
          <w:rFonts w:cs="Arial"/>
          <w:i/>
        </w:rPr>
        <w:t>Paritaprevir</w:t>
      </w:r>
      <w:proofErr w:type="spellEnd"/>
    </w:p>
    <w:p w:rsidR="00D55B18" w:rsidRDefault="0011309F" w:rsidP="00C674CD">
      <w:pPr>
        <w:spacing w:line="240" w:lineRule="auto"/>
        <w:jc w:val="both"/>
        <w:rPr>
          <w:rFonts w:cs="Arial"/>
        </w:rPr>
      </w:pPr>
      <w:r w:rsidRPr="00A47F4F">
        <w:rPr>
          <w:rFonts w:cs="Arial"/>
        </w:rPr>
        <w:t xml:space="preserve">In a biochemical assay, </w:t>
      </w:r>
      <w:proofErr w:type="spellStart"/>
      <w:r w:rsidRPr="00A47F4F">
        <w:rPr>
          <w:rFonts w:cs="Arial"/>
        </w:rPr>
        <w:t>paritaprevir</w:t>
      </w:r>
      <w:proofErr w:type="spellEnd"/>
      <w:r w:rsidRPr="00A47F4F">
        <w:rPr>
          <w:rFonts w:cs="Arial"/>
        </w:rPr>
        <w:t xml:space="preserve"> inhibited the proteolytic activity of </w:t>
      </w:r>
      <w:r w:rsidR="004556D2" w:rsidRPr="00A47F4F">
        <w:rPr>
          <w:rFonts w:cs="Arial"/>
        </w:rPr>
        <w:t>a recombinant HCV genotype 4a NS3/4A protease enzyme with an IC</w:t>
      </w:r>
      <w:r w:rsidR="004556D2" w:rsidRPr="00CF67E1">
        <w:rPr>
          <w:rFonts w:cs="Arial"/>
          <w:vertAlign w:val="subscript"/>
        </w:rPr>
        <w:t>50</w:t>
      </w:r>
      <w:r w:rsidR="004556D2" w:rsidRPr="00A47F4F">
        <w:rPr>
          <w:rFonts w:cs="Arial"/>
        </w:rPr>
        <w:t xml:space="preserve"> value of 0.16 </w:t>
      </w:r>
      <w:proofErr w:type="spellStart"/>
      <w:r w:rsidR="004556D2" w:rsidRPr="00A47F4F">
        <w:rPr>
          <w:rFonts w:cs="Arial"/>
        </w:rPr>
        <w:t>nM</w:t>
      </w:r>
      <w:proofErr w:type="spellEnd"/>
      <w:r w:rsidR="004556D2" w:rsidRPr="00A47F4F">
        <w:rPr>
          <w:rFonts w:cs="Arial"/>
        </w:rPr>
        <w:t xml:space="preserve">. </w:t>
      </w:r>
      <w:r w:rsidR="00027FE5">
        <w:rPr>
          <w:rFonts w:cs="Arial"/>
        </w:rPr>
        <w:t xml:space="preserve"> </w:t>
      </w:r>
      <w:r w:rsidR="004556D2" w:rsidRPr="00A47F4F">
        <w:rPr>
          <w:rFonts w:cs="Arial"/>
        </w:rPr>
        <w:t>The EC</w:t>
      </w:r>
      <w:r w:rsidR="004556D2" w:rsidRPr="00693A92">
        <w:rPr>
          <w:rFonts w:cs="Arial"/>
          <w:vertAlign w:val="subscript"/>
        </w:rPr>
        <w:t>50</w:t>
      </w:r>
      <w:r w:rsidR="004556D2" w:rsidRPr="00A47F4F">
        <w:rPr>
          <w:rFonts w:cs="Arial"/>
        </w:rPr>
        <w:t xml:space="preserve"> values of </w:t>
      </w:r>
      <w:proofErr w:type="spellStart"/>
      <w:r w:rsidR="004556D2" w:rsidRPr="00A47F4F">
        <w:rPr>
          <w:rFonts w:cs="Arial"/>
        </w:rPr>
        <w:t>paritaprevir</w:t>
      </w:r>
      <w:proofErr w:type="spellEnd"/>
      <w:r w:rsidR="004556D2" w:rsidRPr="00A47F4F">
        <w:rPr>
          <w:rFonts w:cs="Arial"/>
        </w:rPr>
        <w:t xml:space="preserve"> against HCV replicons containing NS3 from a single isolate each of genotype 4a and genotype 4d were 0.09 </w:t>
      </w:r>
      <w:proofErr w:type="spellStart"/>
      <w:r w:rsidR="004556D2" w:rsidRPr="00A47F4F">
        <w:rPr>
          <w:rFonts w:cs="Arial"/>
        </w:rPr>
        <w:t>nM</w:t>
      </w:r>
      <w:proofErr w:type="spellEnd"/>
      <w:r w:rsidR="004556D2" w:rsidRPr="00A47F4F">
        <w:rPr>
          <w:rFonts w:cs="Arial"/>
        </w:rPr>
        <w:t xml:space="preserve"> and 0.015 </w:t>
      </w:r>
      <w:proofErr w:type="spellStart"/>
      <w:r w:rsidR="004556D2" w:rsidRPr="00A47F4F">
        <w:rPr>
          <w:rFonts w:cs="Arial"/>
        </w:rPr>
        <w:t>nM</w:t>
      </w:r>
      <w:proofErr w:type="spellEnd"/>
      <w:r w:rsidR="004556D2" w:rsidRPr="00A47F4F">
        <w:rPr>
          <w:rFonts w:cs="Arial"/>
        </w:rPr>
        <w:t xml:space="preserve">, respectively. </w:t>
      </w:r>
      <w:r w:rsidR="008502A7">
        <w:rPr>
          <w:rFonts w:cs="Arial"/>
        </w:rPr>
        <w:t xml:space="preserve"> </w:t>
      </w:r>
      <w:proofErr w:type="spellStart"/>
      <w:r w:rsidR="004556D2" w:rsidRPr="00A47F4F">
        <w:rPr>
          <w:rFonts w:cs="Arial"/>
        </w:rPr>
        <w:t>Paritaprevir</w:t>
      </w:r>
      <w:proofErr w:type="spellEnd"/>
      <w:r w:rsidR="004556D2" w:rsidRPr="00A47F4F">
        <w:rPr>
          <w:rFonts w:cs="Arial"/>
        </w:rPr>
        <w:t xml:space="preserve"> inhibited the activity of NS3/4A enzymes from single isolates of genotypes 1a, 1b, 2a, 2b, and 3a with IC</w:t>
      </w:r>
      <w:r w:rsidR="004556D2" w:rsidRPr="00693A92">
        <w:rPr>
          <w:rFonts w:cs="Arial"/>
          <w:vertAlign w:val="subscript"/>
        </w:rPr>
        <w:t>50</w:t>
      </w:r>
      <w:r w:rsidR="004556D2" w:rsidRPr="00A47F4F">
        <w:rPr>
          <w:rFonts w:cs="Arial"/>
        </w:rPr>
        <w:t xml:space="preserve"> values of 0.18 </w:t>
      </w:r>
      <w:proofErr w:type="spellStart"/>
      <w:r w:rsidR="004556D2" w:rsidRPr="00A47F4F">
        <w:rPr>
          <w:rFonts w:cs="Arial"/>
        </w:rPr>
        <w:t>nM</w:t>
      </w:r>
      <w:proofErr w:type="spellEnd"/>
      <w:r w:rsidR="004556D2" w:rsidRPr="00A47F4F">
        <w:rPr>
          <w:rFonts w:cs="Arial"/>
        </w:rPr>
        <w:t xml:space="preserve">, 0.43 </w:t>
      </w:r>
      <w:proofErr w:type="spellStart"/>
      <w:r w:rsidR="004556D2" w:rsidRPr="00A47F4F">
        <w:rPr>
          <w:rFonts w:cs="Arial"/>
        </w:rPr>
        <w:t>nM</w:t>
      </w:r>
      <w:proofErr w:type="spellEnd"/>
      <w:r w:rsidR="004556D2" w:rsidRPr="00A47F4F">
        <w:rPr>
          <w:rFonts w:cs="Arial"/>
        </w:rPr>
        <w:t xml:space="preserve">, 2.4 </w:t>
      </w:r>
      <w:proofErr w:type="spellStart"/>
      <w:r w:rsidR="004556D2" w:rsidRPr="00A47F4F">
        <w:rPr>
          <w:rFonts w:cs="Arial"/>
        </w:rPr>
        <w:t>nM</w:t>
      </w:r>
      <w:proofErr w:type="spellEnd"/>
      <w:r w:rsidR="004556D2" w:rsidRPr="00A47F4F">
        <w:rPr>
          <w:rFonts w:cs="Arial"/>
        </w:rPr>
        <w:t xml:space="preserve">, 6.3 </w:t>
      </w:r>
      <w:proofErr w:type="spellStart"/>
      <w:r w:rsidR="004556D2" w:rsidRPr="00A47F4F">
        <w:rPr>
          <w:rFonts w:cs="Arial"/>
        </w:rPr>
        <w:t>nM</w:t>
      </w:r>
      <w:proofErr w:type="spellEnd"/>
      <w:r w:rsidR="004556D2" w:rsidRPr="00A47F4F">
        <w:rPr>
          <w:rFonts w:cs="Arial"/>
        </w:rPr>
        <w:t xml:space="preserve">, and 14.5 </w:t>
      </w:r>
      <w:proofErr w:type="spellStart"/>
      <w:r w:rsidR="004556D2" w:rsidRPr="00A47F4F">
        <w:rPr>
          <w:rFonts w:cs="Arial"/>
        </w:rPr>
        <w:t>nM</w:t>
      </w:r>
      <w:proofErr w:type="spellEnd"/>
      <w:r w:rsidR="004556D2" w:rsidRPr="00A47F4F">
        <w:rPr>
          <w:rFonts w:cs="Arial"/>
        </w:rPr>
        <w:t xml:space="preserve">, respectively. </w:t>
      </w:r>
      <w:r w:rsidR="008502A7">
        <w:rPr>
          <w:rFonts w:cs="Arial"/>
        </w:rPr>
        <w:t xml:space="preserve"> </w:t>
      </w:r>
      <w:proofErr w:type="spellStart"/>
      <w:r w:rsidR="004556D2" w:rsidRPr="00A47F4F">
        <w:rPr>
          <w:rFonts w:cs="Arial"/>
        </w:rPr>
        <w:t>Paritaprevir</w:t>
      </w:r>
      <w:proofErr w:type="spellEnd"/>
      <w:r w:rsidR="004556D2" w:rsidRPr="00A47F4F">
        <w:rPr>
          <w:rFonts w:cs="Arial"/>
        </w:rPr>
        <w:t xml:space="preserve"> had EC</w:t>
      </w:r>
      <w:r w:rsidR="004556D2" w:rsidRPr="00693A92">
        <w:rPr>
          <w:rFonts w:cs="Arial"/>
          <w:vertAlign w:val="subscript"/>
        </w:rPr>
        <w:t>50</w:t>
      </w:r>
      <w:r w:rsidR="004556D2" w:rsidRPr="00A47F4F">
        <w:rPr>
          <w:rFonts w:cs="Arial"/>
        </w:rPr>
        <w:t xml:space="preserve"> values of 1.0 </w:t>
      </w:r>
      <w:proofErr w:type="spellStart"/>
      <w:r w:rsidR="004556D2" w:rsidRPr="00A47F4F">
        <w:rPr>
          <w:rFonts w:cs="Arial"/>
        </w:rPr>
        <w:t>nM</w:t>
      </w:r>
      <w:proofErr w:type="spellEnd"/>
      <w:r w:rsidR="004556D2" w:rsidRPr="00A47F4F">
        <w:rPr>
          <w:rFonts w:cs="Arial"/>
        </w:rPr>
        <w:t xml:space="preserve">, 0.21 </w:t>
      </w:r>
      <w:proofErr w:type="spellStart"/>
      <w:r w:rsidR="004556D2" w:rsidRPr="00A47F4F">
        <w:rPr>
          <w:rFonts w:cs="Arial"/>
        </w:rPr>
        <w:t>nM</w:t>
      </w:r>
      <w:proofErr w:type="spellEnd"/>
      <w:r w:rsidR="004556D2" w:rsidRPr="00A47F4F">
        <w:rPr>
          <w:rFonts w:cs="Arial"/>
        </w:rPr>
        <w:t xml:space="preserve">, 5.3 </w:t>
      </w:r>
      <w:proofErr w:type="spellStart"/>
      <w:r w:rsidR="004556D2" w:rsidRPr="00A47F4F">
        <w:rPr>
          <w:rFonts w:cs="Arial"/>
        </w:rPr>
        <w:t>nM</w:t>
      </w:r>
      <w:proofErr w:type="spellEnd"/>
      <w:r w:rsidR="004556D2" w:rsidRPr="00A47F4F">
        <w:rPr>
          <w:rFonts w:cs="Arial"/>
        </w:rPr>
        <w:t xml:space="preserve">, 19 </w:t>
      </w:r>
      <w:proofErr w:type="spellStart"/>
      <w:r w:rsidR="004556D2" w:rsidRPr="00A47F4F">
        <w:rPr>
          <w:rFonts w:cs="Arial"/>
        </w:rPr>
        <w:t>nM</w:t>
      </w:r>
      <w:proofErr w:type="spellEnd"/>
      <w:r w:rsidR="005F304F">
        <w:rPr>
          <w:rFonts w:cs="Arial"/>
        </w:rPr>
        <w:t xml:space="preserve">, </w:t>
      </w:r>
      <w:r w:rsidR="005F304F" w:rsidRPr="00A47F4F">
        <w:rPr>
          <w:rFonts w:cs="Arial"/>
        </w:rPr>
        <w:t>and</w:t>
      </w:r>
      <w:r w:rsidR="005F304F">
        <w:rPr>
          <w:rFonts w:cs="Arial"/>
        </w:rPr>
        <w:t xml:space="preserve"> </w:t>
      </w:r>
      <w:r w:rsidR="005F304F" w:rsidRPr="00A47F4F">
        <w:rPr>
          <w:rFonts w:cs="Arial"/>
        </w:rPr>
        <w:t>0.68</w:t>
      </w:r>
      <w:r w:rsidR="004556D2" w:rsidRPr="00A47F4F">
        <w:rPr>
          <w:rFonts w:cs="Arial"/>
        </w:rPr>
        <w:t xml:space="preserve"> </w:t>
      </w:r>
      <w:proofErr w:type="spellStart"/>
      <w:r w:rsidR="004556D2" w:rsidRPr="00A47F4F">
        <w:rPr>
          <w:rFonts w:cs="Arial"/>
        </w:rPr>
        <w:t>nM</w:t>
      </w:r>
      <w:proofErr w:type="spellEnd"/>
      <w:r w:rsidR="004556D2" w:rsidRPr="00A47F4F">
        <w:rPr>
          <w:rFonts w:cs="Arial"/>
        </w:rPr>
        <w:t xml:space="preserve"> against replicon cell lines representing genotypes 1a-H77, 1b-Con1, 2a-JFH1, 3a and 6a, respectively.</w:t>
      </w:r>
    </w:p>
    <w:p w:rsidR="00235700" w:rsidRPr="00235700" w:rsidRDefault="00235700" w:rsidP="00C674CD">
      <w:pPr>
        <w:spacing w:line="240" w:lineRule="auto"/>
        <w:jc w:val="both"/>
        <w:rPr>
          <w:rFonts w:cs="Arial"/>
          <w:i/>
        </w:rPr>
      </w:pPr>
      <w:r>
        <w:rPr>
          <w:rFonts w:cs="Arial"/>
          <w:i/>
        </w:rPr>
        <w:t>Ritonavir</w:t>
      </w:r>
    </w:p>
    <w:p w:rsidR="00085F33" w:rsidRPr="00A47F4F" w:rsidRDefault="0011309F">
      <w:pPr>
        <w:spacing w:line="240" w:lineRule="auto"/>
        <w:jc w:val="both"/>
        <w:rPr>
          <w:rFonts w:cs="Arial"/>
        </w:rPr>
      </w:pPr>
      <w:r w:rsidRPr="00A47F4F">
        <w:rPr>
          <w:rFonts w:cs="Arial"/>
        </w:rPr>
        <w:t xml:space="preserve">Ritonavir did not exhibit a direct antiviral effect on the replication of HCV </w:t>
      </w:r>
      <w:proofErr w:type="spellStart"/>
      <w:r w:rsidRPr="00A47F4F">
        <w:rPr>
          <w:rFonts w:cs="Arial"/>
        </w:rPr>
        <w:t>subgenomic</w:t>
      </w:r>
      <w:proofErr w:type="spellEnd"/>
      <w:r w:rsidRPr="00A47F4F">
        <w:rPr>
          <w:rFonts w:cs="Arial"/>
        </w:rPr>
        <w:t xml:space="preserve"> replicons, and the presence of ritonavir did not affect the </w:t>
      </w:r>
      <w:r w:rsidRPr="00A47F4F">
        <w:rPr>
          <w:rFonts w:cs="Arial"/>
          <w:i/>
        </w:rPr>
        <w:t>in vitro</w:t>
      </w:r>
      <w:r w:rsidRPr="00A47F4F">
        <w:rPr>
          <w:rFonts w:cs="Arial"/>
        </w:rPr>
        <w:t xml:space="preserve"> antiviral activity of </w:t>
      </w:r>
      <w:proofErr w:type="spellStart"/>
      <w:r w:rsidRPr="00A47F4F">
        <w:rPr>
          <w:rFonts w:cs="Arial"/>
        </w:rPr>
        <w:t>paritaprevir</w:t>
      </w:r>
      <w:proofErr w:type="spellEnd"/>
      <w:r w:rsidRPr="00A47F4F">
        <w:rPr>
          <w:rFonts w:cs="Arial"/>
        </w:rPr>
        <w:t>.</w:t>
      </w:r>
    </w:p>
    <w:p w:rsidR="00085F33" w:rsidRPr="00A47F4F" w:rsidRDefault="0011309F">
      <w:pPr>
        <w:spacing w:line="240" w:lineRule="auto"/>
        <w:jc w:val="both"/>
        <w:rPr>
          <w:rFonts w:cs="Arial"/>
        </w:rPr>
      </w:pPr>
      <w:proofErr w:type="spellStart"/>
      <w:r w:rsidRPr="00A47F4F">
        <w:rPr>
          <w:rFonts w:cs="Arial"/>
          <w:i/>
        </w:rPr>
        <w:t>Ombitasvir</w:t>
      </w:r>
      <w:proofErr w:type="spellEnd"/>
    </w:p>
    <w:p w:rsidR="004556D2" w:rsidRPr="00A47F4F" w:rsidRDefault="0011309F" w:rsidP="00C674CD">
      <w:pPr>
        <w:spacing w:line="240" w:lineRule="auto"/>
        <w:jc w:val="both"/>
        <w:rPr>
          <w:rFonts w:cs="Arial"/>
        </w:rPr>
      </w:pPr>
      <w:r w:rsidRPr="00A47F4F">
        <w:rPr>
          <w:rFonts w:cs="Arial"/>
        </w:rPr>
        <w:t xml:space="preserve">In replicon cell culture assays, </w:t>
      </w:r>
      <w:r w:rsidR="004556D2" w:rsidRPr="00A47F4F">
        <w:rPr>
          <w:rFonts w:cs="Arial"/>
        </w:rPr>
        <w:t>the EC</w:t>
      </w:r>
      <w:r w:rsidR="004556D2" w:rsidRPr="00693A92">
        <w:rPr>
          <w:rFonts w:cs="Arial"/>
          <w:vertAlign w:val="subscript"/>
        </w:rPr>
        <w:t>50</w:t>
      </w:r>
      <w:r w:rsidR="004556D2" w:rsidRPr="00A47F4F">
        <w:rPr>
          <w:rFonts w:cs="Arial"/>
        </w:rPr>
        <w:t xml:space="preserve"> values of </w:t>
      </w:r>
      <w:proofErr w:type="spellStart"/>
      <w:r w:rsidR="004556D2" w:rsidRPr="00A47F4F">
        <w:rPr>
          <w:rFonts w:cs="Arial"/>
        </w:rPr>
        <w:t>ombitasvir</w:t>
      </w:r>
      <w:proofErr w:type="spellEnd"/>
      <w:r w:rsidR="004556D2" w:rsidRPr="00A47F4F">
        <w:rPr>
          <w:rFonts w:cs="Arial"/>
        </w:rPr>
        <w:t xml:space="preserve"> against HCV replicons containing NS5A from a single isolate each of genotype 4a and genotype 4d were 1.7 </w:t>
      </w:r>
      <w:proofErr w:type="spellStart"/>
      <w:r w:rsidR="004556D2" w:rsidRPr="00A47F4F">
        <w:rPr>
          <w:rFonts w:cs="Arial"/>
        </w:rPr>
        <w:t>pM</w:t>
      </w:r>
      <w:proofErr w:type="spellEnd"/>
      <w:r w:rsidR="004556D2" w:rsidRPr="00A47F4F">
        <w:rPr>
          <w:rFonts w:cs="Arial"/>
        </w:rPr>
        <w:t xml:space="preserve"> and 0.38 </w:t>
      </w:r>
      <w:proofErr w:type="spellStart"/>
      <w:r w:rsidR="004556D2" w:rsidRPr="00A47F4F">
        <w:rPr>
          <w:rFonts w:cs="Arial"/>
        </w:rPr>
        <w:t>pM</w:t>
      </w:r>
      <w:proofErr w:type="spellEnd"/>
      <w:r w:rsidR="004556D2" w:rsidRPr="00A47F4F">
        <w:rPr>
          <w:rFonts w:cs="Arial"/>
        </w:rPr>
        <w:t xml:space="preserve">, respectively. </w:t>
      </w:r>
      <w:r w:rsidR="00027FE5">
        <w:rPr>
          <w:rFonts w:cs="Arial"/>
        </w:rPr>
        <w:t xml:space="preserve"> </w:t>
      </w:r>
      <w:proofErr w:type="spellStart"/>
      <w:r w:rsidR="004556D2" w:rsidRPr="00A47F4F">
        <w:rPr>
          <w:rFonts w:cs="Arial"/>
        </w:rPr>
        <w:t>Ombitasvir</w:t>
      </w:r>
      <w:proofErr w:type="spellEnd"/>
      <w:r w:rsidR="004556D2" w:rsidRPr="00A47F4F">
        <w:rPr>
          <w:rFonts w:cs="Arial"/>
        </w:rPr>
        <w:t xml:space="preserve"> had a median EC</w:t>
      </w:r>
      <w:r w:rsidR="004556D2" w:rsidRPr="00693A92">
        <w:rPr>
          <w:rFonts w:cs="Arial"/>
          <w:vertAlign w:val="subscript"/>
        </w:rPr>
        <w:t>50</w:t>
      </w:r>
      <w:r w:rsidR="004556D2" w:rsidRPr="00A47F4F">
        <w:rPr>
          <w:rFonts w:cs="Arial"/>
        </w:rPr>
        <w:t xml:space="preserve"> value of 0.21 </w:t>
      </w:r>
      <w:proofErr w:type="spellStart"/>
      <w:r w:rsidR="004556D2" w:rsidRPr="00A47F4F">
        <w:rPr>
          <w:rFonts w:cs="Arial"/>
        </w:rPr>
        <w:t>pM</w:t>
      </w:r>
      <w:proofErr w:type="spellEnd"/>
      <w:r w:rsidR="004556D2" w:rsidRPr="00A47F4F">
        <w:rPr>
          <w:rFonts w:cs="Arial"/>
        </w:rPr>
        <w:t xml:space="preserve"> (range 0.10 </w:t>
      </w:r>
      <w:proofErr w:type="spellStart"/>
      <w:r w:rsidR="004556D2" w:rsidRPr="00A47F4F">
        <w:rPr>
          <w:rFonts w:cs="Arial"/>
        </w:rPr>
        <w:t>pM</w:t>
      </w:r>
      <w:proofErr w:type="spellEnd"/>
      <w:r w:rsidR="004556D2" w:rsidRPr="00A47F4F">
        <w:rPr>
          <w:rFonts w:cs="Arial"/>
        </w:rPr>
        <w:t xml:space="preserve"> to 0.36 </w:t>
      </w:r>
      <w:proofErr w:type="spellStart"/>
      <w:r w:rsidR="004556D2" w:rsidRPr="00A47F4F">
        <w:rPr>
          <w:rFonts w:cs="Arial"/>
        </w:rPr>
        <w:t>pM</w:t>
      </w:r>
      <w:proofErr w:type="spellEnd"/>
      <w:r w:rsidR="004556D2" w:rsidRPr="00A47F4F">
        <w:rPr>
          <w:rFonts w:cs="Arial"/>
        </w:rPr>
        <w:t xml:space="preserve">; n=9) against transient HCV replicons containing NS5A genes from a panel of genotype 4a isolates from treatment-naïve subjects. </w:t>
      </w:r>
      <w:r w:rsidR="00027FE5">
        <w:rPr>
          <w:rFonts w:cs="Arial"/>
        </w:rPr>
        <w:t xml:space="preserve"> </w:t>
      </w:r>
      <w:proofErr w:type="spellStart"/>
      <w:r w:rsidR="004556D2" w:rsidRPr="00A47F4F">
        <w:rPr>
          <w:rFonts w:cs="Arial"/>
        </w:rPr>
        <w:t>Ombitasvir</w:t>
      </w:r>
      <w:proofErr w:type="spellEnd"/>
      <w:r w:rsidR="004556D2" w:rsidRPr="00A47F4F">
        <w:rPr>
          <w:rFonts w:cs="Arial"/>
        </w:rPr>
        <w:t xml:space="preserve"> had EC</w:t>
      </w:r>
      <w:r w:rsidR="004556D2" w:rsidRPr="00693A92">
        <w:rPr>
          <w:rFonts w:cs="Arial"/>
          <w:vertAlign w:val="subscript"/>
        </w:rPr>
        <w:t>50</w:t>
      </w:r>
      <w:r w:rsidR="004556D2" w:rsidRPr="00A47F4F">
        <w:rPr>
          <w:rFonts w:cs="Arial"/>
        </w:rPr>
        <w:t xml:space="preserve"> values of 14 </w:t>
      </w:r>
      <w:proofErr w:type="spellStart"/>
      <w:r w:rsidR="004556D2" w:rsidRPr="00A47F4F">
        <w:rPr>
          <w:rFonts w:cs="Arial"/>
        </w:rPr>
        <w:t>pM</w:t>
      </w:r>
      <w:proofErr w:type="spellEnd"/>
      <w:r w:rsidR="004556D2" w:rsidRPr="00A47F4F">
        <w:rPr>
          <w:rFonts w:cs="Arial"/>
        </w:rPr>
        <w:t xml:space="preserve">, 5.0 </w:t>
      </w:r>
      <w:proofErr w:type="spellStart"/>
      <w:r w:rsidR="004556D2" w:rsidRPr="00A47F4F">
        <w:rPr>
          <w:rFonts w:cs="Arial"/>
        </w:rPr>
        <w:t>pM</w:t>
      </w:r>
      <w:proofErr w:type="spellEnd"/>
      <w:r w:rsidR="004556D2" w:rsidRPr="00A47F4F">
        <w:rPr>
          <w:rFonts w:cs="Arial"/>
        </w:rPr>
        <w:t xml:space="preserve">, 12 </w:t>
      </w:r>
      <w:proofErr w:type="spellStart"/>
      <w:r w:rsidR="004556D2" w:rsidRPr="00A47F4F">
        <w:rPr>
          <w:rFonts w:cs="Arial"/>
        </w:rPr>
        <w:t>pM</w:t>
      </w:r>
      <w:proofErr w:type="spellEnd"/>
      <w:r w:rsidR="004556D2" w:rsidRPr="00A47F4F">
        <w:rPr>
          <w:rFonts w:cs="Arial"/>
        </w:rPr>
        <w:t xml:space="preserve">, 4.3 </w:t>
      </w:r>
      <w:proofErr w:type="spellStart"/>
      <w:r w:rsidR="004556D2" w:rsidRPr="00A47F4F">
        <w:rPr>
          <w:rFonts w:cs="Arial"/>
        </w:rPr>
        <w:t>pM</w:t>
      </w:r>
      <w:proofErr w:type="spellEnd"/>
      <w:r w:rsidR="004556D2" w:rsidRPr="00A47F4F">
        <w:rPr>
          <w:rFonts w:cs="Arial"/>
        </w:rPr>
        <w:t xml:space="preserve">, 19 </w:t>
      </w:r>
      <w:proofErr w:type="spellStart"/>
      <w:r w:rsidR="004556D2" w:rsidRPr="00A47F4F">
        <w:rPr>
          <w:rFonts w:cs="Arial"/>
        </w:rPr>
        <w:t>pM</w:t>
      </w:r>
      <w:proofErr w:type="spellEnd"/>
      <w:r w:rsidR="004556D2" w:rsidRPr="00A47F4F">
        <w:rPr>
          <w:rFonts w:cs="Arial"/>
        </w:rPr>
        <w:t xml:space="preserve">, 3.2 </w:t>
      </w:r>
      <w:proofErr w:type="spellStart"/>
      <w:r w:rsidR="004556D2" w:rsidRPr="00A47F4F">
        <w:rPr>
          <w:rFonts w:cs="Arial"/>
        </w:rPr>
        <w:t>pM</w:t>
      </w:r>
      <w:proofErr w:type="spellEnd"/>
      <w:r w:rsidR="004556D2" w:rsidRPr="00A47F4F">
        <w:rPr>
          <w:rFonts w:cs="Arial"/>
        </w:rPr>
        <w:t xml:space="preserve">, and 366 </w:t>
      </w:r>
      <w:proofErr w:type="spellStart"/>
      <w:r w:rsidR="004556D2" w:rsidRPr="00A47F4F">
        <w:rPr>
          <w:rFonts w:cs="Arial"/>
        </w:rPr>
        <w:t>pM</w:t>
      </w:r>
      <w:proofErr w:type="spellEnd"/>
      <w:r w:rsidR="004556D2" w:rsidRPr="00A47F4F">
        <w:rPr>
          <w:rFonts w:cs="Arial"/>
        </w:rPr>
        <w:t xml:space="preserve"> against replicon cell lines representing genotypes 1a-H77, 1b-Con1, 2a, 2b, 3a, 5a and 6a, respectively.</w:t>
      </w:r>
    </w:p>
    <w:p w:rsidR="00085F33" w:rsidRPr="00A47F4F" w:rsidRDefault="0011309F">
      <w:pPr>
        <w:spacing w:line="240" w:lineRule="auto"/>
        <w:jc w:val="both"/>
        <w:rPr>
          <w:rFonts w:cs="Arial"/>
          <w:u w:val="single"/>
          <w:lang w:val="en-US"/>
        </w:rPr>
      </w:pPr>
      <w:r w:rsidRPr="00A47F4F">
        <w:rPr>
          <w:rFonts w:cs="Arial"/>
          <w:u w:val="single"/>
          <w:lang w:val="en-US"/>
        </w:rPr>
        <w:t>Resistance</w:t>
      </w:r>
    </w:p>
    <w:p w:rsidR="00085F33" w:rsidRPr="00AE6349" w:rsidRDefault="0011309F">
      <w:pPr>
        <w:spacing w:line="240" w:lineRule="auto"/>
        <w:jc w:val="both"/>
        <w:rPr>
          <w:rFonts w:cs="Arial"/>
          <w:lang w:val="en-US"/>
        </w:rPr>
      </w:pPr>
      <w:bookmarkStart w:id="9" w:name="InCellCulture-2224D23D"/>
      <w:bookmarkEnd w:id="9"/>
      <w:r w:rsidRPr="00AE6349">
        <w:rPr>
          <w:rFonts w:cs="Arial"/>
          <w:i/>
          <w:lang w:val="en-US"/>
        </w:rPr>
        <w:t>In Cell Culture</w:t>
      </w:r>
    </w:p>
    <w:p w:rsidR="00085F33" w:rsidRDefault="0011309F">
      <w:pPr>
        <w:spacing w:line="240" w:lineRule="auto"/>
        <w:jc w:val="both"/>
        <w:rPr>
          <w:rFonts w:cs="Arial"/>
          <w:lang w:val="en-US"/>
        </w:rPr>
      </w:pPr>
      <w:bookmarkStart w:id="10" w:name="p299603291437485677"/>
      <w:bookmarkEnd w:id="10"/>
      <w:r w:rsidRPr="00AE6349">
        <w:rPr>
          <w:rFonts w:cs="Arial"/>
          <w:lang w:val="en-US"/>
        </w:rPr>
        <w:t xml:space="preserve">Exposure of HCV genotype 4a replicons to </w:t>
      </w:r>
      <w:proofErr w:type="spellStart"/>
      <w:r w:rsidRPr="00AE6349">
        <w:rPr>
          <w:rFonts w:cs="Arial"/>
          <w:lang w:val="en-US"/>
        </w:rPr>
        <w:t>ombitasvir</w:t>
      </w:r>
      <w:proofErr w:type="spellEnd"/>
      <w:r w:rsidRPr="00AE6349">
        <w:rPr>
          <w:rFonts w:cs="Arial"/>
          <w:lang w:val="en-US"/>
        </w:rPr>
        <w:t xml:space="preserve"> or </w:t>
      </w:r>
      <w:proofErr w:type="spellStart"/>
      <w:r w:rsidRPr="00AE6349">
        <w:rPr>
          <w:rFonts w:cs="Arial"/>
          <w:lang w:val="en-US"/>
        </w:rPr>
        <w:t>paritaprevir</w:t>
      </w:r>
      <w:proofErr w:type="spellEnd"/>
      <w:r w:rsidRPr="00AE6349">
        <w:rPr>
          <w:rFonts w:cs="Arial"/>
          <w:lang w:val="en-US"/>
        </w:rPr>
        <w:t xml:space="preserve"> resulted in the emergence of drug resistant replicons carrying amino acid substitutions in NS5A or NS3, respectively. </w:t>
      </w:r>
      <w:r w:rsidR="00027FE5">
        <w:rPr>
          <w:rFonts w:cs="Arial"/>
          <w:lang w:val="en-US"/>
        </w:rPr>
        <w:t xml:space="preserve"> </w:t>
      </w:r>
      <w:r w:rsidRPr="00AE6349">
        <w:rPr>
          <w:rFonts w:cs="Arial"/>
          <w:lang w:val="en-US"/>
        </w:rPr>
        <w:t>Amino acid substitutions in NS5A or NS3 selected in cell culture or identified in clinical study PEARL-I were phenotypically</w:t>
      </w:r>
      <w:r w:rsidRPr="005F304F">
        <w:rPr>
          <w:rFonts w:cs="Arial"/>
        </w:rPr>
        <w:t xml:space="preserve"> </w:t>
      </w:r>
      <w:r w:rsidR="00027FE5" w:rsidRPr="005F304F">
        <w:rPr>
          <w:rFonts w:cs="Arial"/>
        </w:rPr>
        <w:t>characterised</w:t>
      </w:r>
      <w:r w:rsidR="00027FE5" w:rsidRPr="00AE6349">
        <w:rPr>
          <w:rFonts w:cs="Arial"/>
          <w:lang w:val="en-US"/>
        </w:rPr>
        <w:t xml:space="preserve"> </w:t>
      </w:r>
      <w:r w:rsidRPr="00AE6349">
        <w:rPr>
          <w:rFonts w:cs="Arial"/>
          <w:lang w:val="en-US"/>
        </w:rPr>
        <w:t xml:space="preserve">in genotype 4 replicons. </w:t>
      </w:r>
    </w:p>
    <w:p w:rsidR="00085F33" w:rsidRPr="00AE6349" w:rsidRDefault="0011309F">
      <w:pPr>
        <w:spacing w:line="240" w:lineRule="auto"/>
        <w:jc w:val="both"/>
        <w:rPr>
          <w:rFonts w:cs="Arial"/>
          <w:lang w:val="en-US"/>
        </w:rPr>
      </w:pPr>
      <w:bookmarkStart w:id="11" w:name="p299556291437485774"/>
      <w:bookmarkEnd w:id="11"/>
      <w:r w:rsidRPr="00AE6349">
        <w:rPr>
          <w:rFonts w:cs="Arial"/>
          <w:lang w:val="en-US"/>
        </w:rPr>
        <w:t xml:space="preserve">For </w:t>
      </w:r>
      <w:proofErr w:type="spellStart"/>
      <w:r w:rsidRPr="00AE6349">
        <w:rPr>
          <w:rFonts w:cs="Arial"/>
          <w:lang w:val="en-US"/>
        </w:rPr>
        <w:t>ombitasvir</w:t>
      </w:r>
      <w:proofErr w:type="spellEnd"/>
      <w:r w:rsidRPr="00AE6349">
        <w:rPr>
          <w:rFonts w:cs="Arial"/>
          <w:lang w:val="en-US"/>
        </w:rPr>
        <w:t xml:space="preserve">, in an HCV genotype 4a replicon, NS5A substitution L28V reduced </w:t>
      </w:r>
      <w:proofErr w:type="spellStart"/>
      <w:r w:rsidRPr="00AE6349">
        <w:rPr>
          <w:rFonts w:cs="Arial"/>
          <w:lang w:val="en-US"/>
        </w:rPr>
        <w:t>ombitasvir</w:t>
      </w:r>
      <w:proofErr w:type="spellEnd"/>
      <w:r w:rsidRPr="00AE6349">
        <w:rPr>
          <w:rFonts w:cs="Arial"/>
          <w:lang w:val="en-US"/>
        </w:rPr>
        <w:t xml:space="preserve"> antiviral activity by 21-fold. </w:t>
      </w:r>
      <w:r w:rsidR="00027FE5">
        <w:rPr>
          <w:rFonts w:cs="Arial"/>
          <w:lang w:val="en-US"/>
        </w:rPr>
        <w:t xml:space="preserve"> </w:t>
      </w:r>
      <w:r w:rsidRPr="00AE6349">
        <w:rPr>
          <w:rFonts w:cs="Arial"/>
          <w:lang w:val="en-US"/>
        </w:rPr>
        <w:t xml:space="preserve">In an HCV genotype 4d replicon, substitutions L28V alone and L28V in combination with T58S reduced </w:t>
      </w:r>
      <w:proofErr w:type="spellStart"/>
      <w:r w:rsidRPr="00AE6349">
        <w:rPr>
          <w:rFonts w:cs="Arial"/>
          <w:lang w:val="en-US"/>
        </w:rPr>
        <w:t>ombitasvir</w:t>
      </w:r>
      <w:proofErr w:type="spellEnd"/>
      <w:r w:rsidRPr="00AE6349">
        <w:rPr>
          <w:rFonts w:cs="Arial"/>
          <w:lang w:val="en-US"/>
        </w:rPr>
        <w:t xml:space="preserve"> antiviral activity by 310- and 760-fold, respectively. </w:t>
      </w:r>
      <w:r w:rsidR="00027FE5">
        <w:rPr>
          <w:rFonts w:cs="Arial"/>
          <w:lang w:val="en-US"/>
        </w:rPr>
        <w:t xml:space="preserve"> </w:t>
      </w:r>
      <w:proofErr w:type="spellStart"/>
      <w:r w:rsidRPr="00AE6349">
        <w:rPr>
          <w:rFonts w:cs="Arial"/>
          <w:lang w:val="en-US"/>
        </w:rPr>
        <w:lastRenderedPageBreak/>
        <w:t>Ombitasvir</w:t>
      </w:r>
      <w:proofErr w:type="spellEnd"/>
      <w:r w:rsidRPr="00AE6349">
        <w:rPr>
          <w:rFonts w:cs="Arial"/>
          <w:lang w:val="en-US"/>
        </w:rPr>
        <w:t xml:space="preserve"> activity against an HCV genotype 4d replicon was not reduced by a T58P polymorphism, which represents the consensus sequence observed at this position for HCV genotype 4a and 4d subjects in PEARL-</w:t>
      </w:r>
      <w:r w:rsidR="00235700">
        <w:rPr>
          <w:rFonts w:cs="Arial"/>
          <w:lang w:val="en-US"/>
        </w:rPr>
        <w:t>I</w:t>
      </w:r>
      <w:r w:rsidRPr="00AE6349">
        <w:rPr>
          <w:rFonts w:cs="Arial"/>
          <w:lang w:val="en-US"/>
        </w:rPr>
        <w:t xml:space="preserve">. </w:t>
      </w:r>
    </w:p>
    <w:p w:rsidR="00085F33" w:rsidRPr="00AE6349" w:rsidRDefault="0011309F">
      <w:pPr>
        <w:spacing w:line="240" w:lineRule="auto"/>
        <w:jc w:val="both"/>
        <w:rPr>
          <w:rFonts w:cs="Arial"/>
          <w:lang w:val="en-US"/>
        </w:rPr>
      </w:pPr>
      <w:bookmarkStart w:id="12" w:name="p299534291437485793"/>
      <w:bookmarkEnd w:id="12"/>
      <w:r w:rsidRPr="00AE6349">
        <w:rPr>
          <w:rFonts w:cs="Arial"/>
          <w:lang w:val="en-US"/>
        </w:rPr>
        <w:t xml:space="preserve">For </w:t>
      </w:r>
      <w:proofErr w:type="spellStart"/>
      <w:r w:rsidRPr="00AE6349">
        <w:rPr>
          <w:rFonts w:cs="Arial"/>
          <w:lang w:val="en-US"/>
        </w:rPr>
        <w:t>paritaprevir</w:t>
      </w:r>
      <w:proofErr w:type="spellEnd"/>
      <w:r w:rsidRPr="00AE6349">
        <w:rPr>
          <w:rFonts w:cs="Arial"/>
          <w:lang w:val="en-US"/>
        </w:rPr>
        <w:t xml:space="preserve">, in an HCV genotype 4a replicon, NS3 substitutions R155C, A156T/V, and D168H/V reduced </w:t>
      </w:r>
      <w:proofErr w:type="spellStart"/>
      <w:r w:rsidRPr="00AE6349">
        <w:rPr>
          <w:rFonts w:cs="Arial"/>
          <w:lang w:val="en-US"/>
        </w:rPr>
        <w:t>paritaprevir</w:t>
      </w:r>
      <w:proofErr w:type="spellEnd"/>
      <w:r w:rsidRPr="00AE6349">
        <w:rPr>
          <w:rFonts w:cs="Arial"/>
          <w:lang w:val="en-US"/>
        </w:rPr>
        <w:t xml:space="preserve"> antiviral activity by 40- to 323-fold. </w:t>
      </w:r>
      <w:r w:rsidR="00027FE5">
        <w:rPr>
          <w:rFonts w:cs="Arial"/>
          <w:lang w:val="en-US"/>
        </w:rPr>
        <w:t xml:space="preserve"> </w:t>
      </w:r>
      <w:r w:rsidRPr="00AE6349">
        <w:rPr>
          <w:rFonts w:cs="Arial"/>
          <w:lang w:val="en-US"/>
        </w:rPr>
        <w:t xml:space="preserve">In an HCV genotype 4d replicon, NS3 substitutions Y56H and D168V reduced </w:t>
      </w:r>
      <w:proofErr w:type="spellStart"/>
      <w:r w:rsidRPr="00AE6349">
        <w:rPr>
          <w:rFonts w:cs="Arial"/>
          <w:lang w:val="en-US"/>
        </w:rPr>
        <w:t>paritaprevir</w:t>
      </w:r>
      <w:proofErr w:type="spellEnd"/>
      <w:r w:rsidRPr="00AE6349">
        <w:rPr>
          <w:rFonts w:cs="Arial"/>
          <w:lang w:val="en-US"/>
        </w:rPr>
        <w:t xml:space="preserve"> antiviral activity by 8- and 313-fold, respectively, while a combination of Y56H and D168V reduced the activity of </w:t>
      </w:r>
      <w:proofErr w:type="spellStart"/>
      <w:r w:rsidRPr="00AE6349">
        <w:rPr>
          <w:rFonts w:cs="Arial"/>
          <w:lang w:val="en-US"/>
        </w:rPr>
        <w:t>paritaprevir</w:t>
      </w:r>
      <w:proofErr w:type="spellEnd"/>
      <w:r w:rsidRPr="00AE6349">
        <w:rPr>
          <w:rFonts w:cs="Arial"/>
          <w:lang w:val="en-US"/>
        </w:rPr>
        <w:t xml:space="preserve"> by 12,533-fold.</w:t>
      </w:r>
    </w:p>
    <w:p w:rsidR="00085F33" w:rsidRPr="00A47F4F" w:rsidRDefault="0011309F">
      <w:pPr>
        <w:spacing w:line="240" w:lineRule="auto"/>
        <w:jc w:val="both"/>
        <w:rPr>
          <w:rFonts w:cs="Arial"/>
          <w:u w:val="single"/>
          <w:lang w:val="en-US"/>
        </w:rPr>
      </w:pPr>
      <w:bookmarkStart w:id="13" w:name="InClinicalStudies-2224DD2E"/>
      <w:bookmarkEnd w:id="13"/>
      <w:r w:rsidRPr="00A47F4F">
        <w:rPr>
          <w:rFonts w:cs="Arial"/>
          <w:i/>
          <w:u w:val="single"/>
          <w:lang w:val="en-US"/>
        </w:rPr>
        <w:t>In Clinical Studies</w:t>
      </w:r>
    </w:p>
    <w:p w:rsidR="00085F33" w:rsidRDefault="0011309F">
      <w:pPr>
        <w:spacing w:line="240" w:lineRule="auto"/>
        <w:jc w:val="both"/>
        <w:rPr>
          <w:rFonts w:cs="Arial"/>
          <w:lang w:val="en-US"/>
        </w:rPr>
      </w:pPr>
      <w:bookmarkStart w:id="14" w:name="p217654291437485824"/>
      <w:bookmarkEnd w:id="14"/>
      <w:r w:rsidRPr="00AE6349">
        <w:rPr>
          <w:rFonts w:cs="Arial"/>
          <w:lang w:val="en-US"/>
        </w:rPr>
        <w:t>In the clinical study PEARL-I, three subjects with HCV genotype 4 infection experienced</w:t>
      </w:r>
      <w:r w:rsidRPr="005F304F">
        <w:rPr>
          <w:rFonts w:cs="Arial"/>
        </w:rPr>
        <w:t xml:space="preserve"> </w:t>
      </w:r>
      <w:proofErr w:type="spellStart"/>
      <w:r w:rsidRPr="005F304F">
        <w:rPr>
          <w:rFonts w:cs="Arial"/>
        </w:rPr>
        <w:t>virologic</w:t>
      </w:r>
      <w:proofErr w:type="spellEnd"/>
      <w:r w:rsidRPr="00AE6349">
        <w:rPr>
          <w:rFonts w:cs="Arial"/>
          <w:lang w:val="en-US"/>
        </w:rPr>
        <w:t xml:space="preserve"> failure (2 post-treatment relapse, 1 on-treatment failure). </w:t>
      </w:r>
      <w:r w:rsidR="00027FE5">
        <w:rPr>
          <w:rFonts w:cs="Arial"/>
          <w:lang w:val="en-US"/>
        </w:rPr>
        <w:t xml:space="preserve"> </w:t>
      </w:r>
      <w:r w:rsidRPr="00AE6349">
        <w:rPr>
          <w:rFonts w:cs="Arial"/>
          <w:lang w:val="en-US"/>
        </w:rPr>
        <w:t xml:space="preserve">All 3 </w:t>
      </w:r>
      <w:proofErr w:type="spellStart"/>
      <w:r w:rsidRPr="00AE6349">
        <w:rPr>
          <w:rFonts w:cs="Arial"/>
          <w:lang w:val="en-US"/>
        </w:rPr>
        <w:t>virologic</w:t>
      </w:r>
      <w:proofErr w:type="spellEnd"/>
      <w:r w:rsidRPr="00AE6349">
        <w:rPr>
          <w:rFonts w:cs="Arial"/>
          <w:lang w:val="en-US"/>
        </w:rPr>
        <w:t xml:space="preserve"> failures were observed in a regimen containing </w:t>
      </w:r>
      <w:proofErr w:type="spellStart"/>
      <w:r w:rsidRPr="00AE6349">
        <w:rPr>
          <w:rFonts w:cs="Arial"/>
          <w:lang w:val="en-US"/>
        </w:rPr>
        <w:t>paritaprevir</w:t>
      </w:r>
      <w:proofErr w:type="spellEnd"/>
      <w:r w:rsidRPr="00AE6349">
        <w:rPr>
          <w:rFonts w:cs="Arial"/>
          <w:lang w:val="en-US"/>
        </w:rPr>
        <w:t xml:space="preserve">/ritonavir and </w:t>
      </w:r>
      <w:proofErr w:type="spellStart"/>
      <w:r w:rsidRPr="00AE6349">
        <w:rPr>
          <w:rFonts w:cs="Arial"/>
          <w:lang w:val="en-US"/>
        </w:rPr>
        <w:t>ombitasvir</w:t>
      </w:r>
      <w:proofErr w:type="spellEnd"/>
      <w:r w:rsidRPr="00AE6349">
        <w:rPr>
          <w:rFonts w:cs="Arial"/>
          <w:lang w:val="en-US"/>
        </w:rPr>
        <w:t xml:space="preserve"> without ribavirin</w:t>
      </w:r>
      <w:r w:rsidR="002466EC">
        <w:rPr>
          <w:rFonts w:cs="Arial"/>
          <w:lang w:val="en-US"/>
        </w:rPr>
        <w:t xml:space="preserve"> (RBV)</w:t>
      </w:r>
      <w:r w:rsidRPr="00AE6349">
        <w:rPr>
          <w:rFonts w:cs="Arial"/>
          <w:lang w:val="en-US"/>
        </w:rPr>
        <w:t xml:space="preserve">. </w:t>
      </w:r>
      <w:r w:rsidR="00027FE5">
        <w:rPr>
          <w:rFonts w:cs="Arial"/>
          <w:lang w:val="en-US"/>
        </w:rPr>
        <w:t xml:space="preserve"> </w:t>
      </w:r>
      <w:r w:rsidRPr="00AE6349">
        <w:rPr>
          <w:rFonts w:cs="Arial"/>
          <w:lang w:val="en-US"/>
        </w:rPr>
        <w:t>Treatment-emergent, resistance-associated substitutions were detected at the time of failure in all 3 subjects and included D168V (with or without Y56H) in NS3, and L28S and L28V (with or without M31I or T58S) in NS5A.</w:t>
      </w:r>
    </w:p>
    <w:p w:rsidR="006C2EF6" w:rsidRDefault="006C2EF6" w:rsidP="00DF690A">
      <w:pPr>
        <w:spacing w:line="240" w:lineRule="auto"/>
      </w:pPr>
      <w:r w:rsidRPr="004C0229">
        <w:t>In the clinical study AGATE-I, one subject with HCV genotype 4</w:t>
      </w:r>
      <w:r>
        <w:t>a</w:t>
      </w:r>
      <w:r w:rsidRPr="004C0229">
        <w:t xml:space="preserve"> infection experienced </w:t>
      </w:r>
      <w:proofErr w:type="spellStart"/>
      <w:r w:rsidRPr="004C0229">
        <w:t>virologic</w:t>
      </w:r>
      <w:proofErr w:type="spellEnd"/>
      <w:r w:rsidRPr="004C0229">
        <w:t xml:space="preserve"> failure (on-treatment failure). </w:t>
      </w:r>
      <w:r w:rsidR="00027FE5">
        <w:t xml:space="preserve"> </w:t>
      </w:r>
      <w:r w:rsidRPr="004C0229">
        <w:t>Treatment-emergent resistance-associated substitutions were not detected in NS3 at the time of failure, and L28M and Y93H were detected in NS5A.</w:t>
      </w:r>
    </w:p>
    <w:p w:rsidR="00085F33" w:rsidRPr="00552F34" w:rsidRDefault="0011309F" w:rsidP="00DF690A">
      <w:pPr>
        <w:spacing w:after="0" w:line="240" w:lineRule="auto"/>
      </w:pPr>
      <w:bookmarkStart w:id="15" w:name="p340906291423175098"/>
      <w:bookmarkEnd w:id="15"/>
      <w:r w:rsidRPr="00552F34">
        <w:rPr>
          <w:rFonts w:cs="Arial"/>
          <w:u w:val="single"/>
          <w:lang w:val="en-US"/>
        </w:rPr>
        <w:t>Persistence of Resistance-Associated Substitutions</w:t>
      </w:r>
    </w:p>
    <w:p w:rsidR="00085F33" w:rsidRDefault="0011309F">
      <w:pPr>
        <w:spacing w:line="240" w:lineRule="auto"/>
        <w:jc w:val="both"/>
        <w:rPr>
          <w:rFonts w:cs="Arial"/>
          <w:lang w:val="en-US"/>
        </w:rPr>
      </w:pPr>
      <w:bookmarkStart w:id="16" w:name="p235835291423175100"/>
      <w:bookmarkEnd w:id="16"/>
      <w:r w:rsidRPr="00AE6349">
        <w:rPr>
          <w:rFonts w:cs="Arial"/>
          <w:lang w:val="en-US"/>
        </w:rPr>
        <w:t xml:space="preserve">In HCV genotype 1, persistence of </w:t>
      </w:r>
      <w:proofErr w:type="spellStart"/>
      <w:r w:rsidRPr="00AE6349">
        <w:rPr>
          <w:rFonts w:cs="Arial"/>
          <w:lang w:val="en-US"/>
        </w:rPr>
        <w:t>ombitasvir</w:t>
      </w:r>
      <w:proofErr w:type="spellEnd"/>
      <w:r w:rsidRPr="00AE6349">
        <w:rPr>
          <w:rFonts w:cs="Arial"/>
          <w:lang w:val="en-US"/>
        </w:rPr>
        <w:t xml:space="preserve"> and </w:t>
      </w:r>
      <w:proofErr w:type="spellStart"/>
      <w:r w:rsidRPr="00AE6349">
        <w:rPr>
          <w:rFonts w:cs="Arial"/>
          <w:lang w:val="en-US"/>
        </w:rPr>
        <w:t>paritaprevir</w:t>
      </w:r>
      <w:proofErr w:type="spellEnd"/>
      <w:r w:rsidRPr="00AE6349">
        <w:rPr>
          <w:rFonts w:cs="Arial"/>
          <w:lang w:val="en-US"/>
        </w:rPr>
        <w:t xml:space="preserve"> resistance-associated substitutions through 24 or 48 weeks post-treatment has been observed in subjects who experienced </w:t>
      </w:r>
      <w:proofErr w:type="spellStart"/>
      <w:r w:rsidRPr="00AE6349">
        <w:rPr>
          <w:rFonts w:cs="Arial"/>
          <w:lang w:val="en-US"/>
        </w:rPr>
        <w:t>virologic</w:t>
      </w:r>
      <w:proofErr w:type="spellEnd"/>
      <w:r w:rsidRPr="00AE6349">
        <w:rPr>
          <w:rFonts w:cs="Arial"/>
          <w:lang w:val="en-US"/>
        </w:rPr>
        <w:t xml:space="preserve"> failure with </w:t>
      </w:r>
      <w:proofErr w:type="spellStart"/>
      <w:r w:rsidRPr="00AE6349">
        <w:rPr>
          <w:rFonts w:cs="Arial"/>
          <w:lang w:val="en-US"/>
        </w:rPr>
        <w:t>ombitasvir</w:t>
      </w:r>
      <w:proofErr w:type="spellEnd"/>
      <w:r w:rsidRPr="00AE6349">
        <w:rPr>
          <w:rFonts w:cs="Arial"/>
          <w:lang w:val="en-US"/>
        </w:rPr>
        <w:t xml:space="preserve">- and </w:t>
      </w:r>
      <w:proofErr w:type="spellStart"/>
      <w:r w:rsidRPr="00AE6349">
        <w:rPr>
          <w:rFonts w:cs="Arial"/>
          <w:lang w:val="en-US"/>
        </w:rPr>
        <w:t>paritaprevir</w:t>
      </w:r>
      <w:proofErr w:type="spellEnd"/>
      <w:r w:rsidRPr="00AE6349">
        <w:rPr>
          <w:rFonts w:cs="Arial"/>
          <w:lang w:val="en-US"/>
        </w:rPr>
        <w:t xml:space="preserve">-containing regimens. </w:t>
      </w:r>
      <w:r w:rsidR="00BE3F52">
        <w:rPr>
          <w:rFonts w:cs="Arial"/>
          <w:lang w:val="en-US"/>
        </w:rPr>
        <w:t xml:space="preserve"> </w:t>
      </w:r>
      <w:r w:rsidRPr="00AE6349">
        <w:rPr>
          <w:rFonts w:cs="Arial"/>
          <w:lang w:val="en-US"/>
        </w:rPr>
        <w:t xml:space="preserve">The long-term clinical impact of the emergence or persistence of virus containing </w:t>
      </w:r>
      <w:proofErr w:type="spellStart"/>
      <w:r w:rsidRPr="00AE6349">
        <w:rPr>
          <w:rFonts w:cs="Arial"/>
          <w:lang w:val="en-US"/>
        </w:rPr>
        <w:t>ombitasvir</w:t>
      </w:r>
      <w:proofErr w:type="spellEnd"/>
      <w:r w:rsidRPr="00AE6349">
        <w:rPr>
          <w:rFonts w:cs="Arial"/>
          <w:lang w:val="en-US"/>
        </w:rPr>
        <w:t xml:space="preserve"> or </w:t>
      </w:r>
      <w:proofErr w:type="spellStart"/>
      <w:r w:rsidRPr="00AE6349">
        <w:rPr>
          <w:rFonts w:cs="Arial"/>
          <w:lang w:val="en-US"/>
        </w:rPr>
        <w:t>paritaprevir</w:t>
      </w:r>
      <w:proofErr w:type="spellEnd"/>
      <w:r w:rsidRPr="00AE6349">
        <w:rPr>
          <w:rFonts w:cs="Arial"/>
          <w:lang w:val="en-US"/>
        </w:rPr>
        <w:t xml:space="preserve"> resistance-associated substitutions is unknown. </w:t>
      </w:r>
    </w:p>
    <w:p w:rsidR="006C2EF6" w:rsidRPr="00AE6349" w:rsidRDefault="006C2EF6">
      <w:pPr>
        <w:spacing w:line="240" w:lineRule="auto"/>
        <w:jc w:val="both"/>
        <w:rPr>
          <w:rFonts w:cs="Arial"/>
          <w:lang w:val="en-US"/>
        </w:rPr>
      </w:pPr>
      <w:r w:rsidRPr="006C2EF6">
        <w:rPr>
          <w:rFonts w:cs="Arial"/>
          <w:lang w:val="en-US"/>
        </w:rPr>
        <w:t xml:space="preserve">The persistence of </w:t>
      </w:r>
      <w:proofErr w:type="spellStart"/>
      <w:r w:rsidRPr="006C2EF6">
        <w:rPr>
          <w:rFonts w:cs="Arial"/>
          <w:lang w:val="en-US"/>
        </w:rPr>
        <w:t>ombitasvir</w:t>
      </w:r>
      <w:proofErr w:type="spellEnd"/>
      <w:r w:rsidRPr="006C2EF6">
        <w:rPr>
          <w:rFonts w:cs="Arial"/>
          <w:lang w:val="en-US"/>
        </w:rPr>
        <w:t xml:space="preserve"> and </w:t>
      </w:r>
      <w:proofErr w:type="spellStart"/>
      <w:r w:rsidRPr="006C2EF6">
        <w:rPr>
          <w:rFonts w:cs="Arial"/>
          <w:lang w:val="en-US"/>
        </w:rPr>
        <w:t>paritaprevir</w:t>
      </w:r>
      <w:proofErr w:type="spellEnd"/>
      <w:r w:rsidRPr="006C2EF6">
        <w:rPr>
          <w:rFonts w:cs="Arial"/>
          <w:lang w:val="en-US"/>
        </w:rPr>
        <w:t xml:space="preserve"> resistance-associated amino acid substitutions in NS5A and NS3, respectively, was assessed in HCV genotype 4-infected subjects in clinical study PEARL-I. </w:t>
      </w:r>
      <w:r w:rsidR="00BE3F52">
        <w:rPr>
          <w:rFonts w:cs="Arial"/>
          <w:lang w:val="en-US"/>
        </w:rPr>
        <w:t xml:space="preserve"> </w:t>
      </w:r>
      <w:r w:rsidRPr="006C2EF6">
        <w:rPr>
          <w:rFonts w:cs="Arial"/>
          <w:lang w:val="en-US"/>
        </w:rPr>
        <w:t>Treatment-emergent variants L28S/V and M31I in NS5A remained detectable at post-treatment Week 48 in 2</w:t>
      </w:r>
      <w:r w:rsidR="00E907EF">
        <w:rPr>
          <w:rFonts w:cs="Arial"/>
          <w:lang w:val="en-US"/>
        </w:rPr>
        <w:t xml:space="preserve">of </w:t>
      </w:r>
      <w:r w:rsidRPr="006C2EF6">
        <w:rPr>
          <w:rFonts w:cs="Arial"/>
          <w:lang w:val="en-US"/>
        </w:rPr>
        <w:t xml:space="preserve">3 subjects. </w:t>
      </w:r>
      <w:r w:rsidR="00BE3F52">
        <w:rPr>
          <w:rFonts w:cs="Arial"/>
          <w:lang w:val="en-US"/>
        </w:rPr>
        <w:t xml:space="preserve"> </w:t>
      </w:r>
      <w:r w:rsidRPr="006C2EF6">
        <w:rPr>
          <w:rFonts w:cs="Arial"/>
          <w:lang w:val="en-US"/>
        </w:rPr>
        <w:t>NS3 variant D168V was not detected at post-treatment week 48.</w:t>
      </w:r>
    </w:p>
    <w:p w:rsidR="00085F33" w:rsidRPr="00A47F4F" w:rsidRDefault="0011309F">
      <w:pPr>
        <w:spacing w:line="240" w:lineRule="auto"/>
        <w:jc w:val="both"/>
        <w:rPr>
          <w:rFonts w:cs="Arial"/>
          <w:u w:val="single"/>
          <w:lang w:val="en-US"/>
        </w:rPr>
      </w:pPr>
      <w:bookmarkStart w:id="17" w:name="p235813291423175102"/>
      <w:bookmarkEnd w:id="17"/>
      <w:r w:rsidRPr="00A47F4F">
        <w:rPr>
          <w:rFonts w:cs="Arial"/>
          <w:u w:val="single"/>
          <w:lang w:val="en-US"/>
        </w:rPr>
        <w:t>Effect of Baseline HCV Polymorphisms on Treatment Response</w:t>
      </w:r>
    </w:p>
    <w:p w:rsidR="00BC7758" w:rsidRDefault="0011309F">
      <w:pPr>
        <w:spacing w:line="240" w:lineRule="auto"/>
        <w:jc w:val="both"/>
        <w:rPr>
          <w:rFonts w:cs="Arial"/>
          <w:lang w:val="en-US"/>
        </w:rPr>
      </w:pPr>
      <w:bookmarkStart w:id="18" w:name="p235694291423175103"/>
      <w:bookmarkEnd w:id="18"/>
      <w:r w:rsidRPr="00AE6349">
        <w:rPr>
          <w:rFonts w:cs="Arial"/>
          <w:lang w:val="en-US"/>
        </w:rPr>
        <w:t xml:space="preserve">Phylogenetic analysis of HCV sequences from genotype 4-infected subjects in the clinical study PEARL-I, identified 7 HCV genotype 4 subtypes (4a, 4b, 4c, 4d, 4f, 4g/4k, </w:t>
      </w:r>
      <w:proofErr w:type="gramStart"/>
      <w:r w:rsidRPr="00AE6349">
        <w:rPr>
          <w:rFonts w:cs="Arial"/>
          <w:lang w:val="en-US"/>
        </w:rPr>
        <w:t>4o</w:t>
      </w:r>
      <w:proofErr w:type="gramEnd"/>
      <w:r w:rsidRPr="00AE6349">
        <w:rPr>
          <w:rFonts w:cs="Arial"/>
          <w:lang w:val="en-US"/>
        </w:rPr>
        <w:t xml:space="preserve">). </w:t>
      </w:r>
      <w:r w:rsidR="00BE3F52">
        <w:rPr>
          <w:rFonts w:cs="Arial"/>
          <w:lang w:val="en-US"/>
        </w:rPr>
        <w:t xml:space="preserve"> </w:t>
      </w:r>
      <w:r w:rsidRPr="00AE6349">
        <w:rPr>
          <w:rFonts w:cs="Arial"/>
          <w:lang w:val="en-US"/>
        </w:rPr>
        <w:t xml:space="preserve">Most subjects were infected with either subtype 4a (38%) or 4d (52%); 1 to 7 subjects were infected with each of the other genotype 4 subtypes. </w:t>
      </w:r>
      <w:r w:rsidR="00BE3F52">
        <w:rPr>
          <w:rFonts w:cs="Arial"/>
          <w:lang w:val="en-US"/>
        </w:rPr>
        <w:t xml:space="preserve"> </w:t>
      </w:r>
      <w:r w:rsidRPr="00AE6349">
        <w:rPr>
          <w:rFonts w:cs="Arial"/>
          <w:lang w:val="en-US"/>
        </w:rPr>
        <w:t xml:space="preserve"> </w:t>
      </w:r>
      <w:r w:rsidR="00BE3F52">
        <w:rPr>
          <w:rFonts w:cs="Arial"/>
          <w:lang w:val="en-US"/>
        </w:rPr>
        <w:t xml:space="preserve"> </w:t>
      </w:r>
      <w:r w:rsidRPr="00AE6349">
        <w:rPr>
          <w:rFonts w:cs="Arial"/>
          <w:lang w:val="en-US"/>
        </w:rPr>
        <w:t xml:space="preserve">Three subjects who experienced </w:t>
      </w:r>
      <w:proofErr w:type="spellStart"/>
      <w:r w:rsidRPr="00AE6349">
        <w:rPr>
          <w:rFonts w:cs="Arial"/>
          <w:lang w:val="en-US"/>
        </w:rPr>
        <w:t>virologic</w:t>
      </w:r>
      <w:proofErr w:type="spellEnd"/>
      <w:r w:rsidRPr="00AE6349">
        <w:rPr>
          <w:rFonts w:cs="Arial"/>
          <w:lang w:val="en-US"/>
        </w:rPr>
        <w:t xml:space="preserve"> failure with the regimen containing </w:t>
      </w:r>
      <w:proofErr w:type="spellStart"/>
      <w:r w:rsidRPr="00AE6349">
        <w:rPr>
          <w:rFonts w:cs="Arial"/>
          <w:lang w:val="en-US"/>
        </w:rPr>
        <w:t>paritaprevir</w:t>
      </w:r>
      <w:proofErr w:type="spellEnd"/>
      <w:r w:rsidRPr="00AE6349">
        <w:rPr>
          <w:rFonts w:cs="Arial"/>
          <w:lang w:val="en-US"/>
        </w:rPr>
        <w:t xml:space="preserve">/ritonavir and </w:t>
      </w:r>
      <w:proofErr w:type="spellStart"/>
      <w:r w:rsidRPr="00AE6349">
        <w:rPr>
          <w:rFonts w:cs="Arial"/>
          <w:lang w:val="en-US"/>
        </w:rPr>
        <w:t>ombitasvir</w:t>
      </w:r>
      <w:proofErr w:type="spellEnd"/>
      <w:r w:rsidRPr="00AE6349">
        <w:rPr>
          <w:rFonts w:cs="Arial"/>
          <w:lang w:val="en-US"/>
        </w:rPr>
        <w:t xml:space="preserve"> without ribavirin were infected with HCV subtype 4d.</w:t>
      </w:r>
    </w:p>
    <w:p w:rsidR="00085F33" w:rsidRPr="00AE6349" w:rsidRDefault="00BC7758">
      <w:pPr>
        <w:spacing w:line="240" w:lineRule="auto"/>
        <w:jc w:val="both"/>
        <w:rPr>
          <w:rFonts w:cs="Arial"/>
          <w:lang w:val="en-US"/>
        </w:rPr>
      </w:pPr>
      <w:r w:rsidRPr="004C0229">
        <w:t xml:space="preserve">Phylogenetic analysis of HCV sequences from genotype 4-infected subjects in the clinical study AGATE-I, identified 14 HCV genotype 4 subtypes (4a, 4c, 4d, 4e, 4f, 4h, 4k, 4l, 4n, 4o, 4p, 4q, 4r, 4t). </w:t>
      </w:r>
      <w:r w:rsidR="00BE3F52">
        <w:t xml:space="preserve"> </w:t>
      </w:r>
      <w:r w:rsidRPr="004C0229">
        <w:t xml:space="preserve">Most subjects were infected with either subtype 4a (54%) or 4d (26%); 1 to 4 subjects were infected with each of the other genotype 4 subtypes. </w:t>
      </w:r>
      <w:r w:rsidR="00BE3F52">
        <w:t xml:space="preserve"> </w:t>
      </w:r>
      <w:r w:rsidRPr="004C0229">
        <w:t xml:space="preserve">The single subject who experienced </w:t>
      </w:r>
      <w:proofErr w:type="spellStart"/>
      <w:r w:rsidRPr="004C0229">
        <w:t>virologic</w:t>
      </w:r>
      <w:proofErr w:type="spellEnd"/>
      <w:r w:rsidRPr="004C0229">
        <w:t xml:space="preserve"> failure in the clinical study AGATE-I was infected with HCV subtype 4a.</w:t>
      </w:r>
    </w:p>
    <w:p w:rsidR="00552F34" w:rsidRDefault="0011309F">
      <w:pPr>
        <w:spacing w:line="240" w:lineRule="auto"/>
        <w:jc w:val="both"/>
        <w:rPr>
          <w:rFonts w:cs="Arial"/>
          <w:lang w:val="en-US"/>
        </w:rPr>
      </w:pPr>
      <w:bookmarkStart w:id="19" w:name="p233426291423175138"/>
      <w:bookmarkEnd w:id="19"/>
      <w:r w:rsidRPr="00AE6349">
        <w:rPr>
          <w:rFonts w:cs="Arial"/>
          <w:lang w:val="en-US"/>
        </w:rPr>
        <w:t xml:space="preserve">Baseline HCV polymorphisms are not expected to impact the likelihood of achieving SVR when TECHNIVIE is used as recommended to treat HCV genotype 4 infected patients, based on the low </w:t>
      </w:r>
      <w:proofErr w:type="spellStart"/>
      <w:r w:rsidRPr="00AE6349">
        <w:rPr>
          <w:rFonts w:cs="Arial"/>
          <w:lang w:val="en-US"/>
        </w:rPr>
        <w:t>virologic</w:t>
      </w:r>
      <w:proofErr w:type="spellEnd"/>
      <w:r w:rsidRPr="00AE6349">
        <w:rPr>
          <w:rFonts w:cs="Arial"/>
          <w:lang w:val="en-US"/>
        </w:rPr>
        <w:t xml:space="preserve"> failure rate observed in PEARL-I</w:t>
      </w:r>
      <w:r w:rsidR="00BC7758">
        <w:rPr>
          <w:rFonts w:cs="Arial"/>
          <w:lang w:val="en-US"/>
        </w:rPr>
        <w:t xml:space="preserve"> and AGATE-I</w:t>
      </w:r>
      <w:r w:rsidRPr="00AE6349">
        <w:rPr>
          <w:rFonts w:cs="Arial"/>
          <w:lang w:val="en-US"/>
        </w:rPr>
        <w:t xml:space="preserve">. </w:t>
      </w:r>
      <w:bookmarkStart w:id="20" w:name="p340748291423175178"/>
      <w:bookmarkEnd w:id="20"/>
    </w:p>
    <w:p w:rsidR="003A11C0" w:rsidRDefault="003A11C0">
      <w:pPr>
        <w:spacing w:line="240" w:lineRule="auto"/>
        <w:jc w:val="both"/>
        <w:rPr>
          <w:rFonts w:cs="Arial"/>
          <w:lang w:val="en-US"/>
        </w:rPr>
      </w:pPr>
    </w:p>
    <w:p w:rsidR="003A11C0" w:rsidRPr="003A11C0" w:rsidRDefault="003A11C0">
      <w:pPr>
        <w:spacing w:line="240" w:lineRule="auto"/>
        <w:jc w:val="both"/>
        <w:rPr>
          <w:rFonts w:cs="Arial"/>
          <w:lang w:val="en-US"/>
        </w:rPr>
      </w:pPr>
    </w:p>
    <w:p w:rsidR="00085F33" w:rsidRPr="00A47F4F" w:rsidRDefault="0011309F">
      <w:pPr>
        <w:spacing w:line="240" w:lineRule="auto"/>
        <w:jc w:val="both"/>
        <w:rPr>
          <w:rFonts w:cs="Arial"/>
          <w:u w:val="single"/>
          <w:lang w:val="en-US"/>
        </w:rPr>
      </w:pPr>
      <w:r w:rsidRPr="00A47F4F">
        <w:rPr>
          <w:rFonts w:cs="Arial"/>
          <w:u w:val="single"/>
          <w:lang w:val="en-US"/>
        </w:rPr>
        <w:t>Cross-resistance</w:t>
      </w:r>
    </w:p>
    <w:p w:rsidR="00085F33" w:rsidRPr="00AE6349" w:rsidRDefault="0011309F">
      <w:pPr>
        <w:spacing w:line="240" w:lineRule="auto"/>
        <w:jc w:val="both"/>
        <w:rPr>
          <w:rFonts w:cs="Arial"/>
        </w:rPr>
      </w:pPr>
      <w:bookmarkStart w:id="21" w:name="p233337291423175180"/>
      <w:bookmarkEnd w:id="21"/>
      <w:r w:rsidRPr="00AE6349">
        <w:rPr>
          <w:rFonts w:cs="Arial"/>
        </w:rPr>
        <w:t xml:space="preserve">Cross-resistance may occur among NS5A inhibitors and among NS3/4A protease inhibitors within each individual class. </w:t>
      </w:r>
      <w:r w:rsidR="00BE3F52">
        <w:rPr>
          <w:rFonts w:cs="Arial"/>
        </w:rPr>
        <w:t xml:space="preserve"> </w:t>
      </w:r>
      <w:r w:rsidRPr="00AE6349">
        <w:rPr>
          <w:rFonts w:cs="Arial"/>
        </w:rPr>
        <w:t xml:space="preserve">The impact of prior </w:t>
      </w:r>
      <w:proofErr w:type="spellStart"/>
      <w:r w:rsidRPr="00AE6349">
        <w:rPr>
          <w:rFonts w:cs="Arial"/>
        </w:rPr>
        <w:t>ombitasvir</w:t>
      </w:r>
      <w:proofErr w:type="spellEnd"/>
      <w:r w:rsidRPr="00AE6349">
        <w:rPr>
          <w:rFonts w:cs="Arial"/>
        </w:rPr>
        <w:t xml:space="preserve"> or </w:t>
      </w:r>
      <w:proofErr w:type="spellStart"/>
      <w:r w:rsidRPr="00AE6349">
        <w:rPr>
          <w:rFonts w:cs="Arial"/>
        </w:rPr>
        <w:t>paritaprevir</w:t>
      </w:r>
      <w:proofErr w:type="spellEnd"/>
      <w:r w:rsidRPr="00AE6349">
        <w:rPr>
          <w:rFonts w:cs="Arial"/>
        </w:rPr>
        <w:t xml:space="preserve"> treatment experience on the efficacy of other NS5A inhibitors or NS3/4A protease inhibitors has not been studied. </w:t>
      </w:r>
      <w:r w:rsidR="00BE3F52">
        <w:rPr>
          <w:rFonts w:cs="Arial"/>
        </w:rPr>
        <w:t xml:space="preserve"> </w:t>
      </w:r>
      <w:r w:rsidRPr="00AE6349">
        <w:rPr>
          <w:rFonts w:cs="Arial"/>
        </w:rPr>
        <w:t>Similarly, the efficacy of TECHNIVIE has not been studied in subjects who have failed prior treatment with another NS5A inhibitor, NS3/4A protease inhibitor, or NS5B inhibitor.</w:t>
      </w:r>
    </w:p>
    <w:p w:rsidR="00085F33" w:rsidRPr="00A47F4F" w:rsidRDefault="0011309F">
      <w:pPr>
        <w:spacing w:line="240" w:lineRule="auto"/>
        <w:jc w:val="both"/>
        <w:rPr>
          <w:rFonts w:cs="Arial"/>
          <w:u w:val="single"/>
        </w:rPr>
      </w:pPr>
      <w:proofErr w:type="spellStart"/>
      <w:r w:rsidRPr="00A47F4F">
        <w:rPr>
          <w:rFonts w:cs="Arial"/>
          <w:u w:val="single"/>
        </w:rPr>
        <w:t>Pharmacodynamic</w:t>
      </w:r>
      <w:proofErr w:type="spellEnd"/>
      <w:r w:rsidRPr="00A47F4F">
        <w:rPr>
          <w:rFonts w:cs="Arial"/>
          <w:u w:val="single"/>
        </w:rPr>
        <w:t xml:space="preserve"> interactions </w:t>
      </w:r>
    </w:p>
    <w:p w:rsidR="00085F33" w:rsidRPr="00A47F4F" w:rsidRDefault="0011309F">
      <w:pPr>
        <w:spacing w:line="240" w:lineRule="auto"/>
        <w:jc w:val="both"/>
        <w:rPr>
          <w:rFonts w:cs="Arial"/>
        </w:rPr>
      </w:pPr>
      <w:r w:rsidRPr="00A47F4F">
        <w:rPr>
          <w:rFonts w:cs="Arial"/>
        </w:rPr>
        <w:t>Co</w:t>
      </w:r>
      <w:r w:rsidR="00434C08" w:rsidRPr="00A47F4F">
        <w:rPr>
          <w:rFonts w:cs="Arial"/>
        </w:rPr>
        <w:t>-</w:t>
      </w:r>
      <w:r w:rsidRPr="00A47F4F">
        <w:rPr>
          <w:rFonts w:cs="Arial"/>
        </w:rPr>
        <w:t xml:space="preserve">administration with enzyme inducers may increase the risk of adverse events and ALT elevations. </w:t>
      </w:r>
      <w:r w:rsidR="00BE3F52">
        <w:rPr>
          <w:rFonts w:cs="Arial"/>
        </w:rPr>
        <w:t xml:space="preserve"> </w:t>
      </w:r>
      <w:r w:rsidRPr="00A47F4F">
        <w:rPr>
          <w:rFonts w:cs="Arial"/>
        </w:rPr>
        <w:t>Co</w:t>
      </w:r>
      <w:r w:rsidR="00434C08" w:rsidRPr="00A47F4F">
        <w:rPr>
          <w:rFonts w:cs="Arial"/>
        </w:rPr>
        <w:t>-</w:t>
      </w:r>
      <w:r w:rsidRPr="00A47F4F">
        <w:rPr>
          <w:rFonts w:cs="Arial"/>
        </w:rPr>
        <w:t xml:space="preserve">administration with </w:t>
      </w:r>
      <w:proofErr w:type="spellStart"/>
      <w:r w:rsidRPr="00A47F4F">
        <w:rPr>
          <w:rFonts w:cs="Arial"/>
        </w:rPr>
        <w:t>ethinylestradiol</w:t>
      </w:r>
      <w:proofErr w:type="spellEnd"/>
      <w:r w:rsidRPr="00A47F4F">
        <w:rPr>
          <w:rFonts w:cs="Arial"/>
        </w:rPr>
        <w:t xml:space="preserve"> may increase the risk of ALT elevations (see INTERACTIONS WITH OTHER MEDICINES).</w:t>
      </w:r>
    </w:p>
    <w:p w:rsidR="00085F33" w:rsidRPr="00A47F4F" w:rsidRDefault="0011309F">
      <w:pPr>
        <w:pStyle w:val="Heading2Unnumbered"/>
        <w:rPr>
          <w:sz w:val="22"/>
          <w:szCs w:val="22"/>
          <w:lang w:val="en-AU"/>
        </w:rPr>
      </w:pPr>
      <w:bookmarkStart w:id="22" w:name="_Toc383787392"/>
      <w:r w:rsidRPr="00A47F4F">
        <w:rPr>
          <w:sz w:val="22"/>
          <w:szCs w:val="22"/>
          <w:lang w:val="en-AU"/>
        </w:rPr>
        <w:t>Pharmacokinetics</w:t>
      </w:r>
      <w:bookmarkEnd w:id="22"/>
    </w:p>
    <w:p w:rsidR="00085F33" w:rsidRPr="00A47F4F" w:rsidRDefault="0011309F">
      <w:pPr>
        <w:spacing w:line="240" w:lineRule="auto"/>
        <w:jc w:val="both"/>
        <w:rPr>
          <w:rFonts w:cs="Arial"/>
        </w:rPr>
      </w:pPr>
      <w:r w:rsidRPr="00A47F4F">
        <w:rPr>
          <w:rFonts w:cs="Arial"/>
        </w:rPr>
        <w:t xml:space="preserve">The pharmacokinetic properties of the combination of </w:t>
      </w:r>
      <w:proofErr w:type="spellStart"/>
      <w:r w:rsidRPr="00A47F4F">
        <w:rPr>
          <w:rFonts w:cs="Arial"/>
        </w:rPr>
        <w:t>paritaprevir</w:t>
      </w:r>
      <w:proofErr w:type="spellEnd"/>
      <w:r w:rsidRPr="00A47F4F">
        <w:rPr>
          <w:rFonts w:cs="Arial"/>
        </w:rPr>
        <w:t xml:space="preserve">, </w:t>
      </w:r>
      <w:r w:rsidR="00F45542" w:rsidRPr="00A47F4F">
        <w:rPr>
          <w:rFonts w:cs="Arial"/>
        </w:rPr>
        <w:t xml:space="preserve">ritonavir and </w:t>
      </w:r>
      <w:proofErr w:type="spellStart"/>
      <w:r w:rsidRPr="00A47F4F">
        <w:rPr>
          <w:rFonts w:cs="Arial"/>
        </w:rPr>
        <w:t>ombitasvir</w:t>
      </w:r>
      <w:proofErr w:type="spellEnd"/>
      <w:r w:rsidRPr="00A47F4F">
        <w:rPr>
          <w:rFonts w:cs="Arial"/>
        </w:rPr>
        <w:t xml:space="preserve"> have been evaluated in healthy adult subjects and in subjects with chronic hepatitis C. </w:t>
      </w:r>
      <w:r w:rsidR="00B52000">
        <w:rPr>
          <w:rFonts w:cs="Arial"/>
        </w:rPr>
        <w:t xml:space="preserve"> </w:t>
      </w:r>
      <w:r w:rsidRPr="00A47F4F">
        <w:rPr>
          <w:rFonts w:cs="Arial"/>
        </w:rPr>
        <w:t xml:space="preserve">Table </w:t>
      </w:r>
      <w:r w:rsidR="00230711">
        <w:rPr>
          <w:rFonts w:cs="Arial"/>
        </w:rPr>
        <w:t>1</w:t>
      </w:r>
      <w:r w:rsidR="00230711" w:rsidRPr="00A47F4F">
        <w:rPr>
          <w:rFonts w:cs="Arial"/>
        </w:rPr>
        <w:t xml:space="preserve"> </w:t>
      </w:r>
      <w:r w:rsidRPr="00A47F4F">
        <w:rPr>
          <w:rFonts w:cs="Arial"/>
        </w:rPr>
        <w:t xml:space="preserve">shows mean </w:t>
      </w:r>
      <w:proofErr w:type="spellStart"/>
      <w:r w:rsidRPr="00A47F4F">
        <w:rPr>
          <w:rFonts w:cs="Arial"/>
        </w:rPr>
        <w:t>C</w:t>
      </w:r>
      <w:r w:rsidRPr="00A47F4F">
        <w:rPr>
          <w:rFonts w:cs="Arial"/>
          <w:vertAlign w:val="subscript"/>
        </w:rPr>
        <w:t>max</w:t>
      </w:r>
      <w:proofErr w:type="spellEnd"/>
      <w:r w:rsidRPr="00A47F4F">
        <w:rPr>
          <w:rFonts w:cs="Arial"/>
        </w:rPr>
        <w:t xml:space="preserve"> and AUC</w:t>
      </w:r>
      <w:r w:rsidRPr="00A47F4F">
        <w:rPr>
          <w:rFonts w:cs="Arial"/>
          <w:vertAlign w:val="subscript"/>
        </w:rPr>
        <w:t xml:space="preserve">0-24 </w:t>
      </w:r>
      <w:r w:rsidRPr="00A47F4F">
        <w:rPr>
          <w:rFonts w:cs="Arial"/>
        </w:rPr>
        <w:t xml:space="preserve">of </w:t>
      </w:r>
      <w:proofErr w:type="spellStart"/>
      <w:r w:rsidRPr="00A47F4F">
        <w:rPr>
          <w:rFonts w:eastAsia="TimesNewRoman" w:cs="Arial"/>
          <w:lang w:eastAsia="ja-JP"/>
        </w:rPr>
        <w:t>paritaprevir</w:t>
      </w:r>
      <w:proofErr w:type="spellEnd"/>
      <w:r w:rsidRPr="00A47F4F">
        <w:rPr>
          <w:rFonts w:eastAsia="TimesNewRoman" w:cs="Arial"/>
          <w:lang w:eastAsia="ja-JP"/>
        </w:rPr>
        <w:t>/ritonavir/</w:t>
      </w:r>
      <w:proofErr w:type="spellStart"/>
      <w:r w:rsidRPr="00A47F4F">
        <w:rPr>
          <w:rFonts w:eastAsia="TimesNewRoman" w:cs="Arial"/>
          <w:lang w:eastAsia="ja-JP"/>
        </w:rPr>
        <w:t>ombitasvir</w:t>
      </w:r>
      <w:proofErr w:type="spellEnd"/>
      <w:r w:rsidRPr="00A47F4F">
        <w:rPr>
          <w:rFonts w:cs="Arial"/>
        </w:rPr>
        <w:t xml:space="preserve"> 150/100/25 mg once daily following multiple doses with food in healthy volunteers.</w:t>
      </w:r>
    </w:p>
    <w:p w:rsidR="00085F33" w:rsidRPr="00A47F4F" w:rsidRDefault="0011309F">
      <w:pPr>
        <w:spacing w:line="240" w:lineRule="auto"/>
        <w:ind w:left="993" w:hanging="993"/>
        <w:jc w:val="both"/>
        <w:rPr>
          <w:rFonts w:cs="Arial"/>
        </w:rPr>
      </w:pPr>
      <w:r w:rsidRPr="00A47F4F">
        <w:rPr>
          <w:rFonts w:cs="Arial"/>
          <w:b/>
          <w:bCs/>
        </w:rPr>
        <w:t xml:space="preserve">Table </w:t>
      </w:r>
      <w:r w:rsidR="00230711">
        <w:rPr>
          <w:rFonts w:cs="Arial"/>
          <w:b/>
          <w:bCs/>
        </w:rPr>
        <w:t>1</w:t>
      </w:r>
      <w:r w:rsidRPr="00A47F4F">
        <w:rPr>
          <w:rFonts w:cs="Arial"/>
          <w:b/>
          <w:bCs/>
        </w:rPr>
        <w:t xml:space="preserve">:  </w:t>
      </w:r>
      <w:r w:rsidRPr="00A47F4F">
        <w:rPr>
          <w:b/>
        </w:rPr>
        <w:t xml:space="preserve">Geometric Mean </w:t>
      </w:r>
      <w:proofErr w:type="spellStart"/>
      <w:r w:rsidRPr="00A47F4F">
        <w:rPr>
          <w:b/>
        </w:rPr>
        <w:t>C</w:t>
      </w:r>
      <w:r w:rsidRPr="00A47F4F">
        <w:rPr>
          <w:b/>
          <w:vertAlign w:val="subscript"/>
        </w:rPr>
        <w:t>max</w:t>
      </w:r>
      <w:proofErr w:type="spellEnd"/>
      <w:r w:rsidRPr="00A47F4F">
        <w:rPr>
          <w:b/>
        </w:rPr>
        <w:t xml:space="preserve"> and AUC</w:t>
      </w:r>
      <w:r w:rsidRPr="00A47F4F">
        <w:rPr>
          <w:b/>
          <w:vertAlign w:val="subscript"/>
        </w:rPr>
        <w:t xml:space="preserve">0-24 </w:t>
      </w:r>
      <w:r w:rsidRPr="00A47F4F">
        <w:rPr>
          <w:b/>
        </w:rPr>
        <w:t xml:space="preserve">of Multiple Doses of </w:t>
      </w:r>
      <w:proofErr w:type="spellStart"/>
      <w:r w:rsidR="00E907EF">
        <w:rPr>
          <w:b/>
        </w:rPr>
        <w:t>P</w:t>
      </w:r>
      <w:r w:rsidRPr="00A47F4F">
        <w:rPr>
          <w:b/>
        </w:rPr>
        <w:t>aritaprevir</w:t>
      </w:r>
      <w:proofErr w:type="spellEnd"/>
      <w:r w:rsidRPr="00A47F4F">
        <w:rPr>
          <w:b/>
        </w:rPr>
        <w:t>/</w:t>
      </w:r>
      <w:r w:rsidR="00E907EF">
        <w:rPr>
          <w:b/>
        </w:rPr>
        <w:t>R</w:t>
      </w:r>
      <w:r w:rsidRPr="00A47F4F">
        <w:rPr>
          <w:b/>
        </w:rPr>
        <w:t>itonavir/</w:t>
      </w:r>
      <w:proofErr w:type="spellStart"/>
      <w:r w:rsidR="00E907EF">
        <w:rPr>
          <w:b/>
        </w:rPr>
        <w:t>O</w:t>
      </w:r>
      <w:r w:rsidRPr="00A47F4F">
        <w:rPr>
          <w:b/>
        </w:rPr>
        <w:t>mbitasvir</w:t>
      </w:r>
      <w:proofErr w:type="spellEnd"/>
      <w:r w:rsidRPr="00A47F4F">
        <w:rPr>
          <w:b/>
        </w:rPr>
        <w:t xml:space="preserve"> 150/100/25</w:t>
      </w:r>
      <w:r w:rsidRPr="00A47F4F">
        <w:t xml:space="preserve"> </w:t>
      </w:r>
      <w:r w:rsidRPr="00A47F4F">
        <w:rPr>
          <w:b/>
        </w:rPr>
        <w:t>mg Once Daily with Food in Healthy Volunteers</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980"/>
        <w:gridCol w:w="2988"/>
      </w:tblGrid>
      <w:tr w:rsidR="00085F33" w:rsidRPr="00A47F4F">
        <w:trPr>
          <w:trHeight w:val="386"/>
          <w:jc w:val="center"/>
        </w:trPr>
        <w:tc>
          <w:tcPr>
            <w:tcW w:w="1867" w:type="dxa"/>
            <w:shd w:val="clear" w:color="auto" w:fill="auto"/>
          </w:tcPr>
          <w:p w:rsidR="00085F33" w:rsidRPr="00A47F4F" w:rsidRDefault="00085F33">
            <w:pPr>
              <w:autoSpaceDE w:val="0"/>
              <w:autoSpaceDN w:val="0"/>
              <w:adjustRightInd w:val="0"/>
              <w:spacing w:line="240" w:lineRule="auto"/>
              <w:jc w:val="center"/>
              <w:rPr>
                <w:rFonts w:cs="Arial"/>
                <w:b/>
                <w:bCs/>
              </w:rPr>
            </w:pPr>
          </w:p>
        </w:tc>
        <w:tc>
          <w:tcPr>
            <w:tcW w:w="1980" w:type="dxa"/>
            <w:shd w:val="clear" w:color="auto" w:fill="auto"/>
            <w:vAlign w:val="center"/>
          </w:tcPr>
          <w:p w:rsidR="00085F33" w:rsidRPr="00A47F4F" w:rsidRDefault="0011309F">
            <w:pPr>
              <w:autoSpaceDE w:val="0"/>
              <w:autoSpaceDN w:val="0"/>
              <w:adjustRightInd w:val="0"/>
              <w:spacing w:line="240" w:lineRule="auto"/>
              <w:jc w:val="center"/>
              <w:rPr>
                <w:rFonts w:cs="Arial"/>
                <w:b/>
                <w:bCs/>
              </w:rPr>
            </w:pPr>
            <w:proofErr w:type="spellStart"/>
            <w:r w:rsidRPr="00A47F4F">
              <w:rPr>
                <w:rFonts w:cs="Arial"/>
                <w:b/>
                <w:bCs/>
              </w:rPr>
              <w:t>C</w:t>
            </w:r>
            <w:r w:rsidRPr="00A47F4F">
              <w:rPr>
                <w:rFonts w:cs="Arial"/>
                <w:b/>
                <w:bCs/>
                <w:vertAlign w:val="subscript"/>
              </w:rPr>
              <w:t>max</w:t>
            </w:r>
            <w:proofErr w:type="spellEnd"/>
            <w:r w:rsidRPr="00A47F4F">
              <w:rPr>
                <w:rFonts w:cs="Arial"/>
                <w:b/>
                <w:bCs/>
                <w:vertAlign w:val="subscript"/>
              </w:rPr>
              <w:t xml:space="preserve"> </w:t>
            </w:r>
            <w:r w:rsidRPr="00A47F4F">
              <w:rPr>
                <w:rFonts w:cs="Arial"/>
                <w:b/>
                <w:bCs/>
              </w:rPr>
              <w:t>(ng/mL)</w:t>
            </w:r>
          </w:p>
        </w:tc>
        <w:tc>
          <w:tcPr>
            <w:tcW w:w="2988" w:type="dxa"/>
            <w:shd w:val="clear" w:color="auto" w:fill="auto"/>
            <w:vAlign w:val="center"/>
          </w:tcPr>
          <w:p w:rsidR="00085F33" w:rsidRPr="00A47F4F" w:rsidRDefault="0011309F">
            <w:pPr>
              <w:autoSpaceDE w:val="0"/>
              <w:autoSpaceDN w:val="0"/>
              <w:adjustRightInd w:val="0"/>
              <w:spacing w:line="240" w:lineRule="auto"/>
              <w:jc w:val="center"/>
              <w:rPr>
                <w:rFonts w:cs="Arial"/>
                <w:b/>
                <w:bCs/>
              </w:rPr>
            </w:pPr>
            <w:r w:rsidRPr="00A47F4F">
              <w:rPr>
                <w:rFonts w:cs="Arial"/>
                <w:b/>
                <w:bCs/>
              </w:rPr>
              <w:t>AUC</w:t>
            </w:r>
            <w:r w:rsidRPr="00A47F4F">
              <w:rPr>
                <w:rFonts w:cs="Arial"/>
                <w:b/>
                <w:bCs/>
                <w:vertAlign w:val="subscript"/>
              </w:rPr>
              <w:t>0-24</w:t>
            </w:r>
            <w:r w:rsidRPr="00A47F4F">
              <w:rPr>
                <w:rFonts w:cs="Arial"/>
                <w:b/>
                <w:bCs/>
              </w:rPr>
              <w:t xml:space="preserve">  (ng*hr/mL)</w:t>
            </w:r>
          </w:p>
        </w:tc>
      </w:tr>
      <w:tr w:rsidR="00085F33" w:rsidRPr="00A47F4F">
        <w:trPr>
          <w:trHeight w:val="386"/>
          <w:jc w:val="center"/>
        </w:trPr>
        <w:tc>
          <w:tcPr>
            <w:tcW w:w="1867" w:type="dxa"/>
            <w:shd w:val="clear" w:color="auto" w:fill="auto"/>
          </w:tcPr>
          <w:p w:rsidR="00085F33" w:rsidRPr="00A47F4F" w:rsidRDefault="0011309F">
            <w:pPr>
              <w:spacing w:line="240" w:lineRule="auto"/>
              <w:rPr>
                <w:rFonts w:cs="Arial"/>
              </w:rPr>
            </w:pPr>
            <w:proofErr w:type="spellStart"/>
            <w:r w:rsidRPr="00A47F4F">
              <w:rPr>
                <w:rFonts w:eastAsia="TimesNewRoman" w:cs="Arial"/>
              </w:rPr>
              <w:t>paritaprevir</w:t>
            </w:r>
            <w:proofErr w:type="spellEnd"/>
            <w:r w:rsidRPr="00A47F4F">
              <w:rPr>
                <w:rFonts w:cs="Arial"/>
              </w:rPr>
              <w:t xml:space="preserve"> </w:t>
            </w:r>
          </w:p>
        </w:tc>
        <w:tc>
          <w:tcPr>
            <w:tcW w:w="1980" w:type="dxa"/>
            <w:shd w:val="clear" w:color="auto" w:fill="auto"/>
          </w:tcPr>
          <w:p w:rsidR="00085F33" w:rsidRPr="00A47F4F" w:rsidRDefault="0011309F">
            <w:pPr>
              <w:spacing w:line="240" w:lineRule="auto"/>
              <w:jc w:val="center"/>
              <w:rPr>
                <w:rFonts w:cs="Arial"/>
              </w:rPr>
            </w:pPr>
            <w:r w:rsidRPr="00A47F4F">
              <w:rPr>
                <w:rFonts w:cs="Arial"/>
              </w:rPr>
              <w:t>194</w:t>
            </w:r>
          </w:p>
        </w:tc>
        <w:tc>
          <w:tcPr>
            <w:tcW w:w="2988" w:type="dxa"/>
            <w:shd w:val="clear" w:color="auto" w:fill="auto"/>
          </w:tcPr>
          <w:p w:rsidR="00085F33" w:rsidRPr="00A47F4F" w:rsidRDefault="0011309F">
            <w:pPr>
              <w:spacing w:line="240" w:lineRule="auto"/>
              <w:jc w:val="center"/>
              <w:rPr>
                <w:rFonts w:cs="Arial"/>
              </w:rPr>
            </w:pPr>
            <w:r w:rsidRPr="00A47F4F">
              <w:rPr>
                <w:rFonts w:cs="Arial"/>
              </w:rPr>
              <w:t>2276</w:t>
            </w:r>
          </w:p>
        </w:tc>
      </w:tr>
      <w:tr w:rsidR="00085F33" w:rsidRPr="00A47F4F">
        <w:trPr>
          <w:trHeight w:val="386"/>
          <w:jc w:val="center"/>
        </w:trPr>
        <w:tc>
          <w:tcPr>
            <w:tcW w:w="1867" w:type="dxa"/>
            <w:shd w:val="clear" w:color="auto" w:fill="auto"/>
          </w:tcPr>
          <w:p w:rsidR="00085F33" w:rsidRPr="00A47F4F" w:rsidRDefault="0011309F">
            <w:pPr>
              <w:spacing w:line="240" w:lineRule="auto"/>
              <w:rPr>
                <w:rFonts w:cs="Arial"/>
              </w:rPr>
            </w:pPr>
            <w:proofErr w:type="spellStart"/>
            <w:r w:rsidRPr="00A47F4F">
              <w:rPr>
                <w:rFonts w:cs="Arial"/>
              </w:rPr>
              <w:t>ombitasvir</w:t>
            </w:r>
            <w:proofErr w:type="spellEnd"/>
          </w:p>
        </w:tc>
        <w:tc>
          <w:tcPr>
            <w:tcW w:w="1980" w:type="dxa"/>
            <w:shd w:val="clear" w:color="auto" w:fill="auto"/>
          </w:tcPr>
          <w:p w:rsidR="00085F33" w:rsidRPr="00A47F4F" w:rsidRDefault="0011309F">
            <w:pPr>
              <w:spacing w:line="240" w:lineRule="auto"/>
              <w:jc w:val="center"/>
              <w:rPr>
                <w:rFonts w:cs="Arial"/>
              </w:rPr>
            </w:pPr>
            <w:r w:rsidRPr="00A47F4F">
              <w:rPr>
                <w:rFonts w:cs="Arial"/>
              </w:rPr>
              <w:t>82</w:t>
            </w:r>
          </w:p>
        </w:tc>
        <w:tc>
          <w:tcPr>
            <w:tcW w:w="2988" w:type="dxa"/>
            <w:shd w:val="clear" w:color="auto" w:fill="auto"/>
          </w:tcPr>
          <w:p w:rsidR="00085F33" w:rsidRPr="00A47F4F" w:rsidRDefault="0011309F">
            <w:pPr>
              <w:spacing w:line="240" w:lineRule="auto"/>
              <w:jc w:val="center"/>
              <w:rPr>
                <w:rFonts w:cs="Arial"/>
              </w:rPr>
            </w:pPr>
            <w:r w:rsidRPr="00A47F4F">
              <w:rPr>
                <w:rFonts w:cs="Arial"/>
              </w:rPr>
              <w:t>1239</w:t>
            </w:r>
          </w:p>
        </w:tc>
      </w:tr>
      <w:tr w:rsidR="00085F33" w:rsidRPr="00A47F4F">
        <w:trPr>
          <w:trHeight w:val="386"/>
          <w:jc w:val="center"/>
        </w:trPr>
        <w:tc>
          <w:tcPr>
            <w:tcW w:w="1867" w:type="dxa"/>
            <w:shd w:val="clear" w:color="auto" w:fill="auto"/>
          </w:tcPr>
          <w:p w:rsidR="00085F33" w:rsidRPr="00A47F4F" w:rsidRDefault="0011309F">
            <w:pPr>
              <w:spacing w:line="240" w:lineRule="auto"/>
              <w:rPr>
                <w:rFonts w:cs="Arial"/>
              </w:rPr>
            </w:pPr>
            <w:r w:rsidRPr="00A47F4F">
              <w:rPr>
                <w:rFonts w:cs="Arial"/>
              </w:rPr>
              <w:t>ritonavir</w:t>
            </w:r>
          </w:p>
        </w:tc>
        <w:tc>
          <w:tcPr>
            <w:tcW w:w="1980" w:type="dxa"/>
            <w:shd w:val="clear" w:color="auto" w:fill="auto"/>
          </w:tcPr>
          <w:p w:rsidR="00085F33" w:rsidRPr="00A47F4F" w:rsidRDefault="0011309F">
            <w:pPr>
              <w:spacing w:line="240" w:lineRule="auto"/>
              <w:jc w:val="center"/>
              <w:rPr>
                <w:rFonts w:cs="Arial"/>
              </w:rPr>
            </w:pPr>
            <w:r w:rsidRPr="00A47F4F">
              <w:rPr>
                <w:rFonts w:cs="Arial"/>
              </w:rPr>
              <w:t>543</w:t>
            </w:r>
          </w:p>
        </w:tc>
        <w:tc>
          <w:tcPr>
            <w:tcW w:w="2988" w:type="dxa"/>
            <w:shd w:val="clear" w:color="auto" w:fill="auto"/>
          </w:tcPr>
          <w:p w:rsidR="00085F33" w:rsidRPr="00A47F4F" w:rsidRDefault="0011309F">
            <w:pPr>
              <w:spacing w:line="240" w:lineRule="auto"/>
              <w:jc w:val="center"/>
              <w:rPr>
                <w:rFonts w:cs="Arial"/>
              </w:rPr>
            </w:pPr>
            <w:r w:rsidRPr="00A47F4F">
              <w:rPr>
                <w:rFonts w:cs="Arial"/>
              </w:rPr>
              <w:t>6072</w:t>
            </w:r>
          </w:p>
        </w:tc>
      </w:tr>
    </w:tbl>
    <w:p w:rsidR="00085F33" w:rsidRPr="00A47F4F" w:rsidRDefault="00085F33">
      <w:pPr>
        <w:spacing w:line="240" w:lineRule="auto"/>
      </w:pPr>
    </w:p>
    <w:p w:rsidR="00085F33" w:rsidRPr="00A47F4F" w:rsidRDefault="0011309F">
      <w:pPr>
        <w:spacing w:line="240" w:lineRule="auto"/>
        <w:rPr>
          <w:rFonts w:cs="Arial"/>
          <w:u w:val="single"/>
        </w:rPr>
      </w:pPr>
      <w:r w:rsidRPr="00A47F4F">
        <w:rPr>
          <w:rFonts w:cs="Arial"/>
          <w:u w:val="single"/>
        </w:rPr>
        <w:t>Absorption</w:t>
      </w:r>
    </w:p>
    <w:p w:rsidR="00085F33" w:rsidRPr="00A47F4F" w:rsidRDefault="0011309F">
      <w:pPr>
        <w:spacing w:line="240" w:lineRule="auto"/>
        <w:jc w:val="both"/>
        <w:rPr>
          <w:rFonts w:cs="Arial"/>
        </w:rPr>
      </w:pPr>
      <w:proofErr w:type="spellStart"/>
      <w:r w:rsidRPr="00A47F4F">
        <w:rPr>
          <w:rFonts w:cs="Arial"/>
        </w:rPr>
        <w:t>Paritaprevir</w:t>
      </w:r>
      <w:proofErr w:type="spellEnd"/>
      <w:r w:rsidRPr="00A47F4F">
        <w:rPr>
          <w:rFonts w:cs="Arial"/>
        </w:rPr>
        <w:t>/ritonavir/</w:t>
      </w:r>
      <w:proofErr w:type="spellStart"/>
      <w:r w:rsidRPr="00A47F4F">
        <w:rPr>
          <w:rFonts w:cs="Arial"/>
        </w:rPr>
        <w:t>ombitasvir</w:t>
      </w:r>
      <w:proofErr w:type="spellEnd"/>
      <w:r w:rsidRPr="00A47F4F">
        <w:rPr>
          <w:rFonts w:cs="Arial"/>
        </w:rPr>
        <w:t xml:space="preserve"> </w:t>
      </w:r>
      <w:r w:rsidR="00E907EF">
        <w:rPr>
          <w:rFonts w:cs="Arial"/>
        </w:rPr>
        <w:t>was</w:t>
      </w:r>
      <w:r w:rsidR="00E907EF" w:rsidRPr="00A47F4F">
        <w:rPr>
          <w:rFonts w:cs="Arial"/>
        </w:rPr>
        <w:t xml:space="preserve"> </w:t>
      </w:r>
      <w:r w:rsidRPr="00A47F4F">
        <w:rPr>
          <w:rFonts w:cs="Arial"/>
        </w:rPr>
        <w:t xml:space="preserve">absorbed after oral administration with mean </w:t>
      </w:r>
      <w:proofErr w:type="spellStart"/>
      <w:r w:rsidRPr="00A47F4F">
        <w:rPr>
          <w:rFonts w:cs="Arial"/>
        </w:rPr>
        <w:t>T</w:t>
      </w:r>
      <w:r w:rsidRPr="00A47F4F">
        <w:rPr>
          <w:rFonts w:cs="Arial"/>
          <w:vertAlign w:val="subscript"/>
        </w:rPr>
        <w:t>max</w:t>
      </w:r>
      <w:proofErr w:type="spellEnd"/>
      <w:r w:rsidRPr="00A47F4F">
        <w:rPr>
          <w:rFonts w:cs="Arial"/>
        </w:rPr>
        <w:t xml:space="preserve"> of approximately 4 to 5 hours. </w:t>
      </w:r>
      <w:r w:rsidR="00BE3F52">
        <w:rPr>
          <w:rFonts w:cs="Arial"/>
        </w:rPr>
        <w:t xml:space="preserve"> </w:t>
      </w:r>
      <w:r w:rsidRPr="00A47F4F">
        <w:rPr>
          <w:rFonts w:cs="Arial"/>
        </w:rPr>
        <w:t xml:space="preserve">While </w:t>
      </w:r>
      <w:proofErr w:type="spellStart"/>
      <w:r w:rsidRPr="00A47F4F">
        <w:rPr>
          <w:rFonts w:cs="Arial"/>
        </w:rPr>
        <w:t>ombitasvir</w:t>
      </w:r>
      <w:proofErr w:type="spellEnd"/>
      <w:r w:rsidRPr="00A47F4F">
        <w:rPr>
          <w:rFonts w:cs="Arial"/>
        </w:rPr>
        <w:t xml:space="preserve"> exposures increased in a dose proportional manner, </w:t>
      </w:r>
      <w:proofErr w:type="spellStart"/>
      <w:r w:rsidRPr="00A47F4F">
        <w:rPr>
          <w:rFonts w:cs="Arial"/>
        </w:rPr>
        <w:t>paritaprevir</w:t>
      </w:r>
      <w:proofErr w:type="spellEnd"/>
      <w:r w:rsidRPr="00A47F4F">
        <w:rPr>
          <w:rFonts w:cs="Arial"/>
        </w:rPr>
        <w:t xml:space="preserve"> and ritonavir exposures increased in a more than dose proportional manner.  Accumulation is minimal for </w:t>
      </w:r>
      <w:proofErr w:type="spellStart"/>
      <w:r w:rsidRPr="00A47F4F">
        <w:rPr>
          <w:rFonts w:cs="Arial"/>
        </w:rPr>
        <w:t>ombitasvir</w:t>
      </w:r>
      <w:proofErr w:type="spellEnd"/>
      <w:r w:rsidRPr="00A47F4F">
        <w:rPr>
          <w:rFonts w:cs="Arial"/>
        </w:rPr>
        <w:t xml:space="preserve"> and approximately 1.5- to 2-fold for ritonavir and </w:t>
      </w:r>
      <w:proofErr w:type="spellStart"/>
      <w:r w:rsidRPr="00A47F4F">
        <w:rPr>
          <w:rFonts w:cs="Arial"/>
        </w:rPr>
        <w:t>paritaprevir</w:t>
      </w:r>
      <w:proofErr w:type="spellEnd"/>
      <w:r w:rsidRPr="00A47F4F">
        <w:rPr>
          <w:rFonts w:cs="Arial"/>
        </w:rPr>
        <w:t xml:space="preserve">. </w:t>
      </w:r>
      <w:r w:rsidR="00BE3F52">
        <w:rPr>
          <w:rFonts w:cs="Arial"/>
        </w:rPr>
        <w:t xml:space="preserve"> </w:t>
      </w:r>
      <w:r w:rsidRPr="00A47F4F">
        <w:rPr>
          <w:rFonts w:cs="Arial"/>
        </w:rPr>
        <w:t>Pharmacokinetic steady state for the combination is achieved after approximately 12 days of dosing.</w:t>
      </w:r>
    </w:p>
    <w:p w:rsidR="00085F33" w:rsidRPr="00A47F4F" w:rsidRDefault="0011309F">
      <w:pPr>
        <w:spacing w:line="240" w:lineRule="auto"/>
        <w:jc w:val="both"/>
        <w:rPr>
          <w:rFonts w:cs="Arial"/>
        </w:rPr>
      </w:pPr>
      <w:r w:rsidRPr="00A47F4F">
        <w:t xml:space="preserve">The absolute bioavailability of </w:t>
      </w:r>
      <w:proofErr w:type="spellStart"/>
      <w:r w:rsidRPr="00A47F4F">
        <w:t>ombitasvir</w:t>
      </w:r>
      <w:proofErr w:type="spellEnd"/>
      <w:r w:rsidRPr="00A47F4F">
        <w:t xml:space="preserve"> and </w:t>
      </w:r>
      <w:proofErr w:type="spellStart"/>
      <w:r w:rsidRPr="00A47F4F">
        <w:t>paritaprevir</w:t>
      </w:r>
      <w:proofErr w:type="spellEnd"/>
      <w:r w:rsidRPr="00A47F4F">
        <w:t xml:space="preserve"> when administered with ritonavir as TECHNIVIE was approximately 48.1% and 52.6%, respectively.</w:t>
      </w:r>
    </w:p>
    <w:p w:rsidR="00085F33" w:rsidRPr="00A47F4F" w:rsidRDefault="0011309F">
      <w:pPr>
        <w:spacing w:line="240" w:lineRule="auto"/>
        <w:jc w:val="both"/>
        <w:rPr>
          <w:rFonts w:cs="Arial"/>
          <w:bCs/>
          <w:i/>
          <w:iCs/>
          <w:u w:val="single"/>
        </w:rPr>
      </w:pPr>
      <w:r w:rsidRPr="00A47F4F">
        <w:rPr>
          <w:rFonts w:cs="Arial"/>
          <w:bCs/>
          <w:i/>
          <w:iCs/>
          <w:u w:val="single"/>
        </w:rPr>
        <w:t>Effects of Food on Oral Absorption</w:t>
      </w:r>
    </w:p>
    <w:p w:rsidR="00085F33" w:rsidRPr="00A47F4F" w:rsidRDefault="00AE6349">
      <w:pPr>
        <w:spacing w:line="240" w:lineRule="auto"/>
        <w:jc w:val="both"/>
        <w:rPr>
          <w:rFonts w:cs="Arial"/>
        </w:rPr>
      </w:pPr>
      <w:r w:rsidRPr="00AE6349">
        <w:rPr>
          <w:rFonts w:cs="Arial"/>
          <w:lang w:val="en-US"/>
        </w:rPr>
        <w:t xml:space="preserve">TECHNIVIE </w:t>
      </w:r>
      <w:r w:rsidR="0011309F" w:rsidRPr="00A47F4F">
        <w:rPr>
          <w:rFonts w:cs="Arial"/>
        </w:rPr>
        <w:t xml:space="preserve">should be administered with food. </w:t>
      </w:r>
      <w:r w:rsidR="00BE3F52">
        <w:rPr>
          <w:rFonts w:cs="Arial"/>
        </w:rPr>
        <w:t xml:space="preserve"> </w:t>
      </w:r>
      <w:r w:rsidR="0011309F" w:rsidRPr="00A47F4F">
        <w:rPr>
          <w:rFonts w:cs="Arial"/>
        </w:rPr>
        <w:t xml:space="preserve">All clinical trials with </w:t>
      </w:r>
      <w:proofErr w:type="spellStart"/>
      <w:r w:rsidR="0011309F" w:rsidRPr="00A47F4F">
        <w:rPr>
          <w:rFonts w:cs="Arial"/>
        </w:rPr>
        <w:t>paritaprevir</w:t>
      </w:r>
      <w:proofErr w:type="spellEnd"/>
      <w:r w:rsidR="0011309F" w:rsidRPr="00A47F4F">
        <w:rPr>
          <w:rFonts w:cs="Arial"/>
        </w:rPr>
        <w:t xml:space="preserve">, ritonavir, </w:t>
      </w:r>
      <w:r w:rsidR="009430AA" w:rsidRPr="00A47F4F">
        <w:rPr>
          <w:rFonts w:cs="Arial"/>
        </w:rPr>
        <w:t xml:space="preserve">and </w:t>
      </w:r>
      <w:proofErr w:type="spellStart"/>
      <w:r w:rsidR="0011309F" w:rsidRPr="00A47F4F">
        <w:rPr>
          <w:rFonts w:cs="Arial"/>
        </w:rPr>
        <w:t>ombitasvir</w:t>
      </w:r>
      <w:proofErr w:type="spellEnd"/>
      <w:r w:rsidR="0011309F" w:rsidRPr="00A47F4F">
        <w:rPr>
          <w:rFonts w:cs="Arial"/>
        </w:rPr>
        <w:t xml:space="preserve"> have been conducted following administration with food.</w:t>
      </w:r>
    </w:p>
    <w:p w:rsidR="00085F33" w:rsidRPr="00A47F4F" w:rsidRDefault="0011309F">
      <w:pPr>
        <w:spacing w:line="240" w:lineRule="auto"/>
        <w:jc w:val="both"/>
        <w:rPr>
          <w:rFonts w:cs="Arial"/>
        </w:rPr>
      </w:pPr>
      <w:r w:rsidRPr="00A47F4F">
        <w:rPr>
          <w:rFonts w:cs="Arial"/>
        </w:rPr>
        <w:t xml:space="preserve">Food increased the exposure (AUC) of </w:t>
      </w:r>
      <w:proofErr w:type="spellStart"/>
      <w:r w:rsidRPr="00A47F4F">
        <w:rPr>
          <w:rFonts w:cs="Arial"/>
        </w:rPr>
        <w:t>paritaprevir</w:t>
      </w:r>
      <w:proofErr w:type="spellEnd"/>
      <w:r w:rsidRPr="00A47F4F">
        <w:rPr>
          <w:rFonts w:cs="Arial"/>
        </w:rPr>
        <w:t xml:space="preserve">, </w:t>
      </w:r>
      <w:proofErr w:type="spellStart"/>
      <w:r w:rsidRPr="00A47F4F">
        <w:rPr>
          <w:rFonts w:cs="Arial"/>
        </w:rPr>
        <w:t>ombitasvir</w:t>
      </w:r>
      <w:proofErr w:type="spellEnd"/>
      <w:r w:rsidRPr="00A47F4F">
        <w:rPr>
          <w:rFonts w:cs="Arial"/>
        </w:rPr>
        <w:t xml:space="preserve"> and ritonavir by up to 211%, 82% and 49%, respectively relative to the fasting state. </w:t>
      </w:r>
      <w:r w:rsidR="00BE3F52">
        <w:rPr>
          <w:rFonts w:cs="Arial"/>
        </w:rPr>
        <w:t xml:space="preserve"> </w:t>
      </w:r>
      <w:r w:rsidRPr="00A47F4F">
        <w:rPr>
          <w:rFonts w:cs="Arial"/>
        </w:rPr>
        <w:t xml:space="preserve">The increase in exposure was similar regardless of meal type (e.g., high-fat versus moderate-fat) or calorie content (approximately 600 Kcal versus </w:t>
      </w:r>
      <w:r w:rsidRPr="00A47F4F">
        <w:rPr>
          <w:rFonts w:cs="Arial"/>
        </w:rPr>
        <w:lastRenderedPageBreak/>
        <w:t xml:space="preserve">approximately 1000 Kcal). </w:t>
      </w:r>
      <w:r w:rsidR="00BE3F52">
        <w:rPr>
          <w:rFonts w:cs="Arial"/>
        </w:rPr>
        <w:t xml:space="preserve"> </w:t>
      </w:r>
      <w:r w:rsidRPr="00A47F4F">
        <w:rPr>
          <w:rFonts w:cs="Arial"/>
        </w:rPr>
        <w:t>To maximise absorption, TECHNIVIE should be taken with food without regard to fat or calorie content.</w:t>
      </w:r>
    </w:p>
    <w:p w:rsidR="00085F33" w:rsidRPr="00A47F4F" w:rsidRDefault="0011309F">
      <w:pPr>
        <w:spacing w:line="240" w:lineRule="auto"/>
        <w:rPr>
          <w:rFonts w:cs="Arial"/>
          <w:u w:val="single"/>
        </w:rPr>
      </w:pPr>
      <w:r w:rsidRPr="00A47F4F">
        <w:rPr>
          <w:rFonts w:cs="Arial"/>
          <w:u w:val="single"/>
        </w:rPr>
        <w:t>Distribution</w:t>
      </w:r>
    </w:p>
    <w:p w:rsidR="00A47F4F" w:rsidRPr="00A47F4F" w:rsidRDefault="00A47F4F" w:rsidP="00A47F4F">
      <w:pPr>
        <w:spacing w:line="240" w:lineRule="auto"/>
        <w:jc w:val="both"/>
        <w:rPr>
          <w:rFonts w:cs="Arial"/>
          <w:bCs/>
          <w:i/>
          <w:lang w:val="en-US"/>
        </w:rPr>
      </w:pPr>
      <w:proofErr w:type="spellStart"/>
      <w:r w:rsidRPr="00A47F4F">
        <w:rPr>
          <w:rFonts w:cs="Arial"/>
          <w:bCs/>
          <w:i/>
          <w:lang w:val="en-US"/>
        </w:rPr>
        <w:t>Paritaprevir</w:t>
      </w:r>
      <w:proofErr w:type="spellEnd"/>
    </w:p>
    <w:p w:rsidR="00A47F4F" w:rsidRPr="00A47F4F" w:rsidRDefault="00A47F4F" w:rsidP="00A47F4F">
      <w:pPr>
        <w:spacing w:line="240" w:lineRule="auto"/>
        <w:jc w:val="both"/>
        <w:rPr>
          <w:rFonts w:cs="Arial"/>
          <w:bCs/>
          <w:lang w:val="en-US"/>
        </w:rPr>
      </w:pPr>
      <w:proofErr w:type="spellStart"/>
      <w:r w:rsidRPr="00A47F4F">
        <w:rPr>
          <w:rFonts w:cs="Arial"/>
          <w:bCs/>
          <w:lang w:val="en-US"/>
        </w:rPr>
        <w:t>Paritaprevir</w:t>
      </w:r>
      <w:proofErr w:type="spellEnd"/>
      <w:r w:rsidRPr="00A47F4F">
        <w:rPr>
          <w:rFonts w:cs="Arial"/>
          <w:bCs/>
          <w:lang w:val="en-US"/>
        </w:rPr>
        <w:t xml:space="preserve"> was approximately 97 to 98.6% bound to human plasma proteins over a concentration range of 0.08 to 8 µg per </w:t>
      </w:r>
      <w:proofErr w:type="spellStart"/>
      <w:r w:rsidRPr="00A47F4F">
        <w:rPr>
          <w:rFonts w:cs="Arial"/>
          <w:bCs/>
          <w:lang w:val="en-US"/>
        </w:rPr>
        <w:t>mL.</w:t>
      </w:r>
      <w:proofErr w:type="spellEnd"/>
      <w:r w:rsidRPr="00A47F4F">
        <w:rPr>
          <w:rFonts w:cs="Arial"/>
          <w:bCs/>
          <w:lang w:val="en-US"/>
        </w:rPr>
        <w:t xml:space="preserve"> </w:t>
      </w:r>
      <w:r w:rsidR="00BE3F52">
        <w:rPr>
          <w:rFonts w:cs="Arial"/>
          <w:bCs/>
          <w:lang w:val="en-US"/>
        </w:rPr>
        <w:t xml:space="preserve"> </w:t>
      </w:r>
      <w:r w:rsidRPr="00A47F4F">
        <w:rPr>
          <w:rFonts w:cs="Arial"/>
          <w:bCs/>
          <w:lang w:val="en-US"/>
        </w:rPr>
        <w:t xml:space="preserve">The mean blood-to-plasma concentration ratio was 0.7. </w:t>
      </w:r>
      <w:r w:rsidR="00BE3F52">
        <w:rPr>
          <w:rFonts w:cs="Arial"/>
          <w:bCs/>
          <w:lang w:val="en-US"/>
        </w:rPr>
        <w:t xml:space="preserve"> </w:t>
      </w:r>
      <w:r w:rsidRPr="00A47F4F">
        <w:rPr>
          <w:rFonts w:cs="Arial"/>
          <w:bCs/>
          <w:lang w:val="en-US"/>
        </w:rPr>
        <w:t>The volume of distribution (V) was 103 L.</w:t>
      </w:r>
    </w:p>
    <w:p w:rsidR="00085F33" w:rsidRPr="00A47F4F" w:rsidRDefault="0011309F">
      <w:pPr>
        <w:spacing w:line="240" w:lineRule="auto"/>
        <w:jc w:val="both"/>
        <w:rPr>
          <w:rFonts w:cs="Arial"/>
          <w:bCs/>
          <w:i/>
          <w:lang w:val="en-US"/>
        </w:rPr>
      </w:pPr>
      <w:proofErr w:type="spellStart"/>
      <w:r w:rsidRPr="00A47F4F">
        <w:rPr>
          <w:rFonts w:cs="Arial"/>
          <w:bCs/>
          <w:i/>
          <w:lang w:val="en-US"/>
        </w:rPr>
        <w:t>Ombitasvir</w:t>
      </w:r>
      <w:proofErr w:type="spellEnd"/>
    </w:p>
    <w:p w:rsidR="00085F33" w:rsidRPr="00A47F4F" w:rsidRDefault="0011309F">
      <w:pPr>
        <w:spacing w:line="240" w:lineRule="auto"/>
        <w:jc w:val="both"/>
        <w:rPr>
          <w:rFonts w:cs="Arial"/>
          <w:bCs/>
          <w:lang w:val="en-US"/>
        </w:rPr>
      </w:pPr>
      <w:proofErr w:type="spellStart"/>
      <w:r w:rsidRPr="00A47F4F">
        <w:rPr>
          <w:rFonts w:cs="Arial"/>
          <w:bCs/>
          <w:lang w:val="en-US"/>
        </w:rPr>
        <w:t>Ombitasvir</w:t>
      </w:r>
      <w:proofErr w:type="spellEnd"/>
      <w:r w:rsidRPr="00A47F4F">
        <w:rPr>
          <w:rFonts w:cs="Arial"/>
          <w:bCs/>
          <w:lang w:val="en-US"/>
        </w:rPr>
        <w:t xml:space="preserve"> was approximately 99.9% bound to human plasma proteins over a concentration range of 0.09 to 9 µg per </w:t>
      </w:r>
      <w:proofErr w:type="spellStart"/>
      <w:r w:rsidRPr="00A47F4F">
        <w:rPr>
          <w:rFonts w:cs="Arial"/>
          <w:bCs/>
          <w:lang w:val="en-US"/>
        </w:rPr>
        <w:t>mL.</w:t>
      </w:r>
      <w:proofErr w:type="spellEnd"/>
      <w:r w:rsidRPr="00A47F4F">
        <w:rPr>
          <w:rFonts w:cs="Arial"/>
          <w:bCs/>
          <w:lang w:val="en-US"/>
        </w:rPr>
        <w:t xml:space="preserve"> </w:t>
      </w:r>
      <w:r w:rsidR="00BE3F52">
        <w:rPr>
          <w:rFonts w:cs="Arial"/>
          <w:bCs/>
          <w:lang w:val="en-US"/>
        </w:rPr>
        <w:t xml:space="preserve"> </w:t>
      </w:r>
      <w:r w:rsidRPr="00A47F4F">
        <w:rPr>
          <w:rFonts w:cs="Arial"/>
          <w:bCs/>
          <w:lang w:val="en-US"/>
        </w:rPr>
        <w:t xml:space="preserve">The mean blood-to-plasma concentration ratio was 0.49. </w:t>
      </w:r>
      <w:r w:rsidR="00BE3F52">
        <w:rPr>
          <w:rFonts w:cs="Arial"/>
          <w:bCs/>
          <w:lang w:val="en-US"/>
        </w:rPr>
        <w:t xml:space="preserve"> </w:t>
      </w:r>
      <w:r w:rsidRPr="00A47F4F">
        <w:rPr>
          <w:rFonts w:cs="Arial"/>
          <w:bCs/>
          <w:lang w:val="en-US"/>
        </w:rPr>
        <w:t>The volume of distribution (V) was 173 L.</w:t>
      </w:r>
    </w:p>
    <w:p w:rsidR="00085F33" w:rsidRPr="00A47F4F" w:rsidRDefault="0011309F">
      <w:pPr>
        <w:spacing w:line="240" w:lineRule="auto"/>
        <w:jc w:val="both"/>
        <w:rPr>
          <w:rFonts w:cs="Arial"/>
          <w:bCs/>
          <w:i/>
        </w:rPr>
      </w:pPr>
      <w:bookmarkStart w:id="23" w:name="p366217291437494895"/>
      <w:bookmarkStart w:id="24" w:name="p90075291437494906"/>
      <w:bookmarkEnd w:id="23"/>
      <w:bookmarkEnd w:id="24"/>
      <w:r w:rsidRPr="00A47F4F">
        <w:rPr>
          <w:rFonts w:cs="Arial"/>
          <w:bCs/>
          <w:i/>
        </w:rPr>
        <w:t>Ritonavir</w:t>
      </w:r>
    </w:p>
    <w:p w:rsidR="00085F33" w:rsidRPr="00A47F4F" w:rsidRDefault="0011309F">
      <w:pPr>
        <w:spacing w:line="240" w:lineRule="auto"/>
        <w:jc w:val="both"/>
        <w:rPr>
          <w:rFonts w:cs="Arial"/>
          <w:bCs/>
        </w:rPr>
      </w:pPr>
      <w:r w:rsidRPr="00A47F4F">
        <w:rPr>
          <w:rFonts w:cs="Arial"/>
          <w:bCs/>
        </w:rPr>
        <w:t xml:space="preserve">Ritonavir was greater than 99% bound to human plasma proteins over a concentration range of 0.007 to 22 µg per </w:t>
      </w:r>
      <w:proofErr w:type="spellStart"/>
      <w:r w:rsidRPr="00A47F4F">
        <w:rPr>
          <w:rFonts w:cs="Arial"/>
          <w:bCs/>
        </w:rPr>
        <w:t>mL.</w:t>
      </w:r>
      <w:proofErr w:type="spellEnd"/>
      <w:r w:rsidRPr="00A47F4F">
        <w:rPr>
          <w:rFonts w:cs="Arial"/>
          <w:bCs/>
        </w:rPr>
        <w:t xml:space="preserve"> </w:t>
      </w:r>
      <w:r w:rsidR="00BE3F52">
        <w:rPr>
          <w:rFonts w:cs="Arial"/>
          <w:bCs/>
        </w:rPr>
        <w:t xml:space="preserve"> </w:t>
      </w:r>
      <w:r w:rsidRPr="00A47F4F">
        <w:rPr>
          <w:rFonts w:cs="Arial"/>
          <w:bCs/>
        </w:rPr>
        <w:t>The mean blood-to-plasma concentration ratio was 0.6.</w:t>
      </w:r>
    </w:p>
    <w:p w:rsidR="00085F33" w:rsidRPr="00A47F4F" w:rsidRDefault="0011309F">
      <w:pPr>
        <w:spacing w:line="240" w:lineRule="auto"/>
        <w:rPr>
          <w:rFonts w:cs="Arial"/>
          <w:u w:val="single"/>
        </w:rPr>
      </w:pPr>
      <w:r w:rsidRPr="00A47F4F">
        <w:rPr>
          <w:rFonts w:cs="Arial"/>
          <w:u w:val="single"/>
        </w:rPr>
        <w:t>Metabolism</w:t>
      </w:r>
    </w:p>
    <w:p w:rsidR="00085F33" w:rsidRPr="00A47F4F" w:rsidRDefault="0011309F">
      <w:pPr>
        <w:spacing w:line="240" w:lineRule="auto"/>
        <w:rPr>
          <w:rFonts w:cs="Arial"/>
          <w:i/>
        </w:rPr>
      </w:pPr>
      <w:proofErr w:type="spellStart"/>
      <w:r w:rsidRPr="00A47F4F">
        <w:rPr>
          <w:rFonts w:cs="Arial"/>
          <w:i/>
        </w:rPr>
        <w:t>Paritaprevir</w:t>
      </w:r>
      <w:proofErr w:type="spellEnd"/>
    </w:p>
    <w:p w:rsidR="00085F33" w:rsidRPr="00A47F4F" w:rsidRDefault="0011309F">
      <w:pPr>
        <w:spacing w:line="240" w:lineRule="auto"/>
        <w:jc w:val="both"/>
        <w:rPr>
          <w:rFonts w:cs="Arial"/>
        </w:rPr>
      </w:pPr>
      <w:proofErr w:type="spellStart"/>
      <w:r w:rsidRPr="00A47F4F">
        <w:rPr>
          <w:rFonts w:cs="Arial"/>
        </w:rPr>
        <w:t>Paritaprevir</w:t>
      </w:r>
      <w:proofErr w:type="spellEnd"/>
      <w:r w:rsidRPr="00A47F4F">
        <w:rPr>
          <w:rFonts w:cs="Arial"/>
        </w:rPr>
        <w:t xml:space="preserve"> is metabolised predominantly by CYP3A4 and to a lesser extent CYP3A5.  Following administration of a single 200/100 mg oral dose of </w:t>
      </w:r>
      <w:r w:rsidRPr="00A47F4F">
        <w:rPr>
          <w:rFonts w:cs="Arial"/>
          <w:vertAlign w:val="superscript"/>
        </w:rPr>
        <w:t>14</w:t>
      </w:r>
      <w:r w:rsidRPr="00A47F4F">
        <w:rPr>
          <w:rFonts w:cs="Arial"/>
        </w:rPr>
        <w:t xml:space="preserve">C </w:t>
      </w:r>
      <w:proofErr w:type="spellStart"/>
      <w:r w:rsidRPr="00A47F4F">
        <w:rPr>
          <w:rFonts w:cs="Arial"/>
        </w:rPr>
        <w:t>paritaprevir</w:t>
      </w:r>
      <w:proofErr w:type="spellEnd"/>
      <w:r w:rsidRPr="00A47F4F">
        <w:rPr>
          <w:rFonts w:cs="Arial"/>
        </w:rPr>
        <w:t xml:space="preserve">/ritonavir to humans, the parent drug was the major circulating component accounting for approximately 90% of the plasma radioactivity. </w:t>
      </w:r>
      <w:r w:rsidR="00BE3F52">
        <w:rPr>
          <w:rFonts w:cs="Arial"/>
        </w:rPr>
        <w:t xml:space="preserve"> </w:t>
      </w:r>
      <w:r w:rsidRPr="00A47F4F">
        <w:rPr>
          <w:rFonts w:cs="Arial"/>
        </w:rPr>
        <w:t xml:space="preserve">At least 5 minor metabolites of </w:t>
      </w:r>
      <w:proofErr w:type="spellStart"/>
      <w:r w:rsidRPr="00A47F4F">
        <w:rPr>
          <w:rFonts w:cs="Arial"/>
        </w:rPr>
        <w:t>paritaprevir</w:t>
      </w:r>
      <w:proofErr w:type="spellEnd"/>
      <w:r w:rsidRPr="00A47F4F">
        <w:rPr>
          <w:rFonts w:cs="Arial"/>
        </w:rPr>
        <w:t xml:space="preserve"> have been identified in circulation that accounted for approximately 10% of plasma radioactivity. </w:t>
      </w:r>
      <w:r w:rsidR="00BE3F52">
        <w:rPr>
          <w:rFonts w:cs="Arial"/>
        </w:rPr>
        <w:t xml:space="preserve"> </w:t>
      </w:r>
      <w:r w:rsidRPr="00A47F4F">
        <w:rPr>
          <w:rFonts w:cs="Arial"/>
        </w:rPr>
        <w:t>These metabolites are not expected to have antiviral activity.</w:t>
      </w:r>
    </w:p>
    <w:p w:rsidR="00085F33" w:rsidRPr="00A47F4F" w:rsidRDefault="0011309F">
      <w:pPr>
        <w:spacing w:line="240" w:lineRule="auto"/>
        <w:rPr>
          <w:rFonts w:cs="Arial"/>
          <w:i/>
        </w:rPr>
      </w:pPr>
      <w:proofErr w:type="spellStart"/>
      <w:r w:rsidRPr="00A47F4F">
        <w:rPr>
          <w:rFonts w:cs="Arial"/>
          <w:i/>
        </w:rPr>
        <w:t>Ombitasvir</w:t>
      </w:r>
      <w:proofErr w:type="spellEnd"/>
    </w:p>
    <w:p w:rsidR="00085F33" w:rsidRPr="00A47F4F" w:rsidRDefault="0011309F">
      <w:pPr>
        <w:spacing w:line="240" w:lineRule="auto"/>
        <w:jc w:val="both"/>
        <w:rPr>
          <w:rFonts w:cs="Arial"/>
        </w:rPr>
      </w:pPr>
      <w:proofErr w:type="spellStart"/>
      <w:r w:rsidRPr="00A47F4F">
        <w:rPr>
          <w:rStyle w:val="gtcbold2"/>
          <w:rFonts w:cs="Arial"/>
          <w:b w:val="0"/>
        </w:rPr>
        <w:t>Ombitasvir</w:t>
      </w:r>
      <w:proofErr w:type="spellEnd"/>
      <w:r w:rsidRPr="00A47F4F">
        <w:rPr>
          <w:rStyle w:val="gtcbold2"/>
          <w:rFonts w:cs="Arial"/>
          <w:b w:val="0"/>
        </w:rPr>
        <w:t xml:space="preserve"> is metabolised via amide hydrolysis followed by oxidative metabolism.</w:t>
      </w:r>
      <w:r w:rsidRPr="00A47F4F">
        <w:rPr>
          <w:rFonts w:cs="Arial"/>
        </w:rPr>
        <w:t xml:space="preserve"> </w:t>
      </w:r>
      <w:r w:rsidR="00BE3F52">
        <w:rPr>
          <w:rFonts w:cs="Arial"/>
        </w:rPr>
        <w:t xml:space="preserve"> </w:t>
      </w:r>
      <w:r w:rsidRPr="00A47F4F">
        <w:rPr>
          <w:rFonts w:cs="Arial"/>
        </w:rPr>
        <w:t xml:space="preserve">Following a 25 mg single dose of </w:t>
      </w:r>
      <w:r w:rsidRPr="00A47F4F">
        <w:rPr>
          <w:rFonts w:cs="Arial"/>
          <w:vertAlign w:val="superscript"/>
        </w:rPr>
        <w:t>14</w:t>
      </w:r>
      <w:r w:rsidRPr="00A47F4F">
        <w:rPr>
          <w:rFonts w:cs="Arial"/>
        </w:rPr>
        <w:t xml:space="preserve">C-ombitasvir given alone, unchanged parent drug accounted for 8.9% of total radioactivity in human plasma; a total of 13 metabolites were identified in human plasma. </w:t>
      </w:r>
      <w:r w:rsidR="00BE3F52">
        <w:rPr>
          <w:rFonts w:cs="Arial"/>
        </w:rPr>
        <w:t xml:space="preserve"> </w:t>
      </w:r>
      <w:r w:rsidRPr="00A47F4F">
        <w:rPr>
          <w:rFonts w:cs="Arial"/>
        </w:rPr>
        <w:t>These metabolites are not expected to have antiviral activity or off-target pharmacological activity.</w:t>
      </w:r>
    </w:p>
    <w:p w:rsidR="00085F33" w:rsidRPr="00A47F4F" w:rsidRDefault="0011309F">
      <w:pPr>
        <w:spacing w:line="240" w:lineRule="auto"/>
        <w:rPr>
          <w:rFonts w:cs="Arial"/>
          <w:i/>
          <w:iCs/>
        </w:rPr>
      </w:pPr>
      <w:r w:rsidRPr="00A47F4F">
        <w:rPr>
          <w:rFonts w:cs="Arial"/>
          <w:i/>
          <w:iCs/>
        </w:rPr>
        <w:t xml:space="preserve">Ritonavir </w:t>
      </w:r>
    </w:p>
    <w:p w:rsidR="00085F33" w:rsidRPr="00A47F4F" w:rsidRDefault="0011309F" w:rsidP="00AB0135">
      <w:pPr>
        <w:spacing w:line="240" w:lineRule="auto"/>
        <w:jc w:val="both"/>
        <w:rPr>
          <w:rFonts w:cs="Arial"/>
          <w:iCs/>
        </w:rPr>
      </w:pPr>
      <w:r w:rsidRPr="00A47F4F">
        <w:rPr>
          <w:rFonts w:cs="Arial"/>
          <w:iCs/>
        </w:rPr>
        <w:t xml:space="preserve">Ritonavir is predominantly metabolised by CYP3A and to a lesser extent, by CYP2D6. </w:t>
      </w:r>
      <w:r w:rsidR="00BE3F52">
        <w:rPr>
          <w:rFonts w:cs="Arial"/>
          <w:iCs/>
        </w:rPr>
        <w:t xml:space="preserve"> </w:t>
      </w:r>
      <w:r w:rsidRPr="00A47F4F">
        <w:rPr>
          <w:rFonts w:cs="Arial"/>
          <w:iCs/>
        </w:rPr>
        <w:t xml:space="preserve">Nearly the entire plasma radioactivity after a single 600 mg dose of </w:t>
      </w:r>
      <w:r w:rsidRPr="00A47F4F">
        <w:rPr>
          <w:rFonts w:cs="Arial"/>
          <w:iCs/>
          <w:vertAlign w:val="superscript"/>
        </w:rPr>
        <w:t>14</w:t>
      </w:r>
      <w:r w:rsidRPr="00A47F4F">
        <w:rPr>
          <w:rFonts w:cs="Arial"/>
          <w:iCs/>
        </w:rPr>
        <w:t>C-ritonavir oral solution in humans was attributed to unchanged ritonavir.</w:t>
      </w:r>
    </w:p>
    <w:p w:rsidR="00085F33" w:rsidRPr="00A47F4F" w:rsidRDefault="0011309F">
      <w:pPr>
        <w:spacing w:line="240" w:lineRule="auto"/>
        <w:rPr>
          <w:rFonts w:cs="Arial"/>
          <w:u w:val="single"/>
        </w:rPr>
      </w:pPr>
      <w:r w:rsidRPr="00A47F4F">
        <w:rPr>
          <w:rFonts w:cs="Arial"/>
          <w:u w:val="single"/>
        </w:rPr>
        <w:t>Elimination</w:t>
      </w:r>
    </w:p>
    <w:p w:rsidR="00085F33" w:rsidRPr="00A47F4F" w:rsidRDefault="0011309F">
      <w:pPr>
        <w:spacing w:line="240" w:lineRule="auto"/>
        <w:rPr>
          <w:rFonts w:cs="Arial"/>
          <w:i/>
        </w:rPr>
      </w:pPr>
      <w:proofErr w:type="spellStart"/>
      <w:r w:rsidRPr="00A47F4F">
        <w:rPr>
          <w:rFonts w:cs="Arial"/>
          <w:i/>
        </w:rPr>
        <w:t>Paritaprevir</w:t>
      </w:r>
      <w:proofErr w:type="spellEnd"/>
    </w:p>
    <w:p w:rsidR="00085F33" w:rsidRPr="00A47F4F" w:rsidRDefault="0011309F">
      <w:pPr>
        <w:spacing w:line="240" w:lineRule="auto"/>
        <w:jc w:val="both"/>
        <w:rPr>
          <w:rFonts w:cs="Arial"/>
        </w:rPr>
      </w:pPr>
      <w:r w:rsidRPr="00A47F4F">
        <w:rPr>
          <w:rFonts w:cs="Arial"/>
        </w:rPr>
        <w:t xml:space="preserve">Following dosing of </w:t>
      </w:r>
      <w:proofErr w:type="spellStart"/>
      <w:r w:rsidRPr="00A47F4F">
        <w:rPr>
          <w:rFonts w:cs="Arial"/>
        </w:rPr>
        <w:t>paritaprevir</w:t>
      </w:r>
      <w:proofErr w:type="spellEnd"/>
      <w:r w:rsidRPr="00A47F4F">
        <w:rPr>
          <w:rFonts w:cs="Arial"/>
        </w:rPr>
        <w:t>/ritonavir/</w:t>
      </w:r>
      <w:proofErr w:type="spellStart"/>
      <w:r w:rsidRPr="00A47F4F">
        <w:rPr>
          <w:rFonts w:cs="Arial"/>
        </w:rPr>
        <w:t>ombitasvir</w:t>
      </w:r>
      <w:proofErr w:type="spellEnd"/>
      <w:r w:rsidRPr="00A47F4F">
        <w:rPr>
          <w:rFonts w:cs="Arial"/>
        </w:rPr>
        <w:t xml:space="preserve">, mean plasma half-life of </w:t>
      </w:r>
      <w:proofErr w:type="spellStart"/>
      <w:r w:rsidRPr="00A47F4F">
        <w:rPr>
          <w:rFonts w:cs="Arial"/>
        </w:rPr>
        <w:t>paritaprevir</w:t>
      </w:r>
      <w:proofErr w:type="spellEnd"/>
      <w:r w:rsidRPr="00A47F4F">
        <w:rPr>
          <w:rFonts w:cs="Arial"/>
        </w:rPr>
        <w:t xml:space="preserve"> was approximately 5.5 hours.  Following a 200 mg </w:t>
      </w:r>
      <w:r w:rsidRPr="00A47F4F">
        <w:rPr>
          <w:rFonts w:cs="Arial"/>
          <w:vertAlign w:val="superscript"/>
        </w:rPr>
        <w:t>14</w:t>
      </w:r>
      <w:r w:rsidRPr="00A47F4F">
        <w:rPr>
          <w:rFonts w:cs="Arial"/>
        </w:rPr>
        <w:t>C-paritaprevir dose with 100 mg ritonavir, approximately 88% of the radioactivity was recovered in faeces with limited radioactivity (8.8%) in urine.</w:t>
      </w:r>
    </w:p>
    <w:p w:rsidR="00085F33" w:rsidRPr="00A47F4F" w:rsidRDefault="0011309F">
      <w:pPr>
        <w:spacing w:line="240" w:lineRule="auto"/>
        <w:rPr>
          <w:rFonts w:cs="Arial"/>
          <w:i/>
        </w:rPr>
      </w:pPr>
      <w:proofErr w:type="spellStart"/>
      <w:r w:rsidRPr="00A47F4F">
        <w:rPr>
          <w:rFonts w:cs="Arial"/>
          <w:i/>
        </w:rPr>
        <w:t>Ombitasvir</w:t>
      </w:r>
      <w:proofErr w:type="spellEnd"/>
    </w:p>
    <w:p w:rsidR="00085F33" w:rsidRPr="00A47F4F" w:rsidRDefault="0011309F">
      <w:pPr>
        <w:spacing w:line="240" w:lineRule="auto"/>
        <w:jc w:val="both"/>
        <w:rPr>
          <w:rFonts w:cs="Arial"/>
        </w:rPr>
      </w:pPr>
      <w:r w:rsidRPr="00A47F4F">
        <w:rPr>
          <w:rFonts w:cs="Arial"/>
        </w:rPr>
        <w:lastRenderedPageBreak/>
        <w:t xml:space="preserve">Following dosing of </w:t>
      </w:r>
      <w:proofErr w:type="spellStart"/>
      <w:r w:rsidRPr="00A47F4F">
        <w:rPr>
          <w:rFonts w:cs="Arial"/>
        </w:rPr>
        <w:t>paritaprevir</w:t>
      </w:r>
      <w:proofErr w:type="spellEnd"/>
      <w:r w:rsidRPr="00A47F4F">
        <w:rPr>
          <w:rFonts w:cs="Arial"/>
        </w:rPr>
        <w:t>/ritonavir/</w:t>
      </w:r>
      <w:proofErr w:type="spellStart"/>
      <w:r w:rsidRPr="00A47F4F">
        <w:rPr>
          <w:rFonts w:cs="Arial"/>
        </w:rPr>
        <w:t>ombitasvir</w:t>
      </w:r>
      <w:proofErr w:type="spellEnd"/>
      <w:r w:rsidRPr="00A47F4F">
        <w:rPr>
          <w:rFonts w:cs="Arial"/>
        </w:rPr>
        <w:t xml:space="preserve">, mean plasma half-life of </w:t>
      </w:r>
      <w:proofErr w:type="spellStart"/>
      <w:r w:rsidRPr="00A47F4F">
        <w:rPr>
          <w:rFonts w:cs="Arial"/>
        </w:rPr>
        <w:t>ombitasvir</w:t>
      </w:r>
      <w:proofErr w:type="spellEnd"/>
      <w:r w:rsidRPr="00A47F4F">
        <w:rPr>
          <w:rFonts w:cs="Arial"/>
        </w:rPr>
        <w:t xml:space="preserve"> was approximately 21-25 hours. </w:t>
      </w:r>
      <w:r w:rsidR="00BE3F52">
        <w:rPr>
          <w:rFonts w:cs="Arial"/>
        </w:rPr>
        <w:t xml:space="preserve"> </w:t>
      </w:r>
      <w:r w:rsidRPr="00A47F4F">
        <w:rPr>
          <w:rFonts w:cs="Arial"/>
        </w:rPr>
        <w:t xml:space="preserve">Following a 25 mg </w:t>
      </w:r>
      <w:r w:rsidRPr="00A47F4F">
        <w:rPr>
          <w:rFonts w:cs="Arial"/>
          <w:vertAlign w:val="superscript"/>
        </w:rPr>
        <w:t>14</w:t>
      </w:r>
      <w:r w:rsidRPr="00A47F4F">
        <w:rPr>
          <w:rFonts w:cs="Arial"/>
        </w:rPr>
        <w:t>C-ombitasvir dose, approximately 90.2% of the radioactivity was recovered in faeces with limited radioactivity (1.91%) in urine.</w:t>
      </w:r>
    </w:p>
    <w:p w:rsidR="00085F33" w:rsidRPr="00A47F4F" w:rsidRDefault="0011309F">
      <w:pPr>
        <w:spacing w:line="240" w:lineRule="auto"/>
        <w:rPr>
          <w:rFonts w:cs="Arial"/>
          <w:i/>
        </w:rPr>
      </w:pPr>
      <w:r w:rsidRPr="00A47F4F">
        <w:rPr>
          <w:rFonts w:cs="Arial"/>
          <w:i/>
        </w:rPr>
        <w:t>Ritonavir</w:t>
      </w:r>
    </w:p>
    <w:p w:rsidR="00085F33" w:rsidRPr="00A47F4F" w:rsidRDefault="0011309F">
      <w:pPr>
        <w:spacing w:line="240" w:lineRule="auto"/>
        <w:jc w:val="both"/>
        <w:rPr>
          <w:rFonts w:cs="Arial"/>
          <w:u w:val="single"/>
        </w:rPr>
      </w:pPr>
      <w:r w:rsidRPr="00A47F4F">
        <w:rPr>
          <w:rFonts w:cs="Arial"/>
        </w:rPr>
        <w:t xml:space="preserve">Following dosing of </w:t>
      </w:r>
      <w:proofErr w:type="spellStart"/>
      <w:r w:rsidRPr="00A47F4F">
        <w:rPr>
          <w:rFonts w:cs="Arial"/>
        </w:rPr>
        <w:t>paritaprevir</w:t>
      </w:r>
      <w:proofErr w:type="spellEnd"/>
      <w:r w:rsidRPr="00A47F4F">
        <w:rPr>
          <w:rFonts w:cs="Arial"/>
        </w:rPr>
        <w:t>/ritonavir/</w:t>
      </w:r>
      <w:proofErr w:type="spellStart"/>
      <w:r w:rsidRPr="00A47F4F">
        <w:rPr>
          <w:rFonts w:cs="Arial"/>
        </w:rPr>
        <w:t>ombitasvir</w:t>
      </w:r>
      <w:proofErr w:type="spellEnd"/>
      <w:r w:rsidRPr="00A47F4F">
        <w:rPr>
          <w:rFonts w:cs="Arial"/>
        </w:rPr>
        <w:t xml:space="preserve">, mean plasma half-life of ritonavir was approximately 4 hours.  Following a 600 mg dose of </w:t>
      </w:r>
      <w:r w:rsidRPr="00A47F4F">
        <w:rPr>
          <w:rFonts w:cs="Arial"/>
          <w:vertAlign w:val="superscript"/>
        </w:rPr>
        <w:t>14</w:t>
      </w:r>
      <w:r w:rsidRPr="00A47F4F">
        <w:rPr>
          <w:rFonts w:cs="Arial"/>
        </w:rPr>
        <w:t>C -ritonavir oral solution, 86.4% of the radioactivity was recovered in the faeces and 11.3% of the dose was excreted in the urine.</w:t>
      </w:r>
    </w:p>
    <w:p w:rsidR="00085F33" w:rsidRPr="00A47F4F" w:rsidRDefault="0011309F">
      <w:pPr>
        <w:spacing w:line="240" w:lineRule="auto"/>
        <w:jc w:val="both"/>
        <w:rPr>
          <w:rFonts w:cs="Arial"/>
          <w:u w:val="single"/>
        </w:rPr>
      </w:pPr>
      <w:r w:rsidRPr="00A47F4F">
        <w:rPr>
          <w:rFonts w:cs="Arial"/>
          <w:u w:val="single"/>
        </w:rPr>
        <w:t>Implications for Drug Interactions</w:t>
      </w:r>
    </w:p>
    <w:p w:rsidR="00085F33" w:rsidRPr="00AE6349" w:rsidRDefault="0011309F">
      <w:pPr>
        <w:spacing w:line="240" w:lineRule="auto"/>
        <w:jc w:val="both"/>
        <w:rPr>
          <w:rFonts w:cs="Arial"/>
          <w:i/>
          <w:iCs/>
        </w:rPr>
      </w:pPr>
      <w:r w:rsidRPr="00AE6349">
        <w:rPr>
          <w:rFonts w:cs="Arial"/>
          <w:i/>
          <w:iCs/>
        </w:rPr>
        <w:t>Potential for TECHNIVIE to affect the pharmacokinetics of other medicinal products</w:t>
      </w:r>
    </w:p>
    <w:p w:rsidR="00085F33" w:rsidRPr="00A47F4F" w:rsidRDefault="0011309F">
      <w:pPr>
        <w:spacing w:line="240" w:lineRule="auto"/>
        <w:jc w:val="both"/>
        <w:rPr>
          <w:rFonts w:cs="Arial"/>
        </w:rPr>
      </w:pPr>
      <w:r w:rsidRPr="00A47F4F">
        <w:rPr>
          <w:rFonts w:cs="Arial"/>
          <w:i/>
          <w:iCs/>
        </w:rPr>
        <w:t xml:space="preserve">In vivo </w:t>
      </w:r>
      <w:r w:rsidRPr="00A47F4F">
        <w:rPr>
          <w:rFonts w:cs="Arial"/>
        </w:rPr>
        <w:t>drug interaction studies evaluated the net effect of the combination treatment, including ritonavir.</w:t>
      </w:r>
    </w:p>
    <w:p w:rsidR="00085F33" w:rsidRPr="00A47F4F" w:rsidRDefault="0011309F">
      <w:pPr>
        <w:spacing w:line="240" w:lineRule="auto"/>
        <w:jc w:val="both"/>
        <w:rPr>
          <w:rFonts w:cs="Arial"/>
        </w:rPr>
      </w:pPr>
      <w:r w:rsidRPr="00A47F4F">
        <w:rPr>
          <w:rFonts w:cs="Arial"/>
        </w:rPr>
        <w:t xml:space="preserve">The following section describes the specific transporters and </w:t>
      </w:r>
      <w:r w:rsidR="00275688" w:rsidRPr="00A47F4F">
        <w:rPr>
          <w:rFonts w:cs="Arial"/>
        </w:rPr>
        <w:t>metaboli</w:t>
      </w:r>
      <w:r w:rsidR="00275688">
        <w:rPr>
          <w:rFonts w:cs="Arial"/>
        </w:rPr>
        <w:t>s</w:t>
      </w:r>
      <w:r w:rsidR="00275688" w:rsidRPr="00A47F4F">
        <w:rPr>
          <w:rFonts w:cs="Arial"/>
        </w:rPr>
        <w:t xml:space="preserve">ing </w:t>
      </w:r>
      <w:r w:rsidRPr="00A47F4F">
        <w:rPr>
          <w:rFonts w:cs="Arial"/>
        </w:rPr>
        <w:t xml:space="preserve">enzymes that are affected by TECHNIVIE. </w:t>
      </w:r>
      <w:r w:rsidR="00275688">
        <w:rPr>
          <w:rFonts w:cs="Arial"/>
        </w:rPr>
        <w:t xml:space="preserve"> </w:t>
      </w:r>
      <w:r w:rsidRPr="00A47F4F">
        <w:rPr>
          <w:rFonts w:cs="Arial"/>
        </w:rPr>
        <w:t>See INTERACTIONS WITH OTHER MEDICINES for guidance regarding potential interactions with other medicinal products and dosing recommendations.</w:t>
      </w:r>
    </w:p>
    <w:p w:rsidR="00085F33" w:rsidRPr="00A47F4F" w:rsidRDefault="0011309F">
      <w:pPr>
        <w:spacing w:line="240" w:lineRule="auto"/>
        <w:jc w:val="both"/>
        <w:rPr>
          <w:rFonts w:cs="Arial"/>
          <w:i/>
          <w:iCs/>
        </w:rPr>
      </w:pPr>
      <w:r w:rsidRPr="00A47F4F">
        <w:rPr>
          <w:rFonts w:cs="Arial"/>
          <w:i/>
          <w:iCs/>
        </w:rPr>
        <w:t>Medicinal products metabolised by CYP3A4</w:t>
      </w:r>
    </w:p>
    <w:p w:rsidR="00085F33" w:rsidRPr="00A47F4F" w:rsidRDefault="0011309F">
      <w:pPr>
        <w:spacing w:line="240" w:lineRule="auto"/>
        <w:jc w:val="both"/>
        <w:rPr>
          <w:rFonts w:cs="Arial"/>
        </w:rPr>
      </w:pPr>
      <w:r w:rsidRPr="00A47F4F">
        <w:rPr>
          <w:rFonts w:cs="Arial"/>
        </w:rPr>
        <w:t xml:space="preserve">Ritonavir is a strong inhibitor of CYP3A. </w:t>
      </w:r>
      <w:r w:rsidR="00275688">
        <w:rPr>
          <w:rFonts w:cs="Arial"/>
        </w:rPr>
        <w:t xml:space="preserve"> </w:t>
      </w:r>
      <w:r w:rsidRPr="00A47F4F">
        <w:rPr>
          <w:rFonts w:cs="Arial"/>
        </w:rPr>
        <w:t xml:space="preserve">Co-administration of TECHNIVIE with medicinal products primarily metabolised by CYP3A may result in increased plasma concentrations of these medicinal products. </w:t>
      </w:r>
      <w:r w:rsidR="00275688">
        <w:rPr>
          <w:rFonts w:cs="Arial"/>
        </w:rPr>
        <w:t xml:space="preserve"> </w:t>
      </w:r>
      <w:r w:rsidRPr="00A47F4F">
        <w:rPr>
          <w:rFonts w:cs="Arial"/>
        </w:rPr>
        <w:t>Medicinal products that are highly dependent on CYP3A for clearance</w:t>
      </w:r>
      <w:r w:rsidR="00275688">
        <w:rPr>
          <w:rFonts w:cs="Arial"/>
        </w:rPr>
        <w:t>,</w:t>
      </w:r>
      <w:r w:rsidRPr="00A47F4F">
        <w:rPr>
          <w:rFonts w:cs="Arial"/>
        </w:rPr>
        <w:t xml:space="preserve"> and for which elevated plasma levels are associated with serious events</w:t>
      </w:r>
      <w:r w:rsidR="00275688">
        <w:rPr>
          <w:rFonts w:cs="Arial"/>
        </w:rPr>
        <w:t>,</w:t>
      </w:r>
      <w:r w:rsidRPr="00A47F4F">
        <w:rPr>
          <w:rFonts w:cs="Arial"/>
        </w:rPr>
        <w:t xml:space="preserve"> are contraindicated (see CONTRAINDICATIONS and INTERACTIONS WITH OTHER MEDICINES).</w:t>
      </w:r>
    </w:p>
    <w:p w:rsidR="00085F33" w:rsidRPr="00A47F4F" w:rsidRDefault="0011309F">
      <w:pPr>
        <w:spacing w:line="240" w:lineRule="auto"/>
        <w:jc w:val="both"/>
        <w:rPr>
          <w:rFonts w:cs="Arial"/>
        </w:rPr>
      </w:pPr>
      <w:r w:rsidRPr="00A47F4F">
        <w:rPr>
          <w:rFonts w:cs="Arial"/>
        </w:rPr>
        <w:t xml:space="preserve">CYP3A substrates evaluated in drug interaction studies which may require dose adjustment and/or clinical monitoring include (see </w:t>
      </w:r>
      <w:r w:rsidR="00554C6A">
        <w:rPr>
          <w:rFonts w:cs="Arial"/>
        </w:rPr>
        <w:t xml:space="preserve">Table </w:t>
      </w:r>
      <w:r w:rsidR="00B54C47">
        <w:rPr>
          <w:rFonts w:cs="Arial"/>
        </w:rPr>
        <w:t>5</w:t>
      </w:r>
      <w:r w:rsidRPr="00A47F4F">
        <w:rPr>
          <w:rFonts w:cs="Arial"/>
        </w:rPr>
        <w:t xml:space="preserve">) cyclosporine, tacrolimus, amlodipine, </w:t>
      </w:r>
      <w:proofErr w:type="spellStart"/>
      <w:r w:rsidRPr="00A47F4F">
        <w:rPr>
          <w:rFonts w:cs="Arial"/>
        </w:rPr>
        <w:t>rilpivirine</w:t>
      </w:r>
      <w:proofErr w:type="spellEnd"/>
      <w:r w:rsidRPr="00A47F4F">
        <w:rPr>
          <w:rFonts w:cs="Arial"/>
        </w:rPr>
        <w:t xml:space="preserve"> and alprazolam. Examples of other CYP3A4 substrates which may require dose adjustment and/or clinical monitoring include calcium channel blockers (e.g. </w:t>
      </w:r>
      <w:proofErr w:type="spellStart"/>
      <w:r w:rsidRPr="00A47F4F">
        <w:rPr>
          <w:rFonts w:cs="Arial"/>
        </w:rPr>
        <w:t>nifedipine</w:t>
      </w:r>
      <w:proofErr w:type="spellEnd"/>
      <w:r w:rsidRPr="00A47F4F">
        <w:rPr>
          <w:rFonts w:cs="Arial"/>
        </w:rPr>
        <w:t>), and trazodone.</w:t>
      </w:r>
      <w:r w:rsidR="00275688">
        <w:rPr>
          <w:rFonts w:cs="Arial"/>
        </w:rPr>
        <w:t xml:space="preserve"> </w:t>
      </w:r>
      <w:r w:rsidRPr="00A47F4F">
        <w:rPr>
          <w:rFonts w:cs="Arial"/>
        </w:rPr>
        <w:t xml:space="preserve"> Although buprenorphine and zolpidem are also metabolised by CYP3A, drug interaction studies indicate that no dose adjustment is needed when co-administering these medicinal products with TECHNIVIE (see </w:t>
      </w:r>
      <w:r w:rsidR="00554C6A">
        <w:rPr>
          <w:rFonts w:cs="Arial"/>
        </w:rPr>
        <w:t xml:space="preserve">Table </w:t>
      </w:r>
      <w:r w:rsidR="00B54C47">
        <w:rPr>
          <w:rFonts w:cs="Arial"/>
        </w:rPr>
        <w:t>5</w:t>
      </w:r>
      <w:r w:rsidRPr="00A47F4F">
        <w:rPr>
          <w:rFonts w:cs="Arial"/>
        </w:rPr>
        <w:t>).</w:t>
      </w:r>
    </w:p>
    <w:p w:rsidR="00085F33" w:rsidRPr="00A47F4F" w:rsidRDefault="0011309F">
      <w:pPr>
        <w:spacing w:line="240" w:lineRule="auto"/>
        <w:jc w:val="both"/>
        <w:rPr>
          <w:rFonts w:cs="Arial"/>
        </w:rPr>
      </w:pPr>
      <w:r w:rsidRPr="00A47F4F">
        <w:rPr>
          <w:rFonts w:cs="Arial"/>
          <w:i/>
          <w:iCs/>
        </w:rPr>
        <w:t>Medicinal products transported by the OATP family and OCT1</w:t>
      </w:r>
    </w:p>
    <w:p w:rsidR="00085F33" w:rsidRPr="00A47F4F" w:rsidRDefault="0011309F">
      <w:pPr>
        <w:spacing w:line="240" w:lineRule="auto"/>
        <w:jc w:val="both"/>
        <w:rPr>
          <w:rFonts w:cs="Arial"/>
        </w:rPr>
      </w:pPr>
      <w:proofErr w:type="spellStart"/>
      <w:r w:rsidRPr="00A47F4F">
        <w:rPr>
          <w:rFonts w:cs="Arial"/>
        </w:rPr>
        <w:t>Paritaprevir</w:t>
      </w:r>
      <w:proofErr w:type="spellEnd"/>
      <w:r w:rsidRPr="00A47F4F">
        <w:rPr>
          <w:rFonts w:cs="Arial"/>
        </w:rPr>
        <w:t xml:space="preserve"> is an inhibitor of the hepatic uptake transporters OATP1B1 and OATP1B3, and </w:t>
      </w:r>
      <w:proofErr w:type="spellStart"/>
      <w:r w:rsidRPr="00A47F4F">
        <w:rPr>
          <w:rFonts w:cs="Arial"/>
        </w:rPr>
        <w:t>paritaprevir</w:t>
      </w:r>
      <w:proofErr w:type="spellEnd"/>
      <w:r w:rsidRPr="00A47F4F">
        <w:rPr>
          <w:rFonts w:cs="Arial"/>
        </w:rPr>
        <w:t xml:space="preserve"> and ritonavir are inhibitors of OATP2B1. </w:t>
      </w:r>
      <w:r w:rsidR="00275688">
        <w:rPr>
          <w:rFonts w:cs="Arial"/>
        </w:rPr>
        <w:t xml:space="preserve"> </w:t>
      </w:r>
      <w:r w:rsidRPr="00A47F4F">
        <w:rPr>
          <w:rFonts w:cs="Arial"/>
        </w:rPr>
        <w:t xml:space="preserve">Ritonavir is an </w:t>
      </w:r>
      <w:r w:rsidRPr="00A47F4F">
        <w:rPr>
          <w:rFonts w:cs="Arial"/>
          <w:i/>
          <w:iCs/>
        </w:rPr>
        <w:t xml:space="preserve">in vitro </w:t>
      </w:r>
      <w:r w:rsidRPr="00A47F4F">
        <w:rPr>
          <w:rFonts w:cs="Arial"/>
        </w:rPr>
        <w:t xml:space="preserve">inhibitor of OCT1, but the clinical relevance is unknown. </w:t>
      </w:r>
      <w:r w:rsidR="00275688">
        <w:rPr>
          <w:rFonts w:cs="Arial"/>
        </w:rPr>
        <w:t xml:space="preserve"> </w:t>
      </w:r>
      <w:r w:rsidRPr="00A47F4F">
        <w:rPr>
          <w:rFonts w:cs="Arial"/>
        </w:rPr>
        <w:t xml:space="preserve">Co-administration of TECHNIVIE with medicinal products that are substrates of OATP1B1, OATP1B3, OATP2B1 or OCT1 may increase plasma concentrations of these transporter substrates, potentially requiring dose adjustment/clinical monitoring. </w:t>
      </w:r>
      <w:r w:rsidR="00275688">
        <w:rPr>
          <w:rFonts w:cs="Arial"/>
        </w:rPr>
        <w:t xml:space="preserve"> </w:t>
      </w:r>
      <w:r w:rsidRPr="00A47F4F">
        <w:rPr>
          <w:rFonts w:cs="Arial"/>
        </w:rPr>
        <w:t xml:space="preserve">Such medicinal products include some statins (see </w:t>
      </w:r>
      <w:r w:rsidR="00554C6A">
        <w:rPr>
          <w:rFonts w:cs="Arial"/>
        </w:rPr>
        <w:t xml:space="preserve">Table </w:t>
      </w:r>
      <w:r w:rsidR="00B54C47">
        <w:rPr>
          <w:rFonts w:cs="Arial"/>
        </w:rPr>
        <w:t>5</w:t>
      </w:r>
      <w:r w:rsidRPr="00A47F4F">
        <w:rPr>
          <w:rFonts w:cs="Arial"/>
        </w:rPr>
        <w:t xml:space="preserve">), fexofenadine, </w:t>
      </w:r>
      <w:proofErr w:type="spellStart"/>
      <w:r w:rsidRPr="00A47F4F">
        <w:rPr>
          <w:rFonts w:cs="Arial"/>
        </w:rPr>
        <w:t>repaglinide</w:t>
      </w:r>
      <w:proofErr w:type="spellEnd"/>
      <w:r w:rsidRPr="00A47F4F">
        <w:rPr>
          <w:rFonts w:cs="Arial"/>
        </w:rPr>
        <w:t xml:space="preserve"> and angiotensin II receptor antagonists (e.g., valsartan).</w:t>
      </w:r>
    </w:p>
    <w:p w:rsidR="00085F33" w:rsidRPr="00A47F4F" w:rsidRDefault="0011309F">
      <w:pPr>
        <w:spacing w:line="240" w:lineRule="auto"/>
        <w:jc w:val="both"/>
        <w:rPr>
          <w:rFonts w:cs="Arial"/>
        </w:rPr>
      </w:pPr>
      <w:r w:rsidRPr="00A47F4F">
        <w:rPr>
          <w:rFonts w:cs="Arial"/>
        </w:rPr>
        <w:t xml:space="preserve">OATP1B1/3 substrates evaluated in drug interaction studies include pravastatin and </w:t>
      </w:r>
      <w:proofErr w:type="spellStart"/>
      <w:r w:rsidRPr="00A47F4F">
        <w:rPr>
          <w:rFonts w:cs="Arial"/>
        </w:rPr>
        <w:t>rosuvastatin</w:t>
      </w:r>
      <w:proofErr w:type="spellEnd"/>
      <w:r w:rsidRPr="00A47F4F">
        <w:rPr>
          <w:rFonts w:cs="Arial"/>
        </w:rPr>
        <w:t xml:space="preserve"> (see </w:t>
      </w:r>
      <w:r w:rsidR="00554C6A">
        <w:rPr>
          <w:rFonts w:cs="Arial"/>
        </w:rPr>
        <w:t xml:space="preserve">Table </w:t>
      </w:r>
      <w:r w:rsidR="00B54C47">
        <w:rPr>
          <w:rFonts w:cs="Arial"/>
        </w:rPr>
        <w:t>5</w:t>
      </w:r>
      <w:r w:rsidRPr="00A47F4F">
        <w:rPr>
          <w:rFonts w:cs="Arial"/>
        </w:rPr>
        <w:t>).</w:t>
      </w:r>
    </w:p>
    <w:p w:rsidR="00085F33" w:rsidRPr="00A47F4F" w:rsidRDefault="0011309F">
      <w:pPr>
        <w:spacing w:line="240" w:lineRule="auto"/>
        <w:jc w:val="both"/>
        <w:rPr>
          <w:rFonts w:cs="Arial"/>
        </w:rPr>
      </w:pPr>
      <w:r w:rsidRPr="00A47F4F">
        <w:rPr>
          <w:rFonts w:cs="Arial"/>
          <w:i/>
          <w:iCs/>
        </w:rPr>
        <w:t>Medicinal products transported by BCRP</w:t>
      </w:r>
    </w:p>
    <w:p w:rsidR="00085F33" w:rsidRPr="00A47F4F" w:rsidRDefault="0011309F">
      <w:pPr>
        <w:spacing w:line="240" w:lineRule="auto"/>
        <w:jc w:val="both"/>
        <w:rPr>
          <w:rFonts w:cs="Arial"/>
        </w:rPr>
      </w:pPr>
      <w:proofErr w:type="spellStart"/>
      <w:r w:rsidRPr="00A47F4F">
        <w:rPr>
          <w:rFonts w:cs="Arial"/>
        </w:rPr>
        <w:t>Paritaprevir</w:t>
      </w:r>
      <w:proofErr w:type="spellEnd"/>
      <w:r w:rsidRPr="00A47F4F">
        <w:rPr>
          <w:rFonts w:cs="Arial"/>
        </w:rPr>
        <w:t xml:space="preserve"> and ritonavir are inhibitors of BCRP </w:t>
      </w:r>
      <w:r w:rsidRPr="00A47F4F">
        <w:rPr>
          <w:rFonts w:cs="Arial"/>
          <w:i/>
          <w:iCs/>
        </w:rPr>
        <w:t>in vivo</w:t>
      </w:r>
      <w:r w:rsidRPr="00A47F4F">
        <w:rPr>
          <w:rFonts w:cs="Arial"/>
        </w:rPr>
        <w:t xml:space="preserve">. </w:t>
      </w:r>
      <w:r w:rsidR="00275688">
        <w:rPr>
          <w:rFonts w:cs="Arial"/>
        </w:rPr>
        <w:t xml:space="preserve"> </w:t>
      </w:r>
      <w:r w:rsidRPr="00A47F4F">
        <w:rPr>
          <w:rFonts w:cs="Arial"/>
        </w:rPr>
        <w:t xml:space="preserve">Co-administration of TECHNIVIE together with medicinal products that are substrates of BCRP may increase plasma concentrations of these transporter substrates, potentially requiring dose adjustment/clinical monitoring. </w:t>
      </w:r>
      <w:r w:rsidR="00275688">
        <w:rPr>
          <w:rFonts w:cs="Arial"/>
        </w:rPr>
        <w:t xml:space="preserve"> </w:t>
      </w:r>
      <w:r w:rsidRPr="00A47F4F">
        <w:rPr>
          <w:rFonts w:cs="Arial"/>
        </w:rPr>
        <w:t xml:space="preserve">Such medicinal products include sulfasalazine, </w:t>
      </w:r>
      <w:proofErr w:type="spellStart"/>
      <w:r w:rsidRPr="00A47F4F">
        <w:rPr>
          <w:rFonts w:cs="Arial"/>
        </w:rPr>
        <w:t>imatinib</w:t>
      </w:r>
      <w:proofErr w:type="spellEnd"/>
      <w:r w:rsidRPr="00A47F4F">
        <w:rPr>
          <w:rFonts w:cs="Arial"/>
        </w:rPr>
        <w:t xml:space="preserve"> and some of the statins (see </w:t>
      </w:r>
      <w:r w:rsidR="00554C6A">
        <w:rPr>
          <w:rFonts w:cs="Arial"/>
        </w:rPr>
        <w:t xml:space="preserve">Table </w:t>
      </w:r>
      <w:r w:rsidR="00B54C47">
        <w:rPr>
          <w:rFonts w:cs="Arial"/>
        </w:rPr>
        <w:t>5</w:t>
      </w:r>
      <w:r w:rsidRPr="00A47F4F">
        <w:rPr>
          <w:rFonts w:cs="Arial"/>
        </w:rPr>
        <w:t>).</w:t>
      </w:r>
    </w:p>
    <w:p w:rsidR="00085F33" w:rsidRPr="00A47F4F" w:rsidRDefault="0011309F">
      <w:pPr>
        <w:spacing w:line="240" w:lineRule="auto"/>
        <w:jc w:val="both"/>
        <w:rPr>
          <w:rFonts w:cs="Arial"/>
          <w:i/>
          <w:iCs/>
        </w:rPr>
      </w:pPr>
      <w:r w:rsidRPr="00A47F4F">
        <w:rPr>
          <w:rFonts w:cs="Arial"/>
        </w:rPr>
        <w:lastRenderedPageBreak/>
        <w:t xml:space="preserve">BCRP substrates evaluated in drug interaction studies include </w:t>
      </w:r>
      <w:proofErr w:type="spellStart"/>
      <w:r w:rsidRPr="00A47F4F">
        <w:rPr>
          <w:rFonts w:cs="Arial"/>
        </w:rPr>
        <w:t>rosuvastatin</w:t>
      </w:r>
      <w:proofErr w:type="spellEnd"/>
      <w:r w:rsidRPr="00A47F4F">
        <w:rPr>
          <w:rFonts w:cs="Arial"/>
        </w:rPr>
        <w:t xml:space="preserve"> (see </w:t>
      </w:r>
      <w:r w:rsidR="00554C6A">
        <w:rPr>
          <w:rFonts w:cs="Arial"/>
        </w:rPr>
        <w:t xml:space="preserve">Table </w:t>
      </w:r>
      <w:r w:rsidR="00B54C47">
        <w:rPr>
          <w:rFonts w:cs="Arial"/>
        </w:rPr>
        <w:t>5</w:t>
      </w:r>
      <w:r w:rsidRPr="00A47F4F">
        <w:rPr>
          <w:rFonts w:cs="Arial"/>
        </w:rPr>
        <w:t>).</w:t>
      </w:r>
    </w:p>
    <w:p w:rsidR="00390B3A" w:rsidRDefault="00390B3A">
      <w:pPr>
        <w:spacing w:line="240" w:lineRule="auto"/>
        <w:jc w:val="both"/>
        <w:rPr>
          <w:rFonts w:cs="Arial"/>
          <w:i/>
          <w:iCs/>
        </w:rPr>
      </w:pPr>
    </w:p>
    <w:p w:rsidR="00085F33" w:rsidRPr="00A47F4F" w:rsidRDefault="0011309F">
      <w:pPr>
        <w:spacing w:line="240" w:lineRule="auto"/>
        <w:jc w:val="both"/>
        <w:rPr>
          <w:rFonts w:cs="Arial"/>
        </w:rPr>
      </w:pPr>
      <w:r w:rsidRPr="00A47F4F">
        <w:rPr>
          <w:rFonts w:cs="Arial"/>
          <w:i/>
          <w:iCs/>
        </w:rPr>
        <w:t>Medicinal products transported by P-</w:t>
      </w:r>
      <w:proofErr w:type="spellStart"/>
      <w:r w:rsidRPr="00A47F4F">
        <w:rPr>
          <w:rFonts w:cs="Arial"/>
          <w:i/>
          <w:iCs/>
        </w:rPr>
        <w:t>gp</w:t>
      </w:r>
      <w:proofErr w:type="spellEnd"/>
      <w:r w:rsidRPr="00A47F4F">
        <w:rPr>
          <w:rFonts w:cs="Arial"/>
          <w:i/>
          <w:iCs/>
        </w:rPr>
        <w:t xml:space="preserve"> in the intestine </w:t>
      </w:r>
    </w:p>
    <w:p w:rsidR="00085F33" w:rsidRPr="00A47F4F" w:rsidRDefault="0084261A">
      <w:pPr>
        <w:spacing w:line="240" w:lineRule="auto"/>
        <w:jc w:val="both"/>
        <w:rPr>
          <w:rFonts w:cs="Arial"/>
        </w:rPr>
      </w:pPr>
      <w:r>
        <w:t xml:space="preserve">Co-administration of digoxin with TECHNIVIE may result in increased digoxin plasma concentrations (see Table 5). </w:t>
      </w:r>
      <w:r w:rsidR="0011309F" w:rsidRPr="00A47F4F">
        <w:rPr>
          <w:rFonts w:cs="Arial"/>
        </w:rPr>
        <w:t>TECHNIVIE may increase the plasma exposure to medicinal products that are sensitive for changed intestinal P-</w:t>
      </w:r>
      <w:proofErr w:type="spellStart"/>
      <w:r w:rsidR="0011309F" w:rsidRPr="00A47F4F">
        <w:rPr>
          <w:rFonts w:cs="Arial"/>
        </w:rPr>
        <w:t>gp</w:t>
      </w:r>
      <w:proofErr w:type="spellEnd"/>
      <w:r w:rsidR="0011309F" w:rsidRPr="00A47F4F">
        <w:rPr>
          <w:rFonts w:cs="Arial"/>
        </w:rPr>
        <w:t xml:space="preserve"> activity (such as dabigatran </w:t>
      </w:r>
      <w:proofErr w:type="spellStart"/>
      <w:r w:rsidR="0011309F" w:rsidRPr="00A47F4F">
        <w:rPr>
          <w:rFonts w:cs="Arial"/>
        </w:rPr>
        <w:t>etexilate</w:t>
      </w:r>
      <w:proofErr w:type="spellEnd"/>
      <w:r w:rsidR="0011309F" w:rsidRPr="00A47F4F">
        <w:rPr>
          <w:rFonts w:cs="Arial"/>
        </w:rPr>
        <w:t>).</w:t>
      </w:r>
    </w:p>
    <w:p w:rsidR="00085F33" w:rsidRPr="00A47F4F" w:rsidRDefault="0011309F">
      <w:pPr>
        <w:spacing w:line="240" w:lineRule="auto"/>
        <w:jc w:val="both"/>
        <w:rPr>
          <w:rFonts w:cs="Arial"/>
        </w:rPr>
      </w:pPr>
      <w:r w:rsidRPr="00A47F4F">
        <w:rPr>
          <w:rFonts w:cs="Arial"/>
          <w:i/>
          <w:iCs/>
        </w:rPr>
        <w:t xml:space="preserve">Medicinal products metabolised by </w:t>
      </w:r>
      <w:proofErr w:type="spellStart"/>
      <w:r w:rsidRPr="00A47F4F">
        <w:rPr>
          <w:rFonts w:cs="Arial"/>
          <w:i/>
          <w:iCs/>
        </w:rPr>
        <w:t>glucuronidation</w:t>
      </w:r>
      <w:proofErr w:type="spellEnd"/>
      <w:r w:rsidRPr="00A47F4F">
        <w:rPr>
          <w:rFonts w:cs="Arial"/>
          <w:i/>
          <w:iCs/>
        </w:rPr>
        <w:t xml:space="preserve"> (UGT1A1)</w:t>
      </w:r>
    </w:p>
    <w:p w:rsidR="00085F33" w:rsidRPr="00A47F4F" w:rsidRDefault="0011309F">
      <w:pPr>
        <w:spacing w:line="240" w:lineRule="auto"/>
        <w:jc w:val="both"/>
        <w:rPr>
          <w:rFonts w:cs="Arial"/>
        </w:rPr>
      </w:pPr>
      <w:proofErr w:type="spellStart"/>
      <w:r w:rsidRPr="00A47F4F">
        <w:rPr>
          <w:rFonts w:cs="Arial"/>
        </w:rPr>
        <w:t>Paritaprevir</w:t>
      </w:r>
      <w:proofErr w:type="spellEnd"/>
      <w:r w:rsidRPr="00A47F4F">
        <w:rPr>
          <w:rFonts w:cs="Arial"/>
        </w:rPr>
        <w:t xml:space="preserve"> and </w:t>
      </w:r>
      <w:proofErr w:type="spellStart"/>
      <w:r w:rsidRPr="00A47F4F">
        <w:rPr>
          <w:rFonts w:cs="Arial"/>
        </w:rPr>
        <w:t>ombitasvir</w:t>
      </w:r>
      <w:proofErr w:type="spellEnd"/>
      <w:r w:rsidRPr="00A47F4F">
        <w:rPr>
          <w:rFonts w:cs="Arial"/>
        </w:rPr>
        <w:t xml:space="preserve"> are inhibitors of UGT1A1. </w:t>
      </w:r>
      <w:r w:rsidR="00275688">
        <w:rPr>
          <w:rFonts w:cs="Arial"/>
        </w:rPr>
        <w:t xml:space="preserve"> </w:t>
      </w:r>
      <w:r w:rsidRPr="00A47F4F">
        <w:rPr>
          <w:rFonts w:cs="Arial"/>
        </w:rPr>
        <w:t xml:space="preserve">Co-administration of TECHNIVIE with medicinal products that are primarily metabolised by UGT1A1 result in increased plasma concentrations of such medicinal products; routine clinical monitoring is recommended for narrow therapeutic index medicinal products (i.e. levothyroxine). </w:t>
      </w:r>
      <w:r w:rsidR="00275688">
        <w:rPr>
          <w:rFonts w:cs="Arial"/>
        </w:rPr>
        <w:t xml:space="preserve"> </w:t>
      </w:r>
      <w:r w:rsidRPr="00A47F4F">
        <w:rPr>
          <w:rFonts w:cs="Arial"/>
        </w:rPr>
        <w:t xml:space="preserve">See also INTERACTIONS WITH OTHER MEDICINES for specific advice on </w:t>
      </w:r>
      <w:proofErr w:type="spellStart"/>
      <w:r w:rsidRPr="00A47F4F">
        <w:rPr>
          <w:rFonts w:cs="Arial"/>
        </w:rPr>
        <w:t>raltegravir</w:t>
      </w:r>
      <w:proofErr w:type="spellEnd"/>
      <w:r w:rsidRPr="00A47F4F">
        <w:rPr>
          <w:rFonts w:cs="Arial"/>
        </w:rPr>
        <w:t xml:space="preserve"> and buprenorphine, which have been evaluated in drug interaction studies.</w:t>
      </w:r>
    </w:p>
    <w:p w:rsidR="00085F33" w:rsidRPr="00A47F4F" w:rsidRDefault="0011309F">
      <w:pPr>
        <w:spacing w:line="240" w:lineRule="auto"/>
        <w:jc w:val="both"/>
        <w:rPr>
          <w:rFonts w:cs="Arial"/>
        </w:rPr>
      </w:pPr>
      <w:r w:rsidRPr="00A47F4F">
        <w:rPr>
          <w:rFonts w:cs="Arial"/>
          <w:i/>
          <w:iCs/>
        </w:rPr>
        <w:t xml:space="preserve">Medicinal products metabolised by CYP2C19 </w:t>
      </w:r>
    </w:p>
    <w:p w:rsidR="00085F33" w:rsidRPr="00A47F4F" w:rsidRDefault="0011309F">
      <w:pPr>
        <w:spacing w:line="240" w:lineRule="auto"/>
        <w:jc w:val="both"/>
        <w:rPr>
          <w:rFonts w:cs="Arial"/>
        </w:rPr>
      </w:pPr>
      <w:r w:rsidRPr="00A47F4F">
        <w:rPr>
          <w:rFonts w:cs="Arial"/>
        </w:rPr>
        <w:t>Co-administration of TECHNIVIE can decrease exposures of medicinal products that are metabolised by CYP2C19 (e.g. lansoprazole, esomeprazole, s-</w:t>
      </w:r>
      <w:proofErr w:type="spellStart"/>
      <w:r w:rsidRPr="00A47F4F">
        <w:rPr>
          <w:rFonts w:cs="Arial"/>
        </w:rPr>
        <w:t>mephenytoin</w:t>
      </w:r>
      <w:proofErr w:type="spellEnd"/>
      <w:r w:rsidRPr="00A47F4F">
        <w:rPr>
          <w:rFonts w:cs="Arial"/>
        </w:rPr>
        <w:t xml:space="preserve">), which may require dose adjustment/clinical monitoring. </w:t>
      </w:r>
      <w:r w:rsidR="00275688">
        <w:rPr>
          <w:rFonts w:cs="Arial"/>
        </w:rPr>
        <w:t xml:space="preserve"> </w:t>
      </w:r>
      <w:r w:rsidRPr="00A47F4F">
        <w:rPr>
          <w:rFonts w:cs="Arial"/>
        </w:rPr>
        <w:t xml:space="preserve">CYP2C19 substrates evaluated in drug interaction studies include omeprazole and escitalopram (see </w:t>
      </w:r>
      <w:r w:rsidR="00554C6A">
        <w:rPr>
          <w:rFonts w:cs="Arial"/>
        </w:rPr>
        <w:t xml:space="preserve">Table </w:t>
      </w:r>
      <w:r w:rsidR="00B54C47">
        <w:rPr>
          <w:rFonts w:cs="Arial"/>
        </w:rPr>
        <w:t>5</w:t>
      </w:r>
      <w:r w:rsidRPr="00A47F4F">
        <w:rPr>
          <w:rFonts w:cs="Arial"/>
        </w:rPr>
        <w:t>).</w:t>
      </w:r>
    </w:p>
    <w:p w:rsidR="00085F33" w:rsidRPr="00A47F4F" w:rsidRDefault="0011309F">
      <w:pPr>
        <w:spacing w:line="240" w:lineRule="auto"/>
        <w:jc w:val="both"/>
        <w:rPr>
          <w:rFonts w:cs="Arial"/>
        </w:rPr>
      </w:pPr>
      <w:r w:rsidRPr="00A47F4F">
        <w:rPr>
          <w:rFonts w:cs="Arial"/>
          <w:i/>
          <w:iCs/>
        </w:rPr>
        <w:t>Medicinal products metabolised by CYP2C9</w:t>
      </w:r>
    </w:p>
    <w:p w:rsidR="00085F33" w:rsidRPr="00A47F4F" w:rsidRDefault="0011309F">
      <w:pPr>
        <w:spacing w:line="240" w:lineRule="auto"/>
        <w:jc w:val="both"/>
        <w:rPr>
          <w:rFonts w:cs="Arial"/>
        </w:rPr>
      </w:pPr>
      <w:r w:rsidRPr="00A47F4F">
        <w:rPr>
          <w:rFonts w:cs="Arial"/>
        </w:rPr>
        <w:t xml:space="preserve">TECHNIVIE did not affect the exposures of the CYP2C9 substrate, warfarin. </w:t>
      </w:r>
      <w:r w:rsidR="00275688">
        <w:rPr>
          <w:rFonts w:cs="Arial"/>
        </w:rPr>
        <w:t xml:space="preserve"> </w:t>
      </w:r>
      <w:r w:rsidRPr="00A47F4F">
        <w:rPr>
          <w:rFonts w:cs="Arial"/>
        </w:rPr>
        <w:t>Other CYP2C9 substrates (NSAIDs (e.g. ibuprofen), antidiabetics (e.g. glimepiride, glipizide) are not expected to require dose adjustments.</w:t>
      </w:r>
    </w:p>
    <w:p w:rsidR="00085F33" w:rsidRPr="00A47F4F" w:rsidRDefault="0011309F">
      <w:pPr>
        <w:spacing w:line="240" w:lineRule="auto"/>
        <w:jc w:val="both"/>
        <w:rPr>
          <w:rFonts w:cs="Arial"/>
        </w:rPr>
      </w:pPr>
      <w:r w:rsidRPr="00A47F4F">
        <w:rPr>
          <w:rFonts w:cs="Arial"/>
          <w:i/>
          <w:iCs/>
        </w:rPr>
        <w:t xml:space="preserve">Medicinal products metabolised by CYP2D6 or CYP1A2 </w:t>
      </w:r>
    </w:p>
    <w:p w:rsidR="00085F33" w:rsidRPr="00A47F4F" w:rsidRDefault="0011309F">
      <w:pPr>
        <w:spacing w:line="240" w:lineRule="auto"/>
        <w:jc w:val="both"/>
        <w:rPr>
          <w:rFonts w:cs="Arial"/>
        </w:rPr>
      </w:pPr>
      <w:r w:rsidRPr="00A47F4F">
        <w:rPr>
          <w:rFonts w:cs="Arial"/>
        </w:rPr>
        <w:t xml:space="preserve">TECHNIVIE did not affect the exposures of the CYP2D6/CYP1A2 substrate, duloxetine. </w:t>
      </w:r>
      <w:r w:rsidR="00275688">
        <w:rPr>
          <w:rFonts w:cs="Arial"/>
        </w:rPr>
        <w:t xml:space="preserve"> </w:t>
      </w:r>
      <w:r w:rsidRPr="00A47F4F">
        <w:rPr>
          <w:rFonts w:cs="Arial"/>
        </w:rPr>
        <w:t xml:space="preserve">Other CYP1A2 substrates (e.g. ciprofloxacin, theophylline and caffeine) and CYP2D6 substrates (e.g. </w:t>
      </w:r>
      <w:proofErr w:type="spellStart"/>
      <w:r w:rsidRPr="00A47F4F">
        <w:rPr>
          <w:rFonts w:cs="Arial"/>
        </w:rPr>
        <w:t>desipramine</w:t>
      </w:r>
      <w:proofErr w:type="spellEnd"/>
      <w:r w:rsidRPr="00A47F4F">
        <w:rPr>
          <w:rFonts w:cs="Arial"/>
        </w:rPr>
        <w:t>, metoprolol and dextromethorphan) are not expected to require dose adjustments.</w:t>
      </w:r>
    </w:p>
    <w:p w:rsidR="00085F33" w:rsidRPr="00A47F4F" w:rsidRDefault="0011309F">
      <w:pPr>
        <w:spacing w:line="240" w:lineRule="auto"/>
        <w:jc w:val="both"/>
        <w:rPr>
          <w:rFonts w:cs="Arial"/>
        </w:rPr>
      </w:pPr>
      <w:r w:rsidRPr="00A47F4F">
        <w:rPr>
          <w:rFonts w:cs="Arial"/>
          <w:i/>
          <w:iCs/>
        </w:rPr>
        <w:t xml:space="preserve">Medicinal products </w:t>
      </w:r>
      <w:proofErr w:type="spellStart"/>
      <w:r w:rsidRPr="00A47F4F">
        <w:rPr>
          <w:rFonts w:cs="Arial"/>
          <w:i/>
          <w:iCs/>
        </w:rPr>
        <w:t>renally</w:t>
      </w:r>
      <w:proofErr w:type="spellEnd"/>
      <w:r w:rsidRPr="00A47F4F">
        <w:rPr>
          <w:rFonts w:cs="Arial"/>
          <w:i/>
          <w:iCs/>
        </w:rPr>
        <w:t xml:space="preserve"> excreted via transport proteins </w:t>
      </w:r>
    </w:p>
    <w:p w:rsidR="00085F33" w:rsidRPr="00A47F4F" w:rsidRDefault="0011309F">
      <w:pPr>
        <w:spacing w:line="240" w:lineRule="auto"/>
        <w:jc w:val="both"/>
        <w:rPr>
          <w:rFonts w:cs="Arial"/>
        </w:rPr>
      </w:pPr>
      <w:proofErr w:type="spellStart"/>
      <w:r w:rsidRPr="00A47F4F">
        <w:rPr>
          <w:rFonts w:cs="Arial"/>
        </w:rPr>
        <w:t>Ombitasvir</w:t>
      </w:r>
      <w:proofErr w:type="spellEnd"/>
      <w:r w:rsidRPr="00A47F4F">
        <w:rPr>
          <w:rFonts w:cs="Arial"/>
        </w:rPr>
        <w:t xml:space="preserve">, </w:t>
      </w:r>
      <w:proofErr w:type="spellStart"/>
      <w:r w:rsidRPr="00A47F4F">
        <w:rPr>
          <w:rFonts w:cs="Arial"/>
        </w:rPr>
        <w:t>paritaprevir</w:t>
      </w:r>
      <w:proofErr w:type="spellEnd"/>
      <w:r w:rsidRPr="00A47F4F">
        <w:rPr>
          <w:rFonts w:cs="Arial"/>
        </w:rPr>
        <w:t xml:space="preserve">, and ritonavir do not inhibit organic anion transporter (OAT1) </w:t>
      </w:r>
      <w:r w:rsidRPr="00A47F4F">
        <w:rPr>
          <w:rFonts w:cs="Arial"/>
          <w:i/>
          <w:iCs/>
        </w:rPr>
        <w:t xml:space="preserve">in vivo </w:t>
      </w:r>
      <w:r w:rsidRPr="00A47F4F">
        <w:rPr>
          <w:rFonts w:cs="Arial"/>
        </w:rPr>
        <w:t xml:space="preserve">as shown by the lack of interaction with </w:t>
      </w:r>
      <w:proofErr w:type="spellStart"/>
      <w:r w:rsidRPr="00A47F4F">
        <w:rPr>
          <w:rFonts w:cs="Arial"/>
        </w:rPr>
        <w:t>tenofovir</w:t>
      </w:r>
      <w:proofErr w:type="spellEnd"/>
      <w:r w:rsidRPr="00A47F4F">
        <w:rPr>
          <w:rFonts w:cs="Arial"/>
        </w:rPr>
        <w:t xml:space="preserve"> (OAT1 substrate). </w:t>
      </w:r>
      <w:r w:rsidR="00275688">
        <w:rPr>
          <w:rFonts w:cs="Arial"/>
        </w:rPr>
        <w:t xml:space="preserve"> </w:t>
      </w:r>
      <w:r w:rsidRPr="00A47F4F">
        <w:rPr>
          <w:rFonts w:cs="Arial"/>
          <w:i/>
          <w:iCs/>
        </w:rPr>
        <w:t xml:space="preserve">In vitro </w:t>
      </w:r>
      <w:r w:rsidRPr="00A47F4F">
        <w:rPr>
          <w:rFonts w:cs="Arial"/>
        </w:rPr>
        <w:t xml:space="preserve">studies show that </w:t>
      </w:r>
      <w:proofErr w:type="spellStart"/>
      <w:r w:rsidRPr="00A47F4F">
        <w:rPr>
          <w:rFonts w:cs="Arial"/>
        </w:rPr>
        <w:t>ombitasvir</w:t>
      </w:r>
      <w:proofErr w:type="spellEnd"/>
      <w:r w:rsidRPr="00A47F4F">
        <w:rPr>
          <w:rFonts w:cs="Arial"/>
        </w:rPr>
        <w:t xml:space="preserve">, </w:t>
      </w:r>
      <w:proofErr w:type="spellStart"/>
      <w:r w:rsidRPr="00A47F4F">
        <w:rPr>
          <w:rFonts w:cs="Arial"/>
        </w:rPr>
        <w:t>paritaprevir</w:t>
      </w:r>
      <w:proofErr w:type="spellEnd"/>
      <w:r w:rsidRPr="00A47F4F">
        <w:rPr>
          <w:rFonts w:cs="Arial"/>
        </w:rPr>
        <w:t>, and ritonavir are not inhibitors of organic cation transporters (OCT2), organic anion transporters (OAT3), or multidrug and toxin extrusion proteins (MATE1 and MATE2K) at clinically relevant concentrations.</w:t>
      </w:r>
    </w:p>
    <w:p w:rsidR="00085F33" w:rsidRPr="00A47F4F" w:rsidRDefault="0011309F">
      <w:pPr>
        <w:spacing w:line="240" w:lineRule="auto"/>
        <w:jc w:val="both"/>
        <w:rPr>
          <w:rFonts w:cs="Arial"/>
        </w:rPr>
      </w:pPr>
      <w:r w:rsidRPr="00A47F4F">
        <w:rPr>
          <w:rFonts w:cs="Arial"/>
        </w:rPr>
        <w:t>Therefore, TECHNIVIE is not expected to affect medicinal products which are primarily excreted by the renal route via these transporters.</w:t>
      </w:r>
    </w:p>
    <w:p w:rsidR="00085F33" w:rsidRPr="00A47F4F" w:rsidRDefault="0011309F">
      <w:pPr>
        <w:spacing w:line="240" w:lineRule="auto"/>
        <w:jc w:val="both"/>
        <w:rPr>
          <w:rFonts w:cs="Arial"/>
          <w:i/>
          <w:u w:val="single"/>
        </w:rPr>
      </w:pPr>
      <w:r w:rsidRPr="00A47F4F">
        <w:rPr>
          <w:rFonts w:cs="Arial"/>
          <w:i/>
          <w:u w:val="single"/>
        </w:rPr>
        <w:t xml:space="preserve">Potential for other medicinal products to affect the pharmacokinetics of </w:t>
      </w:r>
      <w:proofErr w:type="spellStart"/>
      <w:r w:rsidRPr="00A47F4F">
        <w:rPr>
          <w:rFonts w:cs="Arial"/>
          <w:i/>
          <w:u w:val="single"/>
        </w:rPr>
        <w:t>ombitasvir</w:t>
      </w:r>
      <w:proofErr w:type="spellEnd"/>
      <w:r w:rsidRPr="00A47F4F">
        <w:rPr>
          <w:rFonts w:cs="Arial"/>
          <w:i/>
          <w:u w:val="single"/>
        </w:rPr>
        <w:t xml:space="preserve"> and </w:t>
      </w:r>
      <w:proofErr w:type="spellStart"/>
      <w:r w:rsidRPr="00A47F4F">
        <w:rPr>
          <w:rFonts w:cs="Arial"/>
          <w:i/>
          <w:u w:val="single"/>
        </w:rPr>
        <w:t>paritaprevir</w:t>
      </w:r>
      <w:proofErr w:type="spellEnd"/>
    </w:p>
    <w:p w:rsidR="00085F33" w:rsidRPr="00A47F4F" w:rsidRDefault="0011309F">
      <w:pPr>
        <w:spacing w:line="240" w:lineRule="auto"/>
        <w:jc w:val="both"/>
        <w:rPr>
          <w:rFonts w:cs="Arial"/>
        </w:rPr>
      </w:pPr>
      <w:r w:rsidRPr="00A47F4F">
        <w:rPr>
          <w:rFonts w:cs="Arial"/>
          <w:i/>
          <w:iCs/>
        </w:rPr>
        <w:t>Medicinal products that inhibit CYP3A4</w:t>
      </w:r>
    </w:p>
    <w:p w:rsidR="00085F33" w:rsidRPr="00A47F4F" w:rsidRDefault="0011309F">
      <w:pPr>
        <w:spacing w:line="240" w:lineRule="auto"/>
        <w:jc w:val="both"/>
        <w:rPr>
          <w:rFonts w:cs="Arial"/>
        </w:rPr>
      </w:pPr>
      <w:r w:rsidRPr="00A47F4F">
        <w:rPr>
          <w:rFonts w:cs="Arial"/>
        </w:rPr>
        <w:t xml:space="preserve">Co-administration of TECHNIVIE with strong inhibitors of CYP3A may increase </w:t>
      </w:r>
      <w:proofErr w:type="spellStart"/>
      <w:r w:rsidRPr="00A47F4F">
        <w:rPr>
          <w:rFonts w:cs="Arial"/>
        </w:rPr>
        <w:t>paritaprevir</w:t>
      </w:r>
      <w:proofErr w:type="spellEnd"/>
      <w:r w:rsidRPr="00A47F4F">
        <w:rPr>
          <w:rFonts w:cs="Arial"/>
        </w:rPr>
        <w:t xml:space="preserve"> concentrations (see </w:t>
      </w:r>
      <w:r w:rsidR="00554C6A">
        <w:rPr>
          <w:rFonts w:cs="Arial"/>
        </w:rPr>
        <w:t xml:space="preserve">Table </w:t>
      </w:r>
      <w:r w:rsidR="00B54C47">
        <w:rPr>
          <w:rFonts w:cs="Arial"/>
        </w:rPr>
        <w:t>5</w:t>
      </w:r>
      <w:r w:rsidRPr="00A47F4F">
        <w:rPr>
          <w:rFonts w:cs="Arial"/>
        </w:rPr>
        <w:t>).</w:t>
      </w:r>
    </w:p>
    <w:p w:rsidR="00085F33" w:rsidRPr="00A47F4F" w:rsidRDefault="0011309F">
      <w:pPr>
        <w:spacing w:line="240" w:lineRule="auto"/>
        <w:jc w:val="both"/>
        <w:rPr>
          <w:rFonts w:cs="Arial"/>
        </w:rPr>
      </w:pPr>
      <w:r w:rsidRPr="00A47F4F">
        <w:rPr>
          <w:rFonts w:cs="Arial"/>
          <w:i/>
          <w:iCs/>
        </w:rPr>
        <w:t xml:space="preserve">Enzyme inducers </w:t>
      </w:r>
    </w:p>
    <w:p w:rsidR="00085F33" w:rsidRPr="00A47F4F" w:rsidRDefault="0011309F">
      <w:pPr>
        <w:spacing w:line="240" w:lineRule="auto"/>
        <w:jc w:val="both"/>
        <w:rPr>
          <w:rFonts w:cs="Arial"/>
        </w:rPr>
      </w:pPr>
      <w:r w:rsidRPr="00A47F4F">
        <w:rPr>
          <w:rFonts w:cs="Arial"/>
        </w:rPr>
        <w:lastRenderedPageBreak/>
        <w:t xml:space="preserve">Co-administration of TECHNIVIE with medicinal products that are moderate or strong enzyme inducers is expected to decrease </w:t>
      </w:r>
      <w:proofErr w:type="spellStart"/>
      <w:r w:rsidR="00BB6FB3">
        <w:rPr>
          <w:rFonts w:cs="Arial"/>
        </w:rPr>
        <w:t>paritaprevir</w:t>
      </w:r>
      <w:proofErr w:type="spellEnd"/>
      <w:r w:rsidR="00BB6FB3">
        <w:rPr>
          <w:rFonts w:cs="Arial"/>
        </w:rPr>
        <w:t xml:space="preserve">, ritonavir and </w:t>
      </w:r>
      <w:proofErr w:type="spellStart"/>
      <w:r w:rsidR="00BB6FB3">
        <w:rPr>
          <w:rFonts w:cs="Arial"/>
        </w:rPr>
        <w:t>ombitasvir</w:t>
      </w:r>
      <w:proofErr w:type="spellEnd"/>
      <w:r w:rsidRPr="00A47F4F">
        <w:rPr>
          <w:rFonts w:cs="Arial"/>
        </w:rPr>
        <w:t xml:space="preserve"> plasma concentrations and reduce their therapeutic effect. </w:t>
      </w:r>
      <w:r w:rsidR="00275688">
        <w:rPr>
          <w:rFonts w:cs="Arial"/>
        </w:rPr>
        <w:t xml:space="preserve"> </w:t>
      </w:r>
      <w:r w:rsidRPr="00A47F4F">
        <w:rPr>
          <w:rFonts w:cs="Arial"/>
        </w:rPr>
        <w:t xml:space="preserve">Contraindicated enzyme inducers are provided under CONTRAINDICATIONS and INTERACTIONS WITH OTHER MEDICINES. </w:t>
      </w:r>
    </w:p>
    <w:p w:rsidR="00085F33" w:rsidRPr="00A47F4F" w:rsidRDefault="0011309F">
      <w:pPr>
        <w:spacing w:line="240" w:lineRule="auto"/>
        <w:jc w:val="both"/>
        <w:rPr>
          <w:rFonts w:cs="Arial"/>
        </w:rPr>
      </w:pPr>
      <w:r w:rsidRPr="00A47F4F">
        <w:rPr>
          <w:rFonts w:cs="Arial"/>
          <w:i/>
          <w:iCs/>
        </w:rPr>
        <w:t xml:space="preserve">Medicinal products that inhibit CYP3A4 and transport proteins </w:t>
      </w:r>
    </w:p>
    <w:p w:rsidR="00085F33" w:rsidRPr="00A47F4F" w:rsidRDefault="0011309F">
      <w:pPr>
        <w:spacing w:line="240" w:lineRule="auto"/>
        <w:jc w:val="both"/>
        <w:rPr>
          <w:rFonts w:cs="Arial"/>
        </w:rPr>
      </w:pPr>
      <w:proofErr w:type="spellStart"/>
      <w:r w:rsidRPr="00A47F4F">
        <w:rPr>
          <w:rFonts w:cs="Arial"/>
        </w:rPr>
        <w:t>Paritaprevir</w:t>
      </w:r>
      <w:proofErr w:type="spellEnd"/>
      <w:r w:rsidRPr="00A47F4F">
        <w:rPr>
          <w:rFonts w:cs="Arial"/>
        </w:rPr>
        <w:t xml:space="preserve"> is eliminated via CYP3A4 mediated metabolism and biliary excretion (substrate of the hepatic transporters OATP1B1, P-</w:t>
      </w:r>
      <w:proofErr w:type="spellStart"/>
      <w:r w:rsidRPr="00A47F4F">
        <w:rPr>
          <w:rFonts w:cs="Arial"/>
        </w:rPr>
        <w:t>gp</w:t>
      </w:r>
      <w:proofErr w:type="spellEnd"/>
      <w:r w:rsidRPr="00A47F4F">
        <w:rPr>
          <w:rFonts w:cs="Arial"/>
        </w:rPr>
        <w:t xml:space="preserve"> and BCRP). </w:t>
      </w:r>
      <w:r w:rsidR="00275688">
        <w:rPr>
          <w:rFonts w:cs="Arial"/>
        </w:rPr>
        <w:t xml:space="preserve"> </w:t>
      </w:r>
      <w:r w:rsidRPr="00A47F4F">
        <w:rPr>
          <w:rFonts w:cs="Arial"/>
        </w:rPr>
        <w:t>Caution is advised if co-administering TECHNIVIE with medicinal products that are both moderate inhibitors of CYP3A4 and inhibitors of multiple transporters (P-</w:t>
      </w:r>
      <w:proofErr w:type="spellStart"/>
      <w:r w:rsidRPr="00A47F4F">
        <w:rPr>
          <w:rFonts w:cs="Arial"/>
        </w:rPr>
        <w:t>gp</w:t>
      </w:r>
      <w:proofErr w:type="spellEnd"/>
      <w:r w:rsidRPr="00A47F4F">
        <w:rPr>
          <w:rFonts w:cs="Arial"/>
        </w:rPr>
        <w:t xml:space="preserve">, BCRP and/or OATP1B1/ OATP1B3). </w:t>
      </w:r>
      <w:r w:rsidR="00275688">
        <w:rPr>
          <w:rFonts w:cs="Arial"/>
        </w:rPr>
        <w:t xml:space="preserve"> </w:t>
      </w:r>
      <w:r w:rsidRPr="00A47F4F">
        <w:rPr>
          <w:rFonts w:cs="Arial"/>
        </w:rPr>
        <w:t xml:space="preserve">These medicinal products may show clinically relevant increases in exposures of </w:t>
      </w:r>
      <w:proofErr w:type="spellStart"/>
      <w:r w:rsidRPr="00A47F4F">
        <w:rPr>
          <w:rFonts w:cs="Arial"/>
        </w:rPr>
        <w:t>paritaprevir</w:t>
      </w:r>
      <w:proofErr w:type="spellEnd"/>
      <w:r w:rsidRPr="00A47F4F">
        <w:rPr>
          <w:rFonts w:cs="Arial"/>
        </w:rPr>
        <w:t xml:space="preserve"> (e.g., ritonavir with </w:t>
      </w:r>
      <w:proofErr w:type="spellStart"/>
      <w:r w:rsidRPr="00A47F4F">
        <w:rPr>
          <w:rFonts w:cs="Arial"/>
        </w:rPr>
        <w:t>atazanavir</w:t>
      </w:r>
      <w:proofErr w:type="spellEnd"/>
      <w:r w:rsidRPr="00A47F4F">
        <w:rPr>
          <w:rFonts w:cs="Arial"/>
        </w:rPr>
        <w:t xml:space="preserve">, erythromycin, diltiazem or verapamil). </w:t>
      </w:r>
    </w:p>
    <w:p w:rsidR="00085F33" w:rsidRPr="00A47F4F" w:rsidRDefault="0011309F">
      <w:pPr>
        <w:spacing w:line="240" w:lineRule="auto"/>
        <w:jc w:val="both"/>
        <w:rPr>
          <w:rFonts w:cs="Arial"/>
        </w:rPr>
      </w:pPr>
      <w:r w:rsidRPr="00A47F4F">
        <w:rPr>
          <w:rFonts w:cs="Arial"/>
          <w:i/>
          <w:iCs/>
        </w:rPr>
        <w:t xml:space="preserve">Medicinal products that inhibit transport proteins </w:t>
      </w:r>
    </w:p>
    <w:p w:rsidR="00085F33" w:rsidRPr="00A47F4F" w:rsidRDefault="0011309F">
      <w:pPr>
        <w:spacing w:line="240" w:lineRule="auto"/>
        <w:jc w:val="both"/>
        <w:rPr>
          <w:rFonts w:cs="Arial"/>
          <w:i/>
        </w:rPr>
      </w:pPr>
      <w:r w:rsidRPr="00A47F4F">
        <w:rPr>
          <w:rFonts w:cs="Arial"/>
        </w:rPr>
        <w:t>Potent inhibitors of P-</w:t>
      </w:r>
      <w:proofErr w:type="spellStart"/>
      <w:r w:rsidRPr="00A47F4F">
        <w:rPr>
          <w:rFonts w:cs="Arial"/>
        </w:rPr>
        <w:t>gp</w:t>
      </w:r>
      <w:proofErr w:type="spellEnd"/>
      <w:r w:rsidRPr="00A47F4F">
        <w:rPr>
          <w:rFonts w:cs="Arial"/>
        </w:rPr>
        <w:t xml:space="preserve">, BCRP, OATP1B1 and/or OATP1B3 have the potential to increase the exposure to </w:t>
      </w:r>
      <w:proofErr w:type="spellStart"/>
      <w:r w:rsidRPr="00A47F4F">
        <w:rPr>
          <w:rFonts w:cs="Arial"/>
        </w:rPr>
        <w:t>paritaprevir</w:t>
      </w:r>
      <w:proofErr w:type="spellEnd"/>
      <w:r w:rsidRPr="00A47F4F">
        <w:rPr>
          <w:rFonts w:cs="Arial"/>
        </w:rPr>
        <w:t xml:space="preserve">. </w:t>
      </w:r>
      <w:r w:rsidR="00275688">
        <w:rPr>
          <w:rFonts w:cs="Arial"/>
        </w:rPr>
        <w:t xml:space="preserve"> </w:t>
      </w:r>
      <w:r w:rsidRPr="00A47F4F">
        <w:rPr>
          <w:rFonts w:cs="Arial"/>
        </w:rPr>
        <w:t xml:space="preserve">Inhibition of these transporters is not expected to show clinically relevant increases in exposures of </w:t>
      </w:r>
      <w:proofErr w:type="spellStart"/>
      <w:r w:rsidRPr="00A47F4F">
        <w:rPr>
          <w:rFonts w:cs="Arial"/>
        </w:rPr>
        <w:t>ombitasvir</w:t>
      </w:r>
      <w:proofErr w:type="spellEnd"/>
      <w:r w:rsidRPr="00A47F4F">
        <w:rPr>
          <w:rFonts w:cs="Arial"/>
        </w:rPr>
        <w:t>.</w:t>
      </w:r>
      <w:r w:rsidRPr="00A47F4F">
        <w:rPr>
          <w:rFonts w:cs="Arial"/>
          <w:u w:val="single"/>
        </w:rPr>
        <w:t xml:space="preserve">  </w:t>
      </w:r>
    </w:p>
    <w:p w:rsidR="00085F33" w:rsidRPr="00A47F4F" w:rsidRDefault="0011309F">
      <w:pPr>
        <w:widowControl w:val="0"/>
        <w:autoSpaceDE w:val="0"/>
        <w:autoSpaceDN w:val="0"/>
        <w:adjustRightInd w:val="0"/>
        <w:spacing w:line="240" w:lineRule="auto"/>
        <w:ind w:right="74"/>
        <w:jc w:val="both"/>
        <w:rPr>
          <w:rFonts w:cs="Arial"/>
          <w:u w:val="single"/>
        </w:rPr>
      </w:pPr>
      <w:r w:rsidRPr="00A47F4F">
        <w:rPr>
          <w:rFonts w:cs="Arial"/>
          <w:u w:val="single"/>
        </w:rPr>
        <w:t>Special Populations</w:t>
      </w:r>
    </w:p>
    <w:p w:rsidR="00085F33" w:rsidRPr="00A47F4F" w:rsidRDefault="0011309F">
      <w:pPr>
        <w:spacing w:line="240" w:lineRule="auto"/>
        <w:jc w:val="both"/>
        <w:rPr>
          <w:rFonts w:cs="Arial"/>
          <w:i/>
        </w:rPr>
      </w:pPr>
      <w:r w:rsidRPr="00A47F4F">
        <w:rPr>
          <w:rFonts w:cs="Arial"/>
          <w:i/>
        </w:rPr>
        <w:t>Renal Impairment</w:t>
      </w:r>
    </w:p>
    <w:p w:rsidR="00085F33" w:rsidRPr="00A47F4F" w:rsidRDefault="0011309F">
      <w:pPr>
        <w:spacing w:line="240" w:lineRule="auto"/>
        <w:jc w:val="both"/>
        <w:rPr>
          <w:rFonts w:cs="Arial"/>
          <w:bCs/>
          <w:i/>
          <w:color w:val="000000"/>
        </w:rPr>
      </w:pPr>
      <w:proofErr w:type="spellStart"/>
      <w:r w:rsidRPr="00A47F4F">
        <w:rPr>
          <w:rFonts w:cs="Arial"/>
          <w:bCs/>
          <w:i/>
          <w:color w:val="000000"/>
        </w:rPr>
        <w:t>Paritaprevir</w:t>
      </w:r>
      <w:proofErr w:type="spellEnd"/>
      <w:r w:rsidRPr="00A47F4F">
        <w:rPr>
          <w:rFonts w:cs="Arial"/>
          <w:bCs/>
          <w:i/>
          <w:color w:val="000000"/>
        </w:rPr>
        <w:t>/ritonavir/</w:t>
      </w:r>
      <w:proofErr w:type="spellStart"/>
      <w:r w:rsidRPr="00A47F4F">
        <w:rPr>
          <w:rFonts w:cs="Arial"/>
          <w:bCs/>
          <w:i/>
          <w:color w:val="000000"/>
        </w:rPr>
        <w:t>ombitasvir</w:t>
      </w:r>
      <w:proofErr w:type="spellEnd"/>
    </w:p>
    <w:p w:rsidR="00085F33" w:rsidRPr="00A47F4F" w:rsidRDefault="0011309F">
      <w:pPr>
        <w:spacing w:line="240" w:lineRule="auto"/>
        <w:jc w:val="both"/>
        <w:rPr>
          <w:rFonts w:cs="Arial"/>
        </w:rPr>
      </w:pPr>
      <w:r w:rsidRPr="00A47F4F">
        <w:rPr>
          <w:rFonts w:cs="Arial"/>
        </w:rPr>
        <w:t xml:space="preserve">The single dose pharmacokinetics of </w:t>
      </w:r>
      <w:proofErr w:type="spellStart"/>
      <w:r w:rsidR="00013ED9" w:rsidRPr="00013ED9">
        <w:rPr>
          <w:rFonts w:cs="Arial"/>
        </w:rPr>
        <w:t>paritaprevir</w:t>
      </w:r>
      <w:proofErr w:type="spellEnd"/>
      <w:r w:rsidR="00013ED9" w:rsidRPr="00013ED9">
        <w:rPr>
          <w:rFonts w:cs="Arial"/>
        </w:rPr>
        <w:t xml:space="preserve">, ritonavir and </w:t>
      </w:r>
      <w:proofErr w:type="spellStart"/>
      <w:r w:rsidR="00013ED9" w:rsidRPr="00013ED9">
        <w:rPr>
          <w:rFonts w:cs="Arial"/>
        </w:rPr>
        <w:t>ombitasvir</w:t>
      </w:r>
      <w:proofErr w:type="spellEnd"/>
      <w:r w:rsidR="00013ED9" w:rsidRPr="00013ED9" w:rsidDel="00013ED9">
        <w:rPr>
          <w:rFonts w:cs="Arial"/>
        </w:rPr>
        <w:t xml:space="preserve"> </w:t>
      </w:r>
      <w:r w:rsidRPr="00A47F4F">
        <w:rPr>
          <w:rFonts w:cs="Arial"/>
        </w:rPr>
        <w:t>were evaluated in non-HCV infected subjects with mild (</w:t>
      </w:r>
      <w:proofErr w:type="spellStart"/>
      <w:r w:rsidRPr="00A47F4F">
        <w:rPr>
          <w:rFonts w:cs="Arial"/>
        </w:rPr>
        <w:t>CLcr</w:t>
      </w:r>
      <w:proofErr w:type="spellEnd"/>
      <w:r w:rsidRPr="00A47F4F">
        <w:rPr>
          <w:rFonts w:cs="Arial"/>
        </w:rPr>
        <w:t>: 60 to 89 mL/min), moderate (</w:t>
      </w:r>
      <w:proofErr w:type="spellStart"/>
      <w:r w:rsidRPr="00A47F4F">
        <w:rPr>
          <w:rFonts w:cs="Arial"/>
        </w:rPr>
        <w:t>CLcr</w:t>
      </w:r>
      <w:proofErr w:type="spellEnd"/>
      <w:r w:rsidRPr="00A47F4F">
        <w:rPr>
          <w:rFonts w:cs="Arial"/>
        </w:rPr>
        <w:t>: 30 to 59 mL/min), and severe (</w:t>
      </w:r>
      <w:proofErr w:type="spellStart"/>
      <w:r w:rsidRPr="00A47F4F">
        <w:rPr>
          <w:rFonts w:cs="Arial"/>
        </w:rPr>
        <w:t>CLcr</w:t>
      </w:r>
      <w:proofErr w:type="spellEnd"/>
      <w:r w:rsidRPr="00A47F4F">
        <w:rPr>
          <w:rFonts w:cs="Arial"/>
        </w:rPr>
        <w:t>: 15 to 29 mL/min) renal impairment.</w:t>
      </w:r>
    </w:p>
    <w:p w:rsidR="00085F33" w:rsidRPr="00A47F4F" w:rsidRDefault="0011309F">
      <w:pPr>
        <w:spacing w:line="240" w:lineRule="auto"/>
        <w:jc w:val="both"/>
        <w:rPr>
          <w:rFonts w:cs="Arial"/>
        </w:rPr>
      </w:pPr>
      <w:bookmarkStart w:id="25" w:name="p1668594051426879791"/>
      <w:bookmarkEnd w:id="25"/>
      <w:r w:rsidRPr="00A47F4F">
        <w:rPr>
          <w:rFonts w:cs="Arial"/>
        </w:rPr>
        <w:t xml:space="preserve">Overall, changes in exposure of </w:t>
      </w:r>
      <w:proofErr w:type="spellStart"/>
      <w:r w:rsidR="00013ED9" w:rsidRPr="00013ED9">
        <w:rPr>
          <w:rFonts w:cs="Arial"/>
        </w:rPr>
        <w:t>paritaprevir</w:t>
      </w:r>
      <w:proofErr w:type="spellEnd"/>
      <w:r w:rsidR="00013ED9" w:rsidRPr="00013ED9">
        <w:rPr>
          <w:rFonts w:cs="Arial"/>
        </w:rPr>
        <w:t xml:space="preserve">, ritonavir and </w:t>
      </w:r>
      <w:proofErr w:type="spellStart"/>
      <w:r w:rsidR="00013ED9" w:rsidRPr="00013ED9">
        <w:rPr>
          <w:rFonts w:cs="Arial"/>
        </w:rPr>
        <w:t>ombitasvir</w:t>
      </w:r>
      <w:proofErr w:type="spellEnd"/>
      <w:r w:rsidR="00013ED9" w:rsidRPr="00013ED9" w:rsidDel="00013ED9">
        <w:rPr>
          <w:rFonts w:cs="Arial"/>
        </w:rPr>
        <w:t xml:space="preserve"> </w:t>
      </w:r>
      <w:r w:rsidRPr="00A47F4F">
        <w:rPr>
          <w:rFonts w:cs="Arial"/>
        </w:rPr>
        <w:t>in non-HCV infected subjects with mild-, moderate- and severe renal impairment are not expected to be clinically relevant.</w:t>
      </w:r>
    </w:p>
    <w:p w:rsidR="00085F33" w:rsidRPr="00A47F4F" w:rsidRDefault="0011309F">
      <w:pPr>
        <w:spacing w:line="240" w:lineRule="auto"/>
        <w:jc w:val="both"/>
        <w:rPr>
          <w:rFonts w:cs="Arial"/>
        </w:rPr>
      </w:pPr>
      <w:proofErr w:type="gramStart"/>
      <w:r w:rsidRPr="00A47F4F">
        <w:rPr>
          <w:rFonts w:cs="Arial"/>
        </w:rPr>
        <w:t xml:space="preserve">Relative to subjects with normal renal function, </w:t>
      </w:r>
      <w:proofErr w:type="spellStart"/>
      <w:r w:rsidRPr="00A47F4F">
        <w:rPr>
          <w:rFonts w:cs="Arial"/>
        </w:rPr>
        <w:t>paritaprevir</w:t>
      </w:r>
      <w:proofErr w:type="spellEnd"/>
      <w:r w:rsidRPr="00A47F4F">
        <w:rPr>
          <w:rFonts w:cs="Arial"/>
        </w:rPr>
        <w:t xml:space="preserve"> and ritonavir AUC values increased by 11% and 40%, respectively, while </w:t>
      </w:r>
      <w:proofErr w:type="spellStart"/>
      <w:r w:rsidRPr="00A47F4F">
        <w:rPr>
          <w:rFonts w:cs="Arial"/>
        </w:rPr>
        <w:t>ombitasvir</w:t>
      </w:r>
      <w:proofErr w:type="spellEnd"/>
      <w:r w:rsidRPr="00A47F4F">
        <w:rPr>
          <w:rFonts w:cs="Arial"/>
        </w:rPr>
        <w:t xml:space="preserve"> AUC values were unchanged in subjects with mild renal impairment.</w:t>
      </w:r>
      <w:proofErr w:type="gramEnd"/>
    </w:p>
    <w:p w:rsidR="00085F33" w:rsidRPr="00A47F4F" w:rsidRDefault="0011309F">
      <w:pPr>
        <w:spacing w:line="240" w:lineRule="auto"/>
        <w:jc w:val="both"/>
        <w:rPr>
          <w:rFonts w:cs="Arial"/>
        </w:rPr>
      </w:pPr>
      <w:bookmarkStart w:id="26" w:name="p1667134051426879809"/>
      <w:bookmarkEnd w:id="26"/>
      <w:proofErr w:type="gramStart"/>
      <w:r w:rsidRPr="00A47F4F">
        <w:rPr>
          <w:rFonts w:cs="Arial"/>
        </w:rPr>
        <w:t xml:space="preserve">Relative to subjects with normal renal function, </w:t>
      </w:r>
      <w:proofErr w:type="spellStart"/>
      <w:r w:rsidRPr="00A47F4F">
        <w:rPr>
          <w:rFonts w:cs="Arial"/>
        </w:rPr>
        <w:t>paritaprevir</w:t>
      </w:r>
      <w:proofErr w:type="spellEnd"/>
      <w:r w:rsidRPr="00A47F4F">
        <w:rPr>
          <w:rFonts w:cs="Arial"/>
        </w:rPr>
        <w:t xml:space="preserve"> and ritonavir AUC values increased by 19% and 76%, respectively, while </w:t>
      </w:r>
      <w:proofErr w:type="spellStart"/>
      <w:r w:rsidRPr="00A47F4F">
        <w:rPr>
          <w:rFonts w:cs="Arial"/>
        </w:rPr>
        <w:t>ombitasvir</w:t>
      </w:r>
      <w:proofErr w:type="spellEnd"/>
      <w:r w:rsidRPr="00A47F4F">
        <w:rPr>
          <w:rFonts w:cs="Arial"/>
        </w:rPr>
        <w:t xml:space="preserve"> AUC values were unchanged in subjects with moderate renal impairment.</w:t>
      </w:r>
      <w:proofErr w:type="gramEnd"/>
    </w:p>
    <w:p w:rsidR="00085F33" w:rsidRPr="00A47F4F" w:rsidRDefault="0011309F">
      <w:pPr>
        <w:spacing w:line="240" w:lineRule="auto"/>
        <w:jc w:val="both"/>
        <w:rPr>
          <w:rFonts w:cs="Arial"/>
        </w:rPr>
      </w:pPr>
      <w:bookmarkStart w:id="27" w:name="p1666934051426879810"/>
      <w:bookmarkEnd w:id="27"/>
      <w:proofErr w:type="gramStart"/>
      <w:r w:rsidRPr="00A47F4F">
        <w:rPr>
          <w:rFonts w:cs="Arial"/>
        </w:rPr>
        <w:t xml:space="preserve">Relative to subjects with normal renal function, </w:t>
      </w:r>
      <w:proofErr w:type="spellStart"/>
      <w:r w:rsidRPr="00A47F4F">
        <w:rPr>
          <w:rFonts w:cs="Arial"/>
        </w:rPr>
        <w:t>paritaprevir</w:t>
      </w:r>
      <w:proofErr w:type="spellEnd"/>
      <w:r w:rsidRPr="00A47F4F">
        <w:rPr>
          <w:rFonts w:cs="Arial"/>
        </w:rPr>
        <w:t xml:space="preserve"> and ritonavir AUC values increased by 25% and 108%, respectively, while </w:t>
      </w:r>
      <w:proofErr w:type="spellStart"/>
      <w:r w:rsidRPr="00A47F4F">
        <w:rPr>
          <w:rFonts w:cs="Arial"/>
        </w:rPr>
        <w:t>ombitasvir</w:t>
      </w:r>
      <w:proofErr w:type="spellEnd"/>
      <w:r w:rsidRPr="00A47F4F">
        <w:rPr>
          <w:rFonts w:cs="Arial"/>
        </w:rPr>
        <w:t xml:space="preserve"> AUC values were unchanged in subjects with severe renal impairment.</w:t>
      </w:r>
      <w:proofErr w:type="gramEnd"/>
    </w:p>
    <w:p w:rsidR="00085F33" w:rsidRPr="00A47F4F" w:rsidRDefault="0011309F">
      <w:pPr>
        <w:spacing w:line="240" w:lineRule="auto"/>
        <w:jc w:val="both"/>
        <w:rPr>
          <w:rFonts w:cs="Arial"/>
        </w:rPr>
      </w:pPr>
      <w:bookmarkStart w:id="28" w:name="p1666734051426879812"/>
      <w:bookmarkEnd w:id="28"/>
      <w:r w:rsidRPr="00A47F4F">
        <w:rPr>
          <w:rFonts w:cs="Arial"/>
        </w:rPr>
        <w:t xml:space="preserve">No dose adjustment for TECHNIVIE is recommended in HCV-infected subjects with mild, moderate or severe renal impairment. </w:t>
      </w:r>
    </w:p>
    <w:p w:rsidR="00085F33" w:rsidRPr="00A47F4F" w:rsidRDefault="0011309F">
      <w:pPr>
        <w:spacing w:line="240" w:lineRule="auto"/>
        <w:jc w:val="both"/>
        <w:rPr>
          <w:rFonts w:cs="Arial"/>
          <w:i/>
        </w:rPr>
      </w:pPr>
      <w:r w:rsidRPr="00A47F4F">
        <w:rPr>
          <w:rFonts w:cs="Arial"/>
          <w:i/>
        </w:rPr>
        <w:t>Hepatic Impairment</w:t>
      </w:r>
    </w:p>
    <w:p w:rsidR="00085F33" w:rsidRPr="00A47F4F" w:rsidRDefault="0011309F">
      <w:pPr>
        <w:spacing w:line="240" w:lineRule="auto"/>
        <w:jc w:val="both"/>
        <w:rPr>
          <w:rFonts w:cs="Arial"/>
        </w:rPr>
      </w:pPr>
      <w:r w:rsidRPr="00A47F4F">
        <w:rPr>
          <w:rFonts w:cs="Arial"/>
        </w:rPr>
        <w:t xml:space="preserve">Pharmacokinetics of the combination of </w:t>
      </w:r>
      <w:proofErr w:type="spellStart"/>
      <w:r w:rsidRPr="00A47F4F">
        <w:rPr>
          <w:rFonts w:cs="Arial"/>
        </w:rPr>
        <w:t>paritaprevir</w:t>
      </w:r>
      <w:proofErr w:type="spellEnd"/>
      <w:r w:rsidRPr="00A47F4F">
        <w:rPr>
          <w:rFonts w:cs="Arial"/>
        </w:rPr>
        <w:t xml:space="preserve"> </w:t>
      </w:r>
      <w:r w:rsidR="00275688" w:rsidRPr="00A47F4F">
        <w:rPr>
          <w:rFonts w:cs="Arial"/>
        </w:rPr>
        <w:t>200</w:t>
      </w:r>
      <w:r w:rsidR="00275688">
        <w:rPr>
          <w:rFonts w:cs="Arial"/>
        </w:rPr>
        <w:t xml:space="preserve"> </w:t>
      </w:r>
      <w:r w:rsidRPr="00A47F4F">
        <w:rPr>
          <w:rFonts w:cs="Arial"/>
        </w:rPr>
        <w:t xml:space="preserve">mg, </w:t>
      </w:r>
      <w:proofErr w:type="spellStart"/>
      <w:r w:rsidRPr="00A47F4F">
        <w:rPr>
          <w:rFonts w:cs="Arial"/>
        </w:rPr>
        <w:t>ombitasvir</w:t>
      </w:r>
      <w:proofErr w:type="spellEnd"/>
      <w:r w:rsidRPr="00A47F4F">
        <w:rPr>
          <w:rFonts w:cs="Arial"/>
        </w:rPr>
        <w:t xml:space="preserve"> </w:t>
      </w:r>
      <w:r w:rsidR="00275688" w:rsidRPr="00A47F4F">
        <w:rPr>
          <w:rFonts w:cs="Arial"/>
        </w:rPr>
        <w:t>25</w:t>
      </w:r>
      <w:r w:rsidR="00275688">
        <w:rPr>
          <w:rFonts w:cs="Arial"/>
        </w:rPr>
        <w:t xml:space="preserve"> </w:t>
      </w:r>
      <w:r w:rsidRPr="00A47F4F">
        <w:rPr>
          <w:rFonts w:cs="Arial"/>
        </w:rPr>
        <w:t xml:space="preserve">mg and ritonavir </w:t>
      </w:r>
      <w:r w:rsidR="00275688" w:rsidRPr="00A47F4F">
        <w:rPr>
          <w:rFonts w:cs="Arial"/>
        </w:rPr>
        <w:t>100</w:t>
      </w:r>
      <w:r w:rsidR="00275688">
        <w:rPr>
          <w:rFonts w:cs="Arial"/>
        </w:rPr>
        <w:t xml:space="preserve"> </w:t>
      </w:r>
      <w:r w:rsidRPr="00A47F4F">
        <w:rPr>
          <w:rFonts w:cs="Arial"/>
        </w:rPr>
        <w:t xml:space="preserve">mg were not evaluated in subjects with mild (Child-Pugh A), moderate (Child-Pugh B) and severe (Child-Pugh C) hepatic impairment. </w:t>
      </w:r>
      <w:r w:rsidR="00275688">
        <w:rPr>
          <w:rFonts w:cs="Arial"/>
        </w:rPr>
        <w:t xml:space="preserve"> </w:t>
      </w:r>
      <w:r w:rsidRPr="00A47F4F">
        <w:rPr>
          <w:rFonts w:cs="Arial"/>
        </w:rPr>
        <w:t xml:space="preserve">Results from the pharmacokinetic evaluation of the combination of </w:t>
      </w:r>
      <w:proofErr w:type="spellStart"/>
      <w:r w:rsidRPr="00A47F4F">
        <w:rPr>
          <w:rFonts w:cs="Arial"/>
        </w:rPr>
        <w:t>paritaprevir</w:t>
      </w:r>
      <w:proofErr w:type="spellEnd"/>
      <w:r w:rsidRPr="00A47F4F">
        <w:rPr>
          <w:rFonts w:cs="Arial"/>
        </w:rPr>
        <w:t xml:space="preserve"> </w:t>
      </w:r>
      <w:r w:rsidR="00275688" w:rsidRPr="00A47F4F">
        <w:rPr>
          <w:rFonts w:cs="Arial"/>
        </w:rPr>
        <w:t>200</w:t>
      </w:r>
      <w:r w:rsidR="00275688">
        <w:rPr>
          <w:rFonts w:cs="Arial"/>
        </w:rPr>
        <w:t xml:space="preserve"> </w:t>
      </w:r>
      <w:r w:rsidRPr="00A47F4F">
        <w:rPr>
          <w:rFonts w:cs="Arial"/>
        </w:rPr>
        <w:t xml:space="preserve">mg, </w:t>
      </w:r>
      <w:proofErr w:type="spellStart"/>
      <w:r w:rsidRPr="00A47F4F">
        <w:rPr>
          <w:rFonts w:cs="Arial"/>
        </w:rPr>
        <w:t>ombitasvir</w:t>
      </w:r>
      <w:proofErr w:type="spellEnd"/>
      <w:r w:rsidRPr="00A47F4F">
        <w:rPr>
          <w:rFonts w:cs="Arial"/>
        </w:rPr>
        <w:t xml:space="preserve"> </w:t>
      </w:r>
      <w:r w:rsidR="00275688" w:rsidRPr="00A47F4F">
        <w:rPr>
          <w:rFonts w:cs="Arial"/>
        </w:rPr>
        <w:t>25</w:t>
      </w:r>
      <w:r w:rsidR="00275688">
        <w:rPr>
          <w:rFonts w:cs="Arial"/>
        </w:rPr>
        <w:t xml:space="preserve"> </w:t>
      </w:r>
      <w:r w:rsidRPr="00A47F4F">
        <w:rPr>
          <w:rFonts w:cs="Arial"/>
        </w:rPr>
        <w:t xml:space="preserve">mg, and ritonavir </w:t>
      </w:r>
      <w:r w:rsidR="00275688" w:rsidRPr="00A47F4F">
        <w:rPr>
          <w:rFonts w:cs="Arial"/>
        </w:rPr>
        <w:t>100</w:t>
      </w:r>
      <w:r w:rsidR="00275688">
        <w:rPr>
          <w:rFonts w:cs="Arial"/>
        </w:rPr>
        <w:t xml:space="preserve"> </w:t>
      </w:r>
      <w:r w:rsidRPr="00A47F4F">
        <w:rPr>
          <w:rFonts w:cs="Arial"/>
        </w:rPr>
        <w:t xml:space="preserve">mg, with </w:t>
      </w:r>
      <w:proofErr w:type="spellStart"/>
      <w:r w:rsidRPr="00A47F4F">
        <w:rPr>
          <w:rFonts w:cs="Arial"/>
        </w:rPr>
        <w:t>dasabuvir</w:t>
      </w:r>
      <w:proofErr w:type="spellEnd"/>
      <w:r w:rsidRPr="00A47F4F">
        <w:rPr>
          <w:rFonts w:cs="Arial"/>
        </w:rPr>
        <w:t xml:space="preserve"> </w:t>
      </w:r>
      <w:r w:rsidR="00275688" w:rsidRPr="00A47F4F">
        <w:rPr>
          <w:rFonts w:cs="Arial"/>
        </w:rPr>
        <w:t>400</w:t>
      </w:r>
      <w:r w:rsidR="00275688">
        <w:rPr>
          <w:rFonts w:cs="Arial"/>
        </w:rPr>
        <w:t xml:space="preserve"> </w:t>
      </w:r>
      <w:r w:rsidRPr="00A47F4F">
        <w:rPr>
          <w:rFonts w:cs="Arial"/>
        </w:rPr>
        <w:t xml:space="preserve">mg can be extrapolated to the combination of </w:t>
      </w:r>
      <w:proofErr w:type="spellStart"/>
      <w:r w:rsidRPr="00A47F4F">
        <w:rPr>
          <w:rFonts w:cs="Arial"/>
        </w:rPr>
        <w:t>ombitasvir</w:t>
      </w:r>
      <w:proofErr w:type="spellEnd"/>
      <w:r w:rsidRPr="00A47F4F">
        <w:rPr>
          <w:rFonts w:cs="Arial"/>
        </w:rPr>
        <w:t xml:space="preserve"> </w:t>
      </w:r>
      <w:r w:rsidR="00275688" w:rsidRPr="00A47F4F">
        <w:rPr>
          <w:rFonts w:cs="Arial"/>
        </w:rPr>
        <w:t>25</w:t>
      </w:r>
      <w:r w:rsidR="00275688">
        <w:rPr>
          <w:rFonts w:cs="Arial"/>
        </w:rPr>
        <w:t xml:space="preserve"> </w:t>
      </w:r>
      <w:r w:rsidRPr="00A47F4F">
        <w:rPr>
          <w:rFonts w:cs="Arial"/>
        </w:rPr>
        <w:t xml:space="preserve">mg, </w:t>
      </w:r>
      <w:proofErr w:type="spellStart"/>
      <w:r w:rsidRPr="00A47F4F">
        <w:rPr>
          <w:rFonts w:cs="Arial"/>
        </w:rPr>
        <w:t>paritaprevir</w:t>
      </w:r>
      <w:proofErr w:type="spellEnd"/>
      <w:r w:rsidRPr="00A47F4F">
        <w:rPr>
          <w:rFonts w:cs="Arial"/>
        </w:rPr>
        <w:t xml:space="preserve"> </w:t>
      </w:r>
      <w:r w:rsidR="00275688" w:rsidRPr="00A47F4F">
        <w:rPr>
          <w:rFonts w:cs="Arial"/>
        </w:rPr>
        <w:t>200</w:t>
      </w:r>
      <w:r w:rsidR="00275688">
        <w:rPr>
          <w:rFonts w:cs="Arial"/>
        </w:rPr>
        <w:t xml:space="preserve"> </w:t>
      </w:r>
      <w:r w:rsidRPr="00A47F4F">
        <w:rPr>
          <w:rFonts w:cs="Arial"/>
        </w:rPr>
        <w:t xml:space="preserve">mg and ritonavir </w:t>
      </w:r>
      <w:r w:rsidR="00275688" w:rsidRPr="00A47F4F">
        <w:rPr>
          <w:rFonts w:cs="Arial"/>
        </w:rPr>
        <w:t>100</w:t>
      </w:r>
      <w:r w:rsidR="00275688">
        <w:rPr>
          <w:rFonts w:cs="Arial"/>
        </w:rPr>
        <w:t xml:space="preserve"> </w:t>
      </w:r>
      <w:r w:rsidRPr="00A47F4F">
        <w:rPr>
          <w:rFonts w:cs="Arial"/>
        </w:rPr>
        <w:t xml:space="preserve">mg. </w:t>
      </w:r>
    </w:p>
    <w:p w:rsidR="00085F33" w:rsidRPr="00A47F4F" w:rsidRDefault="0011309F">
      <w:pPr>
        <w:spacing w:line="240" w:lineRule="auto"/>
        <w:jc w:val="both"/>
        <w:rPr>
          <w:rFonts w:cs="Arial"/>
        </w:rPr>
      </w:pPr>
      <w:bookmarkStart w:id="29" w:name="p1692934051426879976"/>
      <w:bookmarkEnd w:id="29"/>
      <w:r w:rsidRPr="00A47F4F">
        <w:rPr>
          <w:rFonts w:cs="Arial"/>
        </w:rPr>
        <w:lastRenderedPageBreak/>
        <w:t xml:space="preserve">The changes in </w:t>
      </w:r>
      <w:proofErr w:type="spellStart"/>
      <w:r w:rsidRPr="00A47F4F">
        <w:rPr>
          <w:rFonts w:cs="Arial"/>
        </w:rPr>
        <w:t>paritaprevir</w:t>
      </w:r>
      <w:proofErr w:type="spellEnd"/>
      <w:r w:rsidRPr="00A47F4F">
        <w:rPr>
          <w:rFonts w:cs="Arial"/>
        </w:rPr>
        <w:t xml:space="preserve">, </w:t>
      </w:r>
      <w:proofErr w:type="spellStart"/>
      <w:r w:rsidRPr="00A47F4F">
        <w:rPr>
          <w:rFonts w:cs="Arial"/>
        </w:rPr>
        <w:t>ombitasvir</w:t>
      </w:r>
      <w:proofErr w:type="spellEnd"/>
      <w:r w:rsidRPr="00A47F4F">
        <w:rPr>
          <w:rFonts w:cs="Arial"/>
        </w:rPr>
        <w:t xml:space="preserve"> and ritonavir exposures in subjects with mild and moderate hepatic impairment are not considered clinically significant. </w:t>
      </w:r>
      <w:r w:rsidR="00275688">
        <w:rPr>
          <w:rFonts w:cs="Arial"/>
        </w:rPr>
        <w:t xml:space="preserve"> </w:t>
      </w:r>
      <w:r w:rsidR="000562CA" w:rsidRPr="004219A0">
        <w:rPr>
          <w:rFonts w:cstheme="minorHAnsi"/>
          <w:color w:val="000000"/>
          <w:lang w:val="en-NZ"/>
        </w:rPr>
        <w:t xml:space="preserve">No dosage adjustment of </w:t>
      </w:r>
      <w:r w:rsidR="000562CA">
        <w:rPr>
          <w:rFonts w:cstheme="minorHAnsi"/>
          <w:color w:val="000000"/>
          <w:lang w:val="en-NZ"/>
        </w:rPr>
        <w:t>TECHNIVIE</w:t>
      </w:r>
      <w:r w:rsidR="000562CA" w:rsidRPr="004219A0">
        <w:rPr>
          <w:rFonts w:cstheme="minorHAnsi"/>
          <w:color w:val="000000"/>
          <w:lang w:val="en-NZ"/>
        </w:rPr>
        <w:t xml:space="preserve"> is required in patients with mild hepatic impairment (Child-Pugh A). </w:t>
      </w:r>
      <w:r w:rsidR="000562CA">
        <w:rPr>
          <w:rFonts w:cstheme="minorHAnsi"/>
          <w:color w:val="000000"/>
          <w:lang w:val="en-NZ"/>
        </w:rPr>
        <w:t>TECHNIVIE</w:t>
      </w:r>
      <w:r w:rsidR="000562CA" w:rsidRPr="004219A0">
        <w:rPr>
          <w:rFonts w:cstheme="minorHAnsi"/>
          <w:color w:val="000000"/>
          <w:lang w:val="en-NZ"/>
        </w:rPr>
        <w:t xml:space="preserve"> is not recommended in patients with moderate hepatic impairment (Child-Pugh B). </w:t>
      </w:r>
      <w:r w:rsidR="00404512">
        <w:rPr>
          <w:rFonts w:cstheme="minorHAnsi"/>
          <w:color w:val="000000"/>
          <w:lang w:val="en-NZ"/>
        </w:rPr>
        <w:t xml:space="preserve"> </w:t>
      </w:r>
      <w:r w:rsidR="000562CA" w:rsidRPr="004219A0">
        <w:rPr>
          <w:rFonts w:cstheme="minorHAnsi"/>
          <w:color w:val="000000"/>
          <w:lang w:val="en-NZ"/>
        </w:rPr>
        <w:t xml:space="preserve">A decision to initiate treatment in patients with Child-Pugh B should be guided by assessment of the potential benefits and risks for the individual. </w:t>
      </w:r>
      <w:r w:rsidR="000562CA">
        <w:rPr>
          <w:rFonts w:cstheme="minorHAnsi"/>
          <w:color w:val="000000"/>
          <w:lang w:val="en-NZ"/>
        </w:rPr>
        <w:t>TECHNIVIE</w:t>
      </w:r>
      <w:r w:rsidR="000562CA" w:rsidRPr="004219A0">
        <w:rPr>
          <w:rFonts w:cstheme="minorHAnsi"/>
          <w:color w:val="000000"/>
          <w:lang w:val="en-NZ"/>
        </w:rPr>
        <w:t xml:space="preserve"> is contraindicated in patients with severe hepatic impairment (Child-Pugh C) (see CONTRAINDICATIONS and </w:t>
      </w:r>
      <w:r w:rsidR="000562CA" w:rsidRPr="004219A0">
        <w:rPr>
          <w:rFonts w:cstheme="minorHAnsi"/>
          <w:bCs/>
          <w:color w:val="000000"/>
          <w:lang w:val="en-NZ"/>
        </w:rPr>
        <w:t>PRECAUTIONS</w:t>
      </w:r>
      <w:r w:rsidR="000562CA" w:rsidRPr="004219A0">
        <w:rPr>
          <w:rFonts w:cstheme="minorHAnsi"/>
          <w:color w:val="000000"/>
          <w:lang w:val="en-NZ"/>
        </w:rPr>
        <w:t>)</w:t>
      </w:r>
      <w:r w:rsidR="00552F34">
        <w:rPr>
          <w:rFonts w:cstheme="minorHAnsi"/>
          <w:color w:val="000000"/>
          <w:lang w:val="en-NZ"/>
        </w:rPr>
        <w:t>.</w:t>
      </w:r>
      <w:r w:rsidRPr="00A47F4F">
        <w:rPr>
          <w:rFonts w:cs="Arial"/>
        </w:rPr>
        <w:t xml:space="preserve"> </w:t>
      </w:r>
    </w:p>
    <w:p w:rsidR="00085F33" w:rsidRPr="00A47F4F" w:rsidRDefault="0011309F">
      <w:pPr>
        <w:rPr>
          <w:rFonts w:cs="Arial"/>
          <w:i/>
        </w:rPr>
      </w:pPr>
      <w:r w:rsidRPr="00A47F4F">
        <w:rPr>
          <w:rFonts w:cs="Arial"/>
          <w:i/>
        </w:rPr>
        <w:t>Elderly</w:t>
      </w:r>
    </w:p>
    <w:p w:rsidR="00085F33" w:rsidRPr="00A47F4F" w:rsidRDefault="0011309F">
      <w:pPr>
        <w:spacing w:line="240" w:lineRule="auto"/>
        <w:jc w:val="both"/>
        <w:rPr>
          <w:rFonts w:cs="Arial"/>
          <w:i/>
        </w:rPr>
      </w:pPr>
      <w:r w:rsidRPr="00A47F4F">
        <w:rPr>
          <w:rFonts w:cs="Arial"/>
        </w:rPr>
        <w:t xml:space="preserve">No dose adjustment is necessary for </w:t>
      </w:r>
      <w:proofErr w:type="spellStart"/>
      <w:r w:rsidRPr="00A47F4F">
        <w:rPr>
          <w:rFonts w:cs="Arial"/>
        </w:rPr>
        <w:t>paritaprevir</w:t>
      </w:r>
      <w:proofErr w:type="spellEnd"/>
      <w:r w:rsidRPr="00A47F4F">
        <w:rPr>
          <w:rFonts w:cs="Arial"/>
        </w:rPr>
        <w:t>/ritonavir/</w:t>
      </w:r>
      <w:proofErr w:type="spellStart"/>
      <w:r w:rsidRPr="00A47F4F">
        <w:rPr>
          <w:rFonts w:cs="Arial"/>
        </w:rPr>
        <w:t>ombitasvir</w:t>
      </w:r>
      <w:proofErr w:type="spellEnd"/>
      <w:r w:rsidRPr="00A47F4F">
        <w:rPr>
          <w:rFonts w:cs="Arial"/>
        </w:rPr>
        <w:t xml:space="preserve"> in elderly patients.</w:t>
      </w:r>
    </w:p>
    <w:p w:rsidR="00085F33" w:rsidRPr="00A47F4F" w:rsidRDefault="0011309F">
      <w:pPr>
        <w:spacing w:line="240" w:lineRule="auto"/>
      </w:pPr>
      <w:r w:rsidRPr="00A47F4F">
        <w:t xml:space="preserve">Based on population pharmacokinetic analysis of data from Phase 3 clinical studies of genotype 1-infected subjects, a 10 year increase or decrease in age from 54 years (median age in the Phase 3 studies) would result in approximately 10% change in </w:t>
      </w:r>
      <w:proofErr w:type="spellStart"/>
      <w:r w:rsidRPr="00A47F4F">
        <w:t>ombitasvir</w:t>
      </w:r>
      <w:proofErr w:type="spellEnd"/>
      <w:r w:rsidRPr="00A47F4F">
        <w:t xml:space="preserve"> exposures, and ≤20% change in </w:t>
      </w:r>
      <w:proofErr w:type="spellStart"/>
      <w:r w:rsidRPr="00A47F4F">
        <w:t>paritaprevir</w:t>
      </w:r>
      <w:proofErr w:type="spellEnd"/>
      <w:r w:rsidRPr="00A47F4F">
        <w:t xml:space="preserve"> exposures.  There is no pharmacokinetic information in patients &gt;75 years.</w:t>
      </w:r>
    </w:p>
    <w:p w:rsidR="00085F33" w:rsidRPr="00A47F4F" w:rsidRDefault="0011309F">
      <w:pPr>
        <w:spacing w:line="240" w:lineRule="auto"/>
        <w:jc w:val="both"/>
        <w:rPr>
          <w:rFonts w:cs="Arial"/>
          <w:i/>
        </w:rPr>
      </w:pPr>
      <w:r w:rsidRPr="00A47F4F">
        <w:rPr>
          <w:rFonts w:cs="Arial"/>
          <w:i/>
        </w:rPr>
        <w:t>Paediatric Population (&lt;18 years)</w:t>
      </w:r>
    </w:p>
    <w:p w:rsidR="00085F33" w:rsidRPr="00A47F4F" w:rsidRDefault="0011309F">
      <w:pPr>
        <w:keepNext/>
        <w:spacing w:line="240" w:lineRule="auto"/>
        <w:rPr>
          <w:rFonts w:eastAsia="TimesNewRoman"/>
          <w:lang w:eastAsia="ja-JP"/>
        </w:rPr>
      </w:pPr>
      <w:r w:rsidRPr="00A47F4F">
        <w:rPr>
          <w:rFonts w:cs="Arial"/>
        </w:rPr>
        <w:t>The pharmacokinetics, safety and efficacy of TECHNIVIE in paediatric patients have not been established.</w:t>
      </w:r>
    </w:p>
    <w:p w:rsidR="00085F33" w:rsidRPr="00A47F4F" w:rsidRDefault="0011309F">
      <w:pPr>
        <w:spacing w:line="240" w:lineRule="auto"/>
        <w:rPr>
          <w:rFonts w:cs="Arial"/>
          <w:i/>
        </w:rPr>
      </w:pPr>
      <w:r w:rsidRPr="00A47F4F">
        <w:rPr>
          <w:rFonts w:cs="Arial"/>
          <w:i/>
        </w:rPr>
        <w:t>Race or Ethnicity</w:t>
      </w:r>
    </w:p>
    <w:p w:rsidR="00085F33" w:rsidRPr="00A47F4F" w:rsidRDefault="0011309F">
      <w:pPr>
        <w:spacing w:line="240" w:lineRule="auto"/>
        <w:jc w:val="both"/>
        <w:rPr>
          <w:rFonts w:cs="Arial"/>
        </w:rPr>
      </w:pPr>
      <w:r w:rsidRPr="00A47F4F">
        <w:rPr>
          <w:rFonts w:cs="Arial"/>
        </w:rPr>
        <w:t xml:space="preserve">No dose adjustment is necessary for TECHNIVIE based on race or ethnicity. </w:t>
      </w:r>
      <w:r w:rsidR="00275688">
        <w:rPr>
          <w:rFonts w:cs="Arial"/>
        </w:rPr>
        <w:t xml:space="preserve"> </w:t>
      </w:r>
      <w:r w:rsidRPr="00A47F4F">
        <w:rPr>
          <w:rFonts w:cs="Arial"/>
        </w:rPr>
        <w:t xml:space="preserve">Based on population pharmacokinetic analysis of data from Phase 3 clinical studies </w:t>
      </w:r>
      <w:r w:rsidRPr="00A47F4F">
        <w:t>of genotype 1-infected subjects</w:t>
      </w:r>
      <w:r w:rsidRPr="00A47F4F">
        <w:rPr>
          <w:rFonts w:cs="Arial"/>
        </w:rPr>
        <w:t xml:space="preserve">, Asian subjects had 18% to 21%, 37% to 39% and 29% to 39% higher </w:t>
      </w:r>
      <w:proofErr w:type="spellStart"/>
      <w:r w:rsidRPr="00A47F4F">
        <w:rPr>
          <w:rFonts w:cs="Arial"/>
        </w:rPr>
        <w:t>ombitasvir</w:t>
      </w:r>
      <w:proofErr w:type="spellEnd"/>
      <w:r w:rsidRPr="00A47F4F">
        <w:rPr>
          <w:rFonts w:cs="Arial"/>
        </w:rPr>
        <w:t xml:space="preserve"> and </w:t>
      </w:r>
      <w:proofErr w:type="spellStart"/>
      <w:r w:rsidRPr="00A47F4F">
        <w:rPr>
          <w:rFonts w:cs="Arial"/>
        </w:rPr>
        <w:t>paritaprevir</w:t>
      </w:r>
      <w:proofErr w:type="spellEnd"/>
      <w:r w:rsidRPr="00A47F4F">
        <w:rPr>
          <w:rFonts w:cs="Arial"/>
        </w:rPr>
        <w:t xml:space="preserve"> </w:t>
      </w:r>
      <w:r w:rsidR="0084261A">
        <w:rPr>
          <w:rFonts w:cs="Arial"/>
        </w:rPr>
        <w:t xml:space="preserve">exposures </w:t>
      </w:r>
      <w:r w:rsidRPr="00A47F4F">
        <w:rPr>
          <w:rFonts w:cs="Arial"/>
        </w:rPr>
        <w:t xml:space="preserve">respectively, than non-Asian subjects. </w:t>
      </w:r>
      <w:r w:rsidR="00275688">
        <w:rPr>
          <w:rFonts w:cs="Arial"/>
        </w:rPr>
        <w:t xml:space="preserve"> </w:t>
      </w:r>
      <w:r w:rsidRPr="00A47F4F">
        <w:rPr>
          <w:rFonts w:cs="Arial"/>
        </w:rPr>
        <w:t xml:space="preserve">The ritonavir exposures were comparable between Asians and non-Asians. </w:t>
      </w:r>
      <w:r w:rsidR="00275688">
        <w:rPr>
          <w:rFonts w:cs="Arial"/>
        </w:rPr>
        <w:t xml:space="preserve"> </w:t>
      </w:r>
      <w:r w:rsidRPr="00A47F4F">
        <w:rPr>
          <w:rFonts w:cs="Arial"/>
        </w:rPr>
        <w:t>However, patient numbers in the clinical trials were not sufficient to definitively address possible differences in pharmacokinetics and toxicity profiles in specific ethnic groups such as Asian patients.</w:t>
      </w:r>
    </w:p>
    <w:p w:rsidR="00085F33" w:rsidRPr="00A47F4F" w:rsidRDefault="0011309F">
      <w:pPr>
        <w:spacing w:line="240" w:lineRule="auto"/>
        <w:jc w:val="both"/>
        <w:rPr>
          <w:rFonts w:cs="Arial"/>
          <w:i/>
        </w:rPr>
      </w:pPr>
      <w:r w:rsidRPr="00A47F4F">
        <w:rPr>
          <w:rFonts w:cs="Arial"/>
          <w:i/>
        </w:rPr>
        <w:t>Sex or Body weight</w:t>
      </w:r>
    </w:p>
    <w:p w:rsidR="00085F33" w:rsidRPr="00A47F4F" w:rsidRDefault="0011309F">
      <w:pPr>
        <w:spacing w:line="240" w:lineRule="auto"/>
        <w:jc w:val="both"/>
      </w:pPr>
      <w:r w:rsidRPr="00A47F4F">
        <w:t xml:space="preserve">No dose adjustment is necessary for TECHNIVIE based on gender or body weight. </w:t>
      </w:r>
    </w:p>
    <w:p w:rsidR="00085F33" w:rsidRPr="00A47F4F" w:rsidRDefault="0011309F">
      <w:pPr>
        <w:spacing w:line="240" w:lineRule="auto"/>
        <w:jc w:val="both"/>
      </w:pPr>
      <w:r w:rsidRPr="00A47F4F">
        <w:t xml:space="preserve">Based on population pharmacokinetic analysis of data from Phase 3 clinical studies of genotype 1-infected subjects, female subjects would have approximately 55%, 100% and 15% higher </w:t>
      </w:r>
      <w:proofErr w:type="spellStart"/>
      <w:r w:rsidRPr="00A47F4F">
        <w:t>ombitasvir</w:t>
      </w:r>
      <w:proofErr w:type="spellEnd"/>
      <w:r w:rsidRPr="00A47F4F">
        <w:t xml:space="preserve">, </w:t>
      </w:r>
      <w:proofErr w:type="spellStart"/>
      <w:r w:rsidRPr="00A47F4F">
        <w:t>paritaprevir</w:t>
      </w:r>
      <w:proofErr w:type="spellEnd"/>
      <w:r w:rsidRPr="00A47F4F">
        <w:t xml:space="preserve"> and </w:t>
      </w:r>
      <w:r w:rsidRPr="00A47F4F">
        <w:rPr>
          <w:rFonts w:cs="Arial"/>
        </w:rPr>
        <w:t>ritonavir</w:t>
      </w:r>
      <w:r w:rsidRPr="00A47F4F">
        <w:t xml:space="preserve"> exposures (AUC), respectively, than male subjects. </w:t>
      </w:r>
      <w:r w:rsidR="00275688">
        <w:t xml:space="preserve"> </w:t>
      </w:r>
      <w:r w:rsidRPr="00A47F4F">
        <w:t xml:space="preserve">A </w:t>
      </w:r>
      <w:r w:rsidR="00275688" w:rsidRPr="00A47F4F">
        <w:t>10</w:t>
      </w:r>
      <w:r w:rsidR="00275688">
        <w:t xml:space="preserve"> </w:t>
      </w:r>
      <w:r w:rsidRPr="00A47F4F">
        <w:t xml:space="preserve">kg change in body weight from </w:t>
      </w:r>
      <w:r w:rsidR="00275688" w:rsidRPr="00A47F4F">
        <w:t>76</w:t>
      </w:r>
      <w:r w:rsidR="00275688">
        <w:t xml:space="preserve"> </w:t>
      </w:r>
      <w:r w:rsidRPr="00A47F4F">
        <w:t xml:space="preserve">kg (median weight in the Phase 3 studies) would result in &lt;10% change in </w:t>
      </w:r>
      <w:proofErr w:type="spellStart"/>
      <w:r w:rsidRPr="00A47F4F">
        <w:t>ombitasvir</w:t>
      </w:r>
      <w:proofErr w:type="spellEnd"/>
      <w:r w:rsidRPr="00A47F4F">
        <w:t xml:space="preserve"> exposures, and no change in </w:t>
      </w:r>
      <w:proofErr w:type="spellStart"/>
      <w:r w:rsidRPr="00A47F4F">
        <w:t>paritaprevir</w:t>
      </w:r>
      <w:proofErr w:type="spellEnd"/>
      <w:r w:rsidRPr="00A47F4F">
        <w:t xml:space="preserve"> exposures. </w:t>
      </w:r>
      <w:r w:rsidR="00275688">
        <w:t xml:space="preserve"> </w:t>
      </w:r>
      <w:r w:rsidRPr="00A47F4F">
        <w:t xml:space="preserve">Body weight is not a significant predictor of ritonavir exposures. </w:t>
      </w:r>
    </w:p>
    <w:p w:rsidR="00085F33" w:rsidRPr="003A11C0" w:rsidRDefault="0011309F" w:rsidP="003A11C0">
      <w:pPr>
        <w:pStyle w:val="Heading1"/>
        <w:rPr>
          <w:sz w:val="22"/>
          <w:szCs w:val="22"/>
        </w:rPr>
      </w:pPr>
      <w:bookmarkStart w:id="30" w:name="_Toc383787393"/>
      <w:r w:rsidRPr="00A47F4F">
        <w:rPr>
          <w:sz w:val="22"/>
          <w:szCs w:val="22"/>
        </w:rPr>
        <w:t>Clinical Trials</w:t>
      </w:r>
      <w:bookmarkEnd w:id="30"/>
    </w:p>
    <w:p w:rsidR="004F2E4F" w:rsidRDefault="00CF78E4" w:rsidP="005A2122">
      <w:pPr>
        <w:pStyle w:val="ListParagraph"/>
        <w:ind w:left="0"/>
        <w:jc w:val="both"/>
      </w:pPr>
      <w:r w:rsidRPr="00CF78E4">
        <w:rPr>
          <w:lang w:val="en-US"/>
        </w:rPr>
        <w:t xml:space="preserve">The efficacy and safety of </w:t>
      </w:r>
      <w:proofErr w:type="spellStart"/>
      <w:r w:rsidR="000A4AD1" w:rsidRPr="000A4AD1">
        <w:rPr>
          <w:lang w:val="en-US"/>
        </w:rPr>
        <w:t>paritaprevir</w:t>
      </w:r>
      <w:proofErr w:type="spellEnd"/>
      <w:r w:rsidR="000A4AD1" w:rsidRPr="000A4AD1">
        <w:rPr>
          <w:lang w:val="en-US"/>
        </w:rPr>
        <w:t xml:space="preserve">, ritonavir and </w:t>
      </w:r>
      <w:proofErr w:type="spellStart"/>
      <w:r w:rsidR="000A4AD1" w:rsidRPr="000A4AD1">
        <w:rPr>
          <w:lang w:val="en-US"/>
        </w:rPr>
        <w:t>ombitasvir</w:t>
      </w:r>
      <w:proofErr w:type="spellEnd"/>
      <w:r w:rsidR="000A4AD1" w:rsidRPr="000A4AD1">
        <w:rPr>
          <w:lang w:val="en-US"/>
        </w:rPr>
        <w:t xml:space="preserve"> </w:t>
      </w:r>
      <w:r w:rsidRPr="00CF78E4">
        <w:rPr>
          <w:lang w:val="en-US"/>
        </w:rPr>
        <w:t xml:space="preserve">with or without ribavirin was evaluated in </w:t>
      </w:r>
      <w:r w:rsidR="00390B3A">
        <w:rPr>
          <w:lang w:val="en-US"/>
        </w:rPr>
        <w:t>three</w:t>
      </w:r>
      <w:r w:rsidR="00390B3A" w:rsidRPr="00CF78E4">
        <w:rPr>
          <w:lang w:val="en-US"/>
        </w:rPr>
        <w:t xml:space="preserve"> </w:t>
      </w:r>
      <w:r w:rsidRPr="00CF78E4">
        <w:rPr>
          <w:lang w:val="en-US"/>
        </w:rPr>
        <w:t xml:space="preserve">clinical trials in subjects with genotype 4 (GT4) chronic hepatitis virus (HCV) </w:t>
      </w:r>
      <w:proofErr w:type="gramStart"/>
      <w:r w:rsidRPr="00CF78E4">
        <w:rPr>
          <w:lang w:val="en-US"/>
        </w:rPr>
        <w:t>infection</w:t>
      </w:r>
      <w:proofErr w:type="gramEnd"/>
      <w:r w:rsidRPr="00CF78E4">
        <w:rPr>
          <w:lang w:val="en-US"/>
        </w:rPr>
        <w:t>.</w:t>
      </w:r>
      <w:r w:rsidR="000A4AD1">
        <w:rPr>
          <w:lang w:val="en-US"/>
        </w:rPr>
        <w:t xml:space="preserve"> </w:t>
      </w:r>
      <w:r w:rsidRPr="00CF78E4">
        <w:rPr>
          <w:lang w:val="en-US"/>
        </w:rPr>
        <w:t xml:space="preserve"> In </w:t>
      </w:r>
      <w:r w:rsidR="00390B3A">
        <w:rPr>
          <w:lang w:val="en-US"/>
        </w:rPr>
        <w:t>each</w:t>
      </w:r>
      <w:r w:rsidR="00390B3A" w:rsidRPr="00CF78E4">
        <w:rPr>
          <w:lang w:val="en-US"/>
        </w:rPr>
        <w:t xml:space="preserve"> </w:t>
      </w:r>
      <w:r w:rsidRPr="00CF78E4">
        <w:rPr>
          <w:lang w:val="en-US"/>
        </w:rPr>
        <w:t xml:space="preserve">trial, </w:t>
      </w:r>
      <w:proofErr w:type="spellStart"/>
      <w:r w:rsidR="000A4AD1" w:rsidRPr="000A4AD1">
        <w:rPr>
          <w:lang w:val="en-US"/>
        </w:rPr>
        <w:t>paritaprevir</w:t>
      </w:r>
      <w:proofErr w:type="spellEnd"/>
      <w:r w:rsidR="000A4AD1" w:rsidRPr="000A4AD1">
        <w:rPr>
          <w:lang w:val="en-US"/>
        </w:rPr>
        <w:t xml:space="preserve">, ritonavir and </w:t>
      </w:r>
      <w:proofErr w:type="spellStart"/>
      <w:r w:rsidR="000A4AD1" w:rsidRPr="000A4AD1">
        <w:rPr>
          <w:lang w:val="en-US"/>
        </w:rPr>
        <w:t>ombitasvir</w:t>
      </w:r>
      <w:proofErr w:type="spellEnd"/>
      <w:r w:rsidR="000A4AD1" w:rsidRPr="000A4AD1">
        <w:rPr>
          <w:lang w:val="en-US"/>
        </w:rPr>
        <w:t xml:space="preserve"> </w:t>
      </w:r>
      <w:r w:rsidR="000A4AD1">
        <w:rPr>
          <w:lang w:val="en-US"/>
        </w:rPr>
        <w:t>150/100/</w:t>
      </w:r>
      <w:r w:rsidRPr="00CF78E4">
        <w:rPr>
          <w:lang w:val="en-US"/>
        </w:rPr>
        <w:t>25</w:t>
      </w:r>
      <w:r w:rsidR="0084261A">
        <w:rPr>
          <w:lang w:val="en-US"/>
        </w:rPr>
        <w:t xml:space="preserve"> </w:t>
      </w:r>
      <w:r w:rsidRPr="00CF78E4">
        <w:rPr>
          <w:lang w:val="en-US"/>
        </w:rPr>
        <w:t xml:space="preserve">mg once daily was administered with food and weight based ribavirin for 12 weeks.  The ribavirin dosage was 1000 mg per day for subjects weighing less than 75 kg or 1200 mg per day for subjects weighing greater than or equal to 75 kg. </w:t>
      </w:r>
      <w:r w:rsidR="00275688">
        <w:rPr>
          <w:lang w:val="en-US"/>
        </w:rPr>
        <w:t xml:space="preserve"> </w:t>
      </w:r>
      <w:r w:rsidRPr="00CF78E4">
        <w:rPr>
          <w:lang w:val="en-US"/>
        </w:rPr>
        <w:t xml:space="preserve">The primary endpoint in </w:t>
      </w:r>
      <w:r w:rsidR="00A77B18">
        <w:rPr>
          <w:lang w:val="en-US"/>
        </w:rPr>
        <w:t>each</w:t>
      </w:r>
      <w:r w:rsidR="00A77B18" w:rsidRPr="00CF78E4">
        <w:rPr>
          <w:lang w:val="en-US"/>
        </w:rPr>
        <w:t xml:space="preserve"> </w:t>
      </w:r>
      <w:r w:rsidRPr="00CF78E4">
        <w:rPr>
          <w:lang w:val="en-US"/>
        </w:rPr>
        <w:t xml:space="preserve">trial was sustained </w:t>
      </w:r>
      <w:proofErr w:type="spellStart"/>
      <w:r w:rsidRPr="00CF78E4">
        <w:rPr>
          <w:lang w:val="en-US"/>
        </w:rPr>
        <w:t>virologic</w:t>
      </w:r>
      <w:proofErr w:type="spellEnd"/>
      <w:r w:rsidRPr="00CF78E4">
        <w:rPr>
          <w:lang w:val="en-US"/>
        </w:rPr>
        <w:t xml:space="preserve"> response defined as HCV RNA below the lower limit of quantification (&lt;LLOQ) 12 weeks after the end of treatment (SVR12) using the COBAS </w:t>
      </w:r>
      <w:proofErr w:type="spellStart"/>
      <w:r w:rsidRPr="00CF78E4">
        <w:rPr>
          <w:lang w:val="en-US"/>
        </w:rPr>
        <w:t>TaqMan</w:t>
      </w:r>
      <w:proofErr w:type="spellEnd"/>
      <w:r w:rsidRPr="00CF78E4">
        <w:rPr>
          <w:lang w:val="en-US"/>
        </w:rPr>
        <w:t xml:space="preserve"> HCV test (version 2.0), for use with the High Pure System, which has an LLOQ of 25 IU per mL</w:t>
      </w:r>
      <w:r w:rsidR="00A77B18">
        <w:rPr>
          <w:lang w:val="en-US"/>
        </w:rPr>
        <w:t xml:space="preserve"> (except for AGATE-II, in which the </w:t>
      </w:r>
      <w:r w:rsidR="00A77B18">
        <w:rPr>
          <w:rFonts w:ascii="Calibri" w:hAnsi="Calibri" w:cs="Calibri"/>
          <w:lang w:val="en-US"/>
        </w:rPr>
        <w:t xml:space="preserve">Roche </w:t>
      </w:r>
      <w:proofErr w:type="spellStart"/>
      <w:r w:rsidR="00A77B18">
        <w:rPr>
          <w:rFonts w:ascii="Calibri" w:hAnsi="Calibri" w:cs="Calibri"/>
          <w:lang w:val="en-US"/>
        </w:rPr>
        <w:t>AmpliPrep</w:t>
      </w:r>
      <w:proofErr w:type="spellEnd"/>
      <w:r w:rsidR="00A77B18">
        <w:rPr>
          <w:rFonts w:ascii="Calibri" w:hAnsi="Calibri" w:cs="Calibri"/>
          <w:lang w:val="en-US"/>
        </w:rPr>
        <w:t xml:space="preserve">/COBAS </w:t>
      </w:r>
      <w:proofErr w:type="spellStart"/>
      <w:r w:rsidR="00A77B18">
        <w:rPr>
          <w:rFonts w:ascii="Calibri" w:hAnsi="Calibri" w:cs="Calibri"/>
          <w:lang w:val="en-US"/>
        </w:rPr>
        <w:t>TaqMan</w:t>
      </w:r>
      <w:proofErr w:type="spellEnd"/>
      <w:r w:rsidR="00A77B18">
        <w:rPr>
          <w:rFonts w:ascii="Calibri" w:hAnsi="Calibri" w:cs="Calibri"/>
          <w:lang w:val="en-US"/>
        </w:rPr>
        <w:t xml:space="preserve"> </w:t>
      </w:r>
      <w:r w:rsidR="00A77B18">
        <w:rPr>
          <w:rFonts w:ascii="Calibri" w:hAnsi="Calibri" w:cs="Calibri"/>
          <w:lang w:val="en-US"/>
        </w:rPr>
        <w:lastRenderedPageBreak/>
        <w:t>HCV Test version 2∙0 with an LLOQ of 15 IU/mL</w:t>
      </w:r>
      <w:r w:rsidR="00A77B18">
        <w:rPr>
          <w:lang w:val="en-US"/>
        </w:rPr>
        <w:t xml:space="preserve"> was used </w:t>
      </w:r>
      <w:r w:rsidR="00A77B18">
        <w:rPr>
          <w:rFonts w:ascii="Calibri" w:hAnsi="Calibri" w:cs="Calibri"/>
          <w:lang w:val="en-US"/>
        </w:rPr>
        <w:t>at a designated laboratory in Egypt</w:t>
      </w:r>
      <w:r w:rsidR="00A77B18">
        <w:rPr>
          <w:lang w:val="en-US"/>
        </w:rPr>
        <w:t>)</w:t>
      </w:r>
      <w:r w:rsidRPr="00CF78E4">
        <w:rPr>
          <w:lang w:val="en-US"/>
        </w:rPr>
        <w:t xml:space="preserve">. </w:t>
      </w:r>
      <w:r w:rsidR="00275688">
        <w:rPr>
          <w:lang w:val="en-US"/>
        </w:rPr>
        <w:t xml:space="preserve"> </w:t>
      </w:r>
      <w:r w:rsidRPr="00CF78E4">
        <w:rPr>
          <w:lang w:val="en-US"/>
        </w:rPr>
        <w:t>Previous exposure to HCV direct-acting antivirals was prohibited.</w:t>
      </w:r>
    </w:p>
    <w:p w:rsidR="004F2E4F" w:rsidRDefault="004F2E4F" w:rsidP="005A2122">
      <w:pPr>
        <w:pStyle w:val="ListParagraph"/>
        <w:ind w:left="0"/>
        <w:jc w:val="both"/>
      </w:pPr>
    </w:p>
    <w:p w:rsidR="005E4B61" w:rsidRDefault="005E4B61" w:rsidP="005A2122">
      <w:pPr>
        <w:pStyle w:val="ListParagraph"/>
        <w:ind w:left="0"/>
        <w:jc w:val="both"/>
      </w:pPr>
      <w:r w:rsidRPr="00DE6DDE">
        <w:rPr>
          <w:i/>
          <w:u w:val="single"/>
        </w:rPr>
        <w:t>PEARL-I – Genotype 4, Treatment-Naïve or Treatment-Experienced Subjects without Cirrhosis</w:t>
      </w:r>
    </w:p>
    <w:p w:rsidR="004F2E4F" w:rsidRDefault="004F2E4F" w:rsidP="005A2122">
      <w:pPr>
        <w:pStyle w:val="ListParagraph"/>
        <w:ind w:left="0"/>
        <w:jc w:val="both"/>
        <w:rPr>
          <w:rFonts w:cstheme="minorHAnsi"/>
          <w:lang w:val="en-US"/>
        </w:rPr>
      </w:pPr>
    </w:p>
    <w:p w:rsidR="00085F33" w:rsidRPr="00A47F4F" w:rsidRDefault="0011309F" w:rsidP="005A2122">
      <w:pPr>
        <w:pStyle w:val="ListParagraph"/>
        <w:ind w:left="0"/>
        <w:jc w:val="both"/>
        <w:rPr>
          <w:rFonts w:cstheme="minorHAnsi"/>
          <w:lang w:val="en-US"/>
        </w:rPr>
      </w:pPr>
      <w:r w:rsidRPr="00A47F4F">
        <w:rPr>
          <w:rFonts w:cstheme="minorHAnsi"/>
          <w:lang w:val="en-US"/>
        </w:rPr>
        <w:t xml:space="preserve">PEARL-I was a </w:t>
      </w:r>
      <w:proofErr w:type="spellStart"/>
      <w:r w:rsidR="00E97DF9" w:rsidRPr="00A47F4F">
        <w:rPr>
          <w:rFonts w:cstheme="minorHAnsi"/>
          <w:lang w:val="en-US"/>
        </w:rPr>
        <w:t>randomi</w:t>
      </w:r>
      <w:r w:rsidR="00E97DF9">
        <w:rPr>
          <w:rFonts w:cstheme="minorHAnsi"/>
          <w:lang w:val="en-US"/>
        </w:rPr>
        <w:t>s</w:t>
      </w:r>
      <w:r w:rsidR="00E97DF9" w:rsidRPr="00A47F4F">
        <w:rPr>
          <w:rFonts w:cstheme="minorHAnsi"/>
          <w:lang w:val="en-US"/>
        </w:rPr>
        <w:t>ed</w:t>
      </w:r>
      <w:proofErr w:type="spellEnd"/>
      <w:r w:rsidRPr="00A47F4F">
        <w:rPr>
          <w:rFonts w:cstheme="minorHAnsi"/>
          <w:lang w:val="en-US"/>
        </w:rPr>
        <w:t xml:space="preserve">, global, </w:t>
      </w:r>
      <w:proofErr w:type="spellStart"/>
      <w:proofErr w:type="gramStart"/>
      <w:r w:rsidR="00275688" w:rsidRPr="00A47F4F">
        <w:rPr>
          <w:rFonts w:cstheme="minorHAnsi"/>
          <w:lang w:val="en-US"/>
        </w:rPr>
        <w:t>multicent</w:t>
      </w:r>
      <w:r w:rsidR="00275688">
        <w:rPr>
          <w:rFonts w:cstheme="minorHAnsi"/>
          <w:lang w:val="en-US"/>
        </w:rPr>
        <w:t>re</w:t>
      </w:r>
      <w:proofErr w:type="spellEnd"/>
      <w:proofErr w:type="gramEnd"/>
      <w:r w:rsidRPr="00A47F4F">
        <w:rPr>
          <w:rFonts w:cstheme="minorHAnsi"/>
          <w:lang w:val="en-US"/>
        </w:rPr>
        <w:t xml:space="preserve">, open-label trial </w:t>
      </w:r>
      <w:r w:rsidR="005E4B61">
        <w:rPr>
          <w:rFonts w:cstheme="minorHAnsi"/>
          <w:lang w:val="en-US"/>
        </w:rPr>
        <w:t>conducted in</w:t>
      </w:r>
      <w:r w:rsidRPr="00A47F4F">
        <w:rPr>
          <w:rFonts w:cstheme="minorHAnsi"/>
          <w:lang w:val="en-US"/>
        </w:rPr>
        <w:t xml:space="preserve"> 135 adults with </w:t>
      </w:r>
      <w:r w:rsidR="005E4B61">
        <w:rPr>
          <w:rFonts w:cstheme="minorHAnsi"/>
          <w:lang w:val="en-US"/>
        </w:rPr>
        <w:t>genotype 4 chronic hepatitis C virus</w:t>
      </w:r>
      <w:r w:rsidRPr="00A47F4F">
        <w:rPr>
          <w:rFonts w:cstheme="minorHAnsi"/>
          <w:lang w:val="en-US"/>
        </w:rPr>
        <w:t xml:space="preserve"> infection without cirrhosis who were either treatment-naïve or did not achieve </w:t>
      </w:r>
      <w:r w:rsidR="005E4B61">
        <w:rPr>
          <w:rFonts w:cstheme="minorHAnsi"/>
          <w:lang w:val="en-US"/>
        </w:rPr>
        <w:t>SVR</w:t>
      </w:r>
      <w:r w:rsidRPr="00A47F4F">
        <w:rPr>
          <w:rFonts w:cstheme="minorHAnsi"/>
          <w:lang w:val="en-US"/>
        </w:rPr>
        <w:t xml:space="preserve"> with prior treatment with </w:t>
      </w:r>
      <w:proofErr w:type="spellStart"/>
      <w:r w:rsidRPr="00A47F4F">
        <w:rPr>
          <w:rFonts w:cstheme="minorHAnsi"/>
          <w:lang w:val="en-US"/>
        </w:rPr>
        <w:t>pegylated</w:t>
      </w:r>
      <w:proofErr w:type="spellEnd"/>
      <w:r w:rsidRPr="00A47F4F">
        <w:rPr>
          <w:rFonts w:cstheme="minorHAnsi"/>
          <w:lang w:val="en-US"/>
        </w:rPr>
        <w:t xml:space="preserve"> interferon/ribavirin (</w:t>
      </w:r>
      <w:proofErr w:type="spellStart"/>
      <w:r w:rsidRPr="00A47F4F">
        <w:rPr>
          <w:rFonts w:cstheme="minorHAnsi"/>
          <w:lang w:val="en-US"/>
        </w:rPr>
        <w:t>pegIFN</w:t>
      </w:r>
      <w:proofErr w:type="spellEnd"/>
      <w:r w:rsidRPr="00A47F4F">
        <w:rPr>
          <w:rFonts w:cstheme="minorHAnsi"/>
          <w:lang w:val="en-US"/>
        </w:rPr>
        <w:t xml:space="preserve">/RBV). </w:t>
      </w:r>
      <w:r w:rsidR="00275688">
        <w:rPr>
          <w:rFonts w:cstheme="minorHAnsi"/>
          <w:lang w:val="en-US"/>
        </w:rPr>
        <w:t xml:space="preserve"> </w:t>
      </w:r>
      <w:r w:rsidRPr="00A47F4F">
        <w:rPr>
          <w:rFonts w:cstheme="minorHAnsi"/>
          <w:lang w:val="en-US"/>
        </w:rPr>
        <w:t xml:space="preserve">Treatment-naïve subjects were </w:t>
      </w:r>
      <w:proofErr w:type="spellStart"/>
      <w:r w:rsidR="00E97DF9" w:rsidRPr="00A47F4F">
        <w:rPr>
          <w:rFonts w:cstheme="minorHAnsi"/>
          <w:lang w:val="en-US"/>
        </w:rPr>
        <w:t>randomi</w:t>
      </w:r>
      <w:r w:rsidR="00E97DF9">
        <w:rPr>
          <w:rFonts w:cstheme="minorHAnsi"/>
          <w:lang w:val="en-US"/>
        </w:rPr>
        <w:t>s</w:t>
      </w:r>
      <w:r w:rsidR="00E97DF9" w:rsidRPr="00A47F4F">
        <w:rPr>
          <w:rFonts w:cstheme="minorHAnsi"/>
          <w:lang w:val="en-US"/>
        </w:rPr>
        <w:t>ed</w:t>
      </w:r>
      <w:proofErr w:type="spellEnd"/>
      <w:r w:rsidR="00E97DF9" w:rsidRPr="00A47F4F">
        <w:rPr>
          <w:rFonts w:cstheme="minorHAnsi"/>
          <w:lang w:val="en-US"/>
        </w:rPr>
        <w:t xml:space="preserve"> </w:t>
      </w:r>
      <w:r w:rsidRPr="00A47F4F">
        <w:rPr>
          <w:rFonts w:cstheme="minorHAnsi"/>
          <w:lang w:val="en-US"/>
        </w:rPr>
        <w:t xml:space="preserve">in a 1:1 ratio to receive </w:t>
      </w:r>
      <w:proofErr w:type="spellStart"/>
      <w:r w:rsidR="0084261A">
        <w:t>paritaprevir</w:t>
      </w:r>
      <w:proofErr w:type="spellEnd"/>
      <w:r w:rsidR="0084261A">
        <w:t xml:space="preserve">, ritonavir and </w:t>
      </w:r>
      <w:proofErr w:type="spellStart"/>
      <w:r w:rsidR="0084261A">
        <w:t>ombitasvir</w:t>
      </w:r>
      <w:proofErr w:type="spellEnd"/>
      <w:r w:rsidR="0084261A">
        <w:t xml:space="preserve"> 150/100/25 mg </w:t>
      </w:r>
      <w:r w:rsidRPr="00A47F4F">
        <w:rPr>
          <w:rFonts w:cstheme="minorHAnsi"/>
          <w:lang w:val="en-US"/>
        </w:rPr>
        <w:t xml:space="preserve">with food with or without ribavirin for 12 weeks. </w:t>
      </w:r>
      <w:r w:rsidR="000A4AD1">
        <w:rPr>
          <w:rFonts w:cstheme="minorHAnsi"/>
          <w:lang w:val="en-US"/>
        </w:rPr>
        <w:t xml:space="preserve"> </w:t>
      </w:r>
      <w:proofErr w:type="spellStart"/>
      <w:r w:rsidRPr="00A47F4F">
        <w:rPr>
          <w:rFonts w:cstheme="minorHAnsi"/>
          <w:lang w:val="en-US"/>
        </w:rPr>
        <w:t>PegIFN</w:t>
      </w:r>
      <w:proofErr w:type="spellEnd"/>
      <w:r w:rsidRPr="00A47F4F">
        <w:rPr>
          <w:rFonts w:cstheme="minorHAnsi"/>
          <w:lang w:val="en-US"/>
        </w:rPr>
        <w:t xml:space="preserve">/RBV treatment-experienced subjects received </w:t>
      </w:r>
      <w:proofErr w:type="spellStart"/>
      <w:r w:rsidR="0084261A">
        <w:t>paritaprevir</w:t>
      </w:r>
      <w:proofErr w:type="spellEnd"/>
      <w:r w:rsidR="0084261A">
        <w:t xml:space="preserve">, ritonavir and </w:t>
      </w:r>
      <w:proofErr w:type="spellStart"/>
      <w:r w:rsidR="0084261A">
        <w:t>ombitasvir</w:t>
      </w:r>
      <w:proofErr w:type="spellEnd"/>
      <w:r w:rsidR="0084261A">
        <w:t xml:space="preserve"> 150/100/25 mg </w:t>
      </w:r>
      <w:r w:rsidRPr="00A47F4F">
        <w:rPr>
          <w:rFonts w:cstheme="minorHAnsi"/>
          <w:lang w:val="en-US"/>
        </w:rPr>
        <w:t xml:space="preserve">once-daily with food in combination with ribavirin for 12 weeks. </w:t>
      </w:r>
    </w:p>
    <w:p w:rsidR="00085F33" w:rsidRPr="00A47F4F" w:rsidRDefault="00085F33" w:rsidP="005A2122">
      <w:pPr>
        <w:pStyle w:val="ListParagraph"/>
        <w:ind w:left="0"/>
        <w:jc w:val="both"/>
        <w:rPr>
          <w:rFonts w:cstheme="minorHAnsi"/>
          <w:lang w:val="en-US"/>
        </w:rPr>
      </w:pPr>
    </w:p>
    <w:p w:rsidR="00085F33" w:rsidRPr="00A47F4F" w:rsidRDefault="00804D82" w:rsidP="005A2122">
      <w:pPr>
        <w:pStyle w:val="ListParagraph"/>
        <w:ind w:left="0"/>
        <w:jc w:val="both"/>
        <w:rPr>
          <w:rFonts w:cstheme="minorHAnsi"/>
          <w:lang w:val="en-US"/>
        </w:rPr>
      </w:pPr>
      <w:bookmarkStart w:id="31" w:name="p322765291434467987"/>
      <w:bookmarkEnd w:id="31"/>
      <w:r>
        <w:rPr>
          <w:rFonts w:cstheme="minorHAnsi"/>
          <w:lang w:val="en-US"/>
        </w:rPr>
        <w:t>Treated s</w:t>
      </w:r>
      <w:r w:rsidR="0011309F" w:rsidRPr="00A47F4F">
        <w:rPr>
          <w:rFonts w:cstheme="minorHAnsi"/>
          <w:lang w:val="en-US"/>
        </w:rPr>
        <w:t>ubjects</w:t>
      </w:r>
      <w:r>
        <w:rPr>
          <w:rFonts w:cstheme="minorHAnsi"/>
          <w:lang w:val="en-US"/>
        </w:rPr>
        <w:t xml:space="preserve"> (N=135)</w:t>
      </w:r>
      <w:r w:rsidR="0011309F" w:rsidRPr="00A47F4F">
        <w:rPr>
          <w:rFonts w:cstheme="minorHAnsi"/>
          <w:lang w:val="en-US"/>
        </w:rPr>
        <w:t xml:space="preserve"> had a median age of 51 years (range: 19 to 70); 64% were treatment-naïve, 17% were prior </w:t>
      </w:r>
      <w:proofErr w:type="spellStart"/>
      <w:r w:rsidR="0011309F" w:rsidRPr="00A47F4F">
        <w:rPr>
          <w:rFonts w:cstheme="minorHAnsi"/>
          <w:lang w:val="en-US"/>
        </w:rPr>
        <w:t>pegIFN</w:t>
      </w:r>
      <w:proofErr w:type="spellEnd"/>
      <w:r w:rsidR="0011309F" w:rsidRPr="00A47F4F">
        <w:rPr>
          <w:rFonts w:cstheme="minorHAnsi"/>
          <w:lang w:val="en-US"/>
        </w:rPr>
        <w:t xml:space="preserve">/RBV null responders; 7% were prior </w:t>
      </w:r>
      <w:proofErr w:type="spellStart"/>
      <w:r w:rsidR="0011309F" w:rsidRPr="00A47F4F">
        <w:rPr>
          <w:rFonts w:cstheme="minorHAnsi"/>
          <w:lang w:val="en-US"/>
        </w:rPr>
        <w:t>pegIFN</w:t>
      </w:r>
      <w:proofErr w:type="spellEnd"/>
      <w:r w:rsidR="0011309F" w:rsidRPr="00A47F4F">
        <w:rPr>
          <w:rFonts w:cstheme="minorHAnsi"/>
          <w:lang w:val="en-US"/>
        </w:rPr>
        <w:t xml:space="preserve">/RBV partial responders, 13% were prior </w:t>
      </w:r>
      <w:proofErr w:type="spellStart"/>
      <w:r w:rsidR="0011309F" w:rsidRPr="00A47F4F">
        <w:rPr>
          <w:rFonts w:cstheme="minorHAnsi"/>
          <w:lang w:val="en-US"/>
        </w:rPr>
        <w:t>pegIFN</w:t>
      </w:r>
      <w:proofErr w:type="spellEnd"/>
      <w:r w:rsidR="0011309F" w:rsidRPr="00A47F4F">
        <w:rPr>
          <w:rFonts w:cstheme="minorHAnsi"/>
          <w:lang w:val="en-US"/>
        </w:rPr>
        <w:t xml:space="preserve">/RBV </w:t>
      </w:r>
      <w:proofErr w:type="spellStart"/>
      <w:r w:rsidR="0011309F" w:rsidRPr="00A47F4F">
        <w:rPr>
          <w:rFonts w:cstheme="minorHAnsi"/>
          <w:lang w:val="en-US"/>
        </w:rPr>
        <w:t>relapsers</w:t>
      </w:r>
      <w:proofErr w:type="spellEnd"/>
      <w:r w:rsidR="0011309F" w:rsidRPr="00A47F4F">
        <w:rPr>
          <w:rFonts w:cstheme="minorHAnsi"/>
          <w:lang w:val="en-US"/>
        </w:rPr>
        <w:t>; 65% were male; 9% were Black; 14% had a body mass index at least 30 kg/m</w:t>
      </w:r>
      <w:r w:rsidR="0011309F" w:rsidRPr="00A47F4F">
        <w:rPr>
          <w:rFonts w:cstheme="minorHAnsi"/>
          <w:vertAlign w:val="superscript"/>
          <w:lang w:val="en-US"/>
        </w:rPr>
        <w:t>2</w:t>
      </w:r>
      <w:r w:rsidR="0011309F" w:rsidRPr="00A47F4F">
        <w:rPr>
          <w:rFonts w:cstheme="minorHAnsi"/>
          <w:lang w:val="en-US"/>
        </w:rPr>
        <w:t xml:space="preserve">; 70% had baseline HCV RNA levels at least 800,000 IU/mL; 79% had IL28B (rs12979860) non-CC genotype; 7% had bridging fibrosis (F3). </w:t>
      </w:r>
    </w:p>
    <w:p w:rsidR="00085F33" w:rsidRPr="00A47F4F" w:rsidRDefault="00085F33" w:rsidP="005A2122">
      <w:pPr>
        <w:pStyle w:val="ListParagraph"/>
        <w:ind w:left="0"/>
        <w:jc w:val="both"/>
        <w:rPr>
          <w:rFonts w:cstheme="minorHAnsi"/>
          <w:lang w:val="en-US"/>
        </w:rPr>
      </w:pPr>
    </w:p>
    <w:p w:rsidR="00085F33" w:rsidRDefault="0011309F" w:rsidP="003A11C0">
      <w:pPr>
        <w:pStyle w:val="ListParagraph"/>
        <w:ind w:left="0"/>
        <w:jc w:val="both"/>
        <w:rPr>
          <w:rFonts w:cstheme="minorHAnsi"/>
          <w:lang w:val="en-US"/>
        </w:rPr>
      </w:pPr>
      <w:bookmarkStart w:id="32" w:name="p327724291434563754"/>
      <w:bookmarkEnd w:id="32"/>
      <w:r w:rsidRPr="00A47F4F">
        <w:rPr>
          <w:rFonts w:cstheme="minorHAnsi"/>
          <w:lang w:val="en-US"/>
        </w:rPr>
        <w:t xml:space="preserve">Table </w:t>
      </w:r>
      <w:r w:rsidR="00230711">
        <w:rPr>
          <w:rFonts w:cstheme="minorHAnsi"/>
          <w:lang w:val="en-US"/>
        </w:rPr>
        <w:t>2</w:t>
      </w:r>
      <w:r w:rsidR="00230711" w:rsidRPr="00A47F4F">
        <w:rPr>
          <w:rFonts w:cstheme="minorHAnsi"/>
          <w:lang w:val="en-US"/>
        </w:rPr>
        <w:t xml:space="preserve"> </w:t>
      </w:r>
      <w:r w:rsidRPr="00A47F4F">
        <w:rPr>
          <w:rFonts w:cstheme="minorHAnsi"/>
          <w:lang w:val="en-US"/>
        </w:rPr>
        <w:t xml:space="preserve">presents the SVR rates. </w:t>
      </w:r>
    </w:p>
    <w:p w:rsidR="003A11C0" w:rsidRPr="003A11C0" w:rsidRDefault="003A11C0" w:rsidP="003A11C0">
      <w:pPr>
        <w:pStyle w:val="ListParagraph"/>
        <w:ind w:left="0"/>
        <w:jc w:val="both"/>
        <w:rPr>
          <w:rFonts w:cstheme="minorHAnsi"/>
          <w:lang w:val="en-US"/>
        </w:rPr>
      </w:pPr>
    </w:p>
    <w:p w:rsidR="00085F33" w:rsidRPr="00A47F4F" w:rsidRDefault="0011309F">
      <w:pPr>
        <w:pStyle w:val="ListParagraph"/>
        <w:jc w:val="both"/>
        <w:rPr>
          <w:rFonts w:cstheme="minorHAnsi"/>
          <w:b/>
          <w:bCs/>
          <w:lang w:val="en-US"/>
        </w:rPr>
      </w:pPr>
      <w:bookmarkStart w:id="33" w:name="table_7"/>
      <w:bookmarkEnd w:id="33"/>
      <w:proofErr w:type="gramStart"/>
      <w:r w:rsidRPr="00A47F4F">
        <w:rPr>
          <w:rFonts w:cstheme="minorHAnsi"/>
          <w:b/>
          <w:bCs/>
          <w:lang w:val="en-US"/>
        </w:rPr>
        <w:t xml:space="preserve">Table </w:t>
      </w:r>
      <w:r w:rsidR="00230711">
        <w:rPr>
          <w:rFonts w:cstheme="minorHAnsi"/>
          <w:b/>
          <w:bCs/>
          <w:lang w:val="en-US"/>
        </w:rPr>
        <w:t>2</w:t>
      </w:r>
      <w:r w:rsidRPr="00A47F4F">
        <w:rPr>
          <w:rFonts w:cstheme="minorHAnsi"/>
          <w:b/>
          <w:bCs/>
          <w:lang w:val="en-US"/>
        </w:rPr>
        <w:t>.</w:t>
      </w:r>
      <w:proofErr w:type="gramEnd"/>
      <w:r w:rsidRPr="00A47F4F">
        <w:rPr>
          <w:rFonts w:cstheme="minorHAnsi"/>
          <w:b/>
          <w:bCs/>
          <w:lang w:val="en-US"/>
        </w:rPr>
        <w:t xml:space="preserve"> </w:t>
      </w:r>
      <w:r w:rsidR="002F5D98">
        <w:rPr>
          <w:rFonts w:cstheme="minorHAnsi"/>
          <w:b/>
          <w:bCs/>
          <w:lang w:val="en-US"/>
        </w:rPr>
        <w:t>SVR</w:t>
      </w:r>
      <w:r w:rsidRPr="00A47F4F">
        <w:rPr>
          <w:rFonts w:cstheme="minorHAnsi"/>
          <w:b/>
          <w:bCs/>
          <w:lang w:val="en-US"/>
        </w:rPr>
        <w:t xml:space="preserve"> for HCV Genotype 4-Infected Subjects without Cirrhosis</w:t>
      </w:r>
    </w:p>
    <w:tbl>
      <w:tblPr>
        <w:tblW w:w="905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616"/>
        <w:gridCol w:w="2077"/>
        <w:gridCol w:w="2126"/>
        <w:gridCol w:w="2240"/>
      </w:tblGrid>
      <w:tr w:rsidR="00085F33" w:rsidRPr="00A47F4F" w:rsidTr="00521476">
        <w:tc>
          <w:tcPr>
            <w:tcW w:w="2616" w:type="dxa"/>
            <w:vMerge w:val="restart"/>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both"/>
              <w:rPr>
                <w:rFonts w:eastAsia="Times New Roman" w:cstheme="minorHAnsi"/>
              </w:rPr>
            </w:pPr>
            <w:r w:rsidRPr="00A47F4F">
              <w:rPr>
                <w:rFonts w:eastAsia="Times New Roman" w:cstheme="minorHAnsi"/>
                <w:b/>
              </w:rPr>
              <w:t>Treatment outcome</w:t>
            </w:r>
          </w:p>
        </w:tc>
        <w:tc>
          <w:tcPr>
            <w:tcW w:w="4203" w:type="dxa"/>
            <w:gridSpan w:val="2"/>
            <w:tcBorders>
              <w:top w:val="single" w:sz="6" w:space="0" w:color="000000"/>
              <w:left w:val="single" w:sz="6" w:space="0" w:color="000000"/>
              <w:bottom w:val="single" w:sz="6" w:space="0" w:color="000000"/>
              <w:right w:val="single" w:sz="6" w:space="0" w:color="000000"/>
            </w:tcBorders>
            <w:hideMark/>
          </w:tcPr>
          <w:p w:rsidR="00085F33" w:rsidRPr="00A47F4F" w:rsidRDefault="00AE6349" w:rsidP="00AE6349">
            <w:pPr>
              <w:spacing w:after="60" w:line="240" w:lineRule="auto"/>
              <w:jc w:val="center"/>
              <w:rPr>
                <w:rFonts w:eastAsia="Times New Roman" w:cstheme="minorHAnsi"/>
              </w:rPr>
            </w:pPr>
            <w:proofErr w:type="spellStart"/>
            <w:r w:rsidRPr="00A47F4F">
              <w:rPr>
                <w:rFonts w:eastAsia="Times New Roman" w:cstheme="minorHAnsi"/>
                <w:b/>
              </w:rPr>
              <w:t>Paritaprevir</w:t>
            </w:r>
            <w:proofErr w:type="spellEnd"/>
            <w:r w:rsidRPr="00A47F4F">
              <w:rPr>
                <w:rFonts w:eastAsia="Times New Roman" w:cstheme="minorHAnsi"/>
                <w:b/>
              </w:rPr>
              <w:t xml:space="preserve"> + Ritonavir + </w:t>
            </w:r>
            <w:proofErr w:type="spellStart"/>
            <w:r w:rsidR="0011309F" w:rsidRPr="00A47F4F">
              <w:rPr>
                <w:rFonts w:eastAsia="Times New Roman" w:cstheme="minorHAnsi"/>
                <w:b/>
              </w:rPr>
              <w:t>Ombitasvir</w:t>
            </w:r>
            <w:proofErr w:type="spellEnd"/>
            <w:r w:rsidR="0084261A">
              <w:rPr>
                <w:rFonts w:eastAsia="Times New Roman" w:cstheme="minorHAnsi"/>
                <w:b/>
              </w:rPr>
              <w:t>*</w:t>
            </w:r>
            <w:r w:rsidR="0011309F" w:rsidRPr="00A47F4F">
              <w:rPr>
                <w:rFonts w:eastAsia="Times New Roman" w:cstheme="minorHAnsi"/>
              </w:rPr>
              <w:br/>
            </w:r>
            <w:r w:rsidR="0011309F" w:rsidRPr="00A47F4F">
              <w:rPr>
                <w:rFonts w:eastAsia="Times New Roman" w:cstheme="minorHAnsi"/>
                <w:b/>
              </w:rPr>
              <w:t>with RBV</w:t>
            </w:r>
            <w:r w:rsidR="0011309F" w:rsidRPr="00A47F4F">
              <w:rPr>
                <w:rFonts w:eastAsia="Times New Roman" w:cstheme="minorHAnsi"/>
              </w:rPr>
              <w:br/>
            </w:r>
            <w:r w:rsidR="0011309F" w:rsidRPr="00A47F4F">
              <w:rPr>
                <w:rFonts w:eastAsia="Times New Roman" w:cstheme="minorHAnsi"/>
                <w:b/>
              </w:rPr>
              <w:t>for 12 weeks</w:t>
            </w:r>
          </w:p>
        </w:tc>
        <w:tc>
          <w:tcPr>
            <w:tcW w:w="2240" w:type="dxa"/>
            <w:tcBorders>
              <w:top w:val="single" w:sz="6" w:space="0" w:color="000000"/>
              <w:left w:val="single" w:sz="6" w:space="0" w:color="000000"/>
              <w:bottom w:val="single" w:sz="6" w:space="0" w:color="000000"/>
              <w:right w:val="single" w:sz="6" w:space="0" w:color="000000"/>
            </w:tcBorders>
            <w:hideMark/>
          </w:tcPr>
          <w:p w:rsidR="00085F33" w:rsidRPr="00A47F4F" w:rsidRDefault="00AE6349" w:rsidP="00AE6349">
            <w:pPr>
              <w:spacing w:after="60" w:line="240" w:lineRule="auto"/>
              <w:jc w:val="center"/>
              <w:rPr>
                <w:rFonts w:eastAsia="Times New Roman" w:cstheme="minorHAnsi"/>
              </w:rPr>
            </w:pPr>
            <w:proofErr w:type="spellStart"/>
            <w:r w:rsidRPr="00A47F4F">
              <w:rPr>
                <w:rFonts w:eastAsia="Times New Roman" w:cstheme="minorHAnsi"/>
                <w:b/>
              </w:rPr>
              <w:t>Paritaprevir</w:t>
            </w:r>
            <w:proofErr w:type="spellEnd"/>
            <w:r w:rsidRPr="00A47F4F">
              <w:rPr>
                <w:rFonts w:eastAsia="Times New Roman" w:cstheme="minorHAnsi"/>
                <w:b/>
              </w:rPr>
              <w:t xml:space="preserve"> + Ritonavir +</w:t>
            </w:r>
            <w:r>
              <w:rPr>
                <w:rFonts w:eastAsia="Times New Roman" w:cstheme="minorHAnsi"/>
                <w:b/>
              </w:rPr>
              <w:t xml:space="preserve"> </w:t>
            </w:r>
            <w:proofErr w:type="spellStart"/>
            <w:r w:rsidR="0011309F" w:rsidRPr="00A47F4F">
              <w:rPr>
                <w:rFonts w:eastAsia="Times New Roman" w:cstheme="minorHAnsi"/>
                <w:b/>
              </w:rPr>
              <w:t>Ombitasvir</w:t>
            </w:r>
            <w:proofErr w:type="spellEnd"/>
            <w:r w:rsidR="00521476">
              <w:rPr>
                <w:rFonts w:eastAsia="Times New Roman" w:cstheme="minorHAnsi"/>
                <w:b/>
              </w:rPr>
              <w:t>*</w:t>
            </w:r>
            <w:r w:rsidR="0011309F" w:rsidRPr="00A47F4F">
              <w:rPr>
                <w:rFonts w:eastAsia="Times New Roman" w:cstheme="minorHAnsi"/>
                <w:b/>
              </w:rPr>
              <w:t xml:space="preserve">  </w:t>
            </w:r>
            <w:r w:rsidR="0011309F" w:rsidRPr="00A47F4F">
              <w:rPr>
                <w:rFonts w:eastAsia="Times New Roman" w:cstheme="minorHAnsi"/>
              </w:rPr>
              <w:br/>
            </w:r>
            <w:r w:rsidR="0011309F" w:rsidRPr="00A47F4F">
              <w:rPr>
                <w:rFonts w:eastAsia="Times New Roman" w:cstheme="minorHAnsi"/>
                <w:b/>
              </w:rPr>
              <w:t>for 12 weeks</w:t>
            </w:r>
          </w:p>
        </w:tc>
      </w:tr>
      <w:tr w:rsidR="00085F33" w:rsidRPr="00A47F4F" w:rsidTr="00521476">
        <w:tc>
          <w:tcPr>
            <w:tcW w:w="2616" w:type="dxa"/>
            <w:vMerge/>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085F33">
            <w:pPr>
              <w:spacing w:after="60" w:line="240" w:lineRule="auto"/>
              <w:jc w:val="both"/>
              <w:rPr>
                <w:rFonts w:eastAsia="Times New Roman" w:cstheme="minorHAnsi"/>
              </w:rPr>
            </w:pPr>
          </w:p>
        </w:tc>
        <w:tc>
          <w:tcPr>
            <w:tcW w:w="2077" w:type="dxa"/>
            <w:tcBorders>
              <w:top w:val="single" w:sz="6" w:space="0" w:color="000000"/>
              <w:left w:val="single" w:sz="6" w:space="0" w:color="000000"/>
              <w:bottom w:val="single" w:sz="6" w:space="0" w:color="000000"/>
              <w:right w:val="single" w:sz="6" w:space="0" w:color="000000"/>
            </w:tcBorders>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b/>
              </w:rPr>
              <w:t>Treatment-naïve</w:t>
            </w:r>
          </w:p>
        </w:tc>
        <w:tc>
          <w:tcPr>
            <w:tcW w:w="2126" w:type="dxa"/>
            <w:tcBorders>
              <w:top w:val="single" w:sz="6" w:space="0" w:color="000000"/>
              <w:left w:val="single" w:sz="6" w:space="0" w:color="000000"/>
              <w:bottom w:val="single" w:sz="6" w:space="0" w:color="000000"/>
              <w:right w:val="single" w:sz="6" w:space="0" w:color="000000"/>
            </w:tcBorders>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b/>
              </w:rPr>
              <w:t>Treatment-experienced</w:t>
            </w:r>
          </w:p>
        </w:tc>
        <w:tc>
          <w:tcPr>
            <w:tcW w:w="2240" w:type="dxa"/>
            <w:tcBorders>
              <w:top w:val="single" w:sz="6" w:space="0" w:color="000000"/>
              <w:left w:val="single" w:sz="6" w:space="0" w:color="000000"/>
              <w:bottom w:val="single" w:sz="6" w:space="0" w:color="000000"/>
              <w:right w:val="single" w:sz="6" w:space="0" w:color="000000"/>
            </w:tcBorders>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b/>
              </w:rPr>
              <w:t>Treatment-naïve</w:t>
            </w:r>
          </w:p>
        </w:tc>
      </w:tr>
      <w:tr w:rsidR="00085F33" w:rsidRPr="00A47F4F" w:rsidTr="00521476">
        <w:tc>
          <w:tcPr>
            <w:tcW w:w="2616" w:type="dxa"/>
            <w:vMerge/>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085F33">
            <w:pPr>
              <w:spacing w:after="60" w:line="240" w:lineRule="auto"/>
              <w:jc w:val="both"/>
              <w:rPr>
                <w:rFonts w:eastAsia="Times New Roman" w:cstheme="minorHAnsi"/>
              </w:rPr>
            </w:pPr>
          </w:p>
        </w:tc>
        <w:tc>
          <w:tcPr>
            <w:tcW w:w="2077" w:type="dxa"/>
            <w:tcBorders>
              <w:top w:val="single" w:sz="6" w:space="0" w:color="000000"/>
              <w:left w:val="single" w:sz="6" w:space="0" w:color="000000"/>
              <w:bottom w:val="single" w:sz="6" w:space="0" w:color="000000"/>
              <w:right w:val="single" w:sz="6" w:space="0" w:color="000000"/>
            </w:tcBorders>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rPr>
              <w:t>% (n/N)</w:t>
            </w:r>
          </w:p>
        </w:tc>
        <w:tc>
          <w:tcPr>
            <w:tcW w:w="2126" w:type="dxa"/>
            <w:tcBorders>
              <w:top w:val="single" w:sz="6" w:space="0" w:color="000000"/>
              <w:left w:val="single" w:sz="6" w:space="0" w:color="000000"/>
              <w:bottom w:val="single" w:sz="6" w:space="0" w:color="000000"/>
              <w:right w:val="single" w:sz="6" w:space="0" w:color="000000"/>
            </w:tcBorders>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rPr>
              <w:t>% (n/N)</w:t>
            </w:r>
          </w:p>
        </w:tc>
        <w:tc>
          <w:tcPr>
            <w:tcW w:w="2240" w:type="dxa"/>
            <w:tcBorders>
              <w:top w:val="single" w:sz="6" w:space="0" w:color="000000"/>
              <w:left w:val="single" w:sz="6" w:space="0" w:color="000000"/>
              <w:bottom w:val="single" w:sz="6" w:space="0" w:color="000000"/>
              <w:right w:val="single" w:sz="6" w:space="0" w:color="000000"/>
            </w:tcBorders>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rPr>
              <w:t>% (n/N)</w:t>
            </w:r>
          </w:p>
        </w:tc>
      </w:tr>
      <w:tr w:rsidR="00085F33" w:rsidRPr="00A47F4F" w:rsidTr="00521476">
        <w:tc>
          <w:tcPr>
            <w:tcW w:w="2616" w:type="dxa"/>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both"/>
              <w:rPr>
                <w:rFonts w:eastAsia="Times New Roman" w:cstheme="minorHAnsi"/>
              </w:rPr>
            </w:pPr>
            <w:r w:rsidRPr="00A47F4F">
              <w:rPr>
                <w:rFonts w:eastAsia="Times New Roman" w:cstheme="minorHAnsi"/>
                <w:b/>
              </w:rPr>
              <w:t xml:space="preserve">Overall SVR12 </w:t>
            </w:r>
          </w:p>
        </w:tc>
        <w:tc>
          <w:tcPr>
            <w:tcW w:w="2077" w:type="dxa"/>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rPr>
              <w:t>100 % (42/42)</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rPr>
              <w:t>100% (49/49)</w:t>
            </w:r>
          </w:p>
        </w:tc>
        <w:tc>
          <w:tcPr>
            <w:tcW w:w="2240" w:type="dxa"/>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rPr>
              <w:t>91% (40/44)</w:t>
            </w:r>
          </w:p>
        </w:tc>
      </w:tr>
      <w:tr w:rsidR="00521476" w:rsidRPr="00A47F4F" w:rsidTr="00521476">
        <w:trPr>
          <w:trHeight w:val="538"/>
        </w:trPr>
        <w:tc>
          <w:tcPr>
            <w:tcW w:w="9059" w:type="dxa"/>
            <w:gridSpan w:val="4"/>
            <w:tcBorders>
              <w:top w:val="single" w:sz="6" w:space="0" w:color="000000"/>
              <w:left w:val="single" w:sz="6" w:space="0" w:color="000000"/>
              <w:bottom w:val="single" w:sz="6" w:space="0" w:color="000000"/>
              <w:right w:val="single" w:sz="6" w:space="0" w:color="000000"/>
            </w:tcBorders>
            <w:vAlign w:val="center"/>
            <w:hideMark/>
          </w:tcPr>
          <w:p w:rsidR="00521476" w:rsidRPr="00A47F4F" w:rsidRDefault="00521476">
            <w:pPr>
              <w:spacing w:after="60" w:line="240" w:lineRule="auto"/>
              <w:jc w:val="both"/>
              <w:rPr>
                <w:rFonts w:eastAsia="Times New Roman" w:cstheme="minorHAnsi"/>
              </w:rPr>
            </w:pPr>
            <w:r w:rsidRPr="00A47F4F">
              <w:rPr>
                <w:rFonts w:eastAsia="Times New Roman" w:cstheme="minorHAnsi"/>
                <w:b/>
              </w:rPr>
              <w:t>Outcome for subjects without SVR12</w:t>
            </w:r>
          </w:p>
        </w:tc>
      </w:tr>
      <w:tr w:rsidR="00085F33" w:rsidRPr="00A47F4F" w:rsidTr="00521476">
        <w:tc>
          <w:tcPr>
            <w:tcW w:w="2616" w:type="dxa"/>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both"/>
              <w:rPr>
                <w:rFonts w:eastAsia="Times New Roman" w:cstheme="minorHAnsi"/>
              </w:rPr>
            </w:pPr>
            <w:r w:rsidRPr="00A47F4F">
              <w:rPr>
                <w:rFonts w:eastAsia="Times New Roman" w:cstheme="minorHAnsi"/>
              </w:rPr>
              <w:t xml:space="preserve">On-treatment </w:t>
            </w:r>
            <w:proofErr w:type="spellStart"/>
            <w:r w:rsidRPr="00A47F4F">
              <w:rPr>
                <w:rFonts w:eastAsia="Times New Roman" w:cstheme="minorHAnsi"/>
              </w:rPr>
              <w:t>VF</w:t>
            </w:r>
            <w:r w:rsidRPr="00A47F4F">
              <w:rPr>
                <w:rFonts w:eastAsia="Times New Roman" w:cstheme="minorHAnsi"/>
                <w:vertAlign w:val="superscript"/>
              </w:rPr>
              <w:t>a</w:t>
            </w:r>
            <w:proofErr w:type="spellEnd"/>
          </w:p>
        </w:tc>
        <w:tc>
          <w:tcPr>
            <w:tcW w:w="2077" w:type="dxa"/>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rPr>
              <w:t xml:space="preserve">0% (0/42) </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rPr>
              <w:t>0% (0/49)</w:t>
            </w:r>
          </w:p>
        </w:tc>
        <w:tc>
          <w:tcPr>
            <w:tcW w:w="2240" w:type="dxa"/>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rPr>
              <w:t xml:space="preserve">2% (1/44) </w:t>
            </w:r>
          </w:p>
        </w:tc>
      </w:tr>
      <w:tr w:rsidR="00085F33" w:rsidRPr="00A47F4F" w:rsidTr="00521476">
        <w:tc>
          <w:tcPr>
            <w:tcW w:w="2616" w:type="dxa"/>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both"/>
              <w:rPr>
                <w:rFonts w:eastAsia="Times New Roman" w:cstheme="minorHAnsi"/>
              </w:rPr>
            </w:pPr>
            <w:proofErr w:type="spellStart"/>
            <w:r w:rsidRPr="00A47F4F">
              <w:rPr>
                <w:rFonts w:eastAsia="Times New Roman" w:cstheme="minorHAnsi"/>
              </w:rPr>
              <w:t>Relapse</w:t>
            </w:r>
            <w:r w:rsidRPr="00A47F4F">
              <w:rPr>
                <w:rFonts w:eastAsia="Times New Roman" w:cstheme="minorHAnsi"/>
                <w:vertAlign w:val="superscript"/>
              </w:rPr>
              <w:t>b</w:t>
            </w:r>
            <w:proofErr w:type="spellEnd"/>
          </w:p>
        </w:tc>
        <w:tc>
          <w:tcPr>
            <w:tcW w:w="2077" w:type="dxa"/>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rPr>
              <w:t>0% (0/42)</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rPr>
              <w:t>0% (0/49)</w:t>
            </w:r>
          </w:p>
        </w:tc>
        <w:tc>
          <w:tcPr>
            <w:tcW w:w="2240" w:type="dxa"/>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rPr>
              <w:t>5% (2/42)</w:t>
            </w:r>
          </w:p>
        </w:tc>
      </w:tr>
      <w:tr w:rsidR="00085F33" w:rsidRPr="00A47F4F" w:rsidTr="00521476">
        <w:tc>
          <w:tcPr>
            <w:tcW w:w="2616" w:type="dxa"/>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both"/>
              <w:rPr>
                <w:rFonts w:eastAsia="Times New Roman" w:cstheme="minorHAnsi"/>
              </w:rPr>
            </w:pPr>
            <w:proofErr w:type="spellStart"/>
            <w:r w:rsidRPr="00A47F4F">
              <w:rPr>
                <w:rFonts w:eastAsia="Times New Roman" w:cstheme="minorHAnsi"/>
              </w:rPr>
              <w:t>Other</w:t>
            </w:r>
            <w:r w:rsidRPr="00A47F4F">
              <w:rPr>
                <w:rFonts w:eastAsia="Times New Roman" w:cstheme="minorHAnsi"/>
                <w:vertAlign w:val="superscript"/>
              </w:rPr>
              <w:t>c</w:t>
            </w:r>
            <w:proofErr w:type="spellEnd"/>
          </w:p>
        </w:tc>
        <w:tc>
          <w:tcPr>
            <w:tcW w:w="2077" w:type="dxa"/>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rPr>
              <w:t>0% (0/42)</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rPr>
              <w:t>0% (0/49)</w:t>
            </w:r>
          </w:p>
        </w:tc>
        <w:tc>
          <w:tcPr>
            <w:tcW w:w="2240" w:type="dxa"/>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rPr>
              <w:t>2% (1/44)</w:t>
            </w:r>
          </w:p>
        </w:tc>
      </w:tr>
      <w:tr w:rsidR="007F7625" w:rsidRPr="00A47F4F" w:rsidTr="00521476">
        <w:tc>
          <w:tcPr>
            <w:tcW w:w="2616" w:type="dxa"/>
            <w:tcBorders>
              <w:top w:val="single" w:sz="6" w:space="0" w:color="000000"/>
              <w:left w:val="single" w:sz="6" w:space="0" w:color="000000"/>
              <w:bottom w:val="single" w:sz="6" w:space="0" w:color="000000"/>
              <w:right w:val="single" w:sz="6" w:space="0" w:color="000000"/>
            </w:tcBorders>
            <w:vAlign w:val="center"/>
          </w:tcPr>
          <w:p w:rsidR="007F7625" w:rsidRPr="00A47F4F" w:rsidRDefault="007F7625">
            <w:pPr>
              <w:spacing w:after="60" w:line="240" w:lineRule="auto"/>
              <w:jc w:val="both"/>
              <w:rPr>
                <w:rFonts w:eastAsia="Times New Roman" w:cstheme="minorHAnsi"/>
              </w:rPr>
            </w:pPr>
            <w:r w:rsidRPr="00BB543D">
              <w:rPr>
                <w:rFonts w:eastAsia="Times New Roman" w:cstheme="minorHAnsi"/>
                <w:b/>
              </w:rPr>
              <w:t>Overall SVR24</w:t>
            </w:r>
          </w:p>
        </w:tc>
        <w:tc>
          <w:tcPr>
            <w:tcW w:w="2077" w:type="dxa"/>
            <w:tcBorders>
              <w:top w:val="single" w:sz="6" w:space="0" w:color="000000"/>
              <w:left w:val="single" w:sz="6" w:space="0" w:color="000000"/>
              <w:bottom w:val="single" w:sz="6" w:space="0" w:color="000000"/>
              <w:right w:val="single" w:sz="6" w:space="0" w:color="000000"/>
            </w:tcBorders>
            <w:vAlign w:val="center"/>
          </w:tcPr>
          <w:p w:rsidR="007F7625" w:rsidRPr="00A47F4F" w:rsidRDefault="007F7625">
            <w:pPr>
              <w:spacing w:after="60" w:line="240" w:lineRule="auto"/>
              <w:jc w:val="center"/>
              <w:rPr>
                <w:rFonts w:eastAsia="Times New Roman" w:cstheme="minorHAnsi"/>
              </w:rPr>
            </w:pPr>
            <w:r w:rsidRPr="00BB543D">
              <w:rPr>
                <w:rFonts w:eastAsia="Times New Roman" w:cstheme="minorHAnsi"/>
              </w:rPr>
              <w:t>100 % (42/42)</w:t>
            </w:r>
          </w:p>
        </w:tc>
        <w:tc>
          <w:tcPr>
            <w:tcW w:w="2126" w:type="dxa"/>
            <w:tcBorders>
              <w:top w:val="single" w:sz="6" w:space="0" w:color="000000"/>
              <w:left w:val="single" w:sz="6" w:space="0" w:color="000000"/>
              <w:bottom w:val="single" w:sz="6" w:space="0" w:color="000000"/>
              <w:right w:val="single" w:sz="6" w:space="0" w:color="000000"/>
            </w:tcBorders>
            <w:vAlign w:val="center"/>
          </w:tcPr>
          <w:p w:rsidR="007F7625" w:rsidRPr="00A47F4F" w:rsidRDefault="007F7625">
            <w:pPr>
              <w:spacing w:after="60" w:line="240" w:lineRule="auto"/>
              <w:jc w:val="center"/>
              <w:rPr>
                <w:rFonts w:eastAsia="Times New Roman" w:cstheme="minorHAnsi"/>
              </w:rPr>
            </w:pPr>
            <w:r w:rsidRPr="00BB543D">
              <w:rPr>
                <w:rFonts w:eastAsia="Times New Roman" w:cstheme="minorHAnsi"/>
              </w:rPr>
              <w:t>100% (49/49)</w:t>
            </w:r>
          </w:p>
        </w:tc>
        <w:tc>
          <w:tcPr>
            <w:tcW w:w="2240" w:type="dxa"/>
            <w:tcBorders>
              <w:top w:val="single" w:sz="6" w:space="0" w:color="000000"/>
              <w:left w:val="single" w:sz="6" w:space="0" w:color="000000"/>
              <w:bottom w:val="single" w:sz="6" w:space="0" w:color="000000"/>
              <w:right w:val="single" w:sz="6" w:space="0" w:color="000000"/>
            </w:tcBorders>
            <w:vAlign w:val="center"/>
          </w:tcPr>
          <w:p w:rsidR="007F7625" w:rsidRPr="00A47F4F" w:rsidRDefault="007F7625">
            <w:pPr>
              <w:spacing w:after="60" w:line="240" w:lineRule="auto"/>
              <w:jc w:val="center"/>
              <w:rPr>
                <w:rFonts w:eastAsia="Times New Roman" w:cstheme="minorHAnsi"/>
              </w:rPr>
            </w:pPr>
            <w:r w:rsidRPr="00552F34">
              <w:t>86% (38/44)</w:t>
            </w:r>
            <w:r w:rsidRPr="00552F34">
              <w:rPr>
                <w:vertAlign w:val="superscript"/>
              </w:rPr>
              <w:t>d</w:t>
            </w:r>
          </w:p>
        </w:tc>
      </w:tr>
      <w:tr w:rsidR="00085F33" w:rsidRPr="00A47F4F" w:rsidTr="00521476">
        <w:tc>
          <w:tcPr>
            <w:tcW w:w="9059" w:type="dxa"/>
            <w:gridSpan w:val="4"/>
            <w:tcBorders>
              <w:top w:val="single" w:sz="6" w:space="0" w:color="000000"/>
              <w:left w:val="single" w:sz="6" w:space="0" w:color="000000"/>
              <w:bottom w:val="single" w:sz="6" w:space="0" w:color="000000"/>
              <w:right w:val="single" w:sz="6" w:space="0" w:color="000000"/>
            </w:tcBorders>
            <w:vAlign w:val="center"/>
            <w:hideMark/>
          </w:tcPr>
          <w:p w:rsidR="00521476" w:rsidRDefault="0011309F">
            <w:pPr>
              <w:spacing w:after="60" w:line="240" w:lineRule="auto"/>
              <w:rPr>
                <w:rFonts w:eastAsia="Times New Roman" w:cstheme="minorHAnsi"/>
              </w:rPr>
            </w:pPr>
            <w:r w:rsidRPr="00A47F4F">
              <w:rPr>
                <w:rFonts w:eastAsia="Times New Roman" w:cstheme="minorHAnsi"/>
              </w:rPr>
              <w:t xml:space="preserve">VF = </w:t>
            </w:r>
            <w:proofErr w:type="spellStart"/>
            <w:r w:rsidRPr="00A47F4F">
              <w:rPr>
                <w:rFonts w:eastAsia="Times New Roman" w:cstheme="minorHAnsi"/>
              </w:rPr>
              <w:t>virologic</w:t>
            </w:r>
            <w:proofErr w:type="spellEnd"/>
            <w:r w:rsidRPr="00A47F4F">
              <w:rPr>
                <w:rFonts w:eastAsia="Times New Roman" w:cstheme="minorHAnsi"/>
              </w:rPr>
              <w:t xml:space="preserve"> failure</w:t>
            </w:r>
          </w:p>
          <w:p w:rsidR="007F7625" w:rsidRPr="00521476" w:rsidRDefault="00521476">
            <w:pPr>
              <w:spacing w:after="60" w:line="240" w:lineRule="auto"/>
              <w:rPr>
                <w:lang w:val="en-GB"/>
              </w:rPr>
            </w:pPr>
            <w:r>
              <w:rPr>
                <w:lang w:val="en-GB"/>
              </w:rPr>
              <w:t xml:space="preserve">* Administered as separate </w:t>
            </w:r>
            <w:proofErr w:type="spellStart"/>
            <w:r>
              <w:rPr>
                <w:lang w:val="en-GB"/>
              </w:rPr>
              <w:t>paritaprevir</w:t>
            </w:r>
            <w:proofErr w:type="spellEnd"/>
            <w:r>
              <w:rPr>
                <w:lang w:val="en-GB"/>
              </w:rPr>
              <w:t xml:space="preserve"> tablets, ritonavir capsules and </w:t>
            </w:r>
            <w:proofErr w:type="spellStart"/>
            <w:r>
              <w:rPr>
                <w:lang w:val="en-GB"/>
              </w:rPr>
              <w:t>o</w:t>
            </w:r>
            <w:r>
              <w:rPr>
                <w:rFonts w:eastAsia="TimesNewRoman"/>
                <w:lang w:val="en-GB"/>
              </w:rPr>
              <w:t>mbitasvir</w:t>
            </w:r>
            <w:proofErr w:type="spellEnd"/>
            <w:r>
              <w:rPr>
                <w:rFonts w:eastAsia="TimesNewRoman"/>
                <w:lang w:val="en-GB"/>
              </w:rPr>
              <w:t xml:space="preserve"> tablets.</w:t>
            </w:r>
            <w:r w:rsidR="0011309F" w:rsidRPr="00A47F4F">
              <w:rPr>
                <w:rFonts w:eastAsia="Times New Roman" w:cstheme="minorHAnsi"/>
              </w:rPr>
              <w:t xml:space="preserve"> </w:t>
            </w:r>
            <w:r w:rsidR="0011309F" w:rsidRPr="00A47F4F">
              <w:rPr>
                <w:rFonts w:eastAsia="Times New Roman" w:cstheme="minorHAnsi"/>
              </w:rPr>
              <w:br/>
              <w:t>a. On-treatment VF was defined as confirmed HCV ≥ 25 IU/mL after HCV RNA &lt; 25 IU/mL during treatment, confirmed increase from nadir in HCV RNA &gt; 1 log</w:t>
            </w:r>
            <w:r w:rsidR="0011309F" w:rsidRPr="00A47F4F">
              <w:rPr>
                <w:rFonts w:eastAsia="Times New Roman" w:cstheme="minorHAnsi"/>
                <w:vertAlign w:val="subscript"/>
              </w:rPr>
              <w:t xml:space="preserve">10 </w:t>
            </w:r>
            <w:r w:rsidR="0011309F" w:rsidRPr="00A47F4F">
              <w:rPr>
                <w:rFonts w:eastAsia="Times New Roman" w:cstheme="minorHAnsi"/>
              </w:rPr>
              <w:t xml:space="preserve">IU/mL during treatment, or HCV RNA ≥ 25 IU/mL persistently during treatment with at least 6 weeks of treatment. </w:t>
            </w:r>
            <w:r w:rsidR="0011309F" w:rsidRPr="00A47F4F">
              <w:rPr>
                <w:rFonts w:eastAsia="Times New Roman" w:cstheme="minorHAnsi"/>
              </w:rPr>
              <w:br/>
              <w:t xml:space="preserve">b. Relapse was defined as confirmed HCV RNA ≥ 25 IU/mL post-treatment before or during SVR12 window among subjects with HCV RNA less than 25 IU/mL at last observation during at least 11 weeks of treatment. </w:t>
            </w:r>
            <w:r w:rsidR="0011309F" w:rsidRPr="00A47F4F">
              <w:rPr>
                <w:rFonts w:eastAsia="Times New Roman" w:cstheme="minorHAnsi"/>
              </w:rPr>
              <w:br/>
              <w:t xml:space="preserve">c. Other includes subjects not achieving SVR12 but not experiencing on-treatment VF or relapse (e.g. </w:t>
            </w:r>
            <w:r w:rsidR="0011309F" w:rsidRPr="00A47F4F">
              <w:rPr>
                <w:rFonts w:eastAsia="Times New Roman" w:cstheme="minorHAnsi"/>
              </w:rPr>
              <w:lastRenderedPageBreak/>
              <w:t>lost to follow-up).</w:t>
            </w:r>
          </w:p>
          <w:p w:rsidR="00085F33" w:rsidRPr="00A47F4F" w:rsidRDefault="007F7625">
            <w:pPr>
              <w:spacing w:after="60" w:line="240" w:lineRule="auto"/>
              <w:rPr>
                <w:rFonts w:eastAsia="Times New Roman" w:cstheme="minorHAnsi"/>
              </w:rPr>
            </w:pPr>
            <w:r w:rsidRPr="00BB543D">
              <w:rPr>
                <w:rFonts w:eastAsia="Times New Roman" w:cstheme="minorHAnsi"/>
              </w:rPr>
              <w:t xml:space="preserve">d. </w:t>
            </w:r>
            <w:r w:rsidRPr="00BB543D">
              <w:t>Two subjects who achieved SVR12 failed to achieve SVR24 due to reasons other than on-treatment VF or relapse.</w:t>
            </w:r>
            <w:r w:rsidRPr="00BB543D">
              <w:rPr>
                <w:rFonts w:eastAsia="Times New Roman" w:cstheme="minorHAnsi"/>
              </w:rPr>
              <w:t xml:space="preserve"> </w:t>
            </w:r>
            <w:r w:rsidR="0011309F" w:rsidRPr="00A47F4F">
              <w:rPr>
                <w:rFonts w:eastAsia="Times New Roman" w:cstheme="minorHAnsi"/>
              </w:rPr>
              <w:t xml:space="preserve"> </w:t>
            </w:r>
          </w:p>
        </w:tc>
      </w:tr>
    </w:tbl>
    <w:p w:rsidR="00085F33" w:rsidRPr="00A47F4F" w:rsidRDefault="00085F33" w:rsidP="00DF690A">
      <w:pPr>
        <w:pStyle w:val="ListParagraph"/>
        <w:ind w:left="0"/>
        <w:rPr>
          <w:rFonts w:cstheme="minorHAnsi"/>
          <w:lang w:val="en-US"/>
        </w:rPr>
      </w:pPr>
    </w:p>
    <w:p w:rsidR="00C91B73" w:rsidRDefault="00C91B73">
      <w:pPr>
        <w:pStyle w:val="ListParagraph"/>
        <w:spacing w:line="240" w:lineRule="auto"/>
        <w:ind w:left="0"/>
        <w:jc w:val="both"/>
        <w:rPr>
          <w:i/>
          <w:u w:val="single"/>
        </w:rPr>
      </w:pPr>
      <w:bookmarkStart w:id="34" w:name="p225533291436542691"/>
      <w:bookmarkEnd w:id="34"/>
      <w:r w:rsidRPr="00DE6DDE">
        <w:rPr>
          <w:i/>
          <w:u w:val="single"/>
        </w:rPr>
        <w:t>AGATE-I – Genotype 4, Treatment-Naïve or Treatment-Experienced Subjects with Compensated Cirrhosis</w:t>
      </w:r>
    </w:p>
    <w:p w:rsidR="00C91B73" w:rsidRPr="00D80FA0" w:rsidRDefault="00C91B73" w:rsidP="00C91B73">
      <w:r>
        <w:t>AGATE-I was a randomi</w:t>
      </w:r>
      <w:r w:rsidR="00E97DF9">
        <w:t>s</w:t>
      </w:r>
      <w:r w:rsidR="00CE1DCF">
        <w:t>ed, global multicentre</w:t>
      </w:r>
      <w:r>
        <w:t>, open-label trial cond</w:t>
      </w:r>
      <w:r w:rsidR="00BF7C61">
        <w:t xml:space="preserve">ucted in subjects with genotype </w:t>
      </w:r>
      <w:proofErr w:type="gramStart"/>
      <w:r>
        <w:t xml:space="preserve">4 chronic hepatitis C </w:t>
      </w:r>
      <w:r w:rsidRPr="00D80FA0">
        <w:t xml:space="preserve">virus infection </w:t>
      </w:r>
      <w:r>
        <w:t>with compensated</w:t>
      </w:r>
      <w:r w:rsidRPr="00D80FA0">
        <w:t xml:space="preserve"> cirrhosis</w:t>
      </w:r>
      <w:proofErr w:type="gramEnd"/>
      <w:r>
        <w:t xml:space="preserve"> </w:t>
      </w:r>
      <w:r w:rsidRPr="00D80FA0">
        <w:t xml:space="preserve">who were treatment-naïve or did not achieve SVR with prior treatment with </w:t>
      </w:r>
      <w:proofErr w:type="spellStart"/>
      <w:r w:rsidRPr="00D80FA0">
        <w:t>pegIFN</w:t>
      </w:r>
      <w:proofErr w:type="spellEnd"/>
      <w:r w:rsidRPr="00D80FA0">
        <w:t>/RBV</w:t>
      </w:r>
      <w:r>
        <w:t xml:space="preserve">. </w:t>
      </w:r>
    </w:p>
    <w:p w:rsidR="00C91B73" w:rsidRDefault="00C91B73" w:rsidP="00C91B73">
      <w:pPr>
        <w:pStyle w:val="ListParagraph"/>
        <w:spacing w:line="240" w:lineRule="auto"/>
        <w:ind w:left="0"/>
        <w:jc w:val="both"/>
      </w:pPr>
      <w:r>
        <w:t xml:space="preserve">Subjects had a median age of 56 years (range: 43 to 81); 51% were treatment-naïve, 29% were prior </w:t>
      </w:r>
      <w:proofErr w:type="spellStart"/>
      <w:r>
        <w:t>pegIFN</w:t>
      </w:r>
      <w:proofErr w:type="spellEnd"/>
      <w:r>
        <w:t xml:space="preserve">/RBV null responders; 8% were prior </w:t>
      </w:r>
      <w:proofErr w:type="spellStart"/>
      <w:r>
        <w:t>pegIFN</w:t>
      </w:r>
      <w:proofErr w:type="spellEnd"/>
      <w:r>
        <w:t xml:space="preserve">/RBV partial responders, 12% were prior </w:t>
      </w:r>
      <w:proofErr w:type="spellStart"/>
      <w:r>
        <w:t>pegIFN</w:t>
      </w:r>
      <w:proofErr w:type="spellEnd"/>
      <w:r>
        <w:t xml:space="preserve">/RBV </w:t>
      </w:r>
      <w:proofErr w:type="spellStart"/>
      <w:r>
        <w:t>relapsers</w:t>
      </w:r>
      <w:proofErr w:type="spellEnd"/>
      <w:r>
        <w:t xml:space="preserve">; 76% were male; 17% were Black; 29% had a body mass index of at least 30 </w:t>
      </w:r>
      <w:r w:rsidRPr="00D503ED">
        <w:t>kg/m</w:t>
      </w:r>
      <w:r w:rsidRPr="00DE6DDE">
        <w:rPr>
          <w:vertAlign w:val="superscript"/>
        </w:rPr>
        <w:t>2</w:t>
      </w:r>
      <w:r>
        <w:t>); 76% had baseline HCV RNA levels of at least 800,000 IU per mL; 86% had IL28B (rs12979860) non</w:t>
      </w:r>
      <w:r>
        <w:noBreakHyphen/>
        <w:t>CC genotype; 12% had platelet counts of less than 90 x 10</w:t>
      </w:r>
      <w:r w:rsidRPr="00DE6DDE">
        <w:rPr>
          <w:vertAlign w:val="superscript"/>
        </w:rPr>
        <w:t>9</w:t>
      </w:r>
      <w:r>
        <w:t xml:space="preserve"> per L; and 5% had albumin less than 3.5 mg per </w:t>
      </w:r>
      <w:proofErr w:type="spellStart"/>
      <w:r>
        <w:t>dL</w:t>
      </w:r>
      <w:proofErr w:type="spellEnd"/>
      <w:r>
        <w:t>.</w:t>
      </w:r>
    </w:p>
    <w:p w:rsidR="00C91B73" w:rsidRDefault="00C91B73" w:rsidP="00C91B73">
      <w:pPr>
        <w:pStyle w:val="ListParagraph"/>
        <w:spacing w:line="240" w:lineRule="auto"/>
        <w:ind w:left="0"/>
        <w:jc w:val="both"/>
      </w:pPr>
    </w:p>
    <w:p w:rsidR="00BF7C61" w:rsidRDefault="00C91B73" w:rsidP="00C91B73">
      <w:pPr>
        <w:pStyle w:val="ListParagraph"/>
        <w:spacing w:line="240" w:lineRule="auto"/>
        <w:ind w:left="0"/>
        <w:jc w:val="both"/>
      </w:pPr>
      <w:r>
        <w:t>Table 3 presents the SVR12 rates.</w:t>
      </w:r>
    </w:p>
    <w:p w:rsidR="00C91B73" w:rsidRPr="00C91B73" w:rsidRDefault="00C91B73" w:rsidP="00C91B73">
      <w:pPr>
        <w:spacing w:after="0" w:line="240" w:lineRule="auto"/>
        <w:rPr>
          <w:rFonts w:eastAsia="Times New Roman" w:cstheme="minorHAnsi"/>
          <w:b/>
          <w:lang w:val="en-US"/>
        </w:rPr>
      </w:pPr>
      <w:proofErr w:type="gramStart"/>
      <w:r w:rsidRPr="00C91B73">
        <w:rPr>
          <w:rFonts w:eastAsia="Times New Roman" w:cstheme="minorHAnsi"/>
          <w:b/>
          <w:lang w:val="en-US"/>
        </w:rPr>
        <w:t>Table 3.</w:t>
      </w:r>
      <w:proofErr w:type="gramEnd"/>
      <w:r w:rsidRPr="00C91B73">
        <w:rPr>
          <w:rFonts w:eastAsia="Times New Roman" w:cstheme="minorHAnsi"/>
          <w:b/>
          <w:lang w:val="en-US"/>
        </w:rPr>
        <w:tab/>
        <w:t>SVR12 for HCV Genotype 4-Infected Subjects with Compensated Cirrhosis</w:t>
      </w:r>
      <w:r w:rsidRPr="00C91B73" w:rsidDel="0021650F">
        <w:rPr>
          <w:rFonts w:eastAsia="Times New Roman" w:cstheme="minorHAnsi"/>
          <w:lang w:val="en-US"/>
        </w:rPr>
        <w:t xml:space="preserve"> </w:t>
      </w:r>
    </w:p>
    <w:p w:rsidR="00C91B73" w:rsidRPr="00C91B73" w:rsidRDefault="00C91B73" w:rsidP="00C91B73">
      <w:pPr>
        <w:spacing w:after="0" w:line="240" w:lineRule="auto"/>
        <w:rPr>
          <w:rFonts w:eastAsia="Times New Roman" w:cstheme="minorHAnsi"/>
          <w:b/>
          <w:lang w:val="en-US"/>
        </w:rPr>
      </w:pPr>
    </w:p>
    <w:tbl>
      <w:tblPr>
        <w:tblW w:w="8929" w:type="dxa"/>
        <w:jc w:val="center"/>
        <w:tblInd w:w="-289" w:type="dxa"/>
        <w:tblBorders>
          <w:top w:val="single" w:sz="4" w:space="0" w:color="auto"/>
          <w:bottom w:val="single" w:sz="4" w:space="0" w:color="auto"/>
        </w:tblBorders>
        <w:tblLayout w:type="fixed"/>
        <w:tblLook w:val="01E0" w:firstRow="1" w:lastRow="1" w:firstColumn="1" w:lastColumn="1" w:noHBand="0" w:noVBand="0"/>
      </w:tblPr>
      <w:tblGrid>
        <w:gridCol w:w="4609"/>
        <w:gridCol w:w="4320"/>
      </w:tblGrid>
      <w:tr w:rsidR="00C91B73" w:rsidRPr="00C91B73" w:rsidTr="00C91B73">
        <w:trPr>
          <w:trHeight w:val="278"/>
          <w:jc w:val="center"/>
        </w:trPr>
        <w:tc>
          <w:tcPr>
            <w:tcW w:w="4609" w:type="dxa"/>
            <w:vMerge w:val="restart"/>
            <w:tcBorders>
              <w:top w:val="single" w:sz="4" w:space="0" w:color="auto"/>
            </w:tcBorders>
            <w:shd w:val="clear" w:color="auto" w:fill="auto"/>
            <w:tcMar>
              <w:left w:w="115" w:type="dxa"/>
              <w:right w:w="115" w:type="dxa"/>
            </w:tcMar>
            <w:vAlign w:val="bottom"/>
          </w:tcPr>
          <w:p w:rsidR="00C91B73" w:rsidRPr="00C91B73" w:rsidRDefault="00C91B73" w:rsidP="00C91B73">
            <w:pPr>
              <w:keepNext/>
              <w:keepLines/>
              <w:tabs>
                <w:tab w:val="left" w:pos="360"/>
              </w:tabs>
              <w:spacing w:before="40" w:after="40" w:line="240" w:lineRule="exact"/>
              <w:rPr>
                <w:rFonts w:eastAsia="MS Mincho" w:cstheme="minorHAnsi"/>
                <w:b/>
                <w:lang w:val="en-GB" w:eastAsia="ja-JP"/>
              </w:rPr>
            </w:pPr>
            <w:r w:rsidRPr="00C91B73">
              <w:rPr>
                <w:rFonts w:eastAsia="MS Mincho" w:cstheme="minorHAnsi"/>
                <w:b/>
                <w:lang w:val="en-GB" w:eastAsia="ja-JP"/>
              </w:rPr>
              <w:t>Endpoint</w:t>
            </w:r>
          </w:p>
        </w:tc>
        <w:tc>
          <w:tcPr>
            <w:tcW w:w="4320" w:type="dxa"/>
            <w:tcBorders>
              <w:top w:val="single" w:sz="4" w:space="0" w:color="auto"/>
            </w:tcBorders>
            <w:shd w:val="clear" w:color="auto" w:fill="auto"/>
            <w:tcMar>
              <w:left w:w="115" w:type="dxa"/>
              <w:right w:w="115" w:type="dxa"/>
            </w:tcMar>
            <w:vAlign w:val="bottom"/>
          </w:tcPr>
          <w:p w:rsidR="00C91B73" w:rsidRPr="00C91B73" w:rsidRDefault="00C91B73" w:rsidP="00C91B73">
            <w:pPr>
              <w:keepNext/>
              <w:keepLines/>
              <w:tabs>
                <w:tab w:val="left" w:pos="360"/>
              </w:tabs>
              <w:spacing w:before="40" w:after="40" w:line="240" w:lineRule="exact"/>
              <w:jc w:val="center"/>
              <w:rPr>
                <w:rFonts w:eastAsia="MS Mincho" w:cstheme="minorHAnsi"/>
                <w:b/>
                <w:lang w:val="en-GB" w:eastAsia="ja-JP"/>
              </w:rPr>
            </w:pPr>
            <w:proofErr w:type="spellStart"/>
            <w:r w:rsidRPr="00C91B73">
              <w:rPr>
                <w:rFonts w:eastAsia="MS Mincho" w:cstheme="minorHAnsi"/>
                <w:b/>
                <w:lang w:val="en-US" w:eastAsia="ja-JP"/>
              </w:rPr>
              <w:t>Paritaprevir</w:t>
            </w:r>
            <w:proofErr w:type="spellEnd"/>
            <w:r w:rsidRPr="00C91B73">
              <w:rPr>
                <w:rFonts w:eastAsia="MS Mincho" w:cstheme="minorHAnsi"/>
                <w:lang w:val="en-US" w:eastAsia="ja-JP"/>
              </w:rPr>
              <w:br/>
            </w:r>
            <w:r w:rsidRPr="00C91B73">
              <w:rPr>
                <w:rFonts w:eastAsia="MS Mincho" w:cstheme="minorHAnsi"/>
                <w:b/>
                <w:lang w:val="en-US" w:eastAsia="ja-JP"/>
              </w:rPr>
              <w:t xml:space="preserve">+ Ritonavir </w:t>
            </w:r>
            <w:r w:rsidR="00521476">
              <w:rPr>
                <w:rFonts w:eastAsia="MS Mincho" w:cstheme="minorHAnsi"/>
                <w:b/>
                <w:lang w:val="en-US" w:eastAsia="ja-JP"/>
              </w:rPr>
              <w:t xml:space="preserve">+ </w:t>
            </w:r>
            <w:proofErr w:type="spellStart"/>
            <w:r w:rsidR="00521476">
              <w:rPr>
                <w:rFonts w:eastAsia="MS Mincho" w:cstheme="minorHAnsi"/>
                <w:b/>
                <w:lang w:val="en-US" w:eastAsia="ja-JP"/>
              </w:rPr>
              <w:t>Ombitasvir</w:t>
            </w:r>
            <w:proofErr w:type="spellEnd"/>
            <w:r w:rsidR="00521476">
              <w:rPr>
                <w:rFonts w:eastAsia="MS Mincho" w:cstheme="minorHAnsi"/>
                <w:b/>
                <w:lang w:val="en-US" w:eastAsia="ja-JP"/>
              </w:rPr>
              <w:t xml:space="preserve">* </w:t>
            </w:r>
            <w:r w:rsidRPr="00C91B73">
              <w:rPr>
                <w:rFonts w:eastAsia="MS Mincho" w:cstheme="minorHAnsi"/>
                <w:b/>
                <w:lang w:val="en-GB" w:eastAsia="ja-JP"/>
              </w:rPr>
              <w:t>with RBV for 12 Weeks</w:t>
            </w:r>
          </w:p>
        </w:tc>
      </w:tr>
      <w:tr w:rsidR="00C91B73" w:rsidRPr="00C91B73" w:rsidTr="00C91B73">
        <w:trPr>
          <w:jc w:val="center"/>
        </w:trPr>
        <w:tc>
          <w:tcPr>
            <w:tcW w:w="4609" w:type="dxa"/>
            <w:vMerge/>
            <w:tcBorders>
              <w:bottom w:val="single" w:sz="4" w:space="0" w:color="auto"/>
            </w:tcBorders>
            <w:shd w:val="clear" w:color="auto" w:fill="auto"/>
            <w:tcMar>
              <w:left w:w="115" w:type="dxa"/>
              <w:right w:w="115" w:type="dxa"/>
            </w:tcMar>
            <w:vAlign w:val="bottom"/>
          </w:tcPr>
          <w:p w:rsidR="00C91B73" w:rsidRPr="00C91B73" w:rsidRDefault="00C91B73" w:rsidP="00C91B73">
            <w:pPr>
              <w:keepNext/>
              <w:keepLines/>
              <w:tabs>
                <w:tab w:val="left" w:pos="360"/>
              </w:tabs>
              <w:spacing w:before="40" w:after="40" w:line="240" w:lineRule="exact"/>
              <w:jc w:val="center"/>
              <w:rPr>
                <w:rFonts w:eastAsia="MS Mincho" w:cstheme="minorHAnsi"/>
                <w:b/>
                <w:lang w:val="en-GB" w:eastAsia="ja-JP"/>
              </w:rPr>
            </w:pPr>
          </w:p>
        </w:tc>
        <w:tc>
          <w:tcPr>
            <w:tcW w:w="4320" w:type="dxa"/>
            <w:tcBorders>
              <w:top w:val="single" w:sz="4" w:space="0" w:color="auto"/>
              <w:bottom w:val="single" w:sz="4" w:space="0" w:color="auto"/>
            </w:tcBorders>
            <w:tcMar>
              <w:left w:w="115" w:type="dxa"/>
              <w:right w:w="115" w:type="dxa"/>
            </w:tcMar>
            <w:vAlign w:val="bottom"/>
          </w:tcPr>
          <w:p w:rsidR="00C91B73" w:rsidRPr="00C91B73" w:rsidRDefault="00C91B73" w:rsidP="00C91B73">
            <w:pPr>
              <w:keepNext/>
              <w:keepLines/>
              <w:tabs>
                <w:tab w:val="left" w:pos="360"/>
              </w:tabs>
              <w:spacing w:before="40" w:after="40" w:line="240" w:lineRule="exact"/>
              <w:jc w:val="center"/>
              <w:rPr>
                <w:rFonts w:eastAsia="MS Mincho" w:cstheme="minorHAnsi"/>
                <w:b/>
                <w:lang w:val="en-GB" w:eastAsia="ja-JP"/>
              </w:rPr>
            </w:pPr>
            <w:r w:rsidRPr="00C91B73">
              <w:rPr>
                <w:rFonts w:eastAsia="MS Mincho" w:cstheme="minorHAnsi"/>
                <w:b/>
                <w:lang w:val="en-GB" w:eastAsia="ja-JP"/>
              </w:rPr>
              <w:t>% (n/N)</w:t>
            </w:r>
          </w:p>
        </w:tc>
      </w:tr>
      <w:tr w:rsidR="00C91B73" w:rsidRPr="00C91B73" w:rsidTr="00C91B73">
        <w:trPr>
          <w:jc w:val="center"/>
        </w:trPr>
        <w:tc>
          <w:tcPr>
            <w:tcW w:w="4609" w:type="dxa"/>
            <w:tcBorders>
              <w:top w:val="nil"/>
              <w:bottom w:val="single" w:sz="4" w:space="0" w:color="auto"/>
            </w:tcBorders>
            <w:shd w:val="clear" w:color="auto" w:fill="auto"/>
            <w:tcMar>
              <w:left w:w="115" w:type="dxa"/>
              <w:right w:w="115" w:type="dxa"/>
            </w:tcMar>
          </w:tcPr>
          <w:p w:rsidR="00C91B73" w:rsidRPr="00C91B73" w:rsidRDefault="00C91B73" w:rsidP="00C91B73">
            <w:pPr>
              <w:keepNext/>
              <w:keepLines/>
              <w:tabs>
                <w:tab w:val="left" w:pos="360"/>
              </w:tabs>
              <w:spacing w:before="40" w:after="40" w:line="240" w:lineRule="exact"/>
              <w:rPr>
                <w:rFonts w:eastAsia="MS Mincho" w:cstheme="minorHAnsi"/>
                <w:lang w:val="en-GB" w:eastAsia="ja-JP"/>
              </w:rPr>
            </w:pPr>
            <w:r w:rsidRPr="00C91B73">
              <w:rPr>
                <w:rFonts w:eastAsia="MS Mincho" w:cstheme="minorHAnsi"/>
                <w:lang w:val="en-GB" w:eastAsia="ja-JP"/>
              </w:rPr>
              <w:t>SVR12, % (n/N)</w:t>
            </w:r>
            <w:r w:rsidRPr="00C91B73">
              <w:rPr>
                <w:rFonts w:eastAsia="MS Mincho" w:cstheme="minorHAnsi"/>
                <w:vertAlign w:val="superscript"/>
                <w:lang w:val="en-GB" w:eastAsia="ja-JP"/>
              </w:rPr>
              <w:t xml:space="preserve"> </w:t>
            </w:r>
          </w:p>
        </w:tc>
        <w:tc>
          <w:tcPr>
            <w:tcW w:w="4320" w:type="dxa"/>
            <w:tcBorders>
              <w:top w:val="nil"/>
              <w:bottom w:val="single" w:sz="4" w:space="0" w:color="auto"/>
            </w:tcBorders>
            <w:tcMar>
              <w:left w:w="115" w:type="dxa"/>
              <w:right w:w="115" w:type="dxa"/>
            </w:tcMar>
          </w:tcPr>
          <w:p w:rsidR="00C91B73" w:rsidRPr="00C91B73" w:rsidRDefault="00C91B73" w:rsidP="00C91B73">
            <w:pPr>
              <w:keepNext/>
              <w:keepLines/>
              <w:tabs>
                <w:tab w:val="left" w:pos="360"/>
              </w:tabs>
              <w:spacing w:before="40" w:after="40" w:line="240" w:lineRule="exact"/>
              <w:jc w:val="center"/>
              <w:rPr>
                <w:rFonts w:eastAsia="MS Mincho" w:cstheme="minorHAnsi"/>
                <w:lang w:val="en-GB" w:eastAsia="ja-JP"/>
              </w:rPr>
            </w:pPr>
            <w:r w:rsidRPr="00C91B73">
              <w:rPr>
                <w:rFonts w:eastAsia="MS Mincho" w:cstheme="minorHAnsi"/>
                <w:lang w:val="en-US" w:eastAsia="ja-JP"/>
              </w:rPr>
              <w:t>97% (57/59)</w:t>
            </w:r>
          </w:p>
        </w:tc>
      </w:tr>
      <w:tr w:rsidR="00C91B73" w:rsidRPr="00C91B73" w:rsidTr="00C91B73">
        <w:trPr>
          <w:jc w:val="center"/>
        </w:trPr>
        <w:tc>
          <w:tcPr>
            <w:tcW w:w="4609" w:type="dxa"/>
            <w:tcBorders>
              <w:top w:val="single" w:sz="4" w:space="0" w:color="auto"/>
            </w:tcBorders>
            <w:shd w:val="clear" w:color="auto" w:fill="auto"/>
            <w:tcMar>
              <w:left w:w="115" w:type="dxa"/>
              <w:right w:w="115" w:type="dxa"/>
            </w:tcMar>
          </w:tcPr>
          <w:p w:rsidR="00C91B73" w:rsidRPr="00C91B73" w:rsidRDefault="00C91B73" w:rsidP="00C91B73">
            <w:pPr>
              <w:keepNext/>
              <w:keepLines/>
              <w:tabs>
                <w:tab w:val="left" w:pos="360"/>
              </w:tabs>
              <w:spacing w:before="40" w:after="40" w:line="240" w:lineRule="exact"/>
              <w:rPr>
                <w:rFonts w:eastAsia="MS Mincho" w:cstheme="minorHAnsi"/>
                <w:lang w:val="en-GB" w:eastAsia="ja-JP"/>
              </w:rPr>
            </w:pPr>
            <w:r w:rsidRPr="00C91B73">
              <w:rPr>
                <w:rFonts w:eastAsia="MS Mincho" w:cstheme="minorHAnsi"/>
                <w:lang w:val="en-GB" w:eastAsia="ja-JP"/>
              </w:rPr>
              <w:t>Outcome for subjects without SVR12</w:t>
            </w:r>
          </w:p>
        </w:tc>
        <w:tc>
          <w:tcPr>
            <w:tcW w:w="4320" w:type="dxa"/>
            <w:tcBorders>
              <w:top w:val="single" w:sz="4" w:space="0" w:color="auto"/>
            </w:tcBorders>
            <w:tcMar>
              <w:left w:w="115" w:type="dxa"/>
              <w:right w:w="115" w:type="dxa"/>
            </w:tcMar>
          </w:tcPr>
          <w:p w:rsidR="00C91B73" w:rsidRPr="00C91B73" w:rsidRDefault="00C91B73" w:rsidP="00C91B73">
            <w:pPr>
              <w:keepNext/>
              <w:keepLines/>
              <w:tabs>
                <w:tab w:val="left" w:pos="360"/>
              </w:tabs>
              <w:spacing w:before="40" w:after="40" w:line="240" w:lineRule="exact"/>
              <w:jc w:val="center"/>
              <w:rPr>
                <w:rFonts w:eastAsia="MS Mincho" w:cstheme="minorHAnsi"/>
                <w:lang w:val="en-GB" w:eastAsia="ja-JP"/>
              </w:rPr>
            </w:pPr>
          </w:p>
        </w:tc>
      </w:tr>
      <w:tr w:rsidR="00C91B73" w:rsidRPr="00C91B73" w:rsidTr="00C91B73">
        <w:trPr>
          <w:jc w:val="center"/>
        </w:trPr>
        <w:tc>
          <w:tcPr>
            <w:tcW w:w="4609" w:type="dxa"/>
            <w:tcBorders>
              <w:top w:val="nil"/>
            </w:tcBorders>
            <w:shd w:val="clear" w:color="auto" w:fill="auto"/>
            <w:tcMar>
              <w:left w:w="115" w:type="dxa"/>
              <w:right w:w="115" w:type="dxa"/>
            </w:tcMar>
          </w:tcPr>
          <w:p w:rsidR="00C91B73" w:rsidRPr="00C91B73" w:rsidRDefault="00C91B73" w:rsidP="00C91B73">
            <w:pPr>
              <w:keepNext/>
              <w:keepLines/>
              <w:tabs>
                <w:tab w:val="left" w:pos="360"/>
              </w:tabs>
              <w:spacing w:before="40" w:after="40" w:line="240" w:lineRule="exact"/>
              <w:rPr>
                <w:rFonts w:eastAsia="MS Mincho" w:cstheme="minorHAnsi"/>
                <w:lang w:val="en-GB" w:eastAsia="ja-JP"/>
              </w:rPr>
            </w:pPr>
            <w:r w:rsidRPr="00C91B73">
              <w:rPr>
                <w:rFonts w:eastAsia="MS Mincho" w:cstheme="minorHAnsi"/>
                <w:lang w:val="en-GB" w:eastAsia="ja-JP"/>
              </w:rPr>
              <w:tab/>
              <w:t xml:space="preserve">On-treatment </w:t>
            </w:r>
            <w:proofErr w:type="spellStart"/>
            <w:r w:rsidRPr="00C91B73">
              <w:rPr>
                <w:rFonts w:eastAsia="MS Mincho" w:cstheme="minorHAnsi"/>
                <w:lang w:val="en-GB" w:eastAsia="ja-JP"/>
              </w:rPr>
              <w:t>virologic</w:t>
            </w:r>
            <w:proofErr w:type="spellEnd"/>
            <w:r w:rsidRPr="00C91B73">
              <w:rPr>
                <w:rFonts w:eastAsia="MS Mincho" w:cstheme="minorHAnsi"/>
                <w:lang w:val="en-GB" w:eastAsia="ja-JP"/>
              </w:rPr>
              <w:t xml:space="preserve"> </w:t>
            </w:r>
            <w:proofErr w:type="spellStart"/>
            <w:r w:rsidRPr="00C91B73">
              <w:rPr>
                <w:rFonts w:eastAsia="MS Mincho" w:cstheme="minorHAnsi"/>
                <w:lang w:val="en-GB" w:eastAsia="ja-JP"/>
              </w:rPr>
              <w:t>failure</w:t>
            </w:r>
            <w:r w:rsidRPr="00C91B73">
              <w:rPr>
                <w:rFonts w:eastAsia="MS Mincho" w:cstheme="minorHAnsi"/>
                <w:vertAlign w:val="superscript"/>
                <w:lang w:val="en-GB" w:eastAsia="ja-JP"/>
              </w:rPr>
              <w:t>a</w:t>
            </w:r>
            <w:proofErr w:type="spellEnd"/>
          </w:p>
        </w:tc>
        <w:tc>
          <w:tcPr>
            <w:tcW w:w="4320" w:type="dxa"/>
            <w:tcBorders>
              <w:top w:val="nil"/>
            </w:tcBorders>
            <w:tcMar>
              <w:left w:w="115" w:type="dxa"/>
              <w:right w:w="115" w:type="dxa"/>
            </w:tcMar>
          </w:tcPr>
          <w:p w:rsidR="00C91B73" w:rsidRPr="00C91B73" w:rsidRDefault="00C91B73" w:rsidP="00C91B73">
            <w:pPr>
              <w:keepNext/>
              <w:keepLines/>
              <w:tabs>
                <w:tab w:val="left" w:pos="360"/>
              </w:tabs>
              <w:spacing w:before="40" w:after="40" w:line="240" w:lineRule="exact"/>
              <w:jc w:val="center"/>
              <w:rPr>
                <w:rFonts w:eastAsia="MS Mincho" w:cstheme="minorHAnsi"/>
                <w:lang w:val="en-GB" w:eastAsia="ja-JP"/>
              </w:rPr>
            </w:pPr>
            <w:r w:rsidRPr="00C91B73">
              <w:rPr>
                <w:rFonts w:eastAsia="MS Mincho" w:cstheme="minorHAnsi"/>
                <w:lang w:val="en-GB" w:eastAsia="ja-JP"/>
              </w:rPr>
              <w:t>2</w:t>
            </w:r>
            <w:r w:rsidR="00521476">
              <w:rPr>
                <w:rFonts w:eastAsia="MS Mincho" w:cstheme="minorHAnsi"/>
                <w:lang w:val="en-GB" w:eastAsia="ja-JP"/>
              </w:rPr>
              <w:t>%</w:t>
            </w:r>
            <w:r w:rsidRPr="00C91B73">
              <w:rPr>
                <w:rFonts w:eastAsia="MS Mincho" w:cstheme="minorHAnsi"/>
                <w:lang w:val="en-GB" w:eastAsia="ja-JP"/>
              </w:rPr>
              <w:t xml:space="preserve"> (1/59)</w:t>
            </w:r>
          </w:p>
        </w:tc>
      </w:tr>
      <w:tr w:rsidR="00C91B73" w:rsidRPr="00C91B73" w:rsidTr="00C91B73">
        <w:trPr>
          <w:jc w:val="center"/>
        </w:trPr>
        <w:tc>
          <w:tcPr>
            <w:tcW w:w="4609" w:type="dxa"/>
            <w:tcBorders>
              <w:top w:val="nil"/>
            </w:tcBorders>
            <w:shd w:val="clear" w:color="auto" w:fill="auto"/>
            <w:tcMar>
              <w:left w:w="115" w:type="dxa"/>
              <w:right w:w="115" w:type="dxa"/>
            </w:tcMar>
          </w:tcPr>
          <w:p w:rsidR="00C91B73" w:rsidRPr="00C91B73" w:rsidRDefault="00C91B73" w:rsidP="00C91B73">
            <w:pPr>
              <w:keepNext/>
              <w:keepLines/>
              <w:tabs>
                <w:tab w:val="left" w:pos="360"/>
              </w:tabs>
              <w:spacing w:before="40" w:after="40" w:line="240" w:lineRule="exact"/>
              <w:rPr>
                <w:rFonts w:eastAsia="MS Mincho" w:cstheme="minorHAnsi"/>
                <w:lang w:val="en-GB" w:eastAsia="ja-JP"/>
              </w:rPr>
            </w:pPr>
            <w:r w:rsidRPr="00C91B73">
              <w:rPr>
                <w:rFonts w:eastAsia="MS Mincho" w:cstheme="minorHAnsi"/>
                <w:lang w:val="en-GB" w:eastAsia="ja-JP"/>
              </w:rPr>
              <w:tab/>
              <w:t xml:space="preserve">Post-treatment </w:t>
            </w:r>
            <w:proofErr w:type="spellStart"/>
            <w:r w:rsidRPr="00C91B73">
              <w:rPr>
                <w:rFonts w:eastAsia="MS Mincho" w:cstheme="minorHAnsi"/>
                <w:lang w:val="en-GB" w:eastAsia="ja-JP"/>
              </w:rPr>
              <w:t>relapse</w:t>
            </w:r>
            <w:r w:rsidRPr="00C91B73">
              <w:rPr>
                <w:rFonts w:eastAsia="MS Mincho" w:cstheme="minorHAnsi"/>
                <w:vertAlign w:val="superscript"/>
                <w:lang w:val="en-GB" w:eastAsia="ja-JP"/>
              </w:rPr>
              <w:t>b</w:t>
            </w:r>
            <w:proofErr w:type="spellEnd"/>
          </w:p>
        </w:tc>
        <w:tc>
          <w:tcPr>
            <w:tcW w:w="4320" w:type="dxa"/>
            <w:tcBorders>
              <w:top w:val="nil"/>
            </w:tcBorders>
            <w:tcMar>
              <w:left w:w="115" w:type="dxa"/>
              <w:right w:w="115" w:type="dxa"/>
            </w:tcMar>
          </w:tcPr>
          <w:p w:rsidR="00C91B73" w:rsidRPr="00C91B73" w:rsidRDefault="00C91B73" w:rsidP="00C91B73">
            <w:pPr>
              <w:keepNext/>
              <w:keepLines/>
              <w:tabs>
                <w:tab w:val="left" w:pos="360"/>
              </w:tabs>
              <w:spacing w:before="40" w:after="40" w:line="240" w:lineRule="exact"/>
              <w:jc w:val="center"/>
              <w:rPr>
                <w:rFonts w:eastAsia="MS Mincho" w:cstheme="minorHAnsi"/>
                <w:lang w:val="en-GB" w:eastAsia="ja-JP"/>
              </w:rPr>
            </w:pPr>
            <w:r w:rsidRPr="00C91B73">
              <w:rPr>
                <w:rFonts w:eastAsia="MS Mincho" w:cstheme="minorHAnsi"/>
                <w:lang w:val="en-GB" w:eastAsia="ja-JP"/>
              </w:rPr>
              <w:t>0</w:t>
            </w:r>
            <w:r w:rsidR="00521476">
              <w:rPr>
                <w:rFonts w:eastAsia="MS Mincho" w:cstheme="minorHAnsi"/>
                <w:lang w:val="en-GB" w:eastAsia="ja-JP"/>
              </w:rPr>
              <w:t>%</w:t>
            </w:r>
            <w:r w:rsidRPr="00C91B73">
              <w:rPr>
                <w:rFonts w:eastAsia="MS Mincho" w:cstheme="minorHAnsi"/>
                <w:lang w:val="en-GB" w:eastAsia="ja-JP"/>
              </w:rPr>
              <w:t xml:space="preserve"> (0/57)</w:t>
            </w:r>
          </w:p>
        </w:tc>
      </w:tr>
      <w:tr w:rsidR="00C91B73" w:rsidRPr="00C91B73" w:rsidTr="00C91B73">
        <w:trPr>
          <w:jc w:val="center"/>
        </w:trPr>
        <w:tc>
          <w:tcPr>
            <w:tcW w:w="4609" w:type="dxa"/>
            <w:tcBorders>
              <w:top w:val="nil"/>
              <w:bottom w:val="single" w:sz="4" w:space="0" w:color="auto"/>
            </w:tcBorders>
            <w:shd w:val="clear" w:color="auto" w:fill="auto"/>
            <w:tcMar>
              <w:left w:w="115" w:type="dxa"/>
              <w:right w:w="115" w:type="dxa"/>
            </w:tcMar>
          </w:tcPr>
          <w:p w:rsidR="00C91B73" w:rsidRPr="00C91B73" w:rsidRDefault="00C91B73" w:rsidP="00C91B73">
            <w:pPr>
              <w:keepNext/>
              <w:keepLines/>
              <w:tabs>
                <w:tab w:val="left" w:pos="360"/>
              </w:tabs>
              <w:spacing w:before="40" w:after="40" w:line="240" w:lineRule="exact"/>
              <w:rPr>
                <w:rFonts w:eastAsia="MS Mincho" w:cstheme="minorHAnsi"/>
                <w:lang w:val="en-GB" w:eastAsia="ja-JP"/>
              </w:rPr>
            </w:pPr>
            <w:r w:rsidRPr="00C91B73">
              <w:rPr>
                <w:rFonts w:eastAsia="MS Mincho" w:cstheme="minorHAnsi"/>
                <w:lang w:val="en-GB" w:eastAsia="ja-JP"/>
              </w:rPr>
              <w:tab/>
            </w:r>
            <w:proofErr w:type="spellStart"/>
            <w:r w:rsidRPr="00C91B73">
              <w:rPr>
                <w:rFonts w:eastAsia="MS Mincho" w:cstheme="minorHAnsi"/>
                <w:lang w:val="en-GB" w:eastAsia="ja-JP"/>
              </w:rPr>
              <w:t>Other</w:t>
            </w:r>
            <w:r w:rsidRPr="00C91B73">
              <w:rPr>
                <w:rFonts w:eastAsia="MS Mincho" w:cstheme="minorHAnsi"/>
                <w:vertAlign w:val="superscript"/>
                <w:lang w:val="en-GB" w:eastAsia="ja-JP"/>
              </w:rPr>
              <w:t>c</w:t>
            </w:r>
            <w:proofErr w:type="spellEnd"/>
          </w:p>
        </w:tc>
        <w:tc>
          <w:tcPr>
            <w:tcW w:w="4320" w:type="dxa"/>
            <w:tcBorders>
              <w:top w:val="nil"/>
              <w:bottom w:val="single" w:sz="4" w:space="0" w:color="auto"/>
            </w:tcBorders>
            <w:tcMar>
              <w:left w:w="115" w:type="dxa"/>
              <w:right w:w="115" w:type="dxa"/>
            </w:tcMar>
          </w:tcPr>
          <w:p w:rsidR="00C91B73" w:rsidRPr="00C91B73" w:rsidRDefault="00C91B73" w:rsidP="00C91B73">
            <w:pPr>
              <w:keepNext/>
              <w:keepLines/>
              <w:tabs>
                <w:tab w:val="left" w:pos="360"/>
              </w:tabs>
              <w:spacing w:before="40" w:after="40" w:line="240" w:lineRule="exact"/>
              <w:jc w:val="center"/>
              <w:rPr>
                <w:rFonts w:eastAsia="MS Mincho" w:cstheme="minorHAnsi"/>
                <w:lang w:val="en-GB" w:eastAsia="ja-JP"/>
              </w:rPr>
            </w:pPr>
            <w:r w:rsidRPr="00C91B73">
              <w:rPr>
                <w:rFonts w:eastAsia="MS Mincho" w:cstheme="minorHAnsi"/>
                <w:lang w:val="en-GB" w:eastAsia="ja-JP"/>
              </w:rPr>
              <w:t>2</w:t>
            </w:r>
            <w:r w:rsidR="00521476">
              <w:rPr>
                <w:rFonts w:eastAsia="MS Mincho" w:cstheme="minorHAnsi"/>
                <w:lang w:val="en-GB" w:eastAsia="ja-JP"/>
              </w:rPr>
              <w:t>%</w:t>
            </w:r>
            <w:r w:rsidRPr="00C91B73">
              <w:rPr>
                <w:rFonts w:eastAsia="MS Mincho" w:cstheme="minorHAnsi"/>
                <w:lang w:val="en-GB" w:eastAsia="ja-JP"/>
              </w:rPr>
              <w:t xml:space="preserve"> (1/59)</w:t>
            </w:r>
          </w:p>
        </w:tc>
      </w:tr>
    </w:tbl>
    <w:p w:rsidR="00521476" w:rsidRDefault="00C91B73" w:rsidP="00C91B73">
      <w:pPr>
        <w:spacing w:after="0" w:line="240" w:lineRule="auto"/>
        <w:rPr>
          <w:rFonts w:eastAsia="Times New Roman" w:cstheme="minorHAnsi"/>
          <w:lang w:val="en-US"/>
        </w:rPr>
      </w:pPr>
      <w:r w:rsidRPr="00C91B73">
        <w:rPr>
          <w:rFonts w:eastAsia="Times New Roman" w:cstheme="minorHAnsi"/>
          <w:lang w:val="en-US"/>
        </w:rPr>
        <w:t xml:space="preserve">VF = </w:t>
      </w:r>
      <w:proofErr w:type="spellStart"/>
      <w:r w:rsidRPr="00C91B73">
        <w:rPr>
          <w:rFonts w:eastAsia="Times New Roman" w:cstheme="minorHAnsi"/>
          <w:lang w:val="en-US"/>
        </w:rPr>
        <w:t>virologic</w:t>
      </w:r>
      <w:proofErr w:type="spellEnd"/>
      <w:r w:rsidRPr="00C91B73">
        <w:rPr>
          <w:rFonts w:eastAsia="Times New Roman" w:cstheme="minorHAnsi"/>
          <w:lang w:val="en-US"/>
        </w:rPr>
        <w:t xml:space="preserve"> failure</w:t>
      </w:r>
    </w:p>
    <w:p w:rsidR="00324854" w:rsidRPr="00521476" w:rsidRDefault="00521476" w:rsidP="00C91B73">
      <w:pPr>
        <w:spacing w:after="0" w:line="240" w:lineRule="auto"/>
        <w:rPr>
          <w:rFonts w:ascii="Times New Roman" w:hAnsi="Times New Roman" w:cs="Times New Roman"/>
          <w:sz w:val="24"/>
          <w:szCs w:val="24"/>
          <w:lang w:eastAsia="en-AU"/>
        </w:rPr>
      </w:pPr>
      <w:r>
        <w:rPr>
          <w:rFonts w:eastAsia="Times New Roman" w:cstheme="minorHAnsi"/>
        </w:rPr>
        <w:t>*Administered as co</w:t>
      </w:r>
      <w:r w:rsidR="00DF690A">
        <w:rPr>
          <w:rFonts w:eastAsia="Times New Roman" w:cstheme="minorHAnsi"/>
        </w:rPr>
        <w:t>-</w:t>
      </w:r>
      <w:r>
        <w:rPr>
          <w:rFonts w:eastAsia="Times New Roman" w:cstheme="minorHAnsi"/>
        </w:rPr>
        <w:t>formulated tablets</w:t>
      </w:r>
      <w:r>
        <w:rPr>
          <w:rFonts w:ascii="Times New Roman" w:hAnsi="Times New Roman" w:cs="Times New Roman"/>
          <w:sz w:val="24"/>
          <w:szCs w:val="24"/>
          <w:lang w:eastAsia="en-AU"/>
        </w:rPr>
        <w:t xml:space="preserve"> </w:t>
      </w:r>
      <w:r w:rsidR="00C91B73" w:rsidRPr="00C91B73">
        <w:rPr>
          <w:rFonts w:eastAsia="Times New Roman" w:cstheme="minorHAnsi"/>
          <w:lang w:val="en-US"/>
        </w:rPr>
        <w:br/>
        <w:t>a. On-treatment VF was defined as confirmed HCV ≥ 25 IU/mL after HCV RNA &lt; 25 IU/mL during treatment, confirmed increase from nadir in HCV RNA &gt; 1 log</w:t>
      </w:r>
      <w:r w:rsidR="00C91B73" w:rsidRPr="00521476">
        <w:rPr>
          <w:rFonts w:eastAsia="Times New Roman" w:cstheme="minorHAnsi"/>
          <w:vertAlign w:val="subscript"/>
          <w:lang w:val="en-US"/>
        </w:rPr>
        <w:t>10</w:t>
      </w:r>
      <w:r w:rsidR="00C91B73" w:rsidRPr="00C91B73">
        <w:rPr>
          <w:rFonts w:eastAsia="Times New Roman" w:cstheme="minorHAnsi"/>
          <w:lang w:val="en-US"/>
        </w:rPr>
        <w:t xml:space="preserve"> IU/mL during treatment, or HCV RNA ≥ 25 IU/mL persistently during treatment with at least 6 weeks of treatment. </w:t>
      </w:r>
      <w:r w:rsidR="00C91B73" w:rsidRPr="00C91B73">
        <w:rPr>
          <w:rFonts w:eastAsia="Times New Roman" w:cstheme="minorHAnsi"/>
          <w:lang w:val="en-US"/>
        </w:rPr>
        <w:br/>
        <w:t xml:space="preserve">b. Relapse was defined as confirmed HCV RNA ≥ 25 IU/mL post-treatment before or during SVR12 window among subjects with HCV RNA less than 25 IU/mL at last observation during at least 11 weeks of treatment. </w:t>
      </w:r>
      <w:r w:rsidR="00C91B73" w:rsidRPr="00C91B73">
        <w:rPr>
          <w:rFonts w:eastAsia="Times New Roman" w:cstheme="minorHAnsi"/>
          <w:lang w:val="en-US"/>
        </w:rPr>
        <w:br/>
        <w:t>c. Other includes subjects not achieving SVR12 but not experiencing on-treatment VF or relapse (e.g. lost to follow-up).</w:t>
      </w:r>
    </w:p>
    <w:p w:rsidR="00C91B73" w:rsidRDefault="00C91B73" w:rsidP="0016780E">
      <w:pPr>
        <w:spacing w:after="0" w:line="240" w:lineRule="auto"/>
        <w:rPr>
          <w:rFonts w:eastAsia="Times New Roman" w:cstheme="minorHAnsi"/>
          <w:lang w:val="en-US"/>
        </w:rPr>
      </w:pPr>
    </w:p>
    <w:p w:rsidR="007F7625" w:rsidRPr="001D3010" w:rsidRDefault="007F7625" w:rsidP="007F7625">
      <w:pPr>
        <w:spacing w:after="0" w:line="240" w:lineRule="auto"/>
        <w:rPr>
          <w:i/>
          <w:u w:val="single"/>
        </w:rPr>
      </w:pPr>
      <w:r w:rsidRPr="001D3010">
        <w:rPr>
          <w:i/>
          <w:u w:val="single"/>
        </w:rPr>
        <w:t xml:space="preserve">AGATE-II – Genotype 4, Treatment-Naïve or Treatment-Experienced Subjects without </w:t>
      </w:r>
      <w:r w:rsidR="00521476">
        <w:rPr>
          <w:i/>
          <w:u w:val="single"/>
        </w:rPr>
        <w:t>C</w:t>
      </w:r>
      <w:r w:rsidRPr="001D3010">
        <w:rPr>
          <w:i/>
          <w:u w:val="single"/>
        </w:rPr>
        <w:t>irrhosis or with Compensated Cirrhosis</w:t>
      </w:r>
    </w:p>
    <w:p w:rsidR="007F7625" w:rsidRPr="001D3010" w:rsidRDefault="007F7625" w:rsidP="007F7625">
      <w:pPr>
        <w:spacing w:after="0" w:line="240" w:lineRule="auto"/>
        <w:rPr>
          <w:i/>
          <w:u w:val="single"/>
        </w:rPr>
      </w:pPr>
    </w:p>
    <w:p w:rsidR="007F7625" w:rsidRPr="001D3010" w:rsidRDefault="007F7625" w:rsidP="007F7625">
      <w:pPr>
        <w:pStyle w:val="ListParagraph"/>
        <w:spacing w:line="240" w:lineRule="auto"/>
        <w:ind w:left="0"/>
        <w:jc w:val="both"/>
        <w:rPr>
          <w:rFonts w:cstheme="minorHAnsi"/>
          <w:lang w:val="en-US"/>
        </w:rPr>
      </w:pPr>
      <w:r w:rsidRPr="001D3010">
        <w:rPr>
          <w:rFonts w:cstheme="minorHAnsi"/>
          <w:lang w:val="en-US"/>
        </w:rPr>
        <w:t xml:space="preserve">AGATE-II was an open-label, </w:t>
      </w:r>
      <w:proofErr w:type="spellStart"/>
      <w:r w:rsidRPr="001D3010">
        <w:rPr>
          <w:rFonts w:cstheme="minorHAnsi"/>
          <w:lang w:val="en-US"/>
        </w:rPr>
        <w:t>multicentre</w:t>
      </w:r>
      <w:proofErr w:type="spellEnd"/>
      <w:r w:rsidRPr="001D3010">
        <w:rPr>
          <w:rFonts w:cstheme="minorHAnsi"/>
          <w:lang w:val="en-US"/>
        </w:rPr>
        <w:t xml:space="preserve">, </w:t>
      </w:r>
      <w:proofErr w:type="spellStart"/>
      <w:r w:rsidRPr="001D3010">
        <w:rPr>
          <w:rFonts w:cstheme="minorHAnsi"/>
          <w:lang w:val="en-US"/>
        </w:rPr>
        <w:t>randomised</w:t>
      </w:r>
      <w:proofErr w:type="spellEnd"/>
      <w:r w:rsidRPr="001D3010">
        <w:rPr>
          <w:rFonts w:cstheme="minorHAnsi"/>
          <w:lang w:val="en-US"/>
        </w:rPr>
        <w:t xml:space="preserve"> trial conducted in subjects in Egypt with genotype 4 chronic hepatitis C infection without cirrhosis or with compensated cirrhosis, who were treatment-naïve or </w:t>
      </w:r>
      <w:r>
        <w:rPr>
          <w:rFonts w:cstheme="minorHAnsi"/>
          <w:lang w:val="en-US"/>
        </w:rPr>
        <w:t xml:space="preserve">treatment experienced with </w:t>
      </w:r>
      <w:proofErr w:type="spellStart"/>
      <w:r>
        <w:rPr>
          <w:rFonts w:cstheme="minorHAnsi"/>
          <w:lang w:val="en-US"/>
        </w:rPr>
        <w:t>pegI</w:t>
      </w:r>
      <w:r w:rsidRPr="001D3010">
        <w:rPr>
          <w:rFonts w:cstheme="minorHAnsi"/>
          <w:lang w:val="en-US"/>
        </w:rPr>
        <w:t>F</w:t>
      </w:r>
      <w:r>
        <w:rPr>
          <w:rFonts w:cstheme="minorHAnsi"/>
          <w:lang w:val="en-US"/>
        </w:rPr>
        <w:t>N</w:t>
      </w:r>
      <w:proofErr w:type="spellEnd"/>
      <w:r w:rsidRPr="001D3010">
        <w:rPr>
          <w:rFonts w:cstheme="minorHAnsi"/>
          <w:lang w:val="en-US"/>
        </w:rPr>
        <w:t xml:space="preserve">/RBV. Subjects without cirrhosis received 12 weeks of </w:t>
      </w:r>
      <w:r w:rsidR="00521476">
        <w:rPr>
          <w:rFonts w:cstheme="minorHAnsi"/>
        </w:rPr>
        <w:t>co</w:t>
      </w:r>
      <w:r w:rsidR="00DF690A">
        <w:rPr>
          <w:rFonts w:cstheme="minorHAnsi"/>
        </w:rPr>
        <w:t>-</w:t>
      </w:r>
      <w:r w:rsidR="00521476">
        <w:rPr>
          <w:rFonts w:cstheme="minorHAnsi"/>
        </w:rPr>
        <w:t xml:space="preserve">formulated </w:t>
      </w:r>
      <w:proofErr w:type="spellStart"/>
      <w:r w:rsidR="00521476">
        <w:rPr>
          <w:rFonts w:cstheme="minorHAnsi"/>
        </w:rPr>
        <w:t>paritaprevir</w:t>
      </w:r>
      <w:proofErr w:type="spellEnd"/>
      <w:r w:rsidR="00521476">
        <w:rPr>
          <w:rFonts w:cstheme="minorHAnsi"/>
        </w:rPr>
        <w:t>/ritonavir/</w:t>
      </w:r>
      <w:proofErr w:type="spellStart"/>
      <w:r w:rsidR="00521476">
        <w:rPr>
          <w:rFonts w:cstheme="minorHAnsi"/>
        </w:rPr>
        <w:t>ombitasvir</w:t>
      </w:r>
      <w:proofErr w:type="spellEnd"/>
      <w:r w:rsidR="00521476">
        <w:rPr>
          <w:rFonts w:cstheme="minorHAnsi"/>
        </w:rPr>
        <w:t xml:space="preserve"> </w:t>
      </w:r>
      <w:r w:rsidRPr="001D3010">
        <w:rPr>
          <w:rFonts w:cstheme="minorHAnsi"/>
          <w:lang w:val="en-US"/>
        </w:rPr>
        <w:t xml:space="preserve">plus weight-based ribavirin and subjects </w:t>
      </w:r>
      <w:r w:rsidRPr="001D3010">
        <w:rPr>
          <w:rFonts w:cstheme="minorHAnsi"/>
          <w:lang w:val="en-US"/>
        </w:rPr>
        <w:lastRenderedPageBreak/>
        <w:t xml:space="preserve">with compensated cirrhosis received 12 or 24 weeks of </w:t>
      </w:r>
      <w:r w:rsidR="00521476">
        <w:rPr>
          <w:rFonts w:cstheme="minorHAnsi"/>
        </w:rPr>
        <w:t>co</w:t>
      </w:r>
      <w:r w:rsidR="00DF690A">
        <w:rPr>
          <w:rFonts w:cstheme="minorHAnsi"/>
        </w:rPr>
        <w:t>-</w:t>
      </w:r>
      <w:r w:rsidR="00521476">
        <w:rPr>
          <w:rFonts w:cstheme="minorHAnsi"/>
        </w:rPr>
        <w:t xml:space="preserve">formulated </w:t>
      </w:r>
      <w:proofErr w:type="spellStart"/>
      <w:r w:rsidR="00521476">
        <w:rPr>
          <w:rFonts w:cstheme="minorHAnsi"/>
        </w:rPr>
        <w:t>paritaprevir</w:t>
      </w:r>
      <w:proofErr w:type="spellEnd"/>
      <w:r w:rsidR="00521476">
        <w:rPr>
          <w:rFonts w:cstheme="minorHAnsi"/>
        </w:rPr>
        <w:t>/ritonavir/</w:t>
      </w:r>
      <w:proofErr w:type="spellStart"/>
      <w:r w:rsidR="00521476">
        <w:rPr>
          <w:rFonts w:cstheme="minorHAnsi"/>
        </w:rPr>
        <w:t>ombitasvir</w:t>
      </w:r>
      <w:proofErr w:type="spellEnd"/>
      <w:r w:rsidR="00521476">
        <w:rPr>
          <w:rFonts w:cstheme="minorHAnsi"/>
        </w:rPr>
        <w:t xml:space="preserve"> </w:t>
      </w:r>
      <w:r w:rsidRPr="001D3010">
        <w:rPr>
          <w:rFonts w:cstheme="minorHAnsi"/>
          <w:lang w:val="en-US"/>
        </w:rPr>
        <w:t xml:space="preserve">plus weight-based ribavirin. </w:t>
      </w:r>
    </w:p>
    <w:p w:rsidR="007F7625" w:rsidRPr="001D3010" w:rsidRDefault="007F7625" w:rsidP="007F7625">
      <w:pPr>
        <w:pStyle w:val="ListParagraph"/>
        <w:spacing w:line="240" w:lineRule="auto"/>
        <w:ind w:left="0"/>
        <w:jc w:val="both"/>
        <w:rPr>
          <w:rFonts w:cstheme="minorHAnsi"/>
          <w:lang w:val="en-US"/>
        </w:rPr>
      </w:pPr>
    </w:p>
    <w:p w:rsidR="007F7625" w:rsidRDefault="007F7625" w:rsidP="00521476">
      <w:pPr>
        <w:pStyle w:val="ListParagraph"/>
        <w:spacing w:after="0" w:line="240" w:lineRule="auto"/>
        <w:ind w:left="0"/>
        <w:contextualSpacing w:val="0"/>
        <w:jc w:val="both"/>
        <w:rPr>
          <w:rFonts w:cstheme="minorHAnsi"/>
          <w:lang w:val="en-US"/>
        </w:rPr>
      </w:pPr>
      <w:r w:rsidRPr="001D3010">
        <w:rPr>
          <w:rFonts w:cstheme="minorHAnsi"/>
          <w:lang w:val="en-US"/>
        </w:rPr>
        <w:t xml:space="preserve">Subjects without cirrhosis had a median age of 51 years (range: 21 to 71); 49% were treatment-naïve, 33% were prior </w:t>
      </w:r>
      <w:proofErr w:type="spellStart"/>
      <w:r w:rsidRPr="001D3010">
        <w:rPr>
          <w:rFonts w:cstheme="minorHAnsi"/>
          <w:lang w:val="en-US"/>
        </w:rPr>
        <w:t>pegIFN</w:t>
      </w:r>
      <w:proofErr w:type="spellEnd"/>
      <w:r w:rsidRPr="001D3010">
        <w:rPr>
          <w:rFonts w:cstheme="minorHAnsi"/>
          <w:lang w:val="en-US"/>
        </w:rPr>
        <w:t xml:space="preserve">/RBV null responders; 8% were prior </w:t>
      </w:r>
      <w:proofErr w:type="spellStart"/>
      <w:r w:rsidRPr="001D3010">
        <w:rPr>
          <w:rFonts w:cstheme="minorHAnsi"/>
          <w:lang w:val="en-US"/>
        </w:rPr>
        <w:t>pegIFN</w:t>
      </w:r>
      <w:proofErr w:type="spellEnd"/>
      <w:r w:rsidRPr="001D3010">
        <w:rPr>
          <w:rFonts w:cstheme="minorHAnsi"/>
          <w:lang w:val="en-US"/>
        </w:rPr>
        <w:t xml:space="preserve">/RBV partial responders, 10% were prior </w:t>
      </w:r>
      <w:proofErr w:type="spellStart"/>
      <w:r w:rsidRPr="001D3010">
        <w:rPr>
          <w:rFonts w:cstheme="minorHAnsi"/>
          <w:lang w:val="en-US"/>
        </w:rPr>
        <w:t>pegIFN</w:t>
      </w:r>
      <w:proofErr w:type="spellEnd"/>
      <w:r w:rsidRPr="001D3010">
        <w:rPr>
          <w:rFonts w:cstheme="minorHAnsi"/>
          <w:lang w:val="en-US"/>
        </w:rPr>
        <w:t xml:space="preserve">/RBV </w:t>
      </w:r>
      <w:proofErr w:type="spellStart"/>
      <w:r w:rsidRPr="001D3010">
        <w:rPr>
          <w:rFonts w:cstheme="minorHAnsi"/>
          <w:lang w:val="en-US"/>
        </w:rPr>
        <w:t>relapsers</w:t>
      </w:r>
      <w:proofErr w:type="spellEnd"/>
      <w:r w:rsidRPr="001D3010">
        <w:rPr>
          <w:rFonts w:cstheme="minorHAnsi"/>
          <w:lang w:val="en-US"/>
        </w:rPr>
        <w:t>; 70% were male; 2% were Black; 36% had a body mass index of at least 30 kg/m</w:t>
      </w:r>
      <w:r w:rsidRPr="00521476">
        <w:rPr>
          <w:rFonts w:cstheme="minorHAnsi"/>
          <w:vertAlign w:val="superscript"/>
          <w:lang w:val="en-US"/>
        </w:rPr>
        <w:t>2</w:t>
      </w:r>
      <w:r w:rsidRPr="001D3010">
        <w:rPr>
          <w:rFonts w:cstheme="minorHAnsi"/>
          <w:lang w:val="en-US"/>
        </w:rPr>
        <w:t>. The SVR12 rate</w:t>
      </w:r>
      <w:r>
        <w:rPr>
          <w:rFonts w:cstheme="minorHAnsi"/>
          <w:lang w:val="en-US"/>
        </w:rPr>
        <w:t xml:space="preserve"> for subjects without cirrhosis</w:t>
      </w:r>
      <w:r w:rsidRPr="001D3010">
        <w:rPr>
          <w:rFonts w:cstheme="minorHAnsi"/>
          <w:lang w:val="en-US"/>
        </w:rPr>
        <w:t xml:space="preserve"> treated for  12 weeks was 94.0% (94/100); 1 subject experienced on-treatment </w:t>
      </w:r>
      <w:proofErr w:type="spellStart"/>
      <w:r w:rsidRPr="001D3010">
        <w:rPr>
          <w:rFonts w:cstheme="minorHAnsi"/>
          <w:lang w:val="en-US"/>
        </w:rPr>
        <w:t>virologic</w:t>
      </w:r>
      <w:proofErr w:type="spellEnd"/>
      <w:r w:rsidRPr="001D3010">
        <w:rPr>
          <w:rFonts w:cstheme="minorHAnsi"/>
          <w:lang w:val="en-US"/>
        </w:rPr>
        <w:t xml:space="preserve"> failure, 3 experienced relapse and 2 did not achieve SVR12 due to reasons</w:t>
      </w:r>
      <w:r>
        <w:rPr>
          <w:rFonts w:cstheme="minorHAnsi"/>
          <w:lang w:val="en-US"/>
        </w:rPr>
        <w:t xml:space="preserve"> other than o</w:t>
      </w:r>
      <w:r w:rsidRPr="001D3010">
        <w:rPr>
          <w:rFonts w:cstheme="minorHAnsi"/>
          <w:lang w:val="en-US"/>
        </w:rPr>
        <w:t xml:space="preserve">n-treatment </w:t>
      </w:r>
      <w:proofErr w:type="spellStart"/>
      <w:r w:rsidRPr="001D3010">
        <w:rPr>
          <w:rFonts w:cstheme="minorHAnsi"/>
          <w:lang w:val="en-US"/>
        </w:rPr>
        <w:t>virologic</w:t>
      </w:r>
      <w:proofErr w:type="spellEnd"/>
      <w:r w:rsidRPr="001D3010">
        <w:rPr>
          <w:rFonts w:cstheme="minorHAnsi"/>
          <w:lang w:val="en-US"/>
        </w:rPr>
        <w:t xml:space="preserve"> failure or relapse. </w:t>
      </w:r>
    </w:p>
    <w:p w:rsidR="00521476" w:rsidRPr="001D3010" w:rsidRDefault="00521476" w:rsidP="00521476">
      <w:pPr>
        <w:pStyle w:val="ListParagraph"/>
        <w:spacing w:after="0" w:line="240" w:lineRule="auto"/>
        <w:ind w:left="0"/>
        <w:contextualSpacing w:val="0"/>
        <w:jc w:val="both"/>
        <w:rPr>
          <w:rFonts w:cstheme="minorHAnsi"/>
          <w:lang w:val="en-US"/>
        </w:rPr>
      </w:pPr>
    </w:p>
    <w:p w:rsidR="00BF7C61" w:rsidRPr="003A11C0" w:rsidRDefault="007F7625" w:rsidP="007F7625">
      <w:pPr>
        <w:spacing w:after="0" w:line="240" w:lineRule="auto"/>
        <w:rPr>
          <w:rFonts w:cstheme="minorHAnsi"/>
          <w:lang w:val="en-US"/>
        </w:rPr>
      </w:pPr>
      <w:r w:rsidRPr="001D3010">
        <w:rPr>
          <w:rFonts w:cstheme="minorHAnsi"/>
          <w:lang w:val="en-US"/>
        </w:rPr>
        <w:t xml:space="preserve">Subjects with compensated cirrhosis treated for 12 weeks of therapy had a median age of 58 years (range: 41 to 68); 48% were treatment-naïve, 29% were prior </w:t>
      </w:r>
      <w:proofErr w:type="spellStart"/>
      <w:r w:rsidRPr="001D3010">
        <w:rPr>
          <w:rFonts w:cstheme="minorHAnsi"/>
          <w:lang w:val="en-US"/>
        </w:rPr>
        <w:t>pegIFN</w:t>
      </w:r>
      <w:proofErr w:type="spellEnd"/>
      <w:r w:rsidRPr="001D3010">
        <w:rPr>
          <w:rFonts w:cstheme="minorHAnsi"/>
          <w:lang w:val="en-US"/>
        </w:rPr>
        <w:t xml:space="preserve">/RBV null responders; 6% were prior </w:t>
      </w:r>
      <w:proofErr w:type="spellStart"/>
      <w:r w:rsidRPr="001D3010">
        <w:rPr>
          <w:rFonts w:cstheme="minorHAnsi"/>
          <w:lang w:val="en-US"/>
        </w:rPr>
        <w:t>pegIFN</w:t>
      </w:r>
      <w:proofErr w:type="spellEnd"/>
      <w:r w:rsidRPr="001D3010">
        <w:rPr>
          <w:rFonts w:cstheme="minorHAnsi"/>
          <w:lang w:val="en-US"/>
        </w:rPr>
        <w:t xml:space="preserve">/RBV partial responders, 16% were prior </w:t>
      </w:r>
      <w:proofErr w:type="spellStart"/>
      <w:r w:rsidRPr="001D3010">
        <w:rPr>
          <w:rFonts w:cstheme="minorHAnsi"/>
          <w:lang w:val="en-US"/>
        </w:rPr>
        <w:t>pegIFN</w:t>
      </w:r>
      <w:proofErr w:type="spellEnd"/>
      <w:r w:rsidRPr="001D3010">
        <w:rPr>
          <w:rFonts w:cstheme="minorHAnsi"/>
          <w:lang w:val="en-US"/>
        </w:rPr>
        <w:t xml:space="preserve">/RBV </w:t>
      </w:r>
      <w:proofErr w:type="spellStart"/>
      <w:r w:rsidRPr="001D3010">
        <w:rPr>
          <w:rFonts w:cstheme="minorHAnsi"/>
          <w:lang w:val="en-US"/>
        </w:rPr>
        <w:t>relapsers</w:t>
      </w:r>
      <w:proofErr w:type="spellEnd"/>
      <w:r w:rsidRPr="001D3010">
        <w:rPr>
          <w:rFonts w:cstheme="minorHAnsi"/>
          <w:lang w:val="en-US"/>
        </w:rPr>
        <w:t>; 94% were male; 6% were Black; 42% had a body mass index of at least 30 kg/m</w:t>
      </w:r>
      <w:r w:rsidRPr="00521476">
        <w:rPr>
          <w:rFonts w:cstheme="minorHAnsi"/>
          <w:vertAlign w:val="superscript"/>
          <w:lang w:val="en-US"/>
        </w:rPr>
        <w:t>2</w:t>
      </w:r>
      <w:r w:rsidRPr="001D3010">
        <w:rPr>
          <w:rFonts w:cstheme="minorHAnsi"/>
          <w:lang w:val="en-US"/>
        </w:rPr>
        <w:t xml:space="preserve">; and 6% had albumin less than 3.5 mg per </w:t>
      </w:r>
      <w:proofErr w:type="spellStart"/>
      <w:r w:rsidRPr="001D3010">
        <w:rPr>
          <w:rFonts w:cstheme="minorHAnsi"/>
          <w:lang w:val="en-US"/>
        </w:rPr>
        <w:t>dL</w:t>
      </w:r>
      <w:proofErr w:type="spellEnd"/>
      <w:r w:rsidRPr="001D3010">
        <w:rPr>
          <w:rFonts w:cstheme="minorHAnsi"/>
          <w:lang w:val="en-US"/>
        </w:rPr>
        <w:t>. The SVR12 rate for subjects with com</w:t>
      </w:r>
      <w:r>
        <w:rPr>
          <w:rFonts w:cstheme="minorHAnsi"/>
          <w:lang w:val="en-US"/>
        </w:rPr>
        <w:t>pensated cirrhosis treated for 12 weeks</w:t>
      </w:r>
      <w:r w:rsidRPr="001D3010">
        <w:rPr>
          <w:rFonts w:cstheme="minorHAnsi"/>
          <w:lang w:val="en-US"/>
        </w:rPr>
        <w:t xml:space="preserve"> was 96.8% (30/31); 1 </w:t>
      </w:r>
      <w:r>
        <w:rPr>
          <w:rFonts w:cstheme="minorHAnsi"/>
          <w:lang w:val="en-US"/>
        </w:rPr>
        <w:t>subject</w:t>
      </w:r>
      <w:r w:rsidRPr="001D3010">
        <w:rPr>
          <w:rFonts w:cstheme="minorHAnsi"/>
          <w:lang w:val="en-US"/>
        </w:rPr>
        <w:t xml:space="preserve"> did not achieve SVR12 due </w:t>
      </w:r>
      <w:r>
        <w:rPr>
          <w:rFonts w:cstheme="minorHAnsi"/>
          <w:lang w:val="en-US"/>
        </w:rPr>
        <w:t xml:space="preserve">to </w:t>
      </w:r>
      <w:r w:rsidRPr="001D3010">
        <w:rPr>
          <w:rFonts w:cstheme="minorHAnsi"/>
          <w:lang w:val="en-US"/>
        </w:rPr>
        <w:t>reasons</w:t>
      </w:r>
      <w:r>
        <w:rPr>
          <w:rFonts w:cstheme="minorHAnsi"/>
          <w:lang w:val="en-US"/>
        </w:rPr>
        <w:t xml:space="preserve"> other than o</w:t>
      </w:r>
      <w:r w:rsidRPr="001D3010">
        <w:rPr>
          <w:rFonts w:cstheme="minorHAnsi"/>
          <w:lang w:val="en-US"/>
        </w:rPr>
        <w:t xml:space="preserve">n-treatment </w:t>
      </w:r>
      <w:proofErr w:type="spellStart"/>
      <w:r w:rsidRPr="001D3010">
        <w:rPr>
          <w:rFonts w:cstheme="minorHAnsi"/>
          <w:lang w:val="en-US"/>
        </w:rPr>
        <w:t>virologic</w:t>
      </w:r>
      <w:proofErr w:type="spellEnd"/>
      <w:r w:rsidRPr="001D3010">
        <w:rPr>
          <w:rFonts w:cstheme="minorHAnsi"/>
          <w:lang w:val="en-US"/>
        </w:rPr>
        <w:t xml:space="preserve"> failure or relapse</w:t>
      </w:r>
      <w:r>
        <w:rPr>
          <w:rFonts w:cstheme="minorHAnsi"/>
          <w:lang w:val="en-US"/>
        </w:rPr>
        <w:t>.</w:t>
      </w:r>
    </w:p>
    <w:p w:rsidR="00085F33" w:rsidRPr="00A47F4F" w:rsidRDefault="0011309F">
      <w:pPr>
        <w:pStyle w:val="Heading1"/>
        <w:rPr>
          <w:sz w:val="22"/>
          <w:szCs w:val="22"/>
        </w:rPr>
      </w:pPr>
      <w:bookmarkStart w:id="35" w:name="_Toc383787397"/>
      <w:r w:rsidRPr="00A47F4F">
        <w:rPr>
          <w:sz w:val="22"/>
          <w:szCs w:val="22"/>
        </w:rPr>
        <w:t>Indications</w:t>
      </w:r>
      <w:bookmarkEnd w:id="35"/>
    </w:p>
    <w:p w:rsidR="00085F33" w:rsidRPr="00A47F4F" w:rsidRDefault="0011309F">
      <w:pPr>
        <w:spacing w:line="240" w:lineRule="auto"/>
        <w:jc w:val="both"/>
        <w:rPr>
          <w:rFonts w:cs="Arial"/>
        </w:rPr>
      </w:pPr>
      <w:r w:rsidRPr="00A47F4F">
        <w:t xml:space="preserve">TECHNIVIE is indicated in combination with ribavirin for the treatment of </w:t>
      </w:r>
      <w:r w:rsidR="00515E7C">
        <w:t xml:space="preserve">adult </w:t>
      </w:r>
      <w:r w:rsidRPr="00A47F4F">
        <w:t>patients with genotype 4 chronic hepatitis C virus (HCV) infection</w:t>
      </w:r>
      <w:r w:rsidR="002822A4" w:rsidRPr="00A47F4F">
        <w:t>.</w:t>
      </w:r>
    </w:p>
    <w:p w:rsidR="00085F33" w:rsidRPr="00A47F4F" w:rsidRDefault="0011309F">
      <w:pPr>
        <w:pStyle w:val="Heading1"/>
        <w:rPr>
          <w:sz w:val="22"/>
          <w:szCs w:val="22"/>
        </w:rPr>
      </w:pPr>
      <w:bookmarkStart w:id="36" w:name="_Toc383787398"/>
      <w:r w:rsidRPr="00A47F4F">
        <w:rPr>
          <w:sz w:val="22"/>
          <w:szCs w:val="22"/>
        </w:rPr>
        <w:t>Contraindications</w:t>
      </w:r>
      <w:bookmarkEnd w:id="36"/>
    </w:p>
    <w:p w:rsidR="00085F33" w:rsidRPr="00A47F4F" w:rsidRDefault="0011309F">
      <w:pPr>
        <w:numPr>
          <w:ilvl w:val="0"/>
          <w:numId w:val="94"/>
        </w:numPr>
        <w:spacing w:before="24" w:after="0" w:line="240" w:lineRule="auto"/>
        <w:ind w:left="360" w:hanging="210"/>
        <w:jc w:val="both"/>
        <w:rPr>
          <w:rFonts w:eastAsia="Times New Roman" w:cstheme="minorHAnsi"/>
        </w:rPr>
      </w:pPr>
      <w:r w:rsidRPr="00130A5E">
        <w:rPr>
          <w:rFonts w:eastAsia="Times New Roman" w:cstheme="minorHAnsi"/>
        </w:rPr>
        <w:t xml:space="preserve">The contraindications to ribavirin also apply to this combination regimen. </w:t>
      </w:r>
      <w:r w:rsidR="00035A4F" w:rsidRPr="00130A5E">
        <w:rPr>
          <w:rFonts w:eastAsia="Times New Roman" w:cstheme="minorHAnsi"/>
        </w:rPr>
        <w:t xml:space="preserve"> </w:t>
      </w:r>
      <w:r w:rsidRPr="00130A5E">
        <w:rPr>
          <w:rFonts w:eastAsia="Times New Roman" w:cstheme="minorHAnsi"/>
        </w:rPr>
        <w:t>Refer to the ribavirin prescribing information for a list of contraindications for ribavirin</w:t>
      </w:r>
      <w:r w:rsidRPr="00A47F4F">
        <w:rPr>
          <w:rFonts w:eastAsia="Times New Roman" w:cstheme="minorHAnsi"/>
        </w:rPr>
        <w:t xml:space="preserve">. </w:t>
      </w:r>
    </w:p>
    <w:p w:rsidR="00085F33" w:rsidRPr="00A47F4F" w:rsidRDefault="0011309F">
      <w:pPr>
        <w:numPr>
          <w:ilvl w:val="0"/>
          <w:numId w:val="94"/>
        </w:numPr>
        <w:spacing w:before="24" w:after="0" w:line="240" w:lineRule="auto"/>
        <w:ind w:left="360" w:hanging="210"/>
        <w:jc w:val="both"/>
        <w:rPr>
          <w:rFonts w:eastAsia="Times New Roman" w:cstheme="minorHAnsi"/>
        </w:rPr>
      </w:pPr>
      <w:r w:rsidRPr="00A47F4F">
        <w:rPr>
          <w:rFonts w:eastAsia="Times New Roman" w:cstheme="minorHAnsi"/>
        </w:rPr>
        <w:t xml:space="preserve">TECHNIVIE is contraindicated: </w:t>
      </w:r>
      <w:bookmarkStart w:id="37" w:name="l363529291436453564"/>
      <w:bookmarkEnd w:id="37"/>
    </w:p>
    <w:p w:rsidR="00085F33" w:rsidRPr="00A47F4F" w:rsidRDefault="0011309F">
      <w:pPr>
        <w:numPr>
          <w:ilvl w:val="0"/>
          <w:numId w:val="95"/>
        </w:numPr>
        <w:spacing w:before="24" w:after="0" w:line="240" w:lineRule="auto"/>
        <w:ind w:hanging="210"/>
        <w:jc w:val="both"/>
        <w:rPr>
          <w:rFonts w:eastAsia="Times New Roman" w:cstheme="minorHAnsi"/>
        </w:rPr>
      </w:pPr>
      <w:r w:rsidRPr="00A47F4F">
        <w:rPr>
          <w:rFonts w:eastAsia="Times New Roman" w:cstheme="minorHAnsi"/>
        </w:rPr>
        <w:t xml:space="preserve">In patients with severe hepatic impairment </w:t>
      </w:r>
      <w:r w:rsidR="00E925E3">
        <w:rPr>
          <w:rFonts w:eastAsia="Times New Roman" w:cstheme="minorHAnsi"/>
        </w:rPr>
        <w:t xml:space="preserve">(Child-Pugh C) </w:t>
      </w:r>
      <w:r w:rsidRPr="00A47F4F">
        <w:rPr>
          <w:rFonts w:eastAsia="Times New Roman" w:cstheme="minorHAnsi"/>
        </w:rPr>
        <w:t xml:space="preserve">due to risk of potential toxicity </w:t>
      </w:r>
      <w:r w:rsidRPr="00A47F4F">
        <w:rPr>
          <w:rFonts w:eastAsia="Times New Roman" w:cstheme="minorHAnsi"/>
          <w:i/>
        </w:rPr>
        <w:t>[see Use in Specific Populations and Clinical Pharmacology)]</w:t>
      </w:r>
      <w:r w:rsidRPr="00A47F4F">
        <w:rPr>
          <w:rFonts w:eastAsia="Times New Roman" w:cstheme="minorHAnsi"/>
        </w:rPr>
        <w:t xml:space="preserve">. </w:t>
      </w:r>
    </w:p>
    <w:p w:rsidR="00085F33" w:rsidRPr="00A47F4F" w:rsidRDefault="0011309F">
      <w:pPr>
        <w:numPr>
          <w:ilvl w:val="0"/>
          <w:numId w:val="95"/>
        </w:numPr>
        <w:spacing w:before="24" w:after="0" w:line="240" w:lineRule="auto"/>
        <w:ind w:hanging="210"/>
        <w:jc w:val="both"/>
        <w:rPr>
          <w:rFonts w:eastAsia="Times New Roman" w:cstheme="minorHAnsi"/>
        </w:rPr>
      </w:pPr>
      <w:r w:rsidRPr="00A47F4F">
        <w:rPr>
          <w:rFonts w:eastAsia="Times New Roman" w:cstheme="minorHAnsi"/>
        </w:rPr>
        <w:t xml:space="preserve">With drugs that are highly dependent on CYP3A for clearance and for which elevated plasma concentrations are associated with serious and/or life-threatening events. </w:t>
      </w:r>
    </w:p>
    <w:p w:rsidR="00085F33" w:rsidRPr="00A47F4F" w:rsidRDefault="0011309F">
      <w:pPr>
        <w:numPr>
          <w:ilvl w:val="0"/>
          <w:numId w:val="95"/>
        </w:numPr>
        <w:spacing w:before="24" w:after="0" w:line="240" w:lineRule="auto"/>
        <w:ind w:hanging="210"/>
        <w:jc w:val="both"/>
        <w:rPr>
          <w:rFonts w:eastAsia="Times New Roman" w:cstheme="minorHAnsi"/>
        </w:rPr>
      </w:pPr>
      <w:r w:rsidRPr="00A47F4F">
        <w:rPr>
          <w:rFonts w:eastAsia="Times New Roman" w:cstheme="minorHAnsi"/>
        </w:rPr>
        <w:t>With drugs that are moderate or strong inducers of CYP3A and may lead to reduced efficacy of TECHNIVIE.</w:t>
      </w:r>
    </w:p>
    <w:p w:rsidR="00085F33" w:rsidRPr="00A47F4F" w:rsidRDefault="0011309F">
      <w:pPr>
        <w:numPr>
          <w:ilvl w:val="0"/>
          <w:numId w:val="95"/>
        </w:numPr>
        <w:spacing w:before="24" w:after="0" w:line="240" w:lineRule="auto"/>
        <w:ind w:hanging="210"/>
        <w:jc w:val="both"/>
        <w:rPr>
          <w:rFonts w:eastAsia="Times New Roman" w:cstheme="minorHAnsi"/>
        </w:rPr>
      </w:pPr>
      <w:r w:rsidRPr="00A47F4F">
        <w:rPr>
          <w:rFonts w:eastAsia="Times New Roman" w:cstheme="minorHAnsi"/>
        </w:rPr>
        <w:t xml:space="preserve">In patients with known hypersensitivity to ritonavir (e.g. toxic epidermal necrolysis (TEN) or Stevens-Johnson syndrome). </w:t>
      </w:r>
    </w:p>
    <w:p w:rsidR="000B5B60" w:rsidRPr="00A47F4F" w:rsidRDefault="000B5B60">
      <w:pPr>
        <w:pStyle w:val="BodytextAgency"/>
        <w:spacing w:line="240" w:lineRule="auto"/>
        <w:rPr>
          <w:sz w:val="22"/>
          <w:szCs w:val="22"/>
        </w:rPr>
      </w:pPr>
    </w:p>
    <w:p w:rsidR="00085F33" w:rsidRPr="00A47F4F" w:rsidRDefault="00AD58F7">
      <w:pPr>
        <w:pStyle w:val="BodytextAgency"/>
        <w:spacing w:line="240" w:lineRule="auto"/>
        <w:rPr>
          <w:rFonts w:asciiTheme="minorHAnsi" w:eastAsia="Times New Roman" w:hAnsiTheme="minorHAnsi" w:cstheme="minorHAnsi"/>
          <w:sz w:val="22"/>
          <w:szCs w:val="22"/>
          <w:lang w:val="en-AU" w:eastAsia="en-US"/>
        </w:rPr>
      </w:pPr>
      <w:hyperlink w:anchor="table_2" w:tooltip="gtc:Link" w:history="1">
        <w:r w:rsidR="00230711" w:rsidRPr="00A47F4F">
          <w:rPr>
            <w:rFonts w:asciiTheme="minorHAnsi" w:eastAsia="Times New Roman" w:hAnsiTheme="minorHAnsi" w:cstheme="minorHAnsi"/>
            <w:sz w:val="22"/>
            <w:szCs w:val="22"/>
            <w:lang w:val="en-AU" w:eastAsia="en-US"/>
          </w:rPr>
          <w:t xml:space="preserve">Table </w:t>
        </w:r>
        <w:r w:rsidR="004E4A1D">
          <w:rPr>
            <w:rFonts w:asciiTheme="minorHAnsi" w:eastAsia="Times New Roman" w:hAnsiTheme="minorHAnsi" w:cstheme="minorHAnsi"/>
            <w:sz w:val="22"/>
            <w:szCs w:val="22"/>
            <w:lang w:val="en-AU" w:eastAsia="en-US"/>
          </w:rPr>
          <w:t>4</w:t>
        </w:r>
      </w:hyperlink>
      <w:r w:rsidR="00230711" w:rsidRPr="00A47F4F">
        <w:rPr>
          <w:rFonts w:asciiTheme="minorHAnsi" w:eastAsia="Times New Roman" w:hAnsiTheme="minorHAnsi" w:cstheme="minorHAnsi"/>
          <w:sz w:val="22"/>
          <w:szCs w:val="22"/>
          <w:lang w:val="en-AU" w:eastAsia="en-US"/>
        </w:rPr>
        <w:t xml:space="preserve"> </w:t>
      </w:r>
      <w:r w:rsidR="0011309F" w:rsidRPr="00A47F4F">
        <w:rPr>
          <w:rFonts w:asciiTheme="minorHAnsi" w:eastAsia="Times New Roman" w:hAnsiTheme="minorHAnsi" w:cstheme="minorHAnsi"/>
          <w:sz w:val="22"/>
          <w:szCs w:val="22"/>
          <w:lang w:val="en-AU" w:eastAsia="en-US"/>
        </w:rPr>
        <w:t>lists drugs that are contraindicated with TECHNIVIE (see INTERACTIONS WITH OTHER MEDICINES).</w:t>
      </w:r>
    </w:p>
    <w:p w:rsidR="00B3377C" w:rsidRPr="00A47F4F" w:rsidRDefault="00B3377C" w:rsidP="00B3377C">
      <w:pPr>
        <w:pStyle w:val="BodytextAgency"/>
        <w:spacing w:line="240" w:lineRule="auto"/>
        <w:jc w:val="center"/>
        <w:rPr>
          <w:rFonts w:asciiTheme="minorHAnsi" w:eastAsia="Times New Roman" w:hAnsiTheme="minorHAnsi" w:cstheme="minorHAnsi"/>
          <w:sz w:val="22"/>
          <w:szCs w:val="22"/>
        </w:rPr>
      </w:pPr>
      <w:r w:rsidRPr="00A47F4F">
        <w:rPr>
          <w:rFonts w:asciiTheme="minorHAnsi" w:eastAsia="Times New Roman" w:hAnsiTheme="minorHAnsi" w:cstheme="minorHAnsi"/>
          <w:b/>
          <w:sz w:val="22"/>
          <w:szCs w:val="22"/>
        </w:rPr>
        <w:t xml:space="preserve">Table </w:t>
      </w:r>
      <w:r w:rsidR="004E4A1D">
        <w:rPr>
          <w:rFonts w:asciiTheme="minorHAnsi" w:eastAsia="Times New Roman" w:hAnsiTheme="minorHAnsi" w:cstheme="minorHAnsi"/>
          <w:b/>
          <w:sz w:val="22"/>
          <w:szCs w:val="22"/>
        </w:rPr>
        <w:t>4</w:t>
      </w:r>
      <w:r w:rsidRPr="00A47F4F">
        <w:rPr>
          <w:rFonts w:asciiTheme="minorHAnsi" w:eastAsia="Times New Roman" w:hAnsiTheme="minorHAnsi" w:cstheme="minorHAnsi"/>
          <w:b/>
          <w:sz w:val="22"/>
          <w:szCs w:val="22"/>
        </w:rPr>
        <w:t>– Drugs that are contraindicated with TECHNIVIE</w:t>
      </w:r>
    </w:p>
    <w:tbl>
      <w:tblPr>
        <w:tblW w:w="5000" w:type="pct"/>
        <w:tblCellMar>
          <w:top w:w="90" w:type="dxa"/>
          <w:left w:w="90" w:type="dxa"/>
          <w:bottom w:w="90" w:type="dxa"/>
          <w:right w:w="90" w:type="dxa"/>
        </w:tblCellMar>
        <w:tblLook w:val="04A0" w:firstRow="1" w:lastRow="0" w:firstColumn="1" w:lastColumn="0" w:noHBand="0" w:noVBand="1"/>
      </w:tblPr>
      <w:tblGrid>
        <w:gridCol w:w="2301"/>
        <w:gridCol w:w="2302"/>
        <w:gridCol w:w="4603"/>
      </w:tblGrid>
      <w:tr w:rsidR="00085F33" w:rsidRPr="00A47F4F" w:rsidTr="00A47F4F">
        <w:trPr>
          <w:tblHeader/>
        </w:trPr>
        <w:tc>
          <w:tcPr>
            <w:tcW w:w="1250" w:type="pct"/>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after="60" w:line="240" w:lineRule="auto"/>
              <w:jc w:val="center"/>
              <w:rPr>
                <w:rFonts w:eastAsia="Times New Roman" w:cstheme="minorHAnsi"/>
              </w:rPr>
            </w:pPr>
            <w:r w:rsidRPr="00A47F4F">
              <w:rPr>
                <w:rFonts w:eastAsia="Times New Roman" w:cstheme="minorHAnsi"/>
                <w:b/>
              </w:rPr>
              <w:t>Drug Class</w:t>
            </w:r>
          </w:p>
        </w:tc>
        <w:tc>
          <w:tcPr>
            <w:tcW w:w="1250" w:type="pct"/>
            <w:tcBorders>
              <w:top w:val="single" w:sz="6" w:space="0" w:color="000000"/>
              <w:left w:val="single" w:sz="6" w:space="0" w:color="000000"/>
              <w:bottom w:val="single" w:sz="6" w:space="0" w:color="000000"/>
              <w:right w:val="single" w:sz="6" w:space="0" w:color="000000"/>
            </w:tcBorders>
            <w:hideMark/>
          </w:tcPr>
          <w:p w:rsidR="00085F33" w:rsidRPr="00A47F4F" w:rsidRDefault="0011309F" w:rsidP="00A47F4F">
            <w:pPr>
              <w:spacing w:after="60" w:line="240" w:lineRule="auto"/>
              <w:rPr>
                <w:rFonts w:eastAsia="Times New Roman" w:cstheme="minorHAnsi"/>
              </w:rPr>
            </w:pPr>
            <w:r w:rsidRPr="00A47F4F">
              <w:rPr>
                <w:rFonts w:eastAsia="Times New Roman" w:cstheme="minorHAnsi"/>
                <w:b/>
              </w:rPr>
              <w:t>Drug(s) within Class</w:t>
            </w:r>
            <w:r w:rsidRPr="00A47F4F">
              <w:rPr>
                <w:rFonts w:eastAsia="Times New Roman" w:cstheme="minorHAnsi"/>
                <w:b/>
              </w:rPr>
              <w:br/>
              <w:t>that are</w:t>
            </w:r>
            <w:r w:rsidRPr="00A47F4F">
              <w:rPr>
                <w:rFonts w:eastAsia="Times New Roman" w:cstheme="minorHAnsi"/>
                <w:b/>
              </w:rPr>
              <w:br/>
              <w:t>Contraindicated</w:t>
            </w:r>
          </w:p>
        </w:tc>
        <w:tc>
          <w:tcPr>
            <w:tcW w:w="2500" w:type="pct"/>
            <w:tcBorders>
              <w:top w:val="single" w:sz="6" w:space="0" w:color="000000"/>
              <w:left w:val="single" w:sz="6" w:space="0" w:color="000000"/>
              <w:bottom w:val="single" w:sz="6" w:space="0" w:color="000000"/>
              <w:right w:val="single" w:sz="6" w:space="0" w:color="000000"/>
            </w:tcBorders>
            <w:hideMark/>
          </w:tcPr>
          <w:p w:rsidR="00085F33" w:rsidRPr="00A47F4F" w:rsidRDefault="0011309F" w:rsidP="00A47F4F">
            <w:pPr>
              <w:spacing w:after="60" w:line="240" w:lineRule="auto"/>
              <w:rPr>
                <w:rFonts w:eastAsia="Times New Roman" w:cstheme="minorHAnsi"/>
              </w:rPr>
            </w:pPr>
            <w:r w:rsidRPr="00A47F4F">
              <w:rPr>
                <w:rFonts w:eastAsia="Times New Roman" w:cstheme="minorHAnsi"/>
                <w:b/>
              </w:rPr>
              <w:t>Clinical Comments</w:t>
            </w:r>
          </w:p>
        </w:tc>
      </w:tr>
      <w:tr w:rsidR="00085F33" w:rsidRPr="00A47F4F" w:rsidTr="00A47F4F">
        <w:tc>
          <w:tcPr>
            <w:tcW w:w="1250" w:type="pct"/>
            <w:tcBorders>
              <w:top w:val="single" w:sz="6" w:space="0" w:color="000000"/>
              <w:left w:val="single" w:sz="6" w:space="0" w:color="000000"/>
              <w:bottom w:val="single" w:sz="6" w:space="0" w:color="000000"/>
              <w:right w:val="single" w:sz="6" w:space="0" w:color="000000"/>
            </w:tcBorders>
            <w:hideMark/>
          </w:tcPr>
          <w:p w:rsidR="00085F33" w:rsidRPr="00A47F4F" w:rsidRDefault="0011309F">
            <w:pPr>
              <w:spacing w:after="60" w:line="240" w:lineRule="auto"/>
              <w:jc w:val="both"/>
              <w:rPr>
                <w:rFonts w:eastAsia="Times New Roman" w:cstheme="minorHAnsi"/>
              </w:rPr>
            </w:pPr>
            <w:r w:rsidRPr="00A47F4F">
              <w:rPr>
                <w:rFonts w:eastAsia="Times New Roman" w:cstheme="minorHAnsi"/>
              </w:rPr>
              <w:t>Alpha1-adrenoreceptor</w:t>
            </w:r>
            <w:r w:rsidRPr="00A47F4F">
              <w:rPr>
                <w:rFonts w:eastAsia="Times New Roman" w:cstheme="minorHAnsi"/>
              </w:rPr>
              <w:br/>
              <w:t xml:space="preserve">antagonist </w:t>
            </w:r>
          </w:p>
        </w:tc>
        <w:tc>
          <w:tcPr>
            <w:tcW w:w="1250" w:type="pct"/>
            <w:tcBorders>
              <w:top w:val="single" w:sz="6" w:space="0" w:color="000000"/>
              <w:left w:val="single" w:sz="6" w:space="0" w:color="000000"/>
              <w:bottom w:val="single" w:sz="6" w:space="0" w:color="000000"/>
              <w:right w:val="single" w:sz="6" w:space="0" w:color="000000"/>
            </w:tcBorders>
            <w:hideMark/>
          </w:tcPr>
          <w:p w:rsidR="00085F33" w:rsidRPr="00A47F4F" w:rsidRDefault="0011309F" w:rsidP="00A47F4F">
            <w:pPr>
              <w:spacing w:after="60" w:line="240" w:lineRule="auto"/>
              <w:rPr>
                <w:rFonts w:eastAsia="Times New Roman" w:cstheme="minorHAnsi"/>
              </w:rPr>
            </w:pPr>
            <w:proofErr w:type="spellStart"/>
            <w:r w:rsidRPr="00A47F4F">
              <w:rPr>
                <w:rFonts w:eastAsia="Times New Roman" w:cstheme="minorHAnsi"/>
              </w:rPr>
              <w:t>Alfuzosin</w:t>
            </w:r>
            <w:proofErr w:type="spellEnd"/>
            <w:r w:rsidRPr="00A47F4F">
              <w:rPr>
                <w:rFonts w:eastAsia="Times New Roman" w:cstheme="minorHAnsi"/>
              </w:rPr>
              <w:t xml:space="preserve"> </w:t>
            </w:r>
            <w:proofErr w:type="spellStart"/>
            <w:r w:rsidRPr="00A47F4F">
              <w:rPr>
                <w:rFonts w:eastAsia="Times New Roman" w:cstheme="minorHAnsi"/>
              </w:rPr>
              <w:t>HCl</w:t>
            </w:r>
            <w:proofErr w:type="spellEnd"/>
          </w:p>
        </w:tc>
        <w:tc>
          <w:tcPr>
            <w:tcW w:w="2500" w:type="pct"/>
            <w:tcBorders>
              <w:top w:val="single" w:sz="6" w:space="0" w:color="000000"/>
              <w:left w:val="single" w:sz="6" w:space="0" w:color="000000"/>
              <w:bottom w:val="single" w:sz="6" w:space="0" w:color="000000"/>
              <w:right w:val="single" w:sz="6" w:space="0" w:color="000000"/>
            </w:tcBorders>
            <w:hideMark/>
          </w:tcPr>
          <w:p w:rsidR="00085F33" w:rsidRPr="00A47F4F" w:rsidRDefault="0011309F" w:rsidP="00A47F4F">
            <w:pPr>
              <w:spacing w:after="60" w:line="240" w:lineRule="auto"/>
              <w:rPr>
                <w:rFonts w:eastAsia="Times New Roman" w:cstheme="minorHAnsi"/>
              </w:rPr>
            </w:pPr>
            <w:r w:rsidRPr="00A47F4F">
              <w:rPr>
                <w:rFonts w:eastAsia="Times New Roman" w:cstheme="minorHAnsi"/>
              </w:rPr>
              <w:t>Potential for hypotension.</w:t>
            </w:r>
          </w:p>
        </w:tc>
      </w:tr>
      <w:tr w:rsidR="006B3E69" w:rsidRPr="00A47F4F" w:rsidTr="00A47F4F">
        <w:tc>
          <w:tcPr>
            <w:tcW w:w="1250" w:type="pct"/>
            <w:tcBorders>
              <w:top w:val="single" w:sz="6" w:space="0" w:color="000000"/>
              <w:left w:val="single" w:sz="6" w:space="0" w:color="000000"/>
              <w:bottom w:val="single" w:sz="6" w:space="0" w:color="000000"/>
              <w:right w:val="single" w:sz="6" w:space="0" w:color="000000"/>
            </w:tcBorders>
          </w:tcPr>
          <w:p w:rsidR="006B3E69" w:rsidRPr="00A47F4F" w:rsidRDefault="006B3E69">
            <w:pPr>
              <w:spacing w:after="60" w:line="240" w:lineRule="auto"/>
              <w:jc w:val="both"/>
              <w:rPr>
                <w:rFonts w:eastAsia="Times New Roman" w:cstheme="minorHAnsi"/>
              </w:rPr>
            </w:pPr>
            <w:r>
              <w:rPr>
                <w:rFonts w:ascii="Calibri" w:hAnsi="Calibri" w:cs="Calibri"/>
              </w:rPr>
              <w:t>Antianginal</w:t>
            </w:r>
          </w:p>
        </w:tc>
        <w:tc>
          <w:tcPr>
            <w:tcW w:w="1250" w:type="pct"/>
            <w:tcBorders>
              <w:top w:val="single" w:sz="6" w:space="0" w:color="000000"/>
              <w:left w:val="single" w:sz="6" w:space="0" w:color="000000"/>
              <w:bottom w:val="single" w:sz="6" w:space="0" w:color="000000"/>
              <w:right w:val="single" w:sz="6" w:space="0" w:color="000000"/>
            </w:tcBorders>
          </w:tcPr>
          <w:p w:rsidR="006B3E69" w:rsidRPr="00A47F4F" w:rsidRDefault="006B3E69" w:rsidP="00A47F4F">
            <w:pPr>
              <w:spacing w:after="60" w:line="240" w:lineRule="auto"/>
              <w:rPr>
                <w:rFonts w:eastAsia="Times New Roman" w:cstheme="minorHAnsi"/>
              </w:rPr>
            </w:pPr>
            <w:proofErr w:type="spellStart"/>
            <w:r>
              <w:rPr>
                <w:rFonts w:ascii="Calibri" w:hAnsi="Calibri" w:cs="Calibri"/>
              </w:rPr>
              <w:t>Ranolazine</w:t>
            </w:r>
            <w:proofErr w:type="spellEnd"/>
          </w:p>
        </w:tc>
        <w:tc>
          <w:tcPr>
            <w:tcW w:w="2500" w:type="pct"/>
            <w:tcBorders>
              <w:top w:val="single" w:sz="6" w:space="0" w:color="000000"/>
              <w:left w:val="single" w:sz="6" w:space="0" w:color="000000"/>
              <w:bottom w:val="single" w:sz="6" w:space="0" w:color="000000"/>
              <w:right w:val="single" w:sz="6" w:space="0" w:color="000000"/>
            </w:tcBorders>
          </w:tcPr>
          <w:p w:rsidR="006B3E69" w:rsidRPr="00A47F4F" w:rsidRDefault="006B3E69" w:rsidP="00A47F4F">
            <w:pPr>
              <w:spacing w:after="60" w:line="240" w:lineRule="auto"/>
              <w:rPr>
                <w:rFonts w:eastAsia="Times New Roman" w:cstheme="minorHAnsi"/>
              </w:rPr>
            </w:pPr>
            <w:r>
              <w:rPr>
                <w:rFonts w:ascii="Calibri" w:hAnsi="Calibri" w:cs="Calibri"/>
              </w:rPr>
              <w:t>Potential for serious and/or life-threatening reactions</w:t>
            </w:r>
          </w:p>
        </w:tc>
      </w:tr>
      <w:tr w:rsidR="006B3E69" w:rsidRPr="00A47F4F" w:rsidTr="00EF556C">
        <w:tc>
          <w:tcPr>
            <w:tcW w:w="1250" w:type="pct"/>
            <w:vMerge w:val="restart"/>
            <w:tcBorders>
              <w:top w:val="single" w:sz="6" w:space="0" w:color="000000"/>
              <w:left w:val="single" w:sz="6" w:space="0" w:color="000000"/>
              <w:right w:val="single" w:sz="6" w:space="0" w:color="000000"/>
            </w:tcBorders>
          </w:tcPr>
          <w:p w:rsidR="006B3E69" w:rsidRPr="00E43337" w:rsidRDefault="006B3E69">
            <w:pPr>
              <w:spacing w:after="60" w:line="240" w:lineRule="auto"/>
              <w:jc w:val="both"/>
              <w:rPr>
                <w:rFonts w:eastAsia="Times New Roman" w:cstheme="minorHAnsi"/>
              </w:rPr>
            </w:pPr>
            <w:proofErr w:type="spellStart"/>
            <w:r w:rsidRPr="00E43337">
              <w:rPr>
                <w:rFonts w:ascii="Calibri" w:hAnsi="Calibri" w:cs="Calibri"/>
              </w:rPr>
              <w:t>Antiarrhythmics</w:t>
            </w:r>
            <w:proofErr w:type="spellEnd"/>
          </w:p>
        </w:tc>
        <w:tc>
          <w:tcPr>
            <w:tcW w:w="1250" w:type="pct"/>
            <w:tcBorders>
              <w:top w:val="single" w:sz="6" w:space="0" w:color="000000"/>
              <w:left w:val="single" w:sz="6" w:space="0" w:color="000000"/>
              <w:bottom w:val="single" w:sz="6" w:space="0" w:color="000000"/>
              <w:right w:val="single" w:sz="6" w:space="0" w:color="000000"/>
            </w:tcBorders>
          </w:tcPr>
          <w:p w:rsidR="006B3E69" w:rsidRPr="00E43337" w:rsidRDefault="006B3E69" w:rsidP="00A47F4F">
            <w:pPr>
              <w:spacing w:after="60" w:line="240" w:lineRule="auto"/>
              <w:rPr>
                <w:rFonts w:eastAsia="Times New Roman" w:cstheme="minorHAnsi"/>
              </w:rPr>
            </w:pPr>
            <w:r w:rsidRPr="00E43337">
              <w:rPr>
                <w:rFonts w:ascii="Calibri" w:hAnsi="Calibri" w:cs="Calibri"/>
              </w:rPr>
              <w:t>Amiodarone, quinidine</w:t>
            </w:r>
          </w:p>
        </w:tc>
        <w:tc>
          <w:tcPr>
            <w:tcW w:w="2500" w:type="pct"/>
            <w:tcBorders>
              <w:top w:val="single" w:sz="6" w:space="0" w:color="000000"/>
              <w:left w:val="single" w:sz="6" w:space="0" w:color="000000"/>
              <w:bottom w:val="single" w:sz="6" w:space="0" w:color="000000"/>
              <w:right w:val="single" w:sz="6" w:space="0" w:color="000000"/>
            </w:tcBorders>
          </w:tcPr>
          <w:p w:rsidR="006B3E69" w:rsidRPr="00E43337" w:rsidRDefault="006B3E69" w:rsidP="00A47F4F">
            <w:pPr>
              <w:spacing w:after="60" w:line="240" w:lineRule="auto"/>
              <w:rPr>
                <w:rFonts w:eastAsia="Times New Roman" w:cstheme="minorHAnsi"/>
              </w:rPr>
            </w:pPr>
            <w:r w:rsidRPr="00E43337">
              <w:rPr>
                <w:rFonts w:ascii="Calibri" w:hAnsi="Calibri" w:cs="Calibri"/>
              </w:rPr>
              <w:t>Potential for cardiac arrhythmias.</w:t>
            </w:r>
          </w:p>
        </w:tc>
      </w:tr>
      <w:tr w:rsidR="006B3E69" w:rsidRPr="00A47F4F" w:rsidTr="00EF556C">
        <w:tc>
          <w:tcPr>
            <w:tcW w:w="1250" w:type="pct"/>
            <w:vMerge/>
            <w:tcBorders>
              <w:left w:val="single" w:sz="6" w:space="0" w:color="000000"/>
              <w:bottom w:val="single" w:sz="6" w:space="0" w:color="000000"/>
              <w:right w:val="single" w:sz="6" w:space="0" w:color="000000"/>
            </w:tcBorders>
          </w:tcPr>
          <w:p w:rsidR="006B3E69" w:rsidRPr="00E43337" w:rsidRDefault="006B3E69">
            <w:pPr>
              <w:spacing w:after="60" w:line="240" w:lineRule="auto"/>
              <w:jc w:val="both"/>
              <w:rPr>
                <w:rFonts w:ascii="Calibri" w:hAnsi="Calibri" w:cs="Calibri"/>
              </w:rPr>
            </w:pPr>
          </w:p>
        </w:tc>
        <w:tc>
          <w:tcPr>
            <w:tcW w:w="1250" w:type="pct"/>
            <w:tcBorders>
              <w:top w:val="single" w:sz="6" w:space="0" w:color="000000"/>
              <w:left w:val="single" w:sz="6" w:space="0" w:color="000000"/>
              <w:bottom w:val="single" w:sz="6" w:space="0" w:color="000000"/>
              <w:right w:val="single" w:sz="6" w:space="0" w:color="000000"/>
            </w:tcBorders>
          </w:tcPr>
          <w:p w:rsidR="006B3E69" w:rsidRPr="00E43337" w:rsidRDefault="006B3E69" w:rsidP="00A47F4F">
            <w:pPr>
              <w:spacing w:after="60" w:line="240" w:lineRule="auto"/>
              <w:rPr>
                <w:rFonts w:ascii="Calibri" w:hAnsi="Calibri" w:cs="Calibri"/>
              </w:rPr>
            </w:pPr>
            <w:proofErr w:type="spellStart"/>
            <w:r>
              <w:rPr>
                <w:rFonts w:ascii="Calibri" w:hAnsi="Calibri" w:cs="Calibri"/>
              </w:rPr>
              <w:t>Dronedarone</w:t>
            </w:r>
            <w:proofErr w:type="spellEnd"/>
          </w:p>
        </w:tc>
        <w:tc>
          <w:tcPr>
            <w:tcW w:w="2500" w:type="pct"/>
            <w:tcBorders>
              <w:top w:val="single" w:sz="6" w:space="0" w:color="000000"/>
              <w:left w:val="single" w:sz="6" w:space="0" w:color="000000"/>
              <w:bottom w:val="single" w:sz="6" w:space="0" w:color="000000"/>
              <w:right w:val="single" w:sz="6" w:space="0" w:color="000000"/>
            </w:tcBorders>
          </w:tcPr>
          <w:p w:rsidR="006B3E69" w:rsidRPr="00E43337" w:rsidRDefault="006B3E69" w:rsidP="00A47F4F">
            <w:pPr>
              <w:spacing w:after="60" w:line="240" w:lineRule="auto"/>
              <w:rPr>
                <w:rFonts w:ascii="Calibri" w:hAnsi="Calibri" w:cs="Calibri"/>
              </w:rPr>
            </w:pPr>
            <w:r>
              <w:rPr>
                <w:rFonts w:cs="Arial"/>
              </w:rPr>
              <w:t>Potential for serious and/or life-threatening reactions such as cardiac arrhythmias</w:t>
            </w:r>
          </w:p>
        </w:tc>
      </w:tr>
      <w:tr w:rsidR="009941CB" w:rsidRPr="00A47F4F" w:rsidTr="00A47F4F">
        <w:tc>
          <w:tcPr>
            <w:tcW w:w="1250" w:type="pct"/>
            <w:tcBorders>
              <w:top w:val="single" w:sz="6" w:space="0" w:color="000000"/>
              <w:left w:val="single" w:sz="6" w:space="0" w:color="000000"/>
              <w:bottom w:val="single" w:sz="6" w:space="0" w:color="000000"/>
              <w:right w:val="single" w:sz="6" w:space="0" w:color="000000"/>
            </w:tcBorders>
            <w:hideMark/>
          </w:tcPr>
          <w:p w:rsidR="009941CB" w:rsidRPr="00A47F4F" w:rsidRDefault="009941CB">
            <w:pPr>
              <w:spacing w:after="60" w:line="240" w:lineRule="auto"/>
              <w:jc w:val="both"/>
              <w:rPr>
                <w:rFonts w:eastAsia="Times New Roman" w:cstheme="minorHAnsi"/>
              </w:rPr>
            </w:pPr>
            <w:r w:rsidRPr="00A47F4F">
              <w:rPr>
                <w:rFonts w:eastAsia="Times New Roman" w:cstheme="minorHAnsi"/>
              </w:rPr>
              <w:t>Anticonvulsants</w:t>
            </w:r>
          </w:p>
        </w:tc>
        <w:tc>
          <w:tcPr>
            <w:tcW w:w="1250" w:type="pct"/>
            <w:tcBorders>
              <w:top w:val="single" w:sz="6" w:space="0" w:color="000000"/>
              <w:left w:val="single" w:sz="6" w:space="0" w:color="000000"/>
              <w:bottom w:val="single" w:sz="6" w:space="0" w:color="000000"/>
              <w:right w:val="single" w:sz="6" w:space="0" w:color="000000"/>
            </w:tcBorders>
            <w:hideMark/>
          </w:tcPr>
          <w:p w:rsidR="009941CB" w:rsidRPr="00A47F4F" w:rsidRDefault="009941CB" w:rsidP="00A47F4F">
            <w:pPr>
              <w:spacing w:after="60" w:line="240" w:lineRule="auto"/>
              <w:rPr>
                <w:rFonts w:eastAsia="Times New Roman" w:cstheme="minorHAnsi"/>
              </w:rPr>
            </w:pPr>
            <w:r w:rsidRPr="00A47F4F">
              <w:rPr>
                <w:rFonts w:eastAsia="Times New Roman" w:cstheme="minorHAnsi"/>
              </w:rPr>
              <w:t>Carbamazepine,</w:t>
            </w:r>
            <w:r w:rsidRPr="00A47F4F">
              <w:rPr>
                <w:rFonts w:eastAsia="Times New Roman" w:cstheme="minorHAnsi"/>
              </w:rPr>
              <w:br/>
              <w:t xml:space="preserve">phenytoin, </w:t>
            </w:r>
            <w:r w:rsidRPr="00A47F4F">
              <w:rPr>
                <w:rFonts w:eastAsia="Times New Roman" w:cstheme="minorHAnsi"/>
              </w:rPr>
              <w:br/>
              <w:t xml:space="preserve">phenobarbital </w:t>
            </w:r>
          </w:p>
        </w:tc>
        <w:tc>
          <w:tcPr>
            <w:tcW w:w="2500" w:type="pct"/>
            <w:tcBorders>
              <w:top w:val="single" w:sz="6" w:space="0" w:color="000000"/>
              <w:left w:val="single" w:sz="6" w:space="0" w:color="000000"/>
              <w:bottom w:val="single" w:sz="6" w:space="0" w:color="000000"/>
              <w:right w:val="single" w:sz="6" w:space="0" w:color="000000"/>
            </w:tcBorders>
            <w:hideMark/>
          </w:tcPr>
          <w:p w:rsidR="009941CB" w:rsidRPr="00A47F4F" w:rsidRDefault="009941CB" w:rsidP="00A47F4F">
            <w:pPr>
              <w:spacing w:after="60" w:line="240" w:lineRule="auto"/>
              <w:rPr>
                <w:rFonts w:eastAsia="Times New Roman" w:cstheme="minorHAnsi"/>
              </w:rPr>
            </w:pPr>
            <w:proofErr w:type="spellStart"/>
            <w:r w:rsidRPr="00A47F4F">
              <w:rPr>
                <w:rFonts w:eastAsia="Times New Roman" w:cstheme="minorHAnsi"/>
              </w:rPr>
              <w:t>Ombitasvir</w:t>
            </w:r>
            <w:proofErr w:type="spellEnd"/>
            <w:r w:rsidRPr="00A47F4F">
              <w:rPr>
                <w:rFonts w:eastAsia="Times New Roman" w:cstheme="minorHAnsi"/>
              </w:rPr>
              <w:t xml:space="preserve">, </w:t>
            </w:r>
            <w:proofErr w:type="spellStart"/>
            <w:r w:rsidRPr="00A47F4F">
              <w:rPr>
                <w:rFonts w:eastAsia="Times New Roman" w:cstheme="minorHAnsi"/>
              </w:rPr>
              <w:t>paritaprevir</w:t>
            </w:r>
            <w:proofErr w:type="spellEnd"/>
            <w:r w:rsidRPr="00A47F4F">
              <w:rPr>
                <w:rFonts w:eastAsia="Times New Roman" w:cstheme="minorHAnsi"/>
              </w:rPr>
              <w:t xml:space="preserve"> and ritonavir exposures may decrease leading to a potential loss of therapeutic activity of TECHNIVIE.</w:t>
            </w:r>
          </w:p>
        </w:tc>
      </w:tr>
      <w:tr w:rsidR="00967675" w:rsidRPr="00A47F4F" w:rsidTr="00A47F4F">
        <w:tc>
          <w:tcPr>
            <w:tcW w:w="1250" w:type="pct"/>
            <w:tcBorders>
              <w:top w:val="single" w:sz="6" w:space="0" w:color="000000"/>
              <w:left w:val="single" w:sz="6" w:space="0" w:color="000000"/>
              <w:bottom w:val="single" w:sz="6" w:space="0" w:color="000000"/>
              <w:right w:val="single" w:sz="6" w:space="0" w:color="000000"/>
            </w:tcBorders>
          </w:tcPr>
          <w:p w:rsidR="00967675" w:rsidRPr="00A47F4F" w:rsidRDefault="00967675">
            <w:pPr>
              <w:spacing w:after="60" w:line="240" w:lineRule="auto"/>
              <w:jc w:val="both"/>
              <w:rPr>
                <w:rFonts w:eastAsia="Times New Roman" w:cstheme="minorHAnsi"/>
              </w:rPr>
            </w:pPr>
            <w:r w:rsidRPr="00A049D3">
              <w:rPr>
                <w:rFonts w:cs="Arial"/>
                <w:lang w:val="en-US"/>
              </w:rPr>
              <w:t>Antihistamines (for systemic use)</w:t>
            </w:r>
          </w:p>
        </w:tc>
        <w:tc>
          <w:tcPr>
            <w:tcW w:w="1250" w:type="pct"/>
            <w:tcBorders>
              <w:top w:val="single" w:sz="6" w:space="0" w:color="000000"/>
              <w:left w:val="single" w:sz="6" w:space="0" w:color="000000"/>
              <w:bottom w:val="single" w:sz="6" w:space="0" w:color="000000"/>
              <w:right w:val="single" w:sz="6" w:space="0" w:color="000000"/>
            </w:tcBorders>
          </w:tcPr>
          <w:p w:rsidR="00967675" w:rsidRPr="00A47F4F" w:rsidRDefault="00967675" w:rsidP="00A47F4F">
            <w:pPr>
              <w:spacing w:after="60" w:line="240" w:lineRule="auto"/>
              <w:rPr>
                <w:rFonts w:eastAsia="Times New Roman" w:cstheme="minorHAnsi"/>
              </w:rPr>
            </w:pPr>
            <w:proofErr w:type="spellStart"/>
            <w:r w:rsidRPr="00A049D3">
              <w:rPr>
                <w:rFonts w:cs="Arial"/>
                <w:lang w:val="en-US"/>
              </w:rPr>
              <w:t>Astemizole</w:t>
            </w:r>
            <w:proofErr w:type="spellEnd"/>
            <w:r w:rsidRPr="00A049D3">
              <w:rPr>
                <w:rFonts w:cs="Arial"/>
                <w:lang w:val="en-US"/>
              </w:rPr>
              <w:t xml:space="preserve">, </w:t>
            </w:r>
            <w:proofErr w:type="spellStart"/>
            <w:r w:rsidRPr="00A049D3">
              <w:rPr>
                <w:rFonts w:cs="Arial"/>
                <w:lang w:val="en-US"/>
              </w:rPr>
              <w:t>terfenadine</w:t>
            </w:r>
            <w:proofErr w:type="spellEnd"/>
          </w:p>
        </w:tc>
        <w:tc>
          <w:tcPr>
            <w:tcW w:w="2500" w:type="pct"/>
            <w:tcBorders>
              <w:top w:val="single" w:sz="6" w:space="0" w:color="000000"/>
              <w:left w:val="single" w:sz="6" w:space="0" w:color="000000"/>
              <w:bottom w:val="single" w:sz="6" w:space="0" w:color="000000"/>
              <w:right w:val="single" w:sz="6" w:space="0" w:color="000000"/>
            </w:tcBorders>
          </w:tcPr>
          <w:p w:rsidR="00967675" w:rsidRPr="00A47F4F" w:rsidRDefault="00967675" w:rsidP="00A47F4F">
            <w:pPr>
              <w:spacing w:after="60" w:line="240" w:lineRule="auto"/>
              <w:rPr>
                <w:rFonts w:eastAsia="Times New Roman" w:cstheme="minorHAnsi"/>
              </w:rPr>
            </w:pPr>
            <w:r w:rsidRPr="00A049D3">
              <w:rPr>
                <w:rFonts w:cs="Arial"/>
                <w:lang w:val="en-US"/>
              </w:rPr>
              <w:t>Potential for cardiac arrhythmias.</w:t>
            </w:r>
          </w:p>
        </w:tc>
      </w:tr>
      <w:tr w:rsidR="00A877CD" w:rsidRPr="00A47F4F" w:rsidTr="00A47F4F">
        <w:tc>
          <w:tcPr>
            <w:tcW w:w="1250" w:type="pct"/>
            <w:tcBorders>
              <w:top w:val="single" w:sz="6" w:space="0" w:color="000000"/>
              <w:left w:val="single" w:sz="6" w:space="0" w:color="000000"/>
              <w:bottom w:val="single" w:sz="6" w:space="0" w:color="000000"/>
              <w:right w:val="single" w:sz="6" w:space="0" w:color="000000"/>
            </w:tcBorders>
          </w:tcPr>
          <w:p w:rsidR="00A877CD" w:rsidRPr="00A47F4F" w:rsidRDefault="00A877CD">
            <w:pPr>
              <w:spacing w:after="60" w:line="240" w:lineRule="auto"/>
              <w:jc w:val="both"/>
              <w:rPr>
                <w:rFonts w:eastAsia="Times New Roman" w:cstheme="minorHAnsi"/>
              </w:rPr>
            </w:pPr>
            <w:proofErr w:type="spellStart"/>
            <w:r w:rsidRPr="00A049D3">
              <w:rPr>
                <w:rFonts w:cs="Arial"/>
                <w:lang w:val="en-US"/>
              </w:rPr>
              <w:t>Antigout</w:t>
            </w:r>
            <w:proofErr w:type="spellEnd"/>
            <w:r w:rsidRPr="00A049D3">
              <w:rPr>
                <w:rFonts w:cs="Arial"/>
                <w:lang w:val="en-US"/>
              </w:rPr>
              <w:t xml:space="preserve"> medications</w:t>
            </w:r>
          </w:p>
        </w:tc>
        <w:tc>
          <w:tcPr>
            <w:tcW w:w="1250" w:type="pct"/>
            <w:tcBorders>
              <w:top w:val="single" w:sz="6" w:space="0" w:color="000000"/>
              <w:left w:val="single" w:sz="6" w:space="0" w:color="000000"/>
              <w:bottom w:val="single" w:sz="6" w:space="0" w:color="000000"/>
              <w:right w:val="single" w:sz="6" w:space="0" w:color="000000"/>
            </w:tcBorders>
          </w:tcPr>
          <w:p w:rsidR="00A877CD" w:rsidRPr="00A47F4F" w:rsidRDefault="00A877CD" w:rsidP="00A47F4F">
            <w:pPr>
              <w:spacing w:after="60" w:line="240" w:lineRule="auto"/>
              <w:rPr>
                <w:rFonts w:eastAsia="Times New Roman" w:cstheme="minorHAnsi"/>
              </w:rPr>
            </w:pPr>
            <w:r w:rsidRPr="00A049D3">
              <w:rPr>
                <w:rFonts w:cs="Arial"/>
                <w:lang w:val="en-US"/>
              </w:rPr>
              <w:t>Colchicine (in patients with renal or hepatic impairment)</w:t>
            </w:r>
          </w:p>
        </w:tc>
        <w:tc>
          <w:tcPr>
            <w:tcW w:w="2500" w:type="pct"/>
            <w:tcBorders>
              <w:top w:val="single" w:sz="6" w:space="0" w:color="000000"/>
              <w:left w:val="single" w:sz="6" w:space="0" w:color="000000"/>
              <w:bottom w:val="single" w:sz="6" w:space="0" w:color="000000"/>
              <w:right w:val="single" w:sz="6" w:space="0" w:color="000000"/>
            </w:tcBorders>
          </w:tcPr>
          <w:p w:rsidR="00A877CD" w:rsidRPr="00A47F4F" w:rsidRDefault="003C174C" w:rsidP="00A47F4F">
            <w:pPr>
              <w:spacing w:after="60" w:line="240" w:lineRule="auto"/>
              <w:rPr>
                <w:rFonts w:eastAsia="Times New Roman" w:cstheme="minorHAnsi"/>
              </w:rPr>
            </w:pPr>
            <w:r>
              <w:t>Potential for serious and/or life-threatening reactions in patients with renal and/or hepatic impairment.</w:t>
            </w:r>
          </w:p>
        </w:tc>
      </w:tr>
      <w:tr w:rsidR="00A877CD" w:rsidRPr="00A47F4F" w:rsidTr="00A47F4F">
        <w:tc>
          <w:tcPr>
            <w:tcW w:w="1250" w:type="pct"/>
            <w:tcBorders>
              <w:top w:val="single" w:sz="6" w:space="0" w:color="000000"/>
              <w:left w:val="single" w:sz="6" w:space="0" w:color="000000"/>
              <w:bottom w:val="single" w:sz="6" w:space="0" w:color="000000"/>
              <w:right w:val="single" w:sz="6" w:space="0" w:color="000000"/>
            </w:tcBorders>
            <w:hideMark/>
          </w:tcPr>
          <w:p w:rsidR="00A877CD" w:rsidRPr="00A47F4F" w:rsidRDefault="00A877CD">
            <w:pPr>
              <w:spacing w:after="60" w:line="240" w:lineRule="auto"/>
              <w:jc w:val="both"/>
              <w:rPr>
                <w:rFonts w:eastAsia="Times New Roman" w:cstheme="minorHAnsi"/>
              </w:rPr>
            </w:pPr>
            <w:proofErr w:type="spellStart"/>
            <w:r w:rsidRPr="00A47F4F">
              <w:rPr>
                <w:rFonts w:eastAsia="Times New Roman" w:cstheme="minorHAnsi"/>
              </w:rPr>
              <w:t>Antimycobacterial</w:t>
            </w:r>
            <w:proofErr w:type="spellEnd"/>
          </w:p>
        </w:tc>
        <w:tc>
          <w:tcPr>
            <w:tcW w:w="1250" w:type="pct"/>
            <w:tcBorders>
              <w:top w:val="single" w:sz="6" w:space="0" w:color="000000"/>
              <w:left w:val="single" w:sz="6" w:space="0" w:color="000000"/>
              <w:bottom w:val="single" w:sz="6" w:space="0" w:color="000000"/>
              <w:right w:val="single" w:sz="6" w:space="0" w:color="000000"/>
            </w:tcBorders>
            <w:hideMark/>
          </w:tcPr>
          <w:p w:rsidR="00A877CD" w:rsidRPr="00A47F4F" w:rsidRDefault="00A877CD" w:rsidP="00A47F4F">
            <w:pPr>
              <w:spacing w:after="60" w:line="240" w:lineRule="auto"/>
              <w:rPr>
                <w:rFonts w:eastAsia="Times New Roman" w:cstheme="minorHAnsi"/>
              </w:rPr>
            </w:pPr>
            <w:r w:rsidRPr="00A47F4F">
              <w:rPr>
                <w:rFonts w:eastAsia="Times New Roman" w:cstheme="minorHAnsi"/>
              </w:rPr>
              <w:t>Rifampi</w:t>
            </w:r>
            <w:r>
              <w:rPr>
                <w:rFonts w:eastAsia="Times New Roman" w:cstheme="minorHAnsi"/>
              </w:rPr>
              <w:t>ci</w:t>
            </w:r>
            <w:r w:rsidRPr="00A47F4F">
              <w:rPr>
                <w:rFonts w:eastAsia="Times New Roman" w:cstheme="minorHAnsi"/>
              </w:rPr>
              <w:t>n</w:t>
            </w:r>
          </w:p>
        </w:tc>
        <w:tc>
          <w:tcPr>
            <w:tcW w:w="2500" w:type="pct"/>
            <w:tcBorders>
              <w:top w:val="single" w:sz="6" w:space="0" w:color="000000"/>
              <w:left w:val="single" w:sz="6" w:space="0" w:color="000000"/>
              <w:bottom w:val="single" w:sz="6" w:space="0" w:color="000000"/>
              <w:right w:val="single" w:sz="6" w:space="0" w:color="000000"/>
            </w:tcBorders>
            <w:hideMark/>
          </w:tcPr>
          <w:p w:rsidR="00A877CD" w:rsidRPr="00A47F4F" w:rsidRDefault="00A877CD" w:rsidP="00A47F4F">
            <w:pPr>
              <w:spacing w:after="60" w:line="240" w:lineRule="auto"/>
              <w:rPr>
                <w:rFonts w:eastAsia="Times New Roman" w:cstheme="minorHAnsi"/>
              </w:rPr>
            </w:pPr>
            <w:proofErr w:type="spellStart"/>
            <w:r w:rsidRPr="00A47F4F">
              <w:rPr>
                <w:rFonts w:eastAsia="Times New Roman" w:cstheme="minorHAnsi"/>
              </w:rPr>
              <w:t>Ombitasvir</w:t>
            </w:r>
            <w:proofErr w:type="spellEnd"/>
            <w:r w:rsidRPr="00A47F4F">
              <w:rPr>
                <w:rFonts w:eastAsia="Times New Roman" w:cstheme="minorHAnsi"/>
              </w:rPr>
              <w:t xml:space="preserve">, </w:t>
            </w:r>
            <w:proofErr w:type="spellStart"/>
            <w:r w:rsidRPr="00A47F4F">
              <w:rPr>
                <w:rFonts w:eastAsia="Times New Roman" w:cstheme="minorHAnsi"/>
              </w:rPr>
              <w:t>paritaprevir</w:t>
            </w:r>
            <w:proofErr w:type="spellEnd"/>
            <w:r w:rsidRPr="00A47F4F">
              <w:rPr>
                <w:rFonts w:eastAsia="Times New Roman" w:cstheme="minorHAnsi"/>
              </w:rPr>
              <w:t xml:space="preserve"> and ritonavir exposures may decrease leading to a potential loss of therapeutic activity of TECHNIVIE.</w:t>
            </w:r>
          </w:p>
        </w:tc>
      </w:tr>
      <w:tr w:rsidR="006B3E69" w:rsidRPr="00A47F4F" w:rsidTr="00145A55">
        <w:tc>
          <w:tcPr>
            <w:tcW w:w="1250" w:type="pct"/>
            <w:vMerge w:val="restart"/>
            <w:tcBorders>
              <w:top w:val="single" w:sz="6" w:space="0" w:color="000000"/>
              <w:left w:val="single" w:sz="6" w:space="0" w:color="000000"/>
              <w:right w:val="single" w:sz="6" w:space="0" w:color="000000"/>
            </w:tcBorders>
          </w:tcPr>
          <w:p w:rsidR="006B3E69" w:rsidRPr="00A47F4F" w:rsidRDefault="006B3E69">
            <w:pPr>
              <w:spacing w:after="60" w:line="240" w:lineRule="auto"/>
              <w:jc w:val="both"/>
              <w:rPr>
                <w:rFonts w:eastAsia="Times New Roman" w:cstheme="minorHAnsi"/>
              </w:rPr>
            </w:pPr>
            <w:r w:rsidRPr="00A049D3">
              <w:rPr>
                <w:rFonts w:cs="Arial"/>
                <w:lang w:val="en-US"/>
              </w:rPr>
              <w:t>Antipsychotic</w:t>
            </w:r>
          </w:p>
        </w:tc>
        <w:tc>
          <w:tcPr>
            <w:tcW w:w="1250" w:type="pct"/>
            <w:tcBorders>
              <w:top w:val="single" w:sz="6" w:space="0" w:color="000000"/>
              <w:left w:val="single" w:sz="6" w:space="0" w:color="000000"/>
              <w:bottom w:val="single" w:sz="6" w:space="0" w:color="000000"/>
              <w:right w:val="single" w:sz="6" w:space="0" w:color="000000"/>
            </w:tcBorders>
          </w:tcPr>
          <w:p w:rsidR="006B3E69" w:rsidRPr="00A47F4F" w:rsidRDefault="006B3E69" w:rsidP="00A47F4F">
            <w:pPr>
              <w:spacing w:after="60" w:line="240" w:lineRule="auto"/>
              <w:rPr>
                <w:rFonts w:eastAsia="Times New Roman" w:cstheme="minorHAnsi"/>
              </w:rPr>
            </w:pPr>
            <w:proofErr w:type="spellStart"/>
            <w:r w:rsidRPr="00A049D3">
              <w:rPr>
                <w:rFonts w:cs="Arial"/>
                <w:lang w:val="en-US"/>
              </w:rPr>
              <w:t>Blonanserin</w:t>
            </w:r>
            <w:proofErr w:type="spellEnd"/>
          </w:p>
        </w:tc>
        <w:tc>
          <w:tcPr>
            <w:tcW w:w="2500" w:type="pct"/>
            <w:tcBorders>
              <w:top w:val="single" w:sz="6" w:space="0" w:color="000000"/>
              <w:left w:val="single" w:sz="6" w:space="0" w:color="000000"/>
              <w:bottom w:val="single" w:sz="6" w:space="0" w:color="000000"/>
              <w:right w:val="single" w:sz="6" w:space="0" w:color="000000"/>
            </w:tcBorders>
          </w:tcPr>
          <w:p w:rsidR="006B3E69" w:rsidRPr="00A47F4F" w:rsidRDefault="006B3E69" w:rsidP="00A47F4F">
            <w:pPr>
              <w:spacing w:after="60" w:line="240" w:lineRule="auto"/>
              <w:rPr>
                <w:rFonts w:eastAsia="Times New Roman" w:cstheme="minorHAnsi"/>
              </w:rPr>
            </w:pPr>
            <w:r w:rsidRPr="00A049D3">
              <w:rPr>
                <w:rFonts w:cs="Arial"/>
                <w:lang w:val="en-US"/>
              </w:rPr>
              <w:t>No information on potential effects is currently available</w:t>
            </w:r>
          </w:p>
        </w:tc>
      </w:tr>
      <w:tr w:rsidR="006B3E69" w:rsidRPr="00A47F4F" w:rsidTr="00145A55">
        <w:tc>
          <w:tcPr>
            <w:tcW w:w="1250" w:type="pct"/>
            <w:vMerge/>
            <w:tcBorders>
              <w:left w:val="single" w:sz="6" w:space="0" w:color="000000"/>
              <w:bottom w:val="single" w:sz="6" w:space="0" w:color="000000"/>
              <w:right w:val="single" w:sz="6" w:space="0" w:color="000000"/>
            </w:tcBorders>
          </w:tcPr>
          <w:p w:rsidR="006B3E69" w:rsidRPr="00A049D3" w:rsidRDefault="006B3E69">
            <w:pPr>
              <w:spacing w:after="60" w:line="240" w:lineRule="auto"/>
              <w:jc w:val="both"/>
              <w:rPr>
                <w:rFonts w:cs="Arial"/>
                <w:lang w:val="en-US"/>
              </w:rPr>
            </w:pPr>
          </w:p>
        </w:tc>
        <w:tc>
          <w:tcPr>
            <w:tcW w:w="1250" w:type="pct"/>
            <w:tcBorders>
              <w:top w:val="single" w:sz="6" w:space="0" w:color="000000"/>
              <w:left w:val="single" w:sz="6" w:space="0" w:color="000000"/>
              <w:bottom w:val="single" w:sz="6" w:space="0" w:color="000000"/>
              <w:right w:val="single" w:sz="6" w:space="0" w:color="000000"/>
            </w:tcBorders>
          </w:tcPr>
          <w:p w:rsidR="006B3E69" w:rsidRPr="00A049D3" w:rsidRDefault="006B3E69" w:rsidP="00A47F4F">
            <w:pPr>
              <w:spacing w:after="60" w:line="240" w:lineRule="auto"/>
              <w:rPr>
                <w:rFonts w:cs="Arial"/>
                <w:lang w:val="en-US"/>
              </w:rPr>
            </w:pPr>
            <w:proofErr w:type="spellStart"/>
            <w:r>
              <w:rPr>
                <w:rFonts w:cs="Arial"/>
              </w:rPr>
              <w:t>Lurasidone</w:t>
            </w:r>
            <w:proofErr w:type="spellEnd"/>
          </w:p>
        </w:tc>
        <w:tc>
          <w:tcPr>
            <w:tcW w:w="2500" w:type="pct"/>
            <w:tcBorders>
              <w:top w:val="single" w:sz="6" w:space="0" w:color="000000"/>
              <w:left w:val="single" w:sz="6" w:space="0" w:color="000000"/>
              <w:bottom w:val="single" w:sz="6" w:space="0" w:color="000000"/>
              <w:right w:val="single" w:sz="6" w:space="0" w:color="000000"/>
            </w:tcBorders>
          </w:tcPr>
          <w:p w:rsidR="006B3E69" w:rsidRPr="00A049D3" w:rsidRDefault="006B3E69" w:rsidP="00A47F4F">
            <w:pPr>
              <w:spacing w:after="60" w:line="240" w:lineRule="auto"/>
              <w:rPr>
                <w:rFonts w:cs="Arial"/>
                <w:lang w:val="en-US"/>
              </w:rPr>
            </w:pPr>
            <w:r>
              <w:rPr>
                <w:rFonts w:cs="Arial"/>
              </w:rPr>
              <w:t>Potential for serious and/or life-threatening reactions</w:t>
            </w:r>
          </w:p>
        </w:tc>
      </w:tr>
      <w:tr w:rsidR="00A877CD" w:rsidRPr="00A47F4F" w:rsidTr="00A47F4F">
        <w:tc>
          <w:tcPr>
            <w:tcW w:w="1250" w:type="pct"/>
            <w:tcBorders>
              <w:top w:val="single" w:sz="6" w:space="0" w:color="000000"/>
              <w:left w:val="single" w:sz="6" w:space="0" w:color="000000"/>
              <w:bottom w:val="single" w:sz="6" w:space="0" w:color="000000"/>
              <w:right w:val="single" w:sz="6" w:space="0" w:color="000000"/>
            </w:tcBorders>
            <w:hideMark/>
          </w:tcPr>
          <w:p w:rsidR="00A877CD" w:rsidRPr="00A47F4F" w:rsidRDefault="00A877CD">
            <w:pPr>
              <w:spacing w:after="60" w:line="240" w:lineRule="auto"/>
              <w:jc w:val="both"/>
              <w:rPr>
                <w:rFonts w:eastAsia="Times New Roman" w:cstheme="minorHAnsi"/>
              </w:rPr>
            </w:pPr>
            <w:r w:rsidRPr="00A47F4F">
              <w:rPr>
                <w:rFonts w:eastAsia="Times New Roman" w:cstheme="minorHAnsi"/>
              </w:rPr>
              <w:t>Ergot derivatives</w:t>
            </w:r>
          </w:p>
        </w:tc>
        <w:tc>
          <w:tcPr>
            <w:tcW w:w="1250" w:type="pct"/>
            <w:tcBorders>
              <w:top w:val="single" w:sz="6" w:space="0" w:color="000000"/>
              <w:left w:val="single" w:sz="6" w:space="0" w:color="000000"/>
              <w:bottom w:val="single" w:sz="6" w:space="0" w:color="000000"/>
              <w:right w:val="single" w:sz="6" w:space="0" w:color="000000"/>
            </w:tcBorders>
            <w:hideMark/>
          </w:tcPr>
          <w:p w:rsidR="00A877CD" w:rsidRPr="00A47F4F" w:rsidRDefault="00A877CD" w:rsidP="00A47F4F">
            <w:pPr>
              <w:spacing w:after="60" w:line="240" w:lineRule="auto"/>
              <w:rPr>
                <w:rFonts w:eastAsia="Times New Roman" w:cstheme="minorHAnsi"/>
              </w:rPr>
            </w:pPr>
            <w:r w:rsidRPr="00A47F4F">
              <w:rPr>
                <w:rFonts w:eastAsia="Times New Roman" w:cstheme="minorHAnsi"/>
              </w:rPr>
              <w:t xml:space="preserve">Ergotamine, </w:t>
            </w:r>
            <w:proofErr w:type="spellStart"/>
            <w:r w:rsidRPr="00A47F4F">
              <w:rPr>
                <w:rFonts w:eastAsia="Times New Roman" w:cstheme="minorHAnsi"/>
              </w:rPr>
              <w:t>dihydroergotamine</w:t>
            </w:r>
            <w:proofErr w:type="spellEnd"/>
            <w:r w:rsidRPr="00A47F4F">
              <w:rPr>
                <w:rFonts w:eastAsia="Times New Roman" w:cstheme="minorHAnsi"/>
              </w:rPr>
              <w:t xml:space="preserve">, </w:t>
            </w:r>
            <w:proofErr w:type="spellStart"/>
            <w:r w:rsidRPr="00A47F4F">
              <w:rPr>
                <w:rFonts w:eastAsia="Times New Roman" w:cstheme="minorHAnsi"/>
              </w:rPr>
              <w:t>ergonovine</w:t>
            </w:r>
            <w:proofErr w:type="spellEnd"/>
            <w:r w:rsidRPr="00A47F4F">
              <w:rPr>
                <w:rFonts w:eastAsia="Times New Roman" w:cstheme="minorHAnsi"/>
              </w:rPr>
              <w:t xml:space="preserve">, </w:t>
            </w:r>
            <w:proofErr w:type="spellStart"/>
            <w:r w:rsidRPr="00A47F4F">
              <w:rPr>
                <w:rFonts w:eastAsia="Times New Roman" w:cstheme="minorHAnsi"/>
              </w:rPr>
              <w:t>methylergonovine</w:t>
            </w:r>
            <w:proofErr w:type="spellEnd"/>
            <w:r w:rsidRPr="00A47F4F">
              <w:rPr>
                <w:rFonts w:eastAsia="Times New Roman" w:cstheme="minorHAnsi"/>
              </w:rPr>
              <w:t xml:space="preserve"> </w:t>
            </w:r>
          </w:p>
        </w:tc>
        <w:tc>
          <w:tcPr>
            <w:tcW w:w="2500" w:type="pct"/>
            <w:tcBorders>
              <w:top w:val="single" w:sz="6" w:space="0" w:color="000000"/>
              <w:left w:val="single" w:sz="6" w:space="0" w:color="000000"/>
              <w:bottom w:val="single" w:sz="6" w:space="0" w:color="000000"/>
              <w:right w:val="single" w:sz="6" w:space="0" w:color="000000"/>
            </w:tcBorders>
            <w:hideMark/>
          </w:tcPr>
          <w:p w:rsidR="00A877CD" w:rsidRPr="00A47F4F" w:rsidRDefault="00A877CD" w:rsidP="00A47F4F">
            <w:pPr>
              <w:spacing w:after="60" w:line="240" w:lineRule="auto"/>
              <w:rPr>
                <w:rFonts w:eastAsia="Times New Roman" w:cstheme="minorHAnsi"/>
              </w:rPr>
            </w:pPr>
            <w:r w:rsidRPr="00A47F4F">
              <w:rPr>
                <w:rFonts w:eastAsia="Times New Roman" w:cstheme="minorHAnsi"/>
              </w:rPr>
              <w:t>Acute ergot toxicity characteri</w:t>
            </w:r>
            <w:r w:rsidR="003C174C">
              <w:rPr>
                <w:rFonts w:eastAsia="Times New Roman" w:cstheme="minorHAnsi"/>
              </w:rPr>
              <w:t>s</w:t>
            </w:r>
            <w:r w:rsidRPr="00A47F4F">
              <w:rPr>
                <w:rFonts w:eastAsia="Times New Roman" w:cstheme="minorHAnsi"/>
              </w:rPr>
              <w:t xml:space="preserve">ed by vasospasm and tissue ischemia has been associated with co-administration of ritonavir and </w:t>
            </w:r>
            <w:proofErr w:type="spellStart"/>
            <w:r w:rsidRPr="00A47F4F">
              <w:rPr>
                <w:rFonts w:eastAsia="Times New Roman" w:cstheme="minorHAnsi"/>
              </w:rPr>
              <w:t>ergonovine</w:t>
            </w:r>
            <w:proofErr w:type="spellEnd"/>
            <w:r w:rsidRPr="00A47F4F">
              <w:rPr>
                <w:rFonts w:eastAsia="Times New Roman" w:cstheme="minorHAnsi"/>
              </w:rPr>
              <w:t xml:space="preserve">, ergotamine, </w:t>
            </w:r>
            <w:proofErr w:type="spellStart"/>
            <w:r w:rsidRPr="00A47F4F">
              <w:rPr>
                <w:rFonts w:eastAsia="Times New Roman" w:cstheme="minorHAnsi"/>
              </w:rPr>
              <w:t>dihydroergotamine</w:t>
            </w:r>
            <w:proofErr w:type="spellEnd"/>
            <w:r w:rsidRPr="00A47F4F">
              <w:rPr>
                <w:rFonts w:eastAsia="Times New Roman" w:cstheme="minorHAnsi"/>
              </w:rPr>
              <w:t xml:space="preserve">, or </w:t>
            </w:r>
            <w:proofErr w:type="spellStart"/>
            <w:r w:rsidRPr="00A47F4F">
              <w:rPr>
                <w:rFonts w:eastAsia="Times New Roman" w:cstheme="minorHAnsi"/>
              </w:rPr>
              <w:t>methylergonovine</w:t>
            </w:r>
            <w:proofErr w:type="spellEnd"/>
            <w:r w:rsidRPr="00A47F4F">
              <w:rPr>
                <w:rFonts w:eastAsia="Times New Roman" w:cstheme="minorHAnsi"/>
              </w:rPr>
              <w:t xml:space="preserve">. </w:t>
            </w:r>
          </w:p>
        </w:tc>
      </w:tr>
      <w:tr w:rsidR="00A877CD" w:rsidRPr="00A47F4F" w:rsidTr="00A47F4F">
        <w:tc>
          <w:tcPr>
            <w:tcW w:w="1250" w:type="pct"/>
            <w:tcBorders>
              <w:top w:val="single" w:sz="6" w:space="0" w:color="000000"/>
              <w:left w:val="single" w:sz="6" w:space="0" w:color="000000"/>
              <w:bottom w:val="single" w:sz="6" w:space="0" w:color="000000"/>
              <w:right w:val="single" w:sz="6" w:space="0" w:color="000000"/>
            </w:tcBorders>
            <w:hideMark/>
          </w:tcPr>
          <w:p w:rsidR="00A877CD" w:rsidRPr="00A47F4F" w:rsidRDefault="00A877CD">
            <w:pPr>
              <w:spacing w:after="60" w:line="240" w:lineRule="auto"/>
              <w:jc w:val="both"/>
              <w:rPr>
                <w:rFonts w:eastAsia="Times New Roman" w:cstheme="minorHAnsi"/>
              </w:rPr>
            </w:pPr>
            <w:proofErr w:type="spellStart"/>
            <w:r w:rsidRPr="00A47F4F">
              <w:rPr>
                <w:rFonts w:eastAsia="Times New Roman" w:cstheme="minorHAnsi"/>
              </w:rPr>
              <w:t>Ethinylestradiol</w:t>
            </w:r>
            <w:proofErr w:type="spellEnd"/>
            <w:r w:rsidRPr="00A47F4F">
              <w:rPr>
                <w:rFonts w:eastAsia="Times New Roman" w:cstheme="minorHAnsi"/>
              </w:rPr>
              <w:t>-containing products</w:t>
            </w:r>
          </w:p>
        </w:tc>
        <w:tc>
          <w:tcPr>
            <w:tcW w:w="1250" w:type="pct"/>
            <w:tcBorders>
              <w:top w:val="single" w:sz="6" w:space="0" w:color="000000"/>
              <w:left w:val="single" w:sz="6" w:space="0" w:color="000000"/>
              <w:bottom w:val="single" w:sz="6" w:space="0" w:color="000000"/>
              <w:right w:val="single" w:sz="6" w:space="0" w:color="000000"/>
            </w:tcBorders>
            <w:hideMark/>
          </w:tcPr>
          <w:p w:rsidR="00A877CD" w:rsidRPr="00A47F4F" w:rsidRDefault="00A877CD" w:rsidP="00A47F4F">
            <w:pPr>
              <w:spacing w:after="60" w:line="240" w:lineRule="auto"/>
              <w:rPr>
                <w:rFonts w:eastAsia="Times New Roman" w:cstheme="minorHAnsi"/>
              </w:rPr>
            </w:pPr>
            <w:proofErr w:type="spellStart"/>
            <w:r w:rsidRPr="00A47F4F">
              <w:rPr>
                <w:rFonts w:eastAsia="Times New Roman" w:cstheme="minorHAnsi"/>
              </w:rPr>
              <w:t>Ethinyl</w:t>
            </w:r>
            <w:proofErr w:type="spellEnd"/>
            <w:r w:rsidRPr="00A47F4F">
              <w:rPr>
                <w:rFonts w:eastAsia="Times New Roman" w:cstheme="minorHAnsi"/>
              </w:rPr>
              <w:t xml:space="preserve"> </w:t>
            </w:r>
            <w:proofErr w:type="spellStart"/>
            <w:r w:rsidRPr="00A47F4F">
              <w:rPr>
                <w:rFonts w:eastAsia="Times New Roman" w:cstheme="minorHAnsi"/>
              </w:rPr>
              <w:t>estradiol</w:t>
            </w:r>
            <w:proofErr w:type="spellEnd"/>
            <w:r w:rsidRPr="00A47F4F">
              <w:rPr>
                <w:rFonts w:eastAsia="Times New Roman" w:cstheme="minorHAnsi"/>
              </w:rPr>
              <w:t>-containing medications such as combined oral contraceptives</w:t>
            </w:r>
          </w:p>
        </w:tc>
        <w:tc>
          <w:tcPr>
            <w:tcW w:w="2500" w:type="pct"/>
            <w:tcBorders>
              <w:top w:val="single" w:sz="6" w:space="0" w:color="000000"/>
              <w:left w:val="single" w:sz="6" w:space="0" w:color="000000"/>
              <w:bottom w:val="single" w:sz="6" w:space="0" w:color="000000"/>
              <w:right w:val="single" w:sz="6" w:space="0" w:color="000000"/>
            </w:tcBorders>
            <w:hideMark/>
          </w:tcPr>
          <w:p w:rsidR="00A877CD" w:rsidRPr="00A47F4F" w:rsidRDefault="00A877CD" w:rsidP="00A47F4F">
            <w:pPr>
              <w:spacing w:after="60" w:line="240" w:lineRule="auto"/>
              <w:rPr>
                <w:rFonts w:eastAsia="Times New Roman" w:cstheme="minorHAnsi"/>
              </w:rPr>
            </w:pPr>
            <w:r w:rsidRPr="00A47F4F">
              <w:rPr>
                <w:rFonts w:eastAsia="Times New Roman" w:cstheme="minorHAnsi"/>
              </w:rPr>
              <w:t xml:space="preserve">Potential for ALT elevations </w:t>
            </w:r>
            <w:r w:rsidRPr="00A47F4F">
              <w:rPr>
                <w:rFonts w:eastAsia="Times New Roman" w:cstheme="minorHAnsi"/>
                <w:i/>
              </w:rPr>
              <w:t>[see Precautions]</w:t>
            </w:r>
            <w:r w:rsidRPr="00A47F4F">
              <w:rPr>
                <w:rFonts w:eastAsia="Times New Roman" w:cstheme="minorHAnsi"/>
              </w:rPr>
              <w:t xml:space="preserve">. </w:t>
            </w:r>
          </w:p>
        </w:tc>
      </w:tr>
      <w:tr w:rsidR="00A877CD" w:rsidRPr="00A47F4F" w:rsidTr="00A47F4F">
        <w:tc>
          <w:tcPr>
            <w:tcW w:w="1250" w:type="pct"/>
            <w:tcBorders>
              <w:top w:val="single" w:sz="6" w:space="0" w:color="000000"/>
              <w:left w:val="single" w:sz="6" w:space="0" w:color="000000"/>
              <w:bottom w:val="single" w:sz="6" w:space="0" w:color="000000"/>
              <w:right w:val="single" w:sz="6" w:space="0" w:color="000000"/>
            </w:tcBorders>
          </w:tcPr>
          <w:p w:rsidR="00A877CD" w:rsidRPr="00A877CD" w:rsidRDefault="00A877CD" w:rsidP="00A877CD">
            <w:pPr>
              <w:rPr>
                <w:rFonts w:cs="Arial"/>
                <w:lang w:val="en-US"/>
              </w:rPr>
            </w:pPr>
            <w:r w:rsidRPr="00A049D3">
              <w:rPr>
                <w:rFonts w:cs="Arial"/>
                <w:lang w:val="en-US"/>
              </w:rPr>
              <w:t>GI motility agent</w:t>
            </w:r>
          </w:p>
        </w:tc>
        <w:tc>
          <w:tcPr>
            <w:tcW w:w="1250" w:type="pct"/>
            <w:tcBorders>
              <w:top w:val="single" w:sz="6" w:space="0" w:color="000000"/>
              <w:left w:val="single" w:sz="6" w:space="0" w:color="000000"/>
              <w:bottom w:val="single" w:sz="6" w:space="0" w:color="000000"/>
              <w:right w:val="single" w:sz="6" w:space="0" w:color="000000"/>
            </w:tcBorders>
          </w:tcPr>
          <w:p w:rsidR="00A877CD" w:rsidRPr="00A47F4F" w:rsidRDefault="00A877CD" w:rsidP="00A47F4F">
            <w:pPr>
              <w:spacing w:after="60" w:line="240" w:lineRule="auto"/>
              <w:rPr>
                <w:rFonts w:eastAsia="Times New Roman" w:cstheme="minorHAnsi"/>
              </w:rPr>
            </w:pPr>
            <w:proofErr w:type="spellStart"/>
            <w:r w:rsidRPr="00A049D3">
              <w:rPr>
                <w:rFonts w:cs="Arial"/>
                <w:lang w:val="en-US"/>
              </w:rPr>
              <w:t>Cisapride</w:t>
            </w:r>
            <w:proofErr w:type="spellEnd"/>
          </w:p>
        </w:tc>
        <w:tc>
          <w:tcPr>
            <w:tcW w:w="2500" w:type="pct"/>
            <w:tcBorders>
              <w:top w:val="single" w:sz="6" w:space="0" w:color="000000"/>
              <w:left w:val="single" w:sz="6" w:space="0" w:color="000000"/>
              <w:bottom w:val="single" w:sz="6" w:space="0" w:color="000000"/>
              <w:right w:val="single" w:sz="6" w:space="0" w:color="000000"/>
            </w:tcBorders>
          </w:tcPr>
          <w:p w:rsidR="00A877CD" w:rsidRPr="00A47F4F" w:rsidRDefault="00A877CD" w:rsidP="00A877CD">
            <w:pPr>
              <w:rPr>
                <w:rFonts w:eastAsia="Times New Roman" w:cstheme="minorHAnsi"/>
              </w:rPr>
            </w:pPr>
            <w:r w:rsidRPr="00A049D3">
              <w:rPr>
                <w:rFonts w:cs="Arial"/>
                <w:lang w:val="en-US"/>
              </w:rPr>
              <w:t>Potential for cardiac arrhythmias.</w:t>
            </w:r>
          </w:p>
        </w:tc>
      </w:tr>
      <w:tr w:rsidR="00A877CD" w:rsidRPr="00A47F4F" w:rsidTr="00A47F4F">
        <w:tc>
          <w:tcPr>
            <w:tcW w:w="1250" w:type="pct"/>
            <w:tcBorders>
              <w:top w:val="single" w:sz="6" w:space="0" w:color="000000"/>
              <w:left w:val="single" w:sz="6" w:space="0" w:color="000000"/>
              <w:bottom w:val="single" w:sz="6" w:space="0" w:color="000000"/>
              <w:right w:val="single" w:sz="6" w:space="0" w:color="000000"/>
            </w:tcBorders>
            <w:hideMark/>
          </w:tcPr>
          <w:p w:rsidR="00A877CD" w:rsidRPr="00A47F4F" w:rsidRDefault="00A877CD">
            <w:pPr>
              <w:spacing w:after="60" w:line="240" w:lineRule="auto"/>
              <w:jc w:val="both"/>
              <w:rPr>
                <w:rFonts w:eastAsia="Times New Roman" w:cstheme="minorHAnsi"/>
              </w:rPr>
            </w:pPr>
            <w:r w:rsidRPr="00A47F4F">
              <w:rPr>
                <w:rFonts w:eastAsia="Times New Roman" w:cstheme="minorHAnsi"/>
              </w:rPr>
              <w:t xml:space="preserve">Herbal </w:t>
            </w:r>
            <w:r w:rsidR="006B3E69">
              <w:rPr>
                <w:rFonts w:eastAsia="Times New Roman" w:cstheme="minorHAnsi"/>
              </w:rPr>
              <w:t>p</w:t>
            </w:r>
            <w:r w:rsidRPr="00A47F4F">
              <w:rPr>
                <w:rFonts w:eastAsia="Times New Roman" w:cstheme="minorHAnsi"/>
              </w:rPr>
              <w:t>roduct</w:t>
            </w:r>
          </w:p>
        </w:tc>
        <w:tc>
          <w:tcPr>
            <w:tcW w:w="1250" w:type="pct"/>
            <w:tcBorders>
              <w:top w:val="single" w:sz="6" w:space="0" w:color="000000"/>
              <w:left w:val="single" w:sz="6" w:space="0" w:color="000000"/>
              <w:bottom w:val="single" w:sz="6" w:space="0" w:color="000000"/>
              <w:right w:val="single" w:sz="6" w:space="0" w:color="000000"/>
            </w:tcBorders>
            <w:hideMark/>
          </w:tcPr>
          <w:p w:rsidR="00A877CD" w:rsidRPr="00A47F4F" w:rsidRDefault="00A877CD" w:rsidP="00A47F4F">
            <w:pPr>
              <w:spacing w:after="60" w:line="240" w:lineRule="auto"/>
              <w:rPr>
                <w:rFonts w:eastAsia="Times New Roman" w:cstheme="minorHAnsi"/>
              </w:rPr>
            </w:pPr>
            <w:r w:rsidRPr="00A47F4F">
              <w:rPr>
                <w:rFonts w:eastAsia="Times New Roman" w:cstheme="minorHAnsi"/>
              </w:rPr>
              <w:t xml:space="preserve">St. John’s Wort </w:t>
            </w:r>
            <w:r w:rsidRPr="00A47F4F">
              <w:rPr>
                <w:rFonts w:eastAsia="Times New Roman" w:cstheme="minorHAnsi"/>
                <w:i/>
              </w:rPr>
              <w:t>(</w:t>
            </w:r>
            <w:proofErr w:type="spellStart"/>
            <w:r w:rsidRPr="00A47F4F">
              <w:rPr>
                <w:rFonts w:eastAsia="Times New Roman" w:cstheme="minorHAnsi"/>
                <w:i/>
              </w:rPr>
              <w:t>Hypericum</w:t>
            </w:r>
            <w:proofErr w:type="spellEnd"/>
            <w:r w:rsidRPr="00A47F4F">
              <w:rPr>
                <w:rFonts w:eastAsia="Times New Roman" w:cstheme="minorHAnsi"/>
                <w:i/>
              </w:rPr>
              <w:t xml:space="preserve"> </w:t>
            </w:r>
            <w:proofErr w:type="spellStart"/>
            <w:r w:rsidRPr="00A47F4F">
              <w:rPr>
                <w:rFonts w:eastAsia="Times New Roman" w:cstheme="minorHAnsi"/>
                <w:i/>
              </w:rPr>
              <w:t>perforatum</w:t>
            </w:r>
            <w:proofErr w:type="spellEnd"/>
            <w:r w:rsidRPr="00A47F4F">
              <w:rPr>
                <w:rFonts w:eastAsia="Times New Roman" w:cstheme="minorHAnsi"/>
                <w:i/>
              </w:rPr>
              <w:t>)</w:t>
            </w:r>
          </w:p>
        </w:tc>
        <w:tc>
          <w:tcPr>
            <w:tcW w:w="2500" w:type="pct"/>
            <w:tcBorders>
              <w:top w:val="single" w:sz="6" w:space="0" w:color="000000"/>
              <w:left w:val="single" w:sz="6" w:space="0" w:color="000000"/>
              <w:bottom w:val="single" w:sz="6" w:space="0" w:color="000000"/>
              <w:right w:val="single" w:sz="6" w:space="0" w:color="000000"/>
            </w:tcBorders>
            <w:hideMark/>
          </w:tcPr>
          <w:p w:rsidR="00A877CD" w:rsidRPr="00A47F4F" w:rsidRDefault="00A877CD" w:rsidP="00A47F4F">
            <w:pPr>
              <w:spacing w:after="60" w:line="240" w:lineRule="auto"/>
              <w:rPr>
                <w:rFonts w:eastAsia="Times New Roman" w:cstheme="minorHAnsi"/>
              </w:rPr>
            </w:pPr>
            <w:proofErr w:type="spellStart"/>
            <w:r w:rsidRPr="00A47F4F">
              <w:rPr>
                <w:rFonts w:eastAsia="Times New Roman" w:cstheme="minorHAnsi"/>
              </w:rPr>
              <w:t>Ombitasvir</w:t>
            </w:r>
            <w:proofErr w:type="spellEnd"/>
            <w:r w:rsidRPr="00A47F4F">
              <w:rPr>
                <w:rFonts w:eastAsia="Times New Roman" w:cstheme="minorHAnsi"/>
              </w:rPr>
              <w:t xml:space="preserve">, </w:t>
            </w:r>
            <w:proofErr w:type="spellStart"/>
            <w:r w:rsidRPr="00A47F4F">
              <w:rPr>
                <w:rFonts w:eastAsia="Times New Roman" w:cstheme="minorHAnsi"/>
              </w:rPr>
              <w:t>paritaprevir</w:t>
            </w:r>
            <w:proofErr w:type="spellEnd"/>
            <w:r w:rsidRPr="00A47F4F">
              <w:rPr>
                <w:rFonts w:eastAsia="Times New Roman" w:cstheme="minorHAnsi"/>
              </w:rPr>
              <w:t xml:space="preserve"> and ritonavir exposures may decrease leading to a potential loss of therapeutic activity of TECHNIVIE.</w:t>
            </w:r>
          </w:p>
        </w:tc>
      </w:tr>
      <w:tr w:rsidR="00A877CD" w:rsidRPr="00A47F4F" w:rsidTr="00A47F4F">
        <w:tc>
          <w:tcPr>
            <w:tcW w:w="1250" w:type="pct"/>
            <w:tcBorders>
              <w:top w:val="single" w:sz="6" w:space="0" w:color="000000"/>
              <w:left w:val="single" w:sz="6" w:space="0" w:color="000000"/>
              <w:bottom w:val="single" w:sz="6" w:space="0" w:color="000000"/>
              <w:right w:val="single" w:sz="6" w:space="0" w:color="000000"/>
            </w:tcBorders>
            <w:vAlign w:val="center"/>
            <w:hideMark/>
          </w:tcPr>
          <w:p w:rsidR="00A877CD" w:rsidRPr="00A47F4F" w:rsidRDefault="00A877CD">
            <w:pPr>
              <w:spacing w:after="60" w:line="240" w:lineRule="auto"/>
              <w:jc w:val="both"/>
              <w:rPr>
                <w:rFonts w:eastAsia="Times New Roman" w:cstheme="minorHAnsi"/>
              </w:rPr>
            </w:pPr>
            <w:r w:rsidRPr="00A47F4F">
              <w:rPr>
                <w:rFonts w:eastAsia="Times New Roman" w:cstheme="minorHAnsi"/>
              </w:rPr>
              <w:t xml:space="preserve">HMG-CoA </w:t>
            </w:r>
            <w:r w:rsidR="006B3E69">
              <w:rPr>
                <w:rFonts w:eastAsia="Times New Roman" w:cstheme="minorHAnsi"/>
              </w:rPr>
              <w:t>r</w:t>
            </w:r>
            <w:r w:rsidRPr="00A47F4F">
              <w:rPr>
                <w:rFonts w:eastAsia="Times New Roman" w:cstheme="minorHAnsi"/>
              </w:rPr>
              <w:t xml:space="preserve">eductase </w:t>
            </w:r>
            <w:r w:rsidR="006B3E69">
              <w:rPr>
                <w:rFonts w:eastAsia="Times New Roman" w:cstheme="minorHAnsi"/>
              </w:rPr>
              <w:t>i</w:t>
            </w:r>
            <w:r w:rsidRPr="00A47F4F">
              <w:rPr>
                <w:rFonts w:eastAsia="Times New Roman" w:cstheme="minorHAnsi"/>
              </w:rPr>
              <w:t>nhibitors</w:t>
            </w:r>
          </w:p>
        </w:tc>
        <w:tc>
          <w:tcPr>
            <w:tcW w:w="1250" w:type="pct"/>
            <w:tcBorders>
              <w:top w:val="single" w:sz="6" w:space="0" w:color="000000"/>
              <w:left w:val="single" w:sz="6" w:space="0" w:color="000000"/>
              <w:bottom w:val="single" w:sz="6" w:space="0" w:color="000000"/>
              <w:right w:val="single" w:sz="6" w:space="0" w:color="000000"/>
            </w:tcBorders>
            <w:hideMark/>
          </w:tcPr>
          <w:p w:rsidR="006B3E69" w:rsidRDefault="00A877CD" w:rsidP="00A47F4F">
            <w:pPr>
              <w:spacing w:after="60" w:line="240" w:lineRule="auto"/>
              <w:rPr>
                <w:rFonts w:eastAsia="Times New Roman" w:cstheme="minorHAnsi"/>
              </w:rPr>
            </w:pPr>
            <w:r w:rsidRPr="00A47F4F">
              <w:rPr>
                <w:rFonts w:eastAsia="Times New Roman" w:cstheme="minorHAnsi"/>
              </w:rPr>
              <w:t xml:space="preserve">Lovastatin, </w:t>
            </w:r>
            <w:r w:rsidRPr="00A47F4F">
              <w:rPr>
                <w:rFonts w:eastAsia="Times New Roman" w:cstheme="minorHAnsi"/>
              </w:rPr>
              <w:br/>
              <w:t>simvastatin</w:t>
            </w:r>
            <w:r w:rsidR="006B3E69">
              <w:rPr>
                <w:rFonts w:eastAsia="Times New Roman" w:cstheme="minorHAnsi"/>
              </w:rPr>
              <w:t>,</w:t>
            </w:r>
          </w:p>
          <w:p w:rsidR="00A877CD" w:rsidRPr="00A47F4F" w:rsidRDefault="006B3E69" w:rsidP="00A47F4F">
            <w:pPr>
              <w:spacing w:after="60" w:line="240" w:lineRule="auto"/>
              <w:rPr>
                <w:rFonts w:eastAsia="Times New Roman" w:cstheme="minorHAnsi"/>
              </w:rPr>
            </w:pPr>
            <w:r>
              <w:rPr>
                <w:rFonts w:eastAsia="Times New Roman" w:cstheme="minorHAnsi"/>
              </w:rPr>
              <w:t>atorvastatin</w:t>
            </w:r>
            <w:r w:rsidR="00A877CD" w:rsidRPr="00A47F4F">
              <w:rPr>
                <w:rFonts w:eastAsia="Times New Roman" w:cstheme="minorHAnsi"/>
              </w:rPr>
              <w:t xml:space="preserve"> </w:t>
            </w:r>
          </w:p>
        </w:tc>
        <w:tc>
          <w:tcPr>
            <w:tcW w:w="2500" w:type="pct"/>
            <w:tcBorders>
              <w:top w:val="single" w:sz="6" w:space="0" w:color="000000"/>
              <w:left w:val="single" w:sz="6" w:space="0" w:color="000000"/>
              <w:bottom w:val="single" w:sz="6" w:space="0" w:color="000000"/>
              <w:right w:val="single" w:sz="6" w:space="0" w:color="000000"/>
            </w:tcBorders>
            <w:hideMark/>
          </w:tcPr>
          <w:p w:rsidR="00A877CD" w:rsidRPr="00A47F4F" w:rsidRDefault="00A877CD" w:rsidP="00A47F4F">
            <w:pPr>
              <w:spacing w:after="60" w:line="240" w:lineRule="auto"/>
              <w:rPr>
                <w:rFonts w:eastAsia="Times New Roman" w:cstheme="minorHAnsi"/>
              </w:rPr>
            </w:pPr>
            <w:r w:rsidRPr="00A47F4F">
              <w:rPr>
                <w:rFonts w:eastAsia="Times New Roman" w:cstheme="minorHAnsi"/>
              </w:rPr>
              <w:t>Potential for myopathy including rhabdomyolysis.</w:t>
            </w:r>
          </w:p>
        </w:tc>
      </w:tr>
      <w:tr w:rsidR="00420F65" w:rsidRPr="00A47F4F" w:rsidTr="00A47F4F">
        <w:tc>
          <w:tcPr>
            <w:tcW w:w="1250" w:type="pct"/>
            <w:tcBorders>
              <w:top w:val="single" w:sz="6" w:space="0" w:color="000000"/>
              <w:left w:val="single" w:sz="6" w:space="0" w:color="000000"/>
              <w:bottom w:val="single" w:sz="6" w:space="0" w:color="000000"/>
              <w:right w:val="single" w:sz="6" w:space="0" w:color="000000"/>
            </w:tcBorders>
          </w:tcPr>
          <w:p w:rsidR="00420F65" w:rsidRPr="00A47F4F" w:rsidRDefault="00420F65">
            <w:pPr>
              <w:spacing w:after="60" w:line="240" w:lineRule="auto"/>
              <w:jc w:val="both"/>
              <w:rPr>
                <w:rFonts w:eastAsia="Times New Roman" w:cstheme="minorHAnsi"/>
              </w:rPr>
            </w:pPr>
            <w:r w:rsidRPr="00A049D3">
              <w:rPr>
                <w:rFonts w:cs="Arial"/>
              </w:rPr>
              <w:t xml:space="preserve">Long </w:t>
            </w:r>
            <w:r w:rsidR="006B3E69">
              <w:rPr>
                <w:rFonts w:cs="Arial"/>
              </w:rPr>
              <w:t>a</w:t>
            </w:r>
            <w:r w:rsidRPr="00A049D3">
              <w:rPr>
                <w:rFonts w:cs="Arial"/>
              </w:rPr>
              <w:t>cting Beta-Adrenoceptor agonist</w:t>
            </w:r>
          </w:p>
        </w:tc>
        <w:tc>
          <w:tcPr>
            <w:tcW w:w="1250" w:type="pct"/>
            <w:tcBorders>
              <w:top w:val="single" w:sz="6" w:space="0" w:color="000000"/>
              <w:left w:val="single" w:sz="6" w:space="0" w:color="000000"/>
              <w:bottom w:val="single" w:sz="6" w:space="0" w:color="000000"/>
              <w:right w:val="single" w:sz="6" w:space="0" w:color="000000"/>
            </w:tcBorders>
          </w:tcPr>
          <w:p w:rsidR="00420F65" w:rsidRPr="00A47F4F" w:rsidRDefault="00420F65" w:rsidP="00A47F4F">
            <w:pPr>
              <w:spacing w:after="60" w:line="240" w:lineRule="auto"/>
              <w:rPr>
                <w:rFonts w:eastAsia="Times New Roman" w:cstheme="minorHAnsi"/>
              </w:rPr>
            </w:pPr>
            <w:r w:rsidRPr="00A049D3">
              <w:rPr>
                <w:rFonts w:cs="Arial"/>
              </w:rPr>
              <w:t>Salmeterol</w:t>
            </w:r>
          </w:p>
        </w:tc>
        <w:tc>
          <w:tcPr>
            <w:tcW w:w="2500" w:type="pct"/>
            <w:tcBorders>
              <w:top w:val="single" w:sz="6" w:space="0" w:color="000000"/>
              <w:left w:val="single" w:sz="6" w:space="0" w:color="000000"/>
              <w:bottom w:val="single" w:sz="6" w:space="0" w:color="000000"/>
              <w:right w:val="single" w:sz="6" w:space="0" w:color="000000"/>
            </w:tcBorders>
          </w:tcPr>
          <w:p w:rsidR="00420F65" w:rsidRPr="00A47F4F" w:rsidRDefault="00420F65" w:rsidP="00A47F4F">
            <w:pPr>
              <w:spacing w:after="60" w:line="240" w:lineRule="auto"/>
              <w:rPr>
                <w:rFonts w:eastAsia="Times New Roman" w:cstheme="minorHAnsi"/>
              </w:rPr>
            </w:pPr>
            <w:r w:rsidRPr="00A049D3">
              <w:rPr>
                <w:rFonts w:cs="Arial"/>
              </w:rPr>
              <w:t xml:space="preserve">The combination may result in increased risk of cardiovascular adverse events associated with </w:t>
            </w:r>
            <w:r w:rsidRPr="00A049D3">
              <w:rPr>
                <w:rFonts w:cs="Arial"/>
              </w:rPr>
              <w:lastRenderedPageBreak/>
              <w:t>salmeterol, including QT prolongation, palpitations and sinus tachycardia.</w:t>
            </w:r>
          </w:p>
        </w:tc>
      </w:tr>
      <w:tr w:rsidR="00420F65" w:rsidRPr="00A47F4F" w:rsidTr="00A47F4F">
        <w:tc>
          <w:tcPr>
            <w:tcW w:w="1250" w:type="pct"/>
            <w:tcBorders>
              <w:top w:val="single" w:sz="6" w:space="0" w:color="000000"/>
              <w:left w:val="single" w:sz="6" w:space="0" w:color="000000"/>
              <w:bottom w:val="single" w:sz="6" w:space="0" w:color="000000"/>
              <w:right w:val="single" w:sz="6" w:space="0" w:color="000000"/>
            </w:tcBorders>
            <w:hideMark/>
          </w:tcPr>
          <w:p w:rsidR="00420F65" w:rsidRPr="00A47F4F" w:rsidRDefault="00420F65">
            <w:pPr>
              <w:spacing w:after="60" w:line="240" w:lineRule="auto"/>
              <w:jc w:val="both"/>
              <w:rPr>
                <w:rFonts w:eastAsia="Times New Roman" w:cstheme="minorHAnsi"/>
              </w:rPr>
            </w:pPr>
            <w:r w:rsidRPr="00A47F4F">
              <w:rPr>
                <w:rFonts w:eastAsia="Times New Roman" w:cstheme="minorHAnsi"/>
              </w:rPr>
              <w:lastRenderedPageBreak/>
              <w:t>Neuroleptics</w:t>
            </w:r>
          </w:p>
        </w:tc>
        <w:tc>
          <w:tcPr>
            <w:tcW w:w="1250" w:type="pct"/>
            <w:tcBorders>
              <w:top w:val="single" w:sz="6" w:space="0" w:color="000000"/>
              <w:left w:val="single" w:sz="6" w:space="0" w:color="000000"/>
              <w:bottom w:val="single" w:sz="6" w:space="0" w:color="000000"/>
              <w:right w:val="single" w:sz="6" w:space="0" w:color="000000"/>
            </w:tcBorders>
            <w:hideMark/>
          </w:tcPr>
          <w:p w:rsidR="00420F65" w:rsidRPr="00A47F4F" w:rsidRDefault="00420F65" w:rsidP="00A47F4F">
            <w:pPr>
              <w:spacing w:after="60" w:line="240" w:lineRule="auto"/>
              <w:rPr>
                <w:rFonts w:eastAsia="Times New Roman" w:cstheme="minorHAnsi"/>
              </w:rPr>
            </w:pPr>
            <w:proofErr w:type="spellStart"/>
            <w:r w:rsidRPr="00A47F4F">
              <w:rPr>
                <w:rFonts w:eastAsia="Times New Roman" w:cstheme="minorHAnsi"/>
              </w:rPr>
              <w:t>Pimozide</w:t>
            </w:r>
            <w:proofErr w:type="spellEnd"/>
          </w:p>
        </w:tc>
        <w:tc>
          <w:tcPr>
            <w:tcW w:w="2500" w:type="pct"/>
            <w:tcBorders>
              <w:top w:val="single" w:sz="6" w:space="0" w:color="000000"/>
              <w:left w:val="single" w:sz="6" w:space="0" w:color="000000"/>
              <w:bottom w:val="single" w:sz="6" w:space="0" w:color="000000"/>
              <w:right w:val="single" w:sz="6" w:space="0" w:color="000000"/>
            </w:tcBorders>
            <w:hideMark/>
          </w:tcPr>
          <w:p w:rsidR="00420F65" w:rsidRPr="00A47F4F" w:rsidRDefault="00420F65" w:rsidP="00A47F4F">
            <w:pPr>
              <w:spacing w:after="60" w:line="240" w:lineRule="auto"/>
              <w:rPr>
                <w:rFonts w:eastAsia="Times New Roman" w:cstheme="minorHAnsi"/>
              </w:rPr>
            </w:pPr>
            <w:r w:rsidRPr="00A47F4F">
              <w:rPr>
                <w:rFonts w:eastAsia="Times New Roman" w:cstheme="minorHAnsi"/>
              </w:rPr>
              <w:t>Potential for cardiac arrhythmias.</w:t>
            </w:r>
          </w:p>
        </w:tc>
      </w:tr>
      <w:tr w:rsidR="00420F65" w:rsidRPr="00A47F4F" w:rsidTr="00A47F4F">
        <w:tc>
          <w:tcPr>
            <w:tcW w:w="1250" w:type="pct"/>
            <w:tcBorders>
              <w:top w:val="single" w:sz="6" w:space="0" w:color="000000"/>
              <w:left w:val="single" w:sz="6" w:space="0" w:color="000000"/>
              <w:bottom w:val="single" w:sz="6" w:space="0" w:color="000000"/>
              <w:right w:val="single" w:sz="6" w:space="0" w:color="000000"/>
            </w:tcBorders>
            <w:hideMark/>
          </w:tcPr>
          <w:p w:rsidR="00420F65" w:rsidRPr="00A47F4F" w:rsidRDefault="00420F65">
            <w:pPr>
              <w:spacing w:after="60" w:line="240" w:lineRule="auto"/>
              <w:jc w:val="both"/>
              <w:rPr>
                <w:rFonts w:eastAsia="Times New Roman" w:cstheme="minorHAnsi"/>
              </w:rPr>
            </w:pPr>
            <w:r w:rsidRPr="00A47F4F">
              <w:rPr>
                <w:rFonts w:eastAsia="Times New Roman" w:cstheme="minorHAnsi"/>
              </w:rPr>
              <w:t>Non-nucleoside reverse transcriptase inhibitor</w:t>
            </w:r>
          </w:p>
        </w:tc>
        <w:tc>
          <w:tcPr>
            <w:tcW w:w="1250" w:type="pct"/>
            <w:tcBorders>
              <w:top w:val="single" w:sz="6" w:space="0" w:color="000000"/>
              <w:left w:val="single" w:sz="6" w:space="0" w:color="000000"/>
              <w:bottom w:val="single" w:sz="6" w:space="0" w:color="000000"/>
              <w:right w:val="single" w:sz="6" w:space="0" w:color="000000"/>
            </w:tcBorders>
            <w:hideMark/>
          </w:tcPr>
          <w:p w:rsidR="00420F65" w:rsidRPr="00A47F4F" w:rsidRDefault="00420F65" w:rsidP="00A47F4F">
            <w:pPr>
              <w:spacing w:after="60" w:line="240" w:lineRule="auto"/>
              <w:rPr>
                <w:rFonts w:eastAsia="Times New Roman" w:cstheme="minorHAnsi"/>
              </w:rPr>
            </w:pPr>
            <w:proofErr w:type="spellStart"/>
            <w:r w:rsidRPr="00A47F4F">
              <w:rPr>
                <w:rFonts w:eastAsia="Times New Roman" w:cstheme="minorHAnsi"/>
              </w:rPr>
              <w:t>Efavirenz</w:t>
            </w:r>
            <w:proofErr w:type="spellEnd"/>
          </w:p>
        </w:tc>
        <w:tc>
          <w:tcPr>
            <w:tcW w:w="2500" w:type="pct"/>
            <w:tcBorders>
              <w:top w:val="single" w:sz="6" w:space="0" w:color="000000"/>
              <w:left w:val="single" w:sz="6" w:space="0" w:color="000000"/>
              <w:bottom w:val="single" w:sz="6" w:space="0" w:color="000000"/>
              <w:right w:val="single" w:sz="6" w:space="0" w:color="000000"/>
            </w:tcBorders>
            <w:hideMark/>
          </w:tcPr>
          <w:p w:rsidR="00420F65" w:rsidRPr="00A47F4F" w:rsidRDefault="00420F65" w:rsidP="00A47F4F">
            <w:pPr>
              <w:spacing w:after="60" w:line="240" w:lineRule="auto"/>
              <w:rPr>
                <w:rFonts w:eastAsia="Times New Roman" w:cstheme="minorHAnsi"/>
              </w:rPr>
            </w:pPr>
            <w:r w:rsidRPr="00A47F4F">
              <w:rPr>
                <w:rFonts w:eastAsia="Times New Roman" w:cstheme="minorHAnsi"/>
              </w:rPr>
              <w:t xml:space="preserve">Co-administration of </w:t>
            </w:r>
            <w:proofErr w:type="spellStart"/>
            <w:r w:rsidRPr="00A47F4F">
              <w:rPr>
                <w:rFonts w:eastAsia="Times New Roman" w:cstheme="minorHAnsi"/>
              </w:rPr>
              <w:t>efavirenz</w:t>
            </w:r>
            <w:proofErr w:type="spellEnd"/>
            <w:r w:rsidRPr="00A47F4F">
              <w:rPr>
                <w:rFonts w:eastAsia="Times New Roman" w:cstheme="minorHAnsi"/>
              </w:rPr>
              <w:t xml:space="preserve"> based regimens with </w:t>
            </w:r>
            <w:proofErr w:type="spellStart"/>
            <w:r w:rsidRPr="00A47F4F">
              <w:rPr>
                <w:rFonts w:eastAsia="Times New Roman" w:cstheme="minorHAnsi"/>
              </w:rPr>
              <w:t>paritaprevir</w:t>
            </w:r>
            <w:proofErr w:type="spellEnd"/>
            <w:r w:rsidRPr="00A47F4F">
              <w:rPr>
                <w:rFonts w:eastAsia="Times New Roman" w:cstheme="minorHAnsi"/>
              </w:rPr>
              <w:t xml:space="preserve"> and ritonavir was poorly tolerated and resulted in liver enzyme elevations. </w:t>
            </w:r>
          </w:p>
        </w:tc>
      </w:tr>
      <w:tr w:rsidR="00420F65" w:rsidRPr="00A47F4F" w:rsidTr="00A47F4F">
        <w:tc>
          <w:tcPr>
            <w:tcW w:w="1250" w:type="pct"/>
            <w:tcBorders>
              <w:top w:val="single" w:sz="6" w:space="0" w:color="000000"/>
              <w:left w:val="single" w:sz="6" w:space="0" w:color="000000"/>
              <w:bottom w:val="single" w:sz="6" w:space="0" w:color="000000"/>
              <w:right w:val="single" w:sz="6" w:space="0" w:color="000000"/>
            </w:tcBorders>
            <w:hideMark/>
          </w:tcPr>
          <w:p w:rsidR="00420F65" w:rsidRPr="00A47F4F" w:rsidRDefault="00420F65">
            <w:pPr>
              <w:spacing w:after="60" w:line="240" w:lineRule="auto"/>
              <w:jc w:val="both"/>
              <w:rPr>
                <w:rFonts w:eastAsia="Times New Roman" w:cstheme="minorHAnsi"/>
              </w:rPr>
            </w:pPr>
            <w:r w:rsidRPr="00A47F4F">
              <w:rPr>
                <w:rFonts w:eastAsia="Times New Roman" w:cstheme="minorHAnsi"/>
              </w:rPr>
              <w:t>Phosphodiesterase-5 (PDE5) inhibitor</w:t>
            </w:r>
          </w:p>
        </w:tc>
        <w:tc>
          <w:tcPr>
            <w:tcW w:w="1250" w:type="pct"/>
            <w:tcBorders>
              <w:top w:val="single" w:sz="6" w:space="0" w:color="000000"/>
              <w:left w:val="single" w:sz="6" w:space="0" w:color="000000"/>
              <w:bottom w:val="single" w:sz="6" w:space="0" w:color="000000"/>
              <w:right w:val="single" w:sz="6" w:space="0" w:color="000000"/>
            </w:tcBorders>
            <w:hideMark/>
          </w:tcPr>
          <w:p w:rsidR="00420F65" w:rsidRPr="00A47F4F" w:rsidRDefault="00420F65" w:rsidP="00A47F4F">
            <w:pPr>
              <w:spacing w:after="60" w:line="240" w:lineRule="auto"/>
              <w:rPr>
                <w:rFonts w:eastAsia="Times New Roman" w:cstheme="minorHAnsi"/>
              </w:rPr>
            </w:pPr>
            <w:r w:rsidRPr="00A47F4F">
              <w:rPr>
                <w:rFonts w:eastAsia="Times New Roman" w:cstheme="minorHAnsi"/>
              </w:rPr>
              <w:t xml:space="preserve">Sildenafil when dosed as REVATIO for the treatment of pulmonary arterial hypertension (PAH) </w:t>
            </w:r>
          </w:p>
        </w:tc>
        <w:tc>
          <w:tcPr>
            <w:tcW w:w="2500" w:type="pct"/>
            <w:tcBorders>
              <w:top w:val="single" w:sz="6" w:space="0" w:color="000000"/>
              <w:left w:val="single" w:sz="6" w:space="0" w:color="000000"/>
              <w:bottom w:val="single" w:sz="6" w:space="0" w:color="000000"/>
              <w:right w:val="single" w:sz="6" w:space="0" w:color="000000"/>
            </w:tcBorders>
            <w:hideMark/>
          </w:tcPr>
          <w:p w:rsidR="00420F65" w:rsidRPr="00A47F4F" w:rsidRDefault="00420F65" w:rsidP="00A47F4F">
            <w:pPr>
              <w:spacing w:after="60" w:line="240" w:lineRule="auto"/>
              <w:rPr>
                <w:rFonts w:eastAsia="Times New Roman" w:cstheme="minorHAnsi"/>
              </w:rPr>
            </w:pPr>
            <w:r w:rsidRPr="00A47F4F">
              <w:rPr>
                <w:rFonts w:eastAsia="Times New Roman" w:cstheme="minorHAnsi"/>
              </w:rPr>
              <w:t xml:space="preserve">There is increased potential for sildenafil-associated adverse events such as visual disturbances, hypotension, priapism, and syncope. </w:t>
            </w:r>
          </w:p>
        </w:tc>
      </w:tr>
      <w:tr w:rsidR="00E43337" w:rsidRPr="00A47F4F" w:rsidTr="00A47F4F">
        <w:tc>
          <w:tcPr>
            <w:tcW w:w="1250" w:type="pct"/>
            <w:tcBorders>
              <w:top w:val="single" w:sz="6" w:space="0" w:color="000000"/>
              <w:left w:val="single" w:sz="6" w:space="0" w:color="000000"/>
              <w:bottom w:val="single" w:sz="6" w:space="0" w:color="000000"/>
              <w:right w:val="single" w:sz="6" w:space="0" w:color="000000"/>
            </w:tcBorders>
          </w:tcPr>
          <w:p w:rsidR="00E43337" w:rsidRPr="00E43337" w:rsidRDefault="00E43337" w:rsidP="00E43337">
            <w:pPr>
              <w:autoSpaceDE w:val="0"/>
              <w:autoSpaceDN w:val="0"/>
              <w:adjustRightInd w:val="0"/>
              <w:spacing w:after="0" w:line="240" w:lineRule="auto"/>
              <w:rPr>
                <w:rFonts w:ascii="Calibri" w:hAnsi="Calibri" w:cs="Calibri"/>
              </w:rPr>
            </w:pPr>
            <w:r w:rsidRPr="00E43337">
              <w:rPr>
                <w:rFonts w:ascii="Calibri" w:hAnsi="Calibri" w:cs="Calibri"/>
              </w:rPr>
              <w:t>Platelet aggregation inhibitors excluding</w:t>
            </w:r>
          </w:p>
          <w:p w:rsidR="00E43337" w:rsidRPr="00E43337" w:rsidRDefault="00E43337" w:rsidP="00E43337">
            <w:pPr>
              <w:spacing w:after="60" w:line="240" w:lineRule="auto"/>
              <w:jc w:val="both"/>
              <w:rPr>
                <w:rFonts w:eastAsia="Times New Roman" w:cstheme="minorHAnsi"/>
              </w:rPr>
            </w:pPr>
            <w:r w:rsidRPr="00E43337">
              <w:rPr>
                <w:rFonts w:ascii="Calibri" w:hAnsi="Calibri" w:cs="Calibri"/>
              </w:rPr>
              <w:t>heparin</w:t>
            </w:r>
          </w:p>
        </w:tc>
        <w:tc>
          <w:tcPr>
            <w:tcW w:w="1250" w:type="pct"/>
            <w:tcBorders>
              <w:top w:val="single" w:sz="6" w:space="0" w:color="000000"/>
              <w:left w:val="single" w:sz="6" w:space="0" w:color="000000"/>
              <w:bottom w:val="single" w:sz="6" w:space="0" w:color="000000"/>
              <w:right w:val="single" w:sz="6" w:space="0" w:color="000000"/>
            </w:tcBorders>
          </w:tcPr>
          <w:p w:rsidR="00E43337" w:rsidRPr="00E43337" w:rsidRDefault="00E43337" w:rsidP="00A47F4F">
            <w:pPr>
              <w:spacing w:after="60" w:line="240" w:lineRule="auto"/>
              <w:rPr>
                <w:rFonts w:eastAsia="Times New Roman" w:cstheme="minorHAnsi"/>
              </w:rPr>
            </w:pPr>
            <w:proofErr w:type="spellStart"/>
            <w:r w:rsidRPr="00E43337">
              <w:rPr>
                <w:rFonts w:ascii="Calibri" w:hAnsi="Calibri" w:cs="Calibri"/>
              </w:rPr>
              <w:t>Ticagrelor</w:t>
            </w:r>
            <w:proofErr w:type="spellEnd"/>
          </w:p>
        </w:tc>
        <w:tc>
          <w:tcPr>
            <w:tcW w:w="2500" w:type="pct"/>
            <w:tcBorders>
              <w:top w:val="single" w:sz="6" w:space="0" w:color="000000"/>
              <w:left w:val="single" w:sz="6" w:space="0" w:color="000000"/>
              <w:bottom w:val="single" w:sz="6" w:space="0" w:color="000000"/>
              <w:right w:val="single" w:sz="6" w:space="0" w:color="000000"/>
            </w:tcBorders>
          </w:tcPr>
          <w:p w:rsidR="00E43337" w:rsidRPr="00E43337" w:rsidRDefault="00E43337" w:rsidP="00E43337">
            <w:pPr>
              <w:autoSpaceDE w:val="0"/>
              <w:autoSpaceDN w:val="0"/>
              <w:adjustRightInd w:val="0"/>
              <w:spacing w:after="0" w:line="240" w:lineRule="auto"/>
              <w:rPr>
                <w:rFonts w:ascii="Calibri" w:hAnsi="Calibri" w:cs="Calibri"/>
              </w:rPr>
            </w:pPr>
            <w:r w:rsidRPr="00E43337">
              <w:rPr>
                <w:rFonts w:ascii="Calibri" w:hAnsi="Calibri" w:cs="Calibri"/>
              </w:rPr>
              <w:t xml:space="preserve">Increased potential for </w:t>
            </w:r>
            <w:proofErr w:type="spellStart"/>
            <w:r w:rsidRPr="00E43337">
              <w:rPr>
                <w:rFonts w:ascii="Calibri" w:hAnsi="Calibri" w:cs="Calibri"/>
              </w:rPr>
              <w:t>ticagrelor</w:t>
            </w:r>
            <w:proofErr w:type="spellEnd"/>
            <w:r w:rsidRPr="00E43337">
              <w:rPr>
                <w:rFonts w:ascii="Calibri" w:hAnsi="Calibri" w:cs="Calibri"/>
              </w:rPr>
              <w:t xml:space="preserve"> associated adverse events.</w:t>
            </w:r>
          </w:p>
        </w:tc>
      </w:tr>
      <w:tr w:rsidR="00420F65" w:rsidRPr="00A47F4F" w:rsidTr="00A47F4F">
        <w:tc>
          <w:tcPr>
            <w:tcW w:w="1250" w:type="pct"/>
            <w:tcBorders>
              <w:top w:val="single" w:sz="6" w:space="0" w:color="000000"/>
              <w:left w:val="single" w:sz="6" w:space="0" w:color="000000"/>
              <w:bottom w:val="single" w:sz="6" w:space="0" w:color="000000"/>
              <w:right w:val="single" w:sz="6" w:space="0" w:color="000000"/>
            </w:tcBorders>
            <w:hideMark/>
          </w:tcPr>
          <w:p w:rsidR="00420F65" w:rsidRPr="00A47F4F" w:rsidRDefault="00420F65">
            <w:pPr>
              <w:spacing w:after="60" w:line="240" w:lineRule="auto"/>
              <w:jc w:val="both"/>
              <w:rPr>
                <w:rFonts w:eastAsia="Times New Roman" w:cstheme="minorHAnsi"/>
              </w:rPr>
            </w:pPr>
            <w:r w:rsidRPr="00A47F4F">
              <w:rPr>
                <w:rFonts w:eastAsia="Times New Roman" w:cstheme="minorHAnsi"/>
              </w:rPr>
              <w:t>Sedatives/hypnotics</w:t>
            </w:r>
          </w:p>
        </w:tc>
        <w:tc>
          <w:tcPr>
            <w:tcW w:w="1250" w:type="pct"/>
            <w:tcBorders>
              <w:top w:val="single" w:sz="6" w:space="0" w:color="000000"/>
              <w:left w:val="single" w:sz="6" w:space="0" w:color="000000"/>
              <w:bottom w:val="single" w:sz="6" w:space="0" w:color="000000"/>
              <w:right w:val="single" w:sz="6" w:space="0" w:color="000000"/>
            </w:tcBorders>
            <w:hideMark/>
          </w:tcPr>
          <w:p w:rsidR="00420F65" w:rsidRPr="00A47F4F" w:rsidRDefault="00420F65" w:rsidP="00A47F4F">
            <w:pPr>
              <w:spacing w:after="60" w:line="240" w:lineRule="auto"/>
              <w:rPr>
                <w:rFonts w:eastAsia="Times New Roman" w:cstheme="minorHAnsi"/>
              </w:rPr>
            </w:pPr>
            <w:proofErr w:type="spellStart"/>
            <w:r w:rsidRPr="00A47F4F">
              <w:rPr>
                <w:rFonts w:eastAsia="Times New Roman" w:cstheme="minorHAnsi"/>
              </w:rPr>
              <w:t>Triazolam</w:t>
            </w:r>
            <w:proofErr w:type="spellEnd"/>
            <w:r w:rsidRPr="00A47F4F">
              <w:rPr>
                <w:rFonts w:eastAsia="Times New Roman" w:cstheme="minorHAnsi"/>
              </w:rPr>
              <w:t xml:space="preserve"> </w:t>
            </w:r>
            <w:r w:rsidRPr="00A47F4F">
              <w:rPr>
                <w:rFonts w:eastAsia="Times New Roman" w:cstheme="minorHAnsi"/>
              </w:rPr>
              <w:br/>
              <w:t xml:space="preserve">Orally administered midazolam </w:t>
            </w:r>
          </w:p>
        </w:tc>
        <w:tc>
          <w:tcPr>
            <w:tcW w:w="2500" w:type="pct"/>
            <w:tcBorders>
              <w:top w:val="single" w:sz="6" w:space="0" w:color="000000"/>
              <w:left w:val="single" w:sz="6" w:space="0" w:color="000000"/>
              <w:bottom w:val="single" w:sz="6" w:space="0" w:color="000000"/>
              <w:right w:val="single" w:sz="6" w:space="0" w:color="000000"/>
            </w:tcBorders>
            <w:hideMark/>
          </w:tcPr>
          <w:p w:rsidR="00420F65" w:rsidRPr="00A47F4F" w:rsidRDefault="00420F65" w:rsidP="00A47F4F">
            <w:pPr>
              <w:spacing w:after="60" w:line="240" w:lineRule="auto"/>
              <w:rPr>
                <w:rFonts w:eastAsia="Times New Roman" w:cstheme="minorHAnsi"/>
              </w:rPr>
            </w:pPr>
            <w:proofErr w:type="spellStart"/>
            <w:r w:rsidRPr="00A47F4F">
              <w:rPr>
                <w:rFonts w:eastAsia="Times New Roman" w:cstheme="minorHAnsi"/>
              </w:rPr>
              <w:t>Triazolam</w:t>
            </w:r>
            <w:proofErr w:type="spellEnd"/>
            <w:r w:rsidRPr="00A47F4F">
              <w:rPr>
                <w:rFonts w:eastAsia="Times New Roman" w:cstheme="minorHAnsi"/>
              </w:rPr>
              <w:t xml:space="preserve"> and orally administered midazolam are extensively metabolized by CYP3A4. Co-administration of </w:t>
            </w:r>
            <w:proofErr w:type="spellStart"/>
            <w:r w:rsidRPr="00A47F4F">
              <w:rPr>
                <w:rFonts w:eastAsia="Times New Roman" w:cstheme="minorHAnsi"/>
              </w:rPr>
              <w:t>triazolam</w:t>
            </w:r>
            <w:proofErr w:type="spellEnd"/>
            <w:r w:rsidRPr="00A47F4F">
              <w:rPr>
                <w:rFonts w:eastAsia="Times New Roman" w:cstheme="minorHAnsi"/>
              </w:rPr>
              <w:t xml:space="preserve"> or orally administered midazolam with TECHNIVIE may cause large increases in the concentration of these benzodiazepines. </w:t>
            </w:r>
            <w:r w:rsidR="00013ED9">
              <w:rPr>
                <w:rFonts w:eastAsia="Times New Roman" w:cstheme="minorHAnsi"/>
              </w:rPr>
              <w:t xml:space="preserve"> </w:t>
            </w:r>
            <w:r w:rsidRPr="00A47F4F">
              <w:rPr>
                <w:rFonts w:eastAsia="Times New Roman" w:cstheme="minorHAnsi"/>
              </w:rPr>
              <w:t xml:space="preserve">The potential exists for serious and/or life threatening events such as prolonged or increased sedation or respiratory depression. </w:t>
            </w:r>
          </w:p>
        </w:tc>
      </w:tr>
      <w:tr w:rsidR="00420F65" w:rsidRPr="00A47F4F" w:rsidTr="00A47F4F">
        <w:tc>
          <w:tcPr>
            <w:tcW w:w="1250" w:type="pct"/>
            <w:tcBorders>
              <w:top w:val="single" w:sz="6" w:space="0" w:color="000000"/>
              <w:left w:val="single" w:sz="6" w:space="0" w:color="000000"/>
              <w:bottom w:val="single" w:sz="6" w:space="0" w:color="000000"/>
              <w:right w:val="single" w:sz="6" w:space="0" w:color="000000"/>
            </w:tcBorders>
          </w:tcPr>
          <w:p w:rsidR="00420F65" w:rsidRPr="00A47F4F" w:rsidRDefault="00420F65">
            <w:pPr>
              <w:spacing w:after="60" w:line="240" w:lineRule="auto"/>
              <w:jc w:val="both"/>
              <w:rPr>
                <w:rFonts w:eastAsia="Times New Roman" w:cstheme="minorHAnsi"/>
              </w:rPr>
            </w:pPr>
            <w:r w:rsidRPr="00A049D3">
              <w:rPr>
                <w:rFonts w:cs="Arial"/>
              </w:rPr>
              <w:t xml:space="preserve">Steroid </w:t>
            </w:r>
            <w:proofErr w:type="spellStart"/>
            <w:r w:rsidRPr="00A049D3">
              <w:rPr>
                <w:rFonts w:cs="Arial"/>
              </w:rPr>
              <w:t>antibacterials</w:t>
            </w:r>
            <w:proofErr w:type="spellEnd"/>
          </w:p>
        </w:tc>
        <w:tc>
          <w:tcPr>
            <w:tcW w:w="1250" w:type="pct"/>
            <w:tcBorders>
              <w:top w:val="single" w:sz="6" w:space="0" w:color="000000"/>
              <w:left w:val="single" w:sz="6" w:space="0" w:color="000000"/>
              <w:bottom w:val="single" w:sz="6" w:space="0" w:color="000000"/>
              <w:right w:val="single" w:sz="6" w:space="0" w:color="000000"/>
            </w:tcBorders>
          </w:tcPr>
          <w:p w:rsidR="00420F65" w:rsidRPr="00A47F4F" w:rsidRDefault="00420F65" w:rsidP="00A47F4F">
            <w:pPr>
              <w:spacing w:after="60" w:line="240" w:lineRule="auto"/>
              <w:rPr>
                <w:rFonts w:eastAsia="Times New Roman" w:cstheme="minorHAnsi"/>
              </w:rPr>
            </w:pPr>
            <w:proofErr w:type="spellStart"/>
            <w:r w:rsidRPr="00A049D3">
              <w:rPr>
                <w:rFonts w:cs="Arial"/>
              </w:rPr>
              <w:t>Fusidic</w:t>
            </w:r>
            <w:proofErr w:type="spellEnd"/>
            <w:r w:rsidRPr="00A049D3">
              <w:rPr>
                <w:rFonts w:cs="Arial"/>
              </w:rPr>
              <w:t xml:space="preserve"> acid</w:t>
            </w:r>
          </w:p>
        </w:tc>
        <w:tc>
          <w:tcPr>
            <w:tcW w:w="2500" w:type="pct"/>
            <w:tcBorders>
              <w:top w:val="single" w:sz="6" w:space="0" w:color="000000"/>
              <w:left w:val="single" w:sz="6" w:space="0" w:color="000000"/>
              <w:bottom w:val="single" w:sz="6" w:space="0" w:color="000000"/>
              <w:right w:val="single" w:sz="6" w:space="0" w:color="000000"/>
            </w:tcBorders>
          </w:tcPr>
          <w:p w:rsidR="00420F65" w:rsidRPr="00A47F4F" w:rsidRDefault="00420F65" w:rsidP="00A47F4F">
            <w:pPr>
              <w:spacing w:after="60" w:line="240" w:lineRule="auto"/>
              <w:rPr>
                <w:rFonts w:eastAsia="Times New Roman" w:cstheme="minorHAnsi"/>
              </w:rPr>
            </w:pPr>
            <w:r w:rsidRPr="00A049D3">
              <w:t xml:space="preserve">Increased potential for </w:t>
            </w:r>
            <w:proofErr w:type="spellStart"/>
            <w:r w:rsidRPr="00A049D3">
              <w:rPr>
                <w:rFonts w:cs="Arial"/>
                <w:lang w:val="en-US"/>
              </w:rPr>
              <w:t>fusidic</w:t>
            </w:r>
            <w:proofErr w:type="spellEnd"/>
            <w:r w:rsidRPr="00A049D3">
              <w:rPr>
                <w:rFonts w:cs="Arial"/>
                <w:lang w:val="en-US"/>
              </w:rPr>
              <w:t xml:space="preserve"> acid </w:t>
            </w:r>
            <w:r w:rsidRPr="00A049D3">
              <w:t>associated adverse events.</w:t>
            </w:r>
          </w:p>
        </w:tc>
      </w:tr>
      <w:tr w:rsidR="00E43337" w:rsidRPr="00A47F4F" w:rsidTr="00A47F4F">
        <w:tc>
          <w:tcPr>
            <w:tcW w:w="1250" w:type="pct"/>
            <w:tcBorders>
              <w:top w:val="single" w:sz="6" w:space="0" w:color="000000"/>
              <w:left w:val="single" w:sz="6" w:space="0" w:color="000000"/>
              <w:bottom w:val="single" w:sz="6" w:space="0" w:color="000000"/>
              <w:right w:val="single" w:sz="6" w:space="0" w:color="000000"/>
            </w:tcBorders>
          </w:tcPr>
          <w:p w:rsidR="00E43337" w:rsidRPr="00E43337" w:rsidRDefault="00E43337">
            <w:pPr>
              <w:spacing w:after="60" w:line="240" w:lineRule="auto"/>
              <w:jc w:val="both"/>
              <w:rPr>
                <w:rFonts w:cs="Arial"/>
              </w:rPr>
            </w:pPr>
            <w:r w:rsidRPr="00E43337">
              <w:rPr>
                <w:rFonts w:ascii="Calibri" w:hAnsi="Calibri" w:cs="Calibri"/>
                <w:szCs w:val="19"/>
              </w:rPr>
              <w:t>Anticancer agents</w:t>
            </w:r>
          </w:p>
        </w:tc>
        <w:tc>
          <w:tcPr>
            <w:tcW w:w="1250" w:type="pct"/>
            <w:tcBorders>
              <w:top w:val="single" w:sz="6" w:space="0" w:color="000000"/>
              <w:left w:val="single" w:sz="6" w:space="0" w:color="000000"/>
              <w:bottom w:val="single" w:sz="6" w:space="0" w:color="000000"/>
              <w:right w:val="single" w:sz="6" w:space="0" w:color="000000"/>
            </w:tcBorders>
          </w:tcPr>
          <w:p w:rsidR="00E43337" w:rsidRPr="00E43337" w:rsidRDefault="00E43337" w:rsidP="00E43337">
            <w:pPr>
              <w:autoSpaceDE w:val="0"/>
              <w:autoSpaceDN w:val="0"/>
              <w:adjustRightInd w:val="0"/>
              <w:spacing w:after="0" w:line="240" w:lineRule="auto"/>
              <w:rPr>
                <w:rFonts w:ascii="Calibri" w:hAnsi="Calibri" w:cs="Calibri"/>
                <w:szCs w:val="19"/>
              </w:rPr>
            </w:pPr>
            <w:proofErr w:type="spellStart"/>
            <w:r w:rsidRPr="00E43337">
              <w:rPr>
                <w:rFonts w:ascii="Calibri" w:hAnsi="Calibri" w:cs="Calibri"/>
                <w:szCs w:val="19"/>
              </w:rPr>
              <w:t>Mitotane</w:t>
            </w:r>
            <w:proofErr w:type="spellEnd"/>
            <w:r w:rsidRPr="00E43337">
              <w:rPr>
                <w:rFonts w:ascii="Calibri" w:hAnsi="Calibri" w:cs="Calibri"/>
                <w:szCs w:val="19"/>
              </w:rPr>
              <w:t>,</w:t>
            </w:r>
          </w:p>
          <w:p w:rsidR="00E43337" w:rsidRPr="00E43337" w:rsidRDefault="00E43337" w:rsidP="00E43337">
            <w:pPr>
              <w:spacing w:after="60" w:line="240" w:lineRule="auto"/>
              <w:rPr>
                <w:rFonts w:cs="Arial"/>
              </w:rPr>
            </w:pPr>
            <w:r w:rsidRPr="00E43337">
              <w:rPr>
                <w:rFonts w:ascii="Calibri" w:hAnsi="Calibri" w:cs="Calibri"/>
                <w:szCs w:val="19"/>
              </w:rPr>
              <w:t>enzalutamide</w:t>
            </w:r>
          </w:p>
        </w:tc>
        <w:tc>
          <w:tcPr>
            <w:tcW w:w="2500" w:type="pct"/>
            <w:tcBorders>
              <w:top w:val="single" w:sz="6" w:space="0" w:color="000000"/>
              <w:left w:val="single" w:sz="6" w:space="0" w:color="000000"/>
              <w:bottom w:val="single" w:sz="6" w:space="0" w:color="000000"/>
              <w:right w:val="single" w:sz="6" w:space="0" w:color="000000"/>
            </w:tcBorders>
          </w:tcPr>
          <w:p w:rsidR="00E43337" w:rsidRPr="00E43337" w:rsidRDefault="00E43337" w:rsidP="00E43337">
            <w:pPr>
              <w:autoSpaceDE w:val="0"/>
              <w:autoSpaceDN w:val="0"/>
              <w:adjustRightInd w:val="0"/>
              <w:spacing w:after="0" w:line="240" w:lineRule="auto"/>
              <w:rPr>
                <w:rFonts w:ascii="Calibri" w:hAnsi="Calibri" w:cs="Calibri"/>
                <w:szCs w:val="19"/>
              </w:rPr>
            </w:pPr>
            <w:r w:rsidRPr="00E43337">
              <w:rPr>
                <w:rFonts w:ascii="Calibri" w:hAnsi="Calibri" w:cs="Calibri"/>
                <w:szCs w:val="19"/>
              </w:rPr>
              <w:t xml:space="preserve">Increased potential for </w:t>
            </w:r>
            <w:proofErr w:type="spellStart"/>
            <w:r w:rsidRPr="00E43337">
              <w:rPr>
                <w:rFonts w:ascii="Calibri" w:hAnsi="Calibri" w:cs="Calibri"/>
                <w:szCs w:val="19"/>
              </w:rPr>
              <w:t>mitotane</w:t>
            </w:r>
            <w:proofErr w:type="spellEnd"/>
            <w:r w:rsidRPr="00E43337">
              <w:rPr>
                <w:rFonts w:ascii="Calibri" w:hAnsi="Calibri" w:cs="Calibri"/>
                <w:szCs w:val="19"/>
              </w:rPr>
              <w:t xml:space="preserve"> and enzalutamide associated adverse events.</w:t>
            </w:r>
          </w:p>
        </w:tc>
      </w:tr>
    </w:tbl>
    <w:p w:rsidR="00085F33" w:rsidRPr="00A47F4F" w:rsidRDefault="00085F33" w:rsidP="003A11C0">
      <w:pPr>
        <w:pStyle w:val="TableLeft9"/>
        <w:rPr>
          <w:rFonts w:asciiTheme="minorHAnsi" w:hAnsiTheme="minorHAnsi" w:cstheme="minorHAnsi"/>
          <w:sz w:val="22"/>
          <w:szCs w:val="22"/>
          <w:lang w:val="en-AU"/>
        </w:rPr>
      </w:pPr>
      <w:bookmarkStart w:id="38" w:name="l30843291427891480"/>
      <w:bookmarkEnd w:id="38"/>
    </w:p>
    <w:p w:rsidR="00085F33" w:rsidRPr="00A47F4F" w:rsidRDefault="0011309F">
      <w:pPr>
        <w:pStyle w:val="Heading1"/>
        <w:rPr>
          <w:sz w:val="22"/>
          <w:szCs w:val="22"/>
        </w:rPr>
      </w:pPr>
      <w:bookmarkStart w:id="39" w:name="_Toc383787400"/>
      <w:r w:rsidRPr="00A47F4F">
        <w:rPr>
          <w:sz w:val="22"/>
          <w:szCs w:val="22"/>
        </w:rPr>
        <w:t>Precautions</w:t>
      </w:r>
      <w:bookmarkEnd w:id="39"/>
    </w:p>
    <w:p w:rsidR="00085F33" w:rsidRPr="00A47F4F" w:rsidRDefault="0011309F">
      <w:pPr>
        <w:spacing w:line="240" w:lineRule="auto"/>
        <w:jc w:val="both"/>
      </w:pPr>
      <w:r w:rsidRPr="00A47F4F">
        <w:rPr>
          <w:rFonts w:cs="Arial"/>
        </w:rPr>
        <w:t>TECHNIVIE efficacy has not been studied in patients who have previously failed therapy with a treatment regimen that includes TECHNIVIE or other direct-acting antiviral agents.</w:t>
      </w:r>
    </w:p>
    <w:p w:rsidR="004747CF" w:rsidRPr="00BF7C61" w:rsidRDefault="004747CF" w:rsidP="00BE51AA">
      <w:pPr>
        <w:pStyle w:val="Heading2"/>
        <w:spacing w:before="240" w:after="240" w:line="240" w:lineRule="auto"/>
        <w:jc w:val="both"/>
        <w:rPr>
          <w:rFonts w:ascii="Arial" w:hAnsi="Arial" w:cs="Arial"/>
          <w:color w:val="auto"/>
          <w:sz w:val="22"/>
          <w:szCs w:val="22"/>
        </w:rPr>
      </w:pPr>
      <w:r w:rsidRPr="00BF7C61">
        <w:rPr>
          <w:rFonts w:ascii="Arial" w:hAnsi="Arial" w:cs="Arial"/>
          <w:color w:val="auto"/>
          <w:sz w:val="22"/>
          <w:szCs w:val="22"/>
        </w:rPr>
        <w:t xml:space="preserve">Risk of Hepatic Decompensation and Hepatic Failure in Patients with Cirrhosis </w:t>
      </w:r>
    </w:p>
    <w:p w:rsidR="004747CF" w:rsidRPr="00942D03" w:rsidRDefault="004747CF" w:rsidP="00BE51AA">
      <w:pPr>
        <w:autoSpaceDE w:val="0"/>
        <w:autoSpaceDN w:val="0"/>
        <w:adjustRightInd w:val="0"/>
        <w:spacing w:before="240" w:after="240" w:line="240" w:lineRule="auto"/>
        <w:jc w:val="both"/>
        <w:rPr>
          <w:rFonts w:cstheme="minorHAnsi"/>
        </w:rPr>
      </w:pPr>
      <w:r w:rsidRPr="00942D03">
        <w:rPr>
          <w:rFonts w:cstheme="minorHAnsi"/>
        </w:rPr>
        <w:t xml:space="preserve">Hepatic decompensation and hepatic failure, including liver transplantation or fatal outcomes, have been reported from </w:t>
      </w:r>
      <w:proofErr w:type="spellStart"/>
      <w:r w:rsidRPr="00942D03">
        <w:rPr>
          <w:rFonts w:cstheme="minorHAnsi"/>
        </w:rPr>
        <w:t>postmarketing</w:t>
      </w:r>
      <w:proofErr w:type="spellEnd"/>
      <w:r w:rsidRPr="00942D03">
        <w:rPr>
          <w:rFonts w:cstheme="minorHAnsi"/>
        </w:rPr>
        <w:t xml:space="preserve"> sources in patients treated with </w:t>
      </w:r>
      <w:proofErr w:type="spellStart"/>
      <w:r w:rsidRPr="00942D03">
        <w:rPr>
          <w:rFonts w:cstheme="minorHAnsi"/>
        </w:rPr>
        <w:t>paritaprevir</w:t>
      </w:r>
      <w:proofErr w:type="spellEnd"/>
      <w:r w:rsidRPr="00942D03">
        <w:rPr>
          <w:rFonts w:cstheme="minorHAnsi"/>
        </w:rPr>
        <w:t>/ritonavir/</w:t>
      </w:r>
      <w:proofErr w:type="spellStart"/>
      <w:r w:rsidRPr="00942D03">
        <w:rPr>
          <w:rFonts w:cstheme="minorHAnsi"/>
        </w:rPr>
        <w:t>ombitasvir</w:t>
      </w:r>
      <w:proofErr w:type="spellEnd"/>
      <w:r w:rsidRPr="00942D03">
        <w:rPr>
          <w:rFonts w:cstheme="minorHAnsi"/>
        </w:rPr>
        <w:t xml:space="preserve"> with and without </w:t>
      </w:r>
      <w:proofErr w:type="spellStart"/>
      <w:r w:rsidRPr="00942D03">
        <w:rPr>
          <w:rFonts w:cstheme="minorHAnsi"/>
        </w:rPr>
        <w:t>dasabuvir</w:t>
      </w:r>
      <w:proofErr w:type="spellEnd"/>
      <w:r w:rsidRPr="00942D03">
        <w:rPr>
          <w:rFonts w:cstheme="minorHAnsi"/>
        </w:rPr>
        <w:t xml:space="preserve"> and with and without ribavirin. </w:t>
      </w:r>
      <w:r w:rsidR="00EE3DB1">
        <w:rPr>
          <w:rFonts w:cstheme="minorHAnsi"/>
        </w:rPr>
        <w:t xml:space="preserve"> </w:t>
      </w:r>
      <w:r w:rsidRPr="00942D03">
        <w:rPr>
          <w:rFonts w:cstheme="minorHAnsi"/>
        </w:rPr>
        <w:t>Most patients with these severe outcomes had evidence of advanced or decompensated cirrhosis prior to initiating therapy.</w:t>
      </w:r>
      <w:r w:rsidR="00EE3DB1">
        <w:rPr>
          <w:rFonts w:cstheme="minorHAnsi"/>
        </w:rPr>
        <w:t xml:space="preserve"> </w:t>
      </w:r>
      <w:r w:rsidRPr="00942D03">
        <w:rPr>
          <w:rFonts w:cstheme="minorHAnsi"/>
        </w:rPr>
        <w:t xml:space="preserve"> Reported cases typically occurred within one to four weeks of initiating therapy and were </w:t>
      </w:r>
      <w:r w:rsidRPr="00942D03">
        <w:rPr>
          <w:rFonts w:cstheme="minorHAnsi"/>
        </w:rPr>
        <w:lastRenderedPageBreak/>
        <w:t xml:space="preserve">characterised by the acute onset of rising direct serum bilirubin levels without ALT elevations in association with clinical signs and symptoms of hepatic decompensation. </w:t>
      </w:r>
      <w:r w:rsidR="00EE3DB1">
        <w:rPr>
          <w:rFonts w:cstheme="minorHAnsi"/>
        </w:rPr>
        <w:t xml:space="preserve"> </w:t>
      </w:r>
      <w:r w:rsidRPr="00942D03">
        <w:rPr>
          <w:rFonts w:cstheme="minorHAnsi"/>
        </w:rPr>
        <w:t>Because these events are reported voluntarily from a population of uncertain size, it is not always possible to reliably estimate their frequency or establish a causal relationship to drug exposure.</w:t>
      </w:r>
    </w:p>
    <w:p w:rsidR="004747CF" w:rsidRPr="00942D03" w:rsidRDefault="004747CF" w:rsidP="00BE51AA">
      <w:pPr>
        <w:spacing w:before="240" w:after="240" w:line="240" w:lineRule="auto"/>
        <w:jc w:val="both"/>
        <w:rPr>
          <w:rFonts w:ascii="Times New Roman" w:hAnsi="Times New Roman" w:cs="Times New Roman"/>
        </w:rPr>
      </w:pPr>
      <w:proofErr w:type="spellStart"/>
      <w:r w:rsidRPr="00942D03">
        <w:rPr>
          <w:rFonts w:cstheme="minorHAnsi"/>
        </w:rPr>
        <w:t>Paritaprevir</w:t>
      </w:r>
      <w:proofErr w:type="spellEnd"/>
      <w:r w:rsidRPr="00942D03">
        <w:rPr>
          <w:rFonts w:cstheme="minorHAnsi"/>
        </w:rPr>
        <w:t>/ritonavir/</w:t>
      </w:r>
      <w:proofErr w:type="spellStart"/>
      <w:r w:rsidRPr="00942D03">
        <w:rPr>
          <w:rFonts w:cstheme="minorHAnsi"/>
        </w:rPr>
        <w:t>ombitasvir</w:t>
      </w:r>
      <w:proofErr w:type="spellEnd"/>
      <w:r w:rsidRPr="00942D03">
        <w:rPr>
          <w:rFonts w:cstheme="minorHAnsi"/>
        </w:rPr>
        <w:t xml:space="preserve"> with or without </w:t>
      </w:r>
      <w:proofErr w:type="spellStart"/>
      <w:r w:rsidRPr="00942D03">
        <w:rPr>
          <w:rFonts w:cstheme="minorHAnsi"/>
        </w:rPr>
        <w:t>dasabuvir</w:t>
      </w:r>
      <w:proofErr w:type="spellEnd"/>
      <w:r w:rsidRPr="00942D03">
        <w:rPr>
          <w:rFonts w:cstheme="minorHAnsi"/>
        </w:rPr>
        <w:t xml:space="preserve"> is not recommended in patients with moderate hepatic impairment (Child-Pugh B). </w:t>
      </w:r>
      <w:r w:rsidR="00E51374">
        <w:rPr>
          <w:rFonts w:cstheme="minorHAnsi"/>
        </w:rPr>
        <w:t xml:space="preserve"> </w:t>
      </w:r>
      <w:r w:rsidRPr="00942D03">
        <w:rPr>
          <w:rFonts w:cstheme="minorHAnsi"/>
        </w:rPr>
        <w:t xml:space="preserve">A decision to initiate treatment in patients with Child-Pugh B should be guided by assessment of the potential benefits and risks for the individual. </w:t>
      </w:r>
      <w:proofErr w:type="spellStart"/>
      <w:r w:rsidRPr="00942D03">
        <w:rPr>
          <w:rFonts w:cstheme="minorHAnsi"/>
        </w:rPr>
        <w:t>Paritaprevir</w:t>
      </w:r>
      <w:proofErr w:type="spellEnd"/>
      <w:r w:rsidRPr="00942D03">
        <w:rPr>
          <w:rFonts w:cstheme="minorHAnsi"/>
        </w:rPr>
        <w:t>/</w:t>
      </w:r>
      <w:r w:rsidR="006B3E69" w:rsidRPr="00942D03" w:rsidDel="006B3E69">
        <w:rPr>
          <w:rFonts w:cstheme="minorHAnsi"/>
        </w:rPr>
        <w:t xml:space="preserve"> </w:t>
      </w:r>
      <w:r w:rsidRPr="00942D03">
        <w:rPr>
          <w:rFonts w:cstheme="minorHAnsi"/>
        </w:rPr>
        <w:t>ritonavir</w:t>
      </w:r>
      <w:r w:rsidR="006B3E69">
        <w:rPr>
          <w:rFonts w:cstheme="minorHAnsi"/>
        </w:rPr>
        <w:t>/</w:t>
      </w:r>
      <w:proofErr w:type="spellStart"/>
      <w:r w:rsidR="006B3E69">
        <w:rPr>
          <w:rFonts w:cstheme="minorHAnsi"/>
        </w:rPr>
        <w:t>ombitasvir</w:t>
      </w:r>
      <w:proofErr w:type="spellEnd"/>
      <w:r w:rsidRPr="00942D03">
        <w:rPr>
          <w:rFonts w:cstheme="minorHAnsi"/>
        </w:rPr>
        <w:t xml:space="preserve"> with or without </w:t>
      </w:r>
      <w:proofErr w:type="spellStart"/>
      <w:r w:rsidRPr="00942D03">
        <w:rPr>
          <w:rFonts w:cstheme="minorHAnsi"/>
        </w:rPr>
        <w:t>dasabuvir</w:t>
      </w:r>
      <w:proofErr w:type="spellEnd"/>
      <w:r w:rsidRPr="00942D03">
        <w:rPr>
          <w:rFonts w:cstheme="minorHAnsi"/>
        </w:rPr>
        <w:t xml:space="preserve"> </w:t>
      </w:r>
      <w:proofErr w:type="gramStart"/>
      <w:r w:rsidRPr="00942D03">
        <w:rPr>
          <w:rFonts w:cstheme="minorHAnsi"/>
        </w:rPr>
        <w:t>is</w:t>
      </w:r>
      <w:proofErr w:type="gramEnd"/>
      <w:r w:rsidRPr="00942D03">
        <w:rPr>
          <w:rFonts w:cstheme="minorHAnsi"/>
        </w:rPr>
        <w:t xml:space="preserve"> contraindicated in patients with severe hepatic impairment (Child-Pugh C).</w:t>
      </w:r>
    </w:p>
    <w:p w:rsidR="004747CF" w:rsidRPr="00942D03" w:rsidRDefault="00BE51AA" w:rsidP="00BE51AA">
      <w:pPr>
        <w:autoSpaceDE w:val="0"/>
        <w:autoSpaceDN w:val="0"/>
        <w:adjustRightInd w:val="0"/>
        <w:spacing w:before="240" w:after="240" w:line="240" w:lineRule="auto"/>
        <w:jc w:val="both"/>
        <w:rPr>
          <w:rFonts w:cstheme="minorHAnsi"/>
        </w:rPr>
      </w:pPr>
      <w:r>
        <w:rPr>
          <w:rFonts w:cstheme="minorHAnsi"/>
        </w:rPr>
        <w:t xml:space="preserve">For patients with cirrhosis: </w:t>
      </w:r>
    </w:p>
    <w:p w:rsidR="004747CF" w:rsidRPr="00942D03" w:rsidRDefault="004747CF" w:rsidP="00BE51AA">
      <w:pPr>
        <w:pStyle w:val="ListParagraph"/>
        <w:numPr>
          <w:ilvl w:val="0"/>
          <w:numId w:val="97"/>
        </w:numPr>
        <w:autoSpaceDE w:val="0"/>
        <w:autoSpaceDN w:val="0"/>
        <w:adjustRightInd w:val="0"/>
        <w:spacing w:before="240" w:after="240" w:line="240" w:lineRule="auto"/>
        <w:jc w:val="both"/>
        <w:rPr>
          <w:rFonts w:cstheme="minorHAnsi"/>
        </w:rPr>
      </w:pPr>
      <w:r w:rsidRPr="00942D03">
        <w:rPr>
          <w:rFonts w:cstheme="minorHAnsi"/>
        </w:rPr>
        <w:t xml:space="preserve">Monitor for clinical signs and symptoms of hepatic decompensation (such as ascites, hepatic encephalopathy, </w:t>
      </w:r>
      <w:proofErr w:type="gramStart"/>
      <w:r w:rsidRPr="00942D03">
        <w:rPr>
          <w:rFonts w:cstheme="minorHAnsi"/>
        </w:rPr>
        <w:t>variceal</w:t>
      </w:r>
      <w:proofErr w:type="gramEnd"/>
      <w:r w:rsidRPr="00942D03">
        <w:rPr>
          <w:rFonts w:cstheme="minorHAnsi"/>
        </w:rPr>
        <w:t xml:space="preserve"> h</w:t>
      </w:r>
      <w:r w:rsidR="006B3E69">
        <w:rPr>
          <w:rFonts w:cstheme="minorHAnsi"/>
        </w:rPr>
        <w:t>a</w:t>
      </w:r>
      <w:r w:rsidRPr="00942D03">
        <w:rPr>
          <w:rFonts w:cstheme="minorHAnsi"/>
        </w:rPr>
        <w:t>emorrhage).</w:t>
      </w:r>
    </w:p>
    <w:p w:rsidR="004747CF" w:rsidRDefault="004747CF" w:rsidP="00BE51AA">
      <w:pPr>
        <w:pStyle w:val="ListParagraph"/>
        <w:numPr>
          <w:ilvl w:val="0"/>
          <w:numId w:val="97"/>
        </w:numPr>
        <w:autoSpaceDE w:val="0"/>
        <w:autoSpaceDN w:val="0"/>
        <w:adjustRightInd w:val="0"/>
        <w:spacing w:before="240" w:after="240" w:line="240" w:lineRule="auto"/>
        <w:jc w:val="both"/>
        <w:rPr>
          <w:rFonts w:cstheme="minorHAnsi"/>
        </w:rPr>
      </w:pPr>
      <w:r w:rsidRPr="00942D03">
        <w:rPr>
          <w:rFonts w:cstheme="minorHAnsi"/>
        </w:rPr>
        <w:t>Hepatic laboratory testing including direct bilirubin levels should be performed at baseline, during the first 4 weeks of starting treatment and as c</w:t>
      </w:r>
      <w:r>
        <w:rPr>
          <w:rFonts w:cstheme="minorHAnsi"/>
        </w:rPr>
        <w:t>linically indicated thereafter.</w:t>
      </w:r>
    </w:p>
    <w:p w:rsidR="00A54BC9" w:rsidRDefault="004747CF" w:rsidP="00BE51AA">
      <w:pPr>
        <w:pStyle w:val="ListParagraph"/>
        <w:numPr>
          <w:ilvl w:val="0"/>
          <w:numId w:val="97"/>
        </w:numPr>
        <w:autoSpaceDE w:val="0"/>
        <w:autoSpaceDN w:val="0"/>
        <w:adjustRightInd w:val="0"/>
        <w:spacing w:before="240" w:after="240" w:line="240" w:lineRule="auto"/>
        <w:jc w:val="both"/>
        <w:rPr>
          <w:rFonts w:cstheme="minorHAnsi"/>
        </w:rPr>
      </w:pPr>
      <w:r w:rsidRPr="004747CF">
        <w:rPr>
          <w:rFonts w:cstheme="minorHAnsi"/>
        </w:rPr>
        <w:t>Discontinue treatment in patients who develop evidence of hepatic decompensation.</w:t>
      </w:r>
    </w:p>
    <w:p w:rsidR="004747CF" w:rsidRPr="004747CF" w:rsidRDefault="004747CF" w:rsidP="004747CF">
      <w:pPr>
        <w:pStyle w:val="ListParagraph"/>
        <w:autoSpaceDE w:val="0"/>
        <w:autoSpaceDN w:val="0"/>
        <w:adjustRightInd w:val="0"/>
        <w:spacing w:after="0" w:line="240" w:lineRule="auto"/>
        <w:jc w:val="both"/>
        <w:rPr>
          <w:rFonts w:cstheme="minorHAnsi"/>
        </w:rPr>
      </w:pPr>
    </w:p>
    <w:p w:rsidR="00085F33" w:rsidRPr="00E230A6" w:rsidRDefault="0011309F" w:rsidP="00E230A6">
      <w:pPr>
        <w:pStyle w:val="Heading2"/>
        <w:keepLines w:val="0"/>
        <w:spacing w:before="120" w:after="120" w:line="240" w:lineRule="auto"/>
        <w:jc w:val="both"/>
        <w:rPr>
          <w:rFonts w:ascii="Arial" w:eastAsia="Times New Roman" w:hAnsi="Arial" w:cs="Times New Roman"/>
          <w:bCs w:val="0"/>
          <w:color w:val="auto"/>
          <w:sz w:val="22"/>
          <w:szCs w:val="22"/>
        </w:rPr>
      </w:pPr>
      <w:r w:rsidRPr="00E230A6">
        <w:rPr>
          <w:rFonts w:ascii="Arial" w:eastAsia="Times New Roman" w:hAnsi="Arial" w:cs="Times New Roman"/>
          <w:bCs w:val="0"/>
          <w:color w:val="auto"/>
          <w:sz w:val="22"/>
          <w:szCs w:val="22"/>
        </w:rPr>
        <w:t>ALT Elevations</w:t>
      </w:r>
    </w:p>
    <w:p w:rsidR="00085F33" w:rsidRPr="00A47F4F" w:rsidRDefault="0011309F">
      <w:pPr>
        <w:pStyle w:val="gtcbodytext0"/>
        <w:spacing w:line="240" w:lineRule="auto"/>
        <w:jc w:val="both"/>
        <w:rPr>
          <w:rFonts w:asciiTheme="minorHAnsi" w:eastAsiaTheme="minorHAnsi" w:hAnsiTheme="minorHAnsi" w:cs="Arial"/>
          <w:sz w:val="22"/>
          <w:szCs w:val="22"/>
          <w:lang w:val="en-AU"/>
        </w:rPr>
      </w:pPr>
      <w:bookmarkStart w:id="40" w:name="p425436291410376371"/>
      <w:bookmarkEnd w:id="40"/>
      <w:r w:rsidRPr="00A47F4F">
        <w:rPr>
          <w:rFonts w:asciiTheme="minorHAnsi" w:eastAsiaTheme="minorHAnsi" w:hAnsiTheme="minorHAnsi" w:cs="Arial"/>
          <w:sz w:val="22"/>
          <w:szCs w:val="22"/>
          <w:lang w:val="en-AU"/>
        </w:rPr>
        <w:t xml:space="preserve">During clinical trials with </w:t>
      </w:r>
      <w:proofErr w:type="spellStart"/>
      <w:r w:rsidRPr="00A47F4F">
        <w:rPr>
          <w:rFonts w:asciiTheme="minorHAnsi" w:eastAsiaTheme="minorHAnsi" w:hAnsiTheme="minorHAnsi" w:cs="Arial"/>
          <w:sz w:val="22"/>
          <w:szCs w:val="22"/>
          <w:lang w:val="en-AU"/>
        </w:rPr>
        <w:t>paritaprevir</w:t>
      </w:r>
      <w:proofErr w:type="spellEnd"/>
      <w:r w:rsidR="000A4AD1">
        <w:rPr>
          <w:rFonts w:asciiTheme="minorHAnsi" w:eastAsiaTheme="minorHAnsi" w:hAnsiTheme="minorHAnsi" w:cs="Arial"/>
          <w:sz w:val="22"/>
          <w:szCs w:val="22"/>
          <w:lang w:val="en-AU"/>
        </w:rPr>
        <w:t>,</w:t>
      </w:r>
      <w:r w:rsidRPr="00A47F4F">
        <w:rPr>
          <w:rFonts w:asciiTheme="minorHAnsi" w:eastAsiaTheme="minorHAnsi" w:hAnsiTheme="minorHAnsi" w:cs="Arial"/>
          <w:sz w:val="22"/>
          <w:szCs w:val="22"/>
          <w:lang w:val="en-AU"/>
        </w:rPr>
        <w:t xml:space="preserve"> ritonavir </w:t>
      </w:r>
      <w:r w:rsidR="000A4AD1" w:rsidRPr="00A47F4F">
        <w:rPr>
          <w:rFonts w:asciiTheme="minorHAnsi" w:eastAsiaTheme="minorHAnsi" w:hAnsiTheme="minorHAnsi" w:cs="Arial"/>
          <w:sz w:val="22"/>
          <w:szCs w:val="22"/>
          <w:lang w:val="en-AU"/>
        </w:rPr>
        <w:t xml:space="preserve">and </w:t>
      </w:r>
      <w:proofErr w:type="spellStart"/>
      <w:r w:rsidR="000A4AD1" w:rsidRPr="00A47F4F">
        <w:rPr>
          <w:rFonts w:asciiTheme="minorHAnsi" w:eastAsiaTheme="minorHAnsi" w:hAnsiTheme="minorHAnsi" w:cs="Arial"/>
          <w:sz w:val="22"/>
          <w:szCs w:val="22"/>
          <w:lang w:val="en-AU"/>
        </w:rPr>
        <w:t>ombitasvir</w:t>
      </w:r>
      <w:proofErr w:type="spellEnd"/>
      <w:r w:rsidR="000A4AD1" w:rsidRPr="00A47F4F">
        <w:rPr>
          <w:rFonts w:asciiTheme="minorHAnsi" w:eastAsiaTheme="minorHAnsi" w:hAnsiTheme="minorHAnsi" w:cs="Arial"/>
          <w:sz w:val="22"/>
          <w:szCs w:val="22"/>
          <w:lang w:val="en-AU"/>
        </w:rPr>
        <w:t xml:space="preserve"> </w:t>
      </w:r>
      <w:r w:rsidRPr="00A47F4F">
        <w:rPr>
          <w:rFonts w:asciiTheme="minorHAnsi" w:eastAsiaTheme="minorHAnsi" w:hAnsiTheme="minorHAnsi" w:cs="Arial"/>
          <w:sz w:val="22"/>
          <w:szCs w:val="22"/>
          <w:lang w:val="en-AU"/>
        </w:rPr>
        <w:t xml:space="preserve">with </w:t>
      </w:r>
      <w:proofErr w:type="spellStart"/>
      <w:r w:rsidRPr="00A47F4F">
        <w:rPr>
          <w:rFonts w:asciiTheme="minorHAnsi" w:eastAsiaTheme="minorHAnsi" w:hAnsiTheme="minorHAnsi" w:cs="Arial"/>
          <w:sz w:val="22"/>
          <w:szCs w:val="22"/>
          <w:lang w:val="en-AU"/>
        </w:rPr>
        <w:t>dasabuvir</w:t>
      </w:r>
      <w:proofErr w:type="spellEnd"/>
      <w:r w:rsidRPr="00A47F4F">
        <w:rPr>
          <w:rFonts w:asciiTheme="minorHAnsi" w:eastAsiaTheme="minorHAnsi" w:hAnsiTheme="minorHAnsi" w:cs="Arial"/>
          <w:sz w:val="22"/>
          <w:szCs w:val="22"/>
          <w:lang w:val="en-AU"/>
        </w:rPr>
        <w:t xml:space="preserve"> and with or without ribavirin, transient, asymptomatic elevations of alanine transaminase (ALT) to greater than 5 times the upper limit of normal (ULN) occurred in approximately 1% of all subjects. </w:t>
      </w:r>
      <w:r w:rsidR="00013ED9">
        <w:rPr>
          <w:rFonts w:asciiTheme="minorHAnsi" w:eastAsiaTheme="minorHAnsi" w:hAnsiTheme="minorHAnsi" w:cs="Arial"/>
          <w:sz w:val="22"/>
          <w:szCs w:val="22"/>
          <w:lang w:val="en-AU"/>
        </w:rPr>
        <w:t xml:space="preserve"> </w:t>
      </w:r>
      <w:r w:rsidRPr="00A47F4F">
        <w:rPr>
          <w:rFonts w:asciiTheme="minorHAnsi" w:eastAsiaTheme="minorHAnsi" w:hAnsiTheme="minorHAnsi" w:cs="Arial"/>
          <w:sz w:val="22"/>
          <w:szCs w:val="22"/>
          <w:lang w:val="en-AU"/>
        </w:rPr>
        <w:t xml:space="preserve">These ALT elevations were significantly more frequent in female subjects who were using </w:t>
      </w:r>
      <w:proofErr w:type="spellStart"/>
      <w:r w:rsidRPr="00A47F4F">
        <w:rPr>
          <w:rFonts w:asciiTheme="minorHAnsi" w:eastAsiaTheme="minorHAnsi" w:hAnsiTheme="minorHAnsi" w:cs="Arial"/>
          <w:sz w:val="22"/>
          <w:szCs w:val="22"/>
          <w:lang w:val="en-AU"/>
        </w:rPr>
        <w:t>ethinyl</w:t>
      </w:r>
      <w:r w:rsidR="000A4AD1">
        <w:rPr>
          <w:rFonts w:asciiTheme="minorHAnsi" w:eastAsiaTheme="minorHAnsi" w:hAnsiTheme="minorHAnsi" w:cs="Arial"/>
          <w:sz w:val="22"/>
          <w:szCs w:val="22"/>
          <w:lang w:val="en-AU"/>
        </w:rPr>
        <w:t>o</w:t>
      </w:r>
      <w:r w:rsidRPr="00A47F4F">
        <w:rPr>
          <w:rFonts w:asciiTheme="minorHAnsi" w:eastAsiaTheme="minorHAnsi" w:hAnsiTheme="minorHAnsi" w:cs="Arial"/>
          <w:sz w:val="22"/>
          <w:szCs w:val="22"/>
          <w:lang w:val="en-AU"/>
        </w:rPr>
        <w:t>estradiol</w:t>
      </w:r>
      <w:proofErr w:type="spellEnd"/>
      <w:r w:rsidRPr="00A47F4F">
        <w:rPr>
          <w:rFonts w:asciiTheme="minorHAnsi" w:eastAsiaTheme="minorHAnsi" w:hAnsiTheme="minorHAnsi" w:cs="Arial"/>
          <w:sz w:val="22"/>
          <w:szCs w:val="22"/>
          <w:lang w:val="en-AU"/>
        </w:rPr>
        <w:t xml:space="preserve">-containing medications such as combined oral contraceptives, contraceptive patches, or contraceptive vaginal rings (see CONTRAINDICATIONS). </w:t>
      </w:r>
      <w:r w:rsidR="00013ED9">
        <w:rPr>
          <w:rFonts w:asciiTheme="minorHAnsi" w:eastAsiaTheme="minorHAnsi" w:hAnsiTheme="minorHAnsi" w:cs="Arial"/>
          <w:sz w:val="22"/>
          <w:szCs w:val="22"/>
          <w:lang w:val="en-AU"/>
        </w:rPr>
        <w:t xml:space="preserve"> </w:t>
      </w:r>
      <w:r w:rsidRPr="00A47F4F">
        <w:rPr>
          <w:rFonts w:asciiTheme="minorHAnsi" w:eastAsiaTheme="minorHAnsi" w:hAnsiTheme="minorHAnsi" w:cs="Arial"/>
          <w:sz w:val="22"/>
          <w:szCs w:val="22"/>
          <w:lang w:val="en-AU"/>
        </w:rPr>
        <w:t xml:space="preserve">ALT elevations typically occurred during the first 4 weeks of treatment and declined within approximately two weeks of onset with continued dosing of </w:t>
      </w:r>
      <w:proofErr w:type="spellStart"/>
      <w:r w:rsidRPr="00A47F4F">
        <w:rPr>
          <w:rFonts w:asciiTheme="minorHAnsi" w:eastAsiaTheme="minorHAnsi" w:hAnsiTheme="minorHAnsi" w:cs="Arial"/>
          <w:sz w:val="22"/>
          <w:szCs w:val="22"/>
          <w:lang w:val="en-AU"/>
        </w:rPr>
        <w:t>p</w:t>
      </w:r>
      <w:r w:rsidR="00A47F4F">
        <w:rPr>
          <w:rFonts w:asciiTheme="minorHAnsi" w:eastAsiaTheme="minorHAnsi" w:hAnsiTheme="minorHAnsi" w:cs="Arial"/>
          <w:sz w:val="22"/>
          <w:szCs w:val="22"/>
          <w:lang w:val="en-AU"/>
        </w:rPr>
        <w:t>aritaprevir</w:t>
      </w:r>
      <w:proofErr w:type="spellEnd"/>
      <w:r w:rsidR="006B3E69">
        <w:rPr>
          <w:rFonts w:asciiTheme="minorHAnsi" w:eastAsiaTheme="minorHAnsi" w:hAnsiTheme="minorHAnsi" w:cs="Arial"/>
          <w:sz w:val="22"/>
          <w:szCs w:val="22"/>
          <w:lang w:val="en-AU"/>
        </w:rPr>
        <w:t>,</w:t>
      </w:r>
      <w:r w:rsidR="00A47F4F">
        <w:rPr>
          <w:rFonts w:asciiTheme="minorHAnsi" w:eastAsiaTheme="minorHAnsi" w:hAnsiTheme="minorHAnsi" w:cs="Arial"/>
          <w:sz w:val="22"/>
          <w:szCs w:val="22"/>
          <w:lang w:val="en-AU"/>
        </w:rPr>
        <w:t xml:space="preserve"> ritonavir </w:t>
      </w:r>
      <w:r w:rsidR="006B3E69">
        <w:rPr>
          <w:rFonts w:asciiTheme="minorHAnsi" w:eastAsiaTheme="minorHAnsi" w:hAnsiTheme="minorHAnsi" w:cs="Arial"/>
          <w:sz w:val="22"/>
          <w:szCs w:val="22"/>
          <w:lang w:val="en-AU"/>
        </w:rPr>
        <w:t xml:space="preserve">and </w:t>
      </w:r>
      <w:proofErr w:type="spellStart"/>
      <w:r w:rsidR="006B3E69">
        <w:rPr>
          <w:rFonts w:asciiTheme="minorHAnsi" w:eastAsiaTheme="minorHAnsi" w:hAnsiTheme="minorHAnsi" w:cs="Arial"/>
          <w:sz w:val="22"/>
          <w:szCs w:val="22"/>
          <w:lang w:val="en-AU"/>
        </w:rPr>
        <w:t>ombitasvir</w:t>
      </w:r>
      <w:proofErr w:type="spellEnd"/>
      <w:r w:rsidR="006B3E69">
        <w:rPr>
          <w:rFonts w:asciiTheme="minorHAnsi" w:eastAsiaTheme="minorHAnsi" w:hAnsiTheme="minorHAnsi" w:cs="Arial"/>
          <w:sz w:val="22"/>
          <w:szCs w:val="22"/>
          <w:lang w:val="en-AU"/>
        </w:rPr>
        <w:t xml:space="preserve"> </w:t>
      </w:r>
      <w:r w:rsidR="00A47F4F">
        <w:rPr>
          <w:rFonts w:asciiTheme="minorHAnsi" w:eastAsiaTheme="minorHAnsi" w:hAnsiTheme="minorHAnsi" w:cs="Arial"/>
          <w:sz w:val="22"/>
          <w:szCs w:val="22"/>
          <w:lang w:val="en-AU"/>
        </w:rPr>
        <w:t xml:space="preserve">with </w:t>
      </w:r>
      <w:proofErr w:type="spellStart"/>
      <w:r w:rsidRPr="00A47F4F">
        <w:rPr>
          <w:rFonts w:asciiTheme="minorHAnsi" w:eastAsiaTheme="minorHAnsi" w:hAnsiTheme="minorHAnsi" w:cs="Arial"/>
          <w:sz w:val="22"/>
          <w:szCs w:val="22"/>
          <w:lang w:val="en-AU"/>
        </w:rPr>
        <w:t>dasabuvir</w:t>
      </w:r>
      <w:proofErr w:type="spellEnd"/>
      <w:r w:rsidRPr="00A47F4F">
        <w:rPr>
          <w:rFonts w:asciiTheme="minorHAnsi" w:eastAsiaTheme="minorHAnsi" w:hAnsiTheme="minorHAnsi" w:cs="Arial"/>
          <w:sz w:val="22"/>
          <w:szCs w:val="22"/>
          <w:lang w:val="en-AU"/>
        </w:rPr>
        <w:t xml:space="preserve"> and with or without ribavirin.</w:t>
      </w:r>
    </w:p>
    <w:p w:rsidR="00085F33" w:rsidRPr="00A47F4F" w:rsidRDefault="0011309F">
      <w:pPr>
        <w:pStyle w:val="gtcbodytext0"/>
        <w:spacing w:line="240" w:lineRule="auto"/>
        <w:jc w:val="both"/>
        <w:rPr>
          <w:rFonts w:asciiTheme="minorHAnsi" w:eastAsiaTheme="minorHAnsi" w:hAnsiTheme="minorHAnsi" w:cs="Arial"/>
          <w:sz w:val="22"/>
          <w:szCs w:val="22"/>
          <w:lang w:val="en-AU"/>
        </w:rPr>
      </w:pPr>
      <w:proofErr w:type="spellStart"/>
      <w:r w:rsidRPr="00A47F4F">
        <w:rPr>
          <w:rFonts w:asciiTheme="minorHAnsi" w:eastAsiaTheme="minorHAnsi" w:hAnsiTheme="minorHAnsi" w:cs="Arial"/>
          <w:sz w:val="22"/>
          <w:szCs w:val="22"/>
          <w:lang w:val="en-AU"/>
        </w:rPr>
        <w:t>Ethinyl</w:t>
      </w:r>
      <w:proofErr w:type="spellEnd"/>
      <w:r w:rsidR="00BA2CE7">
        <w:rPr>
          <w:rFonts w:asciiTheme="minorHAnsi" w:eastAsiaTheme="minorHAnsi" w:hAnsiTheme="minorHAnsi" w:cs="Arial"/>
          <w:sz w:val="22"/>
          <w:szCs w:val="22"/>
          <w:lang w:val="en-AU"/>
        </w:rPr>
        <w:t xml:space="preserve"> </w:t>
      </w:r>
      <w:proofErr w:type="spellStart"/>
      <w:r w:rsidRPr="00A47F4F">
        <w:rPr>
          <w:rFonts w:asciiTheme="minorHAnsi" w:eastAsiaTheme="minorHAnsi" w:hAnsiTheme="minorHAnsi" w:cs="Arial"/>
          <w:sz w:val="22"/>
          <w:szCs w:val="22"/>
          <w:lang w:val="en-AU"/>
        </w:rPr>
        <w:t>estradiol</w:t>
      </w:r>
      <w:proofErr w:type="spellEnd"/>
      <w:r w:rsidRPr="00A47F4F">
        <w:rPr>
          <w:rFonts w:asciiTheme="minorHAnsi" w:eastAsiaTheme="minorHAnsi" w:hAnsiTheme="minorHAnsi" w:cs="Arial"/>
          <w:sz w:val="22"/>
          <w:szCs w:val="22"/>
          <w:lang w:val="en-AU"/>
        </w:rPr>
        <w:t xml:space="preserve">-containing medications must be discontinued prior to starting therapy with TECHNIVIE (see CONTRAINDICATIONS). </w:t>
      </w:r>
      <w:r w:rsidR="000A4AD1">
        <w:rPr>
          <w:rFonts w:asciiTheme="minorHAnsi" w:eastAsiaTheme="minorHAnsi" w:hAnsiTheme="minorHAnsi" w:cs="Arial"/>
          <w:sz w:val="22"/>
          <w:szCs w:val="22"/>
          <w:lang w:val="en-AU"/>
        </w:rPr>
        <w:t xml:space="preserve"> </w:t>
      </w:r>
      <w:r w:rsidRPr="00A47F4F">
        <w:rPr>
          <w:rFonts w:asciiTheme="minorHAnsi" w:eastAsiaTheme="minorHAnsi" w:hAnsiTheme="minorHAnsi" w:cs="Arial"/>
          <w:sz w:val="22"/>
          <w:szCs w:val="22"/>
          <w:lang w:val="en-AU"/>
        </w:rPr>
        <w:t xml:space="preserve">Alternative contraceptive agents or methods of contraception (e.g., progestin only contraception or non-hormonal methods) are recommended during TECHNIVIE therapy.  </w:t>
      </w:r>
      <w:proofErr w:type="spellStart"/>
      <w:r w:rsidR="000A4AD1" w:rsidRPr="00A47F4F">
        <w:rPr>
          <w:rFonts w:asciiTheme="minorHAnsi" w:eastAsiaTheme="minorHAnsi" w:hAnsiTheme="minorHAnsi" w:cs="Arial"/>
          <w:sz w:val="22"/>
          <w:szCs w:val="22"/>
          <w:lang w:val="en-AU"/>
        </w:rPr>
        <w:t>Ethinyl</w:t>
      </w:r>
      <w:proofErr w:type="spellEnd"/>
      <w:r w:rsidR="00BA2CE7">
        <w:rPr>
          <w:rFonts w:asciiTheme="minorHAnsi" w:eastAsiaTheme="minorHAnsi" w:hAnsiTheme="minorHAnsi" w:cs="Arial"/>
          <w:sz w:val="22"/>
          <w:szCs w:val="22"/>
          <w:lang w:val="en-AU"/>
        </w:rPr>
        <w:t xml:space="preserve"> </w:t>
      </w:r>
      <w:proofErr w:type="spellStart"/>
      <w:r w:rsidRPr="00A47F4F">
        <w:rPr>
          <w:rFonts w:asciiTheme="minorHAnsi" w:eastAsiaTheme="minorHAnsi" w:hAnsiTheme="minorHAnsi" w:cs="Arial"/>
          <w:sz w:val="22"/>
          <w:szCs w:val="22"/>
          <w:lang w:val="en-AU"/>
        </w:rPr>
        <w:t>estradiol</w:t>
      </w:r>
      <w:proofErr w:type="spellEnd"/>
      <w:r w:rsidRPr="00A47F4F">
        <w:rPr>
          <w:rFonts w:asciiTheme="minorHAnsi" w:eastAsiaTheme="minorHAnsi" w:hAnsiTheme="minorHAnsi" w:cs="Arial"/>
          <w:sz w:val="22"/>
          <w:szCs w:val="22"/>
          <w:lang w:val="en-AU"/>
        </w:rPr>
        <w:t>-containing medications can be restarted approximately 2 weeks following completion of treatment with TECHNIVIE.</w:t>
      </w:r>
    </w:p>
    <w:p w:rsidR="00085F33" w:rsidRPr="00A47F4F" w:rsidRDefault="0011309F">
      <w:pPr>
        <w:pStyle w:val="gtcbodytext0"/>
        <w:spacing w:line="240" w:lineRule="auto"/>
        <w:jc w:val="both"/>
        <w:rPr>
          <w:rFonts w:asciiTheme="minorHAnsi" w:eastAsiaTheme="minorHAnsi" w:hAnsiTheme="minorHAnsi" w:cs="Arial"/>
          <w:sz w:val="22"/>
          <w:szCs w:val="22"/>
          <w:lang w:val="en-AU"/>
        </w:rPr>
      </w:pPr>
      <w:r w:rsidRPr="00A47F4F">
        <w:rPr>
          <w:rFonts w:asciiTheme="minorHAnsi" w:eastAsiaTheme="minorHAnsi" w:hAnsiTheme="minorHAnsi" w:cs="Arial"/>
          <w:sz w:val="22"/>
          <w:szCs w:val="22"/>
          <w:lang w:val="en-AU"/>
        </w:rPr>
        <w:t xml:space="preserve">Subjects using </w:t>
      </w:r>
      <w:r w:rsidR="000A4AD1">
        <w:rPr>
          <w:rFonts w:asciiTheme="minorHAnsi" w:eastAsiaTheme="minorHAnsi" w:hAnsiTheme="minorHAnsi" w:cs="Arial"/>
          <w:sz w:val="22"/>
          <w:szCs w:val="22"/>
          <w:lang w:val="en-AU"/>
        </w:rPr>
        <w:t>o</w:t>
      </w:r>
      <w:r w:rsidRPr="00A47F4F">
        <w:rPr>
          <w:rFonts w:asciiTheme="minorHAnsi" w:eastAsiaTheme="minorHAnsi" w:hAnsiTheme="minorHAnsi" w:cs="Arial"/>
          <w:sz w:val="22"/>
          <w:szCs w:val="22"/>
          <w:lang w:val="en-AU"/>
        </w:rPr>
        <w:t xml:space="preserve">estrogens other than </w:t>
      </w:r>
      <w:proofErr w:type="spellStart"/>
      <w:r w:rsidR="000A4AD1" w:rsidRPr="00A47F4F">
        <w:rPr>
          <w:rFonts w:asciiTheme="minorHAnsi" w:eastAsiaTheme="minorHAnsi" w:hAnsiTheme="minorHAnsi" w:cs="Arial"/>
          <w:sz w:val="22"/>
          <w:szCs w:val="22"/>
          <w:lang w:val="en-AU"/>
        </w:rPr>
        <w:t>ethinyl</w:t>
      </w:r>
      <w:proofErr w:type="spellEnd"/>
      <w:r w:rsidR="00BA2CE7">
        <w:rPr>
          <w:rFonts w:asciiTheme="minorHAnsi" w:eastAsiaTheme="minorHAnsi" w:hAnsiTheme="minorHAnsi" w:cs="Arial"/>
          <w:sz w:val="22"/>
          <w:szCs w:val="22"/>
          <w:lang w:val="en-AU"/>
        </w:rPr>
        <w:t xml:space="preserve"> </w:t>
      </w:r>
      <w:proofErr w:type="spellStart"/>
      <w:r w:rsidRPr="00A47F4F">
        <w:rPr>
          <w:rFonts w:asciiTheme="minorHAnsi" w:eastAsiaTheme="minorHAnsi" w:hAnsiTheme="minorHAnsi" w:cs="Arial"/>
          <w:sz w:val="22"/>
          <w:szCs w:val="22"/>
          <w:lang w:val="en-AU"/>
        </w:rPr>
        <w:t>estradiol</w:t>
      </w:r>
      <w:proofErr w:type="spellEnd"/>
      <w:r w:rsidRPr="00A47F4F">
        <w:rPr>
          <w:rFonts w:asciiTheme="minorHAnsi" w:eastAsiaTheme="minorHAnsi" w:hAnsiTheme="minorHAnsi" w:cs="Arial"/>
          <w:sz w:val="22"/>
          <w:szCs w:val="22"/>
          <w:lang w:val="en-AU"/>
        </w:rPr>
        <w:t xml:space="preserve">, such as </w:t>
      </w:r>
      <w:r w:rsidR="000A4AD1">
        <w:rPr>
          <w:rFonts w:asciiTheme="minorHAnsi" w:eastAsiaTheme="minorHAnsi" w:hAnsiTheme="minorHAnsi" w:cs="Arial"/>
          <w:sz w:val="22"/>
          <w:szCs w:val="22"/>
          <w:lang w:val="en-AU"/>
        </w:rPr>
        <w:t>o</w:t>
      </w:r>
      <w:r w:rsidRPr="00A47F4F">
        <w:rPr>
          <w:rFonts w:asciiTheme="minorHAnsi" w:eastAsiaTheme="minorHAnsi" w:hAnsiTheme="minorHAnsi" w:cs="Arial"/>
          <w:sz w:val="22"/>
          <w:szCs w:val="22"/>
          <w:lang w:val="en-AU"/>
        </w:rPr>
        <w:t xml:space="preserve">estradiol and conjugated </w:t>
      </w:r>
      <w:r w:rsidR="000A4AD1">
        <w:rPr>
          <w:rFonts w:asciiTheme="minorHAnsi" w:eastAsiaTheme="minorHAnsi" w:hAnsiTheme="minorHAnsi" w:cs="Arial"/>
          <w:sz w:val="22"/>
          <w:szCs w:val="22"/>
          <w:lang w:val="en-AU"/>
        </w:rPr>
        <w:t>o</w:t>
      </w:r>
      <w:r w:rsidRPr="00A47F4F">
        <w:rPr>
          <w:rFonts w:asciiTheme="minorHAnsi" w:eastAsiaTheme="minorHAnsi" w:hAnsiTheme="minorHAnsi" w:cs="Arial"/>
          <w:sz w:val="22"/>
          <w:szCs w:val="22"/>
          <w:lang w:val="en-AU"/>
        </w:rPr>
        <w:t xml:space="preserve">estrogens used in hormone replacement therapy had a rate of ALT elevation similar to those not receiving any </w:t>
      </w:r>
      <w:r w:rsidR="000A4AD1">
        <w:rPr>
          <w:rFonts w:asciiTheme="minorHAnsi" w:eastAsiaTheme="minorHAnsi" w:hAnsiTheme="minorHAnsi" w:cs="Arial"/>
          <w:sz w:val="22"/>
          <w:szCs w:val="22"/>
          <w:lang w:val="en-AU"/>
        </w:rPr>
        <w:t>o</w:t>
      </w:r>
      <w:r w:rsidRPr="00A47F4F">
        <w:rPr>
          <w:rFonts w:asciiTheme="minorHAnsi" w:eastAsiaTheme="minorHAnsi" w:hAnsiTheme="minorHAnsi" w:cs="Arial"/>
          <w:sz w:val="22"/>
          <w:szCs w:val="22"/>
          <w:lang w:val="en-AU"/>
        </w:rPr>
        <w:t>estrogens (1%).</w:t>
      </w:r>
      <w:r w:rsidR="000A4AD1">
        <w:rPr>
          <w:rFonts w:asciiTheme="minorHAnsi" w:eastAsiaTheme="minorHAnsi" w:hAnsiTheme="minorHAnsi" w:cs="Arial"/>
          <w:sz w:val="22"/>
          <w:szCs w:val="22"/>
          <w:lang w:val="en-AU"/>
        </w:rPr>
        <w:t xml:space="preserve"> </w:t>
      </w:r>
      <w:r w:rsidRPr="00A47F4F">
        <w:rPr>
          <w:rFonts w:asciiTheme="minorHAnsi" w:eastAsiaTheme="minorHAnsi" w:hAnsiTheme="minorHAnsi" w:cs="Arial"/>
          <w:sz w:val="22"/>
          <w:szCs w:val="22"/>
          <w:lang w:val="en-AU"/>
        </w:rPr>
        <w:t xml:space="preserve"> No additional monitoring of ALT is required outside of local recommendations and routine clinical practice guidelines.</w:t>
      </w:r>
    </w:p>
    <w:p w:rsidR="00085F33" w:rsidRPr="00A47F4F" w:rsidRDefault="0011309F" w:rsidP="004747CF">
      <w:pPr>
        <w:pStyle w:val="gtcbodytext0"/>
        <w:spacing w:before="0" w:after="200" w:line="240" w:lineRule="auto"/>
        <w:jc w:val="both"/>
        <w:rPr>
          <w:rFonts w:asciiTheme="minorHAnsi" w:eastAsiaTheme="minorHAnsi" w:hAnsiTheme="minorHAnsi" w:cs="Arial"/>
          <w:sz w:val="22"/>
          <w:szCs w:val="22"/>
          <w:lang w:val="en-AU"/>
        </w:rPr>
      </w:pPr>
      <w:r w:rsidRPr="00A47F4F">
        <w:rPr>
          <w:rFonts w:asciiTheme="minorHAnsi" w:eastAsiaTheme="minorHAnsi" w:hAnsiTheme="minorHAnsi" w:cs="Arial"/>
          <w:sz w:val="22"/>
          <w:szCs w:val="22"/>
          <w:lang w:val="en-AU"/>
        </w:rPr>
        <w:t xml:space="preserve">If ALT is found to be elevated above baseline levels, it should be monitored closely. </w:t>
      </w:r>
    </w:p>
    <w:p w:rsidR="00085F33" w:rsidRPr="00A47F4F" w:rsidRDefault="0011309F" w:rsidP="004747CF">
      <w:pPr>
        <w:pStyle w:val="gtcbodytext0"/>
        <w:numPr>
          <w:ilvl w:val="0"/>
          <w:numId w:val="14"/>
        </w:numPr>
        <w:spacing w:before="0" w:after="200" w:line="240" w:lineRule="auto"/>
        <w:jc w:val="both"/>
        <w:rPr>
          <w:rFonts w:asciiTheme="minorHAnsi" w:eastAsiaTheme="minorHAnsi" w:hAnsiTheme="minorHAnsi" w:cs="Arial"/>
          <w:sz w:val="22"/>
          <w:szCs w:val="22"/>
          <w:lang w:val="en-AU"/>
        </w:rPr>
      </w:pPr>
      <w:r w:rsidRPr="00A47F4F">
        <w:rPr>
          <w:rFonts w:asciiTheme="minorHAnsi" w:eastAsiaTheme="minorHAnsi" w:hAnsiTheme="minorHAnsi" w:cs="Arial"/>
          <w:sz w:val="22"/>
          <w:szCs w:val="22"/>
          <w:lang w:val="en-AU"/>
        </w:rPr>
        <w:t xml:space="preserve">Patients should be instructed to consult their health care professional without delay if they have onset of fatigue, weakness, lack of appetite, nausea and vomiting, jaundice or discoloured urine or faeces (see Serum Bilirubin Elevations under </w:t>
      </w:r>
      <w:r w:rsidR="00BE51AA">
        <w:rPr>
          <w:rFonts w:asciiTheme="minorHAnsi" w:eastAsiaTheme="minorHAnsi" w:hAnsiTheme="minorHAnsi" w:cs="Arial"/>
          <w:sz w:val="22"/>
          <w:szCs w:val="22"/>
          <w:lang w:val="en-AU"/>
        </w:rPr>
        <w:t>PRECAUTIONS</w:t>
      </w:r>
      <w:r w:rsidRPr="00A47F4F">
        <w:rPr>
          <w:rFonts w:asciiTheme="minorHAnsi" w:eastAsiaTheme="minorHAnsi" w:hAnsiTheme="minorHAnsi" w:cs="Arial"/>
          <w:sz w:val="22"/>
          <w:szCs w:val="22"/>
          <w:lang w:val="en-AU"/>
        </w:rPr>
        <w:t>).</w:t>
      </w:r>
    </w:p>
    <w:p w:rsidR="00085F33" w:rsidRPr="00A47F4F" w:rsidRDefault="0011309F" w:rsidP="004747CF">
      <w:pPr>
        <w:pStyle w:val="gtcbodytext0"/>
        <w:numPr>
          <w:ilvl w:val="0"/>
          <w:numId w:val="14"/>
        </w:numPr>
        <w:spacing w:before="0" w:after="200" w:line="240" w:lineRule="auto"/>
        <w:jc w:val="both"/>
        <w:rPr>
          <w:rFonts w:asciiTheme="minorHAnsi" w:eastAsiaTheme="minorHAnsi" w:hAnsiTheme="minorHAnsi" w:cstheme="minorHAnsi"/>
          <w:sz w:val="22"/>
          <w:szCs w:val="22"/>
          <w:lang w:val="en-AU"/>
        </w:rPr>
      </w:pPr>
      <w:r w:rsidRPr="00A47F4F">
        <w:rPr>
          <w:rFonts w:asciiTheme="minorHAnsi" w:hAnsiTheme="minorHAnsi" w:cstheme="minorHAnsi"/>
          <w:sz w:val="22"/>
          <w:szCs w:val="22"/>
          <w:lang w:val="en-AU"/>
        </w:rPr>
        <w:t xml:space="preserve">Discontinue TECHNIVIE if ALT elevation is accompanied by signs or symptoms of liver inflammation or increasing conjugated bilirubin, alkaline phosphatase, or </w:t>
      </w:r>
      <w:r w:rsidR="00BE51AA">
        <w:rPr>
          <w:rFonts w:asciiTheme="minorHAnsi" w:hAnsiTheme="minorHAnsi" w:cstheme="minorHAnsi"/>
          <w:sz w:val="22"/>
          <w:szCs w:val="22"/>
          <w:lang w:val="en-AU"/>
        </w:rPr>
        <w:t>international normalised ratio (</w:t>
      </w:r>
      <w:r w:rsidRPr="00A47F4F">
        <w:rPr>
          <w:rFonts w:asciiTheme="minorHAnsi" w:hAnsiTheme="minorHAnsi" w:cstheme="minorHAnsi"/>
          <w:sz w:val="22"/>
          <w:szCs w:val="22"/>
          <w:lang w:val="en-AU"/>
        </w:rPr>
        <w:t>INR</w:t>
      </w:r>
      <w:r w:rsidR="00BE51AA">
        <w:rPr>
          <w:rFonts w:asciiTheme="minorHAnsi" w:hAnsiTheme="minorHAnsi" w:cstheme="minorHAnsi"/>
          <w:sz w:val="22"/>
          <w:szCs w:val="22"/>
          <w:lang w:val="en-AU"/>
        </w:rPr>
        <w:t>)</w:t>
      </w:r>
      <w:r w:rsidRPr="00A47F4F">
        <w:rPr>
          <w:rFonts w:asciiTheme="minorHAnsi" w:hAnsiTheme="minorHAnsi" w:cstheme="minorHAnsi"/>
          <w:sz w:val="22"/>
          <w:szCs w:val="22"/>
          <w:lang w:val="en-AU"/>
        </w:rPr>
        <w:t xml:space="preserve">.  </w:t>
      </w:r>
    </w:p>
    <w:p w:rsidR="004747CF" w:rsidRPr="00E230A6" w:rsidRDefault="004747CF" w:rsidP="004747CF">
      <w:pPr>
        <w:pStyle w:val="Heading2"/>
        <w:keepLines w:val="0"/>
        <w:spacing w:before="120" w:after="120" w:line="240" w:lineRule="auto"/>
        <w:jc w:val="both"/>
        <w:rPr>
          <w:rFonts w:ascii="Arial" w:eastAsia="Times New Roman" w:hAnsi="Arial" w:cs="Times New Roman"/>
          <w:bCs w:val="0"/>
          <w:color w:val="auto"/>
          <w:sz w:val="22"/>
          <w:szCs w:val="22"/>
        </w:rPr>
      </w:pPr>
      <w:r>
        <w:rPr>
          <w:rFonts w:ascii="Arial" w:eastAsia="Times New Roman" w:hAnsi="Arial" w:cs="Times New Roman"/>
          <w:bCs w:val="0"/>
          <w:color w:val="auto"/>
          <w:sz w:val="22"/>
          <w:szCs w:val="22"/>
        </w:rPr>
        <w:lastRenderedPageBreak/>
        <w:t>Risks Associated with Ribavirin Combination Treatment</w:t>
      </w:r>
    </w:p>
    <w:p w:rsidR="00085F33" w:rsidRPr="004747CF" w:rsidRDefault="004747CF">
      <w:pPr>
        <w:spacing w:line="240" w:lineRule="auto"/>
        <w:jc w:val="both"/>
        <w:rPr>
          <w:rFonts w:cstheme="minorHAnsi"/>
        </w:rPr>
      </w:pPr>
      <w:r>
        <w:rPr>
          <w:rFonts w:cstheme="minorHAnsi"/>
        </w:rPr>
        <w:t xml:space="preserve">The warnings and precautions for ribavirin, in particular the pregnancy avoidance warning, apply to </w:t>
      </w:r>
      <w:r w:rsidR="007A2946">
        <w:rPr>
          <w:rFonts w:cstheme="minorHAnsi"/>
        </w:rPr>
        <w:t>the</w:t>
      </w:r>
      <w:r>
        <w:rPr>
          <w:rFonts w:cstheme="minorHAnsi"/>
        </w:rPr>
        <w:t xml:space="preserve"> combination regimen</w:t>
      </w:r>
      <w:r w:rsidR="007A2946">
        <w:rPr>
          <w:rFonts w:cstheme="minorHAnsi"/>
        </w:rPr>
        <w:t xml:space="preserve"> with TECHNIVIE</w:t>
      </w:r>
      <w:r>
        <w:rPr>
          <w:rFonts w:cstheme="minorHAnsi"/>
        </w:rPr>
        <w:t xml:space="preserve">. </w:t>
      </w:r>
      <w:r w:rsidR="007A2946">
        <w:rPr>
          <w:rFonts w:cstheme="minorHAnsi"/>
        </w:rPr>
        <w:t xml:space="preserve"> </w:t>
      </w:r>
      <w:r>
        <w:rPr>
          <w:rFonts w:cstheme="minorHAnsi"/>
        </w:rPr>
        <w:t>Refer to the ribavirin prescribing information for a full list of the warnings and precautions for ribavirin.</w:t>
      </w:r>
    </w:p>
    <w:p w:rsidR="00085F33" w:rsidRPr="00E230A6" w:rsidRDefault="0011309F" w:rsidP="00E230A6">
      <w:pPr>
        <w:pStyle w:val="Heading2"/>
        <w:keepLines w:val="0"/>
        <w:spacing w:before="120" w:after="120" w:line="240" w:lineRule="auto"/>
        <w:jc w:val="both"/>
        <w:rPr>
          <w:rFonts w:ascii="Arial" w:eastAsia="Times New Roman" w:hAnsi="Arial" w:cs="Times New Roman"/>
          <w:bCs w:val="0"/>
          <w:color w:val="auto"/>
          <w:sz w:val="22"/>
          <w:szCs w:val="22"/>
        </w:rPr>
      </w:pPr>
      <w:r w:rsidRPr="00E230A6">
        <w:rPr>
          <w:rFonts w:ascii="Arial" w:eastAsia="Times New Roman" w:hAnsi="Arial" w:cs="Times New Roman"/>
          <w:bCs w:val="0"/>
          <w:color w:val="auto"/>
          <w:sz w:val="22"/>
          <w:szCs w:val="22"/>
        </w:rPr>
        <w:t>Co</w:t>
      </w:r>
      <w:r w:rsidR="00434C08" w:rsidRPr="00E230A6">
        <w:rPr>
          <w:rFonts w:ascii="Arial" w:eastAsia="Times New Roman" w:hAnsi="Arial" w:cs="Times New Roman"/>
          <w:bCs w:val="0"/>
          <w:color w:val="auto"/>
          <w:sz w:val="22"/>
          <w:szCs w:val="22"/>
        </w:rPr>
        <w:t>-</w:t>
      </w:r>
      <w:r w:rsidRPr="00E230A6">
        <w:rPr>
          <w:rFonts w:ascii="Arial" w:eastAsia="Times New Roman" w:hAnsi="Arial" w:cs="Times New Roman"/>
          <w:bCs w:val="0"/>
          <w:color w:val="auto"/>
          <w:sz w:val="22"/>
          <w:szCs w:val="22"/>
        </w:rPr>
        <w:t>administration with Drugs Metabolised by CYP3A</w:t>
      </w:r>
    </w:p>
    <w:p w:rsidR="00085F33" w:rsidRDefault="0011309F">
      <w:pPr>
        <w:spacing w:line="240" w:lineRule="auto"/>
        <w:jc w:val="both"/>
        <w:rPr>
          <w:rFonts w:cstheme="minorHAnsi"/>
        </w:rPr>
      </w:pPr>
      <w:r w:rsidRPr="008906E7">
        <w:rPr>
          <w:rFonts w:cstheme="minorHAnsi"/>
        </w:rPr>
        <w:t xml:space="preserve">Also refer to CONTRAINDICATIONS, INTERACTIONS WITH OTHER MEDICINES, </w:t>
      </w:r>
      <w:r w:rsidR="00554C6A">
        <w:rPr>
          <w:rFonts w:cstheme="minorHAnsi"/>
        </w:rPr>
        <w:t xml:space="preserve">Table </w:t>
      </w:r>
      <w:r w:rsidR="00B54C47">
        <w:rPr>
          <w:rFonts w:cstheme="minorHAnsi"/>
        </w:rPr>
        <w:t>5</w:t>
      </w:r>
      <w:r w:rsidR="00702C1A" w:rsidRPr="008906E7">
        <w:rPr>
          <w:rFonts w:cstheme="minorHAnsi"/>
        </w:rPr>
        <w:t xml:space="preserve"> </w:t>
      </w:r>
      <w:r w:rsidRPr="008906E7">
        <w:rPr>
          <w:rFonts w:cstheme="minorHAnsi"/>
        </w:rPr>
        <w:t>and PHARMACOKINETICS-Implications for Drug Interactions.</w:t>
      </w:r>
    </w:p>
    <w:p w:rsidR="003A11C0" w:rsidRPr="008906E7" w:rsidRDefault="003A11C0">
      <w:pPr>
        <w:spacing w:line="240" w:lineRule="auto"/>
        <w:jc w:val="both"/>
        <w:rPr>
          <w:rFonts w:cstheme="minorHAnsi"/>
        </w:rPr>
      </w:pPr>
    </w:p>
    <w:p w:rsidR="00085F33" w:rsidRPr="00E230A6" w:rsidRDefault="0011309F" w:rsidP="00E230A6">
      <w:pPr>
        <w:pStyle w:val="Heading2"/>
        <w:keepLines w:val="0"/>
        <w:spacing w:before="120" w:after="120" w:line="240" w:lineRule="auto"/>
        <w:jc w:val="both"/>
        <w:rPr>
          <w:rFonts w:ascii="Arial" w:eastAsia="Times New Roman" w:hAnsi="Arial" w:cs="Times New Roman"/>
          <w:bCs w:val="0"/>
          <w:color w:val="auto"/>
          <w:sz w:val="22"/>
          <w:szCs w:val="22"/>
        </w:rPr>
      </w:pPr>
      <w:r w:rsidRPr="00E230A6">
        <w:rPr>
          <w:rFonts w:ascii="Arial" w:eastAsia="Times New Roman" w:hAnsi="Arial" w:cs="Times New Roman"/>
          <w:bCs w:val="0"/>
          <w:color w:val="auto"/>
          <w:sz w:val="22"/>
          <w:szCs w:val="22"/>
        </w:rPr>
        <w:t>Use with Fluticasone (glucocorticoids metabolised by CYP3A)</w:t>
      </w:r>
    </w:p>
    <w:p w:rsidR="00085F33" w:rsidRPr="008906E7" w:rsidRDefault="0011309F">
      <w:pPr>
        <w:spacing w:line="240" w:lineRule="auto"/>
        <w:jc w:val="both"/>
        <w:rPr>
          <w:rFonts w:cstheme="minorHAnsi"/>
        </w:rPr>
      </w:pPr>
      <w:r w:rsidRPr="008906E7">
        <w:rPr>
          <w:rFonts w:cstheme="minorHAnsi"/>
        </w:rPr>
        <w:t xml:space="preserve">Use caution when administering TECHNIVIE with fluticasone or other glucocorticoids that are metabolised by CYP3A4. </w:t>
      </w:r>
      <w:r w:rsidR="00DE53ED">
        <w:rPr>
          <w:rFonts w:cstheme="minorHAnsi"/>
        </w:rPr>
        <w:t xml:space="preserve"> </w:t>
      </w:r>
      <w:r w:rsidRPr="008906E7">
        <w:rPr>
          <w:rFonts w:cstheme="minorHAnsi"/>
        </w:rPr>
        <w:t>Concomitant use of inhaled glucocorticoids metabolised with CYP3A can increase systemic exposures of the glucocorticoids</w:t>
      </w:r>
      <w:r w:rsidR="00DE53ED">
        <w:rPr>
          <w:rFonts w:cstheme="minorHAnsi"/>
        </w:rPr>
        <w:t>,</w:t>
      </w:r>
      <w:r w:rsidRPr="008906E7">
        <w:rPr>
          <w:rFonts w:cstheme="minorHAnsi"/>
        </w:rPr>
        <w:t xml:space="preserve"> and cases of Cushing’s syndrome and subsequent adrenal suppression have been reported with ritonavir-containing regimens.  Concomitant use of TECHNIVIE and glucocorticoids, particularly long-term use, should only be initiated if the potential benefit of treatment outweighs the risk of systemic corticosteroid effects.</w:t>
      </w:r>
    </w:p>
    <w:p w:rsidR="00085F33" w:rsidRPr="00E230A6" w:rsidRDefault="0011309F" w:rsidP="00E230A6">
      <w:pPr>
        <w:pStyle w:val="Heading2"/>
        <w:keepLines w:val="0"/>
        <w:spacing w:before="120" w:after="120" w:line="240" w:lineRule="auto"/>
        <w:jc w:val="both"/>
        <w:rPr>
          <w:rFonts w:ascii="Arial" w:eastAsia="Times New Roman" w:hAnsi="Arial" w:cs="Times New Roman"/>
          <w:bCs w:val="0"/>
          <w:color w:val="auto"/>
          <w:sz w:val="22"/>
          <w:szCs w:val="22"/>
        </w:rPr>
      </w:pPr>
      <w:r w:rsidRPr="00E230A6">
        <w:rPr>
          <w:rFonts w:ascii="Arial" w:eastAsia="Times New Roman" w:hAnsi="Arial" w:cs="Times New Roman"/>
          <w:bCs w:val="0"/>
          <w:color w:val="auto"/>
          <w:sz w:val="22"/>
          <w:szCs w:val="22"/>
        </w:rPr>
        <w:t>Use with Quetiapine</w:t>
      </w:r>
    </w:p>
    <w:p w:rsidR="00085F33" w:rsidRPr="008906E7" w:rsidRDefault="0011309F">
      <w:pPr>
        <w:autoSpaceDE w:val="0"/>
        <w:autoSpaceDN w:val="0"/>
        <w:adjustRightInd w:val="0"/>
        <w:spacing w:line="240" w:lineRule="auto"/>
        <w:jc w:val="both"/>
        <w:rPr>
          <w:rFonts w:cstheme="minorHAnsi"/>
        </w:rPr>
      </w:pPr>
      <w:r w:rsidRPr="008906E7">
        <w:rPr>
          <w:rFonts w:eastAsia="TimesNewRoman" w:cstheme="minorHAnsi"/>
        </w:rPr>
        <w:t xml:space="preserve">The use of TECHNIVIE with quetiapine is not recommended due to increases in quetiapine exposure. </w:t>
      </w:r>
      <w:r w:rsidR="00DE53ED">
        <w:rPr>
          <w:rFonts w:eastAsia="TimesNewRoman" w:cstheme="minorHAnsi"/>
        </w:rPr>
        <w:t xml:space="preserve"> </w:t>
      </w:r>
      <w:r w:rsidRPr="008906E7">
        <w:rPr>
          <w:rFonts w:eastAsia="TimesNewRoman" w:cstheme="minorHAnsi"/>
        </w:rPr>
        <w:t>If co</w:t>
      </w:r>
      <w:r w:rsidR="00434C08" w:rsidRPr="008906E7">
        <w:rPr>
          <w:rFonts w:eastAsia="TimesNewRoman" w:cstheme="minorHAnsi"/>
        </w:rPr>
        <w:t>-</w:t>
      </w:r>
      <w:r w:rsidRPr="008906E7">
        <w:rPr>
          <w:rFonts w:eastAsia="TimesNewRoman" w:cstheme="minorHAnsi"/>
        </w:rPr>
        <w:t>administration is necessary, reduce the quetiapine dose to 1/6</w:t>
      </w:r>
      <w:r w:rsidRPr="008906E7">
        <w:rPr>
          <w:rFonts w:cstheme="minorHAnsi"/>
        </w:rPr>
        <w:t xml:space="preserve">th </w:t>
      </w:r>
      <w:r w:rsidRPr="008906E7">
        <w:rPr>
          <w:rFonts w:eastAsia="TimesNewRoman" w:cstheme="minorHAnsi"/>
        </w:rPr>
        <w:t xml:space="preserve">of the current dose and monitor for quetiapine-associated adverse reactions. </w:t>
      </w:r>
      <w:r w:rsidR="00DE53ED">
        <w:rPr>
          <w:rFonts w:eastAsia="TimesNewRoman" w:cstheme="minorHAnsi"/>
        </w:rPr>
        <w:t xml:space="preserve"> </w:t>
      </w:r>
      <w:r w:rsidRPr="008906E7">
        <w:rPr>
          <w:rFonts w:eastAsia="TimesNewRoman" w:cstheme="minorHAnsi"/>
        </w:rPr>
        <w:t>Refer to the quetiapine prescribing information for the recommendations on adverse reaction monitoring.</w:t>
      </w:r>
    </w:p>
    <w:p w:rsidR="00085F33" w:rsidRPr="00E230A6" w:rsidRDefault="0011309F" w:rsidP="00E230A6">
      <w:pPr>
        <w:pStyle w:val="Heading2"/>
        <w:keepLines w:val="0"/>
        <w:spacing w:before="120" w:after="120" w:line="240" w:lineRule="auto"/>
        <w:jc w:val="both"/>
        <w:rPr>
          <w:rFonts w:ascii="Arial" w:eastAsia="Times New Roman" w:hAnsi="Arial" w:cs="Times New Roman"/>
          <w:bCs w:val="0"/>
          <w:color w:val="auto"/>
          <w:sz w:val="22"/>
          <w:szCs w:val="22"/>
        </w:rPr>
      </w:pPr>
      <w:r w:rsidRPr="00E230A6">
        <w:rPr>
          <w:rFonts w:ascii="Arial" w:eastAsia="Times New Roman" w:hAnsi="Arial" w:cs="Times New Roman"/>
          <w:bCs w:val="0"/>
          <w:color w:val="auto"/>
          <w:sz w:val="22"/>
          <w:szCs w:val="22"/>
        </w:rPr>
        <w:t xml:space="preserve">Use with </w:t>
      </w:r>
      <w:r w:rsidR="00BA2CE7">
        <w:rPr>
          <w:rFonts w:ascii="Arial" w:eastAsia="Times New Roman" w:hAnsi="Arial" w:cs="Times New Roman"/>
          <w:bCs w:val="0"/>
          <w:color w:val="auto"/>
          <w:sz w:val="22"/>
          <w:szCs w:val="22"/>
        </w:rPr>
        <w:t>C</w:t>
      </w:r>
      <w:r w:rsidRPr="00E230A6">
        <w:rPr>
          <w:rFonts w:ascii="Arial" w:eastAsia="Times New Roman" w:hAnsi="Arial" w:cs="Times New Roman"/>
          <w:bCs w:val="0"/>
          <w:color w:val="auto"/>
          <w:sz w:val="22"/>
          <w:szCs w:val="22"/>
        </w:rPr>
        <w:t>olchicine</w:t>
      </w:r>
    </w:p>
    <w:p w:rsidR="00085F33" w:rsidRPr="008906E7" w:rsidRDefault="0011309F">
      <w:pPr>
        <w:spacing w:line="240" w:lineRule="auto"/>
        <w:jc w:val="both"/>
        <w:rPr>
          <w:rFonts w:eastAsia="TimesNewRoman" w:cstheme="minorHAnsi"/>
          <w:lang w:eastAsia="ja-JP"/>
        </w:rPr>
      </w:pPr>
      <w:r w:rsidRPr="008906E7">
        <w:rPr>
          <w:rFonts w:eastAsia="TimesNewRoman" w:cstheme="minorHAnsi"/>
          <w:lang w:eastAsia="ja-JP"/>
        </w:rPr>
        <w:t xml:space="preserve">The interaction between TECHNIVIE and colchicine has not been evaluated. </w:t>
      </w:r>
      <w:r w:rsidR="00295663">
        <w:rPr>
          <w:rFonts w:eastAsia="TimesNewRoman" w:cstheme="minorHAnsi"/>
          <w:lang w:eastAsia="ja-JP"/>
        </w:rPr>
        <w:t xml:space="preserve"> </w:t>
      </w:r>
      <w:r w:rsidRPr="008906E7">
        <w:rPr>
          <w:rFonts w:eastAsia="TimesNewRoman" w:cstheme="minorHAnsi"/>
          <w:lang w:eastAsia="ja-JP"/>
        </w:rPr>
        <w:t xml:space="preserve">A reduction in colchicine dosage or an interruption of colchicine treatment is recommended in patients with normal renal or hepatic function if treatment with TECHNIVIE is required. </w:t>
      </w:r>
      <w:r w:rsidR="00295663">
        <w:rPr>
          <w:rFonts w:eastAsia="TimesNewRoman" w:cstheme="minorHAnsi"/>
          <w:lang w:eastAsia="ja-JP"/>
        </w:rPr>
        <w:t xml:space="preserve"> </w:t>
      </w:r>
      <w:r w:rsidRPr="008906E7">
        <w:rPr>
          <w:rFonts w:eastAsia="TimesNewRoman" w:cstheme="minorHAnsi"/>
          <w:lang w:eastAsia="ja-JP"/>
        </w:rPr>
        <w:t>In patients with renal or hepatic impairment, use of colchicine with TECHNIVIE is contraindicated (see CONTRAINDICATIONS).</w:t>
      </w:r>
    </w:p>
    <w:p w:rsidR="00085F33" w:rsidRPr="00E230A6" w:rsidRDefault="0011309F" w:rsidP="00E230A6">
      <w:pPr>
        <w:pStyle w:val="Heading2"/>
        <w:keepLines w:val="0"/>
        <w:spacing w:before="120" w:after="120" w:line="240" w:lineRule="auto"/>
        <w:jc w:val="both"/>
        <w:rPr>
          <w:rFonts w:ascii="Arial" w:eastAsia="Times New Roman" w:hAnsi="Arial" w:cs="Times New Roman"/>
          <w:bCs w:val="0"/>
          <w:color w:val="auto"/>
          <w:sz w:val="22"/>
          <w:szCs w:val="22"/>
        </w:rPr>
      </w:pPr>
      <w:r w:rsidRPr="00E230A6">
        <w:rPr>
          <w:rFonts w:ascii="Arial" w:eastAsia="Times New Roman" w:hAnsi="Arial" w:cs="Times New Roman"/>
          <w:bCs w:val="0"/>
          <w:color w:val="auto"/>
          <w:sz w:val="22"/>
          <w:szCs w:val="22"/>
        </w:rPr>
        <w:t xml:space="preserve">Use with </w:t>
      </w:r>
      <w:r w:rsidR="00BA2CE7">
        <w:rPr>
          <w:rFonts w:ascii="Arial" w:eastAsia="Times New Roman" w:hAnsi="Arial" w:cs="Times New Roman"/>
          <w:bCs w:val="0"/>
          <w:color w:val="auto"/>
          <w:sz w:val="22"/>
          <w:szCs w:val="22"/>
        </w:rPr>
        <w:t>S</w:t>
      </w:r>
      <w:r w:rsidRPr="00E230A6">
        <w:rPr>
          <w:rFonts w:ascii="Arial" w:eastAsia="Times New Roman" w:hAnsi="Arial" w:cs="Times New Roman"/>
          <w:bCs w:val="0"/>
          <w:color w:val="auto"/>
          <w:sz w:val="22"/>
          <w:szCs w:val="22"/>
        </w:rPr>
        <w:t xml:space="preserve">tatins </w:t>
      </w:r>
    </w:p>
    <w:p w:rsidR="00BF7C61" w:rsidRPr="00BA2CE7" w:rsidRDefault="00BA2CE7" w:rsidP="00BA2CE7">
      <w:pPr>
        <w:tabs>
          <w:tab w:val="left" w:pos="0"/>
        </w:tabs>
        <w:spacing w:line="240" w:lineRule="auto"/>
        <w:rPr>
          <w:rFonts w:eastAsia="TimesNewRoman" w:cstheme="minorHAnsi"/>
          <w:lang w:eastAsia="ja-JP"/>
        </w:rPr>
      </w:pPr>
      <w:r>
        <w:rPr>
          <w:rFonts w:eastAsia="TimesNewRoman" w:cstheme="minorHAnsi"/>
          <w:lang w:eastAsia="ja-JP"/>
        </w:rPr>
        <w:t>Atorvastatin, s</w:t>
      </w:r>
      <w:r w:rsidR="0011309F" w:rsidRPr="008906E7">
        <w:rPr>
          <w:rFonts w:eastAsia="TimesNewRoman" w:cstheme="minorHAnsi"/>
          <w:lang w:eastAsia="ja-JP"/>
        </w:rPr>
        <w:t>imvastatin and lovastatin are contrain</w:t>
      </w:r>
      <w:r w:rsidR="008906E7">
        <w:rPr>
          <w:rFonts w:eastAsia="TimesNewRoman" w:cstheme="minorHAnsi"/>
          <w:lang w:eastAsia="ja-JP"/>
        </w:rPr>
        <w:t>dicated (see CONTRAINDICATIONS</w:t>
      </w:r>
      <w:r w:rsidR="0011309F" w:rsidRPr="008906E7">
        <w:rPr>
          <w:rFonts w:eastAsia="TimesNewRoman" w:cstheme="minorHAnsi"/>
          <w:lang w:eastAsia="ja-JP"/>
        </w:rPr>
        <w:t>).</w:t>
      </w:r>
    </w:p>
    <w:p w:rsidR="00085F33" w:rsidRPr="008906E7" w:rsidRDefault="0011309F">
      <w:pPr>
        <w:pStyle w:val="BodytextAgency"/>
        <w:spacing w:line="240" w:lineRule="auto"/>
        <w:rPr>
          <w:rFonts w:asciiTheme="minorHAnsi" w:hAnsiTheme="minorHAnsi" w:cstheme="minorHAnsi"/>
          <w:i/>
          <w:sz w:val="22"/>
          <w:szCs w:val="22"/>
          <w:lang w:val="en-AU"/>
        </w:rPr>
      </w:pPr>
      <w:proofErr w:type="spellStart"/>
      <w:r w:rsidRPr="008906E7">
        <w:rPr>
          <w:rFonts w:asciiTheme="minorHAnsi" w:hAnsiTheme="minorHAnsi" w:cstheme="minorHAnsi"/>
          <w:i/>
          <w:sz w:val="22"/>
          <w:szCs w:val="22"/>
          <w:lang w:val="en-AU"/>
        </w:rPr>
        <w:t>Pitavastatin</w:t>
      </w:r>
      <w:proofErr w:type="spellEnd"/>
      <w:r w:rsidRPr="008906E7">
        <w:rPr>
          <w:rFonts w:asciiTheme="minorHAnsi" w:hAnsiTheme="minorHAnsi" w:cstheme="minorHAnsi"/>
          <w:i/>
          <w:sz w:val="22"/>
          <w:szCs w:val="22"/>
          <w:lang w:val="en-AU"/>
        </w:rPr>
        <w:t xml:space="preserve"> and </w:t>
      </w:r>
      <w:proofErr w:type="spellStart"/>
      <w:r w:rsidRPr="008906E7">
        <w:rPr>
          <w:rFonts w:asciiTheme="minorHAnsi" w:hAnsiTheme="minorHAnsi" w:cstheme="minorHAnsi"/>
          <w:i/>
          <w:sz w:val="22"/>
          <w:szCs w:val="22"/>
          <w:lang w:val="en-AU"/>
        </w:rPr>
        <w:t>fluvastatin</w:t>
      </w:r>
      <w:proofErr w:type="spellEnd"/>
    </w:p>
    <w:p w:rsidR="00085F33" w:rsidRPr="008906E7" w:rsidRDefault="0011309F">
      <w:pPr>
        <w:spacing w:line="240" w:lineRule="auto"/>
        <w:jc w:val="both"/>
        <w:rPr>
          <w:rFonts w:cstheme="minorHAnsi"/>
        </w:rPr>
      </w:pPr>
      <w:r w:rsidRPr="008906E7">
        <w:rPr>
          <w:rFonts w:eastAsia="TimesNewRoman" w:cstheme="minorHAnsi"/>
          <w:lang w:eastAsia="ja-JP"/>
        </w:rPr>
        <w:t xml:space="preserve">The interactions between </w:t>
      </w:r>
      <w:proofErr w:type="spellStart"/>
      <w:r w:rsidRPr="008906E7">
        <w:rPr>
          <w:rFonts w:eastAsia="TimesNewRoman" w:cstheme="minorHAnsi"/>
          <w:lang w:eastAsia="ja-JP"/>
        </w:rPr>
        <w:t>pitavastatin</w:t>
      </w:r>
      <w:proofErr w:type="spellEnd"/>
      <w:r w:rsidRPr="008906E7">
        <w:rPr>
          <w:rFonts w:eastAsia="TimesNewRoman" w:cstheme="minorHAnsi"/>
          <w:lang w:eastAsia="ja-JP"/>
        </w:rPr>
        <w:t xml:space="preserve"> and </w:t>
      </w:r>
      <w:proofErr w:type="spellStart"/>
      <w:r w:rsidRPr="008906E7">
        <w:rPr>
          <w:rFonts w:eastAsia="TimesNewRoman" w:cstheme="minorHAnsi"/>
          <w:lang w:eastAsia="ja-JP"/>
        </w:rPr>
        <w:t>fluvastatin</w:t>
      </w:r>
      <w:proofErr w:type="spellEnd"/>
      <w:r w:rsidRPr="008906E7">
        <w:rPr>
          <w:rFonts w:eastAsia="TimesNewRoman" w:cstheme="minorHAnsi"/>
          <w:lang w:eastAsia="ja-JP"/>
        </w:rPr>
        <w:t xml:space="preserve"> and TECHNIVIE have not been investigated. </w:t>
      </w:r>
      <w:r w:rsidR="00295663">
        <w:rPr>
          <w:rFonts w:eastAsia="TimesNewRoman" w:cstheme="minorHAnsi"/>
          <w:lang w:eastAsia="ja-JP"/>
        </w:rPr>
        <w:t xml:space="preserve"> </w:t>
      </w:r>
      <w:r w:rsidRPr="008906E7">
        <w:rPr>
          <w:rFonts w:eastAsia="TimesNewRoman" w:cstheme="minorHAnsi"/>
          <w:lang w:eastAsia="ja-JP"/>
        </w:rPr>
        <w:t xml:space="preserve">Theoretically, TECHNIVIE is expected to increase the exposure to </w:t>
      </w:r>
      <w:proofErr w:type="spellStart"/>
      <w:r w:rsidRPr="008906E7">
        <w:rPr>
          <w:rFonts w:eastAsia="TimesNewRoman" w:cstheme="minorHAnsi"/>
          <w:lang w:eastAsia="ja-JP"/>
        </w:rPr>
        <w:t>pitavastatin</w:t>
      </w:r>
      <w:proofErr w:type="spellEnd"/>
      <w:r w:rsidRPr="008906E7">
        <w:rPr>
          <w:rFonts w:eastAsia="TimesNewRoman" w:cstheme="minorHAnsi"/>
          <w:lang w:eastAsia="ja-JP"/>
        </w:rPr>
        <w:t xml:space="preserve"> and </w:t>
      </w:r>
      <w:proofErr w:type="spellStart"/>
      <w:r w:rsidRPr="008906E7">
        <w:rPr>
          <w:rFonts w:eastAsia="TimesNewRoman" w:cstheme="minorHAnsi"/>
          <w:lang w:eastAsia="ja-JP"/>
        </w:rPr>
        <w:t>fluvastatin</w:t>
      </w:r>
      <w:proofErr w:type="spellEnd"/>
      <w:r w:rsidRPr="008906E7">
        <w:rPr>
          <w:rFonts w:eastAsia="TimesNewRoman" w:cstheme="minorHAnsi"/>
          <w:lang w:eastAsia="ja-JP"/>
        </w:rPr>
        <w:t xml:space="preserve">. </w:t>
      </w:r>
      <w:r w:rsidR="00295663">
        <w:rPr>
          <w:rFonts w:eastAsia="TimesNewRoman" w:cstheme="minorHAnsi"/>
          <w:lang w:eastAsia="ja-JP"/>
        </w:rPr>
        <w:t xml:space="preserve"> </w:t>
      </w:r>
      <w:r w:rsidRPr="008906E7">
        <w:rPr>
          <w:rFonts w:eastAsia="TimesNewRoman" w:cstheme="minorHAnsi"/>
          <w:lang w:eastAsia="ja-JP"/>
        </w:rPr>
        <w:t xml:space="preserve">A temporary suspension of </w:t>
      </w:r>
      <w:proofErr w:type="spellStart"/>
      <w:r w:rsidRPr="008906E7">
        <w:rPr>
          <w:rFonts w:eastAsia="TimesNewRoman" w:cstheme="minorHAnsi"/>
          <w:lang w:eastAsia="ja-JP"/>
        </w:rPr>
        <w:t>pitavastatin</w:t>
      </w:r>
      <w:proofErr w:type="spellEnd"/>
      <w:r w:rsidR="00BA2CE7">
        <w:rPr>
          <w:rFonts w:eastAsia="TimesNewRoman" w:cstheme="minorHAnsi"/>
          <w:lang w:eastAsia="ja-JP"/>
        </w:rPr>
        <w:t xml:space="preserve"> and</w:t>
      </w:r>
      <w:r w:rsidRPr="008906E7">
        <w:rPr>
          <w:rFonts w:eastAsia="TimesNewRoman" w:cstheme="minorHAnsi"/>
          <w:lang w:eastAsia="ja-JP"/>
        </w:rPr>
        <w:t xml:space="preserve"> </w:t>
      </w:r>
      <w:proofErr w:type="spellStart"/>
      <w:r w:rsidRPr="008906E7">
        <w:rPr>
          <w:rFonts w:eastAsia="TimesNewRoman" w:cstheme="minorHAnsi"/>
          <w:lang w:eastAsia="ja-JP"/>
        </w:rPr>
        <w:t>fluvastatin</w:t>
      </w:r>
      <w:proofErr w:type="spellEnd"/>
      <w:r w:rsidRPr="008906E7">
        <w:rPr>
          <w:rFonts w:eastAsia="TimesNewRoman" w:cstheme="minorHAnsi"/>
          <w:lang w:eastAsia="ja-JP"/>
        </w:rPr>
        <w:t xml:space="preserve"> is recommended for the duration of treatment with TECHNIVIE. </w:t>
      </w:r>
      <w:r w:rsidR="00295663">
        <w:rPr>
          <w:rFonts w:eastAsia="TimesNewRoman" w:cstheme="minorHAnsi"/>
          <w:lang w:eastAsia="ja-JP"/>
        </w:rPr>
        <w:t xml:space="preserve"> </w:t>
      </w:r>
      <w:r w:rsidRPr="008906E7">
        <w:rPr>
          <w:rFonts w:eastAsia="TimesNewRoman" w:cstheme="minorHAnsi"/>
          <w:lang w:eastAsia="ja-JP"/>
        </w:rPr>
        <w:t xml:space="preserve">If statin treatment is required during the treatment period, a switch to a reduced dose of pravastatin or </w:t>
      </w:r>
      <w:proofErr w:type="spellStart"/>
      <w:r w:rsidRPr="008906E7">
        <w:rPr>
          <w:rFonts w:eastAsia="TimesNewRoman" w:cstheme="minorHAnsi"/>
          <w:lang w:eastAsia="ja-JP"/>
        </w:rPr>
        <w:t>rosuvastatin</w:t>
      </w:r>
      <w:proofErr w:type="spellEnd"/>
      <w:r w:rsidRPr="008906E7">
        <w:rPr>
          <w:rFonts w:eastAsia="TimesNewRoman" w:cstheme="minorHAnsi"/>
          <w:lang w:eastAsia="ja-JP"/>
        </w:rPr>
        <w:t xml:space="preserve"> is possible (see </w:t>
      </w:r>
      <w:r w:rsidR="00554C6A">
        <w:rPr>
          <w:rFonts w:eastAsia="TimesNewRoman" w:cstheme="minorHAnsi"/>
          <w:lang w:eastAsia="ja-JP"/>
        </w:rPr>
        <w:t xml:space="preserve">Table </w:t>
      </w:r>
      <w:r w:rsidR="00B54C47">
        <w:rPr>
          <w:rFonts w:eastAsia="TimesNewRoman" w:cstheme="minorHAnsi"/>
          <w:lang w:eastAsia="ja-JP"/>
        </w:rPr>
        <w:t>5</w:t>
      </w:r>
      <w:r w:rsidRPr="008906E7">
        <w:rPr>
          <w:rFonts w:eastAsia="TimesNewRoman" w:cstheme="minorHAnsi"/>
          <w:lang w:eastAsia="ja-JP"/>
        </w:rPr>
        <w:t>).</w:t>
      </w:r>
    </w:p>
    <w:p w:rsidR="00085F33" w:rsidRPr="00E230A6" w:rsidRDefault="0011309F" w:rsidP="00E230A6">
      <w:pPr>
        <w:pStyle w:val="Heading2"/>
        <w:keepLines w:val="0"/>
        <w:spacing w:before="120" w:after="120" w:line="240" w:lineRule="auto"/>
        <w:jc w:val="both"/>
        <w:rPr>
          <w:rFonts w:ascii="Arial" w:eastAsia="Times New Roman" w:hAnsi="Arial" w:cs="Times New Roman"/>
          <w:bCs w:val="0"/>
          <w:color w:val="auto"/>
          <w:sz w:val="22"/>
          <w:szCs w:val="22"/>
        </w:rPr>
      </w:pPr>
      <w:r w:rsidRPr="00E230A6">
        <w:rPr>
          <w:rFonts w:ascii="Arial" w:eastAsia="Times New Roman" w:hAnsi="Arial" w:cs="Times New Roman"/>
          <w:bCs w:val="0"/>
          <w:color w:val="auto"/>
          <w:sz w:val="22"/>
          <w:szCs w:val="22"/>
        </w:rPr>
        <w:t>Hepatic Impairment</w:t>
      </w:r>
    </w:p>
    <w:p w:rsidR="00085F33" w:rsidRDefault="0011309F">
      <w:pPr>
        <w:spacing w:line="240" w:lineRule="auto"/>
        <w:jc w:val="both"/>
        <w:rPr>
          <w:rStyle w:val="gtcitalic2"/>
          <w:rFonts w:cs="Arial"/>
          <w:i w:val="0"/>
        </w:rPr>
      </w:pPr>
      <w:r w:rsidRPr="00A47F4F">
        <w:rPr>
          <w:rFonts w:cs="Arial"/>
        </w:rPr>
        <w:t xml:space="preserve">No dose adjustment of TECHNIVIE is required in patients with mild hepatic impairment (Child-Pugh A). </w:t>
      </w:r>
      <w:r w:rsidR="00295663">
        <w:rPr>
          <w:rFonts w:cs="Arial"/>
        </w:rPr>
        <w:t xml:space="preserve"> </w:t>
      </w:r>
      <w:r w:rsidR="00BE51AA" w:rsidRPr="00BF7C61">
        <w:rPr>
          <w:rFonts w:cstheme="minorHAnsi"/>
        </w:rPr>
        <w:t xml:space="preserve">TECHNIVIE is not recommended in patients with moderate hepatic impairment (Child-Pugh B). </w:t>
      </w:r>
      <w:r w:rsidR="00B649FB" w:rsidRPr="00BF7C61">
        <w:rPr>
          <w:rFonts w:cstheme="minorHAnsi"/>
        </w:rPr>
        <w:t xml:space="preserve"> </w:t>
      </w:r>
      <w:r w:rsidR="00BE51AA" w:rsidRPr="00BF7C61">
        <w:rPr>
          <w:rFonts w:cstheme="minorHAnsi"/>
        </w:rPr>
        <w:t xml:space="preserve">A decision to initiate treatment in patients with Child-Pugh B should be guided by assessment of the potential benefits and risks for the individual. </w:t>
      </w:r>
      <w:r w:rsidRPr="00BF7C61">
        <w:rPr>
          <w:rFonts w:cs="Arial"/>
        </w:rPr>
        <w:t>TECH</w:t>
      </w:r>
      <w:r w:rsidRPr="00A47F4F">
        <w:rPr>
          <w:rFonts w:cs="Arial"/>
        </w:rPr>
        <w:t>NIVIE</w:t>
      </w:r>
      <w:r w:rsidRPr="00A47F4F">
        <w:rPr>
          <w:rStyle w:val="gtcitalic2"/>
          <w:rFonts w:cs="Arial"/>
          <w:i w:val="0"/>
        </w:rPr>
        <w:t xml:space="preserve"> is contraindicated in patients with severe hepatic impairment (Child-Pugh C) (see CONTRAINDICATIONS and </w:t>
      </w:r>
      <w:r w:rsidR="00BE51AA">
        <w:rPr>
          <w:rStyle w:val="gtcitalic2"/>
          <w:rFonts w:cs="Arial"/>
          <w:i w:val="0"/>
        </w:rPr>
        <w:t>Pharmacokinetics</w:t>
      </w:r>
      <w:r w:rsidRPr="00A47F4F">
        <w:rPr>
          <w:rStyle w:val="gtcitalic2"/>
          <w:rFonts w:cs="Arial"/>
          <w:i w:val="0"/>
        </w:rPr>
        <w:t>).</w:t>
      </w:r>
    </w:p>
    <w:p w:rsidR="00BA2CE7" w:rsidRDefault="00BA2CE7" w:rsidP="00BA2CE7">
      <w:pPr>
        <w:spacing w:line="240" w:lineRule="auto"/>
        <w:jc w:val="both"/>
        <w:rPr>
          <w:rFonts w:ascii="Arial" w:hAnsi="Arial" w:cs="Arial"/>
          <w:b/>
          <w:bCs/>
        </w:rPr>
      </w:pPr>
      <w:r>
        <w:rPr>
          <w:rFonts w:ascii="Arial" w:hAnsi="Arial" w:cs="Arial"/>
          <w:b/>
          <w:bCs/>
        </w:rPr>
        <w:t>HCV/HIV-1 co-infected Subjects</w:t>
      </w:r>
    </w:p>
    <w:p w:rsidR="00BA2CE7" w:rsidRDefault="00BA2CE7" w:rsidP="00BA2CE7">
      <w:r>
        <w:lastRenderedPageBreak/>
        <w:t>Low dose ritonavir, which is part of the fixed dose combination TECHNIVIE, may select for PI resistance in HIV co-infected patients without ongoing antiretroviral therapy. HIV co-infected patients without suppressive antiretroviral therapy should not be treated with TECHNIVIE.</w:t>
      </w:r>
    </w:p>
    <w:p w:rsidR="00BA2CE7" w:rsidRDefault="00BA2CE7" w:rsidP="00BA2CE7">
      <w:pPr>
        <w:spacing w:after="0" w:line="240" w:lineRule="auto"/>
        <w:rPr>
          <w:rFonts w:ascii="Times New Roman" w:hAnsi="Times New Roman" w:cs="Times New Roman"/>
          <w:sz w:val="24"/>
          <w:szCs w:val="24"/>
          <w:lang w:eastAsia="en-AU"/>
        </w:rPr>
      </w:pPr>
      <w:r>
        <w:t>Drug interactions need to be carefully taken into account in the setting of HIV co-infection. For extensive details on Drug Interactions with antiretroviral therapy, refer to INTERACTIONS WITH OTHER MEDICINES.</w:t>
      </w:r>
      <w:r>
        <w:rPr>
          <w:rFonts w:ascii="Times New Roman" w:hAnsi="Times New Roman" w:cs="Times New Roman"/>
          <w:sz w:val="24"/>
          <w:szCs w:val="24"/>
          <w:lang w:eastAsia="en-AU"/>
        </w:rPr>
        <w:t xml:space="preserve"> </w:t>
      </w:r>
    </w:p>
    <w:p w:rsidR="00BA2CE7" w:rsidRDefault="00BA2CE7">
      <w:pPr>
        <w:spacing w:line="240" w:lineRule="auto"/>
        <w:jc w:val="both"/>
        <w:rPr>
          <w:rStyle w:val="gtcitalic2"/>
          <w:rFonts w:cs="Arial"/>
          <w:i w:val="0"/>
        </w:rPr>
      </w:pPr>
    </w:p>
    <w:p w:rsidR="003A11C0" w:rsidRDefault="003A11C0">
      <w:pPr>
        <w:spacing w:line="240" w:lineRule="auto"/>
        <w:jc w:val="both"/>
        <w:rPr>
          <w:rStyle w:val="gtcitalic2"/>
          <w:rFonts w:cs="Arial"/>
          <w:i w:val="0"/>
        </w:rPr>
      </w:pPr>
    </w:p>
    <w:p w:rsidR="003A11C0" w:rsidRPr="00A47F4F" w:rsidRDefault="003A11C0">
      <w:pPr>
        <w:spacing w:line="240" w:lineRule="auto"/>
        <w:jc w:val="both"/>
        <w:rPr>
          <w:rStyle w:val="gtcitalic2"/>
          <w:rFonts w:cs="Arial"/>
          <w:i w:val="0"/>
        </w:rPr>
      </w:pPr>
    </w:p>
    <w:p w:rsidR="00085F33" w:rsidRPr="00E230A6" w:rsidRDefault="0011309F" w:rsidP="00E230A6">
      <w:pPr>
        <w:pStyle w:val="Heading2"/>
        <w:keepLines w:val="0"/>
        <w:spacing w:before="120" w:after="120" w:line="240" w:lineRule="auto"/>
        <w:jc w:val="both"/>
        <w:rPr>
          <w:rFonts w:ascii="Arial" w:eastAsia="Times New Roman" w:hAnsi="Arial" w:cs="Times New Roman"/>
          <w:bCs w:val="0"/>
          <w:color w:val="auto"/>
          <w:sz w:val="22"/>
          <w:szCs w:val="22"/>
        </w:rPr>
      </w:pPr>
      <w:r w:rsidRPr="00E230A6">
        <w:rPr>
          <w:rFonts w:ascii="Arial" w:eastAsia="Times New Roman" w:hAnsi="Arial" w:cs="Times New Roman"/>
          <w:bCs w:val="0"/>
          <w:color w:val="auto"/>
          <w:sz w:val="22"/>
          <w:szCs w:val="22"/>
        </w:rPr>
        <w:t>Effects on Fertility</w:t>
      </w:r>
    </w:p>
    <w:p w:rsidR="00085F33" w:rsidRPr="00E230A6" w:rsidRDefault="0011309F">
      <w:pPr>
        <w:spacing w:line="240" w:lineRule="auto"/>
        <w:jc w:val="both"/>
        <w:rPr>
          <w:rFonts w:cs="Arial"/>
          <w:i/>
          <w:u w:val="single"/>
        </w:rPr>
      </w:pPr>
      <w:proofErr w:type="spellStart"/>
      <w:r w:rsidRPr="00E230A6">
        <w:rPr>
          <w:rFonts w:cs="Arial"/>
          <w:i/>
          <w:u w:val="single"/>
        </w:rPr>
        <w:t>Paritaprevir</w:t>
      </w:r>
      <w:proofErr w:type="spellEnd"/>
      <w:r w:rsidRPr="00E230A6">
        <w:rPr>
          <w:rFonts w:cs="Arial"/>
          <w:i/>
          <w:u w:val="single"/>
        </w:rPr>
        <w:t>/ritonavir</w:t>
      </w:r>
    </w:p>
    <w:p w:rsidR="00085F33" w:rsidRPr="00A47F4F" w:rsidRDefault="0011309F">
      <w:pPr>
        <w:spacing w:line="240" w:lineRule="auto"/>
        <w:jc w:val="both"/>
        <w:rPr>
          <w:rFonts w:cs="Arial"/>
        </w:rPr>
      </w:pPr>
      <w:proofErr w:type="spellStart"/>
      <w:r w:rsidRPr="00A47F4F">
        <w:rPr>
          <w:rFonts w:cs="Arial"/>
        </w:rPr>
        <w:t>Paritaprevir</w:t>
      </w:r>
      <w:proofErr w:type="spellEnd"/>
      <w:r w:rsidRPr="00A47F4F">
        <w:rPr>
          <w:rFonts w:cs="Arial"/>
        </w:rPr>
        <w:t xml:space="preserve">/ritonavir had no effects on </w:t>
      </w:r>
      <w:proofErr w:type="spellStart"/>
      <w:r w:rsidRPr="00A47F4F">
        <w:rPr>
          <w:rFonts w:cs="Arial"/>
        </w:rPr>
        <w:t>embryof</w:t>
      </w:r>
      <w:r w:rsidR="00295663">
        <w:rPr>
          <w:rFonts w:cs="Arial"/>
        </w:rPr>
        <w:t>o</w:t>
      </w:r>
      <w:r w:rsidRPr="00A47F4F">
        <w:rPr>
          <w:rFonts w:cs="Arial"/>
        </w:rPr>
        <w:t>etal</w:t>
      </w:r>
      <w:proofErr w:type="spellEnd"/>
      <w:r w:rsidRPr="00A47F4F">
        <w:rPr>
          <w:rFonts w:cs="Arial"/>
        </w:rPr>
        <w:t xml:space="preserve"> viability or on fertility when evaluated in rats up to the highest dose of 300/30 mg/kg/day.  </w:t>
      </w:r>
      <w:proofErr w:type="spellStart"/>
      <w:r w:rsidRPr="00A47F4F">
        <w:rPr>
          <w:rFonts w:cs="Arial"/>
        </w:rPr>
        <w:t>Paritaprevir</w:t>
      </w:r>
      <w:proofErr w:type="spellEnd"/>
      <w:r w:rsidRPr="00A47F4F">
        <w:rPr>
          <w:rFonts w:cs="Arial"/>
        </w:rPr>
        <w:t xml:space="preserve"> and ritonavir AUC exposures at this dosage were approximately </w:t>
      </w:r>
      <w:r w:rsidR="00CC7307" w:rsidRPr="00A47F4F">
        <w:rPr>
          <w:rFonts w:cs="Arial"/>
        </w:rPr>
        <w:t xml:space="preserve">5 </w:t>
      </w:r>
      <w:r w:rsidRPr="00A47F4F">
        <w:rPr>
          <w:rFonts w:cs="Arial"/>
        </w:rPr>
        <w:t>and 3-fold the exposure in humans at the recommended clinical dose.</w:t>
      </w:r>
    </w:p>
    <w:p w:rsidR="00085F33" w:rsidRPr="00A47F4F" w:rsidRDefault="0011309F">
      <w:pPr>
        <w:spacing w:line="240" w:lineRule="auto"/>
        <w:jc w:val="both"/>
        <w:rPr>
          <w:rFonts w:cs="Arial"/>
          <w:i/>
        </w:rPr>
      </w:pPr>
      <w:proofErr w:type="spellStart"/>
      <w:r w:rsidRPr="00A47F4F">
        <w:rPr>
          <w:rFonts w:cs="Arial"/>
          <w:i/>
        </w:rPr>
        <w:t>Ombitasvir</w:t>
      </w:r>
      <w:proofErr w:type="spellEnd"/>
    </w:p>
    <w:p w:rsidR="00085F33" w:rsidRPr="00A47F4F" w:rsidRDefault="0011309F">
      <w:pPr>
        <w:spacing w:line="240" w:lineRule="auto"/>
        <w:jc w:val="both"/>
        <w:rPr>
          <w:rFonts w:cs="Arial"/>
        </w:rPr>
      </w:pPr>
      <w:proofErr w:type="spellStart"/>
      <w:r w:rsidRPr="00A47F4F">
        <w:rPr>
          <w:rFonts w:cs="Arial"/>
        </w:rPr>
        <w:t>Ombitasvir</w:t>
      </w:r>
      <w:proofErr w:type="spellEnd"/>
      <w:r w:rsidRPr="00A47F4F">
        <w:rPr>
          <w:rFonts w:cs="Arial"/>
        </w:rPr>
        <w:t xml:space="preserve"> had no effects on </w:t>
      </w:r>
      <w:proofErr w:type="spellStart"/>
      <w:r w:rsidRPr="00A47F4F">
        <w:rPr>
          <w:rFonts w:cs="Arial"/>
        </w:rPr>
        <w:t>embryof</w:t>
      </w:r>
      <w:r w:rsidR="00295663">
        <w:rPr>
          <w:rFonts w:cs="Arial"/>
        </w:rPr>
        <w:t>o</w:t>
      </w:r>
      <w:r w:rsidRPr="00A47F4F">
        <w:rPr>
          <w:rFonts w:cs="Arial"/>
        </w:rPr>
        <w:t>etal</w:t>
      </w:r>
      <w:proofErr w:type="spellEnd"/>
      <w:r w:rsidRPr="00A47F4F">
        <w:rPr>
          <w:rFonts w:cs="Arial"/>
        </w:rPr>
        <w:t xml:space="preserve"> viability or on fertility when evaluated in mice up to the highest dose of 200 mg/kg/day.  </w:t>
      </w:r>
      <w:proofErr w:type="spellStart"/>
      <w:r w:rsidRPr="00A47F4F">
        <w:rPr>
          <w:rFonts w:cs="Arial"/>
        </w:rPr>
        <w:t>Ombitasvir</w:t>
      </w:r>
      <w:proofErr w:type="spellEnd"/>
      <w:r w:rsidRPr="00A47F4F">
        <w:rPr>
          <w:rFonts w:cs="Arial"/>
        </w:rPr>
        <w:t xml:space="preserve"> AUC exposures at this dosage were approximately 23-fold (female) or 29-fold (male) the exposure in humans at the recommended clinical dose.</w:t>
      </w:r>
    </w:p>
    <w:p w:rsidR="00085F33" w:rsidRDefault="0011309F">
      <w:pPr>
        <w:pStyle w:val="Heading2"/>
        <w:keepLines w:val="0"/>
        <w:spacing w:before="120" w:after="120" w:line="240" w:lineRule="auto"/>
        <w:jc w:val="both"/>
        <w:rPr>
          <w:rFonts w:ascii="Arial" w:eastAsia="Times New Roman" w:hAnsi="Arial" w:cs="Times New Roman"/>
          <w:bCs w:val="0"/>
          <w:color w:val="auto"/>
          <w:sz w:val="22"/>
          <w:szCs w:val="22"/>
        </w:rPr>
      </w:pPr>
      <w:bookmarkStart w:id="41" w:name="_Toc383787402"/>
      <w:r w:rsidRPr="00A47F4F">
        <w:rPr>
          <w:rFonts w:ascii="Arial" w:eastAsia="Times New Roman" w:hAnsi="Arial" w:cs="Times New Roman"/>
          <w:bCs w:val="0"/>
          <w:color w:val="auto"/>
          <w:sz w:val="22"/>
          <w:szCs w:val="22"/>
        </w:rPr>
        <w:t>Use in Pregnancy</w:t>
      </w:r>
      <w:bookmarkEnd w:id="41"/>
    </w:p>
    <w:p w:rsidR="00122555" w:rsidRPr="00122555" w:rsidRDefault="00295663" w:rsidP="00122555">
      <w:pPr>
        <w:rPr>
          <w:b/>
          <w:lang w:val="en-US"/>
        </w:rPr>
      </w:pPr>
      <w:r>
        <w:rPr>
          <w:b/>
          <w:lang w:val="en-US"/>
        </w:rPr>
        <w:t xml:space="preserve">Ribavirin </w:t>
      </w:r>
      <w:r w:rsidR="00122555">
        <w:rPr>
          <w:b/>
          <w:lang w:val="en-US"/>
        </w:rPr>
        <w:t xml:space="preserve">Pregnancy Category X </w:t>
      </w:r>
    </w:p>
    <w:p w:rsidR="00122555" w:rsidRPr="00122555" w:rsidRDefault="00122555" w:rsidP="00122555">
      <w:r w:rsidRPr="00122555">
        <w:rPr>
          <w:lang w:val="en-US"/>
        </w:rPr>
        <w:t xml:space="preserve">Extreme caution must be taken to avoid pregnancy in female patients and female partners of male patients when </w:t>
      </w:r>
      <w:r w:rsidR="00D70E42">
        <w:rPr>
          <w:lang w:val="en-US"/>
        </w:rPr>
        <w:t>TECHNIVIE</w:t>
      </w:r>
      <w:r w:rsidRPr="00122555">
        <w:rPr>
          <w:lang w:val="en-US"/>
        </w:rPr>
        <w:t xml:space="preserve"> is used with ribavirin. Significant teratogenic and/or </w:t>
      </w:r>
      <w:proofErr w:type="spellStart"/>
      <w:r w:rsidRPr="00122555">
        <w:rPr>
          <w:lang w:val="en-US"/>
        </w:rPr>
        <w:t>embryocidal</w:t>
      </w:r>
      <w:proofErr w:type="spellEnd"/>
      <w:r w:rsidRPr="00122555">
        <w:rPr>
          <w:lang w:val="en-US"/>
        </w:rPr>
        <w:t xml:space="preserve"> effects have been demonstrated in all animal species exposed to ribavirin; therefore, ribavirin is contraindicated in women who are pregnant and in men whose female partners are pregnant. Women of childbearing potential and their male partners should not receive ribavirin unless they are using two reliable forms of contraception during treatment with ribavirin and for 6 months after treatment (see </w:t>
      </w:r>
      <w:hyperlink w:anchor="warnings-and-precautions" w:tooltip="gtc:Link" w:history="1">
        <w:r w:rsidRPr="00C051DE">
          <w:rPr>
            <w:rStyle w:val="Hyperlink"/>
            <w:b/>
            <w:color w:val="auto"/>
            <w:u w:val="none"/>
            <w:lang w:val="en-US"/>
          </w:rPr>
          <w:t xml:space="preserve"> </w:t>
        </w:r>
        <w:proofErr w:type="gramStart"/>
        <w:r w:rsidRPr="00C051DE">
          <w:rPr>
            <w:rStyle w:val="Hyperlink"/>
            <w:b/>
            <w:color w:val="auto"/>
            <w:u w:val="none"/>
            <w:lang w:val="en-US"/>
          </w:rPr>
          <w:t>PRECAUTIONS</w:t>
        </w:r>
      </w:hyperlink>
      <w:r w:rsidRPr="00C051DE">
        <w:rPr>
          <w:lang w:val="en-US"/>
        </w:rPr>
        <w:t>,</w:t>
      </w:r>
      <w:proofErr w:type="gramEnd"/>
      <w:r w:rsidRPr="00C051DE">
        <w:rPr>
          <w:lang w:val="en-US"/>
        </w:rPr>
        <w:t xml:space="preserve"> </w:t>
      </w:r>
      <w:r w:rsidRPr="00122555">
        <w:rPr>
          <w:lang w:val="en-US"/>
        </w:rPr>
        <w:t>and ribavirin prescribing information).</w:t>
      </w:r>
    </w:p>
    <w:p w:rsidR="00085F33" w:rsidRPr="00A47F4F" w:rsidRDefault="00295663">
      <w:pPr>
        <w:spacing w:line="240" w:lineRule="auto"/>
        <w:rPr>
          <w:rFonts w:cs="Arial"/>
          <w:b/>
        </w:rPr>
      </w:pPr>
      <w:r>
        <w:rPr>
          <w:rFonts w:cs="Arial"/>
          <w:b/>
        </w:rPr>
        <w:t>TECHNIVIE</w:t>
      </w:r>
      <w:r w:rsidRPr="00A47F4F">
        <w:rPr>
          <w:rFonts w:cs="Arial"/>
          <w:b/>
        </w:rPr>
        <w:t xml:space="preserve"> </w:t>
      </w:r>
      <w:r w:rsidR="0011309F" w:rsidRPr="00A47F4F">
        <w:rPr>
          <w:rFonts w:cs="Arial"/>
          <w:b/>
        </w:rPr>
        <w:t xml:space="preserve">Pregnancy Category B3 </w:t>
      </w:r>
    </w:p>
    <w:p w:rsidR="00085F33" w:rsidRPr="00A47F4F" w:rsidRDefault="0011309F">
      <w:pPr>
        <w:spacing w:line="240" w:lineRule="auto"/>
        <w:jc w:val="both"/>
        <w:rPr>
          <w:rFonts w:cs="Arial"/>
          <w:color w:val="000000"/>
        </w:rPr>
      </w:pPr>
      <w:r w:rsidRPr="00A47F4F">
        <w:rPr>
          <w:rFonts w:cs="Arial"/>
          <w:color w:val="000000"/>
        </w:rPr>
        <w:t>Since there are no adequate and well-controlled studies with TECHNIVIE in pregnant women, it should be used during pregnancy only if the benefits outweigh the risks.</w:t>
      </w:r>
    </w:p>
    <w:p w:rsidR="00085F33" w:rsidRPr="00A47F4F" w:rsidRDefault="0011309F">
      <w:pPr>
        <w:spacing w:line="240" w:lineRule="auto"/>
        <w:jc w:val="both"/>
        <w:rPr>
          <w:rFonts w:cs="Arial"/>
          <w:color w:val="000000"/>
        </w:rPr>
      </w:pPr>
      <w:r w:rsidRPr="00A47F4F">
        <w:rPr>
          <w:rFonts w:cs="Arial"/>
          <w:color w:val="000000"/>
        </w:rPr>
        <w:t xml:space="preserve">No effects on </w:t>
      </w:r>
      <w:proofErr w:type="spellStart"/>
      <w:r w:rsidRPr="00A47F4F">
        <w:rPr>
          <w:rFonts w:cs="Arial"/>
          <w:color w:val="000000"/>
        </w:rPr>
        <w:t>embryof</w:t>
      </w:r>
      <w:r w:rsidR="00295663">
        <w:rPr>
          <w:rFonts w:cs="Arial"/>
          <w:color w:val="000000"/>
        </w:rPr>
        <w:t>o</w:t>
      </w:r>
      <w:r w:rsidRPr="00A47F4F">
        <w:rPr>
          <w:rFonts w:cs="Arial"/>
          <w:color w:val="000000"/>
        </w:rPr>
        <w:t>etal</w:t>
      </w:r>
      <w:proofErr w:type="spellEnd"/>
      <w:r w:rsidRPr="00A47F4F">
        <w:rPr>
          <w:rFonts w:cs="Arial"/>
          <w:color w:val="000000"/>
        </w:rPr>
        <w:t xml:space="preserve"> development have been noted in studies in animals with </w:t>
      </w:r>
      <w:proofErr w:type="spellStart"/>
      <w:r w:rsidRPr="00A47F4F">
        <w:rPr>
          <w:rFonts w:cs="Arial"/>
          <w:color w:val="000000"/>
        </w:rPr>
        <w:t>paritaprevir</w:t>
      </w:r>
      <w:proofErr w:type="spellEnd"/>
      <w:r w:rsidRPr="00A47F4F">
        <w:rPr>
          <w:rFonts w:cs="Arial"/>
          <w:color w:val="000000"/>
        </w:rPr>
        <w:t xml:space="preserve">/ritonavir (in combination), </w:t>
      </w:r>
      <w:proofErr w:type="spellStart"/>
      <w:r w:rsidRPr="00A47F4F">
        <w:rPr>
          <w:rFonts w:cs="Arial"/>
          <w:color w:val="000000"/>
        </w:rPr>
        <w:t>ombitasvir</w:t>
      </w:r>
      <w:proofErr w:type="spellEnd"/>
      <w:r w:rsidRPr="00A47F4F">
        <w:rPr>
          <w:rFonts w:cs="Arial"/>
          <w:color w:val="000000"/>
        </w:rPr>
        <w:t xml:space="preserve"> and its major inactive human metabolites (M29, M36).  For </w:t>
      </w:r>
      <w:proofErr w:type="spellStart"/>
      <w:r w:rsidRPr="00A47F4F">
        <w:rPr>
          <w:rFonts w:cs="Arial"/>
          <w:color w:val="000000"/>
        </w:rPr>
        <w:t>paritaprevir</w:t>
      </w:r>
      <w:proofErr w:type="spellEnd"/>
      <w:r w:rsidRPr="00A47F4F">
        <w:rPr>
          <w:rFonts w:cs="Arial"/>
          <w:color w:val="000000"/>
        </w:rPr>
        <w:t xml:space="preserve">/ritonavir, the highest doses tested produced exposures equal to </w:t>
      </w:r>
      <w:r w:rsidR="00CC7307" w:rsidRPr="00A47F4F">
        <w:rPr>
          <w:rFonts w:cs="Arial"/>
          <w:color w:val="000000"/>
        </w:rPr>
        <w:t>143</w:t>
      </w:r>
      <w:r w:rsidRPr="00A47F4F">
        <w:rPr>
          <w:rFonts w:cs="Arial"/>
          <w:color w:val="000000"/>
        </w:rPr>
        <w:t xml:space="preserve">-fold (mouse) or </w:t>
      </w:r>
      <w:r w:rsidR="00CC7307" w:rsidRPr="00A47F4F">
        <w:rPr>
          <w:rFonts w:cs="Arial"/>
          <w:color w:val="000000"/>
        </w:rPr>
        <w:t>12</w:t>
      </w:r>
      <w:r w:rsidRPr="00A47F4F">
        <w:rPr>
          <w:rFonts w:cs="Arial"/>
          <w:color w:val="000000"/>
        </w:rPr>
        <w:t xml:space="preserve">-fold (rat) for </w:t>
      </w:r>
      <w:proofErr w:type="spellStart"/>
      <w:r w:rsidRPr="00A47F4F">
        <w:rPr>
          <w:rFonts w:cs="Arial"/>
          <w:color w:val="000000"/>
        </w:rPr>
        <w:t>paritaprevir</w:t>
      </w:r>
      <w:proofErr w:type="spellEnd"/>
      <w:r w:rsidRPr="00A47F4F">
        <w:rPr>
          <w:rFonts w:cs="Arial"/>
          <w:color w:val="000000"/>
        </w:rPr>
        <w:t xml:space="preserve"> </w:t>
      </w:r>
      <w:r w:rsidR="00E231F1">
        <w:rPr>
          <w:rFonts w:cs="Arial"/>
          <w:color w:val="000000"/>
        </w:rPr>
        <w:t>(</w:t>
      </w:r>
      <w:r w:rsidRPr="00A47F4F">
        <w:rPr>
          <w:rFonts w:cs="Arial"/>
          <w:color w:val="000000"/>
        </w:rPr>
        <w:t xml:space="preserve">and </w:t>
      </w:r>
      <w:r w:rsidR="00E231F1">
        <w:rPr>
          <w:rFonts w:cs="Arial"/>
          <w:color w:val="000000"/>
        </w:rPr>
        <w:t>6</w:t>
      </w:r>
      <w:r w:rsidRPr="00A47F4F">
        <w:rPr>
          <w:rFonts w:cs="Arial"/>
          <w:color w:val="000000"/>
        </w:rPr>
        <w:t xml:space="preserve">-fold (mouse) or 3-fold (rat) for ritonavir) the exposures in humans at the recommended clinical doses.  For </w:t>
      </w:r>
      <w:proofErr w:type="spellStart"/>
      <w:r w:rsidRPr="00A47F4F">
        <w:rPr>
          <w:rFonts w:cs="Arial"/>
          <w:color w:val="000000"/>
        </w:rPr>
        <w:t>ombitasvir</w:t>
      </w:r>
      <w:proofErr w:type="spellEnd"/>
      <w:r w:rsidRPr="00A47F4F">
        <w:rPr>
          <w:rFonts w:cs="Arial"/>
          <w:color w:val="000000"/>
        </w:rPr>
        <w:t>, the highest dose tested produced exposures equal to 2</w:t>
      </w:r>
      <w:r w:rsidR="00872FA5" w:rsidRPr="00A47F4F">
        <w:rPr>
          <w:rFonts w:cs="Arial"/>
          <w:color w:val="000000"/>
        </w:rPr>
        <w:t>9</w:t>
      </w:r>
      <w:r w:rsidRPr="00A47F4F">
        <w:rPr>
          <w:rFonts w:cs="Arial"/>
          <w:color w:val="000000"/>
        </w:rPr>
        <w:t>-fold (mouse) or 4-fold (rabbit) the exposures in humans at the recommended clinical dose.  The highest doses of the major, inactive human metabolites similarly tested produced exposures approximately 26 times higher in mice than in humans at the recommended clinical dose.</w:t>
      </w:r>
    </w:p>
    <w:p w:rsidR="00085F33" w:rsidRPr="00A47F4F" w:rsidRDefault="0011309F">
      <w:pPr>
        <w:spacing w:line="240" w:lineRule="auto"/>
        <w:jc w:val="both"/>
        <w:rPr>
          <w:rFonts w:cs="Arial"/>
          <w:color w:val="000000"/>
        </w:rPr>
      </w:pPr>
      <w:r w:rsidRPr="00A47F4F">
        <w:rPr>
          <w:iCs/>
        </w:rPr>
        <w:lastRenderedPageBreak/>
        <w:t xml:space="preserve">Developmental toxicity has been observed in </w:t>
      </w:r>
      <w:proofErr w:type="spellStart"/>
      <w:r w:rsidRPr="00A47F4F">
        <w:rPr>
          <w:iCs/>
        </w:rPr>
        <w:t>embryof</w:t>
      </w:r>
      <w:r w:rsidR="00295663">
        <w:rPr>
          <w:iCs/>
        </w:rPr>
        <w:t>o</w:t>
      </w:r>
      <w:r w:rsidRPr="00A47F4F">
        <w:rPr>
          <w:iCs/>
        </w:rPr>
        <w:t>etal</w:t>
      </w:r>
      <w:proofErr w:type="spellEnd"/>
      <w:r w:rsidRPr="00A47F4F">
        <w:rPr>
          <w:iCs/>
        </w:rPr>
        <w:t xml:space="preserve"> development studies with ritonavir alone. </w:t>
      </w:r>
      <w:r w:rsidR="00295663">
        <w:rPr>
          <w:iCs/>
        </w:rPr>
        <w:t xml:space="preserve"> </w:t>
      </w:r>
      <w:r w:rsidRPr="00A47F4F">
        <w:rPr>
          <w:iCs/>
        </w:rPr>
        <w:t>In rats, early resorptions, decreased f</w:t>
      </w:r>
      <w:r w:rsidR="00295663">
        <w:rPr>
          <w:iCs/>
        </w:rPr>
        <w:t>o</w:t>
      </w:r>
      <w:r w:rsidRPr="00A47F4F">
        <w:rPr>
          <w:iCs/>
        </w:rPr>
        <w:t xml:space="preserve">etal body weight and ossification delays and developmental variations occurred at a maternally toxic dosage of 75 mg/kg/day (5-fold the exposure in humans at the recommended clinical dose). </w:t>
      </w:r>
      <w:r w:rsidR="00295663">
        <w:rPr>
          <w:iCs/>
        </w:rPr>
        <w:t xml:space="preserve"> </w:t>
      </w:r>
      <w:r w:rsidRPr="00A47F4F">
        <w:rPr>
          <w:iCs/>
        </w:rPr>
        <w:t xml:space="preserve">A slight increase in the incidence of cryptorchidism was also noted in rats given 35 mg/kg/day (4-fold the exposure in humans at the recommended clinical dose). </w:t>
      </w:r>
      <w:r w:rsidR="00295663">
        <w:rPr>
          <w:iCs/>
        </w:rPr>
        <w:t xml:space="preserve"> </w:t>
      </w:r>
      <w:r w:rsidRPr="00A47F4F">
        <w:rPr>
          <w:iCs/>
        </w:rPr>
        <w:t>Developmental toxicity observed in rabbits (</w:t>
      </w:r>
      <w:proofErr w:type="gramStart"/>
      <w:r w:rsidRPr="00A47F4F">
        <w:rPr>
          <w:iCs/>
        </w:rPr>
        <w:t>resorptions,</w:t>
      </w:r>
      <w:proofErr w:type="gramEnd"/>
      <w:r w:rsidRPr="00A47F4F">
        <w:rPr>
          <w:iCs/>
        </w:rPr>
        <w:t xml:space="preserve"> decreased litter size and decreased </w:t>
      </w:r>
      <w:proofErr w:type="spellStart"/>
      <w:r w:rsidRPr="00A47F4F">
        <w:rPr>
          <w:iCs/>
        </w:rPr>
        <w:t>fetal</w:t>
      </w:r>
      <w:proofErr w:type="spellEnd"/>
      <w:r w:rsidRPr="00A47F4F">
        <w:rPr>
          <w:iCs/>
        </w:rPr>
        <w:t xml:space="preserve"> weights) also occurred at a maternally toxic dosage of 110 mg/kg/day.</w:t>
      </w:r>
      <w:r w:rsidR="00295663">
        <w:rPr>
          <w:rFonts w:cs="Arial"/>
          <w:color w:val="000000"/>
        </w:rPr>
        <w:t xml:space="preserve"> </w:t>
      </w:r>
      <w:r w:rsidRPr="00A47F4F">
        <w:rPr>
          <w:rFonts w:cs="Arial"/>
          <w:color w:val="000000"/>
        </w:rPr>
        <w:t xml:space="preserve"> </w:t>
      </w:r>
      <w:r w:rsidRPr="00A47F4F">
        <w:t>Developmental effects have not been identified in humans exposed to ritonavir during pregnancy nor has there been an association with cryptorchidism.</w:t>
      </w:r>
    </w:p>
    <w:p w:rsidR="00085F33" w:rsidRPr="00A47F4F" w:rsidRDefault="0011309F">
      <w:pPr>
        <w:pStyle w:val="Heading2"/>
        <w:keepLines w:val="0"/>
        <w:spacing w:before="120" w:after="120" w:line="240" w:lineRule="auto"/>
        <w:jc w:val="both"/>
        <w:rPr>
          <w:rFonts w:ascii="Arial" w:eastAsia="Times New Roman" w:hAnsi="Arial" w:cs="Times New Roman"/>
          <w:bCs w:val="0"/>
          <w:color w:val="auto"/>
          <w:sz w:val="22"/>
          <w:szCs w:val="22"/>
        </w:rPr>
      </w:pPr>
      <w:r w:rsidRPr="00A47F4F">
        <w:rPr>
          <w:rFonts w:ascii="Arial" w:eastAsia="Times New Roman" w:hAnsi="Arial" w:cs="Times New Roman"/>
          <w:bCs w:val="0"/>
          <w:color w:val="auto"/>
          <w:sz w:val="22"/>
          <w:szCs w:val="22"/>
        </w:rPr>
        <w:t>Use in Lactation</w:t>
      </w:r>
    </w:p>
    <w:p w:rsidR="00085F33" w:rsidRPr="00A47F4F" w:rsidRDefault="0011309F">
      <w:pPr>
        <w:spacing w:line="240" w:lineRule="auto"/>
        <w:jc w:val="both"/>
        <w:rPr>
          <w:rFonts w:eastAsia="Arial" w:cs="Arial"/>
        </w:rPr>
      </w:pPr>
      <w:r w:rsidRPr="00A47F4F">
        <w:rPr>
          <w:rFonts w:cs="Arial"/>
        </w:rPr>
        <w:t xml:space="preserve">It is not known whether </w:t>
      </w:r>
      <w:proofErr w:type="spellStart"/>
      <w:r w:rsidRPr="00A47F4F">
        <w:rPr>
          <w:rFonts w:cs="Arial"/>
        </w:rPr>
        <w:t>p</w:t>
      </w:r>
      <w:r w:rsidR="005A385E" w:rsidRPr="00A47F4F">
        <w:rPr>
          <w:rFonts w:cs="Arial"/>
        </w:rPr>
        <w:t>aritaprevir</w:t>
      </w:r>
      <w:proofErr w:type="spellEnd"/>
      <w:r w:rsidR="005A385E" w:rsidRPr="00A47F4F">
        <w:rPr>
          <w:rFonts w:cs="Arial"/>
        </w:rPr>
        <w:t>, ritonavir or</w:t>
      </w:r>
      <w:r w:rsidRPr="00A47F4F">
        <w:rPr>
          <w:rFonts w:cs="Arial"/>
        </w:rPr>
        <w:t xml:space="preserve"> </w:t>
      </w:r>
      <w:proofErr w:type="spellStart"/>
      <w:r w:rsidRPr="00A47F4F">
        <w:rPr>
          <w:rFonts w:cs="Arial"/>
        </w:rPr>
        <w:t>ombitasvir</w:t>
      </w:r>
      <w:proofErr w:type="spellEnd"/>
      <w:r w:rsidRPr="00A47F4F">
        <w:rPr>
          <w:rFonts w:cs="Arial"/>
        </w:rPr>
        <w:t xml:space="preserve">, and their metabolites are excreted in human breast milk.  </w:t>
      </w:r>
      <w:proofErr w:type="spellStart"/>
      <w:r w:rsidRPr="00A47F4F">
        <w:rPr>
          <w:rFonts w:cs="Arial"/>
        </w:rPr>
        <w:t>Paritaprevir</w:t>
      </w:r>
      <w:proofErr w:type="spellEnd"/>
      <w:r w:rsidRPr="00A47F4F">
        <w:rPr>
          <w:rFonts w:cs="Arial"/>
        </w:rPr>
        <w:t xml:space="preserve"> and its hydrolysis product M13, unchanged </w:t>
      </w:r>
      <w:proofErr w:type="spellStart"/>
      <w:r w:rsidRPr="00A47F4F">
        <w:rPr>
          <w:rFonts w:cs="Arial"/>
        </w:rPr>
        <w:t>ombitasvir</w:t>
      </w:r>
      <w:proofErr w:type="spellEnd"/>
      <w:r w:rsidRPr="00A47F4F">
        <w:rPr>
          <w:rFonts w:cs="Arial"/>
        </w:rPr>
        <w:t xml:space="preserve"> were the predominant components observed in the milk of lactating rats, without effect on nursing pups. </w:t>
      </w:r>
    </w:p>
    <w:p w:rsidR="00085F33" w:rsidRPr="00A47F4F" w:rsidRDefault="0011309F">
      <w:pPr>
        <w:spacing w:line="240" w:lineRule="auto"/>
        <w:jc w:val="both"/>
        <w:rPr>
          <w:rFonts w:cs="Arial"/>
        </w:rPr>
      </w:pPr>
      <w:r w:rsidRPr="00A47F4F">
        <w:rPr>
          <w:rFonts w:cs="Arial"/>
        </w:rPr>
        <w:t>Because of the potential for adverse reactions in nursing infants, breast feeding must be discontinued prior to initiation of treatment.</w:t>
      </w:r>
    </w:p>
    <w:p w:rsidR="00085F33" w:rsidRPr="00A47F4F" w:rsidRDefault="0011309F">
      <w:pPr>
        <w:pStyle w:val="Heading2"/>
        <w:keepLines w:val="0"/>
        <w:spacing w:before="120" w:after="120" w:line="240" w:lineRule="auto"/>
        <w:jc w:val="both"/>
        <w:rPr>
          <w:rFonts w:ascii="Arial" w:eastAsia="Times New Roman" w:hAnsi="Arial" w:cs="Times New Roman"/>
          <w:bCs w:val="0"/>
          <w:color w:val="auto"/>
          <w:sz w:val="22"/>
          <w:szCs w:val="22"/>
        </w:rPr>
      </w:pPr>
      <w:bookmarkStart w:id="42" w:name="_Toc383787404"/>
      <w:r w:rsidRPr="00A47F4F">
        <w:rPr>
          <w:rFonts w:ascii="Arial" w:eastAsia="Times New Roman" w:hAnsi="Arial" w:cs="Times New Roman"/>
          <w:bCs w:val="0"/>
          <w:color w:val="auto"/>
          <w:sz w:val="22"/>
          <w:szCs w:val="22"/>
        </w:rPr>
        <w:t>Paediatric Use</w:t>
      </w:r>
      <w:bookmarkEnd w:id="42"/>
    </w:p>
    <w:p w:rsidR="00085F33" w:rsidRPr="00A47F4F" w:rsidRDefault="0011309F">
      <w:pPr>
        <w:spacing w:line="240" w:lineRule="auto"/>
        <w:jc w:val="both"/>
        <w:rPr>
          <w:rFonts w:cs="Arial"/>
          <w:spacing w:val="1"/>
        </w:rPr>
      </w:pPr>
      <w:r w:rsidRPr="00A47F4F">
        <w:rPr>
          <w:rFonts w:cs="Arial"/>
        </w:rPr>
        <w:t xml:space="preserve">Safety and effectiveness of TECHNIVIE in children less than 18 years of age have not been established. </w:t>
      </w:r>
    </w:p>
    <w:p w:rsidR="00085F33" w:rsidRPr="00A47F4F" w:rsidRDefault="0011309F">
      <w:pPr>
        <w:pStyle w:val="Heading2"/>
        <w:keepLines w:val="0"/>
        <w:spacing w:before="120" w:after="120" w:line="240" w:lineRule="auto"/>
        <w:jc w:val="both"/>
        <w:rPr>
          <w:rFonts w:ascii="Arial" w:eastAsia="Times New Roman" w:hAnsi="Arial" w:cs="Times New Roman"/>
          <w:bCs w:val="0"/>
          <w:color w:val="auto"/>
          <w:sz w:val="22"/>
          <w:szCs w:val="22"/>
        </w:rPr>
      </w:pPr>
      <w:bookmarkStart w:id="43" w:name="_Toc383787405"/>
      <w:r w:rsidRPr="00A47F4F">
        <w:rPr>
          <w:rFonts w:ascii="Arial" w:eastAsia="Times New Roman" w:hAnsi="Arial" w:cs="Times New Roman"/>
          <w:bCs w:val="0"/>
          <w:color w:val="auto"/>
          <w:sz w:val="22"/>
          <w:szCs w:val="22"/>
        </w:rPr>
        <w:t>Use in the Elderly</w:t>
      </w:r>
      <w:bookmarkEnd w:id="43"/>
    </w:p>
    <w:p w:rsidR="00085F33" w:rsidRPr="00A47F4F" w:rsidRDefault="0011309F" w:rsidP="00B94C5A">
      <w:pPr>
        <w:spacing w:line="240" w:lineRule="auto"/>
        <w:rPr>
          <w:rFonts w:cs="Arial"/>
        </w:rPr>
      </w:pPr>
      <w:r w:rsidRPr="00A47F4F">
        <w:rPr>
          <w:rFonts w:cs="Arial"/>
        </w:rPr>
        <w:t xml:space="preserve">No dose adjustment of TECHNIVIE is warranted in elderly patients. </w:t>
      </w:r>
      <w:r w:rsidR="00295663">
        <w:rPr>
          <w:rFonts w:cs="Arial"/>
        </w:rPr>
        <w:t xml:space="preserve"> </w:t>
      </w:r>
      <w:r w:rsidR="00B94C5A" w:rsidRPr="00A47F4F">
        <w:rPr>
          <w:rFonts w:cs="Arial"/>
        </w:rPr>
        <w:t>In Phase 3 clinical trials</w:t>
      </w:r>
      <w:r w:rsidR="00515E7C">
        <w:rPr>
          <w:rFonts w:cs="Arial"/>
        </w:rPr>
        <w:t xml:space="preserve"> in genotype 1-infected </w:t>
      </w:r>
      <w:proofErr w:type="gramStart"/>
      <w:r w:rsidR="00515E7C">
        <w:rPr>
          <w:rFonts w:cs="Arial"/>
        </w:rPr>
        <w:t xml:space="preserve">patients </w:t>
      </w:r>
      <w:r w:rsidR="00B94C5A" w:rsidRPr="00A47F4F">
        <w:rPr>
          <w:rFonts w:cs="Arial"/>
        </w:rPr>
        <w:t>,</w:t>
      </w:r>
      <w:proofErr w:type="gramEnd"/>
      <w:r w:rsidR="00B94C5A" w:rsidRPr="00A47F4F">
        <w:rPr>
          <w:rFonts w:cs="Arial"/>
        </w:rPr>
        <w:t xml:space="preserve"> 8.5% (174/2053) of subjects were age 65 or over. </w:t>
      </w:r>
      <w:r w:rsidR="00295663">
        <w:rPr>
          <w:rFonts w:cs="Arial"/>
        </w:rPr>
        <w:t xml:space="preserve"> </w:t>
      </w:r>
      <w:r w:rsidR="00B94C5A" w:rsidRPr="00A47F4F">
        <w:rPr>
          <w:rFonts w:cs="Arial"/>
        </w:rPr>
        <w:t xml:space="preserve">No overall differences in safety or effectiveness were observed between these subjects and younger subjects, and other reported clinical experience has not identified differences in responses between the elderly and younger subjects. </w:t>
      </w:r>
      <w:r w:rsidR="00295663">
        <w:rPr>
          <w:rFonts w:cs="Arial"/>
        </w:rPr>
        <w:t xml:space="preserve"> </w:t>
      </w:r>
      <w:r w:rsidR="00B94C5A" w:rsidRPr="00A47F4F">
        <w:rPr>
          <w:rFonts w:cs="Arial"/>
        </w:rPr>
        <w:t>The safety and effectiveness of TECHNIVIE has not been established in patients aged 70 years or over.</w:t>
      </w:r>
    </w:p>
    <w:p w:rsidR="00085F33" w:rsidRPr="00A47F4F" w:rsidRDefault="0011309F">
      <w:pPr>
        <w:pStyle w:val="Heading2"/>
        <w:keepLines w:val="0"/>
        <w:spacing w:before="120" w:after="120" w:line="240" w:lineRule="auto"/>
        <w:jc w:val="both"/>
        <w:rPr>
          <w:rFonts w:ascii="Arial" w:eastAsia="Times New Roman" w:hAnsi="Arial" w:cs="Times New Roman"/>
          <w:bCs w:val="0"/>
          <w:color w:val="auto"/>
          <w:sz w:val="22"/>
          <w:szCs w:val="22"/>
        </w:rPr>
      </w:pPr>
      <w:bookmarkStart w:id="44" w:name="_Toc383787407"/>
      <w:r w:rsidRPr="00A47F4F">
        <w:rPr>
          <w:rFonts w:ascii="Arial" w:eastAsia="Times New Roman" w:hAnsi="Arial" w:cs="Times New Roman"/>
          <w:bCs w:val="0"/>
          <w:color w:val="auto"/>
          <w:sz w:val="22"/>
          <w:szCs w:val="22"/>
        </w:rPr>
        <w:t>Genotoxicity</w:t>
      </w:r>
      <w:bookmarkEnd w:id="44"/>
    </w:p>
    <w:p w:rsidR="00085F33" w:rsidRPr="00A47F4F" w:rsidRDefault="0011309F">
      <w:pPr>
        <w:spacing w:line="240" w:lineRule="auto"/>
        <w:jc w:val="both"/>
        <w:rPr>
          <w:rFonts w:eastAsia="MS Mincho" w:cs="Arial"/>
          <w:i/>
          <w:lang w:eastAsia="ja-JP"/>
        </w:rPr>
      </w:pPr>
      <w:proofErr w:type="spellStart"/>
      <w:r w:rsidRPr="00A47F4F">
        <w:rPr>
          <w:rFonts w:eastAsia="MS Mincho" w:cs="Arial"/>
          <w:i/>
          <w:lang w:eastAsia="ja-JP"/>
        </w:rPr>
        <w:t>Paritaprevir</w:t>
      </w:r>
      <w:proofErr w:type="spellEnd"/>
    </w:p>
    <w:p w:rsidR="00085F33" w:rsidRPr="00A47F4F" w:rsidRDefault="0011309F">
      <w:pPr>
        <w:spacing w:line="240" w:lineRule="auto"/>
        <w:jc w:val="both"/>
        <w:rPr>
          <w:rFonts w:cs="Arial"/>
        </w:rPr>
      </w:pPr>
      <w:proofErr w:type="spellStart"/>
      <w:r w:rsidRPr="00A47F4F">
        <w:rPr>
          <w:rFonts w:cs="Arial"/>
        </w:rPr>
        <w:t>Paritaprevir</w:t>
      </w:r>
      <w:proofErr w:type="spellEnd"/>
      <w:r w:rsidRPr="00A47F4F">
        <w:rPr>
          <w:rFonts w:cs="Arial"/>
        </w:rPr>
        <w:t xml:space="preserve"> was positive in an </w:t>
      </w:r>
      <w:r w:rsidRPr="00A47F4F">
        <w:rPr>
          <w:rFonts w:cs="Arial"/>
          <w:i/>
        </w:rPr>
        <w:t>in vitro</w:t>
      </w:r>
      <w:r w:rsidRPr="00A47F4F">
        <w:rPr>
          <w:rFonts w:cs="Arial"/>
        </w:rPr>
        <w:t xml:space="preserve"> human chromosome aberration test. </w:t>
      </w:r>
      <w:r w:rsidR="00295663">
        <w:rPr>
          <w:rFonts w:cs="Arial"/>
        </w:rPr>
        <w:t xml:space="preserve"> </w:t>
      </w:r>
      <w:proofErr w:type="spellStart"/>
      <w:r w:rsidRPr="00A47F4F">
        <w:rPr>
          <w:rFonts w:cs="Arial"/>
        </w:rPr>
        <w:t>Paritaprevir</w:t>
      </w:r>
      <w:proofErr w:type="spellEnd"/>
      <w:r w:rsidRPr="00A47F4F">
        <w:rPr>
          <w:rFonts w:cs="Arial"/>
        </w:rPr>
        <w:t xml:space="preserve"> was negative in a bacterial mutation assay, and in two </w:t>
      </w:r>
      <w:r w:rsidRPr="00A47F4F">
        <w:rPr>
          <w:rFonts w:cs="Arial"/>
          <w:i/>
        </w:rPr>
        <w:t>in vivo</w:t>
      </w:r>
      <w:r w:rsidRPr="00A47F4F">
        <w:rPr>
          <w:rFonts w:cs="Arial"/>
        </w:rPr>
        <w:t xml:space="preserve"> genetic toxicology assays (rat bone marrow micronucleus and rat liver Comet tests).</w:t>
      </w:r>
    </w:p>
    <w:p w:rsidR="00085F33" w:rsidRPr="00A47F4F" w:rsidRDefault="0011309F">
      <w:pPr>
        <w:spacing w:line="240" w:lineRule="auto"/>
        <w:jc w:val="both"/>
        <w:rPr>
          <w:rFonts w:eastAsia="MS Mincho" w:cs="Arial"/>
          <w:i/>
          <w:lang w:eastAsia="ja-JP"/>
        </w:rPr>
      </w:pPr>
      <w:proofErr w:type="spellStart"/>
      <w:r w:rsidRPr="00A47F4F">
        <w:rPr>
          <w:rFonts w:eastAsia="MS Mincho" w:cs="Arial"/>
          <w:i/>
          <w:lang w:eastAsia="ja-JP"/>
        </w:rPr>
        <w:t>Ombitasvir</w:t>
      </w:r>
      <w:proofErr w:type="spellEnd"/>
    </w:p>
    <w:p w:rsidR="00085F33" w:rsidRPr="00A47F4F" w:rsidRDefault="0011309F">
      <w:pPr>
        <w:spacing w:line="240" w:lineRule="auto"/>
        <w:jc w:val="both"/>
        <w:rPr>
          <w:rFonts w:cs="Arial"/>
        </w:rPr>
      </w:pPr>
      <w:proofErr w:type="spellStart"/>
      <w:r w:rsidRPr="00A47F4F">
        <w:rPr>
          <w:rFonts w:cs="Arial"/>
        </w:rPr>
        <w:t>Ombitasvir</w:t>
      </w:r>
      <w:proofErr w:type="spellEnd"/>
      <w:r w:rsidRPr="00A47F4F">
        <w:rPr>
          <w:rFonts w:cs="Arial"/>
        </w:rPr>
        <w:t xml:space="preserve"> and its major inactive human metabolites (M29, M36) were not genotoxic in a battery of </w:t>
      </w:r>
      <w:r w:rsidRPr="00A47F4F">
        <w:rPr>
          <w:rFonts w:cs="Arial"/>
          <w:i/>
        </w:rPr>
        <w:t>in vitro</w:t>
      </w:r>
      <w:r w:rsidRPr="00A47F4F">
        <w:rPr>
          <w:rFonts w:cs="Arial"/>
        </w:rPr>
        <w:t xml:space="preserve"> or </w:t>
      </w:r>
      <w:r w:rsidRPr="00A47F4F">
        <w:rPr>
          <w:rFonts w:cs="Arial"/>
          <w:i/>
        </w:rPr>
        <w:t>in vivo</w:t>
      </w:r>
      <w:r w:rsidRPr="00A47F4F">
        <w:rPr>
          <w:rFonts w:cs="Arial"/>
        </w:rPr>
        <w:t xml:space="preserve"> assays, including bacterial mutagenicity, chromosome aberration using human peripheral blood lymphocytes and in vivo mouse micronucleus assays.</w:t>
      </w:r>
    </w:p>
    <w:p w:rsidR="00085F33" w:rsidRPr="00A47F4F" w:rsidRDefault="0011309F">
      <w:pPr>
        <w:autoSpaceDE w:val="0"/>
        <w:autoSpaceDN w:val="0"/>
        <w:adjustRightInd w:val="0"/>
        <w:spacing w:after="0" w:line="240" w:lineRule="auto"/>
        <w:rPr>
          <w:rFonts w:ascii="Calibri" w:hAnsi="Calibri" w:cs="Calibri"/>
          <w:i/>
          <w:iCs/>
          <w:color w:val="000000"/>
        </w:rPr>
      </w:pPr>
      <w:r w:rsidRPr="00A47F4F">
        <w:rPr>
          <w:rFonts w:ascii="Calibri" w:hAnsi="Calibri" w:cs="Calibri"/>
          <w:i/>
          <w:iCs/>
          <w:color w:val="000000"/>
        </w:rPr>
        <w:t xml:space="preserve">Ritonavir </w:t>
      </w:r>
    </w:p>
    <w:p w:rsidR="00085F33" w:rsidRPr="00A47F4F" w:rsidRDefault="00085F33">
      <w:pPr>
        <w:autoSpaceDE w:val="0"/>
        <w:autoSpaceDN w:val="0"/>
        <w:adjustRightInd w:val="0"/>
        <w:spacing w:after="0" w:line="240" w:lineRule="auto"/>
        <w:rPr>
          <w:rFonts w:ascii="Calibri" w:hAnsi="Calibri" w:cs="Calibri"/>
          <w:color w:val="000000"/>
        </w:rPr>
      </w:pPr>
    </w:p>
    <w:p w:rsidR="00085F33" w:rsidRPr="00A47F4F" w:rsidRDefault="0011309F">
      <w:pPr>
        <w:spacing w:line="240" w:lineRule="auto"/>
        <w:jc w:val="both"/>
        <w:rPr>
          <w:rFonts w:ascii="Calibri" w:hAnsi="Calibri" w:cs="Calibri"/>
        </w:rPr>
      </w:pPr>
      <w:r w:rsidRPr="00A47F4F">
        <w:rPr>
          <w:rFonts w:ascii="Calibri" w:hAnsi="Calibri" w:cs="Calibri"/>
          <w:iCs/>
          <w:color w:val="000000"/>
        </w:rPr>
        <w:t>Ritonavir showed no mutagenic potential in a series of assays for gene mutations (</w:t>
      </w:r>
      <w:r w:rsidRPr="00BA2CE7">
        <w:rPr>
          <w:rFonts w:ascii="Calibri" w:hAnsi="Calibri" w:cs="Calibri"/>
          <w:i/>
          <w:iCs/>
          <w:color w:val="000000"/>
        </w:rPr>
        <w:t>S. typhimurium, E. coli</w:t>
      </w:r>
      <w:r w:rsidRPr="00A47F4F">
        <w:rPr>
          <w:rFonts w:ascii="Calibri" w:hAnsi="Calibri" w:cs="Calibri"/>
          <w:iCs/>
          <w:color w:val="000000"/>
        </w:rPr>
        <w:t xml:space="preserve"> and mouse lymphoma cells) and chromosomal damage (mouse micronucleus assay in-vivo and human lymphocytes </w:t>
      </w:r>
      <w:r w:rsidRPr="00A47F4F">
        <w:rPr>
          <w:rFonts w:ascii="Calibri" w:hAnsi="Calibri" w:cs="Calibri"/>
          <w:i/>
          <w:iCs/>
          <w:color w:val="000000"/>
        </w:rPr>
        <w:t>in-vitro</w:t>
      </w:r>
      <w:r w:rsidRPr="00A47F4F">
        <w:rPr>
          <w:rFonts w:ascii="Calibri" w:hAnsi="Calibri" w:cs="Calibri"/>
          <w:iCs/>
          <w:color w:val="000000"/>
        </w:rPr>
        <w:t>).</w:t>
      </w:r>
    </w:p>
    <w:p w:rsidR="00085F33" w:rsidRPr="00A47F4F" w:rsidRDefault="0011309F">
      <w:pPr>
        <w:pStyle w:val="Heading2"/>
        <w:keepLines w:val="0"/>
        <w:spacing w:before="120" w:after="120" w:line="240" w:lineRule="auto"/>
        <w:jc w:val="both"/>
        <w:rPr>
          <w:rFonts w:ascii="Arial" w:eastAsia="Times New Roman" w:hAnsi="Arial" w:cs="Times New Roman"/>
          <w:bCs w:val="0"/>
          <w:color w:val="auto"/>
          <w:sz w:val="22"/>
          <w:szCs w:val="22"/>
        </w:rPr>
      </w:pPr>
      <w:bookmarkStart w:id="45" w:name="_Toc383787408"/>
      <w:r w:rsidRPr="00A47F4F">
        <w:rPr>
          <w:rFonts w:ascii="Arial" w:eastAsia="Times New Roman" w:hAnsi="Arial" w:cs="Times New Roman"/>
          <w:bCs w:val="0"/>
          <w:color w:val="auto"/>
          <w:sz w:val="22"/>
          <w:szCs w:val="22"/>
        </w:rPr>
        <w:t>Carcinogenicity</w:t>
      </w:r>
      <w:bookmarkEnd w:id="45"/>
    </w:p>
    <w:p w:rsidR="00085F33" w:rsidRPr="00A47F4F" w:rsidRDefault="0011309F">
      <w:pPr>
        <w:spacing w:line="240" w:lineRule="auto"/>
        <w:jc w:val="both"/>
        <w:rPr>
          <w:rFonts w:cs="Arial"/>
        </w:rPr>
      </w:pPr>
      <w:proofErr w:type="spellStart"/>
      <w:r w:rsidRPr="00A47F4F">
        <w:rPr>
          <w:rFonts w:cs="Arial"/>
        </w:rPr>
        <w:t>Paritaprevir</w:t>
      </w:r>
      <w:proofErr w:type="spellEnd"/>
      <w:r w:rsidRPr="00A47F4F">
        <w:rPr>
          <w:rFonts w:cs="Arial"/>
        </w:rPr>
        <w:t xml:space="preserve">/ritonavir was not carcinogenic in a 6-month transgenic mouse study up to the highest dosage tested (300/30 mg/kg/day), resulting in </w:t>
      </w:r>
      <w:proofErr w:type="spellStart"/>
      <w:r w:rsidRPr="00A47F4F">
        <w:rPr>
          <w:rFonts w:cs="Arial"/>
        </w:rPr>
        <w:t>paritaprevir</w:t>
      </w:r>
      <w:proofErr w:type="spellEnd"/>
      <w:r w:rsidRPr="00A47F4F">
        <w:rPr>
          <w:rFonts w:cs="Arial"/>
        </w:rPr>
        <w:t xml:space="preserve"> and ritonavir AUC exposures approximately </w:t>
      </w:r>
      <w:r w:rsidR="00CC7307" w:rsidRPr="00A47F4F">
        <w:rPr>
          <w:rFonts w:cs="Arial"/>
        </w:rPr>
        <w:t xml:space="preserve">56 </w:t>
      </w:r>
      <w:r w:rsidRPr="00A47F4F">
        <w:rPr>
          <w:rFonts w:cs="Arial"/>
        </w:rPr>
        <w:t xml:space="preserve">and </w:t>
      </w:r>
      <w:r w:rsidR="00CC7307" w:rsidRPr="00A47F4F">
        <w:rPr>
          <w:rFonts w:cs="Arial"/>
        </w:rPr>
        <w:t>6</w:t>
      </w:r>
      <w:r w:rsidRPr="00A47F4F">
        <w:rPr>
          <w:rFonts w:cs="Arial"/>
        </w:rPr>
        <w:t xml:space="preserve">-fold higher, respectively than those in humans at the recommended dose of </w:t>
      </w:r>
      <w:r w:rsidRPr="00A47F4F">
        <w:rPr>
          <w:rFonts w:cs="Arial"/>
        </w:rPr>
        <w:lastRenderedPageBreak/>
        <w:t xml:space="preserve">150/50 mg.  Similarly, </w:t>
      </w:r>
      <w:proofErr w:type="spellStart"/>
      <w:r w:rsidRPr="00A47F4F">
        <w:rPr>
          <w:rFonts w:cs="Arial"/>
        </w:rPr>
        <w:t>paritaprevir</w:t>
      </w:r>
      <w:proofErr w:type="spellEnd"/>
      <w:r w:rsidRPr="00A47F4F">
        <w:rPr>
          <w:rFonts w:cs="Arial"/>
        </w:rPr>
        <w:t xml:space="preserve">/ritonavir was not carcinogenic in a 2-year rat study up to the highest dosage tested (300/30 mg/kg/day), resulting in </w:t>
      </w:r>
      <w:proofErr w:type="spellStart"/>
      <w:r w:rsidRPr="00A47F4F">
        <w:rPr>
          <w:rFonts w:cs="Arial"/>
        </w:rPr>
        <w:t>paritaprevir</w:t>
      </w:r>
      <w:proofErr w:type="spellEnd"/>
      <w:r w:rsidRPr="00A47F4F">
        <w:rPr>
          <w:rFonts w:cs="Arial"/>
        </w:rPr>
        <w:t xml:space="preserve">/ritonavir AUC exposures approximately </w:t>
      </w:r>
      <w:r w:rsidR="00CC7307" w:rsidRPr="00A47F4F">
        <w:rPr>
          <w:rFonts w:cs="Arial"/>
        </w:rPr>
        <w:t>14</w:t>
      </w:r>
      <w:r w:rsidRPr="00A47F4F">
        <w:rPr>
          <w:rFonts w:cs="Arial"/>
        </w:rPr>
        <w:t>/</w:t>
      </w:r>
      <w:r w:rsidR="00CC7307" w:rsidRPr="00A47F4F">
        <w:rPr>
          <w:rFonts w:cs="Arial"/>
        </w:rPr>
        <w:t>6</w:t>
      </w:r>
      <w:r w:rsidRPr="00A47F4F">
        <w:rPr>
          <w:rFonts w:cs="Arial"/>
        </w:rPr>
        <w:t>-fold higher than those in humans at 150/50 mg.</w:t>
      </w:r>
    </w:p>
    <w:p w:rsidR="00085F33" w:rsidRPr="00A47F4F" w:rsidRDefault="0011309F">
      <w:pPr>
        <w:spacing w:line="240" w:lineRule="auto"/>
        <w:jc w:val="both"/>
        <w:rPr>
          <w:rFonts w:cs="Arial"/>
        </w:rPr>
      </w:pPr>
      <w:r w:rsidRPr="00A47F4F">
        <w:rPr>
          <w:iCs/>
        </w:rPr>
        <w:t xml:space="preserve">Two-year carcinogenicity studies have been conducted in rodents with ritonavir alone at dietary levels of 50, 100 and 200 mg/kg/day in mice, and 7, 15 and 30 mg/kg/day in rats. </w:t>
      </w:r>
      <w:r w:rsidR="00295663">
        <w:rPr>
          <w:iCs/>
        </w:rPr>
        <w:t xml:space="preserve"> </w:t>
      </w:r>
      <w:r w:rsidRPr="00A47F4F">
        <w:rPr>
          <w:iCs/>
        </w:rPr>
        <w:t xml:space="preserve">In male mice there was a dose-dependent increase in the incidence of hepatocellular adenomas, and adenomas and carcinomas combined, both reaching statistical significance only at the high-dose. </w:t>
      </w:r>
      <w:r w:rsidR="00295663">
        <w:rPr>
          <w:iCs/>
        </w:rPr>
        <w:t xml:space="preserve"> </w:t>
      </w:r>
      <w:r w:rsidRPr="00A47F4F">
        <w:rPr>
          <w:iCs/>
        </w:rPr>
        <w:t xml:space="preserve">In female mice there were small, statistically significant increases in these tumour incidences only at the high-dose. </w:t>
      </w:r>
      <w:r w:rsidR="00295663">
        <w:rPr>
          <w:iCs/>
        </w:rPr>
        <w:t xml:space="preserve"> </w:t>
      </w:r>
      <w:r w:rsidRPr="00A47F4F">
        <w:rPr>
          <w:iCs/>
        </w:rPr>
        <w:t>In rats, there were no tumorigenic effects.</w:t>
      </w:r>
    </w:p>
    <w:p w:rsidR="00085F33" w:rsidRPr="00A47F4F" w:rsidRDefault="0011309F">
      <w:pPr>
        <w:spacing w:line="240" w:lineRule="auto"/>
        <w:jc w:val="both"/>
        <w:rPr>
          <w:rFonts w:cs="Arial"/>
        </w:rPr>
      </w:pPr>
      <w:proofErr w:type="spellStart"/>
      <w:r w:rsidRPr="00A47F4F">
        <w:rPr>
          <w:rFonts w:cs="Arial"/>
        </w:rPr>
        <w:t>Ombitasvir</w:t>
      </w:r>
      <w:proofErr w:type="spellEnd"/>
      <w:r w:rsidRPr="00A47F4F">
        <w:rPr>
          <w:rFonts w:cs="Arial"/>
        </w:rPr>
        <w:t xml:space="preserve"> was not carcinogenic in a 6-month transgenic mouse study up to the highest dosage tested (150 mg/kg/day), resulting in </w:t>
      </w:r>
      <w:proofErr w:type="spellStart"/>
      <w:r w:rsidRPr="00A47F4F">
        <w:rPr>
          <w:rFonts w:cs="Arial"/>
        </w:rPr>
        <w:t>ombitasvir</w:t>
      </w:r>
      <w:proofErr w:type="spellEnd"/>
      <w:r w:rsidRPr="00A47F4F">
        <w:rPr>
          <w:rFonts w:cs="Arial"/>
        </w:rPr>
        <w:t xml:space="preserve"> AUC exposures approximately 26-fold higher than those in humans at the recommended clinical dose of 25 mg. </w:t>
      </w:r>
      <w:r w:rsidR="00295663">
        <w:rPr>
          <w:rFonts w:cs="Arial"/>
        </w:rPr>
        <w:t xml:space="preserve"> </w:t>
      </w:r>
      <w:r w:rsidRPr="00A47F4F">
        <w:t xml:space="preserve">Similarly, </w:t>
      </w:r>
      <w:proofErr w:type="spellStart"/>
      <w:r w:rsidRPr="00A47F4F">
        <w:t>ombitasvir</w:t>
      </w:r>
      <w:proofErr w:type="spellEnd"/>
      <w:r w:rsidRPr="00A47F4F">
        <w:t xml:space="preserve"> was not carcinogenic in a 2-year rat study up to the highest dose tested (30 mg per kg per day), resulting in </w:t>
      </w:r>
      <w:proofErr w:type="spellStart"/>
      <w:r w:rsidRPr="00A47F4F">
        <w:t>ombitasvir</w:t>
      </w:r>
      <w:proofErr w:type="spellEnd"/>
      <w:r w:rsidRPr="00A47F4F">
        <w:t xml:space="preserve"> exposures approximately 1</w:t>
      </w:r>
      <w:r w:rsidR="00E231F1">
        <w:t>7</w:t>
      </w:r>
      <w:r w:rsidRPr="00A47F4F">
        <w:t>-fold higher than those in humans at 25 mg.</w:t>
      </w:r>
    </w:p>
    <w:p w:rsidR="00085F33" w:rsidRPr="00A47F4F" w:rsidRDefault="0011309F">
      <w:pPr>
        <w:pStyle w:val="Heading2Unnumbered"/>
        <w:rPr>
          <w:sz w:val="22"/>
          <w:szCs w:val="22"/>
          <w:lang w:val="en-AU"/>
        </w:rPr>
      </w:pPr>
      <w:bookmarkStart w:id="46" w:name="_Toc383787409"/>
      <w:r w:rsidRPr="00A47F4F">
        <w:rPr>
          <w:sz w:val="22"/>
          <w:szCs w:val="22"/>
          <w:lang w:val="en-AU"/>
        </w:rPr>
        <w:t>Effect on Laboratory Tests</w:t>
      </w:r>
      <w:bookmarkEnd w:id="46"/>
    </w:p>
    <w:p w:rsidR="00085F33" w:rsidRPr="00A47F4F" w:rsidRDefault="0011309F">
      <w:pPr>
        <w:spacing w:line="240" w:lineRule="auto"/>
        <w:jc w:val="both"/>
        <w:rPr>
          <w:rFonts w:eastAsia="MS Mincho" w:cs="Arial"/>
          <w:u w:val="single"/>
          <w:lang w:eastAsia="ja-JP"/>
        </w:rPr>
      </w:pPr>
      <w:r w:rsidRPr="00A47F4F">
        <w:rPr>
          <w:rFonts w:eastAsia="MS Mincho" w:cs="Arial"/>
          <w:u w:val="single"/>
          <w:lang w:eastAsia="ja-JP"/>
        </w:rPr>
        <w:t>Serum ALT elevations</w:t>
      </w:r>
    </w:p>
    <w:p w:rsidR="00085F33" w:rsidRPr="00A47F4F" w:rsidRDefault="0011309F">
      <w:pPr>
        <w:spacing w:line="240" w:lineRule="auto"/>
        <w:jc w:val="both"/>
        <w:rPr>
          <w:rFonts w:cs="Arial"/>
          <w:iCs/>
        </w:rPr>
      </w:pPr>
      <w:r w:rsidRPr="00A47F4F">
        <w:t xml:space="preserve">None of the 135 HCV GT4 infected subjects </w:t>
      </w:r>
      <w:r w:rsidR="003B0FD7">
        <w:t>without cirrhosis and two (3%) of the 59 subjects with cirrhosis</w:t>
      </w:r>
      <w:r w:rsidR="003B0FD7" w:rsidRPr="00A47F4F">
        <w:t xml:space="preserve"> </w:t>
      </w:r>
      <w:r w:rsidRPr="00A47F4F">
        <w:t>treated with TECHNIVIE experienced post-baseline serum ALT levels greater than 5 times the upper limit of normal (ULN) after starting treatment</w:t>
      </w:r>
      <w:r w:rsidRPr="00A47F4F">
        <w:rPr>
          <w:rFonts w:cs="Arial"/>
          <w:iCs/>
        </w:rPr>
        <w:t xml:space="preserve"> (see PRECAUTIONS).</w:t>
      </w:r>
    </w:p>
    <w:p w:rsidR="00085F33" w:rsidRPr="00A47F4F" w:rsidRDefault="0011309F">
      <w:pPr>
        <w:spacing w:line="240" w:lineRule="auto"/>
        <w:jc w:val="both"/>
        <w:rPr>
          <w:rFonts w:eastAsia="MS Mincho" w:cs="Arial"/>
          <w:u w:val="single"/>
          <w:lang w:eastAsia="ja-JP"/>
        </w:rPr>
      </w:pPr>
      <w:r w:rsidRPr="00A47F4F">
        <w:rPr>
          <w:rFonts w:eastAsia="MS Mincho" w:cs="Arial"/>
          <w:u w:val="single"/>
          <w:lang w:eastAsia="ja-JP"/>
        </w:rPr>
        <w:t xml:space="preserve">Serum Bilirubin Elevations </w:t>
      </w:r>
    </w:p>
    <w:p w:rsidR="00085F33" w:rsidRPr="00A47F4F" w:rsidRDefault="0011309F">
      <w:pPr>
        <w:spacing w:line="240" w:lineRule="auto"/>
        <w:jc w:val="both"/>
        <w:rPr>
          <w:rFonts w:cs="Arial"/>
          <w:iCs/>
        </w:rPr>
      </w:pPr>
      <w:r w:rsidRPr="00A47F4F">
        <w:rPr>
          <w:rFonts w:cs="Arial"/>
          <w:iCs/>
        </w:rPr>
        <w:t xml:space="preserve">Post-baseline elevations in bilirubin at least 2 times ULN were observed in 5% (7/134) of subjects receiving TECHNIVIE; all of whom were also receiving RBV. </w:t>
      </w:r>
      <w:r w:rsidR="00311C3F">
        <w:rPr>
          <w:rFonts w:cs="Arial"/>
          <w:iCs/>
        </w:rPr>
        <w:t xml:space="preserve"> </w:t>
      </w:r>
      <w:r w:rsidRPr="00A47F4F">
        <w:rPr>
          <w:rFonts w:cs="Arial"/>
          <w:iCs/>
        </w:rPr>
        <w:t xml:space="preserve">These bilirubin increases were predominately indirect and related to the inhibition of the bilirubin transporters OATP1B1/1B3 by </w:t>
      </w:r>
      <w:proofErr w:type="spellStart"/>
      <w:r w:rsidRPr="00A47F4F">
        <w:rPr>
          <w:rFonts w:cs="Arial"/>
          <w:iCs/>
        </w:rPr>
        <w:t>paritaprevir</w:t>
      </w:r>
      <w:proofErr w:type="spellEnd"/>
      <w:r w:rsidRPr="00A47F4F">
        <w:rPr>
          <w:rFonts w:cs="Arial"/>
          <w:iCs/>
        </w:rPr>
        <w:t xml:space="preserve"> and possibly ribavirin-induced haemolysis. </w:t>
      </w:r>
      <w:r w:rsidR="00311C3F">
        <w:rPr>
          <w:rFonts w:cs="Arial"/>
          <w:iCs/>
        </w:rPr>
        <w:t xml:space="preserve"> </w:t>
      </w:r>
      <w:r w:rsidRPr="00A47F4F">
        <w:rPr>
          <w:rFonts w:cs="Arial"/>
          <w:iCs/>
        </w:rPr>
        <w:t xml:space="preserve">Bilirubin elevations occurred early after initiation of treatment, peaked by study Week 1, and generally resolved with ongoing therapy. </w:t>
      </w:r>
      <w:r w:rsidR="00311C3F">
        <w:rPr>
          <w:rFonts w:cs="Arial"/>
          <w:iCs/>
        </w:rPr>
        <w:t xml:space="preserve"> </w:t>
      </w:r>
      <w:r w:rsidRPr="00A47F4F">
        <w:rPr>
          <w:rFonts w:cs="Arial"/>
          <w:iCs/>
        </w:rPr>
        <w:t>Bilirubin elevations were generally not associated with serum ALT elevations.</w:t>
      </w:r>
    </w:p>
    <w:p w:rsidR="00085F33" w:rsidRPr="00BA2CE7" w:rsidRDefault="0011309F">
      <w:pPr>
        <w:pStyle w:val="gtcbodytext0"/>
        <w:rPr>
          <w:rFonts w:asciiTheme="minorHAnsi" w:hAnsiTheme="minorHAnsi" w:cstheme="minorHAnsi"/>
          <w:sz w:val="22"/>
          <w:szCs w:val="22"/>
          <w:u w:val="single"/>
        </w:rPr>
      </w:pPr>
      <w:proofErr w:type="spellStart"/>
      <w:r w:rsidRPr="00BA2CE7">
        <w:rPr>
          <w:rFonts w:asciiTheme="minorHAnsi" w:hAnsiTheme="minorHAnsi" w:cstheme="minorHAnsi"/>
          <w:sz w:val="22"/>
          <w:szCs w:val="22"/>
          <w:u w:val="single"/>
        </w:rPr>
        <w:t>An</w:t>
      </w:r>
      <w:r w:rsidR="00BA2CE7" w:rsidRPr="00BA2CE7">
        <w:rPr>
          <w:rFonts w:asciiTheme="minorHAnsi" w:hAnsiTheme="minorHAnsi" w:cstheme="minorHAnsi"/>
          <w:sz w:val="22"/>
          <w:szCs w:val="22"/>
          <w:u w:val="single"/>
        </w:rPr>
        <w:t>a</w:t>
      </w:r>
      <w:r w:rsidRPr="00BA2CE7">
        <w:rPr>
          <w:rFonts w:asciiTheme="minorHAnsi" w:hAnsiTheme="minorHAnsi" w:cstheme="minorHAnsi"/>
          <w:sz w:val="22"/>
          <w:szCs w:val="22"/>
          <w:u w:val="single"/>
        </w:rPr>
        <w:t>emia</w:t>
      </w:r>
      <w:proofErr w:type="spellEnd"/>
      <w:r w:rsidRPr="00BA2CE7">
        <w:rPr>
          <w:rFonts w:asciiTheme="minorHAnsi" w:hAnsiTheme="minorHAnsi" w:cstheme="minorHAnsi"/>
          <w:sz w:val="22"/>
          <w:szCs w:val="22"/>
          <w:u w:val="single"/>
        </w:rPr>
        <w:t xml:space="preserve">/Decreased </w:t>
      </w:r>
      <w:proofErr w:type="spellStart"/>
      <w:r w:rsidRPr="00BA2CE7">
        <w:rPr>
          <w:rFonts w:asciiTheme="minorHAnsi" w:hAnsiTheme="minorHAnsi" w:cstheme="minorHAnsi"/>
          <w:sz w:val="22"/>
          <w:szCs w:val="22"/>
          <w:u w:val="single"/>
        </w:rPr>
        <w:t>H</w:t>
      </w:r>
      <w:r w:rsidR="00434C08" w:rsidRPr="00BA2CE7">
        <w:rPr>
          <w:rFonts w:asciiTheme="minorHAnsi" w:hAnsiTheme="minorHAnsi" w:cstheme="minorHAnsi"/>
          <w:sz w:val="22"/>
          <w:szCs w:val="22"/>
          <w:u w:val="single"/>
        </w:rPr>
        <w:t>a</w:t>
      </w:r>
      <w:r w:rsidRPr="00BA2CE7">
        <w:rPr>
          <w:rFonts w:asciiTheme="minorHAnsi" w:hAnsiTheme="minorHAnsi" w:cstheme="minorHAnsi"/>
          <w:sz w:val="22"/>
          <w:szCs w:val="22"/>
          <w:u w:val="single"/>
        </w:rPr>
        <w:t>emoglobin</w:t>
      </w:r>
      <w:proofErr w:type="spellEnd"/>
      <w:r w:rsidRPr="00BA2CE7">
        <w:rPr>
          <w:rFonts w:asciiTheme="minorHAnsi" w:hAnsiTheme="minorHAnsi" w:cstheme="minorHAnsi"/>
          <w:sz w:val="22"/>
          <w:szCs w:val="22"/>
          <w:u w:val="single"/>
        </w:rPr>
        <w:t xml:space="preserve"> </w:t>
      </w:r>
    </w:p>
    <w:p w:rsidR="00085F33" w:rsidRPr="00A47F4F" w:rsidRDefault="0011309F">
      <w:pPr>
        <w:spacing w:line="240" w:lineRule="auto"/>
        <w:jc w:val="both"/>
        <w:rPr>
          <w:rFonts w:cs="Arial"/>
          <w:color w:val="000000"/>
        </w:rPr>
      </w:pPr>
      <w:bookmarkStart w:id="47" w:name="p299599291437485442"/>
      <w:bookmarkEnd w:id="47"/>
      <w:r w:rsidRPr="00A47F4F">
        <w:t>The mean change from baseline in haemoglobin levels in subjects treated with TECHNIVIE in combination with ribavirin was -2.1 g/</w:t>
      </w:r>
      <w:proofErr w:type="spellStart"/>
      <w:r w:rsidRPr="00A47F4F">
        <w:t>dL</w:t>
      </w:r>
      <w:proofErr w:type="spellEnd"/>
      <w:r w:rsidRPr="00A47F4F">
        <w:t xml:space="preserve"> and the mean change in subjects treated with TECHNIVIE alone was -0.4 g/</w:t>
      </w:r>
      <w:proofErr w:type="spellStart"/>
      <w:r w:rsidRPr="00A47F4F">
        <w:t>dL</w:t>
      </w:r>
      <w:proofErr w:type="spellEnd"/>
      <w:r w:rsidRPr="00A47F4F">
        <w:t xml:space="preserve">. </w:t>
      </w:r>
      <w:r w:rsidR="00311C3F">
        <w:t xml:space="preserve"> </w:t>
      </w:r>
      <w:r w:rsidRPr="00A47F4F">
        <w:t xml:space="preserve">Decreases in haemoglobin levels occurred early in treatment (Week 1-2) with further reductions through Week 3. </w:t>
      </w:r>
      <w:r w:rsidR="00311C3F">
        <w:t xml:space="preserve"> </w:t>
      </w:r>
      <w:r w:rsidRPr="00A47F4F">
        <w:t xml:space="preserve">Haemoglobin values remained low during the remainder of treatment and returned towards baseline levels by post-treatment Week 4. </w:t>
      </w:r>
      <w:r w:rsidR="00311C3F">
        <w:t xml:space="preserve"> </w:t>
      </w:r>
      <w:r w:rsidRPr="00A47F4F">
        <w:t>One subject treated with TECHNIVIE with ribavirin had a single haemoglobin level decrease to less than 8 g/</w:t>
      </w:r>
      <w:proofErr w:type="spellStart"/>
      <w:r w:rsidRPr="00A47F4F">
        <w:t>dL</w:t>
      </w:r>
      <w:proofErr w:type="spellEnd"/>
      <w:r w:rsidRPr="00A47F4F">
        <w:t xml:space="preserve"> during treatment. </w:t>
      </w:r>
      <w:r w:rsidR="00311C3F">
        <w:t xml:space="preserve"> </w:t>
      </w:r>
      <w:r w:rsidRPr="00A47F4F">
        <w:t xml:space="preserve">Four percent (4/91) of subjects treated with TECHNIVIE with ribavirin underwent ribavirin dose reductions to manage anaemia/decreased haemoglobin levels; none received a blood transfusion or erythropoietin. </w:t>
      </w:r>
      <w:r w:rsidR="00311C3F">
        <w:t xml:space="preserve"> </w:t>
      </w:r>
      <w:r w:rsidRPr="00A47F4F">
        <w:t>No subjects treated with TECHNIVIE alone had a haemoglobin level less than 8 g/</w:t>
      </w:r>
      <w:proofErr w:type="spellStart"/>
      <w:r w:rsidRPr="00A47F4F">
        <w:t>dL</w:t>
      </w:r>
      <w:proofErr w:type="spellEnd"/>
      <w:r w:rsidRPr="00A47F4F">
        <w:t>.</w:t>
      </w:r>
    </w:p>
    <w:p w:rsidR="00085F33" w:rsidRPr="00A47F4F" w:rsidRDefault="0011309F">
      <w:pPr>
        <w:pStyle w:val="Heading1"/>
        <w:rPr>
          <w:sz w:val="22"/>
          <w:szCs w:val="22"/>
        </w:rPr>
      </w:pPr>
      <w:bookmarkStart w:id="48" w:name="_Toc383787410"/>
      <w:r w:rsidRPr="00A47F4F">
        <w:rPr>
          <w:sz w:val="22"/>
          <w:szCs w:val="22"/>
        </w:rPr>
        <w:lastRenderedPageBreak/>
        <w:t>INTERACTIONS with other medicines</w:t>
      </w:r>
      <w:bookmarkEnd w:id="48"/>
    </w:p>
    <w:p w:rsidR="00085F33" w:rsidRPr="00A47F4F" w:rsidRDefault="0011309F">
      <w:pPr>
        <w:keepNext/>
        <w:spacing w:line="240" w:lineRule="auto"/>
        <w:jc w:val="both"/>
        <w:rPr>
          <w:rFonts w:eastAsia="TimesNewRoman"/>
          <w:lang w:eastAsia="ja-JP"/>
        </w:rPr>
      </w:pPr>
      <w:r w:rsidRPr="00A47F4F">
        <w:t xml:space="preserve">Also refer to the CONTRAINDICATIONS, </w:t>
      </w:r>
      <w:r w:rsidR="003A7FA0">
        <w:t xml:space="preserve">PRECAUTIONS, </w:t>
      </w:r>
      <w:r w:rsidRPr="00A47F4F">
        <w:t xml:space="preserve">INTERACTIONS WITH </w:t>
      </w:r>
      <w:r w:rsidR="00BA41B3">
        <w:t xml:space="preserve">OTHER MEDICINES SECTION, Table </w:t>
      </w:r>
      <w:r w:rsidR="00B54C47">
        <w:t>5</w:t>
      </w:r>
      <w:r w:rsidR="00702C1A">
        <w:t xml:space="preserve"> </w:t>
      </w:r>
      <w:r w:rsidRPr="00A47F4F">
        <w:t xml:space="preserve">and PHARMACOKINETICS-Implications for Drug Interactions sections. </w:t>
      </w:r>
    </w:p>
    <w:p w:rsidR="00085F33" w:rsidRPr="00A47F4F" w:rsidRDefault="0011309F">
      <w:pPr>
        <w:keepNext/>
        <w:spacing w:line="240" w:lineRule="auto"/>
        <w:jc w:val="both"/>
        <w:rPr>
          <w:rFonts w:eastAsia="TimesNewRoman"/>
          <w:lang w:eastAsia="ja-JP"/>
        </w:rPr>
      </w:pPr>
      <w:r w:rsidRPr="00A47F4F">
        <w:rPr>
          <w:rFonts w:eastAsia="TimesNewRoman"/>
          <w:lang w:eastAsia="ja-JP"/>
        </w:rPr>
        <w:t xml:space="preserve">Recommendations for </w:t>
      </w:r>
      <w:proofErr w:type="spellStart"/>
      <w:r w:rsidRPr="00A47F4F">
        <w:rPr>
          <w:rFonts w:eastAsia="TimesNewRoman"/>
          <w:lang w:eastAsia="ja-JP"/>
        </w:rPr>
        <w:t>coadministration</w:t>
      </w:r>
      <w:proofErr w:type="spellEnd"/>
      <w:r w:rsidRPr="00A47F4F">
        <w:rPr>
          <w:rFonts w:eastAsia="TimesNewRoman"/>
          <w:lang w:eastAsia="ja-JP"/>
        </w:rPr>
        <w:t xml:space="preserve"> of TECHNIVIE for a number of medicinal </w:t>
      </w:r>
      <w:r w:rsidR="00BA41B3">
        <w:rPr>
          <w:rFonts w:eastAsia="TimesNewRoman"/>
          <w:lang w:eastAsia="ja-JP"/>
        </w:rPr>
        <w:t xml:space="preserve">products are provided in Table </w:t>
      </w:r>
      <w:r w:rsidR="00B54C47">
        <w:rPr>
          <w:rFonts w:eastAsia="TimesNewRoman"/>
          <w:lang w:eastAsia="ja-JP"/>
        </w:rPr>
        <w:t>5</w:t>
      </w:r>
      <w:r w:rsidRPr="00A47F4F">
        <w:rPr>
          <w:rFonts w:eastAsia="TimesNewRoman"/>
          <w:lang w:eastAsia="ja-JP"/>
        </w:rPr>
        <w:t>.</w:t>
      </w:r>
    </w:p>
    <w:p w:rsidR="00085F33" w:rsidRPr="00A47F4F" w:rsidRDefault="0011309F">
      <w:pPr>
        <w:spacing w:line="240" w:lineRule="auto"/>
        <w:jc w:val="both"/>
        <w:rPr>
          <w:rFonts w:eastAsia="TimesNewRoman"/>
          <w:lang w:eastAsia="ja-JP"/>
        </w:rPr>
      </w:pPr>
      <w:r w:rsidRPr="00A47F4F">
        <w:rPr>
          <w:rFonts w:eastAsia="TimesNewRoman"/>
          <w:lang w:eastAsia="ja-JP"/>
        </w:rPr>
        <w:t>If a patient is already taking medicinal product(s) or initiating a medicinal product while receiving TECHNIVIE for which potential for a drug interaction is expected, dose adjustment of the concomitant medicinal product(s) or appropriate clinical monitoring should be</w:t>
      </w:r>
      <w:r w:rsidR="00BA41B3">
        <w:rPr>
          <w:rFonts w:eastAsia="TimesNewRoman"/>
          <w:lang w:eastAsia="ja-JP"/>
        </w:rPr>
        <w:t xml:space="preserve"> considered (Table </w:t>
      </w:r>
      <w:r w:rsidR="00B54C47">
        <w:rPr>
          <w:rFonts w:eastAsia="TimesNewRoman"/>
          <w:lang w:eastAsia="ja-JP"/>
        </w:rPr>
        <w:t>5</w:t>
      </w:r>
      <w:r w:rsidRPr="00A47F4F">
        <w:rPr>
          <w:rFonts w:eastAsia="TimesNewRoman"/>
          <w:lang w:eastAsia="ja-JP"/>
        </w:rPr>
        <w:t>).</w:t>
      </w:r>
    </w:p>
    <w:p w:rsidR="00085F33" w:rsidRPr="00A47F4F" w:rsidRDefault="0011309F">
      <w:pPr>
        <w:spacing w:line="240" w:lineRule="auto"/>
        <w:jc w:val="both"/>
        <w:rPr>
          <w:rFonts w:cs="Arial"/>
          <w:i/>
          <w:iCs/>
        </w:rPr>
      </w:pPr>
      <w:r w:rsidRPr="00A47F4F">
        <w:rPr>
          <w:rFonts w:cs="Arial"/>
          <w:iCs/>
        </w:rPr>
        <w:t>A change of 0.5- to 2.0-fold in the exposures (</w:t>
      </w:r>
      <w:proofErr w:type="spellStart"/>
      <w:r w:rsidRPr="00A47F4F">
        <w:rPr>
          <w:rFonts w:cs="Arial"/>
          <w:iCs/>
        </w:rPr>
        <w:t>C</w:t>
      </w:r>
      <w:r w:rsidRPr="00A47F4F">
        <w:rPr>
          <w:rFonts w:cs="Arial"/>
          <w:iCs/>
          <w:vertAlign w:val="subscript"/>
        </w:rPr>
        <w:t>max</w:t>
      </w:r>
      <w:proofErr w:type="spellEnd"/>
      <w:r w:rsidRPr="00A47F4F">
        <w:rPr>
          <w:rFonts w:cs="Arial"/>
          <w:iCs/>
        </w:rPr>
        <w:t xml:space="preserve"> and AUC) of </w:t>
      </w:r>
      <w:proofErr w:type="spellStart"/>
      <w:r w:rsidRPr="00A47F4F">
        <w:rPr>
          <w:rFonts w:cs="Arial"/>
          <w:iCs/>
        </w:rPr>
        <w:t>paritaprevir</w:t>
      </w:r>
      <w:proofErr w:type="spellEnd"/>
      <w:r w:rsidRPr="00A47F4F">
        <w:rPr>
          <w:rFonts w:cs="Arial"/>
          <w:iCs/>
        </w:rPr>
        <w:t xml:space="preserve"> and </w:t>
      </w:r>
      <w:proofErr w:type="spellStart"/>
      <w:r w:rsidRPr="00A47F4F">
        <w:rPr>
          <w:rFonts w:cs="Arial"/>
          <w:iCs/>
        </w:rPr>
        <w:t>ombitasvir</w:t>
      </w:r>
      <w:proofErr w:type="spellEnd"/>
      <w:r w:rsidRPr="00A47F4F">
        <w:rPr>
          <w:rFonts w:cs="Arial"/>
          <w:iCs/>
        </w:rPr>
        <w:t xml:space="preserve"> is not considered clinically relevant and does not require dose adjustment for TECHNIVIE</w:t>
      </w:r>
      <w:r w:rsidRPr="00A47F4F">
        <w:rPr>
          <w:rFonts w:cs="Arial"/>
          <w:i/>
          <w:iCs/>
        </w:rPr>
        <w:t>.</w:t>
      </w:r>
    </w:p>
    <w:p w:rsidR="00085F33" w:rsidRPr="00A47F4F" w:rsidRDefault="0011309F">
      <w:pPr>
        <w:spacing w:line="240" w:lineRule="auto"/>
        <w:jc w:val="both"/>
        <w:rPr>
          <w:rFonts w:eastAsia="TimesNewRoman"/>
          <w:lang w:eastAsia="ja-JP"/>
        </w:rPr>
      </w:pPr>
      <w:r w:rsidRPr="00A47F4F">
        <w:rPr>
          <w:rFonts w:eastAsia="TimesNewRoman"/>
          <w:lang w:eastAsia="ja-JP"/>
        </w:rPr>
        <w:t>If dose adjustments of concomitant medicinal products are made due to treatment with TECHNIVIE, doses should be re-adjusted after administration of TECHNIVIE is completed.</w:t>
      </w:r>
    </w:p>
    <w:p w:rsidR="00085F33" w:rsidRPr="00A47F4F" w:rsidRDefault="00BA41B3">
      <w:pPr>
        <w:spacing w:line="240" w:lineRule="auto"/>
        <w:jc w:val="both"/>
        <w:rPr>
          <w:rFonts w:eastAsia="TimesNewRoman"/>
          <w:lang w:eastAsia="ja-JP"/>
        </w:rPr>
      </w:pPr>
      <w:r>
        <w:rPr>
          <w:rFonts w:eastAsia="TimesNewRoman"/>
          <w:lang w:eastAsia="ja-JP"/>
        </w:rPr>
        <w:t xml:space="preserve">Table </w:t>
      </w:r>
      <w:r w:rsidR="00B54C47">
        <w:rPr>
          <w:rFonts w:eastAsia="TimesNewRoman"/>
          <w:lang w:eastAsia="ja-JP"/>
        </w:rPr>
        <w:t>5</w:t>
      </w:r>
      <w:r w:rsidR="00702C1A" w:rsidRPr="00A47F4F">
        <w:rPr>
          <w:rFonts w:eastAsia="TimesNewRoman"/>
          <w:lang w:eastAsia="ja-JP"/>
        </w:rPr>
        <w:t xml:space="preserve"> </w:t>
      </w:r>
      <w:r w:rsidR="0011309F" w:rsidRPr="00A47F4F">
        <w:rPr>
          <w:rFonts w:eastAsia="TimesNewRoman"/>
          <w:lang w:eastAsia="ja-JP"/>
        </w:rPr>
        <w:t xml:space="preserve">provides the Least Squares Means Ratio (90% Confidence Interval) effect on the concentration of TECHNIVIE and concomitant medicinal products.  Dose adjustment is not required for </w:t>
      </w:r>
      <w:r w:rsidR="0011309F" w:rsidRPr="00A47F4F">
        <w:rPr>
          <w:rFonts w:cs="Arial"/>
          <w:iCs/>
        </w:rPr>
        <w:t>TECHNIVIE</w:t>
      </w:r>
      <w:r w:rsidR="0011309F" w:rsidRPr="00A47F4F">
        <w:rPr>
          <w:rFonts w:eastAsia="TimesNewRoman"/>
          <w:lang w:eastAsia="ja-JP"/>
        </w:rPr>
        <w:t xml:space="preserve"> when co</w:t>
      </w:r>
      <w:r w:rsidR="00311C3F">
        <w:rPr>
          <w:rFonts w:eastAsia="TimesNewRoman"/>
          <w:lang w:eastAsia="ja-JP"/>
        </w:rPr>
        <w:t>-</w:t>
      </w:r>
      <w:r w:rsidR="0011309F" w:rsidRPr="00A47F4F">
        <w:rPr>
          <w:rFonts w:eastAsia="TimesNewRoman"/>
          <w:lang w:eastAsia="ja-JP"/>
        </w:rPr>
        <w:t xml:space="preserve">administered with the concomitant medications listed in </w:t>
      </w:r>
      <w:r w:rsidR="00554C6A">
        <w:rPr>
          <w:rFonts w:eastAsia="TimesNewRoman"/>
          <w:lang w:eastAsia="ja-JP"/>
        </w:rPr>
        <w:t xml:space="preserve">Table </w:t>
      </w:r>
      <w:r w:rsidR="00B54C47">
        <w:rPr>
          <w:rFonts w:eastAsia="TimesNewRoman"/>
          <w:lang w:eastAsia="ja-JP"/>
        </w:rPr>
        <w:t>5</w:t>
      </w:r>
      <w:r w:rsidR="00702C1A" w:rsidRPr="00A47F4F">
        <w:rPr>
          <w:rFonts w:eastAsia="TimesNewRoman"/>
          <w:lang w:eastAsia="ja-JP"/>
        </w:rPr>
        <w:t xml:space="preserve"> </w:t>
      </w:r>
      <w:r w:rsidR="0011309F" w:rsidRPr="00A47F4F">
        <w:rPr>
          <w:rFonts w:eastAsia="TimesNewRoman"/>
          <w:lang w:eastAsia="ja-JP"/>
        </w:rPr>
        <w:t>unless otherwise noted.</w:t>
      </w:r>
    </w:p>
    <w:p w:rsidR="00085F33" w:rsidRPr="00A47F4F" w:rsidRDefault="0011309F">
      <w:pPr>
        <w:autoSpaceDE w:val="0"/>
        <w:autoSpaceDN w:val="0"/>
        <w:adjustRightInd w:val="0"/>
        <w:spacing w:after="0" w:line="240" w:lineRule="auto"/>
        <w:rPr>
          <w:rFonts w:cstheme="minorHAnsi"/>
          <w:lang w:val="en-US"/>
        </w:rPr>
      </w:pPr>
      <w:r w:rsidRPr="00A47F4F">
        <w:rPr>
          <w:rFonts w:cstheme="minorHAnsi"/>
          <w:lang w:val="en-US"/>
        </w:rPr>
        <w:t>The direction of the arrow indicates the direction of the change in exposures (</w:t>
      </w:r>
      <w:proofErr w:type="spellStart"/>
      <w:r w:rsidRPr="00A47F4F">
        <w:rPr>
          <w:rFonts w:cstheme="minorHAnsi"/>
          <w:lang w:val="en-US"/>
        </w:rPr>
        <w:t>Cmax</w:t>
      </w:r>
      <w:proofErr w:type="spellEnd"/>
      <w:r w:rsidRPr="00A47F4F">
        <w:rPr>
          <w:rFonts w:cstheme="minorHAnsi"/>
          <w:lang w:val="en-US"/>
        </w:rPr>
        <w:t xml:space="preserve"> and AUC) in </w:t>
      </w:r>
      <w:proofErr w:type="spellStart"/>
      <w:r w:rsidRPr="00A47F4F">
        <w:rPr>
          <w:rFonts w:cstheme="minorHAnsi"/>
          <w:lang w:val="en-US"/>
        </w:rPr>
        <w:t>paritaprevir</w:t>
      </w:r>
      <w:proofErr w:type="spellEnd"/>
      <w:r w:rsidRPr="00A47F4F">
        <w:rPr>
          <w:rFonts w:cstheme="minorHAnsi"/>
          <w:lang w:val="en-US"/>
        </w:rPr>
        <w:t xml:space="preserve">, </w:t>
      </w:r>
      <w:proofErr w:type="spellStart"/>
      <w:r w:rsidRPr="00A47F4F">
        <w:rPr>
          <w:rFonts w:cstheme="minorHAnsi"/>
          <w:lang w:val="en-US"/>
        </w:rPr>
        <w:t>ombitasvir</w:t>
      </w:r>
      <w:proofErr w:type="spellEnd"/>
      <w:r w:rsidRPr="00A47F4F">
        <w:rPr>
          <w:rFonts w:cstheme="minorHAnsi"/>
          <w:lang w:val="en-US"/>
        </w:rPr>
        <w:t xml:space="preserve"> and the co-administered medicinal product (↑ </w:t>
      </w:r>
      <w:r w:rsidRPr="00A47F4F">
        <w:rPr>
          <w:rFonts w:cstheme="minorHAnsi"/>
          <w:i/>
          <w:iCs/>
          <w:lang w:val="en-US"/>
        </w:rPr>
        <w:t xml:space="preserve">= increase (more than 20%), </w:t>
      </w:r>
      <w:r w:rsidRPr="00A47F4F">
        <w:rPr>
          <w:rFonts w:cstheme="minorHAnsi"/>
          <w:lang w:val="en-US"/>
        </w:rPr>
        <w:t xml:space="preserve">↓ </w:t>
      </w:r>
      <w:r w:rsidRPr="00A47F4F">
        <w:rPr>
          <w:rFonts w:cstheme="minorHAnsi"/>
          <w:i/>
          <w:iCs/>
          <w:lang w:val="en-US"/>
        </w:rPr>
        <w:t xml:space="preserve">= decrease (of more than 20%), </w:t>
      </w:r>
      <w:r w:rsidRPr="00A47F4F">
        <w:rPr>
          <w:rFonts w:cstheme="minorHAnsi"/>
          <w:lang w:val="en-US"/>
        </w:rPr>
        <w:t xml:space="preserve">↔ </w:t>
      </w:r>
      <w:r w:rsidRPr="00A47F4F">
        <w:rPr>
          <w:rFonts w:cstheme="minorHAnsi"/>
          <w:i/>
          <w:iCs/>
          <w:lang w:val="en-US"/>
        </w:rPr>
        <w:t xml:space="preserve">= no change </w:t>
      </w:r>
      <w:r w:rsidRPr="00A47F4F">
        <w:rPr>
          <w:rFonts w:cstheme="minorHAnsi"/>
          <w:lang w:val="en-US"/>
        </w:rPr>
        <w:t xml:space="preserve">or change less than 20%). </w:t>
      </w:r>
    </w:p>
    <w:p w:rsidR="00B3377C" w:rsidRPr="00A47F4F" w:rsidRDefault="00B3377C">
      <w:pPr>
        <w:autoSpaceDE w:val="0"/>
        <w:autoSpaceDN w:val="0"/>
        <w:adjustRightInd w:val="0"/>
        <w:spacing w:after="0" w:line="240" w:lineRule="auto"/>
        <w:rPr>
          <w:rFonts w:cstheme="minorHAnsi"/>
          <w:i/>
          <w:iCs/>
          <w:lang w:val="en-US"/>
        </w:rPr>
      </w:pPr>
    </w:p>
    <w:p w:rsidR="00085F33" w:rsidRPr="00A47F4F" w:rsidRDefault="00B3377C">
      <w:pPr>
        <w:rPr>
          <w:b/>
        </w:rPr>
      </w:pPr>
      <w:r w:rsidRPr="00A47F4F">
        <w:rPr>
          <w:b/>
        </w:rPr>
        <w:t xml:space="preserve">Table </w:t>
      </w:r>
      <w:r w:rsidR="00B54C47">
        <w:rPr>
          <w:b/>
        </w:rPr>
        <w:t>5</w:t>
      </w:r>
      <w:r w:rsidR="0011309F" w:rsidRPr="00A47F4F">
        <w:rPr>
          <w:b/>
        </w:rPr>
        <w:t xml:space="preserve">:  Interactions </w:t>
      </w:r>
      <w:proofErr w:type="gramStart"/>
      <w:r w:rsidR="0011309F" w:rsidRPr="00A47F4F">
        <w:rPr>
          <w:b/>
        </w:rPr>
        <w:t>Between</w:t>
      </w:r>
      <w:proofErr w:type="gramEnd"/>
      <w:r w:rsidR="0011309F" w:rsidRPr="00A47F4F">
        <w:rPr>
          <w:b/>
        </w:rPr>
        <w:t xml:space="preserve"> TECHNIVIE and Other Medicinal Products</w:t>
      </w:r>
    </w:p>
    <w:tbl>
      <w:tblPr>
        <w:tblStyle w:val="TableGrid20"/>
        <w:tblW w:w="9180" w:type="dxa"/>
        <w:tblLayout w:type="fixed"/>
        <w:tblLook w:val="04A0" w:firstRow="1" w:lastRow="0" w:firstColumn="1" w:lastColumn="0" w:noHBand="0" w:noVBand="1"/>
      </w:tblPr>
      <w:tblGrid>
        <w:gridCol w:w="1750"/>
        <w:gridCol w:w="161"/>
        <w:gridCol w:w="9"/>
        <w:gridCol w:w="1018"/>
        <w:gridCol w:w="84"/>
        <w:gridCol w:w="23"/>
        <w:gridCol w:w="32"/>
        <w:gridCol w:w="111"/>
        <w:gridCol w:w="13"/>
        <w:gridCol w:w="8"/>
        <w:gridCol w:w="864"/>
        <w:gridCol w:w="108"/>
        <w:gridCol w:w="31"/>
        <w:gridCol w:w="46"/>
        <w:gridCol w:w="85"/>
        <w:gridCol w:w="13"/>
        <w:gridCol w:w="984"/>
        <w:gridCol w:w="8"/>
        <w:gridCol w:w="43"/>
        <w:gridCol w:w="89"/>
        <w:gridCol w:w="13"/>
        <w:gridCol w:w="1228"/>
        <w:gridCol w:w="46"/>
        <w:gridCol w:w="2413"/>
      </w:tblGrid>
      <w:tr w:rsidR="006C466F" w:rsidRPr="00A47F4F" w:rsidTr="00ED3483">
        <w:tc>
          <w:tcPr>
            <w:tcW w:w="1752" w:type="dxa"/>
          </w:tcPr>
          <w:p w:rsidR="00085F33" w:rsidRPr="008906E7" w:rsidRDefault="0011309F">
            <w:pPr>
              <w:rPr>
                <w:rFonts w:cstheme="minorHAnsi"/>
                <w:b/>
                <w:sz w:val="20"/>
                <w:szCs w:val="20"/>
              </w:rPr>
            </w:pPr>
            <w:r w:rsidRPr="008906E7">
              <w:rPr>
                <w:rFonts w:cstheme="minorHAnsi"/>
                <w:b/>
                <w:sz w:val="20"/>
                <w:szCs w:val="20"/>
              </w:rPr>
              <w:t>Drug Class</w:t>
            </w:r>
          </w:p>
          <w:p w:rsidR="00085F33" w:rsidRPr="008906E7" w:rsidRDefault="0011309F">
            <w:pPr>
              <w:rPr>
                <w:rFonts w:cstheme="minorHAnsi"/>
                <w:sz w:val="20"/>
                <w:szCs w:val="20"/>
              </w:rPr>
            </w:pPr>
            <w:r w:rsidRPr="008906E7">
              <w:rPr>
                <w:rFonts w:cstheme="minorHAnsi"/>
                <w:sz w:val="20"/>
                <w:szCs w:val="20"/>
              </w:rPr>
              <w:t>Drug Name</w:t>
            </w:r>
          </w:p>
        </w:tc>
        <w:tc>
          <w:tcPr>
            <w:tcW w:w="4968" w:type="dxa"/>
            <w:gridSpan w:val="21"/>
          </w:tcPr>
          <w:p w:rsidR="00085F33" w:rsidRPr="008906E7" w:rsidRDefault="0011309F">
            <w:pPr>
              <w:rPr>
                <w:b/>
                <w:sz w:val="20"/>
                <w:szCs w:val="20"/>
              </w:rPr>
            </w:pPr>
            <w:r w:rsidRPr="008906E7">
              <w:rPr>
                <w:b/>
                <w:sz w:val="20"/>
                <w:szCs w:val="20"/>
              </w:rPr>
              <w:t xml:space="preserve">Effect </w:t>
            </w:r>
          </w:p>
        </w:tc>
        <w:tc>
          <w:tcPr>
            <w:tcW w:w="2460" w:type="dxa"/>
            <w:gridSpan w:val="2"/>
          </w:tcPr>
          <w:p w:rsidR="00085F33" w:rsidRPr="008906E7" w:rsidRDefault="0011309F">
            <w:pPr>
              <w:rPr>
                <w:rFonts w:cstheme="minorHAnsi"/>
                <w:b/>
                <w:sz w:val="20"/>
                <w:szCs w:val="20"/>
              </w:rPr>
            </w:pPr>
            <w:r w:rsidRPr="008906E7">
              <w:rPr>
                <w:rFonts w:cstheme="minorHAnsi"/>
                <w:b/>
                <w:sz w:val="20"/>
                <w:szCs w:val="20"/>
              </w:rPr>
              <w:t>Clinical Comment</w:t>
            </w:r>
          </w:p>
        </w:tc>
      </w:tr>
      <w:tr w:rsidR="00085F33" w:rsidRPr="00A47F4F" w:rsidTr="006C466F">
        <w:tc>
          <w:tcPr>
            <w:tcW w:w="9180" w:type="dxa"/>
            <w:gridSpan w:val="24"/>
          </w:tcPr>
          <w:p w:rsidR="00085F33" w:rsidRPr="008906E7" w:rsidRDefault="0011309F">
            <w:pPr>
              <w:tabs>
                <w:tab w:val="left" w:pos="567"/>
              </w:tabs>
              <w:rPr>
                <w:rFonts w:cstheme="minorHAnsi"/>
                <w:b/>
                <w:sz w:val="20"/>
                <w:szCs w:val="20"/>
              </w:rPr>
            </w:pPr>
            <w:proofErr w:type="spellStart"/>
            <w:r w:rsidRPr="008906E7">
              <w:rPr>
                <w:rFonts w:cstheme="minorHAnsi"/>
                <w:b/>
                <w:sz w:val="20"/>
                <w:szCs w:val="20"/>
              </w:rPr>
              <w:t>Aminosalicylate</w:t>
            </w:r>
            <w:proofErr w:type="spellEnd"/>
          </w:p>
        </w:tc>
      </w:tr>
      <w:tr w:rsidR="006C466F" w:rsidRPr="00A47F4F" w:rsidTr="00ED3483">
        <w:tc>
          <w:tcPr>
            <w:tcW w:w="1752" w:type="dxa"/>
          </w:tcPr>
          <w:p w:rsidR="00085F33" w:rsidRPr="008906E7" w:rsidRDefault="0011309F">
            <w:pPr>
              <w:tabs>
                <w:tab w:val="left" w:pos="567"/>
              </w:tabs>
              <w:rPr>
                <w:rFonts w:cstheme="minorHAnsi"/>
                <w:sz w:val="20"/>
                <w:szCs w:val="20"/>
              </w:rPr>
            </w:pPr>
            <w:r w:rsidRPr="008906E7">
              <w:rPr>
                <w:rFonts w:cstheme="minorHAnsi"/>
                <w:sz w:val="20"/>
                <w:szCs w:val="20"/>
              </w:rPr>
              <w:t>Sulfasalazine</w:t>
            </w:r>
          </w:p>
        </w:tc>
        <w:tc>
          <w:tcPr>
            <w:tcW w:w="4968" w:type="dxa"/>
            <w:gridSpan w:val="21"/>
          </w:tcPr>
          <w:p w:rsidR="00085F33" w:rsidRPr="008906E7" w:rsidRDefault="0011309F">
            <w:pPr>
              <w:rPr>
                <w:rFonts w:cstheme="minorHAnsi"/>
                <w:sz w:val="20"/>
                <w:szCs w:val="20"/>
              </w:rPr>
            </w:pPr>
            <w:r w:rsidRPr="008906E7">
              <w:rPr>
                <w:rFonts w:cstheme="minorHAnsi"/>
                <w:sz w:val="20"/>
                <w:szCs w:val="20"/>
              </w:rPr>
              <w:t>↑ sulfasalazine*</w:t>
            </w:r>
          </w:p>
        </w:tc>
        <w:tc>
          <w:tcPr>
            <w:tcW w:w="2460" w:type="dxa"/>
            <w:gridSpan w:val="2"/>
          </w:tcPr>
          <w:p w:rsidR="00085F33" w:rsidRPr="008906E7" w:rsidRDefault="0011309F">
            <w:pPr>
              <w:tabs>
                <w:tab w:val="left" w:pos="567"/>
              </w:tabs>
              <w:rPr>
                <w:rFonts w:cstheme="minorHAnsi"/>
                <w:sz w:val="20"/>
                <w:szCs w:val="20"/>
              </w:rPr>
            </w:pPr>
            <w:r w:rsidRPr="008906E7">
              <w:rPr>
                <w:rFonts w:cstheme="minorHAnsi"/>
                <w:sz w:val="20"/>
                <w:szCs w:val="20"/>
              </w:rPr>
              <w:t xml:space="preserve">Mechanism:  BCRP inhibition by </w:t>
            </w:r>
            <w:proofErr w:type="spellStart"/>
            <w:r w:rsidRPr="008906E7">
              <w:rPr>
                <w:rFonts w:cstheme="minorHAnsi"/>
                <w:sz w:val="20"/>
                <w:szCs w:val="20"/>
              </w:rPr>
              <w:t>paritaprevir</w:t>
            </w:r>
            <w:proofErr w:type="spellEnd"/>
            <w:r w:rsidRPr="008906E7">
              <w:rPr>
                <w:rFonts w:cstheme="minorHAnsi"/>
                <w:sz w:val="20"/>
                <w:szCs w:val="20"/>
              </w:rPr>
              <w:t xml:space="preserve"> and ritonavir.  </w:t>
            </w:r>
          </w:p>
          <w:p w:rsidR="00085F33" w:rsidRPr="008906E7" w:rsidRDefault="0011309F">
            <w:pPr>
              <w:tabs>
                <w:tab w:val="left" w:pos="567"/>
              </w:tabs>
              <w:rPr>
                <w:rFonts w:cstheme="minorHAnsi"/>
                <w:sz w:val="20"/>
                <w:szCs w:val="20"/>
              </w:rPr>
            </w:pPr>
            <w:r w:rsidRPr="008906E7">
              <w:rPr>
                <w:rFonts w:cstheme="minorHAnsi"/>
                <w:sz w:val="20"/>
                <w:szCs w:val="20"/>
              </w:rPr>
              <w:t xml:space="preserve">Caution should be used when sulfasalazine is </w:t>
            </w:r>
            <w:proofErr w:type="spellStart"/>
            <w:r w:rsidRPr="008906E7">
              <w:rPr>
                <w:rFonts w:cstheme="minorHAnsi"/>
                <w:sz w:val="20"/>
                <w:szCs w:val="20"/>
              </w:rPr>
              <w:t>coadministered</w:t>
            </w:r>
            <w:proofErr w:type="spellEnd"/>
            <w:r w:rsidRPr="008906E7">
              <w:rPr>
                <w:rFonts w:cstheme="minorHAnsi"/>
                <w:sz w:val="20"/>
                <w:szCs w:val="20"/>
              </w:rPr>
              <w:t xml:space="preserve"> with TECHNIVIE.</w:t>
            </w:r>
          </w:p>
        </w:tc>
      </w:tr>
      <w:tr w:rsidR="00996583" w:rsidRPr="00A47F4F" w:rsidTr="00F8698F">
        <w:tc>
          <w:tcPr>
            <w:tcW w:w="9180" w:type="dxa"/>
            <w:gridSpan w:val="24"/>
          </w:tcPr>
          <w:p w:rsidR="00996583" w:rsidRPr="008906E7" w:rsidRDefault="00996583">
            <w:pPr>
              <w:tabs>
                <w:tab w:val="left" w:pos="567"/>
              </w:tabs>
              <w:rPr>
                <w:rFonts w:cstheme="minorHAnsi"/>
                <w:sz w:val="20"/>
                <w:szCs w:val="20"/>
              </w:rPr>
            </w:pPr>
            <w:r>
              <w:rPr>
                <w:rFonts w:cstheme="minorHAnsi"/>
                <w:b/>
                <w:sz w:val="20"/>
                <w:szCs w:val="20"/>
              </w:rPr>
              <w:t>Analgesic</w:t>
            </w:r>
          </w:p>
        </w:tc>
      </w:tr>
      <w:tr w:rsidR="00996583" w:rsidRPr="00A47F4F" w:rsidTr="00ED3483">
        <w:tc>
          <w:tcPr>
            <w:tcW w:w="1752" w:type="dxa"/>
          </w:tcPr>
          <w:p w:rsidR="00996583" w:rsidRPr="008906E7" w:rsidRDefault="00996583">
            <w:pPr>
              <w:tabs>
                <w:tab w:val="left" w:pos="567"/>
              </w:tabs>
              <w:rPr>
                <w:rFonts w:cstheme="minorHAnsi"/>
                <w:sz w:val="20"/>
                <w:szCs w:val="20"/>
              </w:rPr>
            </w:pPr>
            <w:r>
              <w:rPr>
                <w:rFonts w:cstheme="minorHAnsi"/>
                <w:sz w:val="20"/>
                <w:szCs w:val="20"/>
              </w:rPr>
              <w:t>Paracetamol</w:t>
            </w:r>
          </w:p>
        </w:tc>
        <w:tc>
          <w:tcPr>
            <w:tcW w:w="7428" w:type="dxa"/>
            <w:gridSpan w:val="23"/>
          </w:tcPr>
          <w:p w:rsidR="00996583" w:rsidRPr="008906E7" w:rsidRDefault="00996583">
            <w:pPr>
              <w:tabs>
                <w:tab w:val="left" w:pos="567"/>
              </w:tabs>
              <w:rPr>
                <w:rFonts w:cstheme="minorHAnsi"/>
                <w:sz w:val="20"/>
                <w:szCs w:val="20"/>
              </w:rPr>
            </w:pPr>
            <w:r>
              <w:rPr>
                <w:sz w:val="20"/>
              </w:rPr>
              <w:t>No dose adjustments are required when co-administering with TECHNIVIE</w:t>
            </w:r>
          </w:p>
        </w:tc>
      </w:tr>
      <w:tr w:rsidR="00085F33" w:rsidRPr="00A47F4F" w:rsidTr="006C466F">
        <w:tc>
          <w:tcPr>
            <w:tcW w:w="9180" w:type="dxa"/>
            <w:gridSpan w:val="24"/>
          </w:tcPr>
          <w:p w:rsidR="00085F33" w:rsidRPr="008906E7" w:rsidRDefault="0011309F">
            <w:pPr>
              <w:rPr>
                <w:rFonts w:cstheme="minorHAnsi"/>
                <w:b/>
                <w:sz w:val="20"/>
                <w:szCs w:val="20"/>
              </w:rPr>
            </w:pPr>
            <w:r w:rsidRPr="008906E7">
              <w:rPr>
                <w:rFonts w:cstheme="minorHAnsi"/>
                <w:b/>
                <w:sz w:val="20"/>
                <w:szCs w:val="20"/>
              </w:rPr>
              <w:t>Angiotensin Receptor Blocker</w:t>
            </w:r>
          </w:p>
        </w:tc>
      </w:tr>
      <w:tr w:rsidR="006C466F" w:rsidRPr="00A47F4F" w:rsidTr="00ED3483">
        <w:tc>
          <w:tcPr>
            <w:tcW w:w="1752" w:type="dxa"/>
          </w:tcPr>
          <w:p w:rsidR="00085F33" w:rsidRPr="008906E7" w:rsidRDefault="0011309F">
            <w:pPr>
              <w:tabs>
                <w:tab w:val="left" w:pos="567"/>
              </w:tabs>
              <w:rPr>
                <w:rFonts w:cstheme="minorHAnsi"/>
                <w:sz w:val="20"/>
                <w:szCs w:val="20"/>
              </w:rPr>
            </w:pPr>
            <w:r w:rsidRPr="008906E7">
              <w:rPr>
                <w:rFonts w:cstheme="minorHAnsi"/>
                <w:sz w:val="20"/>
                <w:szCs w:val="20"/>
              </w:rPr>
              <w:t>Valsartan</w:t>
            </w:r>
            <w:r w:rsidR="00420F65">
              <w:rPr>
                <w:rFonts w:cstheme="minorHAnsi"/>
                <w:sz w:val="20"/>
                <w:szCs w:val="20"/>
              </w:rPr>
              <w:t>, losartan, candesartan</w:t>
            </w:r>
          </w:p>
        </w:tc>
        <w:tc>
          <w:tcPr>
            <w:tcW w:w="4968" w:type="dxa"/>
            <w:gridSpan w:val="21"/>
          </w:tcPr>
          <w:p w:rsidR="00085F33" w:rsidRDefault="0011309F" w:rsidP="00DB43B5">
            <w:pPr>
              <w:rPr>
                <w:rFonts w:cstheme="minorHAnsi"/>
                <w:sz w:val="20"/>
                <w:szCs w:val="20"/>
              </w:rPr>
            </w:pPr>
            <w:r w:rsidRPr="008906E7">
              <w:rPr>
                <w:rFonts w:cstheme="minorHAnsi"/>
                <w:sz w:val="20"/>
                <w:szCs w:val="20"/>
              </w:rPr>
              <w:t xml:space="preserve">↑ </w:t>
            </w:r>
            <w:r w:rsidR="00420F65">
              <w:rPr>
                <w:rFonts w:cstheme="minorHAnsi"/>
                <w:sz w:val="20"/>
                <w:szCs w:val="20"/>
              </w:rPr>
              <w:t>angiotensin receptor blockers</w:t>
            </w:r>
          </w:p>
          <w:p w:rsidR="00DB43B5" w:rsidRPr="008906E7" w:rsidRDefault="00DB43B5" w:rsidP="00DB43B5">
            <w:pPr>
              <w:rPr>
                <w:rFonts w:cstheme="minorHAnsi"/>
                <w:sz w:val="20"/>
                <w:szCs w:val="20"/>
              </w:rPr>
            </w:pPr>
          </w:p>
        </w:tc>
        <w:tc>
          <w:tcPr>
            <w:tcW w:w="2460" w:type="dxa"/>
            <w:gridSpan w:val="2"/>
          </w:tcPr>
          <w:p w:rsidR="00085F33" w:rsidRPr="008906E7" w:rsidRDefault="0011309F">
            <w:pPr>
              <w:rPr>
                <w:rFonts w:cstheme="minorHAnsi"/>
                <w:sz w:val="20"/>
                <w:szCs w:val="20"/>
              </w:rPr>
            </w:pPr>
            <w:r w:rsidRPr="008906E7">
              <w:rPr>
                <w:rFonts w:cstheme="minorHAnsi"/>
                <w:sz w:val="20"/>
                <w:szCs w:val="20"/>
              </w:rPr>
              <w:t xml:space="preserve">Mechanism:  OATP1B inhibition by </w:t>
            </w:r>
            <w:proofErr w:type="spellStart"/>
            <w:r w:rsidRPr="008906E7">
              <w:rPr>
                <w:rFonts w:cstheme="minorHAnsi"/>
                <w:sz w:val="20"/>
                <w:szCs w:val="20"/>
              </w:rPr>
              <w:t>paritaprevir</w:t>
            </w:r>
            <w:proofErr w:type="spellEnd"/>
            <w:r w:rsidRPr="008906E7">
              <w:rPr>
                <w:rFonts w:cstheme="minorHAnsi"/>
                <w:sz w:val="20"/>
                <w:szCs w:val="20"/>
              </w:rPr>
              <w:t>.</w:t>
            </w:r>
          </w:p>
          <w:p w:rsidR="00085F33" w:rsidRPr="008906E7" w:rsidRDefault="00406F37">
            <w:pPr>
              <w:tabs>
                <w:tab w:val="left" w:pos="567"/>
              </w:tabs>
              <w:rPr>
                <w:rFonts w:cstheme="minorHAnsi"/>
                <w:sz w:val="20"/>
                <w:szCs w:val="20"/>
              </w:rPr>
            </w:pPr>
            <w:r w:rsidRPr="00997A74">
              <w:rPr>
                <w:rFonts w:cstheme="minorHAnsi"/>
                <w:sz w:val="20"/>
                <w:szCs w:val="20"/>
                <w:lang w:val="en-US"/>
              </w:rPr>
              <w:t>Decrease the dose of the angiotensin receptor blockers and monitor patients for signs and symptoms of hypotension and/or worsening renal function.</w:t>
            </w:r>
          </w:p>
        </w:tc>
      </w:tr>
      <w:tr w:rsidR="00085F33" w:rsidRPr="00A47F4F" w:rsidTr="006C466F">
        <w:tc>
          <w:tcPr>
            <w:tcW w:w="9180" w:type="dxa"/>
            <w:gridSpan w:val="24"/>
          </w:tcPr>
          <w:p w:rsidR="00085F33" w:rsidRPr="008906E7" w:rsidRDefault="0011309F">
            <w:pPr>
              <w:rPr>
                <w:rFonts w:cstheme="minorHAnsi"/>
                <w:b/>
                <w:sz w:val="20"/>
                <w:szCs w:val="20"/>
              </w:rPr>
            </w:pPr>
            <w:proofErr w:type="spellStart"/>
            <w:r w:rsidRPr="008906E7">
              <w:rPr>
                <w:rFonts w:cstheme="minorHAnsi"/>
                <w:b/>
                <w:sz w:val="20"/>
                <w:szCs w:val="20"/>
              </w:rPr>
              <w:t>Antiarrhythmics</w:t>
            </w:r>
            <w:proofErr w:type="spellEnd"/>
          </w:p>
        </w:tc>
      </w:tr>
      <w:tr w:rsidR="003A240F" w:rsidRPr="00A47F4F" w:rsidTr="00ED3483">
        <w:trPr>
          <w:trHeight w:val="49"/>
        </w:trPr>
        <w:tc>
          <w:tcPr>
            <w:tcW w:w="1752" w:type="dxa"/>
            <w:vMerge w:val="restart"/>
          </w:tcPr>
          <w:p w:rsidR="00085F33" w:rsidRPr="008906E7" w:rsidRDefault="0011309F">
            <w:pPr>
              <w:rPr>
                <w:rFonts w:cstheme="minorHAnsi"/>
                <w:sz w:val="20"/>
                <w:szCs w:val="20"/>
              </w:rPr>
            </w:pPr>
            <w:r w:rsidRPr="008906E7">
              <w:rPr>
                <w:rFonts w:cstheme="minorHAnsi"/>
                <w:sz w:val="20"/>
                <w:szCs w:val="20"/>
              </w:rPr>
              <w:t>Digoxin</w:t>
            </w:r>
          </w:p>
          <w:p w:rsidR="00085F33" w:rsidRPr="008906E7" w:rsidRDefault="0011309F">
            <w:pPr>
              <w:rPr>
                <w:rFonts w:cstheme="minorHAnsi"/>
                <w:sz w:val="20"/>
                <w:szCs w:val="20"/>
              </w:rPr>
            </w:pPr>
            <w:r w:rsidRPr="008906E7">
              <w:rPr>
                <w:rFonts w:cstheme="minorHAnsi"/>
                <w:sz w:val="20"/>
                <w:szCs w:val="20"/>
              </w:rPr>
              <w:t>0.5 mg single dose</w:t>
            </w:r>
          </w:p>
        </w:tc>
        <w:tc>
          <w:tcPr>
            <w:tcW w:w="1272" w:type="dxa"/>
            <w:gridSpan w:val="4"/>
          </w:tcPr>
          <w:p w:rsidR="00085F33" w:rsidRPr="008906E7" w:rsidRDefault="00085F33">
            <w:pPr>
              <w:rPr>
                <w:rFonts w:cstheme="minorHAnsi"/>
                <w:sz w:val="20"/>
                <w:szCs w:val="20"/>
              </w:rPr>
            </w:pPr>
          </w:p>
        </w:tc>
        <w:tc>
          <w:tcPr>
            <w:tcW w:w="1159" w:type="dxa"/>
            <w:gridSpan w:val="7"/>
          </w:tcPr>
          <w:p w:rsidR="00085F33" w:rsidRPr="008906E7" w:rsidRDefault="0011309F">
            <w:pPr>
              <w:tabs>
                <w:tab w:val="left" w:pos="567"/>
              </w:tabs>
              <w:jc w:val="center"/>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299" w:type="dxa"/>
            <w:gridSpan w:val="8"/>
          </w:tcPr>
          <w:p w:rsidR="00085F33" w:rsidRPr="008906E7" w:rsidRDefault="0011309F">
            <w:pPr>
              <w:tabs>
                <w:tab w:val="left" w:pos="567"/>
              </w:tabs>
              <w:jc w:val="center"/>
              <w:rPr>
                <w:rFonts w:ascii="Calibri" w:hAnsi="Calibri" w:cs="Calibri"/>
                <w:sz w:val="20"/>
                <w:szCs w:val="20"/>
              </w:rPr>
            </w:pPr>
            <w:r w:rsidRPr="008906E7">
              <w:rPr>
                <w:rFonts w:ascii="Calibri" w:hAnsi="Calibri" w:cs="Calibri"/>
                <w:sz w:val="20"/>
                <w:szCs w:val="20"/>
              </w:rPr>
              <w:t>AUC</w:t>
            </w:r>
          </w:p>
        </w:tc>
        <w:tc>
          <w:tcPr>
            <w:tcW w:w="1238" w:type="dxa"/>
            <w:gridSpan w:val="2"/>
          </w:tcPr>
          <w:p w:rsidR="00085F33" w:rsidRPr="008906E7" w:rsidRDefault="0011309F">
            <w:pPr>
              <w:tabs>
                <w:tab w:val="left" w:pos="567"/>
              </w:tabs>
              <w:jc w:val="center"/>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val="restart"/>
          </w:tcPr>
          <w:p w:rsidR="00DA11D2" w:rsidRDefault="0011309F" w:rsidP="00DA11D2">
            <w:pPr>
              <w:tabs>
                <w:tab w:val="left" w:pos="567"/>
              </w:tabs>
              <w:rPr>
                <w:rFonts w:cstheme="minorHAnsi"/>
                <w:sz w:val="20"/>
                <w:szCs w:val="20"/>
              </w:rPr>
            </w:pPr>
            <w:r w:rsidRPr="008906E7">
              <w:rPr>
                <w:rFonts w:cstheme="minorHAnsi"/>
                <w:sz w:val="20"/>
                <w:szCs w:val="20"/>
              </w:rPr>
              <w:t>Mechanism:  P-</w:t>
            </w:r>
            <w:proofErr w:type="spellStart"/>
            <w:r w:rsidRPr="008906E7">
              <w:rPr>
                <w:rFonts w:cstheme="minorHAnsi"/>
                <w:sz w:val="20"/>
                <w:szCs w:val="20"/>
              </w:rPr>
              <w:t>gp</w:t>
            </w:r>
            <w:proofErr w:type="spellEnd"/>
            <w:r w:rsidRPr="008906E7">
              <w:rPr>
                <w:rFonts w:cstheme="minorHAnsi"/>
                <w:sz w:val="20"/>
                <w:szCs w:val="20"/>
              </w:rPr>
              <w:t xml:space="preserve"> inhibition by </w:t>
            </w:r>
            <w:proofErr w:type="spellStart"/>
            <w:r w:rsidRPr="008906E7">
              <w:rPr>
                <w:rFonts w:cstheme="minorHAnsi"/>
                <w:sz w:val="20"/>
                <w:szCs w:val="20"/>
              </w:rPr>
              <w:t>paritaprevir</w:t>
            </w:r>
            <w:proofErr w:type="spellEnd"/>
            <w:r w:rsidRPr="008906E7">
              <w:rPr>
                <w:rFonts w:cstheme="minorHAnsi"/>
                <w:sz w:val="20"/>
                <w:szCs w:val="20"/>
              </w:rPr>
              <w:t xml:space="preserve"> and ritonavir. </w:t>
            </w:r>
          </w:p>
          <w:p w:rsidR="00085F33" w:rsidRPr="00DA11D2" w:rsidRDefault="0011309F" w:rsidP="00DA11D2">
            <w:pPr>
              <w:tabs>
                <w:tab w:val="left" w:pos="567"/>
              </w:tabs>
              <w:rPr>
                <w:rFonts w:cstheme="minorHAnsi"/>
                <w:sz w:val="20"/>
                <w:szCs w:val="20"/>
              </w:rPr>
            </w:pPr>
            <w:r w:rsidRPr="008906E7">
              <w:rPr>
                <w:rFonts w:eastAsia="MS Mincho"/>
                <w:sz w:val="20"/>
                <w:szCs w:val="20"/>
                <w:lang w:eastAsia="ja-JP"/>
              </w:rPr>
              <w:t xml:space="preserve">Decrease digoxin dose by 30% - 50%. Appropriate </w:t>
            </w:r>
            <w:r w:rsidRPr="008906E7">
              <w:rPr>
                <w:rFonts w:eastAsia="MS Mincho"/>
                <w:sz w:val="20"/>
                <w:szCs w:val="20"/>
                <w:lang w:eastAsia="ja-JP"/>
              </w:rPr>
              <w:lastRenderedPageBreak/>
              <w:t>monitoring of serum digoxin levels is recommended.</w:t>
            </w:r>
          </w:p>
        </w:tc>
      </w:tr>
      <w:tr w:rsidR="003A240F" w:rsidRPr="00A47F4F" w:rsidTr="00ED3483">
        <w:trPr>
          <w:trHeight w:val="49"/>
        </w:trPr>
        <w:tc>
          <w:tcPr>
            <w:tcW w:w="1752" w:type="dxa"/>
            <w:vMerge/>
          </w:tcPr>
          <w:p w:rsidR="00085F33" w:rsidRPr="008906E7" w:rsidRDefault="00085F33">
            <w:pPr>
              <w:rPr>
                <w:rFonts w:cstheme="minorHAnsi"/>
                <w:sz w:val="20"/>
                <w:szCs w:val="20"/>
              </w:rPr>
            </w:pPr>
          </w:p>
        </w:tc>
        <w:tc>
          <w:tcPr>
            <w:tcW w:w="1272" w:type="dxa"/>
            <w:gridSpan w:val="4"/>
          </w:tcPr>
          <w:p w:rsidR="00085F33" w:rsidRPr="008906E7" w:rsidRDefault="0011309F">
            <w:pPr>
              <w:tabs>
                <w:tab w:val="left" w:pos="567"/>
              </w:tabs>
              <w:rPr>
                <w:rFonts w:ascii="Calibri" w:hAnsi="Calibri" w:cs="Calibri"/>
                <w:sz w:val="20"/>
                <w:szCs w:val="20"/>
              </w:rPr>
            </w:pPr>
            <w:r w:rsidRPr="008906E7">
              <w:rPr>
                <w:rFonts w:cstheme="minorHAnsi"/>
                <w:sz w:val="20"/>
                <w:szCs w:val="20"/>
              </w:rPr>
              <w:t>↑</w:t>
            </w:r>
            <w:r w:rsidRPr="008906E7">
              <w:rPr>
                <w:rFonts w:ascii="Calibri" w:hAnsi="Calibri" w:cs="Calibri"/>
                <w:sz w:val="20"/>
                <w:szCs w:val="20"/>
              </w:rPr>
              <w:t>digoxin</w:t>
            </w:r>
          </w:p>
        </w:tc>
        <w:tc>
          <w:tcPr>
            <w:tcW w:w="1159" w:type="dxa"/>
            <w:gridSpan w:val="7"/>
          </w:tcPr>
          <w:p w:rsidR="00085F33" w:rsidRPr="008906E7" w:rsidRDefault="0011309F">
            <w:pPr>
              <w:pStyle w:val="GTCTableText"/>
              <w:spacing w:before="0" w:beforeAutospacing="0" w:after="0" w:afterAutospacing="0"/>
              <w:contextualSpacing/>
              <w:jc w:val="center"/>
              <w:rPr>
                <w:rFonts w:eastAsia="MS Mincho"/>
                <w:lang w:val="en-GB" w:eastAsia="ja-JP"/>
              </w:rPr>
            </w:pPr>
            <w:r w:rsidRPr="008906E7">
              <w:rPr>
                <w:rFonts w:eastAsia="MS Mincho"/>
                <w:lang w:val="en-GB" w:eastAsia="ja-JP"/>
              </w:rPr>
              <w:t>1.58</w:t>
            </w:r>
          </w:p>
          <w:p w:rsidR="00085F33" w:rsidRPr="008906E7" w:rsidRDefault="0011309F">
            <w:pPr>
              <w:tabs>
                <w:tab w:val="left" w:pos="567"/>
              </w:tabs>
              <w:jc w:val="center"/>
              <w:rPr>
                <w:rFonts w:ascii="Calibri" w:hAnsi="Calibri" w:cs="Calibri"/>
                <w:sz w:val="20"/>
                <w:szCs w:val="20"/>
              </w:rPr>
            </w:pPr>
            <w:r w:rsidRPr="008906E7">
              <w:rPr>
                <w:rFonts w:eastAsia="MS Mincho"/>
                <w:sz w:val="20"/>
                <w:szCs w:val="20"/>
                <w:lang w:val="en-GB" w:eastAsia="ja-JP"/>
              </w:rPr>
              <w:t>(1.43-1.73)</w:t>
            </w:r>
          </w:p>
        </w:tc>
        <w:tc>
          <w:tcPr>
            <w:tcW w:w="1299" w:type="dxa"/>
            <w:gridSpan w:val="8"/>
          </w:tcPr>
          <w:p w:rsidR="00085F33" w:rsidRPr="008906E7" w:rsidRDefault="0011309F">
            <w:pPr>
              <w:pStyle w:val="GTCTableText"/>
              <w:spacing w:before="0" w:beforeAutospacing="0" w:after="0" w:afterAutospacing="0"/>
              <w:contextualSpacing/>
              <w:jc w:val="center"/>
              <w:rPr>
                <w:rFonts w:eastAsia="MS Mincho"/>
                <w:lang w:val="en-GB" w:eastAsia="ja-JP"/>
              </w:rPr>
            </w:pPr>
            <w:r w:rsidRPr="008906E7">
              <w:rPr>
                <w:rFonts w:eastAsia="MS Mincho"/>
                <w:lang w:val="en-GB" w:eastAsia="ja-JP"/>
              </w:rPr>
              <w:t>1.36</w:t>
            </w:r>
          </w:p>
          <w:p w:rsidR="00085F33" w:rsidRPr="008906E7" w:rsidRDefault="0011309F">
            <w:pPr>
              <w:tabs>
                <w:tab w:val="left" w:pos="567"/>
              </w:tabs>
              <w:jc w:val="center"/>
              <w:rPr>
                <w:rFonts w:ascii="Calibri" w:hAnsi="Calibri" w:cs="Calibri"/>
                <w:sz w:val="20"/>
                <w:szCs w:val="20"/>
              </w:rPr>
            </w:pPr>
            <w:r w:rsidRPr="008906E7">
              <w:rPr>
                <w:rFonts w:eastAsia="MS Mincho"/>
                <w:sz w:val="20"/>
                <w:szCs w:val="20"/>
                <w:lang w:val="en-GB" w:eastAsia="ja-JP"/>
              </w:rPr>
              <w:t>(1.21-1.54)</w:t>
            </w:r>
          </w:p>
        </w:tc>
        <w:tc>
          <w:tcPr>
            <w:tcW w:w="1238" w:type="dxa"/>
            <w:gridSpan w:val="2"/>
          </w:tcPr>
          <w:p w:rsidR="00085F33" w:rsidRPr="008906E7" w:rsidRDefault="0011309F">
            <w:pPr>
              <w:pStyle w:val="GTCTableText"/>
              <w:spacing w:before="0" w:beforeAutospacing="0" w:after="0" w:afterAutospacing="0"/>
              <w:contextualSpacing/>
              <w:jc w:val="center"/>
              <w:rPr>
                <w:rFonts w:eastAsia="MS Mincho"/>
                <w:lang w:val="en-GB" w:eastAsia="ja-JP"/>
              </w:rPr>
            </w:pPr>
            <w:r w:rsidRPr="008906E7">
              <w:rPr>
                <w:rFonts w:eastAsia="MS Mincho"/>
                <w:lang w:val="en-GB" w:eastAsia="ja-JP"/>
              </w:rPr>
              <w:t>1.24</w:t>
            </w:r>
          </w:p>
          <w:p w:rsidR="00085F33" w:rsidRPr="008906E7" w:rsidRDefault="0011309F">
            <w:pPr>
              <w:tabs>
                <w:tab w:val="left" w:pos="567"/>
              </w:tabs>
              <w:jc w:val="center"/>
              <w:rPr>
                <w:rFonts w:ascii="Calibri" w:hAnsi="Calibri" w:cs="Calibri"/>
                <w:sz w:val="20"/>
                <w:szCs w:val="20"/>
              </w:rPr>
            </w:pPr>
            <w:r w:rsidRPr="008906E7">
              <w:rPr>
                <w:rFonts w:eastAsia="MS Mincho"/>
                <w:sz w:val="20"/>
                <w:szCs w:val="20"/>
                <w:lang w:val="en-GB" w:eastAsia="ja-JP"/>
              </w:rPr>
              <w:t>(1.07-1.43)</w:t>
            </w:r>
          </w:p>
        </w:tc>
        <w:tc>
          <w:tcPr>
            <w:tcW w:w="2460" w:type="dxa"/>
            <w:gridSpan w:val="2"/>
            <w:vMerge/>
          </w:tcPr>
          <w:p w:rsidR="00085F33" w:rsidRPr="008906E7" w:rsidRDefault="00085F33">
            <w:pPr>
              <w:rPr>
                <w:rFonts w:cstheme="minorHAnsi"/>
                <w:sz w:val="20"/>
                <w:szCs w:val="20"/>
              </w:rPr>
            </w:pPr>
          </w:p>
        </w:tc>
      </w:tr>
      <w:tr w:rsidR="003A240F" w:rsidRPr="00A47F4F" w:rsidTr="00ED3483">
        <w:trPr>
          <w:trHeight w:val="49"/>
        </w:trPr>
        <w:tc>
          <w:tcPr>
            <w:tcW w:w="1752" w:type="dxa"/>
            <w:vMerge/>
          </w:tcPr>
          <w:p w:rsidR="00085F33" w:rsidRPr="008906E7" w:rsidRDefault="00085F33">
            <w:pPr>
              <w:rPr>
                <w:rFonts w:cstheme="minorHAnsi"/>
                <w:sz w:val="20"/>
                <w:szCs w:val="20"/>
              </w:rPr>
            </w:pPr>
          </w:p>
        </w:tc>
        <w:tc>
          <w:tcPr>
            <w:tcW w:w="1272" w:type="dxa"/>
            <w:gridSpan w:val="4"/>
          </w:tcPr>
          <w:p w:rsidR="00085F33" w:rsidRPr="008906E7" w:rsidRDefault="0011309F">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ombitasvir</w:t>
            </w:r>
            <w:proofErr w:type="spellEnd"/>
          </w:p>
        </w:tc>
        <w:tc>
          <w:tcPr>
            <w:tcW w:w="1159" w:type="dxa"/>
            <w:gridSpan w:val="7"/>
          </w:tcPr>
          <w:p w:rsidR="00085F33" w:rsidRPr="008906E7" w:rsidRDefault="0011309F">
            <w:pPr>
              <w:tabs>
                <w:tab w:val="left" w:pos="567"/>
              </w:tabs>
              <w:jc w:val="center"/>
              <w:rPr>
                <w:rFonts w:ascii="Calibri" w:hAnsi="Calibri" w:cs="Calibri"/>
                <w:sz w:val="20"/>
                <w:szCs w:val="20"/>
              </w:rPr>
            </w:pPr>
            <w:r w:rsidRPr="008906E7">
              <w:rPr>
                <w:rFonts w:ascii="Calibri" w:hAnsi="Calibri" w:cs="Calibri"/>
                <w:sz w:val="20"/>
                <w:szCs w:val="20"/>
              </w:rPr>
              <w:t>0.99</w:t>
            </w:r>
          </w:p>
          <w:p w:rsidR="00085F33" w:rsidRPr="008906E7" w:rsidRDefault="0011309F">
            <w:pPr>
              <w:tabs>
                <w:tab w:val="left" w:pos="567"/>
              </w:tabs>
              <w:jc w:val="center"/>
              <w:rPr>
                <w:rFonts w:ascii="Calibri" w:hAnsi="Calibri" w:cs="Calibri"/>
                <w:sz w:val="20"/>
                <w:szCs w:val="20"/>
              </w:rPr>
            </w:pPr>
            <w:r w:rsidRPr="008906E7">
              <w:rPr>
                <w:rFonts w:ascii="Calibri" w:hAnsi="Calibri" w:cs="Calibri"/>
                <w:sz w:val="20"/>
                <w:szCs w:val="20"/>
              </w:rPr>
              <w:t>(0.95-1.04)</w:t>
            </w:r>
          </w:p>
        </w:tc>
        <w:tc>
          <w:tcPr>
            <w:tcW w:w="1299" w:type="dxa"/>
            <w:gridSpan w:val="8"/>
          </w:tcPr>
          <w:p w:rsidR="00085F33" w:rsidRPr="008906E7" w:rsidRDefault="0011309F">
            <w:pPr>
              <w:tabs>
                <w:tab w:val="left" w:pos="567"/>
              </w:tabs>
              <w:jc w:val="center"/>
              <w:rPr>
                <w:rFonts w:ascii="Calibri" w:hAnsi="Calibri" w:cs="Calibri"/>
                <w:sz w:val="20"/>
                <w:szCs w:val="20"/>
              </w:rPr>
            </w:pPr>
            <w:r w:rsidRPr="008906E7">
              <w:rPr>
                <w:rFonts w:ascii="Calibri" w:hAnsi="Calibri" w:cs="Calibri"/>
                <w:sz w:val="20"/>
                <w:szCs w:val="20"/>
              </w:rPr>
              <w:t>1.02</w:t>
            </w:r>
          </w:p>
          <w:p w:rsidR="00085F33" w:rsidRPr="008906E7" w:rsidRDefault="0011309F">
            <w:pPr>
              <w:tabs>
                <w:tab w:val="left" w:pos="567"/>
              </w:tabs>
              <w:jc w:val="center"/>
              <w:rPr>
                <w:rFonts w:ascii="Calibri" w:hAnsi="Calibri" w:cs="Calibri"/>
                <w:sz w:val="20"/>
                <w:szCs w:val="20"/>
              </w:rPr>
            </w:pPr>
            <w:r w:rsidRPr="008906E7">
              <w:rPr>
                <w:rFonts w:ascii="Calibri" w:hAnsi="Calibri" w:cs="Calibri"/>
                <w:sz w:val="20"/>
                <w:szCs w:val="20"/>
              </w:rPr>
              <w:t>(0.98-1.06)</w:t>
            </w:r>
          </w:p>
        </w:tc>
        <w:tc>
          <w:tcPr>
            <w:tcW w:w="1238" w:type="dxa"/>
            <w:gridSpan w:val="2"/>
          </w:tcPr>
          <w:p w:rsidR="00085F33" w:rsidRPr="008906E7" w:rsidRDefault="0011309F">
            <w:pPr>
              <w:tabs>
                <w:tab w:val="left" w:pos="567"/>
              </w:tabs>
              <w:jc w:val="center"/>
              <w:rPr>
                <w:rFonts w:ascii="Calibri" w:hAnsi="Calibri" w:cs="Calibri"/>
                <w:sz w:val="20"/>
                <w:szCs w:val="20"/>
              </w:rPr>
            </w:pPr>
            <w:r w:rsidRPr="008906E7">
              <w:rPr>
                <w:rFonts w:ascii="Calibri" w:hAnsi="Calibri" w:cs="Calibri"/>
                <w:sz w:val="20"/>
                <w:szCs w:val="20"/>
              </w:rPr>
              <w:t>1.01</w:t>
            </w:r>
          </w:p>
          <w:p w:rsidR="00085F33" w:rsidRPr="008906E7" w:rsidRDefault="0011309F">
            <w:pPr>
              <w:tabs>
                <w:tab w:val="left" w:pos="567"/>
              </w:tabs>
              <w:jc w:val="center"/>
              <w:rPr>
                <w:rFonts w:ascii="Calibri" w:hAnsi="Calibri" w:cs="Calibri"/>
                <w:sz w:val="20"/>
                <w:szCs w:val="20"/>
              </w:rPr>
            </w:pPr>
            <w:r w:rsidRPr="008906E7">
              <w:rPr>
                <w:rFonts w:ascii="Calibri" w:hAnsi="Calibri" w:cs="Calibri"/>
                <w:sz w:val="20"/>
                <w:szCs w:val="20"/>
              </w:rPr>
              <w:t>(0.98-1.05)</w:t>
            </w:r>
          </w:p>
        </w:tc>
        <w:tc>
          <w:tcPr>
            <w:tcW w:w="2460" w:type="dxa"/>
            <w:gridSpan w:val="2"/>
            <w:vMerge/>
          </w:tcPr>
          <w:p w:rsidR="00085F33" w:rsidRPr="008906E7" w:rsidRDefault="00085F33">
            <w:pPr>
              <w:rPr>
                <w:rFonts w:cstheme="minorHAnsi"/>
                <w:sz w:val="20"/>
                <w:szCs w:val="20"/>
              </w:rPr>
            </w:pPr>
          </w:p>
        </w:tc>
      </w:tr>
      <w:tr w:rsidR="003A240F" w:rsidRPr="00A47F4F" w:rsidTr="00ED3483">
        <w:trPr>
          <w:trHeight w:val="49"/>
        </w:trPr>
        <w:tc>
          <w:tcPr>
            <w:tcW w:w="1752" w:type="dxa"/>
            <w:vMerge/>
          </w:tcPr>
          <w:p w:rsidR="00085F33" w:rsidRPr="008906E7" w:rsidRDefault="00085F33">
            <w:pPr>
              <w:rPr>
                <w:rFonts w:cstheme="minorHAnsi"/>
                <w:sz w:val="20"/>
                <w:szCs w:val="20"/>
              </w:rPr>
            </w:pPr>
          </w:p>
        </w:tc>
        <w:tc>
          <w:tcPr>
            <w:tcW w:w="1272" w:type="dxa"/>
            <w:gridSpan w:val="4"/>
          </w:tcPr>
          <w:p w:rsidR="00085F33" w:rsidRPr="008906E7" w:rsidRDefault="0011309F">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paritaprevir</w:t>
            </w:r>
            <w:proofErr w:type="spellEnd"/>
          </w:p>
        </w:tc>
        <w:tc>
          <w:tcPr>
            <w:tcW w:w="1159" w:type="dxa"/>
            <w:gridSpan w:val="7"/>
          </w:tcPr>
          <w:p w:rsidR="00085F33" w:rsidRPr="008906E7" w:rsidRDefault="0011309F">
            <w:pPr>
              <w:tabs>
                <w:tab w:val="left" w:pos="567"/>
              </w:tabs>
              <w:jc w:val="center"/>
              <w:rPr>
                <w:rFonts w:ascii="Calibri" w:hAnsi="Calibri" w:cs="Calibri"/>
                <w:sz w:val="20"/>
                <w:szCs w:val="20"/>
              </w:rPr>
            </w:pPr>
            <w:r w:rsidRPr="008906E7">
              <w:rPr>
                <w:rFonts w:ascii="Calibri" w:hAnsi="Calibri" w:cs="Calibri"/>
                <w:sz w:val="20"/>
                <w:szCs w:val="20"/>
              </w:rPr>
              <w:t>1.15</w:t>
            </w:r>
          </w:p>
          <w:p w:rsidR="00085F33" w:rsidRPr="008906E7" w:rsidRDefault="0011309F">
            <w:pPr>
              <w:tabs>
                <w:tab w:val="left" w:pos="567"/>
              </w:tabs>
              <w:jc w:val="center"/>
              <w:rPr>
                <w:rFonts w:ascii="Calibri" w:hAnsi="Calibri" w:cs="Calibri"/>
                <w:sz w:val="20"/>
                <w:szCs w:val="20"/>
              </w:rPr>
            </w:pPr>
            <w:r w:rsidRPr="008906E7">
              <w:rPr>
                <w:rFonts w:ascii="Calibri" w:hAnsi="Calibri" w:cs="Calibri"/>
                <w:sz w:val="20"/>
                <w:szCs w:val="20"/>
              </w:rPr>
              <w:t>(0.97-1.36)</w:t>
            </w:r>
          </w:p>
          <w:p w:rsidR="00085F33" w:rsidRPr="008906E7" w:rsidRDefault="00085F33">
            <w:pPr>
              <w:tabs>
                <w:tab w:val="left" w:pos="567"/>
              </w:tabs>
              <w:jc w:val="center"/>
              <w:rPr>
                <w:rFonts w:ascii="Calibri" w:hAnsi="Calibri" w:cs="Calibri"/>
                <w:sz w:val="20"/>
                <w:szCs w:val="20"/>
              </w:rPr>
            </w:pPr>
          </w:p>
        </w:tc>
        <w:tc>
          <w:tcPr>
            <w:tcW w:w="1299" w:type="dxa"/>
            <w:gridSpan w:val="8"/>
          </w:tcPr>
          <w:p w:rsidR="00085F33" w:rsidRPr="008906E7" w:rsidRDefault="0011309F">
            <w:pPr>
              <w:tabs>
                <w:tab w:val="left" w:pos="567"/>
              </w:tabs>
              <w:jc w:val="center"/>
              <w:rPr>
                <w:rFonts w:ascii="Calibri" w:hAnsi="Calibri" w:cs="Calibri"/>
                <w:sz w:val="20"/>
                <w:szCs w:val="20"/>
              </w:rPr>
            </w:pPr>
            <w:r w:rsidRPr="008906E7">
              <w:rPr>
                <w:rFonts w:ascii="Calibri" w:hAnsi="Calibri" w:cs="Calibri"/>
                <w:sz w:val="20"/>
                <w:szCs w:val="20"/>
              </w:rPr>
              <w:t>1.12</w:t>
            </w:r>
          </w:p>
          <w:p w:rsidR="00085F33" w:rsidRPr="008906E7" w:rsidRDefault="0011309F">
            <w:pPr>
              <w:tabs>
                <w:tab w:val="left" w:pos="567"/>
              </w:tabs>
              <w:jc w:val="center"/>
              <w:rPr>
                <w:rFonts w:ascii="Calibri" w:hAnsi="Calibri" w:cs="Calibri"/>
                <w:sz w:val="20"/>
                <w:szCs w:val="20"/>
              </w:rPr>
            </w:pPr>
            <w:r w:rsidRPr="008906E7">
              <w:rPr>
                <w:rFonts w:ascii="Calibri" w:hAnsi="Calibri" w:cs="Calibri"/>
                <w:sz w:val="20"/>
                <w:szCs w:val="20"/>
              </w:rPr>
              <w:t>(1.00-1.25)</w:t>
            </w:r>
          </w:p>
        </w:tc>
        <w:tc>
          <w:tcPr>
            <w:tcW w:w="1238" w:type="dxa"/>
            <w:gridSpan w:val="2"/>
          </w:tcPr>
          <w:p w:rsidR="00085F33" w:rsidRPr="008906E7" w:rsidRDefault="0011309F">
            <w:pPr>
              <w:tabs>
                <w:tab w:val="left" w:pos="567"/>
              </w:tabs>
              <w:jc w:val="center"/>
              <w:rPr>
                <w:rFonts w:ascii="Calibri" w:hAnsi="Calibri" w:cs="Calibri"/>
                <w:sz w:val="20"/>
                <w:szCs w:val="20"/>
              </w:rPr>
            </w:pPr>
            <w:r w:rsidRPr="008906E7">
              <w:rPr>
                <w:rFonts w:ascii="Calibri" w:hAnsi="Calibri" w:cs="Calibri"/>
                <w:sz w:val="20"/>
                <w:szCs w:val="20"/>
              </w:rPr>
              <w:t>0.97</w:t>
            </w:r>
          </w:p>
          <w:p w:rsidR="00085F33" w:rsidRPr="008906E7" w:rsidRDefault="0011309F">
            <w:pPr>
              <w:tabs>
                <w:tab w:val="left" w:pos="567"/>
              </w:tabs>
              <w:jc w:val="center"/>
              <w:rPr>
                <w:rFonts w:ascii="Calibri" w:hAnsi="Calibri" w:cs="Calibri"/>
                <w:sz w:val="20"/>
                <w:szCs w:val="20"/>
              </w:rPr>
            </w:pPr>
            <w:r w:rsidRPr="008906E7">
              <w:rPr>
                <w:rFonts w:ascii="Calibri" w:hAnsi="Calibri" w:cs="Calibri"/>
                <w:sz w:val="20"/>
                <w:szCs w:val="20"/>
              </w:rPr>
              <w:t>(0.84-1.13)</w:t>
            </w:r>
          </w:p>
        </w:tc>
        <w:tc>
          <w:tcPr>
            <w:tcW w:w="2460" w:type="dxa"/>
            <w:gridSpan w:val="2"/>
            <w:vMerge/>
          </w:tcPr>
          <w:p w:rsidR="00085F33" w:rsidRPr="008906E7" w:rsidRDefault="00085F33">
            <w:pPr>
              <w:rPr>
                <w:rFonts w:cstheme="minorHAnsi"/>
                <w:sz w:val="20"/>
                <w:szCs w:val="20"/>
              </w:rPr>
            </w:pPr>
          </w:p>
        </w:tc>
      </w:tr>
      <w:tr w:rsidR="003A240F" w:rsidRPr="00A47F4F" w:rsidTr="00ED3483">
        <w:tc>
          <w:tcPr>
            <w:tcW w:w="1752" w:type="dxa"/>
          </w:tcPr>
          <w:p w:rsidR="00420F65" w:rsidRPr="008906E7" w:rsidRDefault="00996583" w:rsidP="00996583">
            <w:pPr>
              <w:tabs>
                <w:tab w:val="left" w:pos="567"/>
              </w:tabs>
              <w:rPr>
                <w:rFonts w:cstheme="minorHAnsi"/>
                <w:sz w:val="20"/>
                <w:szCs w:val="20"/>
              </w:rPr>
            </w:pPr>
            <w:proofErr w:type="spellStart"/>
            <w:r>
              <w:lastRenderedPageBreak/>
              <w:t>B</w:t>
            </w:r>
            <w:r w:rsidR="00420F65">
              <w:t>epridil</w:t>
            </w:r>
            <w:proofErr w:type="spellEnd"/>
            <w:r w:rsidR="00420F65">
              <w:t>*,</w:t>
            </w:r>
            <w:r w:rsidR="00420F65">
              <w:br/>
              <w:t>lidocaine</w:t>
            </w:r>
            <w:r w:rsidR="00420F65">
              <w:br/>
              <w:t>(systemic)*,</w:t>
            </w:r>
            <w:r w:rsidR="00420F65">
              <w:br/>
            </w:r>
            <w:r w:rsidR="00420F65">
              <w:br/>
            </w:r>
            <w:proofErr w:type="spellStart"/>
            <w:r w:rsidR="00420F65">
              <w:t>disopyramide</w:t>
            </w:r>
            <w:proofErr w:type="spellEnd"/>
            <w:r w:rsidR="00420F65">
              <w:t>*,</w:t>
            </w:r>
            <w:r w:rsidR="00420F65">
              <w:br/>
            </w:r>
            <w:proofErr w:type="spellStart"/>
            <w:r w:rsidR="00420F65">
              <w:t>propafenone</w:t>
            </w:r>
            <w:proofErr w:type="spellEnd"/>
            <w:r w:rsidR="00420F65">
              <w:t xml:space="preserve">* </w:t>
            </w:r>
          </w:p>
        </w:tc>
        <w:tc>
          <w:tcPr>
            <w:tcW w:w="7428" w:type="dxa"/>
            <w:gridSpan w:val="23"/>
          </w:tcPr>
          <w:p w:rsidR="00420F65" w:rsidRDefault="00420F65" w:rsidP="008502A7">
            <w:r>
              <w:t xml:space="preserve">↑ antiarrhythmic agents </w:t>
            </w:r>
          </w:p>
          <w:p w:rsidR="00420F65" w:rsidRPr="00B9246F" w:rsidRDefault="00420F65" w:rsidP="008502A7">
            <w:pPr>
              <w:pStyle w:val="gtcblankline"/>
            </w:pPr>
          </w:p>
          <w:p w:rsidR="00420F65" w:rsidRPr="008906E7" w:rsidRDefault="00DB43B5" w:rsidP="00420F65">
            <w:pPr>
              <w:rPr>
                <w:rFonts w:cstheme="minorHAnsi"/>
                <w:sz w:val="20"/>
                <w:szCs w:val="20"/>
              </w:rPr>
            </w:pPr>
            <w:r>
              <w:t>Decrease in the dose and therapeutic concentration monitoring (if available) is recommended for the antiarrhythmic agents when co-administered with TECHNIVIE</w:t>
            </w:r>
            <w:r w:rsidR="00420F65">
              <w:t xml:space="preserve">. </w:t>
            </w:r>
          </w:p>
        </w:tc>
      </w:tr>
      <w:tr w:rsidR="006C466F" w:rsidRPr="00A47F4F" w:rsidTr="00ED3483">
        <w:tc>
          <w:tcPr>
            <w:tcW w:w="1752" w:type="dxa"/>
          </w:tcPr>
          <w:p w:rsidR="00420F65" w:rsidRPr="008906E7" w:rsidRDefault="00420F65">
            <w:pPr>
              <w:tabs>
                <w:tab w:val="left" w:pos="567"/>
              </w:tabs>
              <w:rPr>
                <w:rFonts w:cstheme="minorHAnsi"/>
                <w:sz w:val="20"/>
                <w:szCs w:val="20"/>
              </w:rPr>
            </w:pPr>
            <w:r w:rsidRPr="008906E7">
              <w:rPr>
                <w:rFonts w:cstheme="minorHAnsi"/>
                <w:b/>
                <w:sz w:val="20"/>
                <w:szCs w:val="20"/>
              </w:rPr>
              <w:t>Antibiotics</w:t>
            </w:r>
          </w:p>
        </w:tc>
        <w:tc>
          <w:tcPr>
            <w:tcW w:w="4968" w:type="dxa"/>
            <w:gridSpan w:val="21"/>
          </w:tcPr>
          <w:p w:rsidR="00420F65" w:rsidRPr="008906E7" w:rsidRDefault="00420F65">
            <w:pPr>
              <w:rPr>
                <w:rFonts w:cstheme="minorHAnsi"/>
                <w:sz w:val="20"/>
                <w:szCs w:val="20"/>
              </w:rPr>
            </w:pPr>
          </w:p>
        </w:tc>
        <w:tc>
          <w:tcPr>
            <w:tcW w:w="2460" w:type="dxa"/>
            <w:gridSpan w:val="2"/>
          </w:tcPr>
          <w:p w:rsidR="00420F65" w:rsidRPr="008906E7" w:rsidRDefault="00420F65">
            <w:pPr>
              <w:rPr>
                <w:rFonts w:cstheme="minorHAnsi"/>
                <w:sz w:val="20"/>
                <w:szCs w:val="20"/>
              </w:rPr>
            </w:pPr>
          </w:p>
        </w:tc>
      </w:tr>
      <w:tr w:rsidR="006C466F" w:rsidRPr="00A47F4F" w:rsidTr="00ED3483">
        <w:tc>
          <w:tcPr>
            <w:tcW w:w="1752" w:type="dxa"/>
          </w:tcPr>
          <w:p w:rsidR="00420F65" w:rsidRPr="008906E7" w:rsidRDefault="00420F65">
            <w:pPr>
              <w:tabs>
                <w:tab w:val="left" w:pos="567"/>
              </w:tabs>
              <w:rPr>
                <w:rFonts w:cstheme="minorHAnsi"/>
                <w:sz w:val="20"/>
                <w:szCs w:val="20"/>
              </w:rPr>
            </w:pPr>
            <w:r w:rsidRPr="008906E7">
              <w:rPr>
                <w:rFonts w:cstheme="minorHAnsi"/>
                <w:sz w:val="20"/>
                <w:szCs w:val="20"/>
              </w:rPr>
              <w:t>Erythromycin</w:t>
            </w:r>
            <w:r w:rsidR="00153B2A" w:rsidRPr="008906E7">
              <w:rPr>
                <w:rFonts w:cstheme="minorHAnsi"/>
                <w:sz w:val="20"/>
                <w:szCs w:val="20"/>
              </w:rPr>
              <w:t>*</w:t>
            </w:r>
          </w:p>
        </w:tc>
        <w:tc>
          <w:tcPr>
            <w:tcW w:w="4968" w:type="dxa"/>
            <w:gridSpan w:val="21"/>
          </w:tcPr>
          <w:p w:rsidR="00420F65" w:rsidRPr="008906E7" w:rsidRDefault="00420F65" w:rsidP="00153B2A">
            <w:pPr>
              <w:rPr>
                <w:rFonts w:cstheme="minorHAnsi"/>
                <w:sz w:val="20"/>
                <w:szCs w:val="20"/>
              </w:rPr>
            </w:pPr>
            <w:r w:rsidRPr="008906E7">
              <w:rPr>
                <w:rFonts w:cstheme="minorHAnsi"/>
                <w:sz w:val="20"/>
                <w:szCs w:val="20"/>
              </w:rPr>
              <w:t>↑ erythromycin</w:t>
            </w:r>
          </w:p>
        </w:tc>
        <w:tc>
          <w:tcPr>
            <w:tcW w:w="2460" w:type="dxa"/>
            <w:gridSpan w:val="2"/>
          </w:tcPr>
          <w:p w:rsidR="00420F65" w:rsidRPr="008906E7" w:rsidRDefault="00420F65">
            <w:pPr>
              <w:rPr>
                <w:rFonts w:cstheme="minorHAnsi"/>
                <w:sz w:val="20"/>
                <w:szCs w:val="20"/>
              </w:rPr>
            </w:pPr>
            <w:r w:rsidRPr="008906E7">
              <w:rPr>
                <w:rFonts w:cstheme="minorHAnsi"/>
                <w:sz w:val="20"/>
                <w:szCs w:val="20"/>
              </w:rPr>
              <w:t>Mechanism:  CYP3A4/P-</w:t>
            </w:r>
            <w:proofErr w:type="spellStart"/>
            <w:r w:rsidRPr="008906E7">
              <w:rPr>
                <w:rFonts w:cstheme="minorHAnsi"/>
                <w:sz w:val="20"/>
                <w:szCs w:val="20"/>
              </w:rPr>
              <w:t>gp</w:t>
            </w:r>
            <w:proofErr w:type="spellEnd"/>
            <w:r w:rsidRPr="008906E7">
              <w:rPr>
                <w:rFonts w:cstheme="minorHAnsi"/>
                <w:sz w:val="20"/>
                <w:szCs w:val="20"/>
              </w:rPr>
              <w:t xml:space="preserve"> inhibition by </w:t>
            </w:r>
            <w:proofErr w:type="spellStart"/>
            <w:r w:rsidRPr="008906E7">
              <w:rPr>
                <w:rFonts w:cstheme="minorHAnsi"/>
                <w:sz w:val="20"/>
                <w:szCs w:val="20"/>
              </w:rPr>
              <w:t>paritaprevir</w:t>
            </w:r>
            <w:proofErr w:type="spellEnd"/>
            <w:r w:rsidRPr="008906E7">
              <w:rPr>
                <w:rFonts w:cstheme="minorHAnsi"/>
                <w:sz w:val="20"/>
                <w:szCs w:val="20"/>
              </w:rPr>
              <w:t xml:space="preserve"> and ritonavir.</w:t>
            </w:r>
          </w:p>
          <w:p w:rsidR="00420F65" w:rsidRPr="008906E7" w:rsidRDefault="00420F65">
            <w:pPr>
              <w:rPr>
                <w:rFonts w:cstheme="minorHAnsi"/>
                <w:sz w:val="20"/>
                <w:szCs w:val="20"/>
              </w:rPr>
            </w:pPr>
            <w:r w:rsidRPr="008906E7">
              <w:rPr>
                <w:rFonts w:cstheme="minorHAnsi"/>
                <w:sz w:val="20"/>
                <w:szCs w:val="20"/>
              </w:rPr>
              <w:t>Caution is advised when erythromycin is administered with TECHNIVIE.</w:t>
            </w:r>
          </w:p>
        </w:tc>
      </w:tr>
      <w:tr w:rsidR="006C466F" w:rsidRPr="00A47F4F" w:rsidTr="00ED3483">
        <w:tc>
          <w:tcPr>
            <w:tcW w:w="1752" w:type="dxa"/>
          </w:tcPr>
          <w:p w:rsidR="000D4A1F" w:rsidRPr="008906E7" w:rsidRDefault="000D4A1F">
            <w:pPr>
              <w:tabs>
                <w:tab w:val="left" w:pos="567"/>
              </w:tabs>
              <w:rPr>
                <w:rFonts w:cstheme="minorHAnsi"/>
                <w:sz w:val="20"/>
                <w:szCs w:val="20"/>
              </w:rPr>
            </w:pPr>
            <w:r>
              <w:rPr>
                <w:rFonts w:cstheme="minorHAnsi"/>
                <w:sz w:val="20"/>
                <w:szCs w:val="20"/>
              </w:rPr>
              <w:t>Sulfamethoxazole</w:t>
            </w:r>
          </w:p>
        </w:tc>
        <w:tc>
          <w:tcPr>
            <w:tcW w:w="7428" w:type="dxa"/>
            <w:gridSpan w:val="23"/>
          </w:tcPr>
          <w:p w:rsidR="000D4A1F" w:rsidRPr="008906E7" w:rsidRDefault="000D4A1F">
            <w:pPr>
              <w:rPr>
                <w:rFonts w:cstheme="minorHAnsi"/>
                <w:sz w:val="20"/>
                <w:szCs w:val="20"/>
              </w:rPr>
            </w:pPr>
            <w:r>
              <w:rPr>
                <w:rFonts w:cstheme="minorHAnsi"/>
                <w:sz w:val="20"/>
                <w:szCs w:val="20"/>
              </w:rPr>
              <w:t>No dose adjustments are required when co-administering with TECHNIVIE</w:t>
            </w:r>
          </w:p>
        </w:tc>
      </w:tr>
      <w:tr w:rsidR="006C466F" w:rsidRPr="00A47F4F" w:rsidTr="00ED3483">
        <w:tc>
          <w:tcPr>
            <w:tcW w:w="1752" w:type="dxa"/>
          </w:tcPr>
          <w:p w:rsidR="000D4A1F" w:rsidRPr="008906E7" w:rsidRDefault="000D4A1F">
            <w:pPr>
              <w:tabs>
                <w:tab w:val="left" w:pos="567"/>
              </w:tabs>
              <w:rPr>
                <w:rFonts w:cstheme="minorHAnsi"/>
                <w:sz w:val="20"/>
                <w:szCs w:val="20"/>
              </w:rPr>
            </w:pPr>
            <w:r>
              <w:rPr>
                <w:rFonts w:cstheme="minorHAnsi"/>
                <w:sz w:val="20"/>
                <w:szCs w:val="20"/>
              </w:rPr>
              <w:t>Trimethoprim</w:t>
            </w:r>
          </w:p>
        </w:tc>
        <w:tc>
          <w:tcPr>
            <w:tcW w:w="7428" w:type="dxa"/>
            <w:gridSpan w:val="23"/>
          </w:tcPr>
          <w:p w:rsidR="000D4A1F" w:rsidRPr="008906E7" w:rsidRDefault="000D4A1F">
            <w:pPr>
              <w:rPr>
                <w:rFonts w:cstheme="minorHAnsi"/>
                <w:sz w:val="20"/>
                <w:szCs w:val="20"/>
              </w:rPr>
            </w:pPr>
            <w:r>
              <w:rPr>
                <w:rFonts w:cstheme="minorHAnsi"/>
                <w:sz w:val="20"/>
                <w:szCs w:val="20"/>
              </w:rPr>
              <w:t>No dose adjustments are required when co-administering with TECHNIVIE</w:t>
            </w:r>
          </w:p>
        </w:tc>
      </w:tr>
      <w:tr w:rsidR="00420F65" w:rsidRPr="00A47F4F" w:rsidTr="000D4A1F">
        <w:tc>
          <w:tcPr>
            <w:tcW w:w="9180" w:type="dxa"/>
            <w:gridSpan w:val="24"/>
          </w:tcPr>
          <w:p w:rsidR="00420F65" w:rsidRPr="008906E7" w:rsidRDefault="00420F65">
            <w:pPr>
              <w:rPr>
                <w:rFonts w:cstheme="minorHAnsi"/>
                <w:b/>
                <w:sz w:val="20"/>
                <w:szCs w:val="20"/>
              </w:rPr>
            </w:pPr>
            <w:r w:rsidRPr="008906E7">
              <w:rPr>
                <w:rFonts w:cstheme="minorHAnsi"/>
                <w:b/>
                <w:sz w:val="20"/>
                <w:szCs w:val="20"/>
              </w:rPr>
              <w:t>Anticancer Agents</w:t>
            </w:r>
          </w:p>
        </w:tc>
      </w:tr>
      <w:tr w:rsidR="006C466F" w:rsidRPr="00A47F4F" w:rsidTr="00ED3483">
        <w:tc>
          <w:tcPr>
            <w:tcW w:w="1752" w:type="dxa"/>
          </w:tcPr>
          <w:p w:rsidR="00420F65" w:rsidRPr="008906E7" w:rsidRDefault="00420F65">
            <w:pPr>
              <w:tabs>
                <w:tab w:val="left" w:pos="567"/>
              </w:tabs>
              <w:rPr>
                <w:rFonts w:cstheme="minorHAnsi"/>
                <w:sz w:val="20"/>
                <w:szCs w:val="20"/>
              </w:rPr>
            </w:pPr>
            <w:proofErr w:type="spellStart"/>
            <w:r w:rsidRPr="008906E7">
              <w:rPr>
                <w:rFonts w:cstheme="minorHAnsi"/>
                <w:sz w:val="20"/>
                <w:szCs w:val="20"/>
              </w:rPr>
              <w:t>Imatinib</w:t>
            </w:r>
            <w:proofErr w:type="spellEnd"/>
            <w:r w:rsidR="00153B2A" w:rsidRPr="008906E7">
              <w:rPr>
                <w:rFonts w:cstheme="minorHAnsi"/>
                <w:sz w:val="20"/>
                <w:szCs w:val="20"/>
              </w:rPr>
              <w:t>*</w:t>
            </w:r>
          </w:p>
        </w:tc>
        <w:tc>
          <w:tcPr>
            <w:tcW w:w="4968" w:type="dxa"/>
            <w:gridSpan w:val="21"/>
          </w:tcPr>
          <w:p w:rsidR="00420F65" w:rsidRPr="008906E7" w:rsidRDefault="00420F65" w:rsidP="00153B2A">
            <w:pPr>
              <w:rPr>
                <w:rFonts w:cstheme="minorHAnsi"/>
                <w:sz w:val="20"/>
                <w:szCs w:val="20"/>
              </w:rPr>
            </w:pPr>
            <w:r w:rsidRPr="008906E7">
              <w:rPr>
                <w:rFonts w:cstheme="minorHAnsi"/>
                <w:sz w:val="20"/>
                <w:szCs w:val="20"/>
              </w:rPr>
              <w:t xml:space="preserve">↑ </w:t>
            </w:r>
            <w:proofErr w:type="spellStart"/>
            <w:r w:rsidRPr="008906E7">
              <w:rPr>
                <w:rFonts w:cstheme="minorHAnsi"/>
                <w:sz w:val="20"/>
                <w:szCs w:val="20"/>
              </w:rPr>
              <w:t>imatinib</w:t>
            </w:r>
            <w:proofErr w:type="spellEnd"/>
          </w:p>
        </w:tc>
        <w:tc>
          <w:tcPr>
            <w:tcW w:w="2460" w:type="dxa"/>
            <w:gridSpan w:val="2"/>
          </w:tcPr>
          <w:p w:rsidR="00420F65" w:rsidRPr="008906E7" w:rsidRDefault="00420F65">
            <w:pPr>
              <w:rPr>
                <w:rFonts w:cstheme="minorHAnsi"/>
                <w:sz w:val="20"/>
                <w:szCs w:val="20"/>
              </w:rPr>
            </w:pPr>
            <w:r w:rsidRPr="008906E7">
              <w:rPr>
                <w:rFonts w:cstheme="minorHAnsi"/>
                <w:sz w:val="20"/>
                <w:szCs w:val="20"/>
              </w:rPr>
              <w:t xml:space="preserve">Mechanism:   BCRP inhibition by </w:t>
            </w:r>
            <w:proofErr w:type="spellStart"/>
            <w:r w:rsidRPr="008906E7">
              <w:rPr>
                <w:rFonts w:cstheme="minorHAnsi"/>
                <w:sz w:val="20"/>
                <w:szCs w:val="20"/>
              </w:rPr>
              <w:t>paritaprevir</w:t>
            </w:r>
            <w:proofErr w:type="spellEnd"/>
            <w:r w:rsidRPr="008906E7">
              <w:rPr>
                <w:rFonts w:cstheme="minorHAnsi"/>
                <w:sz w:val="20"/>
                <w:szCs w:val="20"/>
              </w:rPr>
              <w:t xml:space="preserve"> and ritonavir.</w:t>
            </w:r>
          </w:p>
          <w:p w:rsidR="00420F65" w:rsidRPr="008906E7" w:rsidRDefault="00420F65">
            <w:pPr>
              <w:tabs>
                <w:tab w:val="left" w:pos="567"/>
              </w:tabs>
              <w:rPr>
                <w:rFonts w:cstheme="minorHAnsi"/>
                <w:sz w:val="20"/>
                <w:szCs w:val="20"/>
              </w:rPr>
            </w:pPr>
            <w:r w:rsidRPr="008906E7">
              <w:rPr>
                <w:rFonts w:cstheme="minorHAnsi"/>
                <w:sz w:val="20"/>
                <w:szCs w:val="20"/>
              </w:rPr>
              <w:t xml:space="preserve">Clinical monitoring and lower doses of </w:t>
            </w:r>
            <w:proofErr w:type="spellStart"/>
            <w:r w:rsidRPr="008906E7">
              <w:rPr>
                <w:rFonts w:cstheme="minorHAnsi"/>
                <w:sz w:val="20"/>
                <w:szCs w:val="20"/>
              </w:rPr>
              <w:t>imatinib</w:t>
            </w:r>
            <w:proofErr w:type="spellEnd"/>
            <w:r w:rsidRPr="008906E7">
              <w:rPr>
                <w:rFonts w:cstheme="minorHAnsi"/>
                <w:sz w:val="20"/>
                <w:szCs w:val="20"/>
              </w:rPr>
              <w:t xml:space="preserve"> are recommended.</w:t>
            </w:r>
          </w:p>
        </w:tc>
      </w:tr>
      <w:tr w:rsidR="00420F65" w:rsidRPr="00A47F4F" w:rsidTr="000D4A1F">
        <w:tc>
          <w:tcPr>
            <w:tcW w:w="9180" w:type="dxa"/>
            <w:gridSpan w:val="24"/>
          </w:tcPr>
          <w:p w:rsidR="00420F65" w:rsidRPr="008906E7" w:rsidRDefault="00420F65">
            <w:pPr>
              <w:rPr>
                <w:rFonts w:cstheme="minorHAnsi"/>
                <w:b/>
                <w:sz w:val="20"/>
                <w:szCs w:val="20"/>
              </w:rPr>
            </w:pPr>
            <w:r w:rsidRPr="008906E7">
              <w:rPr>
                <w:rFonts w:cstheme="minorHAnsi"/>
                <w:b/>
                <w:sz w:val="20"/>
                <w:szCs w:val="20"/>
              </w:rPr>
              <w:t>Anticoagulants</w:t>
            </w:r>
          </w:p>
        </w:tc>
      </w:tr>
      <w:tr w:rsidR="006C466F" w:rsidRPr="00A47F4F" w:rsidTr="00ED3483">
        <w:trPr>
          <w:trHeight w:val="124"/>
        </w:trPr>
        <w:tc>
          <w:tcPr>
            <w:tcW w:w="1752" w:type="dxa"/>
            <w:vMerge w:val="restart"/>
          </w:tcPr>
          <w:p w:rsidR="00420F65" w:rsidRPr="008906E7" w:rsidRDefault="00420F65">
            <w:pPr>
              <w:rPr>
                <w:rFonts w:cstheme="minorHAnsi"/>
                <w:sz w:val="20"/>
                <w:szCs w:val="20"/>
              </w:rPr>
            </w:pPr>
            <w:r w:rsidRPr="008906E7">
              <w:rPr>
                <w:rFonts w:cstheme="minorHAnsi"/>
                <w:sz w:val="20"/>
                <w:szCs w:val="20"/>
              </w:rPr>
              <w:t xml:space="preserve">Warfarin </w:t>
            </w:r>
          </w:p>
          <w:p w:rsidR="00420F65" w:rsidRPr="008906E7" w:rsidRDefault="00420F65">
            <w:pPr>
              <w:rPr>
                <w:rFonts w:cstheme="minorHAnsi"/>
                <w:sz w:val="20"/>
                <w:szCs w:val="20"/>
              </w:rPr>
            </w:pPr>
            <w:r w:rsidRPr="008906E7">
              <w:rPr>
                <w:rFonts w:cstheme="minorHAnsi"/>
                <w:sz w:val="20"/>
                <w:szCs w:val="20"/>
              </w:rPr>
              <w:t>5 mg single dose</w:t>
            </w:r>
          </w:p>
        </w:tc>
        <w:tc>
          <w:tcPr>
            <w:tcW w:w="1272" w:type="dxa"/>
            <w:gridSpan w:val="4"/>
          </w:tcPr>
          <w:p w:rsidR="00420F65" w:rsidRPr="008906E7" w:rsidRDefault="00420F65">
            <w:pPr>
              <w:rPr>
                <w:rFonts w:cstheme="minorHAnsi"/>
                <w:sz w:val="20"/>
                <w:szCs w:val="20"/>
              </w:rPr>
            </w:pPr>
          </w:p>
        </w:tc>
        <w:tc>
          <w:tcPr>
            <w:tcW w:w="1159" w:type="dxa"/>
            <w:gridSpan w:val="7"/>
          </w:tcPr>
          <w:p w:rsidR="00420F65" w:rsidRPr="008906E7" w:rsidRDefault="00420F65">
            <w:pPr>
              <w:tabs>
                <w:tab w:val="left" w:pos="567"/>
              </w:tabs>
              <w:jc w:val="center"/>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210"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AUC</w:t>
            </w:r>
          </w:p>
        </w:tc>
        <w:tc>
          <w:tcPr>
            <w:tcW w:w="1327" w:type="dxa"/>
            <w:gridSpan w:val="3"/>
          </w:tcPr>
          <w:p w:rsidR="00420F65" w:rsidRPr="008906E7" w:rsidRDefault="00420F65">
            <w:pPr>
              <w:tabs>
                <w:tab w:val="left" w:pos="567"/>
              </w:tabs>
              <w:jc w:val="center"/>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val="restart"/>
          </w:tcPr>
          <w:p w:rsidR="00420F65" w:rsidRPr="008906E7" w:rsidRDefault="00420F65">
            <w:pPr>
              <w:tabs>
                <w:tab w:val="left" w:pos="567"/>
              </w:tabs>
              <w:rPr>
                <w:rFonts w:cstheme="minorHAnsi"/>
                <w:sz w:val="20"/>
                <w:szCs w:val="20"/>
              </w:rPr>
            </w:pPr>
            <w:r w:rsidRPr="008906E7">
              <w:rPr>
                <w:rFonts w:cstheme="minorHAnsi"/>
                <w:sz w:val="20"/>
                <w:szCs w:val="20"/>
              </w:rPr>
              <w:t>While no dose adjustment is necessary for warfarin, appropriate monitoring of international normalised ratio (INR) is recommended.</w:t>
            </w:r>
          </w:p>
          <w:p w:rsidR="00420F65" w:rsidRPr="008906E7" w:rsidRDefault="00420F65">
            <w:pPr>
              <w:rPr>
                <w:rFonts w:cstheme="minorHAnsi"/>
                <w:sz w:val="20"/>
                <w:szCs w:val="20"/>
              </w:rPr>
            </w:pPr>
          </w:p>
        </w:tc>
      </w:tr>
      <w:tr w:rsidR="006C466F" w:rsidRPr="00A47F4F" w:rsidTr="00ED3483">
        <w:trPr>
          <w:trHeight w:val="122"/>
        </w:trPr>
        <w:tc>
          <w:tcPr>
            <w:tcW w:w="1752" w:type="dxa"/>
            <w:vMerge/>
          </w:tcPr>
          <w:p w:rsidR="00420F65" w:rsidRPr="008906E7" w:rsidRDefault="00420F65">
            <w:pPr>
              <w:rPr>
                <w:rFonts w:cstheme="minorHAnsi"/>
                <w:sz w:val="20"/>
                <w:szCs w:val="20"/>
              </w:rPr>
            </w:pPr>
          </w:p>
        </w:tc>
        <w:tc>
          <w:tcPr>
            <w:tcW w:w="1272" w:type="dxa"/>
            <w:gridSpan w:val="4"/>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w:t>
            </w:r>
          </w:p>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R-warfarin</w:t>
            </w:r>
          </w:p>
        </w:tc>
        <w:tc>
          <w:tcPr>
            <w:tcW w:w="1159"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0.96</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(0.88-1.05)</w:t>
            </w:r>
          </w:p>
        </w:tc>
        <w:tc>
          <w:tcPr>
            <w:tcW w:w="1210"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0.87</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(0.82-0.91)</w:t>
            </w:r>
          </w:p>
        </w:tc>
        <w:tc>
          <w:tcPr>
            <w:tcW w:w="1327" w:type="dxa"/>
            <w:gridSpan w:val="3"/>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0.87</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(0.84-0.91)</w:t>
            </w:r>
          </w:p>
        </w:tc>
        <w:tc>
          <w:tcPr>
            <w:tcW w:w="2460" w:type="dxa"/>
            <w:gridSpan w:val="2"/>
            <w:vMerge/>
          </w:tcPr>
          <w:p w:rsidR="00420F65" w:rsidRPr="008906E7" w:rsidRDefault="00420F65">
            <w:pPr>
              <w:rPr>
                <w:rFonts w:cstheme="minorHAnsi"/>
                <w:sz w:val="20"/>
                <w:szCs w:val="20"/>
              </w:rPr>
            </w:pPr>
          </w:p>
        </w:tc>
      </w:tr>
      <w:tr w:rsidR="006C466F" w:rsidRPr="00A47F4F" w:rsidTr="00ED3483">
        <w:trPr>
          <w:trHeight w:val="122"/>
        </w:trPr>
        <w:tc>
          <w:tcPr>
            <w:tcW w:w="1752" w:type="dxa"/>
            <w:vMerge/>
          </w:tcPr>
          <w:p w:rsidR="00420F65" w:rsidRPr="008906E7" w:rsidRDefault="00420F65">
            <w:pPr>
              <w:rPr>
                <w:rFonts w:cstheme="minorHAnsi"/>
                <w:sz w:val="20"/>
                <w:szCs w:val="20"/>
              </w:rPr>
            </w:pPr>
          </w:p>
        </w:tc>
        <w:tc>
          <w:tcPr>
            <w:tcW w:w="1272" w:type="dxa"/>
            <w:gridSpan w:val="4"/>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w:t>
            </w:r>
          </w:p>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S-warfarin</w:t>
            </w:r>
          </w:p>
        </w:tc>
        <w:tc>
          <w:tcPr>
            <w:tcW w:w="1159"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0.90</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(0.82-0.99)</w:t>
            </w:r>
          </w:p>
        </w:tc>
        <w:tc>
          <w:tcPr>
            <w:tcW w:w="1210"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0.85</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(0.76-0.95)</w:t>
            </w:r>
          </w:p>
        </w:tc>
        <w:tc>
          <w:tcPr>
            <w:tcW w:w="1327" w:type="dxa"/>
            <w:gridSpan w:val="3"/>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0.89</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(0.84-0.93)</w:t>
            </w:r>
          </w:p>
        </w:tc>
        <w:tc>
          <w:tcPr>
            <w:tcW w:w="2460" w:type="dxa"/>
            <w:gridSpan w:val="2"/>
            <w:vMerge/>
          </w:tcPr>
          <w:p w:rsidR="00420F65" w:rsidRPr="008906E7" w:rsidRDefault="00420F65">
            <w:pPr>
              <w:rPr>
                <w:rFonts w:cstheme="minorHAnsi"/>
                <w:sz w:val="20"/>
                <w:szCs w:val="20"/>
              </w:rPr>
            </w:pPr>
          </w:p>
        </w:tc>
      </w:tr>
      <w:tr w:rsidR="006C466F" w:rsidRPr="00A47F4F" w:rsidTr="00ED3483">
        <w:trPr>
          <w:trHeight w:val="122"/>
        </w:trPr>
        <w:tc>
          <w:tcPr>
            <w:tcW w:w="1752" w:type="dxa"/>
            <w:vMerge/>
          </w:tcPr>
          <w:p w:rsidR="00420F65" w:rsidRPr="008906E7" w:rsidRDefault="00420F65">
            <w:pPr>
              <w:rPr>
                <w:rFonts w:cstheme="minorHAnsi"/>
                <w:sz w:val="20"/>
                <w:szCs w:val="20"/>
              </w:rPr>
            </w:pPr>
          </w:p>
        </w:tc>
        <w:tc>
          <w:tcPr>
            <w:tcW w:w="1272" w:type="dxa"/>
            <w:gridSpan w:val="4"/>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w:t>
            </w:r>
          </w:p>
          <w:p w:rsidR="00420F65" w:rsidRPr="008906E7" w:rsidRDefault="00420F65" w:rsidP="002A790B">
            <w:pPr>
              <w:tabs>
                <w:tab w:val="left" w:pos="567"/>
              </w:tabs>
              <w:rPr>
                <w:rFonts w:ascii="Calibri" w:hAnsi="Calibri" w:cs="Calibri"/>
                <w:sz w:val="20"/>
                <w:szCs w:val="20"/>
              </w:rPr>
            </w:pPr>
            <w:proofErr w:type="spellStart"/>
            <w:r w:rsidRPr="008906E7">
              <w:rPr>
                <w:rFonts w:ascii="Calibri" w:hAnsi="Calibri" w:cs="Calibri"/>
                <w:sz w:val="20"/>
                <w:szCs w:val="20"/>
              </w:rPr>
              <w:t>Ombitasvir</w:t>
            </w:r>
            <w:proofErr w:type="spellEnd"/>
          </w:p>
        </w:tc>
        <w:tc>
          <w:tcPr>
            <w:tcW w:w="1159"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1.03</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(0.95-1.11)</w:t>
            </w:r>
          </w:p>
        </w:tc>
        <w:tc>
          <w:tcPr>
            <w:tcW w:w="1210"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1.05</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(0.99-1.11)</w:t>
            </w:r>
          </w:p>
        </w:tc>
        <w:tc>
          <w:tcPr>
            <w:tcW w:w="1327" w:type="dxa"/>
            <w:gridSpan w:val="3"/>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1.03</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(0.98-1.09)</w:t>
            </w:r>
          </w:p>
        </w:tc>
        <w:tc>
          <w:tcPr>
            <w:tcW w:w="2460" w:type="dxa"/>
            <w:gridSpan w:val="2"/>
            <w:vMerge/>
          </w:tcPr>
          <w:p w:rsidR="00420F65" w:rsidRPr="008906E7" w:rsidRDefault="00420F65">
            <w:pPr>
              <w:rPr>
                <w:rFonts w:cstheme="minorHAnsi"/>
                <w:sz w:val="20"/>
                <w:szCs w:val="20"/>
              </w:rPr>
            </w:pPr>
          </w:p>
        </w:tc>
      </w:tr>
      <w:tr w:rsidR="006C466F" w:rsidRPr="00A47F4F" w:rsidTr="00ED3483">
        <w:trPr>
          <w:trHeight w:val="122"/>
        </w:trPr>
        <w:tc>
          <w:tcPr>
            <w:tcW w:w="1752" w:type="dxa"/>
            <w:vMerge/>
          </w:tcPr>
          <w:p w:rsidR="00420F65" w:rsidRPr="008906E7" w:rsidRDefault="00420F65">
            <w:pPr>
              <w:rPr>
                <w:rFonts w:cstheme="minorHAnsi"/>
                <w:sz w:val="20"/>
                <w:szCs w:val="20"/>
              </w:rPr>
            </w:pPr>
          </w:p>
        </w:tc>
        <w:tc>
          <w:tcPr>
            <w:tcW w:w="1272" w:type="dxa"/>
            <w:gridSpan w:val="4"/>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w:t>
            </w:r>
          </w:p>
          <w:p w:rsidR="00420F65" w:rsidRPr="008906E7" w:rsidRDefault="00420F65">
            <w:pPr>
              <w:tabs>
                <w:tab w:val="left" w:pos="567"/>
              </w:tabs>
              <w:rPr>
                <w:rFonts w:ascii="Calibri" w:hAnsi="Calibri" w:cs="Calibri"/>
                <w:sz w:val="20"/>
                <w:szCs w:val="20"/>
              </w:rPr>
            </w:pPr>
            <w:proofErr w:type="spellStart"/>
            <w:r w:rsidRPr="008906E7">
              <w:rPr>
                <w:rFonts w:ascii="Calibri" w:hAnsi="Calibri" w:cs="Calibri"/>
                <w:sz w:val="20"/>
                <w:szCs w:val="20"/>
              </w:rPr>
              <w:t>paritaprevir</w:t>
            </w:r>
            <w:proofErr w:type="spellEnd"/>
          </w:p>
        </w:tc>
        <w:tc>
          <w:tcPr>
            <w:tcW w:w="1159"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1.15</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(0.86-1.54)</w:t>
            </w:r>
          </w:p>
        </w:tc>
        <w:tc>
          <w:tcPr>
            <w:tcW w:w="1210"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1.11</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(0.94-1.31)</w:t>
            </w:r>
          </w:p>
        </w:tc>
        <w:tc>
          <w:tcPr>
            <w:tcW w:w="1327" w:type="dxa"/>
            <w:gridSpan w:val="3"/>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0.99</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(0.89-1.11)</w:t>
            </w:r>
          </w:p>
        </w:tc>
        <w:tc>
          <w:tcPr>
            <w:tcW w:w="2460" w:type="dxa"/>
            <w:gridSpan w:val="2"/>
            <w:vMerge/>
          </w:tcPr>
          <w:p w:rsidR="00420F65" w:rsidRPr="008906E7" w:rsidRDefault="00420F65">
            <w:pPr>
              <w:rPr>
                <w:rFonts w:cstheme="minorHAnsi"/>
                <w:sz w:val="20"/>
                <w:szCs w:val="20"/>
              </w:rPr>
            </w:pPr>
          </w:p>
        </w:tc>
      </w:tr>
      <w:tr w:rsidR="00996583" w:rsidRPr="00A47F4F" w:rsidTr="00ED3483">
        <w:tc>
          <w:tcPr>
            <w:tcW w:w="1752" w:type="dxa"/>
          </w:tcPr>
          <w:p w:rsidR="00996583" w:rsidRPr="008906E7" w:rsidRDefault="00996583">
            <w:pPr>
              <w:tabs>
                <w:tab w:val="left" w:pos="567"/>
              </w:tabs>
              <w:rPr>
                <w:rFonts w:cstheme="minorHAnsi"/>
                <w:sz w:val="20"/>
                <w:szCs w:val="20"/>
              </w:rPr>
            </w:pPr>
            <w:proofErr w:type="spellStart"/>
            <w:r>
              <w:rPr>
                <w:rFonts w:cstheme="minorHAnsi"/>
                <w:sz w:val="20"/>
                <w:szCs w:val="20"/>
              </w:rPr>
              <w:t>Fluindione</w:t>
            </w:r>
            <w:proofErr w:type="spellEnd"/>
          </w:p>
        </w:tc>
        <w:tc>
          <w:tcPr>
            <w:tcW w:w="4968" w:type="dxa"/>
            <w:gridSpan w:val="21"/>
          </w:tcPr>
          <w:p w:rsidR="00996583" w:rsidRPr="008906E7" w:rsidRDefault="00996583" w:rsidP="00153B2A">
            <w:pPr>
              <w:rPr>
                <w:rFonts w:cstheme="minorHAnsi"/>
                <w:sz w:val="20"/>
                <w:szCs w:val="20"/>
              </w:rPr>
            </w:pPr>
            <w:r>
              <w:rPr>
                <w:rFonts w:cstheme="minorHAnsi"/>
                <w:sz w:val="20"/>
                <w:szCs w:val="20"/>
              </w:rPr>
              <w:t xml:space="preserve">↑ </w:t>
            </w:r>
            <w:proofErr w:type="spellStart"/>
            <w:r>
              <w:rPr>
                <w:rFonts w:cstheme="minorHAnsi"/>
                <w:sz w:val="20"/>
                <w:szCs w:val="20"/>
              </w:rPr>
              <w:t>fluindione</w:t>
            </w:r>
            <w:proofErr w:type="spellEnd"/>
          </w:p>
        </w:tc>
        <w:tc>
          <w:tcPr>
            <w:tcW w:w="2460" w:type="dxa"/>
            <w:gridSpan w:val="2"/>
          </w:tcPr>
          <w:p w:rsidR="00996583" w:rsidRPr="008906E7" w:rsidRDefault="00996583">
            <w:pPr>
              <w:rPr>
                <w:rFonts w:cstheme="minorHAnsi"/>
                <w:sz w:val="20"/>
                <w:szCs w:val="20"/>
              </w:rPr>
            </w:pPr>
            <w:r>
              <w:rPr>
                <w:rFonts w:cstheme="minorHAnsi"/>
                <w:sz w:val="20"/>
                <w:szCs w:val="20"/>
              </w:rPr>
              <w:t>Appropriate monitoring of international normalised ratio (INR) is recommended.</w:t>
            </w:r>
          </w:p>
        </w:tc>
      </w:tr>
      <w:tr w:rsidR="006C466F" w:rsidRPr="00A47F4F" w:rsidTr="00ED3483">
        <w:tc>
          <w:tcPr>
            <w:tcW w:w="1752" w:type="dxa"/>
          </w:tcPr>
          <w:p w:rsidR="00420F65" w:rsidRPr="008906E7" w:rsidRDefault="00420F65">
            <w:pPr>
              <w:tabs>
                <w:tab w:val="left" w:pos="567"/>
              </w:tabs>
              <w:rPr>
                <w:rFonts w:cstheme="minorHAnsi"/>
                <w:sz w:val="20"/>
                <w:szCs w:val="20"/>
              </w:rPr>
            </w:pPr>
            <w:r w:rsidRPr="008906E7">
              <w:rPr>
                <w:rFonts w:cstheme="minorHAnsi"/>
                <w:sz w:val="20"/>
                <w:szCs w:val="20"/>
              </w:rPr>
              <w:t xml:space="preserve">Dabigatran </w:t>
            </w:r>
            <w:proofErr w:type="spellStart"/>
            <w:r w:rsidRPr="008906E7">
              <w:rPr>
                <w:rFonts w:cstheme="minorHAnsi"/>
                <w:sz w:val="20"/>
                <w:szCs w:val="20"/>
              </w:rPr>
              <w:t>etexilate</w:t>
            </w:r>
            <w:proofErr w:type="spellEnd"/>
            <w:r w:rsidR="00153B2A" w:rsidRPr="008906E7">
              <w:rPr>
                <w:rFonts w:cstheme="minorHAnsi"/>
                <w:sz w:val="20"/>
                <w:szCs w:val="20"/>
              </w:rPr>
              <w:t>*</w:t>
            </w:r>
          </w:p>
        </w:tc>
        <w:tc>
          <w:tcPr>
            <w:tcW w:w="4968" w:type="dxa"/>
            <w:gridSpan w:val="21"/>
          </w:tcPr>
          <w:p w:rsidR="00420F65" w:rsidRPr="008906E7" w:rsidRDefault="00420F65" w:rsidP="00153B2A">
            <w:pPr>
              <w:rPr>
                <w:rFonts w:cstheme="minorHAnsi"/>
                <w:sz w:val="20"/>
                <w:szCs w:val="20"/>
              </w:rPr>
            </w:pPr>
            <w:r w:rsidRPr="008906E7">
              <w:rPr>
                <w:rFonts w:cstheme="minorHAnsi"/>
                <w:sz w:val="20"/>
                <w:szCs w:val="20"/>
              </w:rPr>
              <w:t>↑ dabigatran</w:t>
            </w:r>
          </w:p>
        </w:tc>
        <w:tc>
          <w:tcPr>
            <w:tcW w:w="2460" w:type="dxa"/>
            <w:gridSpan w:val="2"/>
          </w:tcPr>
          <w:p w:rsidR="00420F65" w:rsidRPr="008906E7" w:rsidRDefault="00420F65">
            <w:pPr>
              <w:rPr>
                <w:rFonts w:cstheme="minorHAnsi"/>
                <w:sz w:val="20"/>
                <w:szCs w:val="20"/>
              </w:rPr>
            </w:pPr>
            <w:r w:rsidRPr="008906E7">
              <w:rPr>
                <w:rFonts w:cstheme="minorHAnsi"/>
                <w:sz w:val="20"/>
                <w:szCs w:val="20"/>
              </w:rPr>
              <w:t>Mechanism:  Intestinal P-</w:t>
            </w:r>
            <w:proofErr w:type="spellStart"/>
            <w:r w:rsidRPr="008906E7">
              <w:rPr>
                <w:rFonts w:cstheme="minorHAnsi"/>
                <w:sz w:val="20"/>
                <w:szCs w:val="20"/>
              </w:rPr>
              <w:t>gp</w:t>
            </w:r>
            <w:proofErr w:type="spellEnd"/>
            <w:r w:rsidRPr="008906E7">
              <w:rPr>
                <w:rFonts w:cstheme="minorHAnsi"/>
                <w:sz w:val="20"/>
                <w:szCs w:val="20"/>
              </w:rPr>
              <w:t xml:space="preserve"> inhibition by </w:t>
            </w:r>
            <w:proofErr w:type="spellStart"/>
            <w:r w:rsidRPr="008906E7">
              <w:rPr>
                <w:rFonts w:cstheme="minorHAnsi"/>
                <w:sz w:val="20"/>
                <w:szCs w:val="20"/>
              </w:rPr>
              <w:t>paritaprevir</w:t>
            </w:r>
            <w:proofErr w:type="spellEnd"/>
            <w:r w:rsidRPr="008906E7">
              <w:rPr>
                <w:rFonts w:cstheme="minorHAnsi"/>
                <w:sz w:val="20"/>
                <w:szCs w:val="20"/>
              </w:rPr>
              <w:t xml:space="preserve"> and ritonavir.</w:t>
            </w:r>
          </w:p>
          <w:p w:rsidR="00420F65" w:rsidRPr="008906E7" w:rsidRDefault="00420F65">
            <w:pPr>
              <w:tabs>
                <w:tab w:val="left" w:pos="567"/>
              </w:tabs>
              <w:rPr>
                <w:rFonts w:cstheme="minorHAnsi"/>
                <w:sz w:val="20"/>
                <w:szCs w:val="20"/>
              </w:rPr>
            </w:pPr>
            <w:r w:rsidRPr="008906E7">
              <w:rPr>
                <w:rFonts w:cstheme="minorHAnsi"/>
                <w:sz w:val="20"/>
                <w:szCs w:val="20"/>
              </w:rPr>
              <w:t xml:space="preserve">TECHNIVIE may increase the plasma concentrations of dabigatran </w:t>
            </w:r>
            <w:proofErr w:type="spellStart"/>
            <w:r w:rsidRPr="008906E7">
              <w:rPr>
                <w:rFonts w:cstheme="minorHAnsi"/>
                <w:sz w:val="20"/>
                <w:szCs w:val="20"/>
              </w:rPr>
              <w:t>etexilate</w:t>
            </w:r>
            <w:proofErr w:type="spellEnd"/>
            <w:r w:rsidRPr="008906E7">
              <w:rPr>
                <w:rFonts w:cstheme="minorHAnsi"/>
                <w:sz w:val="20"/>
                <w:szCs w:val="20"/>
              </w:rPr>
              <w:t>.  Use with caution.</w:t>
            </w:r>
          </w:p>
        </w:tc>
      </w:tr>
      <w:tr w:rsidR="006C466F" w:rsidRPr="00A47F4F" w:rsidTr="00ED3483">
        <w:tc>
          <w:tcPr>
            <w:tcW w:w="1752" w:type="dxa"/>
          </w:tcPr>
          <w:p w:rsidR="00420F65" w:rsidRPr="008906E7" w:rsidRDefault="00420F65">
            <w:pPr>
              <w:tabs>
                <w:tab w:val="left" w:pos="567"/>
              </w:tabs>
              <w:rPr>
                <w:rFonts w:cstheme="minorHAnsi"/>
                <w:sz w:val="20"/>
                <w:szCs w:val="20"/>
              </w:rPr>
            </w:pPr>
            <w:r w:rsidRPr="008906E7">
              <w:rPr>
                <w:rFonts w:cstheme="minorHAnsi"/>
                <w:sz w:val="20"/>
                <w:szCs w:val="20"/>
              </w:rPr>
              <w:t>S-</w:t>
            </w:r>
            <w:proofErr w:type="spellStart"/>
            <w:r w:rsidRPr="008906E7">
              <w:rPr>
                <w:rFonts w:cstheme="minorHAnsi"/>
                <w:sz w:val="20"/>
                <w:szCs w:val="20"/>
              </w:rPr>
              <w:t>mephenytoin</w:t>
            </w:r>
            <w:proofErr w:type="spellEnd"/>
            <w:r w:rsidR="00153B2A" w:rsidRPr="008906E7">
              <w:rPr>
                <w:rFonts w:cstheme="minorHAnsi"/>
                <w:sz w:val="20"/>
                <w:szCs w:val="20"/>
              </w:rPr>
              <w:t>*</w:t>
            </w:r>
          </w:p>
        </w:tc>
        <w:tc>
          <w:tcPr>
            <w:tcW w:w="4968" w:type="dxa"/>
            <w:gridSpan w:val="21"/>
          </w:tcPr>
          <w:p w:rsidR="00420F65" w:rsidRPr="008906E7" w:rsidRDefault="00420F65" w:rsidP="00153B2A">
            <w:pPr>
              <w:rPr>
                <w:rFonts w:cstheme="minorHAnsi"/>
                <w:sz w:val="20"/>
                <w:szCs w:val="20"/>
              </w:rPr>
            </w:pPr>
            <w:r w:rsidRPr="008906E7">
              <w:rPr>
                <w:rFonts w:cstheme="minorHAnsi"/>
                <w:sz w:val="20"/>
                <w:szCs w:val="20"/>
              </w:rPr>
              <w:t>↓ S-</w:t>
            </w:r>
            <w:proofErr w:type="spellStart"/>
            <w:r w:rsidRPr="008906E7">
              <w:rPr>
                <w:rFonts w:cstheme="minorHAnsi"/>
                <w:sz w:val="20"/>
                <w:szCs w:val="20"/>
              </w:rPr>
              <w:t>mephenytoin</w:t>
            </w:r>
            <w:proofErr w:type="spellEnd"/>
          </w:p>
        </w:tc>
        <w:tc>
          <w:tcPr>
            <w:tcW w:w="2460" w:type="dxa"/>
            <w:gridSpan w:val="2"/>
          </w:tcPr>
          <w:p w:rsidR="00420F65" w:rsidRPr="008906E7" w:rsidRDefault="00420F65">
            <w:pPr>
              <w:rPr>
                <w:rFonts w:cstheme="minorHAnsi"/>
                <w:sz w:val="20"/>
                <w:szCs w:val="20"/>
              </w:rPr>
            </w:pPr>
            <w:r w:rsidRPr="008906E7">
              <w:rPr>
                <w:rFonts w:cstheme="minorHAnsi"/>
                <w:sz w:val="20"/>
                <w:szCs w:val="20"/>
              </w:rPr>
              <w:t>Mechanism:  CYP2C19 induction by ritonavir.</w:t>
            </w:r>
          </w:p>
          <w:p w:rsidR="00420F65" w:rsidRPr="008906E7" w:rsidRDefault="00420F65">
            <w:pPr>
              <w:rPr>
                <w:rFonts w:cstheme="minorHAnsi"/>
                <w:sz w:val="20"/>
                <w:szCs w:val="20"/>
              </w:rPr>
            </w:pPr>
            <w:r w:rsidRPr="008906E7">
              <w:rPr>
                <w:rFonts w:cstheme="minorHAnsi"/>
                <w:sz w:val="20"/>
                <w:szCs w:val="20"/>
              </w:rPr>
              <w:t>Clinical monitoring and dose adjustment may be needed for s</w:t>
            </w:r>
            <w:r w:rsidRPr="008906E7">
              <w:rPr>
                <w:rFonts w:cstheme="minorHAnsi"/>
                <w:sz w:val="20"/>
                <w:szCs w:val="20"/>
              </w:rPr>
              <w:noBreakHyphen/>
            </w:r>
            <w:proofErr w:type="spellStart"/>
            <w:r w:rsidRPr="008906E7">
              <w:rPr>
                <w:rFonts w:cstheme="minorHAnsi"/>
                <w:sz w:val="20"/>
                <w:szCs w:val="20"/>
              </w:rPr>
              <w:t>mephenytoin</w:t>
            </w:r>
            <w:proofErr w:type="spellEnd"/>
            <w:r w:rsidRPr="008906E7">
              <w:rPr>
                <w:rFonts w:cstheme="minorHAnsi"/>
                <w:sz w:val="20"/>
                <w:szCs w:val="20"/>
              </w:rPr>
              <w:t>.</w:t>
            </w:r>
          </w:p>
        </w:tc>
      </w:tr>
      <w:tr w:rsidR="00420F65" w:rsidRPr="00A47F4F" w:rsidTr="000D4A1F">
        <w:tc>
          <w:tcPr>
            <w:tcW w:w="9180" w:type="dxa"/>
            <w:gridSpan w:val="24"/>
          </w:tcPr>
          <w:p w:rsidR="00420F65" w:rsidRPr="008906E7" w:rsidRDefault="00420F65">
            <w:pPr>
              <w:rPr>
                <w:rFonts w:cstheme="minorHAnsi"/>
                <w:b/>
                <w:sz w:val="20"/>
                <w:szCs w:val="20"/>
              </w:rPr>
            </w:pPr>
            <w:r w:rsidRPr="008906E7">
              <w:rPr>
                <w:rFonts w:cstheme="minorHAnsi"/>
                <w:b/>
                <w:sz w:val="20"/>
                <w:szCs w:val="20"/>
              </w:rPr>
              <w:t>Antidepressants</w:t>
            </w:r>
          </w:p>
        </w:tc>
      </w:tr>
      <w:tr w:rsidR="006C466F" w:rsidRPr="00A47F4F" w:rsidTr="00ED3483">
        <w:trPr>
          <w:trHeight w:val="84"/>
        </w:trPr>
        <w:tc>
          <w:tcPr>
            <w:tcW w:w="1752" w:type="dxa"/>
            <w:vMerge w:val="restart"/>
          </w:tcPr>
          <w:p w:rsidR="00420F65" w:rsidRPr="008906E7" w:rsidRDefault="00420F65">
            <w:pPr>
              <w:tabs>
                <w:tab w:val="left" w:pos="567"/>
              </w:tabs>
              <w:rPr>
                <w:rFonts w:cstheme="minorHAnsi"/>
                <w:sz w:val="20"/>
                <w:szCs w:val="20"/>
              </w:rPr>
            </w:pPr>
            <w:r w:rsidRPr="008906E7">
              <w:rPr>
                <w:rFonts w:cstheme="minorHAnsi"/>
                <w:sz w:val="20"/>
                <w:szCs w:val="20"/>
              </w:rPr>
              <w:t>Escitalopram</w:t>
            </w:r>
          </w:p>
          <w:p w:rsidR="00420F65" w:rsidRPr="008906E7" w:rsidRDefault="00420F65">
            <w:pPr>
              <w:rPr>
                <w:rFonts w:cstheme="minorHAnsi"/>
                <w:sz w:val="20"/>
                <w:szCs w:val="20"/>
              </w:rPr>
            </w:pPr>
            <w:r w:rsidRPr="008906E7">
              <w:rPr>
                <w:rFonts w:cstheme="minorHAnsi"/>
                <w:sz w:val="20"/>
                <w:szCs w:val="20"/>
              </w:rPr>
              <w:t>10 mg single dose</w:t>
            </w:r>
          </w:p>
        </w:tc>
        <w:tc>
          <w:tcPr>
            <w:tcW w:w="1327" w:type="dxa"/>
            <w:gridSpan w:val="6"/>
          </w:tcPr>
          <w:p w:rsidR="00420F65" w:rsidRPr="008906E7" w:rsidRDefault="00420F65">
            <w:pPr>
              <w:rPr>
                <w:rFonts w:cstheme="minorHAnsi"/>
                <w:sz w:val="20"/>
                <w:szCs w:val="20"/>
              </w:rPr>
            </w:pPr>
          </w:p>
        </w:tc>
        <w:tc>
          <w:tcPr>
            <w:tcW w:w="1279" w:type="dxa"/>
            <w:gridSpan w:val="9"/>
          </w:tcPr>
          <w:p w:rsidR="00420F65" w:rsidRPr="008906E7" w:rsidRDefault="00420F65">
            <w:pPr>
              <w:tabs>
                <w:tab w:val="left" w:pos="567"/>
              </w:tabs>
              <w:jc w:val="center"/>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134"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AUC</w:t>
            </w:r>
          </w:p>
        </w:tc>
        <w:tc>
          <w:tcPr>
            <w:tcW w:w="1228" w:type="dxa"/>
          </w:tcPr>
          <w:p w:rsidR="00420F65" w:rsidRPr="008906E7" w:rsidRDefault="00420F65">
            <w:pPr>
              <w:tabs>
                <w:tab w:val="left" w:pos="567"/>
              </w:tabs>
              <w:jc w:val="center"/>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val="restart"/>
          </w:tcPr>
          <w:p w:rsidR="00420F65" w:rsidRPr="008906E7" w:rsidRDefault="00420F65">
            <w:pPr>
              <w:rPr>
                <w:rFonts w:cstheme="minorHAnsi"/>
                <w:sz w:val="20"/>
                <w:szCs w:val="20"/>
              </w:rPr>
            </w:pPr>
            <w:r w:rsidRPr="008906E7">
              <w:rPr>
                <w:rFonts w:cstheme="minorHAnsi"/>
                <w:sz w:val="20"/>
                <w:szCs w:val="20"/>
              </w:rPr>
              <w:t>No dose adjustment is necessary for escitalopram.</w:t>
            </w:r>
          </w:p>
          <w:p w:rsidR="00420F65" w:rsidRPr="008906E7" w:rsidRDefault="00420F65">
            <w:pPr>
              <w:tabs>
                <w:tab w:val="left" w:pos="567"/>
              </w:tabs>
              <w:rPr>
                <w:rFonts w:cstheme="minorHAnsi"/>
                <w:sz w:val="20"/>
                <w:szCs w:val="20"/>
              </w:rPr>
            </w:pPr>
          </w:p>
        </w:tc>
      </w:tr>
      <w:tr w:rsidR="006C466F" w:rsidRPr="00A47F4F" w:rsidTr="00ED3483">
        <w:trPr>
          <w:trHeight w:val="81"/>
        </w:trPr>
        <w:tc>
          <w:tcPr>
            <w:tcW w:w="1752" w:type="dxa"/>
            <w:vMerge/>
          </w:tcPr>
          <w:p w:rsidR="00420F65" w:rsidRPr="008906E7" w:rsidRDefault="00420F65">
            <w:pPr>
              <w:rPr>
                <w:rFonts w:cstheme="minorHAnsi"/>
                <w:sz w:val="20"/>
                <w:szCs w:val="20"/>
              </w:rPr>
            </w:pPr>
          </w:p>
        </w:tc>
        <w:tc>
          <w:tcPr>
            <w:tcW w:w="1327" w:type="dxa"/>
            <w:gridSpan w:val="6"/>
          </w:tcPr>
          <w:p w:rsidR="006C466F" w:rsidRDefault="00420F65">
            <w:pPr>
              <w:tabs>
                <w:tab w:val="left" w:pos="567"/>
              </w:tabs>
              <w:rPr>
                <w:rFonts w:ascii="Calibri" w:hAnsi="Calibri" w:cs="Calibri"/>
                <w:sz w:val="20"/>
                <w:szCs w:val="20"/>
              </w:rPr>
            </w:pPr>
            <w:r w:rsidRPr="008906E7">
              <w:rPr>
                <w:rFonts w:ascii="Calibri" w:hAnsi="Calibri" w:cs="Calibri"/>
                <w:sz w:val="20"/>
                <w:szCs w:val="20"/>
              </w:rPr>
              <w:t>↓</w:t>
            </w:r>
          </w:p>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escitalopram</w:t>
            </w:r>
          </w:p>
        </w:tc>
        <w:tc>
          <w:tcPr>
            <w:tcW w:w="1279" w:type="dxa"/>
            <w:gridSpan w:val="9"/>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0.92</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(0.85-0.99)</w:t>
            </w:r>
          </w:p>
        </w:tc>
        <w:tc>
          <w:tcPr>
            <w:tcW w:w="1134"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0.75</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(0.67-0.84)</w:t>
            </w:r>
          </w:p>
        </w:tc>
        <w:tc>
          <w:tcPr>
            <w:tcW w:w="1228" w:type="dxa"/>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NA</w:t>
            </w:r>
          </w:p>
        </w:tc>
        <w:tc>
          <w:tcPr>
            <w:tcW w:w="2460" w:type="dxa"/>
            <w:gridSpan w:val="2"/>
            <w:vMerge/>
          </w:tcPr>
          <w:p w:rsidR="00420F65" w:rsidRPr="008906E7" w:rsidRDefault="00420F65">
            <w:pPr>
              <w:rPr>
                <w:rFonts w:cstheme="minorHAnsi"/>
                <w:sz w:val="20"/>
                <w:szCs w:val="20"/>
              </w:rPr>
            </w:pPr>
          </w:p>
        </w:tc>
      </w:tr>
      <w:tr w:rsidR="006C466F" w:rsidRPr="00A47F4F" w:rsidTr="00ED3483">
        <w:trPr>
          <w:trHeight w:val="81"/>
        </w:trPr>
        <w:tc>
          <w:tcPr>
            <w:tcW w:w="1752" w:type="dxa"/>
            <w:vMerge/>
          </w:tcPr>
          <w:p w:rsidR="00420F65" w:rsidRPr="008906E7" w:rsidRDefault="00420F65">
            <w:pPr>
              <w:rPr>
                <w:rFonts w:cstheme="minorHAnsi"/>
                <w:sz w:val="20"/>
                <w:szCs w:val="20"/>
              </w:rPr>
            </w:pPr>
          </w:p>
        </w:tc>
        <w:tc>
          <w:tcPr>
            <w:tcW w:w="132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S-</w:t>
            </w:r>
            <w:proofErr w:type="spellStart"/>
            <w:r w:rsidRPr="008906E7">
              <w:rPr>
                <w:rFonts w:ascii="Calibri" w:hAnsi="Calibri" w:cs="Calibri"/>
                <w:sz w:val="20"/>
                <w:szCs w:val="20"/>
              </w:rPr>
              <w:t>desmethyl</w:t>
            </w:r>
            <w:proofErr w:type="spellEnd"/>
            <w:r w:rsidRPr="008906E7">
              <w:rPr>
                <w:rFonts w:ascii="Calibri" w:hAnsi="Calibri" w:cs="Calibri"/>
                <w:sz w:val="20"/>
                <w:szCs w:val="20"/>
              </w:rPr>
              <w:t xml:space="preserve"> citalopram</w:t>
            </w:r>
          </w:p>
        </w:tc>
        <w:tc>
          <w:tcPr>
            <w:tcW w:w="1279" w:type="dxa"/>
            <w:gridSpan w:val="9"/>
          </w:tcPr>
          <w:p w:rsidR="00420F65" w:rsidRPr="008906E7" w:rsidRDefault="00420F65" w:rsidP="008906E7">
            <w:pPr>
              <w:tabs>
                <w:tab w:val="left" w:pos="567"/>
              </w:tabs>
              <w:jc w:val="center"/>
              <w:rPr>
                <w:rFonts w:ascii="Calibri" w:hAnsi="Calibri" w:cs="Calibri"/>
                <w:sz w:val="20"/>
                <w:szCs w:val="20"/>
              </w:rPr>
            </w:pPr>
            <w:r w:rsidRPr="008906E7">
              <w:rPr>
                <w:rFonts w:ascii="Calibri" w:hAnsi="Calibri" w:cs="Calibri"/>
                <w:sz w:val="20"/>
                <w:szCs w:val="20"/>
              </w:rPr>
              <w:t>1.17</w:t>
            </w:r>
          </w:p>
          <w:p w:rsidR="00420F65" w:rsidRPr="008906E7" w:rsidRDefault="00420F65" w:rsidP="008906E7">
            <w:pPr>
              <w:tabs>
                <w:tab w:val="left" w:pos="567"/>
              </w:tabs>
              <w:jc w:val="center"/>
              <w:rPr>
                <w:rFonts w:ascii="Calibri" w:hAnsi="Calibri" w:cs="Calibri"/>
                <w:sz w:val="20"/>
                <w:szCs w:val="20"/>
              </w:rPr>
            </w:pPr>
            <w:r w:rsidRPr="008906E7">
              <w:rPr>
                <w:rFonts w:ascii="Calibri" w:hAnsi="Calibri" w:cs="Calibri"/>
                <w:sz w:val="20"/>
                <w:szCs w:val="20"/>
              </w:rPr>
              <w:t>(1.08-1.26)</w:t>
            </w:r>
          </w:p>
        </w:tc>
        <w:tc>
          <w:tcPr>
            <w:tcW w:w="1134"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1.07</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(1.01-1.13)</w:t>
            </w:r>
          </w:p>
        </w:tc>
        <w:tc>
          <w:tcPr>
            <w:tcW w:w="1228" w:type="dxa"/>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NA</w:t>
            </w:r>
          </w:p>
        </w:tc>
        <w:tc>
          <w:tcPr>
            <w:tcW w:w="2460" w:type="dxa"/>
            <w:gridSpan w:val="2"/>
            <w:vMerge/>
          </w:tcPr>
          <w:p w:rsidR="00420F65" w:rsidRPr="008906E7" w:rsidRDefault="00420F65">
            <w:pPr>
              <w:rPr>
                <w:rFonts w:cstheme="minorHAnsi"/>
                <w:sz w:val="20"/>
                <w:szCs w:val="20"/>
              </w:rPr>
            </w:pPr>
          </w:p>
        </w:tc>
      </w:tr>
      <w:tr w:rsidR="006C466F" w:rsidRPr="00A47F4F" w:rsidTr="00ED3483">
        <w:trPr>
          <w:trHeight w:val="81"/>
        </w:trPr>
        <w:tc>
          <w:tcPr>
            <w:tcW w:w="1752" w:type="dxa"/>
            <w:vMerge/>
          </w:tcPr>
          <w:p w:rsidR="00420F65" w:rsidRPr="008906E7" w:rsidRDefault="00420F65">
            <w:pPr>
              <w:rPr>
                <w:rFonts w:cstheme="minorHAnsi"/>
                <w:sz w:val="20"/>
                <w:szCs w:val="20"/>
              </w:rPr>
            </w:pPr>
          </w:p>
        </w:tc>
        <w:tc>
          <w:tcPr>
            <w:tcW w:w="132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w:t>
            </w:r>
          </w:p>
          <w:p w:rsidR="00420F65" w:rsidRPr="008906E7" w:rsidRDefault="00420F65">
            <w:pPr>
              <w:tabs>
                <w:tab w:val="left" w:pos="567"/>
              </w:tabs>
              <w:rPr>
                <w:rFonts w:ascii="Calibri" w:hAnsi="Calibri" w:cs="Calibri"/>
                <w:sz w:val="20"/>
                <w:szCs w:val="20"/>
              </w:rPr>
            </w:pPr>
            <w:proofErr w:type="spellStart"/>
            <w:r w:rsidRPr="008906E7">
              <w:rPr>
                <w:rFonts w:ascii="Calibri" w:hAnsi="Calibri" w:cs="Calibri"/>
                <w:sz w:val="20"/>
                <w:szCs w:val="20"/>
              </w:rPr>
              <w:t>ombitasvir</w:t>
            </w:r>
            <w:proofErr w:type="spellEnd"/>
          </w:p>
        </w:tc>
        <w:tc>
          <w:tcPr>
            <w:tcW w:w="1279" w:type="dxa"/>
            <w:gridSpan w:val="9"/>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1.16</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(1.09-1.23)</w:t>
            </w:r>
          </w:p>
        </w:tc>
        <w:tc>
          <w:tcPr>
            <w:tcW w:w="1134"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1.03</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(1.00-1.06)</w:t>
            </w:r>
          </w:p>
        </w:tc>
        <w:tc>
          <w:tcPr>
            <w:tcW w:w="1228" w:type="dxa"/>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1.00</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(0.97-1.03)</w:t>
            </w:r>
          </w:p>
        </w:tc>
        <w:tc>
          <w:tcPr>
            <w:tcW w:w="2460" w:type="dxa"/>
            <w:gridSpan w:val="2"/>
            <w:vMerge/>
          </w:tcPr>
          <w:p w:rsidR="00420F65" w:rsidRPr="008906E7" w:rsidRDefault="00420F65">
            <w:pPr>
              <w:rPr>
                <w:rFonts w:cstheme="minorHAnsi"/>
                <w:sz w:val="20"/>
                <w:szCs w:val="20"/>
              </w:rPr>
            </w:pPr>
          </w:p>
        </w:tc>
      </w:tr>
      <w:tr w:rsidR="006C466F" w:rsidRPr="00A47F4F" w:rsidTr="00ED3483">
        <w:trPr>
          <w:trHeight w:val="81"/>
        </w:trPr>
        <w:tc>
          <w:tcPr>
            <w:tcW w:w="1752" w:type="dxa"/>
            <w:vMerge/>
          </w:tcPr>
          <w:p w:rsidR="00420F65" w:rsidRPr="008906E7" w:rsidRDefault="00420F65">
            <w:pPr>
              <w:rPr>
                <w:rFonts w:cstheme="minorHAnsi"/>
                <w:sz w:val="20"/>
                <w:szCs w:val="20"/>
              </w:rPr>
            </w:pPr>
          </w:p>
        </w:tc>
        <w:tc>
          <w:tcPr>
            <w:tcW w:w="132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paritaprevir</w:t>
            </w:r>
            <w:proofErr w:type="spellEnd"/>
          </w:p>
        </w:tc>
        <w:tc>
          <w:tcPr>
            <w:tcW w:w="1279" w:type="dxa"/>
            <w:gridSpan w:val="9"/>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1.19</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(0.84-1.68)</w:t>
            </w:r>
          </w:p>
        </w:tc>
        <w:tc>
          <w:tcPr>
            <w:tcW w:w="1134"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1.02</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(0.82-1.27)</w:t>
            </w:r>
          </w:p>
        </w:tc>
        <w:tc>
          <w:tcPr>
            <w:tcW w:w="1228" w:type="dxa"/>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0.80</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(0.71-0.89)</w:t>
            </w:r>
          </w:p>
        </w:tc>
        <w:tc>
          <w:tcPr>
            <w:tcW w:w="2460" w:type="dxa"/>
            <w:gridSpan w:val="2"/>
            <w:vMerge/>
          </w:tcPr>
          <w:p w:rsidR="00420F65" w:rsidRPr="008906E7" w:rsidRDefault="00420F65">
            <w:pPr>
              <w:rPr>
                <w:rFonts w:cstheme="minorHAnsi"/>
                <w:sz w:val="20"/>
                <w:szCs w:val="20"/>
              </w:rPr>
            </w:pPr>
          </w:p>
        </w:tc>
      </w:tr>
      <w:tr w:rsidR="006C466F" w:rsidRPr="00A47F4F" w:rsidTr="00ED3483">
        <w:trPr>
          <w:trHeight w:val="92"/>
        </w:trPr>
        <w:tc>
          <w:tcPr>
            <w:tcW w:w="1752" w:type="dxa"/>
            <w:vMerge w:val="restart"/>
          </w:tcPr>
          <w:p w:rsidR="00420F65" w:rsidRPr="008906E7" w:rsidRDefault="00420F65">
            <w:pPr>
              <w:tabs>
                <w:tab w:val="left" w:pos="567"/>
              </w:tabs>
              <w:rPr>
                <w:rFonts w:cstheme="minorHAnsi"/>
                <w:sz w:val="20"/>
                <w:szCs w:val="20"/>
              </w:rPr>
            </w:pPr>
            <w:r w:rsidRPr="008906E7">
              <w:rPr>
                <w:rFonts w:cstheme="minorHAnsi"/>
                <w:sz w:val="20"/>
                <w:szCs w:val="20"/>
              </w:rPr>
              <w:t>Duloxetine</w:t>
            </w:r>
          </w:p>
          <w:p w:rsidR="00420F65" w:rsidRPr="008906E7" w:rsidRDefault="00420F65">
            <w:pPr>
              <w:rPr>
                <w:rFonts w:cstheme="minorHAnsi"/>
                <w:sz w:val="20"/>
                <w:szCs w:val="20"/>
              </w:rPr>
            </w:pPr>
            <w:r w:rsidRPr="008906E7">
              <w:rPr>
                <w:rFonts w:cstheme="minorHAnsi"/>
                <w:sz w:val="20"/>
                <w:szCs w:val="20"/>
              </w:rPr>
              <w:t>60 mg single dose</w:t>
            </w:r>
          </w:p>
        </w:tc>
        <w:tc>
          <w:tcPr>
            <w:tcW w:w="1327" w:type="dxa"/>
            <w:gridSpan w:val="6"/>
          </w:tcPr>
          <w:p w:rsidR="00420F65" w:rsidRPr="008906E7" w:rsidRDefault="00420F65">
            <w:pPr>
              <w:tabs>
                <w:tab w:val="left" w:pos="567"/>
              </w:tabs>
              <w:rPr>
                <w:rFonts w:ascii="Calibri" w:hAnsi="Calibri" w:cs="Calibri"/>
                <w:sz w:val="20"/>
                <w:szCs w:val="20"/>
              </w:rPr>
            </w:pPr>
          </w:p>
        </w:tc>
        <w:tc>
          <w:tcPr>
            <w:tcW w:w="1279" w:type="dxa"/>
            <w:gridSpan w:val="9"/>
          </w:tcPr>
          <w:p w:rsidR="00420F65" w:rsidRPr="008906E7" w:rsidRDefault="00420F65">
            <w:pPr>
              <w:tabs>
                <w:tab w:val="left" w:pos="567"/>
              </w:tabs>
              <w:jc w:val="center"/>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134"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AUC</w:t>
            </w:r>
          </w:p>
        </w:tc>
        <w:tc>
          <w:tcPr>
            <w:tcW w:w="1228" w:type="dxa"/>
          </w:tcPr>
          <w:p w:rsidR="00420F65" w:rsidRPr="008906E7" w:rsidRDefault="00420F65">
            <w:pPr>
              <w:tabs>
                <w:tab w:val="left" w:pos="567"/>
              </w:tabs>
              <w:jc w:val="center"/>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val="restart"/>
          </w:tcPr>
          <w:p w:rsidR="00420F65" w:rsidRPr="008906E7" w:rsidRDefault="00420F65">
            <w:pPr>
              <w:tabs>
                <w:tab w:val="left" w:pos="567"/>
              </w:tabs>
              <w:rPr>
                <w:rFonts w:cstheme="minorHAnsi"/>
                <w:sz w:val="20"/>
                <w:szCs w:val="20"/>
              </w:rPr>
            </w:pPr>
            <w:r w:rsidRPr="008906E7">
              <w:rPr>
                <w:rFonts w:cstheme="minorHAnsi"/>
                <w:sz w:val="20"/>
                <w:szCs w:val="20"/>
              </w:rPr>
              <w:t>No dose adjustment is necessary for duloxetine.</w:t>
            </w:r>
          </w:p>
          <w:p w:rsidR="00420F65" w:rsidRPr="008906E7" w:rsidRDefault="00420F65">
            <w:pPr>
              <w:tabs>
                <w:tab w:val="left" w:pos="567"/>
              </w:tabs>
              <w:rPr>
                <w:rFonts w:cstheme="minorHAnsi"/>
                <w:sz w:val="20"/>
                <w:szCs w:val="20"/>
              </w:rPr>
            </w:pPr>
          </w:p>
        </w:tc>
      </w:tr>
      <w:tr w:rsidR="006C466F" w:rsidRPr="00A47F4F" w:rsidTr="00ED3483">
        <w:trPr>
          <w:trHeight w:val="89"/>
        </w:trPr>
        <w:tc>
          <w:tcPr>
            <w:tcW w:w="1752" w:type="dxa"/>
            <w:vMerge/>
          </w:tcPr>
          <w:p w:rsidR="00420F65" w:rsidRPr="008906E7" w:rsidRDefault="00420F65">
            <w:pPr>
              <w:tabs>
                <w:tab w:val="left" w:pos="567"/>
              </w:tabs>
              <w:rPr>
                <w:rFonts w:cstheme="minorHAnsi"/>
                <w:sz w:val="20"/>
                <w:szCs w:val="20"/>
              </w:rPr>
            </w:pPr>
          </w:p>
        </w:tc>
        <w:tc>
          <w:tcPr>
            <w:tcW w:w="132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w:t>
            </w:r>
          </w:p>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duloxetine</w:t>
            </w:r>
          </w:p>
        </w:tc>
        <w:tc>
          <w:tcPr>
            <w:tcW w:w="1279" w:type="dxa"/>
            <w:gridSpan w:val="9"/>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0.83</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(0.72-0.96)</w:t>
            </w:r>
          </w:p>
        </w:tc>
        <w:tc>
          <w:tcPr>
            <w:tcW w:w="1134"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0.80</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(0.71-0.90)</w:t>
            </w:r>
          </w:p>
        </w:tc>
        <w:tc>
          <w:tcPr>
            <w:tcW w:w="1228" w:type="dxa"/>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NA</w:t>
            </w:r>
          </w:p>
        </w:tc>
        <w:tc>
          <w:tcPr>
            <w:tcW w:w="2460" w:type="dxa"/>
            <w:gridSpan w:val="2"/>
            <w:vMerge/>
          </w:tcPr>
          <w:p w:rsidR="00420F65" w:rsidRPr="008906E7" w:rsidRDefault="00420F65">
            <w:pPr>
              <w:rPr>
                <w:rFonts w:cstheme="minorHAnsi"/>
                <w:sz w:val="20"/>
                <w:szCs w:val="20"/>
              </w:rPr>
            </w:pPr>
          </w:p>
        </w:tc>
      </w:tr>
      <w:tr w:rsidR="006C466F" w:rsidRPr="00A47F4F" w:rsidTr="00ED3483">
        <w:trPr>
          <w:trHeight w:val="89"/>
        </w:trPr>
        <w:tc>
          <w:tcPr>
            <w:tcW w:w="1752" w:type="dxa"/>
            <w:vMerge/>
          </w:tcPr>
          <w:p w:rsidR="00420F65" w:rsidRPr="008906E7" w:rsidRDefault="00420F65">
            <w:pPr>
              <w:tabs>
                <w:tab w:val="left" w:pos="567"/>
              </w:tabs>
              <w:rPr>
                <w:rFonts w:cstheme="minorHAnsi"/>
                <w:sz w:val="20"/>
                <w:szCs w:val="20"/>
              </w:rPr>
            </w:pPr>
          </w:p>
        </w:tc>
        <w:tc>
          <w:tcPr>
            <w:tcW w:w="132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w:t>
            </w:r>
          </w:p>
          <w:p w:rsidR="00420F65" w:rsidRPr="008906E7" w:rsidRDefault="00420F65">
            <w:pPr>
              <w:tabs>
                <w:tab w:val="left" w:pos="567"/>
              </w:tabs>
              <w:rPr>
                <w:rFonts w:ascii="Calibri" w:hAnsi="Calibri" w:cs="Calibri"/>
                <w:sz w:val="20"/>
                <w:szCs w:val="20"/>
              </w:rPr>
            </w:pPr>
            <w:proofErr w:type="spellStart"/>
            <w:r w:rsidRPr="008906E7">
              <w:rPr>
                <w:rFonts w:ascii="Calibri" w:hAnsi="Calibri" w:cs="Calibri"/>
                <w:sz w:val="20"/>
                <w:szCs w:val="20"/>
              </w:rPr>
              <w:t>ombitasvir</w:t>
            </w:r>
            <w:proofErr w:type="spellEnd"/>
          </w:p>
        </w:tc>
        <w:tc>
          <w:tcPr>
            <w:tcW w:w="1279" w:type="dxa"/>
            <w:gridSpan w:val="9"/>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1.04</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(0.92-1.16)</w:t>
            </w:r>
          </w:p>
        </w:tc>
        <w:tc>
          <w:tcPr>
            <w:tcW w:w="1134"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1.04</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(1.00-1.09)</w:t>
            </w:r>
          </w:p>
        </w:tc>
        <w:tc>
          <w:tcPr>
            <w:tcW w:w="1228" w:type="dxa"/>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1.00</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(0.97-1.03)</w:t>
            </w:r>
          </w:p>
        </w:tc>
        <w:tc>
          <w:tcPr>
            <w:tcW w:w="2460" w:type="dxa"/>
            <w:gridSpan w:val="2"/>
            <w:vMerge/>
          </w:tcPr>
          <w:p w:rsidR="00420F65" w:rsidRPr="008906E7" w:rsidRDefault="00420F65">
            <w:pPr>
              <w:rPr>
                <w:rFonts w:cstheme="minorHAnsi"/>
                <w:sz w:val="20"/>
                <w:szCs w:val="20"/>
              </w:rPr>
            </w:pPr>
          </w:p>
        </w:tc>
      </w:tr>
      <w:tr w:rsidR="006C466F" w:rsidRPr="00A47F4F" w:rsidTr="00ED3483">
        <w:trPr>
          <w:trHeight w:val="89"/>
        </w:trPr>
        <w:tc>
          <w:tcPr>
            <w:tcW w:w="1752" w:type="dxa"/>
            <w:vMerge/>
          </w:tcPr>
          <w:p w:rsidR="00420F65" w:rsidRPr="008906E7" w:rsidRDefault="00420F65">
            <w:pPr>
              <w:tabs>
                <w:tab w:val="left" w:pos="567"/>
              </w:tabs>
              <w:rPr>
                <w:rFonts w:cstheme="minorHAnsi"/>
                <w:sz w:val="20"/>
                <w:szCs w:val="20"/>
              </w:rPr>
            </w:pPr>
          </w:p>
        </w:tc>
        <w:tc>
          <w:tcPr>
            <w:tcW w:w="132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paritaprevir</w:t>
            </w:r>
            <w:proofErr w:type="spellEnd"/>
          </w:p>
        </w:tc>
        <w:tc>
          <w:tcPr>
            <w:tcW w:w="1279" w:type="dxa"/>
            <w:gridSpan w:val="9"/>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1.07</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(0.63-1.81)</w:t>
            </w:r>
          </w:p>
        </w:tc>
        <w:tc>
          <w:tcPr>
            <w:tcW w:w="1134"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0.96</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(0.70-1.32)</w:t>
            </w:r>
          </w:p>
        </w:tc>
        <w:tc>
          <w:tcPr>
            <w:tcW w:w="1228" w:type="dxa"/>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0.93</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(0.76-1.14)</w:t>
            </w:r>
          </w:p>
        </w:tc>
        <w:tc>
          <w:tcPr>
            <w:tcW w:w="2460" w:type="dxa"/>
            <w:gridSpan w:val="2"/>
            <w:vMerge/>
          </w:tcPr>
          <w:p w:rsidR="00420F65" w:rsidRPr="008906E7" w:rsidRDefault="00420F65">
            <w:pPr>
              <w:rPr>
                <w:rFonts w:cstheme="minorHAnsi"/>
                <w:sz w:val="20"/>
                <w:szCs w:val="20"/>
              </w:rPr>
            </w:pPr>
          </w:p>
        </w:tc>
      </w:tr>
      <w:tr w:rsidR="006C466F" w:rsidRPr="00A47F4F" w:rsidTr="00ED3483">
        <w:tc>
          <w:tcPr>
            <w:tcW w:w="1752" w:type="dxa"/>
          </w:tcPr>
          <w:p w:rsidR="00420F65" w:rsidRPr="008906E7" w:rsidRDefault="00420F65">
            <w:pPr>
              <w:tabs>
                <w:tab w:val="left" w:pos="567"/>
              </w:tabs>
              <w:rPr>
                <w:rFonts w:cstheme="minorHAnsi"/>
                <w:sz w:val="20"/>
                <w:szCs w:val="20"/>
              </w:rPr>
            </w:pPr>
            <w:r w:rsidRPr="008906E7">
              <w:rPr>
                <w:rFonts w:cstheme="minorHAnsi"/>
                <w:sz w:val="20"/>
                <w:szCs w:val="20"/>
              </w:rPr>
              <w:t>Trazodone</w:t>
            </w:r>
            <w:r w:rsidR="00153B2A" w:rsidRPr="008906E7">
              <w:rPr>
                <w:rFonts w:cstheme="minorHAnsi"/>
                <w:sz w:val="20"/>
                <w:szCs w:val="20"/>
              </w:rPr>
              <w:t>*</w:t>
            </w:r>
          </w:p>
        </w:tc>
        <w:tc>
          <w:tcPr>
            <w:tcW w:w="4968" w:type="dxa"/>
            <w:gridSpan w:val="21"/>
          </w:tcPr>
          <w:p w:rsidR="00420F65" w:rsidRPr="008906E7" w:rsidRDefault="00420F65" w:rsidP="00153B2A">
            <w:pPr>
              <w:rPr>
                <w:rFonts w:cstheme="minorHAnsi"/>
                <w:sz w:val="20"/>
                <w:szCs w:val="20"/>
              </w:rPr>
            </w:pPr>
            <w:r w:rsidRPr="008906E7">
              <w:rPr>
                <w:rFonts w:cstheme="minorHAnsi"/>
                <w:sz w:val="20"/>
                <w:szCs w:val="20"/>
              </w:rPr>
              <w:t>↑ trazodone</w:t>
            </w:r>
          </w:p>
        </w:tc>
        <w:tc>
          <w:tcPr>
            <w:tcW w:w="2460" w:type="dxa"/>
            <w:gridSpan w:val="2"/>
          </w:tcPr>
          <w:p w:rsidR="00420F65" w:rsidRPr="008906E7" w:rsidRDefault="00420F65">
            <w:pPr>
              <w:rPr>
                <w:rFonts w:cstheme="minorHAnsi"/>
                <w:sz w:val="20"/>
                <w:szCs w:val="20"/>
              </w:rPr>
            </w:pPr>
            <w:r w:rsidRPr="008906E7">
              <w:rPr>
                <w:rFonts w:cstheme="minorHAnsi"/>
                <w:sz w:val="20"/>
                <w:szCs w:val="20"/>
              </w:rPr>
              <w:t>Mechanism:  CYP3A4 inhibition by ritonavir.</w:t>
            </w:r>
          </w:p>
          <w:p w:rsidR="00420F65" w:rsidRPr="008906E7" w:rsidRDefault="00420F65">
            <w:pPr>
              <w:rPr>
                <w:rFonts w:cstheme="minorHAnsi"/>
                <w:sz w:val="20"/>
                <w:szCs w:val="20"/>
              </w:rPr>
            </w:pPr>
            <w:r w:rsidRPr="008906E7">
              <w:rPr>
                <w:rFonts w:cstheme="minorHAnsi"/>
                <w:sz w:val="20"/>
                <w:szCs w:val="20"/>
              </w:rPr>
              <w:t>Trazodone should be used with caution and a lower dose of trazodone may be considered.</w:t>
            </w:r>
          </w:p>
        </w:tc>
      </w:tr>
      <w:tr w:rsidR="00420F65" w:rsidRPr="00A47F4F" w:rsidTr="000D4A1F">
        <w:tc>
          <w:tcPr>
            <w:tcW w:w="9180" w:type="dxa"/>
            <w:gridSpan w:val="24"/>
          </w:tcPr>
          <w:p w:rsidR="00420F65" w:rsidRPr="008906E7" w:rsidRDefault="00420F65">
            <w:pPr>
              <w:rPr>
                <w:rFonts w:cstheme="minorHAnsi"/>
                <w:b/>
                <w:sz w:val="20"/>
                <w:szCs w:val="20"/>
              </w:rPr>
            </w:pPr>
            <w:r w:rsidRPr="008906E7">
              <w:rPr>
                <w:rFonts w:cstheme="minorHAnsi"/>
                <w:b/>
                <w:sz w:val="20"/>
                <w:szCs w:val="20"/>
              </w:rPr>
              <w:t>Antifungals</w:t>
            </w:r>
          </w:p>
        </w:tc>
      </w:tr>
      <w:tr w:rsidR="003A240F" w:rsidRPr="00A47F4F" w:rsidTr="00ED3483">
        <w:trPr>
          <w:trHeight w:val="188"/>
        </w:trPr>
        <w:tc>
          <w:tcPr>
            <w:tcW w:w="1752" w:type="dxa"/>
            <w:vMerge w:val="restart"/>
          </w:tcPr>
          <w:p w:rsidR="00420F65" w:rsidRPr="008906E7" w:rsidRDefault="00420F65">
            <w:pPr>
              <w:rPr>
                <w:rFonts w:cstheme="minorHAnsi"/>
                <w:sz w:val="20"/>
                <w:szCs w:val="20"/>
              </w:rPr>
            </w:pPr>
            <w:r w:rsidRPr="008906E7">
              <w:rPr>
                <w:rFonts w:cstheme="minorHAnsi"/>
                <w:sz w:val="20"/>
                <w:szCs w:val="20"/>
              </w:rPr>
              <w:t>Ketoconazole 400 mg once daily</w:t>
            </w:r>
          </w:p>
          <w:p w:rsidR="00420F65" w:rsidRPr="008906E7" w:rsidRDefault="00420F65">
            <w:pPr>
              <w:rPr>
                <w:rFonts w:cstheme="minorHAnsi"/>
                <w:sz w:val="20"/>
                <w:szCs w:val="20"/>
              </w:rPr>
            </w:pPr>
          </w:p>
        </w:tc>
        <w:tc>
          <w:tcPr>
            <w:tcW w:w="1295" w:type="dxa"/>
            <w:gridSpan w:val="5"/>
          </w:tcPr>
          <w:p w:rsidR="00420F65" w:rsidRPr="008906E7" w:rsidRDefault="00420F65">
            <w:pPr>
              <w:rPr>
                <w:rFonts w:cstheme="minorHAnsi"/>
                <w:sz w:val="20"/>
                <w:szCs w:val="20"/>
              </w:rPr>
            </w:pPr>
          </w:p>
        </w:tc>
        <w:tc>
          <w:tcPr>
            <w:tcW w:w="1136" w:type="dxa"/>
            <w:gridSpan w:val="6"/>
          </w:tcPr>
          <w:p w:rsidR="00420F65" w:rsidRPr="008906E7" w:rsidRDefault="00420F65">
            <w:pPr>
              <w:tabs>
                <w:tab w:val="left" w:pos="567"/>
              </w:tabs>
              <w:jc w:val="center"/>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299" w:type="dxa"/>
            <w:gridSpan w:val="8"/>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AUC</w:t>
            </w:r>
          </w:p>
        </w:tc>
        <w:tc>
          <w:tcPr>
            <w:tcW w:w="1238" w:type="dxa"/>
            <w:gridSpan w:val="2"/>
          </w:tcPr>
          <w:p w:rsidR="00420F65" w:rsidRPr="008906E7" w:rsidRDefault="00420F65">
            <w:pPr>
              <w:tabs>
                <w:tab w:val="left" w:pos="567"/>
              </w:tabs>
              <w:jc w:val="center"/>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val="restart"/>
          </w:tcPr>
          <w:p w:rsidR="00420F65" w:rsidRPr="008906E7" w:rsidRDefault="00420F65">
            <w:pPr>
              <w:rPr>
                <w:rFonts w:cstheme="minorHAnsi"/>
                <w:sz w:val="20"/>
                <w:szCs w:val="20"/>
              </w:rPr>
            </w:pPr>
            <w:r w:rsidRPr="008906E7">
              <w:rPr>
                <w:rFonts w:cstheme="minorHAnsi"/>
                <w:sz w:val="20"/>
                <w:szCs w:val="20"/>
              </w:rPr>
              <w:t>When TECHNIVIE is co-administered with ketoconazole, the maximum daily dose of ketoconazole should be limited to 200 mg per day.</w:t>
            </w:r>
          </w:p>
        </w:tc>
      </w:tr>
      <w:tr w:rsidR="003A240F" w:rsidRPr="00A47F4F" w:rsidTr="00ED3483">
        <w:trPr>
          <w:trHeight w:val="184"/>
        </w:trPr>
        <w:tc>
          <w:tcPr>
            <w:tcW w:w="1752" w:type="dxa"/>
            <w:vMerge/>
          </w:tcPr>
          <w:p w:rsidR="00420F65" w:rsidRPr="008906E7" w:rsidRDefault="00420F65">
            <w:pPr>
              <w:rPr>
                <w:rFonts w:cstheme="minorHAnsi"/>
                <w:sz w:val="20"/>
                <w:szCs w:val="20"/>
              </w:rPr>
            </w:pPr>
          </w:p>
        </w:tc>
        <w:tc>
          <w:tcPr>
            <w:tcW w:w="1295" w:type="dxa"/>
            <w:gridSpan w:val="5"/>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w:t>
            </w:r>
          </w:p>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keto-</w:t>
            </w:r>
            <w:proofErr w:type="spellStart"/>
            <w:r w:rsidRPr="008906E7">
              <w:rPr>
                <w:rFonts w:ascii="Calibri" w:hAnsi="Calibri" w:cs="Calibri"/>
                <w:sz w:val="20"/>
                <w:szCs w:val="20"/>
              </w:rPr>
              <w:t>conazole</w:t>
            </w:r>
            <w:proofErr w:type="spellEnd"/>
          </w:p>
        </w:tc>
        <w:tc>
          <w:tcPr>
            <w:tcW w:w="1136" w:type="dxa"/>
            <w:gridSpan w:val="6"/>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1.10</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(1.05-1.16)</w:t>
            </w:r>
          </w:p>
        </w:tc>
        <w:tc>
          <w:tcPr>
            <w:tcW w:w="1299" w:type="dxa"/>
            <w:gridSpan w:val="8"/>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2.05</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(1.93-2.18)</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NA</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184"/>
        </w:trPr>
        <w:tc>
          <w:tcPr>
            <w:tcW w:w="1752" w:type="dxa"/>
            <w:vMerge/>
          </w:tcPr>
          <w:p w:rsidR="00420F65" w:rsidRPr="008906E7" w:rsidRDefault="00420F65">
            <w:pPr>
              <w:rPr>
                <w:rFonts w:cstheme="minorHAnsi"/>
                <w:sz w:val="20"/>
                <w:szCs w:val="20"/>
              </w:rPr>
            </w:pPr>
          </w:p>
        </w:tc>
        <w:tc>
          <w:tcPr>
            <w:tcW w:w="1295" w:type="dxa"/>
            <w:gridSpan w:val="5"/>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w:t>
            </w:r>
          </w:p>
          <w:p w:rsidR="00420F65" w:rsidRPr="008906E7" w:rsidRDefault="00420F65">
            <w:pPr>
              <w:tabs>
                <w:tab w:val="left" w:pos="567"/>
              </w:tabs>
              <w:rPr>
                <w:rFonts w:ascii="Calibri" w:hAnsi="Calibri" w:cs="Calibri"/>
                <w:sz w:val="20"/>
                <w:szCs w:val="20"/>
              </w:rPr>
            </w:pPr>
            <w:proofErr w:type="spellStart"/>
            <w:r w:rsidRPr="008906E7">
              <w:rPr>
                <w:rFonts w:ascii="Calibri" w:hAnsi="Calibri" w:cs="Calibri"/>
                <w:sz w:val="20"/>
                <w:szCs w:val="20"/>
              </w:rPr>
              <w:t>ombitasvir</w:t>
            </w:r>
            <w:proofErr w:type="spellEnd"/>
          </w:p>
        </w:tc>
        <w:tc>
          <w:tcPr>
            <w:tcW w:w="1136" w:type="dxa"/>
            <w:gridSpan w:val="6"/>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0.98</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(0.92-1.04)</w:t>
            </w:r>
          </w:p>
        </w:tc>
        <w:tc>
          <w:tcPr>
            <w:tcW w:w="1299" w:type="dxa"/>
            <w:gridSpan w:val="8"/>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1.26</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(1.20-1.32)</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NA</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77"/>
        </w:trPr>
        <w:tc>
          <w:tcPr>
            <w:tcW w:w="1752" w:type="dxa"/>
            <w:vMerge/>
          </w:tcPr>
          <w:p w:rsidR="00420F65" w:rsidRPr="008906E7" w:rsidRDefault="00420F65">
            <w:pPr>
              <w:rPr>
                <w:rFonts w:cstheme="minorHAnsi"/>
                <w:sz w:val="20"/>
                <w:szCs w:val="20"/>
              </w:rPr>
            </w:pPr>
          </w:p>
        </w:tc>
        <w:tc>
          <w:tcPr>
            <w:tcW w:w="1295" w:type="dxa"/>
            <w:gridSpan w:val="5"/>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w:t>
            </w:r>
          </w:p>
          <w:p w:rsidR="00420F65" w:rsidRPr="008906E7" w:rsidRDefault="00420F65">
            <w:pPr>
              <w:tabs>
                <w:tab w:val="left" w:pos="567"/>
              </w:tabs>
              <w:rPr>
                <w:rFonts w:ascii="Calibri" w:hAnsi="Calibri" w:cs="Calibri"/>
                <w:sz w:val="20"/>
                <w:szCs w:val="20"/>
              </w:rPr>
            </w:pPr>
            <w:proofErr w:type="spellStart"/>
            <w:r w:rsidRPr="008906E7">
              <w:rPr>
                <w:rFonts w:ascii="Calibri" w:hAnsi="Calibri" w:cs="Calibri"/>
                <w:sz w:val="20"/>
                <w:szCs w:val="20"/>
              </w:rPr>
              <w:t>paritaprevir</w:t>
            </w:r>
            <w:proofErr w:type="spellEnd"/>
          </w:p>
        </w:tc>
        <w:tc>
          <w:tcPr>
            <w:tcW w:w="1136" w:type="dxa"/>
            <w:gridSpan w:val="6"/>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1.72</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(1.32-2.26)</w:t>
            </w:r>
          </w:p>
        </w:tc>
        <w:tc>
          <w:tcPr>
            <w:tcW w:w="1299" w:type="dxa"/>
            <w:gridSpan w:val="8"/>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2.16</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(1.76-2.66)</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NA</w:t>
            </w:r>
          </w:p>
        </w:tc>
        <w:tc>
          <w:tcPr>
            <w:tcW w:w="2460" w:type="dxa"/>
            <w:gridSpan w:val="2"/>
            <w:vMerge/>
          </w:tcPr>
          <w:p w:rsidR="00420F65" w:rsidRPr="008906E7" w:rsidRDefault="00420F65">
            <w:pPr>
              <w:rPr>
                <w:rFonts w:cstheme="minorHAnsi"/>
                <w:sz w:val="20"/>
                <w:szCs w:val="20"/>
              </w:rPr>
            </w:pPr>
          </w:p>
        </w:tc>
      </w:tr>
      <w:tr w:rsidR="006C466F" w:rsidRPr="00A47F4F" w:rsidTr="00ED3483">
        <w:tc>
          <w:tcPr>
            <w:tcW w:w="1752" w:type="dxa"/>
          </w:tcPr>
          <w:p w:rsidR="00420F65" w:rsidRPr="008906E7" w:rsidRDefault="00420F65">
            <w:pPr>
              <w:rPr>
                <w:rFonts w:cstheme="minorHAnsi"/>
                <w:sz w:val="20"/>
                <w:szCs w:val="20"/>
              </w:rPr>
            </w:pPr>
            <w:proofErr w:type="spellStart"/>
            <w:r w:rsidRPr="008906E7">
              <w:rPr>
                <w:rFonts w:cstheme="minorHAnsi"/>
                <w:sz w:val="20"/>
                <w:szCs w:val="20"/>
              </w:rPr>
              <w:t>Voriconazole</w:t>
            </w:r>
            <w:proofErr w:type="spellEnd"/>
            <w:r w:rsidR="00153B2A" w:rsidRPr="008906E7">
              <w:rPr>
                <w:rFonts w:cstheme="minorHAnsi"/>
                <w:sz w:val="20"/>
                <w:szCs w:val="20"/>
              </w:rPr>
              <w:t>*</w:t>
            </w:r>
          </w:p>
        </w:tc>
        <w:tc>
          <w:tcPr>
            <w:tcW w:w="4968" w:type="dxa"/>
            <w:gridSpan w:val="21"/>
          </w:tcPr>
          <w:p w:rsidR="00420F65" w:rsidRPr="008906E7" w:rsidRDefault="00420F65" w:rsidP="00153B2A">
            <w:pPr>
              <w:rPr>
                <w:rFonts w:cstheme="minorHAnsi"/>
                <w:sz w:val="20"/>
                <w:szCs w:val="20"/>
              </w:rPr>
            </w:pPr>
            <w:r w:rsidRPr="008906E7">
              <w:rPr>
                <w:rFonts w:cstheme="minorHAnsi"/>
                <w:sz w:val="20"/>
                <w:szCs w:val="20"/>
              </w:rPr>
              <w:t xml:space="preserve">↓ </w:t>
            </w:r>
            <w:proofErr w:type="spellStart"/>
            <w:r w:rsidRPr="008906E7">
              <w:rPr>
                <w:rFonts w:cstheme="minorHAnsi"/>
                <w:sz w:val="20"/>
                <w:szCs w:val="20"/>
              </w:rPr>
              <w:t>voriconazole</w:t>
            </w:r>
            <w:proofErr w:type="spellEnd"/>
          </w:p>
        </w:tc>
        <w:tc>
          <w:tcPr>
            <w:tcW w:w="2460" w:type="dxa"/>
            <w:gridSpan w:val="2"/>
          </w:tcPr>
          <w:p w:rsidR="00420F65" w:rsidRPr="008906E7" w:rsidRDefault="00420F65">
            <w:pPr>
              <w:rPr>
                <w:rFonts w:cstheme="minorHAnsi"/>
                <w:sz w:val="20"/>
                <w:szCs w:val="20"/>
              </w:rPr>
            </w:pPr>
            <w:r w:rsidRPr="008906E7">
              <w:rPr>
                <w:rFonts w:cstheme="minorHAnsi"/>
                <w:sz w:val="20"/>
                <w:szCs w:val="20"/>
              </w:rPr>
              <w:t>Mechanism:  CYP2C19 induction by ritonavir.</w:t>
            </w:r>
          </w:p>
          <w:p w:rsidR="00420F65" w:rsidRPr="008906E7" w:rsidRDefault="00420F65">
            <w:pPr>
              <w:rPr>
                <w:rFonts w:cstheme="minorHAnsi"/>
                <w:sz w:val="20"/>
                <w:szCs w:val="20"/>
              </w:rPr>
            </w:pPr>
            <w:proofErr w:type="spellStart"/>
            <w:r w:rsidRPr="008906E7">
              <w:rPr>
                <w:rFonts w:cstheme="minorHAnsi"/>
                <w:sz w:val="20"/>
                <w:szCs w:val="20"/>
              </w:rPr>
              <w:t>Coadministration</w:t>
            </w:r>
            <w:proofErr w:type="spellEnd"/>
            <w:r w:rsidRPr="008906E7">
              <w:rPr>
                <w:rFonts w:cstheme="minorHAnsi"/>
                <w:sz w:val="20"/>
                <w:szCs w:val="20"/>
              </w:rPr>
              <w:t xml:space="preserve"> of TECHNIVIE with </w:t>
            </w:r>
            <w:proofErr w:type="spellStart"/>
            <w:r w:rsidRPr="008906E7">
              <w:rPr>
                <w:rFonts w:cstheme="minorHAnsi"/>
                <w:sz w:val="20"/>
                <w:szCs w:val="20"/>
              </w:rPr>
              <w:t>voriconazole</w:t>
            </w:r>
            <w:proofErr w:type="spellEnd"/>
            <w:r w:rsidRPr="008906E7">
              <w:rPr>
                <w:rFonts w:cstheme="minorHAnsi"/>
                <w:sz w:val="20"/>
                <w:szCs w:val="20"/>
              </w:rPr>
              <w:t xml:space="preserve"> is not recommended unless an assessment of the benefit-to-risk ratio justifies the use of </w:t>
            </w:r>
            <w:proofErr w:type="spellStart"/>
            <w:r w:rsidRPr="008906E7">
              <w:rPr>
                <w:rFonts w:cstheme="minorHAnsi"/>
                <w:sz w:val="20"/>
                <w:szCs w:val="20"/>
              </w:rPr>
              <w:t>voriconazole</w:t>
            </w:r>
            <w:proofErr w:type="spellEnd"/>
            <w:r w:rsidRPr="008906E7">
              <w:rPr>
                <w:rFonts w:cstheme="minorHAnsi"/>
                <w:sz w:val="20"/>
                <w:szCs w:val="20"/>
              </w:rPr>
              <w:t>.</w:t>
            </w:r>
          </w:p>
        </w:tc>
      </w:tr>
      <w:tr w:rsidR="000D4A1F" w:rsidRPr="00A47F4F" w:rsidTr="00FA00D4">
        <w:tc>
          <w:tcPr>
            <w:tcW w:w="9180" w:type="dxa"/>
            <w:gridSpan w:val="24"/>
          </w:tcPr>
          <w:p w:rsidR="000D4A1F" w:rsidRPr="000D4A1F" w:rsidRDefault="000D4A1F" w:rsidP="00420F65">
            <w:pPr>
              <w:rPr>
                <w:b/>
              </w:rPr>
            </w:pPr>
            <w:r w:rsidRPr="000D4A1F">
              <w:rPr>
                <w:b/>
                <w:sz w:val="20"/>
              </w:rPr>
              <w:t>Antidiabetic</w:t>
            </w:r>
          </w:p>
        </w:tc>
      </w:tr>
      <w:tr w:rsidR="006C466F" w:rsidRPr="00A47F4F" w:rsidTr="00ED3483">
        <w:tc>
          <w:tcPr>
            <w:tcW w:w="1752" w:type="dxa"/>
          </w:tcPr>
          <w:p w:rsidR="000D4A1F" w:rsidRPr="000D4A1F" w:rsidRDefault="000D4A1F">
            <w:pPr>
              <w:rPr>
                <w:rFonts w:cstheme="minorHAnsi"/>
                <w:sz w:val="20"/>
                <w:szCs w:val="20"/>
              </w:rPr>
            </w:pPr>
            <w:r>
              <w:rPr>
                <w:rFonts w:cstheme="minorHAnsi"/>
                <w:sz w:val="20"/>
                <w:szCs w:val="20"/>
              </w:rPr>
              <w:t>Metformin</w:t>
            </w:r>
          </w:p>
        </w:tc>
        <w:tc>
          <w:tcPr>
            <w:tcW w:w="7428" w:type="dxa"/>
            <w:gridSpan w:val="23"/>
          </w:tcPr>
          <w:p w:rsidR="000D4A1F" w:rsidRDefault="000D4A1F" w:rsidP="009851B9">
            <w:r w:rsidRPr="007B020A">
              <w:rPr>
                <w:rFonts w:cstheme="minorHAnsi"/>
                <w:sz w:val="20"/>
                <w:szCs w:val="20"/>
              </w:rPr>
              <w:t xml:space="preserve">No dose adjustments are required when co-administering with </w:t>
            </w:r>
            <w:r w:rsidR="009851B9">
              <w:rPr>
                <w:rFonts w:cstheme="minorHAnsi"/>
                <w:sz w:val="20"/>
                <w:szCs w:val="20"/>
              </w:rPr>
              <w:t>TECHNIVIE</w:t>
            </w:r>
            <w:r>
              <w:rPr>
                <w:rFonts w:cstheme="minorHAnsi"/>
                <w:sz w:val="20"/>
                <w:szCs w:val="20"/>
              </w:rPr>
              <w:t xml:space="preserve">. </w:t>
            </w:r>
            <w:r w:rsidR="009851B9">
              <w:rPr>
                <w:rFonts w:cstheme="minorHAnsi"/>
                <w:sz w:val="20"/>
                <w:szCs w:val="20"/>
              </w:rPr>
              <w:t xml:space="preserve"> </w:t>
            </w:r>
            <w:r w:rsidRPr="00E348AC">
              <w:rPr>
                <w:rFonts w:cstheme="minorHAnsi"/>
                <w:sz w:val="20"/>
                <w:szCs w:val="20"/>
                <w:lang w:val="en-US"/>
              </w:rPr>
              <w:t>Concomitant metformin use in patients with renal insufficiency or hepatic impairment is not recommended</w:t>
            </w:r>
            <w:r>
              <w:rPr>
                <w:rFonts w:cstheme="minorHAnsi"/>
                <w:sz w:val="20"/>
                <w:szCs w:val="20"/>
                <w:lang w:val="en-US"/>
              </w:rPr>
              <w:t xml:space="preserve">. </w:t>
            </w:r>
          </w:p>
        </w:tc>
      </w:tr>
      <w:tr w:rsidR="00497BFE" w:rsidRPr="00A47F4F" w:rsidTr="00FA00D4">
        <w:tc>
          <w:tcPr>
            <w:tcW w:w="9180" w:type="dxa"/>
            <w:gridSpan w:val="24"/>
          </w:tcPr>
          <w:p w:rsidR="00497BFE" w:rsidRDefault="00497BFE" w:rsidP="00420F65">
            <w:proofErr w:type="spellStart"/>
            <w:r>
              <w:rPr>
                <w:rFonts w:cstheme="minorHAnsi"/>
                <w:b/>
                <w:sz w:val="20"/>
                <w:szCs w:val="20"/>
              </w:rPr>
              <w:t>Antigout</w:t>
            </w:r>
            <w:proofErr w:type="spellEnd"/>
          </w:p>
        </w:tc>
      </w:tr>
      <w:tr w:rsidR="003A240F" w:rsidRPr="00A47F4F" w:rsidTr="00ED3483">
        <w:tc>
          <w:tcPr>
            <w:tcW w:w="1752" w:type="dxa"/>
          </w:tcPr>
          <w:p w:rsidR="00420F65" w:rsidRPr="00497BFE" w:rsidRDefault="00497BFE">
            <w:pPr>
              <w:rPr>
                <w:rFonts w:cstheme="minorHAnsi"/>
                <w:sz w:val="20"/>
                <w:szCs w:val="20"/>
              </w:rPr>
            </w:pPr>
            <w:r>
              <w:rPr>
                <w:rFonts w:cstheme="minorHAnsi"/>
                <w:sz w:val="20"/>
                <w:szCs w:val="20"/>
              </w:rPr>
              <w:t>Colchicine</w:t>
            </w:r>
          </w:p>
        </w:tc>
        <w:tc>
          <w:tcPr>
            <w:tcW w:w="7428" w:type="dxa"/>
            <w:gridSpan w:val="23"/>
          </w:tcPr>
          <w:p w:rsidR="00420F65" w:rsidRPr="00497BFE" w:rsidRDefault="00420F65" w:rsidP="00420F65">
            <w:pPr>
              <w:rPr>
                <w:sz w:val="20"/>
              </w:rPr>
            </w:pPr>
            <w:r w:rsidRPr="00497BFE">
              <w:rPr>
                <w:sz w:val="20"/>
              </w:rPr>
              <w:t xml:space="preserve">A reduction in colchicine dosage or an interruption of colchicine treatment is recommended in patients with normal renal or hepatic function if treatment with TECHNIVIE is required. See also the colchicine prescribing information. </w:t>
            </w:r>
          </w:p>
          <w:p w:rsidR="00420F65" w:rsidRPr="008906E7" w:rsidRDefault="00420F65" w:rsidP="00420F65">
            <w:pPr>
              <w:rPr>
                <w:rFonts w:cstheme="minorHAnsi"/>
                <w:sz w:val="20"/>
                <w:szCs w:val="20"/>
              </w:rPr>
            </w:pPr>
            <w:r w:rsidRPr="00497BFE">
              <w:rPr>
                <w:sz w:val="20"/>
              </w:rPr>
              <w:t>Use of colchicine is contraindicated with TECHNIVIE in patients with renal or hepatic impairment</w:t>
            </w:r>
          </w:p>
        </w:tc>
      </w:tr>
      <w:tr w:rsidR="00420F65" w:rsidRPr="00A47F4F" w:rsidTr="000D4A1F">
        <w:tc>
          <w:tcPr>
            <w:tcW w:w="9180" w:type="dxa"/>
            <w:gridSpan w:val="24"/>
          </w:tcPr>
          <w:p w:rsidR="00420F65" w:rsidRPr="008906E7" w:rsidRDefault="00420F65">
            <w:pPr>
              <w:rPr>
                <w:rFonts w:cstheme="minorHAnsi"/>
                <w:b/>
                <w:sz w:val="20"/>
                <w:szCs w:val="20"/>
              </w:rPr>
            </w:pPr>
            <w:r w:rsidRPr="008906E7">
              <w:rPr>
                <w:rFonts w:cstheme="minorHAnsi"/>
                <w:b/>
                <w:sz w:val="20"/>
                <w:szCs w:val="20"/>
              </w:rPr>
              <w:t>Antihistamines (for systemic use)</w:t>
            </w:r>
          </w:p>
        </w:tc>
      </w:tr>
      <w:tr w:rsidR="006C466F" w:rsidRPr="00A47F4F" w:rsidTr="00ED3483">
        <w:tc>
          <w:tcPr>
            <w:tcW w:w="1752" w:type="dxa"/>
          </w:tcPr>
          <w:p w:rsidR="00420F65" w:rsidRPr="008906E7" w:rsidRDefault="00420F65">
            <w:pPr>
              <w:rPr>
                <w:rFonts w:cstheme="minorHAnsi"/>
                <w:sz w:val="20"/>
                <w:szCs w:val="20"/>
              </w:rPr>
            </w:pPr>
            <w:r w:rsidRPr="008906E7">
              <w:rPr>
                <w:rFonts w:cstheme="minorHAnsi"/>
                <w:sz w:val="20"/>
                <w:szCs w:val="20"/>
              </w:rPr>
              <w:t>Fexofenadine</w:t>
            </w:r>
            <w:r w:rsidR="00153B2A" w:rsidRPr="008906E7">
              <w:rPr>
                <w:rFonts w:cstheme="minorHAnsi"/>
                <w:sz w:val="20"/>
                <w:szCs w:val="20"/>
              </w:rPr>
              <w:t>*</w:t>
            </w:r>
          </w:p>
        </w:tc>
        <w:tc>
          <w:tcPr>
            <w:tcW w:w="4968" w:type="dxa"/>
            <w:gridSpan w:val="21"/>
          </w:tcPr>
          <w:p w:rsidR="00420F65" w:rsidRPr="008906E7" w:rsidRDefault="00420F65" w:rsidP="00153B2A">
            <w:pPr>
              <w:rPr>
                <w:rFonts w:cstheme="minorHAnsi"/>
                <w:sz w:val="20"/>
                <w:szCs w:val="20"/>
              </w:rPr>
            </w:pPr>
            <w:r w:rsidRPr="008906E7">
              <w:rPr>
                <w:rFonts w:cstheme="minorHAnsi"/>
                <w:sz w:val="20"/>
                <w:szCs w:val="20"/>
              </w:rPr>
              <w:t>↑ fexofenadine</w:t>
            </w:r>
          </w:p>
        </w:tc>
        <w:tc>
          <w:tcPr>
            <w:tcW w:w="2460" w:type="dxa"/>
            <w:gridSpan w:val="2"/>
          </w:tcPr>
          <w:p w:rsidR="00420F65" w:rsidRPr="008906E7" w:rsidRDefault="00420F65">
            <w:pPr>
              <w:rPr>
                <w:rFonts w:cstheme="minorHAnsi"/>
                <w:sz w:val="20"/>
                <w:szCs w:val="20"/>
              </w:rPr>
            </w:pPr>
            <w:r w:rsidRPr="008906E7">
              <w:rPr>
                <w:rFonts w:cstheme="minorHAnsi"/>
                <w:sz w:val="20"/>
                <w:szCs w:val="20"/>
              </w:rPr>
              <w:t xml:space="preserve">Mechanism:  OATP1B1 inhibition by </w:t>
            </w:r>
            <w:proofErr w:type="spellStart"/>
            <w:r w:rsidRPr="008906E7">
              <w:rPr>
                <w:rFonts w:cstheme="minorHAnsi"/>
                <w:sz w:val="20"/>
                <w:szCs w:val="20"/>
              </w:rPr>
              <w:t>paritaprevir</w:t>
            </w:r>
            <w:proofErr w:type="spellEnd"/>
            <w:r w:rsidRPr="008906E7">
              <w:rPr>
                <w:rFonts w:cstheme="minorHAnsi"/>
                <w:sz w:val="20"/>
                <w:szCs w:val="20"/>
              </w:rPr>
              <w:t>.</w:t>
            </w:r>
          </w:p>
          <w:p w:rsidR="00420F65" w:rsidRPr="008906E7" w:rsidRDefault="00420F65">
            <w:pPr>
              <w:tabs>
                <w:tab w:val="left" w:pos="567"/>
              </w:tabs>
              <w:rPr>
                <w:rFonts w:cstheme="minorHAnsi"/>
                <w:sz w:val="20"/>
                <w:szCs w:val="20"/>
              </w:rPr>
            </w:pPr>
            <w:r w:rsidRPr="008906E7">
              <w:rPr>
                <w:rFonts w:cstheme="minorHAnsi"/>
                <w:sz w:val="20"/>
                <w:szCs w:val="20"/>
              </w:rPr>
              <w:t xml:space="preserve">Caution should be used when TECHNIVIE is </w:t>
            </w:r>
            <w:proofErr w:type="spellStart"/>
            <w:r w:rsidRPr="008906E7">
              <w:rPr>
                <w:rFonts w:cstheme="minorHAnsi"/>
                <w:sz w:val="20"/>
                <w:szCs w:val="20"/>
              </w:rPr>
              <w:t>coadministered</w:t>
            </w:r>
            <w:proofErr w:type="spellEnd"/>
            <w:r w:rsidRPr="008906E7">
              <w:rPr>
                <w:rFonts w:cstheme="minorHAnsi"/>
                <w:sz w:val="20"/>
                <w:szCs w:val="20"/>
              </w:rPr>
              <w:t xml:space="preserve"> with fexofenadine.</w:t>
            </w:r>
          </w:p>
        </w:tc>
      </w:tr>
      <w:tr w:rsidR="00420F65" w:rsidRPr="00A47F4F" w:rsidTr="000D4A1F">
        <w:tc>
          <w:tcPr>
            <w:tcW w:w="9180" w:type="dxa"/>
            <w:gridSpan w:val="24"/>
          </w:tcPr>
          <w:p w:rsidR="00420F65" w:rsidRPr="008906E7" w:rsidRDefault="00420F65">
            <w:pPr>
              <w:rPr>
                <w:rFonts w:cstheme="minorHAnsi"/>
                <w:b/>
                <w:sz w:val="20"/>
                <w:szCs w:val="20"/>
              </w:rPr>
            </w:pPr>
            <w:r w:rsidRPr="008906E7">
              <w:rPr>
                <w:rFonts w:cstheme="minorHAnsi"/>
                <w:b/>
                <w:sz w:val="20"/>
                <w:szCs w:val="20"/>
              </w:rPr>
              <w:t>Calcium Channel Blockers</w:t>
            </w:r>
          </w:p>
        </w:tc>
      </w:tr>
      <w:tr w:rsidR="006C466F" w:rsidRPr="00A47F4F" w:rsidTr="00ED3483">
        <w:trPr>
          <w:trHeight w:val="198"/>
        </w:trPr>
        <w:tc>
          <w:tcPr>
            <w:tcW w:w="1752" w:type="dxa"/>
            <w:vMerge w:val="restart"/>
          </w:tcPr>
          <w:p w:rsidR="00420F65" w:rsidRPr="008906E7" w:rsidRDefault="00420F65">
            <w:pPr>
              <w:rPr>
                <w:rFonts w:cstheme="minorHAnsi"/>
                <w:sz w:val="20"/>
                <w:szCs w:val="20"/>
              </w:rPr>
            </w:pPr>
            <w:r w:rsidRPr="008906E7">
              <w:rPr>
                <w:rFonts w:cstheme="minorHAnsi"/>
                <w:sz w:val="20"/>
                <w:szCs w:val="20"/>
              </w:rPr>
              <w:t>Amlodipine</w:t>
            </w:r>
            <w:r w:rsidRPr="008906E7">
              <w:rPr>
                <w:rFonts w:cstheme="minorHAnsi"/>
                <w:sz w:val="20"/>
                <w:szCs w:val="20"/>
                <w:vertAlign w:val="superscript"/>
              </w:rPr>
              <w:t xml:space="preserve">1 </w:t>
            </w:r>
          </w:p>
          <w:p w:rsidR="00420F65" w:rsidRPr="008906E7" w:rsidRDefault="00420F65">
            <w:pPr>
              <w:rPr>
                <w:rFonts w:cstheme="minorHAnsi"/>
                <w:sz w:val="20"/>
                <w:szCs w:val="20"/>
              </w:rPr>
            </w:pPr>
            <w:r w:rsidRPr="008906E7">
              <w:rPr>
                <w:rFonts w:cstheme="minorHAnsi"/>
                <w:sz w:val="20"/>
                <w:szCs w:val="20"/>
              </w:rPr>
              <w:lastRenderedPageBreak/>
              <w:t>5 mg single dose</w:t>
            </w:r>
          </w:p>
        </w:tc>
        <w:tc>
          <w:tcPr>
            <w:tcW w:w="1295" w:type="dxa"/>
            <w:gridSpan w:val="5"/>
          </w:tcPr>
          <w:p w:rsidR="00420F65" w:rsidRPr="008906E7" w:rsidRDefault="00420F65">
            <w:pPr>
              <w:rPr>
                <w:rFonts w:cstheme="minorHAnsi"/>
                <w:sz w:val="20"/>
                <w:szCs w:val="20"/>
              </w:rPr>
            </w:pPr>
          </w:p>
        </w:tc>
        <w:tc>
          <w:tcPr>
            <w:tcW w:w="1136" w:type="dxa"/>
            <w:gridSpan w:val="6"/>
          </w:tcPr>
          <w:p w:rsidR="00420F65" w:rsidRPr="008906E7" w:rsidRDefault="00420F65">
            <w:pPr>
              <w:tabs>
                <w:tab w:val="left" w:pos="567"/>
              </w:tabs>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299" w:type="dxa"/>
            <w:gridSpan w:val="8"/>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AUC</w:t>
            </w:r>
          </w:p>
        </w:tc>
        <w:tc>
          <w:tcPr>
            <w:tcW w:w="1238" w:type="dxa"/>
            <w:gridSpan w:val="2"/>
          </w:tcPr>
          <w:p w:rsidR="00420F65" w:rsidRPr="008906E7" w:rsidRDefault="00420F65">
            <w:pPr>
              <w:tabs>
                <w:tab w:val="left" w:pos="567"/>
              </w:tabs>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val="restart"/>
          </w:tcPr>
          <w:p w:rsidR="00420F65" w:rsidRPr="008906E7" w:rsidRDefault="00420F65">
            <w:pPr>
              <w:rPr>
                <w:rFonts w:cstheme="minorHAnsi"/>
                <w:sz w:val="20"/>
                <w:szCs w:val="20"/>
              </w:rPr>
            </w:pPr>
            <w:r w:rsidRPr="008906E7">
              <w:rPr>
                <w:rFonts w:cstheme="minorHAnsi"/>
                <w:sz w:val="20"/>
                <w:szCs w:val="20"/>
              </w:rPr>
              <w:t xml:space="preserve">Mechanism:  CYP3A4 </w:t>
            </w:r>
            <w:r w:rsidRPr="008906E7">
              <w:rPr>
                <w:rFonts w:cstheme="minorHAnsi"/>
                <w:sz w:val="20"/>
                <w:szCs w:val="20"/>
              </w:rPr>
              <w:lastRenderedPageBreak/>
              <w:t>inhibition by ritonavir.</w:t>
            </w:r>
          </w:p>
          <w:p w:rsidR="00420F65" w:rsidRPr="008906E7" w:rsidRDefault="00497BFE" w:rsidP="00497BFE">
            <w:pPr>
              <w:tabs>
                <w:tab w:val="left" w:pos="567"/>
              </w:tabs>
              <w:rPr>
                <w:rFonts w:cstheme="minorHAnsi"/>
                <w:sz w:val="20"/>
                <w:szCs w:val="20"/>
              </w:rPr>
            </w:pPr>
            <w:r w:rsidRPr="00765C40">
              <w:rPr>
                <w:rFonts w:cstheme="minorHAnsi"/>
                <w:sz w:val="20"/>
                <w:szCs w:val="20"/>
              </w:rPr>
              <w:t xml:space="preserve"> The dose of amlodipine should</w:t>
            </w:r>
            <w:r>
              <w:rPr>
                <w:rFonts w:cstheme="minorHAnsi"/>
                <w:sz w:val="20"/>
                <w:szCs w:val="20"/>
              </w:rPr>
              <w:t xml:space="preserve"> </w:t>
            </w:r>
            <w:r w:rsidRPr="00765C40">
              <w:rPr>
                <w:rFonts w:cstheme="minorHAnsi"/>
                <w:sz w:val="20"/>
                <w:szCs w:val="20"/>
              </w:rPr>
              <w:t xml:space="preserve">be decreased by at least 50%. </w:t>
            </w:r>
            <w:r w:rsidR="009851B9">
              <w:rPr>
                <w:rFonts w:cstheme="minorHAnsi"/>
                <w:sz w:val="20"/>
                <w:szCs w:val="20"/>
              </w:rPr>
              <w:t xml:space="preserve"> </w:t>
            </w:r>
            <w:r w:rsidRPr="00765C40">
              <w:rPr>
                <w:rFonts w:cstheme="minorHAnsi"/>
                <w:sz w:val="20"/>
                <w:szCs w:val="20"/>
              </w:rPr>
              <w:t>Clinical monitoring of patients is</w:t>
            </w:r>
            <w:r>
              <w:rPr>
                <w:rFonts w:cstheme="minorHAnsi"/>
                <w:sz w:val="20"/>
                <w:szCs w:val="20"/>
              </w:rPr>
              <w:t xml:space="preserve"> </w:t>
            </w:r>
            <w:r w:rsidRPr="00765C40">
              <w:rPr>
                <w:rFonts w:cstheme="minorHAnsi"/>
                <w:sz w:val="20"/>
                <w:szCs w:val="20"/>
              </w:rPr>
              <w:t>recommended</w:t>
            </w:r>
            <w:r>
              <w:rPr>
                <w:rFonts w:cstheme="minorHAnsi"/>
                <w:sz w:val="20"/>
                <w:szCs w:val="20"/>
              </w:rPr>
              <w:t>.</w:t>
            </w:r>
          </w:p>
        </w:tc>
      </w:tr>
      <w:tr w:rsidR="006C466F" w:rsidRPr="00A47F4F" w:rsidTr="00ED3483">
        <w:trPr>
          <w:trHeight w:val="195"/>
        </w:trPr>
        <w:tc>
          <w:tcPr>
            <w:tcW w:w="1752" w:type="dxa"/>
            <w:vMerge/>
          </w:tcPr>
          <w:p w:rsidR="00420F65" w:rsidRPr="008906E7" w:rsidRDefault="00420F65">
            <w:pPr>
              <w:rPr>
                <w:rFonts w:cstheme="minorHAnsi"/>
                <w:sz w:val="20"/>
                <w:szCs w:val="20"/>
              </w:rPr>
            </w:pPr>
          </w:p>
        </w:tc>
        <w:tc>
          <w:tcPr>
            <w:tcW w:w="1295" w:type="dxa"/>
            <w:gridSpan w:val="5"/>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amlodipine</w:t>
            </w:r>
          </w:p>
        </w:tc>
        <w:tc>
          <w:tcPr>
            <w:tcW w:w="1136" w:type="dxa"/>
            <w:gridSpan w:val="6"/>
            <w:vAlign w:val="center"/>
          </w:tcPr>
          <w:p w:rsidR="00420F65" w:rsidRPr="008906E7" w:rsidRDefault="00420F65" w:rsidP="002A790B">
            <w:pPr>
              <w:tabs>
                <w:tab w:val="left" w:pos="567"/>
              </w:tabs>
              <w:jc w:val="center"/>
              <w:rPr>
                <w:rFonts w:ascii="Calibri" w:hAnsi="Calibri" w:cs="Calibri"/>
                <w:sz w:val="20"/>
                <w:szCs w:val="20"/>
              </w:rPr>
            </w:pPr>
            <w:r w:rsidRPr="008906E7">
              <w:rPr>
                <w:rFonts w:ascii="Calibri" w:hAnsi="Calibri" w:cs="Calibri"/>
                <w:sz w:val="20"/>
                <w:szCs w:val="20"/>
              </w:rPr>
              <w:t>1.26</w:t>
            </w:r>
          </w:p>
          <w:p w:rsidR="00420F65" w:rsidRPr="008906E7" w:rsidRDefault="00420F65" w:rsidP="002A790B">
            <w:pPr>
              <w:tabs>
                <w:tab w:val="left" w:pos="567"/>
              </w:tabs>
              <w:jc w:val="center"/>
              <w:rPr>
                <w:rFonts w:ascii="Calibri" w:hAnsi="Calibri" w:cs="Calibri"/>
                <w:sz w:val="20"/>
                <w:szCs w:val="20"/>
              </w:rPr>
            </w:pPr>
            <w:r w:rsidRPr="008906E7">
              <w:rPr>
                <w:rFonts w:ascii="Calibri" w:hAnsi="Calibri" w:cs="Calibri"/>
                <w:sz w:val="20"/>
                <w:szCs w:val="20"/>
              </w:rPr>
              <w:t>(1.11-1.44)</w:t>
            </w:r>
          </w:p>
        </w:tc>
        <w:tc>
          <w:tcPr>
            <w:tcW w:w="1299" w:type="dxa"/>
            <w:gridSpan w:val="8"/>
            <w:vAlign w:val="center"/>
          </w:tcPr>
          <w:p w:rsidR="00420F65" w:rsidRPr="008906E7" w:rsidRDefault="00420F65" w:rsidP="002A790B">
            <w:pPr>
              <w:tabs>
                <w:tab w:val="left" w:pos="567"/>
              </w:tabs>
              <w:jc w:val="center"/>
              <w:rPr>
                <w:rFonts w:ascii="Calibri" w:hAnsi="Calibri" w:cs="Calibri"/>
                <w:sz w:val="20"/>
                <w:szCs w:val="20"/>
              </w:rPr>
            </w:pPr>
            <w:r w:rsidRPr="008906E7">
              <w:rPr>
                <w:rFonts w:ascii="Calibri" w:hAnsi="Calibri" w:cs="Calibri"/>
                <w:sz w:val="20"/>
                <w:szCs w:val="20"/>
              </w:rPr>
              <w:t>2.57</w:t>
            </w:r>
          </w:p>
          <w:p w:rsidR="00420F65" w:rsidRPr="008906E7" w:rsidRDefault="00420F65" w:rsidP="002A790B">
            <w:pPr>
              <w:tabs>
                <w:tab w:val="left" w:pos="567"/>
              </w:tabs>
              <w:jc w:val="center"/>
              <w:rPr>
                <w:rFonts w:ascii="Calibri" w:hAnsi="Calibri" w:cs="Calibri"/>
                <w:sz w:val="20"/>
                <w:szCs w:val="20"/>
              </w:rPr>
            </w:pPr>
            <w:r w:rsidRPr="008906E7">
              <w:rPr>
                <w:rFonts w:ascii="Calibri" w:hAnsi="Calibri" w:cs="Calibri"/>
                <w:sz w:val="20"/>
                <w:szCs w:val="20"/>
              </w:rPr>
              <w:t>(2.31-2.86)</w:t>
            </w:r>
          </w:p>
        </w:tc>
        <w:tc>
          <w:tcPr>
            <w:tcW w:w="1238" w:type="dxa"/>
            <w:gridSpan w:val="2"/>
            <w:vAlign w:val="center"/>
          </w:tcPr>
          <w:p w:rsidR="00420F65" w:rsidRPr="008906E7" w:rsidRDefault="00420F65" w:rsidP="002A790B">
            <w:pPr>
              <w:tabs>
                <w:tab w:val="left" w:pos="567"/>
              </w:tabs>
              <w:jc w:val="center"/>
              <w:rPr>
                <w:rFonts w:ascii="Calibri" w:hAnsi="Calibri" w:cs="Calibri"/>
                <w:sz w:val="20"/>
                <w:szCs w:val="20"/>
              </w:rPr>
            </w:pPr>
            <w:r w:rsidRPr="008906E7">
              <w:rPr>
                <w:rFonts w:ascii="Calibri" w:hAnsi="Calibri" w:cs="Calibri"/>
                <w:sz w:val="20"/>
                <w:szCs w:val="20"/>
              </w:rPr>
              <w:t>NA</w:t>
            </w:r>
          </w:p>
        </w:tc>
        <w:tc>
          <w:tcPr>
            <w:tcW w:w="2460" w:type="dxa"/>
            <w:gridSpan w:val="2"/>
            <w:vMerge/>
          </w:tcPr>
          <w:p w:rsidR="00420F65" w:rsidRPr="008906E7" w:rsidRDefault="00420F65">
            <w:pPr>
              <w:rPr>
                <w:rFonts w:cstheme="minorHAnsi"/>
                <w:sz w:val="20"/>
                <w:szCs w:val="20"/>
              </w:rPr>
            </w:pPr>
          </w:p>
        </w:tc>
      </w:tr>
      <w:tr w:rsidR="006C466F" w:rsidRPr="00A47F4F" w:rsidTr="00ED3483">
        <w:trPr>
          <w:trHeight w:val="195"/>
        </w:trPr>
        <w:tc>
          <w:tcPr>
            <w:tcW w:w="1752" w:type="dxa"/>
            <w:vMerge/>
          </w:tcPr>
          <w:p w:rsidR="00420F65" w:rsidRPr="008906E7" w:rsidRDefault="00420F65">
            <w:pPr>
              <w:rPr>
                <w:rFonts w:cstheme="minorHAnsi"/>
                <w:sz w:val="20"/>
                <w:szCs w:val="20"/>
              </w:rPr>
            </w:pPr>
          </w:p>
        </w:tc>
        <w:tc>
          <w:tcPr>
            <w:tcW w:w="1295" w:type="dxa"/>
            <w:gridSpan w:val="5"/>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ombitasvir</w:t>
            </w:r>
            <w:proofErr w:type="spellEnd"/>
          </w:p>
        </w:tc>
        <w:tc>
          <w:tcPr>
            <w:tcW w:w="1136" w:type="dxa"/>
            <w:gridSpan w:val="6"/>
          </w:tcPr>
          <w:p w:rsidR="00420F65" w:rsidRPr="008906E7" w:rsidRDefault="00420F65" w:rsidP="002A790B">
            <w:pPr>
              <w:tabs>
                <w:tab w:val="left" w:pos="567"/>
              </w:tabs>
              <w:jc w:val="center"/>
              <w:rPr>
                <w:rFonts w:ascii="Calibri" w:hAnsi="Calibri" w:cs="Calibri"/>
                <w:sz w:val="20"/>
                <w:szCs w:val="20"/>
              </w:rPr>
            </w:pPr>
            <w:r w:rsidRPr="008906E7">
              <w:rPr>
                <w:rFonts w:ascii="Calibri" w:hAnsi="Calibri" w:cs="Calibri"/>
                <w:sz w:val="20"/>
                <w:szCs w:val="20"/>
              </w:rPr>
              <w:t>1.00</w:t>
            </w:r>
          </w:p>
          <w:p w:rsidR="00420F65" w:rsidRPr="008906E7" w:rsidRDefault="00420F65" w:rsidP="002A790B">
            <w:pPr>
              <w:tabs>
                <w:tab w:val="left" w:pos="567"/>
              </w:tabs>
              <w:jc w:val="center"/>
              <w:rPr>
                <w:rFonts w:ascii="Calibri" w:hAnsi="Calibri" w:cs="Calibri"/>
                <w:sz w:val="20"/>
                <w:szCs w:val="20"/>
              </w:rPr>
            </w:pPr>
            <w:r w:rsidRPr="008906E7">
              <w:rPr>
                <w:rFonts w:ascii="Calibri" w:hAnsi="Calibri" w:cs="Calibri"/>
                <w:sz w:val="20"/>
                <w:szCs w:val="20"/>
              </w:rPr>
              <w:t>(0.95-1.06)</w:t>
            </w:r>
          </w:p>
        </w:tc>
        <w:tc>
          <w:tcPr>
            <w:tcW w:w="1299" w:type="dxa"/>
            <w:gridSpan w:val="8"/>
          </w:tcPr>
          <w:p w:rsidR="00420F65" w:rsidRPr="008906E7" w:rsidRDefault="00420F65" w:rsidP="002A790B">
            <w:pPr>
              <w:tabs>
                <w:tab w:val="left" w:pos="567"/>
              </w:tabs>
              <w:jc w:val="center"/>
              <w:rPr>
                <w:rFonts w:ascii="Calibri" w:hAnsi="Calibri" w:cs="Calibri"/>
                <w:sz w:val="20"/>
                <w:szCs w:val="20"/>
              </w:rPr>
            </w:pPr>
            <w:r w:rsidRPr="008906E7">
              <w:rPr>
                <w:rFonts w:ascii="Calibri" w:hAnsi="Calibri" w:cs="Calibri"/>
                <w:sz w:val="20"/>
                <w:szCs w:val="20"/>
              </w:rPr>
              <w:t>1.00</w:t>
            </w:r>
          </w:p>
          <w:p w:rsidR="00420F65" w:rsidRPr="008906E7" w:rsidRDefault="00420F65" w:rsidP="002A790B">
            <w:pPr>
              <w:tabs>
                <w:tab w:val="left" w:pos="567"/>
              </w:tabs>
              <w:jc w:val="center"/>
              <w:rPr>
                <w:rFonts w:ascii="Calibri" w:hAnsi="Calibri" w:cs="Calibri"/>
                <w:sz w:val="20"/>
                <w:szCs w:val="20"/>
              </w:rPr>
            </w:pPr>
            <w:r w:rsidRPr="008906E7">
              <w:rPr>
                <w:rFonts w:ascii="Calibri" w:hAnsi="Calibri" w:cs="Calibri"/>
                <w:sz w:val="20"/>
                <w:szCs w:val="20"/>
              </w:rPr>
              <w:t>(0.97-1.04)</w:t>
            </w:r>
          </w:p>
        </w:tc>
        <w:tc>
          <w:tcPr>
            <w:tcW w:w="1238" w:type="dxa"/>
            <w:gridSpan w:val="2"/>
          </w:tcPr>
          <w:p w:rsidR="00420F65" w:rsidRPr="008906E7" w:rsidRDefault="00420F65" w:rsidP="002A790B">
            <w:pPr>
              <w:tabs>
                <w:tab w:val="left" w:pos="567"/>
              </w:tabs>
              <w:jc w:val="center"/>
              <w:rPr>
                <w:rFonts w:ascii="Calibri" w:hAnsi="Calibri" w:cs="Calibri"/>
                <w:sz w:val="20"/>
                <w:szCs w:val="20"/>
              </w:rPr>
            </w:pPr>
            <w:r w:rsidRPr="008906E7">
              <w:rPr>
                <w:rFonts w:ascii="Calibri" w:hAnsi="Calibri" w:cs="Calibri"/>
                <w:sz w:val="20"/>
                <w:szCs w:val="20"/>
              </w:rPr>
              <w:t>1.00</w:t>
            </w:r>
            <w:r w:rsidRPr="008906E7">
              <w:rPr>
                <w:rFonts w:ascii="Calibri" w:hAnsi="Calibri" w:cs="Calibri"/>
                <w:sz w:val="20"/>
                <w:szCs w:val="20"/>
              </w:rPr>
              <w:br/>
              <w:t>(0.97-1.04)</w:t>
            </w:r>
          </w:p>
        </w:tc>
        <w:tc>
          <w:tcPr>
            <w:tcW w:w="2460" w:type="dxa"/>
            <w:gridSpan w:val="2"/>
            <w:vMerge/>
          </w:tcPr>
          <w:p w:rsidR="00420F65" w:rsidRPr="008906E7" w:rsidRDefault="00420F65">
            <w:pPr>
              <w:rPr>
                <w:rFonts w:cstheme="minorHAnsi"/>
                <w:sz w:val="20"/>
                <w:szCs w:val="20"/>
              </w:rPr>
            </w:pPr>
          </w:p>
        </w:tc>
      </w:tr>
      <w:tr w:rsidR="006C466F" w:rsidRPr="00A47F4F" w:rsidTr="00ED3483">
        <w:trPr>
          <w:trHeight w:val="195"/>
        </w:trPr>
        <w:tc>
          <w:tcPr>
            <w:tcW w:w="1752" w:type="dxa"/>
            <w:vMerge/>
          </w:tcPr>
          <w:p w:rsidR="00420F65" w:rsidRPr="008906E7" w:rsidRDefault="00420F65">
            <w:pPr>
              <w:rPr>
                <w:rFonts w:cstheme="minorHAnsi"/>
                <w:sz w:val="20"/>
                <w:szCs w:val="20"/>
              </w:rPr>
            </w:pPr>
          </w:p>
        </w:tc>
        <w:tc>
          <w:tcPr>
            <w:tcW w:w="1295" w:type="dxa"/>
            <w:gridSpan w:val="5"/>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paritaprevir</w:t>
            </w:r>
            <w:proofErr w:type="spellEnd"/>
          </w:p>
        </w:tc>
        <w:tc>
          <w:tcPr>
            <w:tcW w:w="1136" w:type="dxa"/>
            <w:gridSpan w:val="6"/>
          </w:tcPr>
          <w:p w:rsidR="00420F65" w:rsidRPr="008906E7" w:rsidRDefault="00420F65" w:rsidP="002A790B">
            <w:pPr>
              <w:tabs>
                <w:tab w:val="left" w:pos="567"/>
              </w:tabs>
              <w:jc w:val="center"/>
              <w:rPr>
                <w:rFonts w:ascii="Calibri" w:hAnsi="Calibri" w:cs="Calibri"/>
                <w:sz w:val="20"/>
                <w:szCs w:val="20"/>
              </w:rPr>
            </w:pPr>
            <w:r w:rsidRPr="008906E7">
              <w:rPr>
                <w:rFonts w:ascii="Calibri" w:hAnsi="Calibri" w:cs="Calibri"/>
                <w:sz w:val="20"/>
                <w:szCs w:val="20"/>
              </w:rPr>
              <w:t>0.77</w:t>
            </w:r>
          </w:p>
          <w:p w:rsidR="00420F65" w:rsidRPr="008906E7" w:rsidRDefault="00420F65" w:rsidP="002A790B">
            <w:pPr>
              <w:tabs>
                <w:tab w:val="left" w:pos="567"/>
              </w:tabs>
              <w:jc w:val="center"/>
              <w:rPr>
                <w:rFonts w:ascii="Calibri" w:hAnsi="Calibri" w:cs="Calibri"/>
                <w:sz w:val="20"/>
                <w:szCs w:val="20"/>
              </w:rPr>
            </w:pPr>
            <w:r w:rsidRPr="008906E7">
              <w:rPr>
                <w:rFonts w:ascii="Calibri" w:hAnsi="Calibri" w:cs="Calibri"/>
                <w:sz w:val="20"/>
                <w:szCs w:val="20"/>
              </w:rPr>
              <w:t>(0.64-0.94)</w:t>
            </w:r>
          </w:p>
        </w:tc>
        <w:tc>
          <w:tcPr>
            <w:tcW w:w="1299" w:type="dxa"/>
            <w:gridSpan w:val="8"/>
          </w:tcPr>
          <w:p w:rsidR="00420F65" w:rsidRPr="008906E7" w:rsidRDefault="00420F65" w:rsidP="002A790B">
            <w:pPr>
              <w:tabs>
                <w:tab w:val="left" w:pos="567"/>
              </w:tabs>
              <w:jc w:val="center"/>
              <w:rPr>
                <w:rFonts w:ascii="Calibri" w:hAnsi="Calibri" w:cs="Calibri"/>
                <w:sz w:val="20"/>
                <w:szCs w:val="20"/>
              </w:rPr>
            </w:pPr>
            <w:r w:rsidRPr="008906E7">
              <w:rPr>
                <w:rFonts w:ascii="Calibri" w:hAnsi="Calibri" w:cs="Calibri"/>
                <w:sz w:val="20"/>
                <w:szCs w:val="20"/>
              </w:rPr>
              <w:t>0.78</w:t>
            </w:r>
          </w:p>
          <w:p w:rsidR="00420F65" w:rsidRPr="008906E7" w:rsidRDefault="00420F65" w:rsidP="002A790B">
            <w:pPr>
              <w:tabs>
                <w:tab w:val="left" w:pos="567"/>
              </w:tabs>
              <w:jc w:val="center"/>
              <w:rPr>
                <w:rFonts w:ascii="Calibri" w:hAnsi="Calibri" w:cs="Calibri"/>
                <w:sz w:val="20"/>
                <w:szCs w:val="20"/>
              </w:rPr>
            </w:pPr>
            <w:r w:rsidRPr="008906E7">
              <w:rPr>
                <w:rFonts w:ascii="Calibri" w:hAnsi="Calibri" w:cs="Calibri"/>
                <w:sz w:val="20"/>
                <w:szCs w:val="20"/>
              </w:rPr>
              <w:t>(0.68-0.88)</w:t>
            </w:r>
          </w:p>
        </w:tc>
        <w:tc>
          <w:tcPr>
            <w:tcW w:w="1238" w:type="dxa"/>
            <w:gridSpan w:val="2"/>
          </w:tcPr>
          <w:p w:rsidR="00420F65" w:rsidRPr="008906E7" w:rsidRDefault="00420F65" w:rsidP="002A790B">
            <w:pPr>
              <w:tabs>
                <w:tab w:val="left" w:pos="567"/>
              </w:tabs>
              <w:jc w:val="center"/>
              <w:rPr>
                <w:rFonts w:ascii="Calibri" w:hAnsi="Calibri" w:cs="Calibri"/>
                <w:sz w:val="20"/>
                <w:szCs w:val="20"/>
              </w:rPr>
            </w:pPr>
            <w:r w:rsidRPr="008906E7">
              <w:rPr>
                <w:rFonts w:ascii="Calibri" w:hAnsi="Calibri" w:cs="Calibri"/>
                <w:sz w:val="20"/>
                <w:szCs w:val="20"/>
              </w:rPr>
              <w:t>0.88</w:t>
            </w:r>
          </w:p>
          <w:p w:rsidR="00420F65" w:rsidRPr="008906E7" w:rsidRDefault="00420F65" w:rsidP="002A790B">
            <w:pPr>
              <w:tabs>
                <w:tab w:val="left" w:pos="567"/>
              </w:tabs>
              <w:jc w:val="center"/>
              <w:rPr>
                <w:rFonts w:ascii="Calibri" w:hAnsi="Calibri" w:cs="Calibri"/>
                <w:sz w:val="20"/>
                <w:szCs w:val="20"/>
              </w:rPr>
            </w:pPr>
            <w:r w:rsidRPr="008906E7">
              <w:rPr>
                <w:rFonts w:ascii="Calibri" w:hAnsi="Calibri" w:cs="Calibri"/>
                <w:sz w:val="20"/>
                <w:szCs w:val="20"/>
              </w:rPr>
              <w:t>(0.80-0.95)</w:t>
            </w:r>
          </w:p>
        </w:tc>
        <w:tc>
          <w:tcPr>
            <w:tcW w:w="2460" w:type="dxa"/>
            <w:gridSpan w:val="2"/>
            <w:vMerge/>
          </w:tcPr>
          <w:p w:rsidR="00420F65" w:rsidRPr="008906E7" w:rsidRDefault="00420F65">
            <w:pPr>
              <w:rPr>
                <w:rFonts w:cstheme="minorHAnsi"/>
                <w:sz w:val="20"/>
                <w:szCs w:val="20"/>
              </w:rPr>
            </w:pPr>
          </w:p>
        </w:tc>
      </w:tr>
      <w:tr w:rsidR="006C466F" w:rsidRPr="00A47F4F" w:rsidTr="00ED3483">
        <w:tc>
          <w:tcPr>
            <w:tcW w:w="1752" w:type="dxa"/>
          </w:tcPr>
          <w:p w:rsidR="00420F65" w:rsidRPr="008906E7" w:rsidRDefault="00420F65">
            <w:pPr>
              <w:rPr>
                <w:rFonts w:cstheme="minorHAnsi"/>
                <w:sz w:val="20"/>
                <w:szCs w:val="20"/>
              </w:rPr>
            </w:pPr>
            <w:r w:rsidRPr="008906E7">
              <w:rPr>
                <w:rFonts w:cstheme="minorHAnsi"/>
                <w:sz w:val="20"/>
                <w:szCs w:val="20"/>
              </w:rPr>
              <w:t>Diltiazem</w:t>
            </w:r>
            <w:r w:rsidR="00153B2A" w:rsidRPr="008906E7">
              <w:rPr>
                <w:rFonts w:ascii="Calibri" w:hAnsi="Calibri" w:cs="Calibri"/>
                <w:sz w:val="20"/>
                <w:szCs w:val="20"/>
              </w:rPr>
              <w:t>*</w:t>
            </w:r>
          </w:p>
          <w:p w:rsidR="00420F65" w:rsidRPr="008906E7" w:rsidRDefault="00420F65">
            <w:pPr>
              <w:rPr>
                <w:rFonts w:cstheme="minorHAnsi"/>
                <w:sz w:val="20"/>
                <w:szCs w:val="20"/>
              </w:rPr>
            </w:pPr>
            <w:r w:rsidRPr="008906E7">
              <w:rPr>
                <w:rFonts w:cstheme="minorHAnsi"/>
                <w:sz w:val="20"/>
                <w:szCs w:val="20"/>
              </w:rPr>
              <w:t>Verapamil</w:t>
            </w:r>
            <w:r w:rsidR="00153B2A" w:rsidRPr="008906E7">
              <w:rPr>
                <w:rFonts w:ascii="Calibri" w:hAnsi="Calibri" w:cs="Calibri"/>
                <w:sz w:val="20"/>
                <w:szCs w:val="20"/>
              </w:rPr>
              <w:t>*</w:t>
            </w:r>
          </w:p>
        </w:tc>
        <w:tc>
          <w:tcPr>
            <w:tcW w:w="4968" w:type="dxa"/>
            <w:gridSpan w:val="21"/>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diltiazem, verapamil</w:t>
            </w:r>
          </w:p>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paritaprevir</w:t>
            </w:r>
            <w:proofErr w:type="spellEnd"/>
            <w:r w:rsidRPr="008906E7">
              <w:rPr>
                <w:rFonts w:ascii="Calibri" w:hAnsi="Calibri" w:cs="Calibri"/>
                <w:sz w:val="20"/>
                <w:szCs w:val="20"/>
              </w:rPr>
              <w:t>*</w:t>
            </w:r>
          </w:p>
          <w:p w:rsidR="00420F65" w:rsidRPr="008906E7" w:rsidRDefault="00420F65">
            <w:pPr>
              <w:rPr>
                <w:rFonts w:cstheme="minorHAnsi"/>
                <w:sz w:val="20"/>
                <w:szCs w:val="20"/>
              </w:rPr>
            </w:pPr>
          </w:p>
        </w:tc>
        <w:tc>
          <w:tcPr>
            <w:tcW w:w="2460" w:type="dxa"/>
            <w:gridSpan w:val="2"/>
          </w:tcPr>
          <w:p w:rsidR="00420F65" w:rsidRPr="008906E7" w:rsidRDefault="00420F65">
            <w:pPr>
              <w:tabs>
                <w:tab w:val="left" w:pos="567"/>
              </w:tabs>
              <w:rPr>
                <w:rFonts w:cstheme="minorHAnsi"/>
                <w:sz w:val="20"/>
                <w:szCs w:val="20"/>
              </w:rPr>
            </w:pPr>
            <w:r w:rsidRPr="008906E7">
              <w:rPr>
                <w:rFonts w:cstheme="minorHAnsi"/>
                <w:sz w:val="20"/>
                <w:szCs w:val="20"/>
              </w:rPr>
              <w:t>Mechanism:  CYP3A4/P-</w:t>
            </w:r>
            <w:proofErr w:type="spellStart"/>
            <w:r w:rsidRPr="008906E7">
              <w:rPr>
                <w:rFonts w:cstheme="minorHAnsi"/>
                <w:sz w:val="20"/>
                <w:szCs w:val="20"/>
              </w:rPr>
              <w:t>gp</w:t>
            </w:r>
            <w:proofErr w:type="spellEnd"/>
            <w:r w:rsidRPr="008906E7">
              <w:rPr>
                <w:rFonts w:cstheme="minorHAnsi"/>
                <w:sz w:val="20"/>
                <w:szCs w:val="20"/>
              </w:rPr>
              <w:t xml:space="preserve"> inhibition. </w:t>
            </w:r>
          </w:p>
          <w:p w:rsidR="00420F65" w:rsidRPr="008906E7" w:rsidRDefault="00420F65">
            <w:pPr>
              <w:tabs>
                <w:tab w:val="left" w:pos="567"/>
              </w:tabs>
              <w:rPr>
                <w:rFonts w:cstheme="minorHAnsi"/>
                <w:sz w:val="20"/>
                <w:szCs w:val="20"/>
              </w:rPr>
            </w:pPr>
            <w:r w:rsidRPr="008906E7">
              <w:rPr>
                <w:rFonts w:cstheme="minorHAnsi"/>
                <w:sz w:val="20"/>
                <w:szCs w:val="20"/>
              </w:rPr>
              <w:t xml:space="preserve">Caution is advised due to the expected increase in </w:t>
            </w:r>
            <w:proofErr w:type="spellStart"/>
            <w:r w:rsidRPr="008906E7">
              <w:rPr>
                <w:rFonts w:cstheme="minorHAnsi"/>
                <w:sz w:val="20"/>
                <w:szCs w:val="20"/>
              </w:rPr>
              <w:t>paritaprevir</w:t>
            </w:r>
            <w:proofErr w:type="spellEnd"/>
            <w:r w:rsidRPr="008906E7">
              <w:rPr>
                <w:rFonts w:cstheme="minorHAnsi"/>
                <w:sz w:val="20"/>
                <w:szCs w:val="20"/>
              </w:rPr>
              <w:t xml:space="preserve"> exposures. </w:t>
            </w:r>
          </w:p>
          <w:p w:rsidR="00420F65" w:rsidRPr="008906E7" w:rsidRDefault="00420F65">
            <w:pPr>
              <w:tabs>
                <w:tab w:val="left" w:pos="567"/>
              </w:tabs>
              <w:rPr>
                <w:rFonts w:cstheme="minorHAnsi"/>
                <w:sz w:val="20"/>
                <w:szCs w:val="20"/>
              </w:rPr>
            </w:pPr>
            <w:r w:rsidRPr="008906E7">
              <w:rPr>
                <w:rFonts w:cstheme="minorHAnsi"/>
                <w:sz w:val="20"/>
                <w:szCs w:val="20"/>
              </w:rPr>
              <w:t xml:space="preserve">Dose decrease and clinical monitoring of calcium channel blockers are recommended when </w:t>
            </w:r>
            <w:proofErr w:type="spellStart"/>
            <w:r w:rsidRPr="008906E7">
              <w:rPr>
                <w:rFonts w:cstheme="minorHAnsi"/>
                <w:sz w:val="20"/>
                <w:szCs w:val="20"/>
              </w:rPr>
              <w:t>coadministered</w:t>
            </w:r>
            <w:proofErr w:type="spellEnd"/>
            <w:r w:rsidRPr="008906E7">
              <w:rPr>
                <w:rFonts w:cstheme="minorHAnsi"/>
                <w:sz w:val="20"/>
                <w:szCs w:val="20"/>
              </w:rPr>
              <w:t xml:space="preserve"> with TECHNIVIE.</w:t>
            </w:r>
          </w:p>
        </w:tc>
      </w:tr>
      <w:tr w:rsidR="006C466F" w:rsidRPr="00A47F4F" w:rsidTr="00ED3483">
        <w:tc>
          <w:tcPr>
            <w:tcW w:w="1752" w:type="dxa"/>
          </w:tcPr>
          <w:p w:rsidR="00420F65" w:rsidRPr="008906E7" w:rsidRDefault="00420F65">
            <w:pPr>
              <w:rPr>
                <w:rFonts w:cstheme="minorHAnsi"/>
                <w:sz w:val="20"/>
                <w:szCs w:val="20"/>
              </w:rPr>
            </w:pPr>
            <w:proofErr w:type="spellStart"/>
            <w:r w:rsidRPr="008906E7">
              <w:rPr>
                <w:rFonts w:cstheme="minorHAnsi"/>
                <w:sz w:val="20"/>
                <w:szCs w:val="20"/>
              </w:rPr>
              <w:t>Nifedipine</w:t>
            </w:r>
            <w:proofErr w:type="spellEnd"/>
            <w:r w:rsidR="00153B2A" w:rsidRPr="008906E7">
              <w:rPr>
                <w:rFonts w:cstheme="minorHAnsi"/>
                <w:sz w:val="20"/>
                <w:szCs w:val="20"/>
              </w:rPr>
              <w:t>*</w:t>
            </w:r>
          </w:p>
        </w:tc>
        <w:tc>
          <w:tcPr>
            <w:tcW w:w="4968" w:type="dxa"/>
            <w:gridSpan w:val="21"/>
          </w:tcPr>
          <w:p w:rsidR="00420F65" w:rsidRPr="008906E7" w:rsidRDefault="00420F65" w:rsidP="00153B2A">
            <w:pPr>
              <w:tabs>
                <w:tab w:val="left" w:pos="567"/>
              </w:tabs>
              <w:rPr>
                <w:rFonts w:cstheme="minorHAnsi"/>
                <w:sz w:val="20"/>
                <w:szCs w:val="20"/>
              </w:rPr>
            </w:pPr>
            <w:r w:rsidRPr="008906E7">
              <w:rPr>
                <w:rFonts w:cstheme="minorHAnsi"/>
                <w:sz w:val="20"/>
                <w:szCs w:val="20"/>
              </w:rPr>
              <w:t xml:space="preserve">↑ </w:t>
            </w:r>
            <w:proofErr w:type="spellStart"/>
            <w:r w:rsidRPr="008906E7">
              <w:rPr>
                <w:rFonts w:cstheme="minorHAnsi"/>
                <w:sz w:val="20"/>
                <w:szCs w:val="20"/>
              </w:rPr>
              <w:t>nifedipine</w:t>
            </w:r>
            <w:proofErr w:type="spellEnd"/>
          </w:p>
        </w:tc>
        <w:tc>
          <w:tcPr>
            <w:tcW w:w="2460" w:type="dxa"/>
            <w:gridSpan w:val="2"/>
          </w:tcPr>
          <w:p w:rsidR="00420F65" w:rsidRPr="008906E7" w:rsidRDefault="00420F65">
            <w:pPr>
              <w:tabs>
                <w:tab w:val="left" w:pos="567"/>
              </w:tabs>
              <w:rPr>
                <w:rFonts w:cstheme="minorHAnsi"/>
                <w:sz w:val="20"/>
                <w:szCs w:val="20"/>
              </w:rPr>
            </w:pPr>
            <w:r w:rsidRPr="008906E7">
              <w:rPr>
                <w:rFonts w:cstheme="minorHAnsi"/>
                <w:sz w:val="20"/>
                <w:szCs w:val="20"/>
              </w:rPr>
              <w:t>Mechanism:  CYP3A4 inhibition.</w:t>
            </w:r>
          </w:p>
          <w:p w:rsidR="00420F65" w:rsidRPr="008906E7" w:rsidRDefault="00420F65">
            <w:pPr>
              <w:tabs>
                <w:tab w:val="left" w:pos="567"/>
              </w:tabs>
              <w:rPr>
                <w:rFonts w:cstheme="minorHAnsi"/>
                <w:sz w:val="20"/>
                <w:szCs w:val="20"/>
              </w:rPr>
            </w:pPr>
            <w:r w:rsidRPr="008906E7">
              <w:rPr>
                <w:rFonts w:cstheme="minorHAnsi"/>
                <w:sz w:val="20"/>
                <w:szCs w:val="20"/>
              </w:rPr>
              <w:t xml:space="preserve">Dose decrease and clinical monitoring of calcium channel blockers are recommended when </w:t>
            </w:r>
            <w:proofErr w:type="spellStart"/>
            <w:r w:rsidRPr="008906E7">
              <w:rPr>
                <w:rFonts w:cstheme="minorHAnsi"/>
                <w:sz w:val="20"/>
                <w:szCs w:val="20"/>
              </w:rPr>
              <w:t>coadministered</w:t>
            </w:r>
            <w:proofErr w:type="spellEnd"/>
            <w:r w:rsidRPr="008906E7">
              <w:rPr>
                <w:rFonts w:cstheme="minorHAnsi"/>
                <w:sz w:val="20"/>
                <w:szCs w:val="20"/>
              </w:rPr>
              <w:t xml:space="preserve"> with TECHNIVIE.</w:t>
            </w:r>
          </w:p>
        </w:tc>
      </w:tr>
      <w:tr w:rsidR="00497BFE" w:rsidRPr="00A47F4F" w:rsidTr="000D4A1F">
        <w:tc>
          <w:tcPr>
            <w:tcW w:w="9180" w:type="dxa"/>
            <w:gridSpan w:val="24"/>
          </w:tcPr>
          <w:p w:rsidR="00497BFE" w:rsidRPr="00497BFE" w:rsidRDefault="00497BFE">
            <w:pPr>
              <w:rPr>
                <w:b/>
                <w:sz w:val="20"/>
                <w:szCs w:val="20"/>
              </w:rPr>
            </w:pPr>
            <w:r>
              <w:rPr>
                <w:b/>
                <w:sz w:val="20"/>
                <w:szCs w:val="20"/>
              </w:rPr>
              <w:t>Contraceptives - Oral</w:t>
            </w:r>
          </w:p>
        </w:tc>
      </w:tr>
      <w:tr w:rsidR="003A240F" w:rsidRPr="00A47F4F" w:rsidTr="00ED3483">
        <w:tc>
          <w:tcPr>
            <w:tcW w:w="1752" w:type="dxa"/>
          </w:tcPr>
          <w:p w:rsidR="00497BFE" w:rsidRPr="008906E7" w:rsidRDefault="009851B9">
            <w:pPr>
              <w:rPr>
                <w:sz w:val="20"/>
                <w:szCs w:val="20"/>
              </w:rPr>
            </w:pPr>
            <w:proofErr w:type="spellStart"/>
            <w:r>
              <w:rPr>
                <w:sz w:val="20"/>
                <w:szCs w:val="20"/>
              </w:rPr>
              <w:t>Norethisterone</w:t>
            </w:r>
            <w:proofErr w:type="spellEnd"/>
          </w:p>
        </w:tc>
        <w:tc>
          <w:tcPr>
            <w:tcW w:w="7428" w:type="dxa"/>
            <w:gridSpan w:val="23"/>
          </w:tcPr>
          <w:p w:rsidR="00497BFE" w:rsidRPr="008906E7" w:rsidRDefault="00497BFE" w:rsidP="00497BFE">
            <w:pPr>
              <w:rPr>
                <w:sz w:val="20"/>
                <w:szCs w:val="20"/>
              </w:rPr>
            </w:pPr>
            <w:r w:rsidRPr="004307B5">
              <w:rPr>
                <w:rFonts w:cstheme="minorHAnsi"/>
                <w:sz w:val="20"/>
                <w:szCs w:val="20"/>
              </w:rPr>
              <w:t xml:space="preserve">No dose adjustments are required when co-administering with </w:t>
            </w:r>
            <w:r>
              <w:rPr>
                <w:rFonts w:cstheme="minorHAnsi"/>
                <w:sz w:val="20"/>
                <w:szCs w:val="20"/>
              </w:rPr>
              <w:t>TECHNIVIE</w:t>
            </w:r>
          </w:p>
        </w:tc>
      </w:tr>
      <w:tr w:rsidR="00420F65" w:rsidRPr="00A47F4F" w:rsidTr="000D4A1F">
        <w:tc>
          <w:tcPr>
            <w:tcW w:w="9180" w:type="dxa"/>
            <w:gridSpan w:val="24"/>
          </w:tcPr>
          <w:p w:rsidR="00420F65" w:rsidRPr="008906E7" w:rsidRDefault="00420F65">
            <w:pPr>
              <w:rPr>
                <w:rFonts w:cstheme="minorHAnsi"/>
                <w:b/>
                <w:sz w:val="20"/>
                <w:szCs w:val="20"/>
              </w:rPr>
            </w:pPr>
            <w:r w:rsidRPr="008906E7">
              <w:rPr>
                <w:sz w:val="20"/>
                <w:szCs w:val="20"/>
              </w:rPr>
              <w:br w:type="page"/>
            </w:r>
            <w:r w:rsidRPr="008906E7">
              <w:rPr>
                <w:rFonts w:cstheme="minorHAnsi"/>
                <w:b/>
                <w:sz w:val="20"/>
                <w:szCs w:val="20"/>
              </w:rPr>
              <w:t>Diuretics</w:t>
            </w:r>
          </w:p>
        </w:tc>
      </w:tr>
      <w:tr w:rsidR="006C466F" w:rsidRPr="00A47F4F" w:rsidTr="00ED3483">
        <w:trPr>
          <w:trHeight w:val="150"/>
        </w:trPr>
        <w:tc>
          <w:tcPr>
            <w:tcW w:w="1752" w:type="dxa"/>
            <w:vMerge w:val="restart"/>
          </w:tcPr>
          <w:p w:rsidR="00420F65" w:rsidRPr="008906E7" w:rsidRDefault="00420F65">
            <w:pPr>
              <w:tabs>
                <w:tab w:val="left" w:pos="567"/>
              </w:tabs>
              <w:rPr>
                <w:rFonts w:cstheme="minorHAnsi"/>
                <w:sz w:val="20"/>
                <w:szCs w:val="20"/>
              </w:rPr>
            </w:pPr>
            <w:r w:rsidRPr="008906E7">
              <w:rPr>
                <w:rFonts w:cstheme="minorHAnsi"/>
                <w:sz w:val="20"/>
                <w:szCs w:val="20"/>
              </w:rPr>
              <w:t>Furosemide</w:t>
            </w:r>
            <w:r w:rsidRPr="008906E7">
              <w:rPr>
                <w:rFonts w:cstheme="minorHAnsi"/>
                <w:sz w:val="20"/>
                <w:szCs w:val="20"/>
                <w:vertAlign w:val="superscript"/>
              </w:rPr>
              <w:t>1</w:t>
            </w:r>
          </w:p>
          <w:p w:rsidR="00420F65" w:rsidRPr="008906E7" w:rsidRDefault="001E0E8A" w:rsidP="001E0E8A">
            <w:pPr>
              <w:tabs>
                <w:tab w:val="left" w:pos="567"/>
              </w:tabs>
              <w:rPr>
                <w:rFonts w:cstheme="minorHAnsi"/>
                <w:sz w:val="20"/>
                <w:szCs w:val="20"/>
              </w:rPr>
            </w:pPr>
            <w:r w:rsidRPr="008906E7">
              <w:rPr>
                <w:rFonts w:cstheme="minorHAnsi"/>
                <w:sz w:val="20"/>
                <w:szCs w:val="20"/>
              </w:rPr>
              <w:t>20</w:t>
            </w:r>
            <w:r>
              <w:rPr>
                <w:rFonts w:cstheme="minorHAnsi"/>
                <w:sz w:val="20"/>
                <w:szCs w:val="20"/>
              </w:rPr>
              <w:t xml:space="preserve"> </w:t>
            </w:r>
            <w:r w:rsidR="00420F65" w:rsidRPr="008906E7">
              <w:rPr>
                <w:rFonts w:cstheme="minorHAnsi"/>
                <w:sz w:val="20"/>
                <w:szCs w:val="20"/>
              </w:rPr>
              <w:t xml:space="preserve">mg single dose </w:t>
            </w:r>
          </w:p>
        </w:tc>
        <w:tc>
          <w:tcPr>
            <w:tcW w:w="1295" w:type="dxa"/>
            <w:gridSpan w:val="5"/>
          </w:tcPr>
          <w:p w:rsidR="00420F65" w:rsidRPr="008906E7" w:rsidRDefault="00420F65">
            <w:pPr>
              <w:rPr>
                <w:rFonts w:cstheme="minorHAnsi"/>
                <w:sz w:val="20"/>
                <w:szCs w:val="20"/>
              </w:rPr>
            </w:pPr>
          </w:p>
        </w:tc>
        <w:tc>
          <w:tcPr>
            <w:tcW w:w="1136" w:type="dxa"/>
            <w:gridSpan w:val="6"/>
          </w:tcPr>
          <w:p w:rsidR="00420F65" w:rsidRPr="008906E7" w:rsidRDefault="00420F65">
            <w:pPr>
              <w:tabs>
                <w:tab w:val="left" w:pos="567"/>
              </w:tabs>
              <w:jc w:val="center"/>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299" w:type="dxa"/>
            <w:gridSpan w:val="8"/>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AUC</w:t>
            </w:r>
          </w:p>
        </w:tc>
        <w:tc>
          <w:tcPr>
            <w:tcW w:w="1238" w:type="dxa"/>
            <w:gridSpan w:val="2"/>
          </w:tcPr>
          <w:p w:rsidR="00420F65" w:rsidRPr="008906E7" w:rsidRDefault="00420F65">
            <w:pPr>
              <w:tabs>
                <w:tab w:val="left" w:pos="567"/>
              </w:tabs>
              <w:jc w:val="center"/>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val="restart"/>
          </w:tcPr>
          <w:p w:rsidR="00420F65" w:rsidRPr="008906E7" w:rsidRDefault="00420F65">
            <w:pPr>
              <w:rPr>
                <w:rFonts w:cstheme="minorHAnsi"/>
                <w:sz w:val="20"/>
                <w:szCs w:val="20"/>
              </w:rPr>
            </w:pPr>
            <w:r w:rsidRPr="008906E7">
              <w:rPr>
                <w:rFonts w:cstheme="minorHAnsi"/>
                <w:sz w:val="20"/>
                <w:szCs w:val="20"/>
              </w:rPr>
              <w:t xml:space="preserve">Mechanism:  Possibly due to UGT1A1 inhibition by </w:t>
            </w:r>
            <w:proofErr w:type="spellStart"/>
            <w:r w:rsidRPr="008906E7">
              <w:rPr>
                <w:rFonts w:cstheme="minorHAnsi"/>
                <w:sz w:val="20"/>
                <w:szCs w:val="20"/>
              </w:rPr>
              <w:t>paritaprevir</w:t>
            </w:r>
            <w:proofErr w:type="spellEnd"/>
            <w:r w:rsidRPr="008906E7">
              <w:rPr>
                <w:rFonts w:cstheme="minorHAnsi"/>
                <w:sz w:val="20"/>
                <w:szCs w:val="20"/>
              </w:rPr>
              <w:t xml:space="preserve"> and </w:t>
            </w:r>
            <w:proofErr w:type="spellStart"/>
            <w:r w:rsidRPr="008906E7">
              <w:rPr>
                <w:rFonts w:cstheme="minorHAnsi"/>
                <w:sz w:val="20"/>
                <w:szCs w:val="20"/>
              </w:rPr>
              <w:t>ombitasvir</w:t>
            </w:r>
            <w:proofErr w:type="spellEnd"/>
            <w:r w:rsidRPr="008906E7">
              <w:rPr>
                <w:rFonts w:cstheme="minorHAnsi"/>
                <w:sz w:val="20"/>
                <w:szCs w:val="20"/>
              </w:rPr>
              <w:t>.</w:t>
            </w:r>
          </w:p>
          <w:p w:rsidR="00420F65" w:rsidRPr="008906E7" w:rsidRDefault="00420F65">
            <w:pPr>
              <w:tabs>
                <w:tab w:val="left" w:pos="567"/>
              </w:tabs>
              <w:rPr>
                <w:rFonts w:cstheme="minorHAnsi"/>
                <w:sz w:val="20"/>
                <w:szCs w:val="20"/>
              </w:rPr>
            </w:pPr>
            <w:r w:rsidRPr="008906E7">
              <w:rPr>
                <w:rFonts w:cstheme="minorHAnsi"/>
                <w:sz w:val="20"/>
                <w:szCs w:val="20"/>
              </w:rPr>
              <w:t>Patients should be monitored for clinical effects; a decrease in furosemide dose of up to 50% may be required.</w:t>
            </w:r>
          </w:p>
          <w:p w:rsidR="00420F65" w:rsidRPr="008906E7" w:rsidRDefault="00420F65">
            <w:pPr>
              <w:tabs>
                <w:tab w:val="left" w:pos="567"/>
              </w:tabs>
              <w:rPr>
                <w:rFonts w:cstheme="minorHAnsi"/>
                <w:sz w:val="20"/>
                <w:szCs w:val="20"/>
              </w:rPr>
            </w:pPr>
          </w:p>
        </w:tc>
      </w:tr>
      <w:tr w:rsidR="006C466F" w:rsidRPr="00A47F4F" w:rsidTr="00ED3483">
        <w:trPr>
          <w:trHeight w:val="146"/>
        </w:trPr>
        <w:tc>
          <w:tcPr>
            <w:tcW w:w="1752" w:type="dxa"/>
            <w:vMerge/>
          </w:tcPr>
          <w:p w:rsidR="00420F65" w:rsidRPr="008906E7" w:rsidRDefault="00420F65">
            <w:pPr>
              <w:rPr>
                <w:rFonts w:cstheme="minorHAnsi"/>
                <w:sz w:val="20"/>
                <w:szCs w:val="20"/>
              </w:rPr>
            </w:pPr>
          </w:p>
        </w:tc>
        <w:tc>
          <w:tcPr>
            <w:tcW w:w="1295" w:type="dxa"/>
            <w:gridSpan w:val="5"/>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furosemide</w:t>
            </w:r>
          </w:p>
        </w:tc>
        <w:tc>
          <w:tcPr>
            <w:tcW w:w="1136" w:type="dxa"/>
            <w:gridSpan w:val="6"/>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1.42</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(1.17-1.72)</w:t>
            </w:r>
          </w:p>
        </w:tc>
        <w:tc>
          <w:tcPr>
            <w:tcW w:w="1299" w:type="dxa"/>
            <w:gridSpan w:val="8"/>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1.08</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(1.00-1.17)</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NA</w:t>
            </w:r>
          </w:p>
        </w:tc>
        <w:tc>
          <w:tcPr>
            <w:tcW w:w="2460" w:type="dxa"/>
            <w:gridSpan w:val="2"/>
            <w:vMerge/>
          </w:tcPr>
          <w:p w:rsidR="00420F65" w:rsidRPr="008906E7" w:rsidRDefault="00420F65">
            <w:pPr>
              <w:rPr>
                <w:rFonts w:cstheme="minorHAnsi"/>
                <w:sz w:val="20"/>
                <w:szCs w:val="20"/>
              </w:rPr>
            </w:pPr>
          </w:p>
        </w:tc>
      </w:tr>
      <w:tr w:rsidR="006C466F" w:rsidRPr="00A47F4F" w:rsidTr="00ED3483">
        <w:trPr>
          <w:trHeight w:val="146"/>
        </w:trPr>
        <w:tc>
          <w:tcPr>
            <w:tcW w:w="1752" w:type="dxa"/>
            <w:vMerge/>
          </w:tcPr>
          <w:p w:rsidR="00420F65" w:rsidRPr="008906E7" w:rsidRDefault="00420F65">
            <w:pPr>
              <w:rPr>
                <w:rFonts w:cstheme="minorHAnsi"/>
                <w:sz w:val="20"/>
                <w:szCs w:val="20"/>
              </w:rPr>
            </w:pPr>
          </w:p>
        </w:tc>
        <w:tc>
          <w:tcPr>
            <w:tcW w:w="1295" w:type="dxa"/>
            <w:gridSpan w:val="5"/>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ombitasvir</w:t>
            </w:r>
            <w:proofErr w:type="spellEnd"/>
          </w:p>
        </w:tc>
        <w:tc>
          <w:tcPr>
            <w:tcW w:w="1136" w:type="dxa"/>
            <w:gridSpan w:val="6"/>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1.14</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(1.03-1.26)</w:t>
            </w:r>
          </w:p>
        </w:tc>
        <w:tc>
          <w:tcPr>
            <w:tcW w:w="1299" w:type="dxa"/>
            <w:gridSpan w:val="8"/>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1.07</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(1.01-1.12)</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1.12</w:t>
            </w:r>
            <w:r w:rsidRPr="008906E7">
              <w:rPr>
                <w:rFonts w:ascii="Calibri" w:hAnsi="Calibri" w:cs="Calibri"/>
                <w:sz w:val="20"/>
                <w:szCs w:val="20"/>
              </w:rPr>
              <w:br/>
              <w:t>(1.08-1.16)</w:t>
            </w:r>
          </w:p>
        </w:tc>
        <w:tc>
          <w:tcPr>
            <w:tcW w:w="2460" w:type="dxa"/>
            <w:gridSpan w:val="2"/>
            <w:vMerge/>
          </w:tcPr>
          <w:p w:rsidR="00420F65" w:rsidRPr="008906E7" w:rsidRDefault="00420F65">
            <w:pPr>
              <w:rPr>
                <w:rFonts w:cstheme="minorHAnsi"/>
                <w:sz w:val="20"/>
                <w:szCs w:val="20"/>
              </w:rPr>
            </w:pPr>
          </w:p>
        </w:tc>
      </w:tr>
      <w:tr w:rsidR="006C466F" w:rsidRPr="00A47F4F" w:rsidTr="00ED3483">
        <w:trPr>
          <w:trHeight w:val="146"/>
        </w:trPr>
        <w:tc>
          <w:tcPr>
            <w:tcW w:w="1752" w:type="dxa"/>
            <w:vMerge/>
          </w:tcPr>
          <w:p w:rsidR="00420F65" w:rsidRPr="008906E7" w:rsidRDefault="00420F65">
            <w:pPr>
              <w:rPr>
                <w:rFonts w:cstheme="minorHAnsi"/>
                <w:sz w:val="20"/>
                <w:szCs w:val="20"/>
              </w:rPr>
            </w:pPr>
          </w:p>
        </w:tc>
        <w:tc>
          <w:tcPr>
            <w:tcW w:w="1295" w:type="dxa"/>
            <w:gridSpan w:val="5"/>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paritaprevir</w:t>
            </w:r>
            <w:proofErr w:type="spellEnd"/>
          </w:p>
        </w:tc>
        <w:tc>
          <w:tcPr>
            <w:tcW w:w="1136" w:type="dxa"/>
            <w:gridSpan w:val="6"/>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0.93</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(0.63-1.36)</w:t>
            </w:r>
          </w:p>
        </w:tc>
        <w:tc>
          <w:tcPr>
            <w:tcW w:w="1299" w:type="dxa"/>
            <w:gridSpan w:val="8"/>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0.92</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(0.70-1.21)</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1.26</w:t>
            </w:r>
            <w:r w:rsidRPr="008906E7">
              <w:rPr>
                <w:rFonts w:ascii="Calibri" w:hAnsi="Calibri" w:cs="Calibri"/>
                <w:sz w:val="20"/>
                <w:szCs w:val="20"/>
              </w:rPr>
              <w:br/>
              <w:t>(1.16-1.38)</w:t>
            </w:r>
          </w:p>
        </w:tc>
        <w:tc>
          <w:tcPr>
            <w:tcW w:w="2460" w:type="dxa"/>
            <w:gridSpan w:val="2"/>
            <w:vMerge/>
          </w:tcPr>
          <w:p w:rsidR="00420F65" w:rsidRPr="008906E7" w:rsidRDefault="00420F65">
            <w:pPr>
              <w:rPr>
                <w:rFonts w:cstheme="minorHAnsi"/>
                <w:sz w:val="20"/>
                <w:szCs w:val="20"/>
              </w:rPr>
            </w:pPr>
          </w:p>
        </w:tc>
      </w:tr>
      <w:tr w:rsidR="00497BFE" w:rsidRPr="00A47F4F" w:rsidTr="000D4A1F">
        <w:tc>
          <w:tcPr>
            <w:tcW w:w="9180" w:type="dxa"/>
            <w:gridSpan w:val="24"/>
          </w:tcPr>
          <w:p w:rsidR="00497BFE" w:rsidRPr="008906E7" w:rsidRDefault="00497BFE">
            <w:pPr>
              <w:rPr>
                <w:rFonts w:cstheme="minorHAnsi"/>
                <w:b/>
                <w:sz w:val="20"/>
                <w:szCs w:val="20"/>
              </w:rPr>
            </w:pPr>
            <w:r>
              <w:rPr>
                <w:rFonts w:cstheme="minorHAnsi"/>
                <w:b/>
                <w:sz w:val="20"/>
                <w:szCs w:val="20"/>
              </w:rPr>
              <w:t>HCV Antiviral</w:t>
            </w:r>
          </w:p>
        </w:tc>
      </w:tr>
      <w:tr w:rsidR="003A240F" w:rsidRPr="00A47F4F" w:rsidTr="00ED3483">
        <w:tc>
          <w:tcPr>
            <w:tcW w:w="1913" w:type="dxa"/>
            <w:gridSpan w:val="2"/>
          </w:tcPr>
          <w:p w:rsidR="00497BFE" w:rsidRPr="00497BFE" w:rsidRDefault="00497BFE">
            <w:pPr>
              <w:rPr>
                <w:rFonts w:cstheme="minorHAnsi"/>
                <w:sz w:val="20"/>
                <w:szCs w:val="20"/>
              </w:rPr>
            </w:pPr>
            <w:proofErr w:type="spellStart"/>
            <w:r>
              <w:rPr>
                <w:rFonts w:cstheme="minorHAnsi"/>
                <w:sz w:val="20"/>
                <w:szCs w:val="20"/>
              </w:rPr>
              <w:t>Sofosbuvir</w:t>
            </w:r>
            <w:proofErr w:type="spellEnd"/>
          </w:p>
        </w:tc>
        <w:tc>
          <w:tcPr>
            <w:tcW w:w="7267" w:type="dxa"/>
            <w:gridSpan w:val="22"/>
          </w:tcPr>
          <w:p w:rsidR="00497BFE" w:rsidRPr="008906E7" w:rsidRDefault="00497BFE" w:rsidP="00497BFE">
            <w:pPr>
              <w:rPr>
                <w:rFonts w:cstheme="minorHAnsi"/>
                <w:b/>
                <w:sz w:val="20"/>
                <w:szCs w:val="20"/>
              </w:rPr>
            </w:pPr>
            <w:r w:rsidRPr="004307B5">
              <w:rPr>
                <w:rFonts w:cstheme="minorHAnsi"/>
                <w:sz w:val="20"/>
                <w:szCs w:val="20"/>
              </w:rPr>
              <w:t xml:space="preserve">No dose adjustments are required when co-administering with </w:t>
            </w:r>
            <w:r>
              <w:rPr>
                <w:rFonts w:cstheme="minorHAnsi"/>
                <w:sz w:val="20"/>
                <w:szCs w:val="20"/>
              </w:rPr>
              <w:t>TECHNIVIE</w:t>
            </w:r>
          </w:p>
        </w:tc>
      </w:tr>
      <w:tr w:rsidR="00420F65" w:rsidRPr="00A47F4F" w:rsidTr="000D4A1F">
        <w:tc>
          <w:tcPr>
            <w:tcW w:w="9180" w:type="dxa"/>
            <w:gridSpan w:val="24"/>
          </w:tcPr>
          <w:p w:rsidR="00420F65" w:rsidRPr="008906E7" w:rsidRDefault="00420F65">
            <w:pPr>
              <w:rPr>
                <w:rFonts w:cstheme="minorHAnsi"/>
                <w:b/>
                <w:sz w:val="20"/>
                <w:szCs w:val="20"/>
              </w:rPr>
            </w:pPr>
            <w:r w:rsidRPr="008906E7">
              <w:rPr>
                <w:rFonts w:cstheme="minorHAnsi"/>
                <w:b/>
                <w:sz w:val="20"/>
                <w:szCs w:val="20"/>
              </w:rPr>
              <w:t>HIV Antivirals:  Protease Inhibitors</w:t>
            </w:r>
          </w:p>
        </w:tc>
      </w:tr>
      <w:tr w:rsidR="003A240F" w:rsidRPr="00A47F4F" w:rsidTr="00ED3483">
        <w:trPr>
          <w:trHeight w:val="342"/>
        </w:trPr>
        <w:tc>
          <w:tcPr>
            <w:tcW w:w="1913" w:type="dxa"/>
            <w:gridSpan w:val="2"/>
            <w:vMerge w:val="restart"/>
          </w:tcPr>
          <w:p w:rsidR="00420F65" w:rsidRPr="008906E7" w:rsidRDefault="00420F65">
            <w:pPr>
              <w:tabs>
                <w:tab w:val="left" w:pos="567"/>
              </w:tabs>
              <w:rPr>
                <w:rFonts w:cstheme="minorHAnsi"/>
                <w:sz w:val="20"/>
                <w:szCs w:val="20"/>
              </w:rPr>
            </w:pPr>
            <w:proofErr w:type="spellStart"/>
            <w:r w:rsidRPr="008906E7">
              <w:rPr>
                <w:rFonts w:cstheme="minorHAnsi"/>
                <w:sz w:val="20"/>
                <w:szCs w:val="20"/>
              </w:rPr>
              <w:t>Atazanavir</w:t>
            </w:r>
            <w:proofErr w:type="spellEnd"/>
          </w:p>
          <w:p w:rsidR="00420F65" w:rsidRPr="008906E7" w:rsidRDefault="001E0E8A">
            <w:pPr>
              <w:tabs>
                <w:tab w:val="left" w:pos="567"/>
              </w:tabs>
              <w:rPr>
                <w:rFonts w:cstheme="minorHAnsi"/>
                <w:sz w:val="20"/>
                <w:szCs w:val="20"/>
              </w:rPr>
            </w:pPr>
            <w:r w:rsidRPr="008906E7">
              <w:rPr>
                <w:rFonts w:cstheme="minorHAnsi"/>
                <w:sz w:val="20"/>
                <w:szCs w:val="20"/>
              </w:rPr>
              <w:t>300</w:t>
            </w:r>
            <w:r>
              <w:rPr>
                <w:rFonts w:cstheme="minorHAnsi"/>
                <w:sz w:val="20"/>
                <w:szCs w:val="20"/>
              </w:rPr>
              <w:t xml:space="preserve"> </w:t>
            </w:r>
            <w:r w:rsidR="00420F65" w:rsidRPr="008906E7">
              <w:rPr>
                <w:rFonts w:cstheme="minorHAnsi"/>
                <w:sz w:val="20"/>
                <w:szCs w:val="20"/>
              </w:rPr>
              <w:t>mg once daily (given at the same time)</w:t>
            </w:r>
          </w:p>
          <w:p w:rsidR="00420F65" w:rsidRPr="008906E7" w:rsidRDefault="00420F65">
            <w:pPr>
              <w:rPr>
                <w:rFonts w:cstheme="minorHAnsi"/>
                <w:sz w:val="20"/>
                <w:szCs w:val="20"/>
              </w:rPr>
            </w:pPr>
          </w:p>
        </w:tc>
        <w:tc>
          <w:tcPr>
            <w:tcW w:w="1277" w:type="dxa"/>
            <w:gridSpan w:val="6"/>
          </w:tcPr>
          <w:p w:rsidR="00420F65" w:rsidRPr="008906E7" w:rsidRDefault="00420F65">
            <w:pPr>
              <w:rPr>
                <w:rFonts w:cstheme="minorHAnsi"/>
                <w:sz w:val="20"/>
                <w:szCs w:val="20"/>
              </w:rPr>
            </w:pPr>
          </w:p>
        </w:tc>
        <w:tc>
          <w:tcPr>
            <w:tcW w:w="1155" w:type="dxa"/>
            <w:gridSpan w:val="7"/>
          </w:tcPr>
          <w:p w:rsidR="00420F65" w:rsidRPr="008906E7" w:rsidRDefault="00420F65">
            <w:pPr>
              <w:tabs>
                <w:tab w:val="left" w:pos="567"/>
              </w:tabs>
              <w:jc w:val="center"/>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AUC</w:t>
            </w:r>
          </w:p>
        </w:tc>
        <w:tc>
          <w:tcPr>
            <w:tcW w:w="1238" w:type="dxa"/>
            <w:gridSpan w:val="2"/>
          </w:tcPr>
          <w:p w:rsidR="00420F65" w:rsidRPr="008906E7" w:rsidRDefault="00420F65">
            <w:pPr>
              <w:tabs>
                <w:tab w:val="left" w:pos="567"/>
              </w:tabs>
              <w:jc w:val="center"/>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val="restart"/>
          </w:tcPr>
          <w:p w:rsidR="00420F65" w:rsidRPr="008906E7" w:rsidRDefault="00420F65">
            <w:pPr>
              <w:rPr>
                <w:rFonts w:cstheme="minorHAnsi"/>
                <w:sz w:val="20"/>
                <w:szCs w:val="20"/>
              </w:rPr>
            </w:pPr>
            <w:r w:rsidRPr="008906E7">
              <w:rPr>
                <w:rFonts w:cstheme="minorHAnsi"/>
                <w:sz w:val="20"/>
                <w:szCs w:val="20"/>
              </w:rPr>
              <w:t xml:space="preserve">Mechanism:  Increase in </w:t>
            </w:r>
            <w:proofErr w:type="spellStart"/>
            <w:r w:rsidRPr="008906E7">
              <w:rPr>
                <w:rFonts w:cstheme="minorHAnsi"/>
                <w:sz w:val="20"/>
                <w:szCs w:val="20"/>
              </w:rPr>
              <w:t>paritaprevir</w:t>
            </w:r>
            <w:proofErr w:type="spellEnd"/>
            <w:r w:rsidRPr="008906E7">
              <w:rPr>
                <w:rFonts w:cstheme="minorHAnsi"/>
                <w:sz w:val="20"/>
                <w:szCs w:val="20"/>
              </w:rPr>
              <w:t xml:space="preserve"> exposures may be due to inhibition of OATP1B1/B3 and CYP3A by </w:t>
            </w:r>
            <w:proofErr w:type="spellStart"/>
            <w:r w:rsidRPr="008906E7">
              <w:rPr>
                <w:rFonts w:cstheme="minorHAnsi"/>
                <w:sz w:val="20"/>
                <w:szCs w:val="20"/>
              </w:rPr>
              <w:t>atazanavir</w:t>
            </w:r>
            <w:proofErr w:type="spellEnd"/>
            <w:r w:rsidRPr="008906E7">
              <w:rPr>
                <w:rFonts w:cstheme="minorHAnsi"/>
                <w:sz w:val="20"/>
                <w:szCs w:val="20"/>
              </w:rPr>
              <w:t>.</w:t>
            </w:r>
          </w:p>
          <w:p w:rsidR="00420F65" w:rsidRPr="008906E7" w:rsidRDefault="00420F65">
            <w:pPr>
              <w:rPr>
                <w:rFonts w:cstheme="minorHAnsi"/>
                <w:sz w:val="20"/>
                <w:szCs w:val="20"/>
              </w:rPr>
            </w:pPr>
            <w:r w:rsidRPr="008906E7">
              <w:rPr>
                <w:rFonts w:cstheme="minorHAnsi"/>
                <w:sz w:val="20"/>
                <w:szCs w:val="20"/>
              </w:rPr>
              <w:t xml:space="preserve">In combination with ritonavir, the increase in </w:t>
            </w:r>
            <w:proofErr w:type="spellStart"/>
            <w:r w:rsidRPr="008906E7">
              <w:rPr>
                <w:rFonts w:cstheme="minorHAnsi"/>
                <w:sz w:val="20"/>
                <w:szCs w:val="20"/>
              </w:rPr>
              <w:t>paritaprevir</w:t>
            </w:r>
            <w:proofErr w:type="spellEnd"/>
            <w:r w:rsidRPr="008906E7">
              <w:rPr>
                <w:rFonts w:cstheme="minorHAnsi"/>
                <w:sz w:val="20"/>
                <w:szCs w:val="20"/>
              </w:rPr>
              <w:t xml:space="preserve"> exposures may be due to inhibition of OATP1B1/B3 and CYP3A by </w:t>
            </w:r>
            <w:proofErr w:type="spellStart"/>
            <w:r w:rsidRPr="008906E7">
              <w:rPr>
                <w:rFonts w:cstheme="minorHAnsi"/>
                <w:sz w:val="20"/>
                <w:szCs w:val="20"/>
              </w:rPr>
              <w:t>atazanavir</w:t>
            </w:r>
            <w:proofErr w:type="spellEnd"/>
            <w:r w:rsidRPr="008906E7">
              <w:rPr>
                <w:rFonts w:cstheme="minorHAnsi"/>
                <w:sz w:val="20"/>
                <w:szCs w:val="20"/>
              </w:rPr>
              <w:t xml:space="preserve"> and CYP3A by the additional dose of ritonavir.</w:t>
            </w:r>
          </w:p>
          <w:p w:rsidR="00420F65" w:rsidRPr="008906E7" w:rsidRDefault="00420F65">
            <w:pPr>
              <w:rPr>
                <w:rFonts w:cstheme="minorHAnsi"/>
                <w:sz w:val="20"/>
                <w:szCs w:val="20"/>
              </w:rPr>
            </w:pPr>
          </w:p>
          <w:p w:rsidR="00420F65" w:rsidRPr="008906E7" w:rsidRDefault="00420F65">
            <w:pPr>
              <w:tabs>
                <w:tab w:val="left" w:pos="567"/>
              </w:tabs>
              <w:rPr>
                <w:rFonts w:cstheme="minorHAnsi"/>
                <w:sz w:val="20"/>
                <w:szCs w:val="20"/>
              </w:rPr>
            </w:pPr>
            <w:r w:rsidRPr="008906E7">
              <w:rPr>
                <w:rFonts w:cstheme="minorHAnsi"/>
                <w:sz w:val="20"/>
                <w:szCs w:val="20"/>
              </w:rPr>
              <w:t xml:space="preserve">The recommended dose of </w:t>
            </w:r>
            <w:proofErr w:type="spellStart"/>
            <w:r w:rsidRPr="008906E7">
              <w:rPr>
                <w:rFonts w:cstheme="minorHAnsi"/>
                <w:sz w:val="20"/>
                <w:szCs w:val="20"/>
              </w:rPr>
              <w:t>atazanavir</w:t>
            </w:r>
            <w:proofErr w:type="spellEnd"/>
            <w:r w:rsidRPr="008906E7">
              <w:rPr>
                <w:rFonts w:cstheme="minorHAnsi"/>
                <w:sz w:val="20"/>
                <w:szCs w:val="20"/>
              </w:rPr>
              <w:t xml:space="preserve"> is </w:t>
            </w:r>
            <w:r w:rsidR="001E0E8A" w:rsidRPr="008906E7">
              <w:rPr>
                <w:rFonts w:cstheme="minorHAnsi"/>
                <w:sz w:val="20"/>
                <w:szCs w:val="20"/>
              </w:rPr>
              <w:t>300</w:t>
            </w:r>
            <w:r w:rsidR="001E0E8A">
              <w:rPr>
                <w:rFonts w:cstheme="minorHAnsi"/>
                <w:sz w:val="20"/>
                <w:szCs w:val="20"/>
              </w:rPr>
              <w:t xml:space="preserve"> </w:t>
            </w:r>
            <w:r w:rsidRPr="008906E7">
              <w:rPr>
                <w:rFonts w:cstheme="minorHAnsi"/>
                <w:sz w:val="20"/>
                <w:szCs w:val="20"/>
              </w:rPr>
              <w:t xml:space="preserve">mg, </w:t>
            </w:r>
            <w:r w:rsidRPr="008906E7">
              <w:rPr>
                <w:rFonts w:cstheme="minorHAnsi"/>
                <w:sz w:val="20"/>
                <w:szCs w:val="20"/>
              </w:rPr>
              <w:lastRenderedPageBreak/>
              <w:t xml:space="preserve">without ritonavir, in combination with TECHNIVIE.  </w:t>
            </w:r>
            <w:proofErr w:type="spellStart"/>
            <w:r w:rsidRPr="008906E7">
              <w:rPr>
                <w:rFonts w:cstheme="minorHAnsi"/>
                <w:sz w:val="20"/>
                <w:szCs w:val="20"/>
              </w:rPr>
              <w:t>Atazanavir</w:t>
            </w:r>
            <w:proofErr w:type="spellEnd"/>
            <w:r w:rsidRPr="008906E7">
              <w:rPr>
                <w:rFonts w:cstheme="minorHAnsi"/>
                <w:sz w:val="20"/>
                <w:szCs w:val="20"/>
              </w:rPr>
              <w:t xml:space="preserve"> must be administered at the same time as TECHNIVIE.  Ritonavir dose in TECHNIVIE will provide </w:t>
            </w:r>
            <w:proofErr w:type="spellStart"/>
            <w:r w:rsidRPr="008906E7">
              <w:rPr>
                <w:rFonts w:cstheme="minorHAnsi"/>
                <w:sz w:val="20"/>
                <w:szCs w:val="20"/>
              </w:rPr>
              <w:t>atazanavir</w:t>
            </w:r>
            <w:proofErr w:type="spellEnd"/>
            <w:r w:rsidRPr="008906E7">
              <w:rPr>
                <w:rFonts w:cstheme="minorHAnsi"/>
                <w:sz w:val="20"/>
                <w:szCs w:val="20"/>
              </w:rPr>
              <w:t xml:space="preserve"> pharmacokinetic enhancement. </w:t>
            </w:r>
          </w:p>
          <w:p w:rsidR="00420F65" w:rsidRPr="008906E7" w:rsidRDefault="00420F65">
            <w:pPr>
              <w:tabs>
                <w:tab w:val="left" w:pos="567"/>
              </w:tabs>
              <w:rPr>
                <w:rFonts w:cstheme="minorHAnsi"/>
                <w:sz w:val="20"/>
                <w:szCs w:val="20"/>
              </w:rPr>
            </w:pPr>
          </w:p>
          <w:p w:rsidR="00420F65" w:rsidRPr="008906E7" w:rsidRDefault="00420F65">
            <w:pPr>
              <w:tabs>
                <w:tab w:val="left" w:pos="567"/>
              </w:tabs>
              <w:rPr>
                <w:rFonts w:cstheme="minorHAnsi"/>
                <w:sz w:val="20"/>
                <w:szCs w:val="20"/>
              </w:rPr>
            </w:pPr>
            <w:r w:rsidRPr="008906E7">
              <w:rPr>
                <w:rFonts w:cstheme="minorHAnsi"/>
                <w:sz w:val="20"/>
                <w:szCs w:val="20"/>
              </w:rPr>
              <w:t xml:space="preserve">Treatment with </w:t>
            </w:r>
            <w:proofErr w:type="spellStart"/>
            <w:r w:rsidRPr="008906E7">
              <w:rPr>
                <w:rFonts w:cstheme="minorHAnsi"/>
                <w:sz w:val="20"/>
                <w:szCs w:val="20"/>
              </w:rPr>
              <w:t>atazanavir</w:t>
            </w:r>
            <w:proofErr w:type="spellEnd"/>
            <w:r w:rsidRPr="008906E7">
              <w:rPr>
                <w:rFonts w:cstheme="minorHAnsi"/>
                <w:sz w:val="20"/>
                <w:szCs w:val="20"/>
              </w:rPr>
              <w:t>/ritonavir + TECHNIVIE is not recommended.</w:t>
            </w:r>
          </w:p>
        </w:tc>
      </w:tr>
      <w:tr w:rsidR="003A240F" w:rsidRPr="00A47F4F" w:rsidTr="00ED3483">
        <w:trPr>
          <w:trHeight w:val="339"/>
        </w:trPr>
        <w:tc>
          <w:tcPr>
            <w:tcW w:w="1913" w:type="dxa"/>
            <w:gridSpan w:val="2"/>
            <w:vMerge/>
          </w:tcPr>
          <w:p w:rsidR="00420F65" w:rsidRPr="008906E7" w:rsidRDefault="00420F65">
            <w:pPr>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atazanavir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0.90</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(0.83-0.97)</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0.93</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(0.85-1.02)</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0.81</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(0.72-0.91)</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339"/>
        </w:trPr>
        <w:tc>
          <w:tcPr>
            <w:tcW w:w="1913" w:type="dxa"/>
            <w:gridSpan w:val="2"/>
            <w:vMerge/>
          </w:tcPr>
          <w:p w:rsidR="00420F65" w:rsidRPr="008906E7" w:rsidRDefault="00420F65">
            <w:pPr>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ombitasvir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0.83</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(0.74-0.94)</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0.91</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(0.81-1.02)</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0.98</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(0.87-1.11)</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339"/>
        </w:trPr>
        <w:tc>
          <w:tcPr>
            <w:tcW w:w="1913" w:type="dxa"/>
            <w:gridSpan w:val="2"/>
            <w:vMerge/>
          </w:tcPr>
          <w:p w:rsidR="00420F65" w:rsidRPr="008906E7" w:rsidRDefault="00420F65">
            <w:pPr>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paritaprevir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2.74</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(1.76-4.27)</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2.87</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(2.08-3.97)</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3.71</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(2.87-4.79)</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269"/>
        </w:trPr>
        <w:tc>
          <w:tcPr>
            <w:tcW w:w="1913" w:type="dxa"/>
            <w:gridSpan w:val="2"/>
            <w:vMerge w:val="restart"/>
          </w:tcPr>
          <w:p w:rsidR="00420F65" w:rsidRPr="008906E7" w:rsidRDefault="00420F65">
            <w:pPr>
              <w:tabs>
                <w:tab w:val="left" w:pos="567"/>
              </w:tabs>
              <w:rPr>
                <w:rFonts w:cstheme="minorHAnsi"/>
                <w:sz w:val="20"/>
                <w:szCs w:val="20"/>
              </w:rPr>
            </w:pPr>
            <w:proofErr w:type="spellStart"/>
            <w:r w:rsidRPr="008906E7">
              <w:rPr>
                <w:rFonts w:cstheme="minorHAnsi"/>
                <w:sz w:val="20"/>
                <w:szCs w:val="20"/>
              </w:rPr>
              <w:t>Atazanavir</w:t>
            </w:r>
            <w:proofErr w:type="spellEnd"/>
            <w:r w:rsidRPr="008906E7">
              <w:rPr>
                <w:rFonts w:cstheme="minorHAnsi"/>
                <w:sz w:val="20"/>
                <w:szCs w:val="20"/>
              </w:rPr>
              <w:t>/ritonavir</w:t>
            </w:r>
            <w:r w:rsidRPr="008906E7">
              <w:rPr>
                <w:rFonts w:cstheme="minorHAnsi"/>
                <w:sz w:val="20"/>
                <w:szCs w:val="20"/>
                <w:vertAlign w:val="superscript"/>
              </w:rPr>
              <w:t>1</w:t>
            </w:r>
          </w:p>
          <w:p w:rsidR="00420F65" w:rsidRPr="008906E7" w:rsidRDefault="00420F65">
            <w:pPr>
              <w:tabs>
                <w:tab w:val="left" w:pos="567"/>
              </w:tabs>
              <w:rPr>
                <w:rFonts w:cstheme="minorHAnsi"/>
                <w:sz w:val="20"/>
                <w:szCs w:val="20"/>
              </w:rPr>
            </w:pPr>
            <w:r w:rsidRPr="008906E7">
              <w:rPr>
                <w:rFonts w:cstheme="minorHAnsi"/>
                <w:sz w:val="20"/>
                <w:szCs w:val="20"/>
              </w:rPr>
              <w:t>300/</w:t>
            </w:r>
            <w:r w:rsidR="001E0E8A" w:rsidRPr="008906E7">
              <w:rPr>
                <w:rFonts w:cstheme="minorHAnsi"/>
                <w:sz w:val="20"/>
                <w:szCs w:val="20"/>
              </w:rPr>
              <w:t>100</w:t>
            </w:r>
            <w:r w:rsidR="001E0E8A">
              <w:rPr>
                <w:rFonts w:cstheme="minorHAnsi"/>
                <w:sz w:val="20"/>
                <w:szCs w:val="20"/>
              </w:rPr>
              <w:t xml:space="preserve"> </w:t>
            </w:r>
            <w:r w:rsidRPr="008906E7">
              <w:rPr>
                <w:rFonts w:cstheme="minorHAnsi"/>
                <w:sz w:val="20"/>
                <w:szCs w:val="20"/>
              </w:rPr>
              <w:t>mg</w:t>
            </w:r>
          </w:p>
          <w:p w:rsidR="00420F65" w:rsidRPr="008906E7" w:rsidRDefault="00420F65">
            <w:pPr>
              <w:tabs>
                <w:tab w:val="left" w:pos="567"/>
              </w:tabs>
              <w:rPr>
                <w:rFonts w:cstheme="minorHAnsi"/>
                <w:sz w:val="20"/>
                <w:szCs w:val="20"/>
              </w:rPr>
            </w:pPr>
            <w:r w:rsidRPr="008906E7">
              <w:rPr>
                <w:rFonts w:cstheme="minorHAnsi"/>
                <w:sz w:val="20"/>
                <w:szCs w:val="20"/>
              </w:rPr>
              <w:t xml:space="preserve">once daily </w:t>
            </w:r>
          </w:p>
          <w:p w:rsidR="00420F65" w:rsidRPr="008906E7" w:rsidRDefault="00420F65">
            <w:pPr>
              <w:tabs>
                <w:tab w:val="left" w:pos="567"/>
              </w:tabs>
              <w:rPr>
                <w:rFonts w:cstheme="minorHAnsi"/>
                <w:sz w:val="20"/>
                <w:szCs w:val="20"/>
              </w:rPr>
            </w:pPr>
            <w:r w:rsidRPr="008906E7">
              <w:rPr>
                <w:rFonts w:cstheme="minorHAnsi"/>
                <w:sz w:val="20"/>
                <w:szCs w:val="20"/>
              </w:rPr>
              <w:t xml:space="preserve">(administered 12 hours apart from </w:t>
            </w:r>
            <w:proofErr w:type="spellStart"/>
            <w:r w:rsidRPr="008906E7">
              <w:rPr>
                <w:rFonts w:cstheme="minorHAnsi"/>
                <w:sz w:val="20"/>
                <w:szCs w:val="20"/>
              </w:rPr>
              <w:t>paritaprevir</w:t>
            </w:r>
            <w:proofErr w:type="spellEnd"/>
            <w:r w:rsidRPr="008906E7">
              <w:rPr>
                <w:rFonts w:cstheme="minorHAnsi"/>
                <w:sz w:val="20"/>
                <w:szCs w:val="20"/>
              </w:rPr>
              <w:t>/</w:t>
            </w:r>
            <w:r w:rsidR="00996583" w:rsidRPr="008906E7" w:rsidDel="00996583">
              <w:rPr>
                <w:rFonts w:cstheme="minorHAnsi"/>
                <w:sz w:val="20"/>
                <w:szCs w:val="20"/>
              </w:rPr>
              <w:t xml:space="preserve"> </w:t>
            </w:r>
            <w:r w:rsidRPr="008906E7">
              <w:rPr>
                <w:rFonts w:cstheme="minorHAnsi"/>
                <w:sz w:val="20"/>
                <w:szCs w:val="20"/>
              </w:rPr>
              <w:t>ritonavir</w:t>
            </w:r>
            <w:r w:rsidR="00996583">
              <w:rPr>
                <w:rFonts w:cstheme="minorHAnsi"/>
                <w:sz w:val="20"/>
                <w:szCs w:val="20"/>
              </w:rPr>
              <w:t>/</w:t>
            </w:r>
            <w:proofErr w:type="spellStart"/>
            <w:r w:rsidR="00996583">
              <w:rPr>
                <w:rFonts w:cstheme="minorHAnsi"/>
                <w:sz w:val="20"/>
                <w:szCs w:val="20"/>
              </w:rPr>
              <w:t>ombitasvir</w:t>
            </w:r>
            <w:proofErr w:type="spellEnd"/>
            <w:r w:rsidRPr="008906E7">
              <w:rPr>
                <w:rFonts w:cstheme="minorHAnsi"/>
                <w:sz w:val="20"/>
                <w:szCs w:val="20"/>
              </w:rPr>
              <w:lastRenderedPageBreak/>
              <w:t>)</w:t>
            </w:r>
          </w:p>
          <w:p w:rsidR="00420F65" w:rsidRPr="008906E7" w:rsidRDefault="00420F65">
            <w:pPr>
              <w:rPr>
                <w:rFonts w:cstheme="minorHAnsi"/>
                <w:sz w:val="20"/>
                <w:szCs w:val="20"/>
              </w:rPr>
            </w:pPr>
          </w:p>
        </w:tc>
        <w:tc>
          <w:tcPr>
            <w:tcW w:w="1277" w:type="dxa"/>
            <w:gridSpan w:val="6"/>
          </w:tcPr>
          <w:p w:rsidR="00420F65" w:rsidRPr="008906E7" w:rsidRDefault="00420F65">
            <w:pPr>
              <w:rPr>
                <w:rFonts w:cstheme="minorHAnsi"/>
                <w:sz w:val="20"/>
                <w:szCs w:val="20"/>
              </w:rPr>
            </w:pPr>
          </w:p>
        </w:tc>
        <w:tc>
          <w:tcPr>
            <w:tcW w:w="1155" w:type="dxa"/>
            <w:gridSpan w:val="7"/>
          </w:tcPr>
          <w:p w:rsidR="00420F65" w:rsidRPr="008906E7" w:rsidRDefault="00420F65">
            <w:pPr>
              <w:tabs>
                <w:tab w:val="left" w:pos="567"/>
              </w:tabs>
              <w:jc w:val="center"/>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AUC</w:t>
            </w:r>
          </w:p>
        </w:tc>
        <w:tc>
          <w:tcPr>
            <w:tcW w:w="1238" w:type="dxa"/>
            <w:gridSpan w:val="2"/>
          </w:tcPr>
          <w:p w:rsidR="00420F65" w:rsidRPr="008906E7" w:rsidRDefault="00420F65">
            <w:pPr>
              <w:tabs>
                <w:tab w:val="left" w:pos="567"/>
              </w:tabs>
              <w:jc w:val="center"/>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269"/>
        </w:trPr>
        <w:tc>
          <w:tcPr>
            <w:tcW w:w="1913" w:type="dxa"/>
            <w:gridSpan w:val="2"/>
            <w:vMerge/>
          </w:tcPr>
          <w:p w:rsidR="00420F65" w:rsidRPr="008906E7" w:rsidRDefault="00420F65">
            <w:pPr>
              <w:tabs>
                <w:tab w:val="left" w:pos="567"/>
              </w:tabs>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atazanavir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1.02</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(0.92-1.13)</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1.19</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(1.11-1.28)</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1.68</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(1.44-1.95)</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269"/>
        </w:trPr>
        <w:tc>
          <w:tcPr>
            <w:tcW w:w="1913" w:type="dxa"/>
            <w:gridSpan w:val="2"/>
            <w:vMerge/>
          </w:tcPr>
          <w:p w:rsidR="00420F65" w:rsidRPr="008906E7" w:rsidRDefault="00420F65">
            <w:pPr>
              <w:tabs>
                <w:tab w:val="left" w:pos="567"/>
              </w:tabs>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ombitasvir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0.83</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(0.72-0.96)</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0.90</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(0.78-1.02)</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1.00</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(0.89-1.13)</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269"/>
        </w:trPr>
        <w:tc>
          <w:tcPr>
            <w:tcW w:w="1913" w:type="dxa"/>
            <w:gridSpan w:val="2"/>
            <w:vMerge/>
          </w:tcPr>
          <w:p w:rsidR="00420F65" w:rsidRPr="008906E7" w:rsidRDefault="00420F65">
            <w:pPr>
              <w:tabs>
                <w:tab w:val="left" w:pos="567"/>
              </w:tabs>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paritaprevir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2.19</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(1.61-2.98)</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3.16</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(2.40-4.17)</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11.95</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(8.94-15.98)</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182"/>
        </w:trPr>
        <w:tc>
          <w:tcPr>
            <w:tcW w:w="1913" w:type="dxa"/>
            <w:gridSpan w:val="2"/>
            <w:vMerge w:val="restart"/>
          </w:tcPr>
          <w:p w:rsidR="00420F65" w:rsidRPr="008906E7" w:rsidRDefault="00420F65">
            <w:pPr>
              <w:tabs>
                <w:tab w:val="left" w:pos="567"/>
              </w:tabs>
              <w:rPr>
                <w:rFonts w:cstheme="minorHAnsi"/>
                <w:sz w:val="20"/>
                <w:szCs w:val="20"/>
              </w:rPr>
            </w:pPr>
            <w:proofErr w:type="spellStart"/>
            <w:r w:rsidRPr="008906E7">
              <w:rPr>
                <w:rFonts w:cstheme="minorHAnsi"/>
                <w:sz w:val="20"/>
                <w:szCs w:val="20"/>
              </w:rPr>
              <w:lastRenderedPageBreak/>
              <w:t>Darunavir</w:t>
            </w:r>
            <w:proofErr w:type="spellEnd"/>
          </w:p>
          <w:p w:rsidR="00420F65" w:rsidRPr="008906E7" w:rsidRDefault="00420F65">
            <w:pPr>
              <w:tabs>
                <w:tab w:val="left" w:pos="567"/>
              </w:tabs>
              <w:rPr>
                <w:rFonts w:cstheme="minorHAnsi"/>
                <w:sz w:val="20"/>
                <w:szCs w:val="20"/>
              </w:rPr>
            </w:pPr>
            <w:r w:rsidRPr="008906E7">
              <w:rPr>
                <w:rFonts w:cstheme="minorHAnsi"/>
                <w:sz w:val="20"/>
                <w:szCs w:val="20"/>
              </w:rPr>
              <w:t>800 mg once daily (given at the same time)</w:t>
            </w:r>
          </w:p>
          <w:p w:rsidR="00420F65" w:rsidRPr="008906E7" w:rsidRDefault="00420F65">
            <w:pPr>
              <w:rPr>
                <w:rFonts w:cstheme="minorHAnsi"/>
                <w:sz w:val="20"/>
                <w:szCs w:val="20"/>
              </w:rPr>
            </w:pPr>
          </w:p>
        </w:tc>
        <w:tc>
          <w:tcPr>
            <w:tcW w:w="1277" w:type="dxa"/>
            <w:gridSpan w:val="6"/>
          </w:tcPr>
          <w:p w:rsidR="00420F65" w:rsidRPr="008906E7" w:rsidRDefault="00420F65">
            <w:pPr>
              <w:rPr>
                <w:rFonts w:cstheme="minorHAnsi"/>
                <w:sz w:val="20"/>
                <w:szCs w:val="20"/>
              </w:rPr>
            </w:pPr>
          </w:p>
        </w:tc>
        <w:tc>
          <w:tcPr>
            <w:tcW w:w="1155" w:type="dxa"/>
            <w:gridSpan w:val="7"/>
          </w:tcPr>
          <w:p w:rsidR="00420F65" w:rsidRPr="008906E7" w:rsidRDefault="00420F65">
            <w:pPr>
              <w:tabs>
                <w:tab w:val="left" w:pos="567"/>
              </w:tabs>
              <w:jc w:val="center"/>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AUC</w:t>
            </w:r>
          </w:p>
        </w:tc>
        <w:tc>
          <w:tcPr>
            <w:tcW w:w="1238" w:type="dxa"/>
            <w:gridSpan w:val="2"/>
          </w:tcPr>
          <w:p w:rsidR="00420F65" w:rsidRPr="008906E7" w:rsidRDefault="00420F65">
            <w:pPr>
              <w:tabs>
                <w:tab w:val="left" w:pos="567"/>
              </w:tabs>
              <w:jc w:val="center"/>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val="restart"/>
          </w:tcPr>
          <w:p w:rsidR="00420F65" w:rsidRDefault="00420F65">
            <w:pPr>
              <w:tabs>
                <w:tab w:val="left" w:pos="567"/>
              </w:tabs>
              <w:rPr>
                <w:rFonts w:cstheme="minorHAnsi"/>
                <w:sz w:val="20"/>
                <w:szCs w:val="20"/>
              </w:rPr>
            </w:pPr>
            <w:r w:rsidRPr="008906E7">
              <w:rPr>
                <w:rFonts w:cstheme="minorHAnsi"/>
                <w:sz w:val="20"/>
                <w:szCs w:val="20"/>
              </w:rPr>
              <w:t xml:space="preserve">The recommended dose of </w:t>
            </w:r>
            <w:proofErr w:type="spellStart"/>
            <w:r w:rsidRPr="008906E7">
              <w:rPr>
                <w:rFonts w:cstheme="minorHAnsi"/>
                <w:sz w:val="20"/>
                <w:szCs w:val="20"/>
              </w:rPr>
              <w:t>darunavir</w:t>
            </w:r>
            <w:proofErr w:type="spellEnd"/>
            <w:r w:rsidRPr="008906E7">
              <w:rPr>
                <w:rFonts w:cstheme="minorHAnsi"/>
                <w:sz w:val="20"/>
                <w:szCs w:val="20"/>
              </w:rPr>
              <w:t xml:space="preserve"> is 800 mg once daily, without ritonavir, when administered at the same time as TECHNIVIE (ritonavir dose in TECHNIVIE will provide </w:t>
            </w:r>
            <w:proofErr w:type="spellStart"/>
            <w:r w:rsidRPr="008906E7">
              <w:rPr>
                <w:rFonts w:cstheme="minorHAnsi"/>
                <w:sz w:val="20"/>
                <w:szCs w:val="20"/>
              </w:rPr>
              <w:t>darunavir</w:t>
            </w:r>
            <w:proofErr w:type="spellEnd"/>
            <w:r w:rsidRPr="008906E7">
              <w:rPr>
                <w:rFonts w:cstheme="minorHAnsi"/>
                <w:sz w:val="20"/>
                <w:szCs w:val="20"/>
              </w:rPr>
              <w:t xml:space="preserve"> pharmacokinetic enhancement).  This regimen can be used in the absence of extensive HIV protease inhibitor resistance (i.e., lack of </w:t>
            </w:r>
            <w:proofErr w:type="spellStart"/>
            <w:r w:rsidRPr="008906E7">
              <w:rPr>
                <w:rFonts w:cstheme="minorHAnsi"/>
                <w:sz w:val="20"/>
                <w:szCs w:val="20"/>
              </w:rPr>
              <w:t>darunavir</w:t>
            </w:r>
            <w:proofErr w:type="spellEnd"/>
            <w:r w:rsidRPr="008906E7">
              <w:rPr>
                <w:rFonts w:cstheme="minorHAnsi"/>
                <w:sz w:val="20"/>
                <w:szCs w:val="20"/>
              </w:rPr>
              <w:t xml:space="preserve"> resistance associated mutations [RAMs]). </w:t>
            </w:r>
          </w:p>
          <w:p w:rsidR="00420F65" w:rsidRPr="008906E7" w:rsidRDefault="00420F65">
            <w:pPr>
              <w:tabs>
                <w:tab w:val="left" w:pos="567"/>
              </w:tabs>
              <w:rPr>
                <w:rFonts w:cstheme="minorHAnsi"/>
                <w:sz w:val="20"/>
                <w:szCs w:val="20"/>
              </w:rPr>
            </w:pPr>
          </w:p>
          <w:p w:rsidR="00420F65" w:rsidRPr="008906E7" w:rsidRDefault="00420F65">
            <w:pPr>
              <w:tabs>
                <w:tab w:val="left" w:pos="567"/>
              </w:tabs>
              <w:rPr>
                <w:rFonts w:cstheme="minorHAnsi"/>
                <w:sz w:val="20"/>
                <w:szCs w:val="20"/>
              </w:rPr>
            </w:pPr>
            <w:proofErr w:type="spellStart"/>
            <w:r w:rsidRPr="008906E7">
              <w:rPr>
                <w:rFonts w:cstheme="minorHAnsi"/>
                <w:sz w:val="20"/>
                <w:szCs w:val="20"/>
              </w:rPr>
              <w:t>Darunavir</w:t>
            </w:r>
            <w:proofErr w:type="spellEnd"/>
            <w:r w:rsidRPr="008906E7">
              <w:rPr>
                <w:rFonts w:cstheme="minorHAnsi"/>
                <w:sz w:val="20"/>
                <w:szCs w:val="20"/>
              </w:rPr>
              <w:t xml:space="preserve"> combined with TECHNIVIE is not recommended in patients with extensive PI resistance.</w:t>
            </w:r>
          </w:p>
          <w:p w:rsidR="00420F65" w:rsidRPr="008906E7" w:rsidRDefault="00420F65">
            <w:pPr>
              <w:rPr>
                <w:rFonts w:cstheme="minorHAnsi"/>
                <w:sz w:val="20"/>
                <w:szCs w:val="20"/>
              </w:rPr>
            </w:pPr>
          </w:p>
        </w:tc>
      </w:tr>
      <w:tr w:rsidR="003A240F" w:rsidRPr="00A47F4F" w:rsidTr="00ED3483">
        <w:trPr>
          <w:trHeight w:val="182"/>
        </w:trPr>
        <w:tc>
          <w:tcPr>
            <w:tcW w:w="1913" w:type="dxa"/>
            <w:gridSpan w:val="2"/>
            <w:vMerge/>
          </w:tcPr>
          <w:p w:rsidR="00420F65" w:rsidRPr="008906E7" w:rsidRDefault="00420F65">
            <w:pPr>
              <w:tabs>
                <w:tab w:val="left" w:pos="567"/>
              </w:tabs>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darunavir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0.99</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(0.92-1.08)</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0.92</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(0.84-1.00)</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0.74</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(0.63-0.88)</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182"/>
        </w:trPr>
        <w:tc>
          <w:tcPr>
            <w:tcW w:w="1913" w:type="dxa"/>
            <w:gridSpan w:val="2"/>
            <w:vMerge/>
          </w:tcPr>
          <w:p w:rsidR="00420F65" w:rsidRPr="008906E7" w:rsidRDefault="00420F65">
            <w:pPr>
              <w:tabs>
                <w:tab w:val="left" w:pos="567"/>
              </w:tabs>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w:t>
            </w:r>
          </w:p>
          <w:p w:rsidR="00420F65" w:rsidRPr="008906E7" w:rsidRDefault="00420F65">
            <w:pPr>
              <w:tabs>
                <w:tab w:val="left" w:pos="567"/>
              </w:tabs>
              <w:rPr>
                <w:rFonts w:ascii="Calibri" w:hAnsi="Calibri" w:cs="Calibri"/>
                <w:sz w:val="20"/>
                <w:szCs w:val="20"/>
              </w:rPr>
            </w:pPr>
            <w:proofErr w:type="spellStart"/>
            <w:r w:rsidRPr="008906E7">
              <w:rPr>
                <w:rFonts w:ascii="Calibri" w:hAnsi="Calibri" w:cs="Calibri"/>
                <w:sz w:val="20"/>
                <w:szCs w:val="20"/>
              </w:rPr>
              <w:t>ombitasvir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1.01</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(0.87-1.17)</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1.01</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(0.91-1.11)</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1.06</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(0.99-1.13)</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182"/>
        </w:trPr>
        <w:tc>
          <w:tcPr>
            <w:tcW w:w="1913" w:type="dxa"/>
            <w:gridSpan w:val="2"/>
            <w:vMerge/>
          </w:tcPr>
          <w:p w:rsidR="00420F65" w:rsidRPr="008906E7" w:rsidRDefault="00420F65">
            <w:pPr>
              <w:tabs>
                <w:tab w:val="left" w:pos="567"/>
              </w:tabs>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w:t>
            </w:r>
          </w:p>
          <w:p w:rsidR="00420F65" w:rsidRPr="008906E7" w:rsidRDefault="00420F65">
            <w:pPr>
              <w:tabs>
                <w:tab w:val="left" w:pos="567"/>
              </w:tabs>
              <w:rPr>
                <w:rFonts w:ascii="Calibri" w:hAnsi="Calibri" w:cs="Calibri"/>
                <w:sz w:val="20"/>
                <w:szCs w:val="20"/>
              </w:rPr>
            </w:pPr>
            <w:proofErr w:type="spellStart"/>
            <w:r w:rsidRPr="008906E7">
              <w:rPr>
                <w:rFonts w:ascii="Calibri" w:hAnsi="Calibri" w:cs="Calibri"/>
                <w:sz w:val="20"/>
                <w:szCs w:val="20"/>
              </w:rPr>
              <w:t>paritaprevir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2.09</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(1.35-3.24)</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1.94</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(1.36-2.75)</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1.85</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(1.41-2.42)</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139"/>
        </w:trPr>
        <w:tc>
          <w:tcPr>
            <w:tcW w:w="1913" w:type="dxa"/>
            <w:gridSpan w:val="2"/>
            <w:vMerge w:val="restart"/>
          </w:tcPr>
          <w:p w:rsidR="00420F65" w:rsidRPr="008906E7" w:rsidRDefault="00420F65">
            <w:pPr>
              <w:tabs>
                <w:tab w:val="left" w:pos="567"/>
              </w:tabs>
              <w:rPr>
                <w:rFonts w:cstheme="minorHAnsi"/>
                <w:sz w:val="20"/>
                <w:szCs w:val="20"/>
              </w:rPr>
            </w:pPr>
            <w:proofErr w:type="spellStart"/>
            <w:r w:rsidRPr="008906E7">
              <w:rPr>
                <w:rFonts w:cstheme="minorHAnsi"/>
                <w:sz w:val="20"/>
                <w:szCs w:val="20"/>
              </w:rPr>
              <w:t>Darunavir</w:t>
            </w:r>
            <w:proofErr w:type="spellEnd"/>
            <w:r w:rsidRPr="008906E7">
              <w:rPr>
                <w:rFonts w:cstheme="minorHAnsi"/>
                <w:sz w:val="20"/>
                <w:szCs w:val="20"/>
              </w:rPr>
              <w:t>/ritonavir</w:t>
            </w:r>
            <w:r w:rsidRPr="008906E7">
              <w:rPr>
                <w:rFonts w:cstheme="minorHAnsi"/>
                <w:sz w:val="20"/>
                <w:szCs w:val="20"/>
                <w:vertAlign w:val="superscript"/>
              </w:rPr>
              <w:t>1</w:t>
            </w:r>
          </w:p>
          <w:p w:rsidR="00420F65" w:rsidRPr="008906E7" w:rsidRDefault="00420F65">
            <w:pPr>
              <w:tabs>
                <w:tab w:val="left" w:pos="567"/>
              </w:tabs>
              <w:rPr>
                <w:rFonts w:cstheme="minorHAnsi"/>
                <w:sz w:val="20"/>
                <w:szCs w:val="20"/>
              </w:rPr>
            </w:pPr>
            <w:r w:rsidRPr="008906E7">
              <w:rPr>
                <w:rFonts w:cstheme="minorHAnsi"/>
                <w:sz w:val="20"/>
                <w:szCs w:val="20"/>
              </w:rPr>
              <w:t>600/</w:t>
            </w:r>
            <w:r w:rsidR="001E0E8A" w:rsidRPr="008906E7">
              <w:rPr>
                <w:rFonts w:cstheme="minorHAnsi"/>
                <w:sz w:val="20"/>
                <w:szCs w:val="20"/>
              </w:rPr>
              <w:t>100</w:t>
            </w:r>
            <w:r w:rsidR="001E0E8A">
              <w:rPr>
                <w:rFonts w:cstheme="minorHAnsi"/>
                <w:sz w:val="20"/>
                <w:szCs w:val="20"/>
              </w:rPr>
              <w:t xml:space="preserve"> </w:t>
            </w:r>
            <w:r w:rsidRPr="008906E7">
              <w:rPr>
                <w:rFonts w:cstheme="minorHAnsi"/>
                <w:sz w:val="20"/>
                <w:szCs w:val="20"/>
              </w:rPr>
              <w:t>mg twice daily</w:t>
            </w:r>
          </w:p>
          <w:p w:rsidR="00420F65" w:rsidRPr="008906E7" w:rsidRDefault="00420F65">
            <w:pPr>
              <w:rPr>
                <w:rFonts w:cstheme="minorHAnsi"/>
                <w:sz w:val="20"/>
                <w:szCs w:val="20"/>
              </w:rPr>
            </w:pPr>
          </w:p>
        </w:tc>
        <w:tc>
          <w:tcPr>
            <w:tcW w:w="1277" w:type="dxa"/>
            <w:gridSpan w:val="6"/>
          </w:tcPr>
          <w:p w:rsidR="00420F65" w:rsidRPr="008906E7" w:rsidRDefault="00420F65">
            <w:pPr>
              <w:rPr>
                <w:rFonts w:cstheme="minorHAnsi"/>
                <w:sz w:val="20"/>
                <w:szCs w:val="20"/>
              </w:rPr>
            </w:pPr>
          </w:p>
        </w:tc>
        <w:tc>
          <w:tcPr>
            <w:tcW w:w="1155" w:type="dxa"/>
            <w:gridSpan w:val="7"/>
          </w:tcPr>
          <w:p w:rsidR="00420F65" w:rsidRPr="008906E7" w:rsidRDefault="00420F65">
            <w:pPr>
              <w:tabs>
                <w:tab w:val="left" w:pos="567"/>
              </w:tabs>
              <w:jc w:val="center"/>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AUC</w:t>
            </w:r>
          </w:p>
        </w:tc>
        <w:tc>
          <w:tcPr>
            <w:tcW w:w="1238" w:type="dxa"/>
            <w:gridSpan w:val="2"/>
          </w:tcPr>
          <w:p w:rsidR="00420F65" w:rsidRPr="008906E7" w:rsidRDefault="00420F65">
            <w:pPr>
              <w:tabs>
                <w:tab w:val="left" w:pos="567"/>
              </w:tabs>
              <w:jc w:val="center"/>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135"/>
        </w:trPr>
        <w:tc>
          <w:tcPr>
            <w:tcW w:w="1913" w:type="dxa"/>
            <w:gridSpan w:val="2"/>
            <w:vMerge/>
          </w:tcPr>
          <w:p w:rsidR="00420F65" w:rsidRPr="008906E7" w:rsidRDefault="00420F65">
            <w:pPr>
              <w:tabs>
                <w:tab w:val="left" w:pos="567"/>
              </w:tabs>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darunavir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0.87</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(0.79-0.96)</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0.80</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(0.74-0.86)</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0.57</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(0.48-0.67)</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135"/>
        </w:trPr>
        <w:tc>
          <w:tcPr>
            <w:tcW w:w="1913" w:type="dxa"/>
            <w:gridSpan w:val="2"/>
            <w:vMerge/>
          </w:tcPr>
          <w:p w:rsidR="00420F65" w:rsidRPr="008906E7" w:rsidRDefault="00420F65">
            <w:pPr>
              <w:tabs>
                <w:tab w:val="left" w:pos="567"/>
              </w:tabs>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ombitasvir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0.76</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(0.65-0.88)</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0.73</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(0.66-0.80)</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0.73</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(0.64-0.83)</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135"/>
        </w:trPr>
        <w:tc>
          <w:tcPr>
            <w:tcW w:w="1913" w:type="dxa"/>
            <w:gridSpan w:val="2"/>
            <w:vMerge/>
          </w:tcPr>
          <w:p w:rsidR="00420F65" w:rsidRPr="008906E7" w:rsidRDefault="00420F65">
            <w:pPr>
              <w:tabs>
                <w:tab w:val="left" w:pos="567"/>
              </w:tabs>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paritaprevir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0.70</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(0.43-1.12)</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0.59</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(0.44-0.79)</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0.83</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(0.69-1.01)</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228"/>
        </w:trPr>
        <w:tc>
          <w:tcPr>
            <w:tcW w:w="1913" w:type="dxa"/>
            <w:gridSpan w:val="2"/>
            <w:vMerge w:val="restart"/>
          </w:tcPr>
          <w:p w:rsidR="00420F65" w:rsidRPr="008906E7" w:rsidRDefault="00420F65">
            <w:pPr>
              <w:tabs>
                <w:tab w:val="left" w:pos="567"/>
              </w:tabs>
              <w:rPr>
                <w:rFonts w:cstheme="minorHAnsi"/>
                <w:sz w:val="20"/>
                <w:szCs w:val="20"/>
              </w:rPr>
            </w:pPr>
            <w:proofErr w:type="spellStart"/>
            <w:r w:rsidRPr="008906E7">
              <w:rPr>
                <w:rFonts w:cstheme="minorHAnsi"/>
                <w:sz w:val="20"/>
                <w:szCs w:val="20"/>
              </w:rPr>
              <w:t>Darunavir</w:t>
            </w:r>
            <w:proofErr w:type="spellEnd"/>
            <w:r w:rsidRPr="008906E7">
              <w:rPr>
                <w:rFonts w:cstheme="minorHAnsi"/>
                <w:sz w:val="20"/>
                <w:szCs w:val="20"/>
              </w:rPr>
              <w:t>/ ritonavir</w:t>
            </w:r>
            <w:r w:rsidRPr="008906E7">
              <w:rPr>
                <w:rFonts w:cstheme="minorHAnsi"/>
                <w:sz w:val="20"/>
                <w:szCs w:val="20"/>
                <w:vertAlign w:val="superscript"/>
              </w:rPr>
              <w:t>1</w:t>
            </w:r>
          </w:p>
          <w:p w:rsidR="00420F65" w:rsidRPr="008906E7" w:rsidRDefault="00420F65">
            <w:pPr>
              <w:tabs>
                <w:tab w:val="left" w:pos="567"/>
              </w:tabs>
              <w:rPr>
                <w:rFonts w:cstheme="minorHAnsi"/>
                <w:sz w:val="20"/>
                <w:szCs w:val="20"/>
              </w:rPr>
            </w:pPr>
            <w:r w:rsidRPr="008906E7">
              <w:rPr>
                <w:rFonts w:cstheme="minorHAnsi"/>
                <w:sz w:val="20"/>
                <w:szCs w:val="20"/>
              </w:rPr>
              <w:t>800/</w:t>
            </w:r>
            <w:r w:rsidR="001E0E8A" w:rsidRPr="008906E7">
              <w:rPr>
                <w:rFonts w:cstheme="minorHAnsi"/>
                <w:sz w:val="20"/>
                <w:szCs w:val="20"/>
              </w:rPr>
              <w:t>100</w:t>
            </w:r>
            <w:r w:rsidR="001E0E8A">
              <w:rPr>
                <w:rFonts w:cstheme="minorHAnsi"/>
                <w:sz w:val="20"/>
                <w:szCs w:val="20"/>
              </w:rPr>
              <w:t xml:space="preserve"> </w:t>
            </w:r>
            <w:r w:rsidRPr="008906E7">
              <w:rPr>
                <w:rFonts w:cstheme="minorHAnsi"/>
                <w:sz w:val="20"/>
                <w:szCs w:val="20"/>
              </w:rPr>
              <w:t>mg once daily</w:t>
            </w:r>
          </w:p>
          <w:p w:rsidR="00420F65" w:rsidRPr="008906E7" w:rsidRDefault="00420F65">
            <w:pPr>
              <w:tabs>
                <w:tab w:val="left" w:pos="567"/>
              </w:tabs>
              <w:rPr>
                <w:rFonts w:cstheme="minorHAnsi"/>
                <w:sz w:val="20"/>
                <w:szCs w:val="20"/>
              </w:rPr>
            </w:pPr>
            <w:r w:rsidRPr="008906E7">
              <w:rPr>
                <w:rFonts w:cstheme="minorHAnsi"/>
                <w:sz w:val="20"/>
                <w:szCs w:val="20"/>
              </w:rPr>
              <w:t>(administered 12 hours apart)</w:t>
            </w:r>
          </w:p>
          <w:p w:rsidR="00420F65" w:rsidRPr="008906E7" w:rsidRDefault="00420F65">
            <w:pPr>
              <w:rPr>
                <w:rFonts w:cstheme="minorHAnsi"/>
                <w:sz w:val="20"/>
                <w:szCs w:val="20"/>
              </w:rPr>
            </w:pPr>
          </w:p>
        </w:tc>
        <w:tc>
          <w:tcPr>
            <w:tcW w:w="1277" w:type="dxa"/>
            <w:gridSpan w:val="6"/>
          </w:tcPr>
          <w:p w:rsidR="00420F65" w:rsidRPr="008906E7" w:rsidRDefault="00420F65">
            <w:pPr>
              <w:rPr>
                <w:rFonts w:cstheme="minorHAnsi"/>
                <w:sz w:val="20"/>
                <w:szCs w:val="20"/>
              </w:rPr>
            </w:pPr>
          </w:p>
        </w:tc>
        <w:tc>
          <w:tcPr>
            <w:tcW w:w="1155" w:type="dxa"/>
            <w:gridSpan w:val="7"/>
          </w:tcPr>
          <w:p w:rsidR="00420F65" w:rsidRPr="008906E7" w:rsidRDefault="00420F65">
            <w:pPr>
              <w:tabs>
                <w:tab w:val="left" w:pos="567"/>
              </w:tabs>
              <w:jc w:val="center"/>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AUC</w:t>
            </w:r>
          </w:p>
        </w:tc>
        <w:tc>
          <w:tcPr>
            <w:tcW w:w="1238" w:type="dxa"/>
            <w:gridSpan w:val="2"/>
          </w:tcPr>
          <w:p w:rsidR="00420F65" w:rsidRPr="008906E7" w:rsidRDefault="00420F65">
            <w:pPr>
              <w:tabs>
                <w:tab w:val="left" w:pos="567"/>
              </w:tabs>
              <w:jc w:val="center"/>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225"/>
        </w:trPr>
        <w:tc>
          <w:tcPr>
            <w:tcW w:w="1913" w:type="dxa"/>
            <w:gridSpan w:val="2"/>
            <w:vMerge/>
          </w:tcPr>
          <w:p w:rsidR="00420F65" w:rsidRPr="008906E7" w:rsidRDefault="00420F65">
            <w:pPr>
              <w:tabs>
                <w:tab w:val="left" w:pos="567"/>
              </w:tabs>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darunavir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0.79</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(0.70-0.90)</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1.34</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(1.25-1.43)</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0.54</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(0.48-0.62)</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225"/>
        </w:trPr>
        <w:tc>
          <w:tcPr>
            <w:tcW w:w="1913" w:type="dxa"/>
            <w:gridSpan w:val="2"/>
            <w:vMerge/>
          </w:tcPr>
          <w:p w:rsidR="00420F65" w:rsidRPr="008906E7" w:rsidRDefault="00420F65">
            <w:pPr>
              <w:tabs>
                <w:tab w:val="left" w:pos="567"/>
              </w:tabs>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w:t>
            </w:r>
          </w:p>
          <w:p w:rsidR="00420F65" w:rsidRPr="008906E7" w:rsidRDefault="00420F65">
            <w:pPr>
              <w:tabs>
                <w:tab w:val="left" w:pos="567"/>
              </w:tabs>
              <w:rPr>
                <w:rFonts w:ascii="Calibri" w:hAnsi="Calibri" w:cs="Calibri"/>
                <w:sz w:val="20"/>
                <w:szCs w:val="20"/>
              </w:rPr>
            </w:pPr>
            <w:proofErr w:type="spellStart"/>
            <w:r w:rsidRPr="008906E7">
              <w:rPr>
                <w:rFonts w:ascii="Calibri" w:hAnsi="Calibri" w:cs="Calibri"/>
                <w:sz w:val="20"/>
                <w:szCs w:val="20"/>
              </w:rPr>
              <w:t>ombitasvir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0.87</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(0.82-0.93)</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0.87</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(0.81-0.93)</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0.87</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(0.80-0.95)</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225"/>
        </w:trPr>
        <w:tc>
          <w:tcPr>
            <w:tcW w:w="1913" w:type="dxa"/>
            <w:gridSpan w:val="2"/>
            <w:vMerge/>
          </w:tcPr>
          <w:p w:rsidR="00420F65" w:rsidRPr="008906E7" w:rsidRDefault="00420F65">
            <w:pPr>
              <w:tabs>
                <w:tab w:val="left" w:pos="567"/>
              </w:tabs>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paritaprevir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0.70</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(0.50-0.99)</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0.81</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(0.60-1.09)</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1.59</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(1.23-2.05)</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100"/>
        </w:trPr>
        <w:tc>
          <w:tcPr>
            <w:tcW w:w="1913" w:type="dxa"/>
            <w:gridSpan w:val="2"/>
            <w:vMerge w:val="restart"/>
          </w:tcPr>
          <w:p w:rsidR="00420F65" w:rsidRPr="008906E7" w:rsidRDefault="00420F65">
            <w:pPr>
              <w:tabs>
                <w:tab w:val="left" w:pos="567"/>
              </w:tabs>
              <w:rPr>
                <w:rFonts w:cstheme="minorHAnsi"/>
                <w:sz w:val="20"/>
                <w:szCs w:val="20"/>
              </w:rPr>
            </w:pPr>
            <w:proofErr w:type="spellStart"/>
            <w:r w:rsidRPr="008906E7">
              <w:rPr>
                <w:rFonts w:cstheme="minorHAnsi"/>
                <w:sz w:val="20"/>
                <w:szCs w:val="20"/>
              </w:rPr>
              <w:t>Lopinavir</w:t>
            </w:r>
            <w:proofErr w:type="spellEnd"/>
            <w:r w:rsidRPr="008906E7">
              <w:rPr>
                <w:rFonts w:cstheme="minorHAnsi"/>
                <w:sz w:val="20"/>
                <w:szCs w:val="20"/>
              </w:rPr>
              <w:t>/ritonavir</w:t>
            </w:r>
          </w:p>
          <w:p w:rsidR="00420F65" w:rsidRPr="008906E7" w:rsidRDefault="00420F65">
            <w:pPr>
              <w:tabs>
                <w:tab w:val="left" w:pos="567"/>
              </w:tabs>
              <w:rPr>
                <w:rFonts w:cstheme="minorHAnsi"/>
                <w:sz w:val="20"/>
                <w:szCs w:val="20"/>
              </w:rPr>
            </w:pPr>
            <w:r w:rsidRPr="008906E7">
              <w:rPr>
                <w:rFonts w:cstheme="minorHAnsi"/>
                <w:sz w:val="20"/>
                <w:szCs w:val="20"/>
              </w:rPr>
              <w:t>400/</w:t>
            </w:r>
            <w:r w:rsidR="001E0E8A" w:rsidRPr="008906E7">
              <w:rPr>
                <w:rFonts w:cstheme="minorHAnsi"/>
                <w:sz w:val="20"/>
                <w:szCs w:val="20"/>
              </w:rPr>
              <w:t>100</w:t>
            </w:r>
            <w:r w:rsidR="001E0E8A">
              <w:rPr>
                <w:rFonts w:cstheme="minorHAnsi"/>
                <w:sz w:val="20"/>
                <w:szCs w:val="20"/>
              </w:rPr>
              <w:t xml:space="preserve"> </w:t>
            </w:r>
            <w:r w:rsidRPr="008906E7">
              <w:rPr>
                <w:rFonts w:cstheme="minorHAnsi"/>
                <w:sz w:val="20"/>
                <w:szCs w:val="20"/>
              </w:rPr>
              <w:t>mg twice daily</w:t>
            </w:r>
            <w:r w:rsidRPr="008906E7">
              <w:rPr>
                <w:rFonts w:cstheme="minorHAnsi"/>
                <w:sz w:val="20"/>
                <w:szCs w:val="20"/>
                <w:vertAlign w:val="superscript"/>
              </w:rPr>
              <w:t>2</w:t>
            </w:r>
          </w:p>
          <w:p w:rsidR="00420F65" w:rsidRPr="008906E7" w:rsidRDefault="00420F65">
            <w:pPr>
              <w:rPr>
                <w:rFonts w:cstheme="minorHAnsi"/>
                <w:sz w:val="20"/>
                <w:szCs w:val="20"/>
              </w:rPr>
            </w:pPr>
          </w:p>
        </w:tc>
        <w:tc>
          <w:tcPr>
            <w:tcW w:w="1277" w:type="dxa"/>
            <w:gridSpan w:val="6"/>
          </w:tcPr>
          <w:p w:rsidR="00420F65" w:rsidRPr="008906E7" w:rsidRDefault="00420F65">
            <w:pPr>
              <w:rPr>
                <w:rFonts w:cstheme="minorHAnsi"/>
                <w:sz w:val="20"/>
                <w:szCs w:val="20"/>
              </w:rPr>
            </w:pPr>
          </w:p>
        </w:tc>
        <w:tc>
          <w:tcPr>
            <w:tcW w:w="1155" w:type="dxa"/>
            <w:gridSpan w:val="7"/>
          </w:tcPr>
          <w:p w:rsidR="00420F65" w:rsidRPr="008906E7" w:rsidRDefault="00420F65">
            <w:pPr>
              <w:tabs>
                <w:tab w:val="left" w:pos="567"/>
              </w:tabs>
              <w:jc w:val="center"/>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AUC</w:t>
            </w:r>
          </w:p>
        </w:tc>
        <w:tc>
          <w:tcPr>
            <w:tcW w:w="1238" w:type="dxa"/>
            <w:gridSpan w:val="2"/>
          </w:tcPr>
          <w:p w:rsidR="00420F65" w:rsidRPr="008906E7" w:rsidRDefault="00420F65">
            <w:pPr>
              <w:tabs>
                <w:tab w:val="left" w:pos="567"/>
              </w:tabs>
              <w:jc w:val="center"/>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val="restart"/>
          </w:tcPr>
          <w:p w:rsidR="00420F65" w:rsidRPr="008906E7" w:rsidRDefault="00420F65">
            <w:pPr>
              <w:rPr>
                <w:rFonts w:cstheme="minorHAnsi"/>
                <w:sz w:val="20"/>
                <w:szCs w:val="20"/>
              </w:rPr>
            </w:pPr>
            <w:r w:rsidRPr="008906E7">
              <w:rPr>
                <w:rFonts w:cstheme="minorHAnsi"/>
                <w:sz w:val="20"/>
                <w:szCs w:val="20"/>
              </w:rPr>
              <w:t xml:space="preserve">Mechanism:  Increase in </w:t>
            </w:r>
            <w:proofErr w:type="spellStart"/>
            <w:r w:rsidRPr="008906E7">
              <w:rPr>
                <w:rFonts w:cstheme="minorHAnsi"/>
                <w:sz w:val="20"/>
                <w:szCs w:val="20"/>
              </w:rPr>
              <w:t>paritaprevir</w:t>
            </w:r>
            <w:proofErr w:type="spellEnd"/>
            <w:r w:rsidRPr="008906E7">
              <w:rPr>
                <w:rFonts w:cstheme="minorHAnsi"/>
                <w:sz w:val="20"/>
                <w:szCs w:val="20"/>
              </w:rPr>
              <w:t xml:space="preserve"> exposures may be due to inhibition of CYP3A/efflux transporters by </w:t>
            </w:r>
            <w:proofErr w:type="spellStart"/>
            <w:r w:rsidRPr="008906E7">
              <w:rPr>
                <w:rFonts w:cstheme="minorHAnsi"/>
                <w:sz w:val="20"/>
                <w:szCs w:val="20"/>
              </w:rPr>
              <w:t>lopinavir</w:t>
            </w:r>
            <w:proofErr w:type="spellEnd"/>
            <w:r w:rsidRPr="008906E7">
              <w:rPr>
                <w:rFonts w:cstheme="minorHAnsi"/>
                <w:sz w:val="20"/>
                <w:szCs w:val="20"/>
              </w:rPr>
              <w:t xml:space="preserve"> and a higher dose of ritonavir.</w:t>
            </w:r>
          </w:p>
          <w:p w:rsidR="00420F65" w:rsidRPr="008906E7" w:rsidRDefault="00420F65">
            <w:pPr>
              <w:rPr>
                <w:rFonts w:cstheme="minorHAnsi"/>
                <w:sz w:val="20"/>
                <w:szCs w:val="20"/>
              </w:rPr>
            </w:pPr>
            <w:proofErr w:type="spellStart"/>
            <w:r w:rsidRPr="008906E7">
              <w:rPr>
                <w:rFonts w:cstheme="minorHAnsi"/>
                <w:sz w:val="20"/>
                <w:szCs w:val="20"/>
              </w:rPr>
              <w:t>Lopinavir</w:t>
            </w:r>
            <w:proofErr w:type="spellEnd"/>
            <w:r w:rsidRPr="008906E7">
              <w:rPr>
                <w:rFonts w:cstheme="minorHAnsi"/>
                <w:sz w:val="20"/>
                <w:szCs w:val="20"/>
              </w:rPr>
              <w:t xml:space="preserve">/ritonavir 400/100 mg twice daily and 800/200 mg once daily (evening administration) increases </w:t>
            </w:r>
            <w:proofErr w:type="spellStart"/>
            <w:r w:rsidRPr="008906E7">
              <w:rPr>
                <w:rFonts w:cstheme="minorHAnsi"/>
                <w:sz w:val="20"/>
                <w:szCs w:val="20"/>
              </w:rPr>
              <w:t>paritaprevir</w:t>
            </w:r>
            <w:proofErr w:type="spellEnd"/>
            <w:r w:rsidRPr="008906E7">
              <w:rPr>
                <w:rFonts w:cstheme="minorHAnsi"/>
                <w:sz w:val="20"/>
                <w:szCs w:val="20"/>
              </w:rPr>
              <w:t xml:space="preserve"> concentrations.</w:t>
            </w:r>
            <w:r w:rsidRPr="008906E7">
              <w:rPr>
                <w:rFonts w:cstheme="minorHAnsi"/>
                <w:sz w:val="20"/>
                <w:szCs w:val="20"/>
              </w:rPr>
              <w:br/>
            </w:r>
            <w:proofErr w:type="spellStart"/>
            <w:r w:rsidRPr="008906E7">
              <w:rPr>
                <w:rFonts w:cstheme="minorHAnsi"/>
                <w:sz w:val="20"/>
                <w:szCs w:val="20"/>
              </w:rPr>
              <w:t>Lopinavir</w:t>
            </w:r>
            <w:proofErr w:type="spellEnd"/>
            <w:r w:rsidRPr="008906E7">
              <w:rPr>
                <w:rFonts w:cstheme="minorHAnsi"/>
                <w:sz w:val="20"/>
                <w:szCs w:val="20"/>
              </w:rPr>
              <w:t>/ritonavir use is not recommended with TECHNIVIE.</w:t>
            </w:r>
          </w:p>
        </w:tc>
      </w:tr>
      <w:tr w:rsidR="003A240F" w:rsidRPr="00A47F4F" w:rsidTr="00ED3483">
        <w:trPr>
          <w:trHeight w:val="100"/>
        </w:trPr>
        <w:tc>
          <w:tcPr>
            <w:tcW w:w="1913" w:type="dxa"/>
            <w:gridSpan w:val="2"/>
            <w:vMerge/>
          </w:tcPr>
          <w:p w:rsidR="00420F65" w:rsidRPr="008906E7" w:rsidRDefault="00420F65">
            <w:pPr>
              <w:tabs>
                <w:tab w:val="left" w:pos="567"/>
              </w:tabs>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lopinavir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1.06</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(0.99-1.14)</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1.13</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(1.09-1.17)</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1.34</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(1.26-1.42)</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100"/>
        </w:trPr>
        <w:tc>
          <w:tcPr>
            <w:tcW w:w="1913" w:type="dxa"/>
            <w:gridSpan w:val="2"/>
            <w:vMerge/>
          </w:tcPr>
          <w:p w:rsidR="00420F65" w:rsidRPr="008906E7" w:rsidRDefault="00420F65">
            <w:pPr>
              <w:tabs>
                <w:tab w:val="left" w:pos="567"/>
              </w:tabs>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w:t>
            </w:r>
            <w:proofErr w:type="spellStart"/>
            <w:r w:rsidRPr="008906E7">
              <w:rPr>
                <w:rFonts w:ascii="Calibri" w:hAnsi="Calibri" w:cs="Calibri"/>
                <w:sz w:val="20"/>
                <w:szCs w:val="20"/>
              </w:rPr>
              <w:t>ombitasvir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1.07</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(1.01-1.13)</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1.25</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(1.19-1.32)</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1.48</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(1.39-1.57)</w:t>
            </w:r>
          </w:p>
        </w:tc>
        <w:tc>
          <w:tcPr>
            <w:tcW w:w="2460" w:type="dxa"/>
            <w:gridSpan w:val="2"/>
            <w:vMerge/>
          </w:tcPr>
          <w:p w:rsidR="00420F65" w:rsidRPr="008906E7" w:rsidRDefault="00420F65">
            <w:pPr>
              <w:rPr>
                <w:rFonts w:cstheme="minorHAnsi"/>
                <w:sz w:val="20"/>
                <w:szCs w:val="20"/>
              </w:rPr>
            </w:pPr>
          </w:p>
        </w:tc>
      </w:tr>
      <w:tr w:rsidR="003A240F" w:rsidRPr="00A47F4F" w:rsidTr="00ED3483">
        <w:trPr>
          <w:trHeight w:val="100"/>
        </w:trPr>
        <w:tc>
          <w:tcPr>
            <w:tcW w:w="1913" w:type="dxa"/>
            <w:gridSpan w:val="2"/>
            <w:vMerge/>
          </w:tcPr>
          <w:p w:rsidR="00420F65" w:rsidRPr="008906E7" w:rsidRDefault="00420F65">
            <w:pPr>
              <w:tabs>
                <w:tab w:val="left" w:pos="567"/>
              </w:tabs>
              <w:rPr>
                <w:rFonts w:cstheme="minorHAnsi"/>
                <w:sz w:val="20"/>
                <w:szCs w:val="20"/>
              </w:rPr>
            </w:pPr>
          </w:p>
        </w:tc>
        <w:tc>
          <w:tcPr>
            <w:tcW w:w="1277"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w:t>
            </w:r>
          </w:p>
          <w:p w:rsidR="00420F65" w:rsidRPr="008906E7" w:rsidRDefault="00420F65">
            <w:pPr>
              <w:tabs>
                <w:tab w:val="left" w:pos="567"/>
              </w:tabs>
              <w:rPr>
                <w:rFonts w:ascii="Calibri" w:hAnsi="Calibri" w:cs="Calibri"/>
                <w:sz w:val="20"/>
                <w:szCs w:val="20"/>
              </w:rPr>
            </w:pPr>
            <w:proofErr w:type="spellStart"/>
            <w:r w:rsidRPr="008906E7">
              <w:rPr>
                <w:rFonts w:ascii="Calibri" w:hAnsi="Calibri" w:cs="Calibri"/>
                <w:sz w:val="20"/>
                <w:szCs w:val="20"/>
              </w:rPr>
              <w:t>paritaprevir</w:t>
            </w:r>
            <w:proofErr w:type="spellEnd"/>
          </w:p>
        </w:tc>
        <w:tc>
          <w:tcPr>
            <w:tcW w:w="1155" w:type="dxa"/>
            <w:gridSpan w:val="7"/>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4.76</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(3.54-6.39)</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6.10</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(4.30-8.67)</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12.33</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(7.30-20.84)</w:t>
            </w:r>
          </w:p>
        </w:tc>
        <w:tc>
          <w:tcPr>
            <w:tcW w:w="2460" w:type="dxa"/>
            <w:gridSpan w:val="2"/>
            <w:vMerge/>
          </w:tcPr>
          <w:p w:rsidR="00420F65" w:rsidRPr="008906E7" w:rsidRDefault="00420F65">
            <w:pPr>
              <w:rPr>
                <w:rFonts w:cstheme="minorHAnsi"/>
                <w:sz w:val="20"/>
                <w:szCs w:val="20"/>
              </w:rPr>
            </w:pPr>
          </w:p>
        </w:tc>
      </w:tr>
      <w:tr w:rsidR="00420F65" w:rsidRPr="00A47F4F" w:rsidTr="000D4A1F">
        <w:trPr>
          <w:trHeight w:val="264"/>
        </w:trPr>
        <w:tc>
          <w:tcPr>
            <w:tcW w:w="9180" w:type="dxa"/>
            <w:gridSpan w:val="24"/>
          </w:tcPr>
          <w:p w:rsidR="00420F65" w:rsidRPr="008906E7" w:rsidRDefault="00420F65">
            <w:pPr>
              <w:tabs>
                <w:tab w:val="left" w:pos="567"/>
              </w:tabs>
              <w:rPr>
                <w:rFonts w:ascii="Times New Roman" w:hAnsi="Times New Roman" w:cstheme="minorHAnsi"/>
                <w:b/>
                <w:sz w:val="20"/>
                <w:szCs w:val="20"/>
              </w:rPr>
            </w:pPr>
            <w:r w:rsidRPr="008906E7">
              <w:rPr>
                <w:rFonts w:cstheme="minorHAnsi"/>
                <w:b/>
                <w:sz w:val="20"/>
                <w:szCs w:val="20"/>
              </w:rPr>
              <w:t>HIV Antivirals:  Non-Nucleoside Reverse Transcriptase Inhibitors</w:t>
            </w:r>
          </w:p>
        </w:tc>
      </w:tr>
      <w:tr w:rsidR="006C466F" w:rsidRPr="00A47F4F" w:rsidTr="00ED3483">
        <w:trPr>
          <w:trHeight w:val="264"/>
        </w:trPr>
        <w:tc>
          <w:tcPr>
            <w:tcW w:w="1922" w:type="dxa"/>
            <w:gridSpan w:val="3"/>
            <w:vMerge w:val="restart"/>
          </w:tcPr>
          <w:p w:rsidR="00420F65" w:rsidRPr="008906E7" w:rsidRDefault="00420F65">
            <w:pPr>
              <w:tabs>
                <w:tab w:val="left" w:pos="567"/>
              </w:tabs>
              <w:rPr>
                <w:rFonts w:cstheme="minorHAnsi"/>
                <w:sz w:val="20"/>
                <w:szCs w:val="20"/>
              </w:rPr>
            </w:pPr>
            <w:r w:rsidRPr="008906E7">
              <w:rPr>
                <w:rFonts w:cstheme="minorHAnsi"/>
                <w:sz w:val="20"/>
                <w:szCs w:val="20"/>
              </w:rPr>
              <w:t>Rilpivirine</w:t>
            </w:r>
            <w:r w:rsidRPr="008906E7">
              <w:rPr>
                <w:rFonts w:cstheme="minorHAnsi"/>
                <w:sz w:val="20"/>
                <w:szCs w:val="20"/>
                <w:vertAlign w:val="superscript"/>
              </w:rPr>
              <w:t>1</w:t>
            </w:r>
          </w:p>
          <w:p w:rsidR="00420F65" w:rsidRPr="008906E7" w:rsidRDefault="001E0E8A" w:rsidP="001E0E8A">
            <w:pPr>
              <w:tabs>
                <w:tab w:val="left" w:pos="567"/>
              </w:tabs>
              <w:rPr>
                <w:rFonts w:cstheme="minorHAnsi"/>
                <w:sz w:val="20"/>
                <w:szCs w:val="20"/>
              </w:rPr>
            </w:pPr>
            <w:r w:rsidRPr="008906E7">
              <w:rPr>
                <w:rFonts w:cstheme="minorHAnsi"/>
                <w:sz w:val="20"/>
                <w:szCs w:val="20"/>
              </w:rPr>
              <w:t>25</w:t>
            </w:r>
            <w:r>
              <w:rPr>
                <w:rFonts w:cstheme="minorHAnsi"/>
                <w:sz w:val="20"/>
                <w:szCs w:val="20"/>
              </w:rPr>
              <w:t xml:space="preserve"> </w:t>
            </w:r>
            <w:r w:rsidR="00420F65" w:rsidRPr="008906E7">
              <w:rPr>
                <w:rFonts w:cstheme="minorHAnsi"/>
                <w:sz w:val="20"/>
                <w:szCs w:val="20"/>
              </w:rPr>
              <w:t xml:space="preserve">mg once daily administered in the </w:t>
            </w:r>
            <w:r w:rsidR="00420F65" w:rsidRPr="008906E7">
              <w:rPr>
                <w:rFonts w:cstheme="minorHAnsi"/>
                <w:sz w:val="20"/>
                <w:szCs w:val="20"/>
              </w:rPr>
              <w:lastRenderedPageBreak/>
              <w:t>morning, with food</w:t>
            </w:r>
            <w:r w:rsidR="00420F65" w:rsidRPr="008906E7">
              <w:rPr>
                <w:rFonts w:cstheme="minorHAnsi"/>
                <w:sz w:val="20"/>
                <w:szCs w:val="20"/>
                <w:vertAlign w:val="superscript"/>
              </w:rPr>
              <w:t>3</w:t>
            </w:r>
          </w:p>
        </w:tc>
        <w:tc>
          <w:tcPr>
            <w:tcW w:w="1281" w:type="dxa"/>
            <w:gridSpan w:val="6"/>
          </w:tcPr>
          <w:p w:rsidR="00420F65" w:rsidRPr="008906E7" w:rsidRDefault="00420F65">
            <w:pPr>
              <w:rPr>
                <w:rFonts w:cstheme="minorHAnsi"/>
                <w:sz w:val="20"/>
                <w:szCs w:val="20"/>
              </w:rPr>
            </w:pPr>
          </w:p>
        </w:tc>
        <w:tc>
          <w:tcPr>
            <w:tcW w:w="1142" w:type="dxa"/>
            <w:gridSpan w:val="6"/>
          </w:tcPr>
          <w:p w:rsidR="00420F65" w:rsidRPr="008906E7" w:rsidRDefault="00420F65">
            <w:pPr>
              <w:tabs>
                <w:tab w:val="left" w:pos="567"/>
              </w:tabs>
              <w:jc w:val="center"/>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AUC</w:t>
            </w:r>
          </w:p>
        </w:tc>
        <w:tc>
          <w:tcPr>
            <w:tcW w:w="1238" w:type="dxa"/>
            <w:gridSpan w:val="2"/>
          </w:tcPr>
          <w:p w:rsidR="00420F65" w:rsidRPr="008906E7" w:rsidRDefault="00420F65">
            <w:pPr>
              <w:tabs>
                <w:tab w:val="left" w:pos="567"/>
              </w:tabs>
              <w:jc w:val="center"/>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val="restart"/>
          </w:tcPr>
          <w:p w:rsidR="00420F65" w:rsidRPr="008906E7" w:rsidRDefault="00420F65">
            <w:pPr>
              <w:rPr>
                <w:rFonts w:cstheme="minorHAnsi"/>
                <w:sz w:val="20"/>
                <w:szCs w:val="20"/>
              </w:rPr>
            </w:pPr>
            <w:r w:rsidRPr="008906E7">
              <w:rPr>
                <w:rFonts w:cstheme="minorHAnsi"/>
                <w:sz w:val="20"/>
                <w:szCs w:val="20"/>
              </w:rPr>
              <w:t>Mechanism:  CYP3A4 inhibition by ritonavir.</w:t>
            </w:r>
          </w:p>
          <w:p w:rsidR="00420F65" w:rsidRPr="008906E7" w:rsidRDefault="00420F65">
            <w:pPr>
              <w:rPr>
                <w:rFonts w:cstheme="minorHAnsi"/>
                <w:sz w:val="20"/>
                <w:szCs w:val="20"/>
              </w:rPr>
            </w:pPr>
            <w:proofErr w:type="spellStart"/>
            <w:r w:rsidRPr="008906E7">
              <w:rPr>
                <w:rFonts w:cstheme="minorHAnsi"/>
                <w:sz w:val="20"/>
                <w:szCs w:val="20"/>
              </w:rPr>
              <w:t>Coadministration</w:t>
            </w:r>
            <w:proofErr w:type="spellEnd"/>
            <w:r w:rsidRPr="008906E7">
              <w:rPr>
                <w:rFonts w:cstheme="minorHAnsi"/>
                <w:sz w:val="20"/>
                <w:szCs w:val="20"/>
              </w:rPr>
              <w:t xml:space="preserve"> of </w:t>
            </w:r>
            <w:r w:rsidRPr="008906E7">
              <w:rPr>
                <w:rFonts w:cstheme="minorHAnsi"/>
                <w:sz w:val="20"/>
                <w:szCs w:val="20"/>
              </w:rPr>
              <w:lastRenderedPageBreak/>
              <w:t xml:space="preserve">TECHNIVIE with </w:t>
            </w:r>
            <w:proofErr w:type="spellStart"/>
            <w:r w:rsidRPr="008906E7">
              <w:rPr>
                <w:rFonts w:cstheme="minorHAnsi"/>
                <w:sz w:val="20"/>
                <w:szCs w:val="20"/>
              </w:rPr>
              <w:t>rilpivirine</w:t>
            </w:r>
            <w:proofErr w:type="spellEnd"/>
            <w:r w:rsidRPr="008906E7">
              <w:rPr>
                <w:rFonts w:cstheme="minorHAnsi"/>
                <w:sz w:val="20"/>
                <w:szCs w:val="20"/>
              </w:rPr>
              <w:t xml:space="preserve"> once daily is not recommended due to potential for QT interval prolongation with higher concentrations of </w:t>
            </w:r>
            <w:proofErr w:type="spellStart"/>
            <w:r w:rsidRPr="008906E7">
              <w:rPr>
                <w:rFonts w:cstheme="minorHAnsi"/>
                <w:sz w:val="20"/>
                <w:szCs w:val="20"/>
              </w:rPr>
              <w:t>rilpivirine</w:t>
            </w:r>
            <w:proofErr w:type="spellEnd"/>
            <w:r w:rsidRPr="008906E7">
              <w:rPr>
                <w:rFonts w:cstheme="minorHAnsi"/>
                <w:sz w:val="20"/>
                <w:szCs w:val="20"/>
              </w:rPr>
              <w:t>.</w:t>
            </w:r>
          </w:p>
        </w:tc>
      </w:tr>
      <w:tr w:rsidR="006C466F" w:rsidRPr="00A47F4F" w:rsidTr="00ED3483">
        <w:trPr>
          <w:trHeight w:val="264"/>
        </w:trPr>
        <w:tc>
          <w:tcPr>
            <w:tcW w:w="1922" w:type="dxa"/>
            <w:gridSpan w:val="3"/>
            <w:vMerge/>
          </w:tcPr>
          <w:p w:rsidR="00420F65" w:rsidRPr="008906E7" w:rsidRDefault="00420F65">
            <w:pPr>
              <w:tabs>
                <w:tab w:val="left" w:pos="567"/>
              </w:tabs>
              <w:rPr>
                <w:rFonts w:cstheme="minorHAnsi"/>
                <w:sz w:val="20"/>
                <w:szCs w:val="20"/>
              </w:rPr>
            </w:pPr>
          </w:p>
        </w:tc>
        <w:tc>
          <w:tcPr>
            <w:tcW w:w="1281"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rilpivirine</w:t>
            </w:r>
            <w:proofErr w:type="spellEnd"/>
          </w:p>
        </w:tc>
        <w:tc>
          <w:tcPr>
            <w:tcW w:w="1142" w:type="dxa"/>
            <w:gridSpan w:val="6"/>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2.55</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(2.08-3.12)</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3.25</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(2.80-3.77)</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3.62</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(3.12-4.21)</w:t>
            </w:r>
          </w:p>
        </w:tc>
        <w:tc>
          <w:tcPr>
            <w:tcW w:w="2460" w:type="dxa"/>
            <w:gridSpan w:val="2"/>
            <w:vMerge/>
          </w:tcPr>
          <w:p w:rsidR="00420F65" w:rsidRPr="008906E7" w:rsidRDefault="00420F65">
            <w:pPr>
              <w:rPr>
                <w:rFonts w:cstheme="minorHAnsi"/>
                <w:sz w:val="20"/>
                <w:szCs w:val="20"/>
              </w:rPr>
            </w:pPr>
          </w:p>
        </w:tc>
      </w:tr>
      <w:tr w:rsidR="006C466F" w:rsidRPr="00A47F4F" w:rsidTr="00ED3483">
        <w:trPr>
          <w:trHeight w:val="264"/>
        </w:trPr>
        <w:tc>
          <w:tcPr>
            <w:tcW w:w="1922" w:type="dxa"/>
            <w:gridSpan w:val="3"/>
            <w:vMerge/>
          </w:tcPr>
          <w:p w:rsidR="00420F65" w:rsidRPr="008906E7" w:rsidRDefault="00420F65">
            <w:pPr>
              <w:tabs>
                <w:tab w:val="left" w:pos="567"/>
              </w:tabs>
              <w:rPr>
                <w:rFonts w:cstheme="minorHAnsi"/>
                <w:sz w:val="20"/>
                <w:szCs w:val="20"/>
              </w:rPr>
            </w:pPr>
          </w:p>
        </w:tc>
        <w:tc>
          <w:tcPr>
            <w:tcW w:w="1281"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ombitasvir</w:t>
            </w:r>
            <w:proofErr w:type="spellEnd"/>
          </w:p>
        </w:tc>
        <w:tc>
          <w:tcPr>
            <w:tcW w:w="1142" w:type="dxa"/>
            <w:gridSpan w:val="6"/>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1.11</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(1.02-1.20)</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1.09</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(1.04-1.14)</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1.05</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(1.01-1.08)</w:t>
            </w:r>
          </w:p>
        </w:tc>
        <w:tc>
          <w:tcPr>
            <w:tcW w:w="2460" w:type="dxa"/>
            <w:gridSpan w:val="2"/>
            <w:vMerge/>
          </w:tcPr>
          <w:p w:rsidR="00420F65" w:rsidRPr="008906E7" w:rsidRDefault="00420F65">
            <w:pPr>
              <w:rPr>
                <w:rFonts w:cstheme="minorHAnsi"/>
                <w:sz w:val="20"/>
                <w:szCs w:val="20"/>
              </w:rPr>
            </w:pPr>
          </w:p>
        </w:tc>
      </w:tr>
      <w:tr w:rsidR="006C466F" w:rsidRPr="00A47F4F" w:rsidTr="00ED3483">
        <w:trPr>
          <w:trHeight w:val="264"/>
        </w:trPr>
        <w:tc>
          <w:tcPr>
            <w:tcW w:w="1922" w:type="dxa"/>
            <w:gridSpan w:val="3"/>
            <w:vMerge/>
          </w:tcPr>
          <w:p w:rsidR="00420F65" w:rsidRPr="008906E7" w:rsidRDefault="00420F65">
            <w:pPr>
              <w:tabs>
                <w:tab w:val="left" w:pos="567"/>
              </w:tabs>
              <w:rPr>
                <w:rFonts w:cstheme="minorHAnsi"/>
                <w:sz w:val="20"/>
                <w:szCs w:val="20"/>
              </w:rPr>
            </w:pPr>
          </w:p>
        </w:tc>
        <w:tc>
          <w:tcPr>
            <w:tcW w:w="1281" w:type="dxa"/>
            <w:gridSpan w:val="6"/>
          </w:tcPr>
          <w:p w:rsidR="00420F65" w:rsidRPr="008906E7" w:rsidRDefault="00420F65">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paritaprevir</w:t>
            </w:r>
            <w:proofErr w:type="spellEnd"/>
          </w:p>
          <w:p w:rsidR="00420F65" w:rsidRPr="008906E7" w:rsidRDefault="00420F65">
            <w:pPr>
              <w:tabs>
                <w:tab w:val="left" w:pos="567"/>
              </w:tabs>
              <w:rPr>
                <w:rFonts w:ascii="Calibri" w:hAnsi="Calibri" w:cs="Calibri"/>
                <w:sz w:val="20"/>
                <w:szCs w:val="20"/>
              </w:rPr>
            </w:pPr>
          </w:p>
        </w:tc>
        <w:tc>
          <w:tcPr>
            <w:tcW w:w="1142" w:type="dxa"/>
            <w:gridSpan w:val="6"/>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1.30</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(0.94-1.81)</w:t>
            </w:r>
          </w:p>
        </w:tc>
        <w:tc>
          <w:tcPr>
            <w:tcW w:w="1137" w:type="dxa"/>
            <w:gridSpan w:val="5"/>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1.23</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(0.93-1.64)</w:t>
            </w:r>
          </w:p>
        </w:tc>
        <w:tc>
          <w:tcPr>
            <w:tcW w:w="1238" w:type="dxa"/>
            <w:gridSpan w:val="2"/>
          </w:tcPr>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0.95</w:t>
            </w:r>
          </w:p>
          <w:p w:rsidR="00420F65" w:rsidRPr="008906E7" w:rsidRDefault="00420F65">
            <w:pPr>
              <w:tabs>
                <w:tab w:val="left" w:pos="567"/>
              </w:tabs>
              <w:jc w:val="center"/>
              <w:rPr>
                <w:rFonts w:ascii="Calibri" w:hAnsi="Calibri" w:cs="Calibri"/>
                <w:sz w:val="20"/>
                <w:szCs w:val="20"/>
              </w:rPr>
            </w:pPr>
            <w:r w:rsidRPr="008906E7">
              <w:rPr>
                <w:rFonts w:ascii="Calibri" w:hAnsi="Calibri" w:cs="Calibri"/>
                <w:sz w:val="20"/>
                <w:szCs w:val="20"/>
              </w:rPr>
              <w:t>(0.84-1.07)</w:t>
            </w:r>
          </w:p>
        </w:tc>
        <w:tc>
          <w:tcPr>
            <w:tcW w:w="2460" w:type="dxa"/>
            <w:gridSpan w:val="2"/>
            <w:vMerge/>
          </w:tcPr>
          <w:p w:rsidR="00420F65" w:rsidRPr="008906E7" w:rsidRDefault="00420F65">
            <w:pPr>
              <w:rPr>
                <w:rFonts w:cstheme="minorHAnsi"/>
                <w:sz w:val="20"/>
                <w:szCs w:val="20"/>
              </w:rPr>
            </w:pPr>
          </w:p>
        </w:tc>
      </w:tr>
      <w:tr w:rsidR="006C466F" w:rsidRPr="00A47F4F" w:rsidTr="00ED3483">
        <w:tc>
          <w:tcPr>
            <w:tcW w:w="1922" w:type="dxa"/>
            <w:gridSpan w:val="3"/>
          </w:tcPr>
          <w:p w:rsidR="00420F65" w:rsidRPr="008906E7" w:rsidRDefault="00420F65">
            <w:pPr>
              <w:tabs>
                <w:tab w:val="left" w:pos="567"/>
              </w:tabs>
              <w:rPr>
                <w:rFonts w:cstheme="minorHAnsi"/>
                <w:sz w:val="20"/>
                <w:szCs w:val="20"/>
              </w:rPr>
            </w:pPr>
            <w:proofErr w:type="spellStart"/>
            <w:r w:rsidRPr="008906E7">
              <w:rPr>
                <w:rFonts w:cstheme="minorHAnsi"/>
                <w:sz w:val="20"/>
                <w:szCs w:val="20"/>
              </w:rPr>
              <w:t>Efavirenz</w:t>
            </w:r>
            <w:proofErr w:type="spellEnd"/>
            <w:r w:rsidRPr="008906E7">
              <w:rPr>
                <w:rFonts w:cstheme="minorHAnsi"/>
                <w:sz w:val="20"/>
                <w:szCs w:val="20"/>
              </w:rPr>
              <w:t>/</w:t>
            </w:r>
            <w:proofErr w:type="spellStart"/>
            <w:r w:rsidRPr="008906E7">
              <w:rPr>
                <w:rFonts w:cstheme="minorHAnsi"/>
                <w:sz w:val="20"/>
                <w:szCs w:val="20"/>
              </w:rPr>
              <w:t>emtricitabine</w:t>
            </w:r>
            <w:proofErr w:type="spellEnd"/>
            <w:r w:rsidRPr="008906E7">
              <w:rPr>
                <w:rFonts w:cstheme="minorHAnsi"/>
                <w:sz w:val="20"/>
                <w:szCs w:val="20"/>
              </w:rPr>
              <w:t>/</w:t>
            </w:r>
            <w:proofErr w:type="spellStart"/>
            <w:r w:rsidRPr="008906E7">
              <w:rPr>
                <w:rFonts w:cstheme="minorHAnsi"/>
                <w:sz w:val="20"/>
                <w:szCs w:val="20"/>
              </w:rPr>
              <w:t>tenofovir</w:t>
            </w:r>
            <w:proofErr w:type="spellEnd"/>
            <w:r w:rsidRPr="008906E7">
              <w:rPr>
                <w:rFonts w:cstheme="minorHAnsi"/>
                <w:sz w:val="20"/>
                <w:szCs w:val="20"/>
              </w:rPr>
              <w:t xml:space="preserve"> </w:t>
            </w:r>
            <w:proofErr w:type="spellStart"/>
            <w:r w:rsidRPr="008906E7">
              <w:rPr>
                <w:rFonts w:cstheme="minorHAnsi"/>
                <w:sz w:val="20"/>
                <w:szCs w:val="20"/>
              </w:rPr>
              <w:t>disoproxil</w:t>
            </w:r>
            <w:proofErr w:type="spellEnd"/>
            <w:r w:rsidRPr="008906E7">
              <w:rPr>
                <w:rFonts w:cstheme="minorHAnsi"/>
                <w:sz w:val="20"/>
                <w:szCs w:val="20"/>
              </w:rPr>
              <w:t xml:space="preserve"> fumarate 600/300/</w:t>
            </w:r>
            <w:r w:rsidR="001E0E8A" w:rsidRPr="008906E7">
              <w:rPr>
                <w:rFonts w:cstheme="minorHAnsi"/>
                <w:sz w:val="20"/>
                <w:szCs w:val="20"/>
              </w:rPr>
              <w:t>200</w:t>
            </w:r>
            <w:r w:rsidR="001E0E8A">
              <w:rPr>
                <w:rFonts w:cstheme="minorHAnsi"/>
                <w:sz w:val="20"/>
                <w:szCs w:val="20"/>
              </w:rPr>
              <w:t xml:space="preserve"> </w:t>
            </w:r>
            <w:r w:rsidRPr="008906E7">
              <w:rPr>
                <w:rFonts w:cstheme="minorHAnsi"/>
                <w:sz w:val="20"/>
                <w:szCs w:val="20"/>
              </w:rPr>
              <w:t xml:space="preserve">mg once daily </w:t>
            </w:r>
          </w:p>
          <w:p w:rsidR="00420F65" w:rsidRPr="008906E7" w:rsidRDefault="00420F65">
            <w:pPr>
              <w:tabs>
                <w:tab w:val="left" w:pos="567"/>
              </w:tabs>
              <w:rPr>
                <w:rFonts w:cstheme="minorHAnsi"/>
                <w:sz w:val="20"/>
                <w:szCs w:val="20"/>
              </w:rPr>
            </w:pPr>
          </w:p>
        </w:tc>
        <w:tc>
          <w:tcPr>
            <w:tcW w:w="4798" w:type="dxa"/>
            <w:gridSpan w:val="19"/>
          </w:tcPr>
          <w:p w:rsidR="00420F65" w:rsidRPr="008906E7" w:rsidRDefault="00420F65">
            <w:pPr>
              <w:rPr>
                <w:rFonts w:cstheme="minorHAnsi"/>
                <w:sz w:val="20"/>
                <w:szCs w:val="20"/>
              </w:rPr>
            </w:pPr>
            <w:r w:rsidRPr="008906E7">
              <w:rPr>
                <w:rFonts w:ascii="Calibri" w:hAnsi="Calibri" w:cs="Calibri"/>
                <w:sz w:val="20"/>
                <w:szCs w:val="20"/>
              </w:rPr>
              <w:t xml:space="preserve">Co-administration of </w:t>
            </w:r>
            <w:proofErr w:type="spellStart"/>
            <w:r w:rsidRPr="008906E7">
              <w:rPr>
                <w:rFonts w:ascii="Calibri" w:hAnsi="Calibri" w:cs="Calibri"/>
                <w:sz w:val="20"/>
                <w:szCs w:val="20"/>
              </w:rPr>
              <w:t>efavirenz</w:t>
            </w:r>
            <w:proofErr w:type="spellEnd"/>
            <w:r w:rsidRPr="008906E7">
              <w:rPr>
                <w:rFonts w:ascii="Calibri" w:hAnsi="Calibri" w:cs="Calibri"/>
                <w:sz w:val="20"/>
                <w:szCs w:val="20"/>
              </w:rPr>
              <w:t xml:space="preserve"> (enzyme inducer)-based regimens with </w:t>
            </w:r>
            <w:proofErr w:type="spellStart"/>
            <w:r w:rsidRPr="008906E7">
              <w:rPr>
                <w:rFonts w:ascii="Calibri" w:hAnsi="Calibri" w:cs="Calibri"/>
                <w:sz w:val="20"/>
                <w:szCs w:val="20"/>
              </w:rPr>
              <w:t>paritaprevir</w:t>
            </w:r>
            <w:proofErr w:type="spellEnd"/>
            <w:r w:rsidRPr="008906E7">
              <w:rPr>
                <w:rFonts w:ascii="Calibri" w:hAnsi="Calibri" w:cs="Calibri"/>
                <w:sz w:val="20"/>
                <w:szCs w:val="20"/>
              </w:rPr>
              <w:t xml:space="preserve"> and ritonavir resulted in ALT elevations and therefore, early discontinuation of the study.</w:t>
            </w:r>
          </w:p>
        </w:tc>
        <w:tc>
          <w:tcPr>
            <w:tcW w:w="2460" w:type="dxa"/>
            <w:gridSpan w:val="2"/>
          </w:tcPr>
          <w:p w:rsidR="00420F65" w:rsidRPr="008906E7" w:rsidRDefault="00420F65">
            <w:pPr>
              <w:rPr>
                <w:rFonts w:cstheme="minorHAnsi"/>
                <w:sz w:val="20"/>
                <w:szCs w:val="20"/>
              </w:rPr>
            </w:pPr>
            <w:proofErr w:type="spellStart"/>
            <w:r w:rsidRPr="008906E7">
              <w:rPr>
                <w:rFonts w:cstheme="minorHAnsi"/>
                <w:sz w:val="20"/>
                <w:szCs w:val="20"/>
              </w:rPr>
              <w:t>Coadministration</w:t>
            </w:r>
            <w:proofErr w:type="spellEnd"/>
            <w:r w:rsidRPr="008906E7">
              <w:rPr>
                <w:rFonts w:cstheme="minorHAnsi"/>
                <w:sz w:val="20"/>
                <w:szCs w:val="20"/>
              </w:rPr>
              <w:t xml:space="preserve"> of </w:t>
            </w:r>
            <w:proofErr w:type="spellStart"/>
            <w:r w:rsidRPr="008906E7">
              <w:rPr>
                <w:rFonts w:cstheme="minorHAnsi"/>
                <w:sz w:val="20"/>
                <w:szCs w:val="20"/>
              </w:rPr>
              <w:t>efavirenz</w:t>
            </w:r>
            <w:proofErr w:type="spellEnd"/>
            <w:r w:rsidRPr="008906E7">
              <w:rPr>
                <w:rFonts w:cstheme="minorHAnsi"/>
                <w:sz w:val="20"/>
                <w:szCs w:val="20"/>
              </w:rPr>
              <w:t xml:space="preserve">-based regimens with </w:t>
            </w:r>
            <w:proofErr w:type="spellStart"/>
            <w:r w:rsidRPr="008906E7">
              <w:rPr>
                <w:rFonts w:cstheme="minorHAnsi"/>
                <w:sz w:val="20"/>
                <w:szCs w:val="20"/>
              </w:rPr>
              <w:t>paritaprevir</w:t>
            </w:r>
            <w:proofErr w:type="spellEnd"/>
            <w:r w:rsidRPr="008906E7">
              <w:rPr>
                <w:rFonts w:cstheme="minorHAnsi"/>
                <w:sz w:val="20"/>
                <w:szCs w:val="20"/>
              </w:rPr>
              <w:t xml:space="preserve"> and ritonavir was poorly tolerated and resulted in liver enzyme elevations.</w:t>
            </w:r>
          </w:p>
          <w:p w:rsidR="00420F65" w:rsidRPr="008906E7" w:rsidRDefault="00420F65">
            <w:pPr>
              <w:rPr>
                <w:rFonts w:cstheme="minorHAnsi"/>
                <w:sz w:val="20"/>
                <w:szCs w:val="20"/>
              </w:rPr>
            </w:pPr>
            <w:r w:rsidRPr="008906E7">
              <w:rPr>
                <w:rFonts w:cstheme="minorHAnsi"/>
                <w:sz w:val="20"/>
                <w:szCs w:val="20"/>
              </w:rPr>
              <w:t>(</w:t>
            </w:r>
            <w:proofErr w:type="gramStart"/>
            <w:r w:rsidRPr="008906E7">
              <w:rPr>
                <w:rFonts w:cstheme="minorHAnsi"/>
                <w:sz w:val="20"/>
                <w:szCs w:val="20"/>
              </w:rPr>
              <w:t>see</w:t>
            </w:r>
            <w:proofErr w:type="gramEnd"/>
            <w:r w:rsidRPr="008906E7">
              <w:rPr>
                <w:rFonts w:cstheme="minorHAnsi"/>
                <w:sz w:val="20"/>
                <w:szCs w:val="20"/>
              </w:rPr>
              <w:t xml:space="preserve"> CONTRAINDICATIONS).</w:t>
            </w:r>
          </w:p>
        </w:tc>
      </w:tr>
      <w:tr w:rsidR="00E201B8" w:rsidRPr="00A47F4F" w:rsidTr="000D4A1F">
        <w:tc>
          <w:tcPr>
            <w:tcW w:w="9180" w:type="dxa"/>
            <w:gridSpan w:val="24"/>
          </w:tcPr>
          <w:p w:rsidR="00E201B8" w:rsidRPr="008906E7" w:rsidRDefault="00E201B8">
            <w:pPr>
              <w:tabs>
                <w:tab w:val="left" w:pos="567"/>
              </w:tabs>
              <w:rPr>
                <w:rFonts w:cstheme="minorHAnsi"/>
                <w:b/>
                <w:sz w:val="20"/>
                <w:szCs w:val="20"/>
              </w:rPr>
            </w:pPr>
            <w:r>
              <w:rPr>
                <w:rFonts w:cstheme="minorHAnsi"/>
                <w:b/>
                <w:sz w:val="20"/>
                <w:szCs w:val="20"/>
              </w:rPr>
              <w:t>HIV Antivirals: N</w:t>
            </w:r>
            <w:r w:rsidRPr="00747AFB">
              <w:rPr>
                <w:rFonts w:cstheme="minorHAnsi"/>
                <w:b/>
                <w:sz w:val="20"/>
                <w:szCs w:val="20"/>
              </w:rPr>
              <w:t>ucleoside reverse transcriptase inhibitors</w:t>
            </w:r>
          </w:p>
        </w:tc>
      </w:tr>
      <w:tr w:rsidR="006C466F" w:rsidRPr="00A47F4F" w:rsidTr="00ED3483">
        <w:tc>
          <w:tcPr>
            <w:tcW w:w="1752" w:type="dxa"/>
          </w:tcPr>
          <w:p w:rsidR="00E201B8" w:rsidRPr="008906E7" w:rsidRDefault="00E201B8">
            <w:pPr>
              <w:tabs>
                <w:tab w:val="left" w:pos="567"/>
              </w:tabs>
              <w:rPr>
                <w:rFonts w:cstheme="minorHAnsi"/>
                <w:b/>
                <w:sz w:val="20"/>
                <w:szCs w:val="20"/>
              </w:rPr>
            </w:pPr>
            <w:r w:rsidRPr="004D5D67">
              <w:rPr>
                <w:rFonts w:cstheme="minorHAnsi"/>
                <w:sz w:val="20"/>
                <w:szCs w:val="20"/>
              </w:rPr>
              <w:t>Lamivudine</w:t>
            </w:r>
          </w:p>
        </w:tc>
        <w:tc>
          <w:tcPr>
            <w:tcW w:w="7428" w:type="dxa"/>
            <w:gridSpan w:val="23"/>
          </w:tcPr>
          <w:p w:rsidR="00E201B8" w:rsidRPr="008906E7" w:rsidRDefault="00E201B8" w:rsidP="00E201B8">
            <w:pPr>
              <w:tabs>
                <w:tab w:val="left" w:pos="567"/>
              </w:tabs>
              <w:rPr>
                <w:rFonts w:cstheme="minorHAnsi"/>
                <w:b/>
                <w:sz w:val="20"/>
                <w:szCs w:val="20"/>
              </w:rPr>
            </w:pPr>
            <w:r w:rsidRPr="004307B5">
              <w:rPr>
                <w:rFonts w:cstheme="minorHAnsi"/>
                <w:sz w:val="20"/>
                <w:szCs w:val="20"/>
              </w:rPr>
              <w:t xml:space="preserve">No dose adjustments are required when co-administering with </w:t>
            </w:r>
            <w:r>
              <w:rPr>
                <w:rFonts w:cstheme="minorHAnsi"/>
                <w:sz w:val="20"/>
                <w:szCs w:val="20"/>
              </w:rPr>
              <w:t>TECHNIVIE</w:t>
            </w:r>
          </w:p>
        </w:tc>
      </w:tr>
      <w:tr w:rsidR="006C466F" w:rsidRPr="00A47F4F" w:rsidTr="00ED3483">
        <w:tc>
          <w:tcPr>
            <w:tcW w:w="1752" w:type="dxa"/>
          </w:tcPr>
          <w:p w:rsidR="00E201B8" w:rsidRPr="008906E7" w:rsidRDefault="00E201B8">
            <w:pPr>
              <w:tabs>
                <w:tab w:val="left" w:pos="567"/>
              </w:tabs>
              <w:rPr>
                <w:rFonts w:cstheme="minorHAnsi"/>
                <w:b/>
                <w:sz w:val="20"/>
                <w:szCs w:val="20"/>
              </w:rPr>
            </w:pPr>
            <w:proofErr w:type="spellStart"/>
            <w:r>
              <w:rPr>
                <w:rFonts w:cstheme="minorHAnsi"/>
                <w:sz w:val="20"/>
                <w:szCs w:val="20"/>
              </w:rPr>
              <w:t>Abacavir</w:t>
            </w:r>
            <w:proofErr w:type="spellEnd"/>
          </w:p>
        </w:tc>
        <w:tc>
          <w:tcPr>
            <w:tcW w:w="7428" w:type="dxa"/>
            <w:gridSpan w:val="23"/>
          </w:tcPr>
          <w:p w:rsidR="00E201B8" w:rsidRPr="008906E7" w:rsidRDefault="00E201B8" w:rsidP="00E201B8">
            <w:pPr>
              <w:tabs>
                <w:tab w:val="left" w:pos="567"/>
              </w:tabs>
              <w:rPr>
                <w:rFonts w:cstheme="minorHAnsi"/>
                <w:b/>
                <w:sz w:val="20"/>
                <w:szCs w:val="20"/>
              </w:rPr>
            </w:pPr>
            <w:r w:rsidRPr="004307B5">
              <w:rPr>
                <w:rFonts w:cstheme="minorHAnsi"/>
                <w:sz w:val="20"/>
                <w:szCs w:val="20"/>
              </w:rPr>
              <w:t xml:space="preserve">No dose adjustments are required when co-administering with </w:t>
            </w:r>
            <w:r>
              <w:rPr>
                <w:rFonts w:cstheme="minorHAnsi"/>
                <w:sz w:val="20"/>
                <w:szCs w:val="20"/>
              </w:rPr>
              <w:t>TECHNIVIE</w:t>
            </w:r>
          </w:p>
        </w:tc>
      </w:tr>
      <w:tr w:rsidR="00E201B8" w:rsidRPr="00A47F4F" w:rsidTr="000D4A1F">
        <w:tc>
          <w:tcPr>
            <w:tcW w:w="9180" w:type="dxa"/>
            <w:gridSpan w:val="24"/>
          </w:tcPr>
          <w:p w:rsidR="00E201B8" w:rsidRPr="008906E7" w:rsidRDefault="00E201B8">
            <w:pPr>
              <w:tabs>
                <w:tab w:val="left" w:pos="567"/>
              </w:tabs>
              <w:rPr>
                <w:rFonts w:ascii="Times New Roman" w:hAnsi="Times New Roman" w:cstheme="minorHAnsi"/>
                <w:b/>
                <w:sz w:val="20"/>
                <w:szCs w:val="20"/>
              </w:rPr>
            </w:pPr>
            <w:r w:rsidRPr="008906E7">
              <w:rPr>
                <w:rFonts w:cstheme="minorHAnsi"/>
                <w:b/>
                <w:sz w:val="20"/>
                <w:szCs w:val="20"/>
              </w:rPr>
              <w:t>HIV Antivirals:  Integrase Strand Transfer Inhibitor</w:t>
            </w:r>
          </w:p>
        </w:tc>
      </w:tr>
      <w:tr w:rsidR="006C466F" w:rsidRPr="00A47F4F" w:rsidTr="00ED3483">
        <w:trPr>
          <w:trHeight w:val="325"/>
        </w:trPr>
        <w:tc>
          <w:tcPr>
            <w:tcW w:w="1752" w:type="dxa"/>
            <w:vMerge w:val="restart"/>
          </w:tcPr>
          <w:p w:rsidR="00DA11D2" w:rsidRDefault="00DA11D2" w:rsidP="00DA11D2">
            <w:pPr>
              <w:tabs>
                <w:tab w:val="left" w:pos="567"/>
              </w:tabs>
              <w:rPr>
                <w:rFonts w:cstheme="minorHAnsi"/>
                <w:sz w:val="20"/>
                <w:szCs w:val="20"/>
              </w:rPr>
            </w:pPr>
            <w:proofErr w:type="spellStart"/>
            <w:r>
              <w:rPr>
                <w:rFonts w:cstheme="minorHAnsi"/>
                <w:sz w:val="20"/>
                <w:szCs w:val="20"/>
              </w:rPr>
              <w:t>D</w:t>
            </w:r>
            <w:r w:rsidRPr="007B020A">
              <w:rPr>
                <w:rFonts w:cstheme="minorHAnsi"/>
                <w:sz w:val="20"/>
                <w:szCs w:val="20"/>
              </w:rPr>
              <w:t>olutegravir</w:t>
            </w:r>
            <w:proofErr w:type="spellEnd"/>
          </w:p>
          <w:p w:rsidR="00DA11D2" w:rsidRPr="008906E7" w:rsidRDefault="00DA11D2" w:rsidP="00DA11D2">
            <w:pPr>
              <w:tabs>
                <w:tab w:val="left" w:pos="567"/>
              </w:tabs>
              <w:rPr>
                <w:rFonts w:cstheme="minorHAnsi"/>
                <w:sz w:val="20"/>
                <w:szCs w:val="20"/>
              </w:rPr>
            </w:pPr>
            <w:r>
              <w:rPr>
                <w:rFonts w:cstheme="minorHAnsi"/>
                <w:sz w:val="20"/>
                <w:szCs w:val="20"/>
              </w:rPr>
              <w:t>50 mg once daily</w:t>
            </w:r>
          </w:p>
        </w:tc>
        <w:tc>
          <w:tcPr>
            <w:tcW w:w="1451" w:type="dxa"/>
            <w:gridSpan w:val="8"/>
          </w:tcPr>
          <w:p w:rsidR="00DA11D2" w:rsidRPr="008906E7" w:rsidRDefault="00DA11D2">
            <w:pPr>
              <w:rPr>
                <w:rFonts w:cstheme="minorHAnsi"/>
                <w:sz w:val="20"/>
                <w:szCs w:val="20"/>
              </w:rPr>
            </w:pPr>
          </w:p>
        </w:tc>
        <w:tc>
          <w:tcPr>
            <w:tcW w:w="1142" w:type="dxa"/>
            <w:gridSpan w:val="6"/>
          </w:tcPr>
          <w:p w:rsidR="00DA11D2" w:rsidRPr="00DA11D2" w:rsidRDefault="00DA11D2">
            <w:pPr>
              <w:tabs>
                <w:tab w:val="left" w:pos="567"/>
              </w:tabs>
              <w:jc w:val="center"/>
              <w:rPr>
                <w:rFonts w:ascii="Calibri" w:hAnsi="Calibri" w:cs="Calibri"/>
                <w:sz w:val="20"/>
                <w:szCs w:val="20"/>
              </w:rPr>
            </w:pPr>
            <w:proofErr w:type="spellStart"/>
            <w:r w:rsidRPr="00DA11D2">
              <w:rPr>
                <w:rFonts w:ascii="Calibri" w:hAnsi="Calibri" w:cs="Calibri"/>
                <w:sz w:val="20"/>
                <w:szCs w:val="18"/>
              </w:rPr>
              <w:t>C</w:t>
            </w:r>
            <w:r w:rsidRPr="00DA11D2">
              <w:rPr>
                <w:rFonts w:ascii="Calibri" w:hAnsi="Calibri" w:cs="Calibri"/>
                <w:sz w:val="20"/>
                <w:szCs w:val="18"/>
                <w:vertAlign w:val="subscript"/>
              </w:rPr>
              <w:t>max</w:t>
            </w:r>
            <w:proofErr w:type="spellEnd"/>
          </w:p>
        </w:tc>
        <w:tc>
          <w:tcPr>
            <w:tcW w:w="1137" w:type="dxa"/>
            <w:gridSpan w:val="5"/>
          </w:tcPr>
          <w:p w:rsidR="00DA11D2" w:rsidRPr="00DA11D2" w:rsidRDefault="00DA11D2">
            <w:pPr>
              <w:tabs>
                <w:tab w:val="left" w:pos="567"/>
              </w:tabs>
              <w:jc w:val="center"/>
              <w:rPr>
                <w:rFonts w:ascii="Calibri" w:hAnsi="Calibri" w:cs="Calibri"/>
                <w:sz w:val="20"/>
                <w:szCs w:val="20"/>
              </w:rPr>
            </w:pPr>
            <w:r w:rsidRPr="00DA11D2">
              <w:rPr>
                <w:rFonts w:ascii="Calibri" w:hAnsi="Calibri" w:cs="Calibri"/>
                <w:sz w:val="20"/>
                <w:szCs w:val="18"/>
              </w:rPr>
              <w:t>AUC</w:t>
            </w:r>
          </w:p>
        </w:tc>
        <w:tc>
          <w:tcPr>
            <w:tcW w:w="1238" w:type="dxa"/>
            <w:gridSpan w:val="2"/>
          </w:tcPr>
          <w:p w:rsidR="00DA11D2" w:rsidRPr="00DA11D2" w:rsidRDefault="00DA11D2">
            <w:pPr>
              <w:tabs>
                <w:tab w:val="left" w:pos="567"/>
              </w:tabs>
              <w:jc w:val="center"/>
              <w:rPr>
                <w:rFonts w:ascii="Calibri" w:hAnsi="Calibri" w:cs="Calibri"/>
                <w:sz w:val="20"/>
                <w:szCs w:val="20"/>
              </w:rPr>
            </w:pPr>
            <w:proofErr w:type="spellStart"/>
            <w:r w:rsidRPr="00DA11D2">
              <w:rPr>
                <w:rFonts w:ascii="Calibri" w:hAnsi="Calibri" w:cs="Calibri"/>
                <w:sz w:val="20"/>
                <w:szCs w:val="18"/>
              </w:rPr>
              <w:t>C</w:t>
            </w:r>
            <w:r w:rsidRPr="00DA11D2">
              <w:rPr>
                <w:rFonts w:ascii="Calibri" w:hAnsi="Calibri" w:cs="Calibri"/>
                <w:sz w:val="20"/>
                <w:szCs w:val="18"/>
                <w:vertAlign w:val="subscript"/>
              </w:rPr>
              <w:t>min</w:t>
            </w:r>
            <w:proofErr w:type="spellEnd"/>
          </w:p>
        </w:tc>
        <w:tc>
          <w:tcPr>
            <w:tcW w:w="2460" w:type="dxa"/>
            <w:gridSpan w:val="2"/>
            <w:vMerge w:val="restart"/>
          </w:tcPr>
          <w:p w:rsidR="00DA11D2" w:rsidRPr="008906E7" w:rsidRDefault="00DA11D2">
            <w:pPr>
              <w:tabs>
                <w:tab w:val="left" w:pos="567"/>
              </w:tabs>
              <w:rPr>
                <w:rFonts w:cstheme="minorHAnsi"/>
                <w:sz w:val="20"/>
                <w:szCs w:val="20"/>
              </w:rPr>
            </w:pPr>
            <w:r w:rsidRPr="00747AFB">
              <w:rPr>
                <w:rFonts w:cstheme="minorHAnsi"/>
                <w:sz w:val="20"/>
                <w:szCs w:val="20"/>
              </w:rPr>
              <w:t xml:space="preserve">No dose adjustment is necessary for </w:t>
            </w:r>
            <w:proofErr w:type="spellStart"/>
            <w:r>
              <w:rPr>
                <w:rFonts w:cstheme="minorHAnsi"/>
                <w:sz w:val="20"/>
                <w:szCs w:val="20"/>
              </w:rPr>
              <w:t>dolutegravir</w:t>
            </w:r>
            <w:proofErr w:type="spellEnd"/>
            <w:r>
              <w:rPr>
                <w:rFonts w:cstheme="minorHAnsi"/>
                <w:sz w:val="20"/>
                <w:szCs w:val="20"/>
              </w:rPr>
              <w:t>.</w:t>
            </w:r>
          </w:p>
        </w:tc>
      </w:tr>
      <w:tr w:rsidR="006C466F" w:rsidRPr="00A47F4F" w:rsidTr="00ED3483">
        <w:trPr>
          <w:trHeight w:val="325"/>
        </w:trPr>
        <w:tc>
          <w:tcPr>
            <w:tcW w:w="1752" w:type="dxa"/>
            <w:vMerge/>
          </w:tcPr>
          <w:p w:rsidR="00DA11D2" w:rsidRPr="008906E7" w:rsidRDefault="00DA11D2">
            <w:pPr>
              <w:tabs>
                <w:tab w:val="left" w:pos="567"/>
              </w:tabs>
              <w:rPr>
                <w:rFonts w:cstheme="minorHAnsi"/>
                <w:sz w:val="20"/>
                <w:szCs w:val="20"/>
              </w:rPr>
            </w:pPr>
          </w:p>
        </w:tc>
        <w:tc>
          <w:tcPr>
            <w:tcW w:w="1451" w:type="dxa"/>
            <w:gridSpan w:val="8"/>
          </w:tcPr>
          <w:p w:rsidR="00DA11D2" w:rsidRPr="008906E7" w:rsidRDefault="003A240F" w:rsidP="003A240F">
            <w:pPr>
              <w:rPr>
                <w:rFonts w:cstheme="minorHAnsi"/>
                <w:sz w:val="20"/>
                <w:szCs w:val="20"/>
              </w:rPr>
            </w:pPr>
            <w:r w:rsidRPr="003A240F">
              <w:rPr>
                <w:rFonts w:cstheme="minorHAnsi"/>
                <w:sz w:val="20"/>
                <w:szCs w:val="20"/>
              </w:rPr>
              <w:t>↑</w:t>
            </w:r>
            <w:proofErr w:type="spellStart"/>
            <w:r w:rsidRPr="003A240F">
              <w:rPr>
                <w:rFonts w:cstheme="minorHAnsi"/>
                <w:sz w:val="20"/>
                <w:szCs w:val="20"/>
              </w:rPr>
              <w:t>dolutegravir</w:t>
            </w:r>
            <w:proofErr w:type="spellEnd"/>
          </w:p>
        </w:tc>
        <w:tc>
          <w:tcPr>
            <w:tcW w:w="1142" w:type="dxa"/>
            <w:gridSpan w:val="6"/>
          </w:tcPr>
          <w:p w:rsidR="003A240F" w:rsidRPr="003A240F"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1.22</w:t>
            </w:r>
          </w:p>
          <w:p w:rsidR="00DA11D2" w:rsidRPr="008906E7"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(1.15-1.29</w:t>
            </w:r>
          </w:p>
        </w:tc>
        <w:tc>
          <w:tcPr>
            <w:tcW w:w="1137" w:type="dxa"/>
            <w:gridSpan w:val="5"/>
          </w:tcPr>
          <w:p w:rsidR="003A240F" w:rsidRPr="003A240F"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1.38</w:t>
            </w:r>
          </w:p>
          <w:p w:rsidR="00DA11D2" w:rsidRPr="008906E7"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(1.30-1.47)</w:t>
            </w:r>
          </w:p>
        </w:tc>
        <w:tc>
          <w:tcPr>
            <w:tcW w:w="1238" w:type="dxa"/>
            <w:gridSpan w:val="2"/>
          </w:tcPr>
          <w:p w:rsidR="003A240F" w:rsidRPr="003A240F"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1.36</w:t>
            </w:r>
          </w:p>
          <w:p w:rsidR="00DA11D2" w:rsidRPr="008906E7"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(1.19-1.55)</w:t>
            </w:r>
          </w:p>
        </w:tc>
        <w:tc>
          <w:tcPr>
            <w:tcW w:w="2460" w:type="dxa"/>
            <w:gridSpan w:val="2"/>
            <w:vMerge/>
          </w:tcPr>
          <w:p w:rsidR="00DA11D2" w:rsidRPr="008906E7" w:rsidRDefault="00DA11D2">
            <w:pPr>
              <w:tabs>
                <w:tab w:val="left" w:pos="567"/>
              </w:tabs>
              <w:rPr>
                <w:rFonts w:cstheme="minorHAnsi"/>
                <w:sz w:val="20"/>
                <w:szCs w:val="20"/>
              </w:rPr>
            </w:pPr>
          </w:p>
        </w:tc>
      </w:tr>
      <w:tr w:rsidR="006C466F" w:rsidRPr="00A47F4F" w:rsidTr="00ED3483">
        <w:trPr>
          <w:trHeight w:val="325"/>
        </w:trPr>
        <w:tc>
          <w:tcPr>
            <w:tcW w:w="1752" w:type="dxa"/>
            <w:vMerge/>
          </w:tcPr>
          <w:p w:rsidR="00DA11D2" w:rsidRPr="008906E7" w:rsidRDefault="00DA11D2">
            <w:pPr>
              <w:tabs>
                <w:tab w:val="left" w:pos="567"/>
              </w:tabs>
              <w:rPr>
                <w:rFonts w:cstheme="minorHAnsi"/>
                <w:sz w:val="20"/>
                <w:szCs w:val="20"/>
              </w:rPr>
            </w:pPr>
          </w:p>
        </w:tc>
        <w:tc>
          <w:tcPr>
            <w:tcW w:w="1451" w:type="dxa"/>
            <w:gridSpan w:val="8"/>
          </w:tcPr>
          <w:p w:rsidR="00DA11D2" w:rsidRPr="008906E7" w:rsidRDefault="003A240F">
            <w:pPr>
              <w:rPr>
                <w:rFonts w:cstheme="minorHAnsi"/>
                <w:sz w:val="20"/>
                <w:szCs w:val="20"/>
              </w:rPr>
            </w:pPr>
            <w:r w:rsidRPr="003A240F">
              <w:rPr>
                <w:rFonts w:cstheme="minorHAnsi"/>
                <w:sz w:val="20"/>
                <w:szCs w:val="20"/>
                <w:lang w:val="en-GB"/>
              </w:rPr>
              <w:t xml:space="preserve">↔ </w:t>
            </w:r>
            <w:proofErr w:type="spellStart"/>
            <w:r w:rsidRPr="003A240F">
              <w:rPr>
                <w:rFonts w:cstheme="minorHAnsi"/>
                <w:sz w:val="20"/>
                <w:szCs w:val="20"/>
                <w:lang w:val="en-GB"/>
              </w:rPr>
              <w:t>ombitasvir</w:t>
            </w:r>
            <w:proofErr w:type="spellEnd"/>
          </w:p>
        </w:tc>
        <w:tc>
          <w:tcPr>
            <w:tcW w:w="1142" w:type="dxa"/>
            <w:gridSpan w:val="6"/>
          </w:tcPr>
          <w:p w:rsidR="003A240F" w:rsidRPr="003A240F"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0.96</w:t>
            </w:r>
          </w:p>
          <w:p w:rsidR="00DA11D2" w:rsidRPr="008906E7"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(0.89-1.03)</w:t>
            </w:r>
          </w:p>
        </w:tc>
        <w:tc>
          <w:tcPr>
            <w:tcW w:w="1137" w:type="dxa"/>
            <w:gridSpan w:val="5"/>
          </w:tcPr>
          <w:p w:rsidR="003A240F" w:rsidRPr="003A240F"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0.95</w:t>
            </w:r>
          </w:p>
          <w:p w:rsidR="00DA11D2" w:rsidRPr="008906E7"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(0.90-1.00)</w:t>
            </w:r>
          </w:p>
        </w:tc>
        <w:tc>
          <w:tcPr>
            <w:tcW w:w="1238" w:type="dxa"/>
            <w:gridSpan w:val="2"/>
          </w:tcPr>
          <w:p w:rsidR="003A240F" w:rsidRPr="003A240F"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0.92</w:t>
            </w:r>
          </w:p>
          <w:p w:rsidR="00DA11D2" w:rsidRPr="008906E7"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(0.87-0.98)</w:t>
            </w:r>
          </w:p>
        </w:tc>
        <w:tc>
          <w:tcPr>
            <w:tcW w:w="2460" w:type="dxa"/>
            <w:gridSpan w:val="2"/>
            <w:vMerge/>
          </w:tcPr>
          <w:p w:rsidR="00DA11D2" w:rsidRPr="008906E7" w:rsidRDefault="00DA11D2">
            <w:pPr>
              <w:tabs>
                <w:tab w:val="left" w:pos="567"/>
              </w:tabs>
              <w:rPr>
                <w:rFonts w:cstheme="minorHAnsi"/>
                <w:sz w:val="20"/>
                <w:szCs w:val="20"/>
              </w:rPr>
            </w:pPr>
          </w:p>
        </w:tc>
      </w:tr>
      <w:tr w:rsidR="006C466F" w:rsidRPr="00A47F4F" w:rsidTr="00ED3483">
        <w:trPr>
          <w:trHeight w:val="325"/>
        </w:trPr>
        <w:tc>
          <w:tcPr>
            <w:tcW w:w="1752" w:type="dxa"/>
            <w:vMerge/>
          </w:tcPr>
          <w:p w:rsidR="00DA11D2" w:rsidRPr="008906E7" w:rsidRDefault="00DA11D2">
            <w:pPr>
              <w:tabs>
                <w:tab w:val="left" w:pos="567"/>
              </w:tabs>
              <w:rPr>
                <w:rFonts w:cstheme="minorHAnsi"/>
                <w:sz w:val="20"/>
                <w:szCs w:val="20"/>
              </w:rPr>
            </w:pPr>
          </w:p>
        </w:tc>
        <w:tc>
          <w:tcPr>
            <w:tcW w:w="1451" w:type="dxa"/>
            <w:gridSpan w:val="8"/>
          </w:tcPr>
          <w:p w:rsidR="00DA11D2" w:rsidRPr="008906E7" w:rsidRDefault="003A240F">
            <w:pPr>
              <w:rPr>
                <w:rFonts w:cstheme="minorHAnsi"/>
                <w:sz w:val="20"/>
                <w:szCs w:val="20"/>
              </w:rPr>
            </w:pPr>
            <w:r w:rsidRPr="003A240F">
              <w:rPr>
                <w:rFonts w:cstheme="minorHAnsi"/>
                <w:sz w:val="20"/>
                <w:szCs w:val="20"/>
              </w:rPr>
              <w:t xml:space="preserve">↔ </w:t>
            </w:r>
            <w:proofErr w:type="spellStart"/>
            <w:r w:rsidRPr="003A240F">
              <w:rPr>
                <w:rFonts w:cstheme="minorHAnsi"/>
                <w:sz w:val="20"/>
                <w:szCs w:val="20"/>
              </w:rPr>
              <w:t>paritaprevir</w:t>
            </w:r>
            <w:proofErr w:type="spellEnd"/>
          </w:p>
        </w:tc>
        <w:tc>
          <w:tcPr>
            <w:tcW w:w="1142" w:type="dxa"/>
            <w:gridSpan w:val="6"/>
          </w:tcPr>
          <w:p w:rsidR="003A240F" w:rsidRPr="003A240F"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0.89</w:t>
            </w:r>
          </w:p>
          <w:p w:rsidR="00DA11D2" w:rsidRPr="008906E7"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(0.69-1.14)</w:t>
            </w:r>
          </w:p>
        </w:tc>
        <w:tc>
          <w:tcPr>
            <w:tcW w:w="1137" w:type="dxa"/>
            <w:gridSpan w:val="5"/>
          </w:tcPr>
          <w:p w:rsidR="003A240F" w:rsidRPr="003A240F"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0.84</w:t>
            </w:r>
          </w:p>
          <w:p w:rsidR="00DA11D2" w:rsidRPr="008906E7"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(0.67-1.04)</w:t>
            </w:r>
          </w:p>
        </w:tc>
        <w:tc>
          <w:tcPr>
            <w:tcW w:w="1238" w:type="dxa"/>
            <w:gridSpan w:val="2"/>
          </w:tcPr>
          <w:p w:rsidR="003A240F" w:rsidRPr="003A240F"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0.66</w:t>
            </w:r>
          </w:p>
          <w:p w:rsidR="00DA11D2" w:rsidRPr="008906E7" w:rsidRDefault="003A240F" w:rsidP="003A240F">
            <w:pPr>
              <w:tabs>
                <w:tab w:val="left" w:pos="567"/>
              </w:tabs>
              <w:jc w:val="center"/>
              <w:rPr>
                <w:rFonts w:ascii="Calibri" w:hAnsi="Calibri" w:cs="Calibri"/>
                <w:sz w:val="20"/>
                <w:szCs w:val="20"/>
              </w:rPr>
            </w:pPr>
            <w:r w:rsidRPr="003A240F">
              <w:rPr>
                <w:rFonts w:ascii="Calibri" w:hAnsi="Calibri" w:cs="Calibri"/>
                <w:sz w:val="20"/>
                <w:szCs w:val="20"/>
              </w:rPr>
              <w:t>(0.59-0.75)</w:t>
            </w:r>
          </w:p>
        </w:tc>
        <w:tc>
          <w:tcPr>
            <w:tcW w:w="2460" w:type="dxa"/>
            <w:gridSpan w:val="2"/>
            <w:vMerge/>
          </w:tcPr>
          <w:p w:rsidR="00DA11D2" w:rsidRPr="008906E7" w:rsidRDefault="00DA11D2">
            <w:pPr>
              <w:tabs>
                <w:tab w:val="left" w:pos="567"/>
              </w:tabs>
              <w:rPr>
                <w:rFonts w:cstheme="minorHAnsi"/>
                <w:sz w:val="20"/>
                <w:szCs w:val="20"/>
              </w:rPr>
            </w:pPr>
          </w:p>
        </w:tc>
      </w:tr>
      <w:tr w:rsidR="006C466F" w:rsidRPr="00A47F4F" w:rsidTr="00ED3483">
        <w:trPr>
          <w:trHeight w:val="325"/>
        </w:trPr>
        <w:tc>
          <w:tcPr>
            <w:tcW w:w="1752" w:type="dxa"/>
            <w:vMerge w:val="restart"/>
          </w:tcPr>
          <w:p w:rsidR="00DA11D2" w:rsidRPr="008906E7" w:rsidRDefault="00DA11D2">
            <w:pPr>
              <w:tabs>
                <w:tab w:val="left" w:pos="567"/>
              </w:tabs>
              <w:rPr>
                <w:rFonts w:cstheme="minorHAnsi"/>
                <w:sz w:val="20"/>
                <w:szCs w:val="20"/>
              </w:rPr>
            </w:pPr>
            <w:proofErr w:type="spellStart"/>
            <w:r w:rsidRPr="008906E7">
              <w:rPr>
                <w:rFonts w:cstheme="minorHAnsi"/>
                <w:sz w:val="20"/>
                <w:szCs w:val="20"/>
              </w:rPr>
              <w:t>Raltegravir</w:t>
            </w:r>
            <w:proofErr w:type="spellEnd"/>
          </w:p>
          <w:p w:rsidR="00DA11D2" w:rsidRPr="008906E7" w:rsidRDefault="00DA11D2" w:rsidP="001E0E8A">
            <w:pPr>
              <w:tabs>
                <w:tab w:val="left" w:pos="567"/>
              </w:tabs>
              <w:rPr>
                <w:rFonts w:cstheme="minorHAnsi"/>
                <w:sz w:val="20"/>
                <w:szCs w:val="20"/>
              </w:rPr>
            </w:pPr>
            <w:r w:rsidRPr="008906E7">
              <w:rPr>
                <w:rFonts w:cstheme="minorHAnsi"/>
                <w:sz w:val="20"/>
                <w:szCs w:val="20"/>
              </w:rPr>
              <w:t>400</w:t>
            </w:r>
            <w:r>
              <w:rPr>
                <w:rFonts w:cstheme="minorHAnsi"/>
                <w:sz w:val="20"/>
                <w:szCs w:val="20"/>
              </w:rPr>
              <w:t xml:space="preserve"> </w:t>
            </w:r>
            <w:r w:rsidRPr="008906E7">
              <w:rPr>
                <w:rFonts w:cstheme="minorHAnsi"/>
                <w:sz w:val="20"/>
                <w:szCs w:val="20"/>
              </w:rPr>
              <w:t xml:space="preserve">mg twice daily </w:t>
            </w:r>
          </w:p>
        </w:tc>
        <w:tc>
          <w:tcPr>
            <w:tcW w:w="1451" w:type="dxa"/>
            <w:gridSpan w:val="8"/>
          </w:tcPr>
          <w:p w:rsidR="00DA11D2" w:rsidRPr="008906E7" w:rsidRDefault="00DA11D2">
            <w:pPr>
              <w:rPr>
                <w:rFonts w:cstheme="minorHAnsi"/>
                <w:sz w:val="20"/>
                <w:szCs w:val="20"/>
              </w:rPr>
            </w:pPr>
          </w:p>
        </w:tc>
        <w:tc>
          <w:tcPr>
            <w:tcW w:w="1142" w:type="dxa"/>
            <w:gridSpan w:val="6"/>
          </w:tcPr>
          <w:p w:rsidR="00DA11D2" w:rsidRPr="008906E7" w:rsidRDefault="00DA11D2">
            <w:pPr>
              <w:tabs>
                <w:tab w:val="left" w:pos="567"/>
              </w:tabs>
              <w:jc w:val="center"/>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137" w:type="dxa"/>
            <w:gridSpan w:val="5"/>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AUC</w:t>
            </w:r>
          </w:p>
        </w:tc>
        <w:tc>
          <w:tcPr>
            <w:tcW w:w="1238" w:type="dxa"/>
            <w:gridSpan w:val="2"/>
          </w:tcPr>
          <w:p w:rsidR="00DA11D2" w:rsidRPr="008906E7" w:rsidRDefault="00DA11D2">
            <w:pPr>
              <w:tabs>
                <w:tab w:val="left" w:pos="567"/>
              </w:tabs>
              <w:jc w:val="center"/>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val="restart"/>
          </w:tcPr>
          <w:p w:rsidR="00DA11D2" w:rsidRPr="008906E7" w:rsidRDefault="00DA11D2">
            <w:pPr>
              <w:tabs>
                <w:tab w:val="left" w:pos="567"/>
              </w:tabs>
              <w:rPr>
                <w:rFonts w:cstheme="minorHAnsi"/>
                <w:sz w:val="20"/>
                <w:szCs w:val="20"/>
              </w:rPr>
            </w:pPr>
            <w:r w:rsidRPr="008906E7">
              <w:rPr>
                <w:rFonts w:cstheme="minorHAnsi"/>
                <w:sz w:val="20"/>
                <w:szCs w:val="20"/>
              </w:rPr>
              <w:t xml:space="preserve">No dose adjustment is necessary for </w:t>
            </w:r>
            <w:proofErr w:type="spellStart"/>
            <w:r w:rsidRPr="008906E7">
              <w:rPr>
                <w:rFonts w:cstheme="minorHAnsi"/>
                <w:sz w:val="20"/>
                <w:szCs w:val="20"/>
              </w:rPr>
              <w:t>raltegravir</w:t>
            </w:r>
            <w:proofErr w:type="spellEnd"/>
            <w:r w:rsidRPr="008906E7">
              <w:rPr>
                <w:rFonts w:cstheme="minorHAnsi"/>
                <w:sz w:val="20"/>
                <w:szCs w:val="20"/>
              </w:rPr>
              <w:t>.</w:t>
            </w:r>
          </w:p>
          <w:p w:rsidR="00DA11D2" w:rsidRPr="008906E7" w:rsidRDefault="00DA11D2">
            <w:pPr>
              <w:rPr>
                <w:rFonts w:cstheme="minorHAnsi"/>
                <w:sz w:val="20"/>
                <w:szCs w:val="20"/>
              </w:rPr>
            </w:pPr>
          </w:p>
        </w:tc>
      </w:tr>
      <w:tr w:rsidR="006C466F" w:rsidRPr="00A47F4F" w:rsidTr="00ED3483">
        <w:trPr>
          <w:trHeight w:val="325"/>
        </w:trPr>
        <w:tc>
          <w:tcPr>
            <w:tcW w:w="1752" w:type="dxa"/>
            <w:vMerge/>
          </w:tcPr>
          <w:p w:rsidR="00DA11D2" w:rsidRPr="008906E7" w:rsidRDefault="00DA11D2">
            <w:pPr>
              <w:tabs>
                <w:tab w:val="left" w:pos="567"/>
              </w:tabs>
              <w:rPr>
                <w:rFonts w:cstheme="minorHAnsi"/>
                <w:sz w:val="20"/>
                <w:szCs w:val="20"/>
              </w:rPr>
            </w:pPr>
          </w:p>
        </w:tc>
        <w:tc>
          <w:tcPr>
            <w:tcW w:w="1451" w:type="dxa"/>
            <w:gridSpan w:val="8"/>
          </w:tcPr>
          <w:p w:rsidR="00DA11D2" w:rsidRPr="008906E7" w:rsidRDefault="00DA11D2">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raltegravir</w:t>
            </w:r>
            <w:proofErr w:type="spellEnd"/>
          </w:p>
        </w:tc>
        <w:tc>
          <w:tcPr>
            <w:tcW w:w="1142" w:type="dxa"/>
            <w:gridSpan w:val="6"/>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1.22</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(0.78-1.89)</w:t>
            </w:r>
          </w:p>
        </w:tc>
        <w:tc>
          <w:tcPr>
            <w:tcW w:w="1137" w:type="dxa"/>
            <w:gridSpan w:val="5"/>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1.20</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(0.74-1.95)</w:t>
            </w:r>
          </w:p>
        </w:tc>
        <w:tc>
          <w:tcPr>
            <w:tcW w:w="1238" w:type="dxa"/>
            <w:gridSpan w:val="2"/>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1.13</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(0.51-2.51)</w:t>
            </w:r>
          </w:p>
        </w:tc>
        <w:tc>
          <w:tcPr>
            <w:tcW w:w="2460" w:type="dxa"/>
            <w:gridSpan w:val="2"/>
            <w:vMerge/>
          </w:tcPr>
          <w:p w:rsidR="00DA11D2" w:rsidRPr="008906E7" w:rsidRDefault="00DA11D2">
            <w:pPr>
              <w:rPr>
                <w:rFonts w:cstheme="minorHAnsi"/>
                <w:sz w:val="20"/>
                <w:szCs w:val="20"/>
              </w:rPr>
            </w:pPr>
          </w:p>
        </w:tc>
      </w:tr>
      <w:tr w:rsidR="003A240F" w:rsidRPr="00A47F4F" w:rsidTr="00ED3483">
        <w:trPr>
          <w:trHeight w:val="325"/>
        </w:trPr>
        <w:tc>
          <w:tcPr>
            <w:tcW w:w="1752" w:type="dxa"/>
          </w:tcPr>
          <w:p w:rsidR="003A240F" w:rsidRPr="008906E7" w:rsidRDefault="003A240F">
            <w:pPr>
              <w:tabs>
                <w:tab w:val="left" w:pos="567"/>
              </w:tabs>
              <w:rPr>
                <w:rFonts w:cstheme="minorHAnsi"/>
                <w:sz w:val="20"/>
                <w:szCs w:val="20"/>
              </w:rPr>
            </w:pPr>
          </w:p>
        </w:tc>
        <w:tc>
          <w:tcPr>
            <w:tcW w:w="4968" w:type="dxa"/>
            <w:gridSpan w:val="21"/>
          </w:tcPr>
          <w:p w:rsidR="003A240F" w:rsidRPr="003A240F" w:rsidRDefault="003A240F" w:rsidP="003A240F">
            <w:pPr>
              <w:tabs>
                <w:tab w:val="left" w:pos="567"/>
              </w:tabs>
              <w:jc w:val="center"/>
              <w:rPr>
                <w:rFonts w:ascii="Calibri" w:hAnsi="Calibri" w:cs="Calibri"/>
                <w:sz w:val="20"/>
                <w:szCs w:val="20"/>
              </w:rPr>
            </w:pPr>
            <w:r w:rsidRPr="003A240F">
              <w:rPr>
                <w:rFonts w:eastAsia="MS Mincho" w:cstheme="minorHAnsi"/>
                <w:sz w:val="20"/>
                <w:szCs w:val="16"/>
                <w:lang w:val="en-GB" w:eastAsia="ja-JP"/>
              </w:rPr>
              <w:t xml:space="preserve">No clinically relevant changes in </w:t>
            </w:r>
            <w:proofErr w:type="spellStart"/>
            <w:r w:rsidRPr="003A240F">
              <w:rPr>
                <w:rFonts w:cstheme="minorHAnsi"/>
                <w:sz w:val="20"/>
                <w:szCs w:val="16"/>
                <w:lang w:val="en-GB"/>
              </w:rPr>
              <w:t>paritaprevir</w:t>
            </w:r>
            <w:proofErr w:type="spellEnd"/>
            <w:r w:rsidRPr="003A240F">
              <w:rPr>
                <w:rFonts w:eastAsia="MS Mincho" w:cstheme="minorHAnsi"/>
                <w:sz w:val="20"/>
                <w:szCs w:val="16"/>
                <w:lang w:val="en-GB" w:eastAsia="ja-JP"/>
              </w:rPr>
              <w:t xml:space="preserve"> and </w:t>
            </w:r>
            <w:proofErr w:type="spellStart"/>
            <w:r w:rsidRPr="003A240F">
              <w:rPr>
                <w:rFonts w:eastAsia="MS Mincho" w:cstheme="minorHAnsi"/>
                <w:sz w:val="20"/>
                <w:szCs w:val="16"/>
                <w:lang w:val="en-GB" w:eastAsia="ja-JP"/>
              </w:rPr>
              <w:t>ombitasvir</w:t>
            </w:r>
            <w:proofErr w:type="spellEnd"/>
            <w:r w:rsidRPr="003A240F">
              <w:rPr>
                <w:rFonts w:eastAsia="MS Mincho" w:cstheme="minorHAnsi"/>
                <w:sz w:val="20"/>
                <w:szCs w:val="16"/>
                <w:lang w:val="en-GB" w:eastAsia="ja-JP"/>
              </w:rPr>
              <w:t xml:space="preserve"> exposures (based on comparison with historical data) were observed during co-administration</w:t>
            </w:r>
          </w:p>
        </w:tc>
        <w:tc>
          <w:tcPr>
            <w:tcW w:w="2460" w:type="dxa"/>
            <w:gridSpan w:val="2"/>
          </w:tcPr>
          <w:p w:rsidR="003A240F" w:rsidRPr="008906E7" w:rsidRDefault="003A240F">
            <w:pPr>
              <w:rPr>
                <w:rFonts w:cstheme="minorHAnsi"/>
                <w:sz w:val="20"/>
                <w:szCs w:val="20"/>
              </w:rPr>
            </w:pPr>
          </w:p>
        </w:tc>
      </w:tr>
      <w:tr w:rsidR="00DA11D2" w:rsidRPr="00A47F4F" w:rsidTr="00FA00D4">
        <w:trPr>
          <w:trHeight w:val="325"/>
        </w:trPr>
        <w:tc>
          <w:tcPr>
            <w:tcW w:w="9180" w:type="dxa"/>
            <w:gridSpan w:val="24"/>
          </w:tcPr>
          <w:p w:rsidR="00DA11D2" w:rsidRPr="008906E7" w:rsidRDefault="00DA11D2">
            <w:pPr>
              <w:rPr>
                <w:rFonts w:cstheme="minorHAnsi"/>
                <w:sz w:val="20"/>
                <w:szCs w:val="20"/>
              </w:rPr>
            </w:pPr>
            <w:r w:rsidRPr="008906E7">
              <w:rPr>
                <w:rFonts w:ascii="Calibri" w:eastAsia="Times New Roman" w:hAnsi="Calibri" w:cs="Calibri"/>
                <w:b/>
                <w:sz w:val="20"/>
                <w:szCs w:val="20"/>
              </w:rPr>
              <w:t>HIV ANTIVIRALS:  Nucleoside Inhibitors</w:t>
            </w:r>
          </w:p>
        </w:tc>
      </w:tr>
      <w:tr w:rsidR="006C466F" w:rsidRPr="00A47F4F" w:rsidTr="00ED3483">
        <w:trPr>
          <w:trHeight w:val="325"/>
        </w:trPr>
        <w:tc>
          <w:tcPr>
            <w:tcW w:w="1752" w:type="dxa"/>
            <w:vMerge w:val="restart"/>
          </w:tcPr>
          <w:p w:rsidR="00DA11D2" w:rsidRPr="008906E7" w:rsidRDefault="00DA11D2" w:rsidP="00547090">
            <w:pPr>
              <w:tabs>
                <w:tab w:val="left" w:pos="567"/>
              </w:tabs>
              <w:rPr>
                <w:rFonts w:ascii="Calibri" w:eastAsia="Times New Roman" w:hAnsi="Calibri" w:cs="Calibri"/>
                <w:sz w:val="20"/>
                <w:szCs w:val="20"/>
              </w:rPr>
            </w:pPr>
            <w:proofErr w:type="spellStart"/>
            <w:r w:rsidRPr="008906E7">
              <w:rPr>
                <w:rFonts w:ascii="Calibri" w:eastAsia="Times New Roman" w:hAnsi="Calibri" w:cs="Calibri"/>
                <w:sz w:val="20"/>
                <w:szCs w:val="20"/>
              </w:rPr>
              <w:t>Emtricitabine</w:t>
            </w:r>
            <w:proofErr w:type="spellEnd"/>
            <w:r w:rsidRPr="008906E7">
              <w:rPr>
                <w:rFonts w:ascii="Calibri" w:eastAsia="Times New Roman" w:hAnsi="Calibri" w:cs="Calibri"/>
                <w:sz w:val="20"/>
                <w:szCs w:val="20"/>
              </w:rPr>
              <w:t>/</w:t>
            </w:r>
            <w:proofErr w:type="spellStart"/>
            <w:r w:rsidRPr="008906E7">
              <w:rPr>
                <w:rFonts w:ascii="Calibri" w:eastAsia="Times New Roman" w:hAnsi="Calibri" w:cs="Calibri"/>
                <w:sz w:val="20"/>
                <w:szCs w:val="20"/>
              </w:rPr>
              <w:t>Tenofovir</w:t>
            </w:r>
            <w:proofErr w:type="spellEnd"/>
            <w:r w:rsidRPr="008906E7">
              <w:rPr>
                <w:rFonts w:ascii="Calibri" w:eastAsia="Times New Roman" w:hAnsi="Calibri" w:cs="Calibri"/>
                <w:sz w:val="20"/>
                <w:szCs w:val="20"/>
              </w:rPr>
              <w:t xml:space="preserve"> </w:t>
            </w:r>
            <w:proofErr w:type="spellStart"/>
            <w:r w:rsidRPr="008906E7">
              <w:rPr>
                <w:rFonts w:ascii="Calibri" w:eastAsia="Times New Roman" w:hAnsi="Calibri" w:cs="Calibri"/>
                <w:sz w:val="20"/>
                <w:szCs w:val="20"/>
              </w:rPr>
              <w:t>disoproxil</w:t>
            </w:r>
            <w:proofErr w:type="spellEnd"/>
            <w:r w:rsidRPr="008906E7">
              <w:rPr>
                <w:rFonts w:ascii="Calibri" w:eastAsia="Times New Roman" w:hAnsi="Calibri" w:cs="Calibri"/>
                <w:sz w:val="20"/>
                <w:szCs w:val="20"/>
              </w:rPr>
              <w:t xml:space="preserve"> fumarate</w:t>
            </w:r>
          </w:p>
          <w:p w:rsidR="00DA11D2" w:rsidRPr="008906E7" w:rsidRDefault="00DA11D2" w:rsidP="00547090">
            <w:pPr>
              <w:rPr>
                <w:rFonts w:ascii="Calibri" w:eastAsia="Times New Roman" w:hAnsi="Calibri" w:cs="Calibri"/>
                <w:b/>
                <w:sz w:val="20"/>
                <w:szCs w:val="20"/>
              </w:rPr>
            </w:pPr>
            <w:r w:rsidRPr="008906E7">
              <w:rPr>
                <w:rFonts w:ascii="Calibri" w:eastAsia="Times New Roman" w:hAnsi="Calibri" w:cs="Calibri"/>
                <w:sz w:val="20"/>
                <w:szCs w:val="20"/>
              </w:rPr>
              <w:t>200</w:t>
            </w:r>
            <w:r>
              <w:rPr>
                <w:rFonts w:ascii="Calibri" w:eastAsia="Times New Roman" w:hAnsi="Calibri" w:cs="Calibri"/>
                <w:sz w:val="20"/>
                <w:szCs w:val="20"/>
              </w:rPr>
              <w:t xml:space="preserve"> </w:t>
            </w:r>
            <w:r w:rsidRPr="008906E7">
              <w:rPr>
                <w:rFonts w:ascii="Calibri" w:eastAsia="Times New Roman" w:hAnsi="Calibri" w:cs="Calibri"/>
                <w:sz w:val="20"/>
                <w:szCs w:val="20"/>
              </w:rPr>
              <w:t>mg once daily/300</w:t>
            </w:r>
            <w:r>
              <w:rPr>
                <w:rFonts w:ascii="Calibri" w:eastAsia="Times New Roman" w:hAnsi="Calibri" w:cs="Calibri"/>
                <w:sz w:val="20"/>
                <w:szCs w:val="20"/>
              </w:rPr>
              <w:t xml:space="preserve"> </w:t>
            </w:r>
            <w:r w:rsidRPr="008906E7">
              <w:rPr>
                <w:rFonts w:ascii="Calibri" w:eastAsia="Times New Roman" w:hAnsi="Calibri" w:cs="Calibri"/>
                <w:sz w:val="20"/>
                <w:szCs w:val="20"/>
              </w:rPr>
              <w:t>mg once daily</w:t>
            </w:r>
          </w:p>
        </w:tc>
        <w:tc>
          <w:tcPr>
            <w:tcW w:w="1451" w:type="dxa"/>
            <w:gridSpan w:val="8"/>
          </w:tcPr>
          <w:p w:rsidR="00DA11D2" w:rsidRPr="008906E7" w:rsidRDefault="00DA11D2">
            <w:pPr>
              <w:rPr>
                <w:rFonts w:ascii="Calibri" w:eastAsia="Times New Roman" w:hAnsi="Calibri" w:cs="Calibri"/>
                <w:b/>
                <w:sz w:val="20"/>
                <w:szCs w:val="20"/>
              </w:rPr>
            </w:pPr>
            <w:r w:rsidRPr="008906E7">
              <w:rPr>
                <w:rFonts w:ascii="Calibri" w:eastAsia="Times New Roman" w:hAnsi="Calibri" w:cs="Calibri"/>
                <w:sz w:val="20"/>
                <w:szCs w:val="20"/>
              </w:rPr>
              <w:t xml:space="preserve">↔ </w:t>
            </w:r>
            <w:proofErr w:type="spellStart"/>
            <w:r w:rsidRPr="008906E7">
              <w:rPr>
                <w:rFonts w:ascii="Calibri" w:eastAsia="Times New Roman" w:hAnsi="Calibri" w:cs="Calibri"/>
                <w:sz w:val="20"/>
                <w:szCs w:val="20"/>
              </w:rPr>
              <w:t>emtricitabine</w:t>
            </w:r>
            <w:proofErr w:type="spellEnd"/>
          </w:p>
        </w:tc>
        <w:tc>
          <w:tcPr>
            <w:tcW w:w="1142" w:type="dxa"/>
            <w:gridSpan w:val="6"/>
          </w:tcPr>
          <w:p w:rsidR="00DA11D2" w:rsidRPr="008906E7" w:rsidRDefault="00DA11D2" w:rsidP="00547090">
            <w:pPr>
              <w:tabs>
                <w:tab w:val="left" w:pos="567"/>
              </w:tabs>
              <w:jc w:val="center"/>
              <w:rPr>
                <w:rFonts w:ascii="Calibri" w:eastAsia="Times New Roman" w:hAnsi="Calibri" w:cs="Calibri"/>
                <w:sz w:val="20"/>
                <w:szCs w:val="20"/>
              </w:rPr>
            </w:pPr>
            <w:r w:rsidRPr="008906E7">
              <w:rPr>
                <w:rFonts w:ascii="Calibri" w:eastAsia="Times New Roman" w:hAnsi="Calibri" w:cs="Calibri"/>
                <w:sz w:val="20"/>
                <w:szCs w:val="20"/>
              </w:rPr>
              <w:t>0.94</w:t>
            </w:r>
          </w:p>
          <w:p w:rsidR="00DA11D2" w:rsidRPr="008906E7" w:rsidRDefault="00DA11D2" w:rsidP="00547090">
            <w:pPr>
              <w:jc w:val="center"/>
              <w:rPr>
                <w:rFonts w:ascii="Calibri" w:eastAsia="Times New Roman" w:hAnsi="Calibri" w:cs="Calibri"/>
                <w:b/>
                <w:sz w:val="20"/>
                <w:szCs w:val="20"/>
              </w:rPr>
            </w:pPr>
            <w:r w:rsidRPr="008906E7">
              <w:rPr>
                <w:rFonts w:ascii="Calibri" w:eastAsia="Times New Roman" w:hAnsi="Calibri" w:cs="Calibri"/>
                <w:sz w:val="20"/>
                <w:szCs w:val="20"/>
              </w:rPr>
              <w:t>(0.84-1.06)</w:t>
            </w:r>
          </w:p>
        </w:tc>
        <w:tc>
          <w:tcPr>
            <w:tcW w:w="1137" w:type="dxa"/>
            <w:gridSpan w:val="5"/>
          </w:tcPr>
          <w:p w:rsidR="00DA11D2" w:rsidRPr="008906E7" w:rsidRDefault="00DA11D2" w:rsidP="00547090">
            <w:pPr>
              <w:tabs>
                <w:tab w:val="left" w:pos="567"/>
              </w:tabs>
              <w:jc w:val="center"/>
              <w:rPr>
                <w:rFonts w:ascii="Calibri" w:eastAsia="Times New Roman" w:hAnsi="Calibri" w:cs="Calibri"/>
                <w:sz w:val="20"/>
                <w:szCs w:val="20"/>
              </w:rPr>
            </w:pPr>
            <w:r w:rsidRPr="008906E7">
              <w:rPr>
                <w:rFonts w:ascii="Calibri" w:eastAsia="Times New Roman" w:hAnsi="Calibri" w:cs="Calibri"/>
                <w:sz w:val="20"/>
                <w:szCs w:val="20"/>
              </w:rPr>
              <w:t>1.07</w:t>
            </w:r>
          </w:p>
          <w:p w:rsidR="00DA11D2" w:rsidRPr="008906E7" w:rsidRDefault="00DA11D2" w:rsidP="00547090">
            <w:pPr>
              <w:jc w:val="center"/>
              <w:rPr>
                <w:rFonts w:ascii="Calibri" w:eastAsia="Times New Roman" w:hAnsi="Calibri" w:cs="Calibri"/>
                <w:b/>
                <w:sz w:val="20"/>
                <w:szCs w:val="20"/>
              </w:rPr>
            </w:pPr>
            <w:r w:rsidRPr="008906E7">
              <w:rPr>
                <w:rFonts w:ascii="Calibri" w:eastAsia="Times New Roman" w:hAnsi="Calibri" w:cs="Calibri"/>
                <w:sz w:val="20"/>
                <w:szCs w:val="20"/>
              </w:rPr>
              <w:t>(1.00-1.15)</w:t>
            </w:r>
          </w:p>
        </w:tc>
        <w:tc>
          <w:tcPr>
            <w:tcW w:w="1238" w:type="dxa"/>
            <w:gridSpan w:val="2"/>
          </w:tcPr>
          <w:p w:rsidR="00DA11D2" w:rsidRPr="008906E7" w:rsidRDefault="00DA11D2" w:rsidP="00547090">
            <w:pPr>
              <w:tabs>
                <w:tab w:val="left" w:pos="567"/>
              </w:tabs>
              <w:jc w:val="center"/>
              <w:rPr>
                <w:rFonts w:ascii="Calibri" w:eastAsia="Times New Roman" w:hAnsi="Calibri" w:cs="Calibri"/>
                <w:sz w:val="20"/>
                <w:szCs w:val="20"/>
              </w:rPr>
            </w:pPr>
            <w:r w:rsidRPr="008906E7">
              <w:rPr>
                <w:rFonts w:ascii="Calibri" w:eastAsia="Times New Roman" w:hAnsi="Calibri" w:cs="Calibri"/>
                <w:sz w:val="20"/>
                <w:szCs w:val="20"/>
              </w:rPr>
              <w:t>1.25</w:t>
            </w:r>
          </w:p>
          <w:p w:rsidR="00DA11D2" w:rsidRPr="008906E7" w:rsidRDefault="00DA11D2" w:rsidP="00547090">
            <w:pPr>
              <w:jc w:val="center"/>
              <w:rPr>
                <w:rFonts w:ascii="Calibri" w:eastAsia="Times New Roman" w:hAnsi="Calibri" w:cs="Calibri"/>
                <w:b/>
                <w:sz w:val="20"/>
                <w:szCs w:val="20"/>
              </w:rPr>
            </w:pPr>
            <w:r w:rsidRPr="008906E7">
              <w:rPr>
                <w:rFonts w:ascii="Calibri" w:eastAsia="Times New Roman" w:hAnsi="Calibri" w:cs="Calibri"/>
                <w:sz w:val="20"/>
                <w:szCs w:val="20"/>
              </w:rPr>
              <w:t>(1.13-1.38)</w:t>
            </w:r>
          </w:p>
        </w:tc>
        <w:tc>
          <w:tcPr>
            <w:tcW w:w="2460" w:type="dxa"/>
            <w:gridSpan w:val="2"/>
            <w:vMerge w:val="restart"/>
          </w:tcPr>
          <w:p w:rsidR="00DA11D2" w:rsidRPr="008906E7" w:rsidRDefault="00DA11D2" w:rsidP="00547090">
            <w:pPr>
              <w:tabs>
                <w:tab w:val="left" w:pos="567"/>
              </w:tabs>
              <w:rPr>
                <w:rFonts w:ascii="Calibri" w:eastAsia="Times New Roman" w:hAnsi="Calibri" w:cs="Calibri"/>
                <w:sz w:val="20"/>
                <w:szCs w:val="20"/>
              </w:rPr>
            </w:pPr>
            <w:r w:rsidRPr="008906E7">
              <w:rPr>
                <w:rFonts w:ascii="Calibri" w:eastAsia="Times New Roman" w:hAnsi="Calibri" w:cs="Calibri"/>
                <w:sz w:val="20"/>
                <w:szCs w:val="20"/>
              </w:rPr>
              <w:t xml:space="preserve">No dose adjustment is necessary for </w:t>
            </w:r>
            <w:proofErr w:type="spellStart"/>
            <w:r w:rsidRPr="008906E7">
              <w:rPr>
                <w:rFonts w:ascii="Calibri" w:eastAsia="Times New Roman" w:hAnsi="Calibri" w:cs="Calibri"/>
                <w:sz w:val="20"/>
                <w:szCs w:val="20"/>
              </w:rPr>
              <w:t>emtricitabine</w:t>
            </w:r>
            <w:proofErr w:type="spellEnd"/>
            <w:r w:rsidRPr="008906E7">
              <w:rPr>
                <w:rFonts w:ascii="Calibri" w:eastAsia="Times New Roman" w:hAnsi="Calibri" w:cs="Calibri"/>
                <w:sz w:val="20"/>
                <w:szCs w:val="20"/>
              </w:rPr>
              <w:t>/</w:t>
            </w:r>
            <w:proofErr w:type="spellStart"/>
            <w:r w:rsidRPr="008906E7">
              <w:rPr>
                <w:rFonts w:ascii="Calibri" w:eastAsia="Times New Roman" w:hAnsi="Calibri" w:cs="Calibri"/>
                <w:sz w:val="20"/>
                <w:szCs w:val="20"/>
              </w:rPr>
              <w:t>tenofovir</w:t>
            </w:r>
            <w:proofErr w:type="spellEnd"/>
            <w:r w:rsidRPr="008906E7">
              <w:rPr>
                <w:rFonts w:ascii="Calibri" w:eastAsia="Times New Roman" w:hAnsi="Calibri" w:cs="Calibri"/>
                <w:sz w:val="20"/>
                <w:szCs w:val="20"/>
              </w:rPr>
              <w:t>.</w:t>
            </w:r>
          </w:p>
          <w:p w:rsidR="00DA11D2" w:rsidRPr="008906E7" w:rsidRDefault="00DA11D2">
            <w:pPr>
              <w:rPr>
                <w:rFonts w:ascii="Calibri" w:eastAsia="Times New Roman" w:hAnsi="Calibri" w:cs="Calibri"/>
                <w:b/>
                <w:sz w:val="20"/>
                <w:szCs w:val="20"/>
              </w:rPr>
            </w:pPr>
          </w:p>
        </w:tc>
      </w:tr>
      <w:tr w:rsidR="006C466F" w:rsidRPr="00A47F4F" w:rsidTr="00ED3483">
        <w:trPr>
          <w:trHeight w:val="325"/>
        </w:trPr>
        <w:tc>
          <w:tcPr>
            <w:tcW w:w="1752" w:type="dxa"/>
            <w:vMerge/>
          </w:tcPr>
          <w:p w:rsidR="00DA11D2" w:rsidRPr="008906E7" w:rsidRDefault="00DA11D2">
            <w:pPr>
              <w:rPr>
                <w:rFonts w:ascii="Calibri" w:eastAsia="Times New Roman" w:hAnsi="Calibri" w:cs="Calibri"/>
                <w:b/>
                <w:sz w:val="20"/>
                <w:szCs w:val="20"/>
              </w:rPr>
            </w:pPr>
          </w:p>
        </w:tc>
        <w:tc>
          <w:tcPr>
            <w:tcW w:w="1451" w:type="dxa"/>
            <w:gridSpan w:val="8"/>
          </w:tcPr>
          <w:p w:rsidR="00DA11D2" w:rsidRPr="008906E7" w:rsidRDefault="00DA11D2">
            <w:pPr>
              <w:rPr>
                <w:rFonts w:ascii="Calibri" w:eastAsia="Times New Roman" w:hAnsi="Calibri" w:cs="Calibri"/>
                <w:b/>
                <w:sz w:val="20"/>
                <w:szCs w:val="20"/>
              </w:rPr>
            </w:pPr>
            <w:r w:rsidRPr="008906E7">
              <w:rPr>
                <w:rFonts w:ascii="Calibri" w:eastAsia="Times New Roman" w:hAnsi="Calibri" w:cs="Calibri"/>
                <w:sz w:val="20"/>
                <w:szCs w:val="20"/>
              </w:rPr>
              <w:t xml:space="preserve">↔ </w:t>
            </w:r>
            <w:proofErr w:type="spellStart"/>
            <w:r w:rsidRPr="008906E7">
              <w:rPr>
                <w:rFonts w:ascii="Calibri" w:eastAsia="Times New Roman" w:hAnsi="Calibri" w:cs="Calibri"/>
                <w:sz w:val="20"/>
                <w:szCs w:val="20"/>
              </w:rPr>
              <w:t>tenofovir</w:t>
            </w:r>
            <w:proofErr w:type="spellEnd"/>
          </w:p>
        </w:tc>
        <w:tc>
          <w:tcPr>
            <w:tcW w:w="1142" w:type="dxa"/>
            <w:gridSpan w:val="6"/>
          </w:tcPr>
          <w:p w:rsidR="00DA11D2" w:rsidRPr="008906E7" w:rsidRDefault="00DA11D2" w:rsidP="00547090">
            <w:pPr>
              <w:tabs>
                <w:tab w:val="left" w:pos="567"/>
              </w:tabs>
              <w:jc w:val="center"/>
              <w:rPr>
                <w:rFonts w:ascii="Calibri" w:eastAsia="Times New Roman" w:hAnsi="Calibri" w:cs="Calibri"/>
                <w:sz w:val="20"/>
                <w:szCs w:val="20"/>
              </w:rPr>
            </w:pPr>
            <w:r w:rsidRPr="008906E7">
              <w:rPr>
                <w:rFonts w:ascii="Calibri" w:eastAsia="Times New Roman" w:hAnsi="Calibri" w:cs="Calibri"/>
                <w:sz w:val="20"/>
                <w:szCs w:val="20"/>
              </w:rPr>
              <w:t>0.80</w:t>
            </w:r>
          </w:p>
          <w:p w:rsidR="00DA11D2" w:rsidRPr="008906E7" w:rsidRDefault="00DA11D2" w:rsidP="00547090">
            <w:pPr>
              <w:jc w:val="center"/>
              <w:rPr>
                <w:rFonts w:ascii="Calibri" w:eastAsia="Times New Roman" w:hAnsi="Calibri" w:cs="Calibri"/>
                <w:b/>
                <w:sz w:val="20"/>
                <w:szCs w:val="20"/>
              </w:rPr>
            </w:pPr>
            <w:r w:rsidRPr="008906E7">
              <w:rPr>
                <w:rFonts w:ascii="Calibri" w:eastAsia="Times New Roman" w:hAnsi="Calibri" w:cs="Calibri"/>
                <w:sz w:val="20"/>
                <w:szCs w:val="20"/>
              </w:rPr>
              <w:t>(0.71-0.90)</w:t>
            </w:r>
          </w:p>
        </w:tc>
        <w:tc>
          <w:tcPr>
            <w:tcW w:w="1137" w:type="dxa"/>
            <w:gridSpan w:val="5"/>
          </w:tcPr>
          <w:p w:rsidR="00DA11D2" w:rsidRPr="008906E7" w:rsidRDefault="00DA11D2" w:rsidP="00547090">
            <w:pPr>
              <w:tabs>
                <w:tab w:val="left" w:pos="567"/>
              </w:tabs>
              <w:jc w:val="center"/>
              <w:rPr>
                <w:rFonts w:ascii="Calibri" w:eastAsia="Times New Roman" w:hAnsi="Calibri" w:cs="Calibri"/>
                <w:sz w:val="20"/>
                <w:szCs w:val="20"/>
              </w:rPr>
            </w:pPr>
            <w:r w:rsidRPr="008906E7">
              <w:rPr>
                <w:rFonts w:ascii="Calibri" w:eastAsia="Times New Roman" w:hAnsi="Calibri" w:cs="Calibri"/>
                <w:sz w:val="20"/>
                <w:szCs w:val="20"/>
              </w:rPr>
              <w:t>1.01</w:t>
            </w:r>
          </w:p>
          <w:p w:rsidR="00DA11D2" w:rsidRPr="008906E7" w:rsidRDefault="00DA11D2" w:rsidP="00547090">
            <w:pPr>
              <w:jc w:val="center"/>
              <w:rPr>
                <w:rFonts w:ascii="Calibri" w:eastAsia="Times New Roman" w:hAnsi="Calibri" w:cs="Calibri"/>
                <w:b/>
                <w:sz w:val="20"/>
                <w:szCs w:val="20"/>
              </w:rPr>
            </w:pPr>
            <w:r w:rsidRPr="008906E7">
              <w:rPr>
                <w:rFonts w:ascii="Calibri" w:eastAsia="Times New Roman" w:hAnsi="Calibri" w:cs="Calibri"/>
                <w:sz w:val="20"/>
                <w:szCs w:val="20"/>
              </w:rPr>
              <w:t>(0.96-1.07)</w:t>
            </w:r>
          </w:p>
        </w:tc>
        <w:tc>
          <w:tcPr>
            <w:tcW w:w="1238" w:type="dxa"/>
            <w:gridSpan w:val="2"/>
          </w:tcPr>
          <w:p w:rsidR="00DA11D2" w:rsidRPr="008906E7" w:rsidRDefault="00DA11D2" w:rsidP="00547090">
            <w:pPr>
              <w:tabs>
                <w:tab w:val="left" w:pos="567"/>
              </w:tabs>
              <w:jc w:val="center"/>
              <w:rPr>
                <w:rFonts w:ascii="Calibri" w:eastAsia="Times New Roman" w:hAnsi="Calibri" w:cs="Calibri"/>
                <w:sz w:val="20"/>
                <w:szCs w:val="20"/>
              </w:rPr>
            </w:pPr>
            <w:r w:rsidRPr="008906E7">
              <w:rPr>
                <w:rFonts w:ascii="Calibri" w:eastAsia="Times New Roman" w:hAnsi="Calibri" w:cs="Calibri"/>
                <w:sz w:val="20"/>
                <w:szCs w:val="20"/>
              </w:rPr>
              <w:t>1.13</w:t>
            </w:r>
          </w:p>
          <w:p w:rsidR="00DA11D2" w:rsidRPr="008906E7" w:rsidRDefault="00DA11D2" w:rsidP="00547090">
            <w:pPr>
              <w:jc w:val="center"/>
              <w:rPr>
                <w:rFonts w:ascii="Calibri" w:eastAsia="Times New Roman" w:hAnsi="Calibri" w:cs="Calibri"/>
                <w:b/>
                <w:sz w:val="20"/>
                <w:szCs w:val="20"/>
              </w:rPr>
            </w:pPr>
            <w:r w:rsidRPr="008906E7">
              <w:rPr>
                <w:rFonts w:ascii="Calibri" w:eastAsia="Times New Roman" w:hAnsi="Calibri" w:cs="Calibri"/>
                <w:sz w:val="20"/>
                <w:szCs w:val="20"/>
              </w:rPr>
              <w:t>(1.06-1.21)</w:t>
            </w:r>
          </w:p>
        </w:tc>
        <w:tc>
          <w:tcPr>
            <w:tcW w:w="2460" w:type="dxa"/>
            <w:gridSpan w:val="2"/>
            <w:vMerge/>
          </w:tcPr>
          <w:p w:rsidR="00DA11D2" w:rsidRPr="008906E7" w:rsidRDefault="00DA11D2">
            <w:pPr>
              <w:rPr>
                <w:rFonts w:ascii="Calibri" w:eastAsia="Times New Roman" w:hAnsi="Calibri" w:cs="Calibri"/>
                <w:b/>
                <w:sz w:val="20"/>
                <w:szCs w:val="20"/>
              </w:rPr>
            </w:pPr>
          </w:p>
        </w:tc>
      </w:tr>
      <w:tr w:rsidR="006C466F" w:rsidRPr="00A47F4F" w:rsidTr="00ED3483">
        <w:trPr>
          <w:trHeight w:val="325"/>
        </w:trPr>
        <w:tc>
          <w:tcPr>
            <w:tcW w:w="1752" w:type="dxa"/>
            <w:vMerge/>
          </w:tcPr>
          <w:p w:rsidR="00DA11D2" w:rsidRPr="008906E7" w:rsidRDefault="00DA11D2">
            <w:pPr>
              <w:rPr>
                <w:rFonts w:ascii="Calibri" w:eastAsia="Times New Roman" w:hAnsi="Calibri" w:cs="Calibri"/>
                <w:b/>
                <w:sz w:val="20"/>
                <w:szCs w:val="20"/>
              </w:rPr>
            </w:pPr>
          </w:p>
        </w:tc>
        <w:tc>
          <w:tcPr>
            <w:tcW w:w="1451" w:type="dxa"/>
            <w:gridSpan w:val="8"/>
          </w:tcPr>
          <w:p w:rsidR="00DA11D2" w:rsidRPr="008906E7" w:rsidRDefault="00DA11D2">
            <w:pPr>
              <w:rPr>
                <w:rFonts w:ascii="Calibri" w:eastAsia="Times New Roman" w:hAnsi="Calibri" w:cs="Calibri"/>
                <w:b/>
                <w:sz w:val="20"/>
                <w:szCs w:val="20"/>
              </w:rPr>
            </w:pPr>
            <w:r w:rsidRPr="008906E7">
              <w:rPr>
                <w:rFonts w:ascii="Calibri" w:eastAsia="Times New Roman" w:hAnsi="Calibri" w:cs="Calibri"/>
                <w:sz w:val="20"/>
                <w:szCs w:val="20"/>
              </w:rPr>
              <w:t xml:space="preserve">↔ </w:t>
            </w:r>
            <w:proofErr w:type="spellStart"/>
            <w:r w:rsidRPr="008906E7">
              <w:rPr>
                <w:rFonts w:ascii="Calibri" w:eastAsia="Times New Roman" w:hAnsi="Calibri" w:cs="Calibri"/>
                <w:sz w:val="20"/>
                <w:szCs w:val="20"/>
              </w:rPr>
              <w:t>ombitasvir</w:t>
            </w:r>
            <w:proofErr w:type="spellEnd"/>
          </w:p>
        </w:tc>
        <w:tc>
          <w:tcPr>
            <w:tcW w:w="1142" w:type="dxa"/>
            <w:gridSpan w:val="6"/>
          </w:tcPr>
          <w:p w:rsidR="00DA11D2" w:rsidRPr="008906E7" w:rsidRDefault="00DA11D2" w:rsidP="00547090">
            <w:pPr>
              <w:tabs>
                <w:tab w:val="left" w:pos="567"/>
              </w:tabs>
              <w:jc w:val="center"/>
              <w:rPr>
                <w:rFonts w:ascii="Calibri" w:eastAsia="Times New Roman" w:hAnsi="Calibri" w:cs="Calibri"/>
                <w:sz w:val="20"/>
                <w:szCs w:val="20"/>
              </w:rPr>
            </w:pPr>
            <w:r w:rsidRPr="008906E7">
              <w:rPr>
                <w:rFonts w:ascii="Calibri" w:eastAsia="Times New Roman" w:hAnsi="Calibri" w:cs="Calibri"/>
                <w:sz w:val="20"/>
                <w:szCs w:val="20"/>
              </w:rPr>
              <w:t>0.97</w:t>
            </w:r>
          </w:p>
          <w:p w:rsidR="00DA11D2" w:rsidRPr="008906E7" w:rsidRDefault="00DA11D2" w:rsidP="00547090">
            <w:pPr>
              <w:jc w:val="center"/>
              <w:rPr>
                <w:rFonts w:ascii="Calibri" w:eastAsia="Times New Roman" w:hAnsi="Calibri" w:cs="Calibri"/>
                <w:b/>
                <w:sz w:val="20"/>
                <w:szCs w:val="20"/>
              </w:rPr>
            </w:pPr>
            <w:r w:rsidRPr="008906E7">
              <w:rPr>
                <w:rFonts w:ascii="Calibri" w:eastAsia="Times New Roman" w:hAnsi="Calibri" w:cs="Calibri"/>
                <w:sz w:val="20"/>
                <w:szCs w:val="20"/>
              </w:rPr>
              <w:t>(0.89-1.05)</w:t>
            </w:r>
          </w:p>
        </w:tc>
        <w:tc>
          <w:tcPr>
            <w:tcW w:w="1137" w:type="dxa"/>
            <w:gridSpan w:val="5"/>
          </w:tcPr>
          <w:p w:rsidR="00DA11D2" w:rsidRPr="008906E7" w:rsidRDefault="00DA11D2" w:rsidP="00547090">
            <w:pPr>
              <w:tabs>
                <w:tab w:val="left" w:pos="567"/>
              </w:tabs>
              <w:jc w:val="center"/>
              <w:rPr>
                <w:rFonts w:ascii="Calibri" w:eastAsia="Times New Roman" w:hAnsi="Calibri" w:cs="Calibri"/>
                <w:sz w:val="20"/>
                <w:szCs w:val="20"/>
              </w:rPr>
            </w:pPr>
            <w:r w:rsidRPr="008906E7">
              <w:rPr>
                <w:rFonts w:ascii="Calibri" w:eastAsia="Times New Roman" w:hAnsi="Calibri" w:cs="Calibri"/>
                <w:sz w:val="20"/>
                <w:szCs w:val="20"/>
              </w:rPr>
              <w:t>1.00</w:t>
            </w:r>
          </w:p>
          <w:p w:rsidR="00DA11D2" w:rsidRPr="008906E7" w:rsidRDefault="00DA11D2" w:rsidP="00547090">
            <w:pPr>
              <w:jc w:val="center"/>
              <w:rPr>
                <w:rFonts w:ascii="Calibri" w:eastAsia="Times New Roman" w:hAnsi="Calibri" w:cs="Calibri"/>
                <w:b/>
                <w:sz w:val="20"/>
                <w:szCs w:val="20"/>
              </w:rPr>
            </w:pPr>
            <w:r w:rsidRPr="008906E7">
              <w:rPr>
                <w:rFonts w:ascii="Calibri" w:eastAsia="Times New Roman" w:hAnsi="Calibri" w:cs="Calibri"/>
                <w:sz w:val="20"/>
                <w:szCs w:val="20"/>
              </w:rPr>
              <w:t>(0.94-1.06)</w:t>
            </w:r>
          </w:p>
        </w:tc>
        <w:tc>
          <w:tcPr>
            <w:tcW w:w="1238" w:type="dxa"/>
            <w:gridSpan w:val="2"/>
          </w:tcPr>
          <w:p w:rsidR="00DA11D2" w:rsidRPr="008906E7" w:rsidRDefault="00DA11D2" w:rsidP="00547090">
            <w:pPr>
              <w:tabs>
                <w:tab w:val="left" w:pos="567"/>
              </w:tabs>
              <w:jc w:val="center"/>
              <w:rPr>
                <w:rFonts w:ascii="Calibri" w:eastAsia="Times New Roman" w:hAnsi="Calibri" w:cs="Calibri"/>
                <w:sz w:val="20"/>
                <w:szCs w:val="20"/>
              </w:rPr>
            </w:pPr>
            <w:r w:rsidRPr="008906E7">
              <w:rPr>
                <w:rFonts w:ascii="Calibri" w:eastAsia="Times New Roman" w:hAnsi="Calibri" w:cs="Calibri"/>
                <w:sz w:val="20"/>
                <w:szCs w:val="20"/>
              </w:rPr>
              <w:t>1.02</w:t>
            </w:r>
          </w:p>
          <w:p w:rsidR="00DA11D2" w:rsidRPr="008906E7" w:rsidRDefault="00DA11D2" w:rsidP="00547090">
            <w:pPr>
              <w:jc w:val="center"/>
              <w:rPr>
                <w:rFonts w:ascii="Calibri" w:eastAsia="Times New Roman" w:hAnsi="Calibri" w:cs="Calibri"/>
                <w:b/>
                <w:sz w:val="20"/>
                <w:szCs w:val="20"/>
              </w:rPr>
            </w:pPr>
            <w:r w:rsidRPr="008906E7">
              <w:rPr>
                <w:rFonts w:ascii="Calibri" w:eastAsia="Times New Roman" w:hAnsi="Calibri" w:cs="Calibri"/>
                <w:sz w:val="20"/>
                <w:szCs w:val="20"/>
              </w:rPr>
              <w:t>(0.97-1.08)</w:t>
            </w:r>
          </w:p>
        </w:tc>
        <w:tc>
          <w:tcPr>
            <w:tcW w:w="2460" w:type="dxa"/>
            <w:gridSpan w:val="2"/>
            <w:vMerge/>
          </w:tcPr>
          <w:p w:rsidR="00DA11D2" w:rsidRPr="008906E7" w:rsidRDefault="00DA11D2">
            <w:pPr>
              <w:rPr>
                <w:rFonts w:ascii="Calibri" w:eastAsia="Times New Roman" w:hAnsi="Calibri" w:cs="Calibri"/>
                <w:b/>
                <w:sz w:val="20"/>
                <w:szCs w:val="20"/>
              </w:rPr>
            </w:pPr>
          </w:p>
        </w:tc>
      </w:tr>
      <w:tr w:rsidR="006C466F" w:rsidRPr="00A47F4F" w:rsidTr="00ED3483">
        <w:trPr>
          <w:trHeight w:val="325"/>
        </w:trPr>
        <w:tc>
          <w:tcPr>
            <w:tcW w:w="1752" w:type="dxa"/>
            <w:vMerge/>
          </w:tcPr>
          <w:p w:rsidR="00DA11D2" w:rsidRPr="008906E7" w:rsidRDefault="00DA11D2">
            <w:pPr>
              <w:rPr>
                <w:rFonts w:ascii="Calibri" w:eastAsia="Times New Roman" w:hAnsi="Calibri" w:cs="Calibri"/>
                <w:b/>
                <w:sz w:val="20"/>
                <w:szCs w:val="20"/>
              </w:rPr>
            </w:pPr>
          </w:p>
        </w:tc>
        <w:tc>
          <w:tcPr>
            <w:tcW w:w="1451" w:type="dxa"/>
            <w:gridSpan w:val="8"/>
          </w:tcPr>
          <w:p w:rsidR="00DA11D2" w:rsidRPr="008906E7" w:rsidRDefault="00DA11D2" w:rsidP="00547090">
            <w:pPr>
              <w:tabs>
                <w:tab w:val="left" w:pos="567"/>
              </w:tabs>
              <w:rPr>
                <w:rFonts w:ascii="Calibri" w:eastAsia="Times New Roman" w:hAnsi="Calibri" w:cs="Calibri"/>
                <w:sz w:val="20"/>
                <w:szCs w:val="20"/>
              </w:rPr>
            </w:pPr>
            <w:r w:rsidRPr="008906E7">
              <w:rPr>
                <w:rFonts w:ascii="Calibri" w:eastAsia="Times New Roman" w:hAnsi="Calibri" w:cs="Calibri"/>
                <w:sz w:val="20"/>
                <w:szCs w:val="20"/>
              </w:rPr>
              <w:t xml:space="preserve">↔ </w:t>
            </w:r>
            <w:proofErr w:type="spellStart"/>
            <w:r w:rsidRPr="008906E7">
              <w:rPr>
                <w:rFonts w:ascii="Calibri" w:eastAsia="Times New Roman" w:hAnsi="Calibri" w:cs="Calibri"/>
                <w:sz w:val="20"/>
                <w:szCs w:val="20"/>
              </w:rPr>
              <w:t>paritaprevir</w:t>
            </w:r>
            <w:proofErr w:type="spellEnd"/>
          </w:p>
          <w:p w:rsidR="00DA11D2" w:rsidRPr="008906E7" w:rsidRDefault="00DA11D2">
            <w:pPr>
              <w:rPr>
                <w:rFonts w:ascii="Calibri" w:eastAsia="Times New Roman" w:hAnsi="Calibri" w:cs="Calibri"/>
                <w:b/>
                <w:sz w:val="20"/>
                <w:szCs w:val="20"/>
              </w:rPr>
            </w:pPr>
          </w:p>
        </w:tc>
        <w:tc>
          <w:tcPr>
            <w:tcW w:w="1142" w:type="dxa"/>
            <w:gridSpan w:val="6"/>
          </w:tcPr>
          <w:p w:rsidR="00DA11D2" w:rsidRPr="008906E7" w:rsidRDefault="00DA11D2" w:rsidP="00547090">
            <w:pPr>
              <w:tabs>
                <w:tab w:val="left" w:pos="567"/>
              </w:tabs>
              <w:jc w:val="center"/>
              <w:rPr>
                <w:rFonts w:ascii="Calibri" w:eastAsia="Times New Roman" w:hAnsi="Calibri" w:cs="Calibri"/>
                <w:sz w:val="20"/>
                <w:szCs w:val="20"/>
              </w:rPr>
            </w:pPr>
            <w:r w:rsidRPr="008906E7">
              <w:rPr>
                <w:rFonts w:ascii="Calibri" w:eastAsia="Times New Roman" w:hAnsi="Calibri" w:cs="Calibri"/>
                <w:sz w:val="20"/>
                <w:szCs w:val="20"/>
              </w:rPr>
              <w:t>1.02</w:t>
            </w:r>
          </w:p>
          <w:p w:rsidR="00DA11D2" w:rsidRPr="008906E7" w:rsidRDefault="00DA11D2" w:rsidP="00547090">
            <w:pPr>
              <w:jc w:val="center"/>
              <w:rPr>
                <w:rFonts w:ascii="Calibri" w:eastAsia="Times New Roman" w:hAnsi="Calibri" w:cs="Calibri"/>
                <w:b/>
                <w:sz w:val="20"/>
                <w:szCs w:val="20"/>
              </w:rPr>
            </w:pPr>
            <w:r w:rsidRPr="008906E7">
              <w:rPr>
                <w:rFonts w:ascii="Calibri" w:eastAsia="Times New Roman" w:hAnsi="Calibri" w:cs="Calibri"/>
                <w:sz w:val="20"/>
                <w:szCs w:val="20"/>
              </w:rPr>
              <w:t>(0.63-1.64)</w:t>
            </w:r>
          </w:p>
        </w:tc>
        <w:tc>
          <w:tcPr>
            <w:tcW w:w="1137" w:type="dxa"/>
            <w:gridSpan w:val="5"/>
          </w:tcPr>
          <w:p w:rsidR="00DA11D2" w:rsidRPr="008906E7" w:rsidRDefault="00DA11D2" w:rsidP="00547090">
            <w:pPr>
              <w:tabs>
                <w:tab w:val="left" w:pos="567"/>
              </w:tabs>
              <w:jc w:val="center"/>
              <w:rPr>
                <w:rFonts w:ascii="Calibri" w:eastAsia="Times New Roman" w:hAnsi="Calibri" w:cs="Calibri"/>
                <w:sz w:val="20"/>
                <w:szCs w:val="20"/>
              </w:rPr>
            </w:pPr>
            <w:r w:rsidRPr="008906E7">
              <w:rPr>
                <w:rFonts w:ascii="Calibri" w:eastAsia="Times New Roman" w:hAnsi="Calibri" w:cs="Calibri"/>
                <w:sz w:val="20"/>
                <w:szCs w:val="20"/>
              </w:rPr>
              <w:t>1.04</w:t>
            </w:r>
          </w:p>
          <w:p w:rsidR="00DA11D2" w:rsidRPr="008906E7" w:rsidRDefault="00DA11D2" w:rsidP="00547090">
            <w:pPr>
              <w:jc w:val="center"/>
              <w:rPr>
                <w:rFonts w:ascii="Calibri" w:eastAsia="Times New Roman" w:hAnsi="Calibri" w:cs="Calibri"/>
                <w:b/>
                <w:sz w:val="20"/>
                <w:szCs w:val="20"/>
              </w:rPr>
            </w:pPr>
            <w:r w:rsidRPr="008906E7">
              <w:rPr>
                <w:rFonts w:ascii="Calibri" w:eastAsia="Times New Roman" w:hAnsi="Calibri" w:cs="Calibri"/>
                <w:sz w:val="20"/>
                <w:szCs w:val="20"/>
              </w:rPr>
              <w:t>(0.74-1.47)</w:t>
            </w:r>
          </w:p>
        </w:tc>
        <w:tc>
          <w:tcPr>
            <w:tcW w:w="1238" w:type="dxa"/>
            <w:gridSpan w:val="2"/>
          </w:tcPr>
          <w:p w:rsidR="00DA11D2" w:rsidRPr="008906E7" w:rsidRDefault="00DA11D2" w:rsidP="00547090">
            <w:pPr>
              <w:tabs>
                <w:tab w:val="left" w:pos="567"/>
              </w:tabs>
              <w:jc w:val="center"/>
              <w:rPr>
                <w:rFonts w:ascii="Calibri" w:eastAsia="Times New Roman" w:hAnsi="Calibri" w:cs="Calibri"/>
                <w:sz w:val="20"/>
                <w:szCs w:val="20"/>
              </w:rPr>
            </w:pPr>
            <w:r w:rsidRPr="008906E7">
              <w:rPr>
                <w:rFonts w:ascii="Calibri" w:eastAsia="Times New Roman" w:hAnsi="Calibri" w:cs="Calibri"/>
                <w:sz w:val="20"/>
                <w:szCs w:val="20"/>
              </w:rPr>
              <w:t>1.09</w:t>
            </w:r>
          </w:p>
          <w:p w:rsidR="00DA11D2" w:rsidRPr="008906E7" w:rsidRDefault="00DA11D2" w:rsidP="00547090">
            <w:pPr>
              <w:jc w:val="center"/>
              <w:rPr>
                <w:rFonts w:ascii="Calibri" w:eastAsia="Times New Roman" w:hAnsi="Calibri" w:cs="Calibri"/>
                <w:b/>
                <w:sz w:val="20"/>
                <w:szCs w:val="20"/>
              </w:rPr>
            </w:pPr>
            <w:r w:rsidRPr="008906E7">
              <w:rPr>
                <w:rFonts w:ascii="Calibri" w:eastAsia="Times New Roman" w:hAnsi="Calibri" w:cs="Calibri"/>
                <w:sz w:val="20"/>
                <w:szCs w:val="20"/>
              </w:rPr>
              <w:t>(0.88-1.35)</w:t>
            </w:r>
          </w:p>
        </w:tc>
        <w:tc>
          <w:tcPr>
            <w:tcW w:w="2460" w:type="dxa"/>
            <w:gridSpan w:val="2"/>
            <w:vMerge/>
          </w:tcPr>
          <w:p w:rsidR="00DA11D2" w:rsidRPr="008906E7" w:rsidRDefault="00DA11D2">
            <w:pPr>
              <w:rPr>
                <w:rFonts w:ascii="Calibri" w:eastAsia="Times New Roman" w:hAnsi="Calibri" w:cs="Calibri"/>
                <w:b/>
                <w:sz w:val="20"/>
                <w:szCs w:val="20"/>
              </w:rPr>
            </w:pPr>
          </w:p>
        </w:tc>
      </w:tr>
      <w:tr w:rsidR="00DA11D2" w:rsidRPr="00A47F4F" w:rsidTr="00FA00D4">
        <w:trPr>
          <w:trHeight w:val="100"/>
        </w:trPr>
        <w:tc>
          <w:tcPr>
            <w:tcW w:w="9180" w:type="dxa"/>
            <w:gridSpan w:val="24"/>
          </w:tcPr>
          <w:p w:rsidR="00DA11D2" w:rsidRPr="008906E7" w:rsidRDefault="00DA11D2">
            <w:pPr>
              <w:tabs>
                <w:tab w:val="left" w:pos="567"/>
              </w:tabs>
              <w:rPr>
                <w:rFonts w:cstheme="minorHAnsi"/>
                <w:sz w:val="20"/>
                <w:szCs w:val="20"/>
              </w:rPr>
            </w:pPr>
            <w:r w:rsidRPr="008906E7">
              <w:rPr>
                <w:rFonts w:cstheme="minorHAnsi"/>
                <w:b/>
                <w:sz w:val="20"/>
                <w:szCs w:val="20"/>
              </w:rPr>
              <w:t>HMG-CoA Reductase Inhibitors</w:t>
            </w:r>
          </w:p>
        </w:tc>
      </w:tr>
      <w:tr w:rsidR="006C466F" w:rsidRPr="00A47F4F" w:rsidTr="00ED3483">
        <w:trPr>
          <w:trHeight w:val="100"/>
        </w:trPr>
        <w:tc>
          <w:tcPr>
            <w:tcW w:w="1752" w:type="dxa"/>
            <w:vMerge w:val="restart"/>
          </w:tcPr>
          <w:p w:rsidR="00DA11D2" w:rsidRPr="008906E7" w:rsidRDefault="00DA11D2">
            <w:pPr>
              <w:tabs>
                <w:tab w:val="left" w:pos="567"/>
              </w:tabs>
              <w:rPr>
                <w:rFonts w:cstheme="minorHAnsi"/>
                <w:sz w:val="20"/>
                <w:szCs w:val="20"/>
              </w:rPr>
            </w:pPr>
            <w:proofErr w:type="spellStart"/>
            <w:r w:rsidRPr="008906E7">
              <w:rPr>
                <w:rFonts w:cstheme="minorHAnsi"/>
                <w:sz w:val="20"/>
                <w:szCs w:val="20"/>
              </w:rPr>
              <w:t>Rosuvastatin</w:t>
            </w:r>
            <w:proofErr w:type="spellEnd"/>
          </w:p>
          <w:p w:rsidR="00DA11D2" w:rsidRPr="008906E7" w:rsidRDefault="00DA11D2">
            <w:pPr>
              <w:tabs>
                <w:tab w:val="left" w:pos="567"/>
              </w:tabs>
              <w:rPr>
                <w:rFonts w:cstheme="minorHAnsi"/>
                <w:sz w:val="20"/>
                <w:szCs w:val="20"/>
              </w:rPr>
            </w:pPr>
            <w:r w:rsidRPr="008906E7">
              <w:rPr>
                <w:rFonts w:cstheme="minorHAnsi"/>
                <w:sz w:val="20"/>
                <w:szCs w:val="20"/>
              </w:rPr>
              <w:t>5</w:t>
            </w:r>
            <w:r>
              <w:rPr>
                <w:rFonts w:cstheme="minorHAnsi"/>
                <w:sz w:val="20"/>
                <w:szCs w:val="20"/>
              </w:rPr>
              <w:t xml:space="preserve"> </w:t>
            </w:r>
            <w:r w:rsidRPr="008906E7">
              <w:rPr>
                <w:rFonts w:cstheme="minorHAnsi"/>
                <w:sz w:val="20"/>
                <w:szCs w:val="20"/>
              </w:rPr>
              <w:t xml:space="preserve">mg once daily </w:t>
            </w:r>
          </w:p>
          <w:p w:rsidR="00DA11D2" w:rsidRPr="008906E7" w:rsidRDefault="00DA11D2">
            <w:pPr>
              <w:rPr>
                <w:rFonts w:cstheme="minorHAnsi"/>
                <w:sz w:val="20"/>
                <w:szCs w:val="20"/>
              </w:rPr>
            </w:pPr>
          </w:p>
        </w:tc>
        <w:tc>
          <w:tcPr>
            <w:tcW w:w="1459" w:type="dxa"/>
            <w:gridSpan w:val="9"/>
            <w:tcBorders>
              <w:top w:val="single" w:sz="4" w:space="0" w:color="auto"/>
            </w:tcBorders>
          </w:tcPr>
          <w:p w:rsidR="00DA11D2" w:rsidRPr="008906E7" w:rsidRDefault="00DA11D2">
            <w:pPr>
              <w:rPr>
                <w:rFonts w:cstheme="minorHAnsi"/>
                <w:sz w:val="20"/>
                <w:szCs w:val="20"/>
              </w:rPr>
            </w:pPr>
          </w:p>
        </w:tc>
        <w:tc>
          <w:tcPr>
            <w:tcW w:w="1134" w:type="dxa"/>
            <w:gridSpan w:val="5"/>
            <w:tcBorders>
              <w:top w:val="single" w:sz="4" w:space="0" w:color="auto"/>
            </w:tcBorders>
          </w:tcPr>
          <w:p w:rsidR="00DA11D2" w:rsidRPr="008906E7" w:rsidRDefault="00DA11D2">
            <w:pPr>
              <w:tabs>
                <w:tab w:val="left" w:pos="567"/>
              </w:tabs>
              <w:jc w:val="center"/>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137" w:type="dxa"/>
            <w:gridSpan w:val="5"/>
            <w:tcBorders>
              <w:top w:val="single" w:sz="4" w:space="0" w:color="auto"/>
            </w:tcBorders>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AUC</w:t>
            </w:r>
          </w:p>
        </w:tc>
        <w:tc>
          <w:tcPr>
            <w:tcW w:w="1238" w:type="dxa"/>
            <w:gridSpan w:val="2"/>
            <w:tcBorders>
              <w:top w:val="single" w:sz="4" w:space="0" w:color="auto"/>
            </w:tcBorders>
          </w:tcPr>
          <w:p w:rsidR="00DA11D2" w:rsidRPr="008906E7" w:rsidRDefault="00DA11D2">
            <w:pPr>
              <w:tabs>
                <w:tab w:val="left" w:pos="567"/>
              </w:tabs>
              <w:jc w:val="center"/>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val="restart"/>
          </w:tcPr>
          <w:p w:rsidR="00DA11D2" w:rsidRPr="008906E7" w:rsidRDefault="00DA11D2">
            <w:pPr>
              <w:tabs>
                <w:tab w:val="left" w:pos="567"/>
              </w:tabs>
              <w:rPr>
                <w:rFonts w:cstheme="minorHAnsi"/>
                <w:sz w:val="20"/>
                <w:szCs w:val="20"/>
              </w:rPr>
            </w:pPr>
            <w:r w:rsidRPr="008906E7">
              <w:rPr>
                <w:rFonts w:cstheme="minorHAnsi"/>
                <w:sz w:val="20"/>
                <w:szCs w:val="20"/>
              </w:rPr>
              <w:t xml:space="preserve">Mechanism:  OATP1B inhibition by </w:t>
            </w:r>
            <w:proofErr w:type="spellStart"/>
            <w:r w:rsidRPr="008906E7">
              <w:rPr>
                <w:rFonts w:cstheme="minorHAnsi"/>
                <w:sz w:val="20"/>
                <w:szCs w:val="20"/>
              </w:rPr>
              <w:t>paritaprevir</w:t>
            </w:r>
            <w:proofErr w:type="spellEnd"/>
            <w:r w:rsidRPr="008906E7">
              <w:rPr>
                <w:rFonts w:cstheme="minorHAnsi"/>
                <w:sz w:val="20"/>
                <w:szCs w:val="20"/>
              </w:rPr>
              <w:t xml:space="preserve"> and BCRP inhibition by </w:t>
            </w:r>
            <w:proofErr w:type="spellStart"/>
            <w:r w:rsidRPr="008906E7">
              <w:rPr>
                <w:rFonts w:cstheme="minorHAnsi"/>
                <w:sz w:val="20"/>
                <w:szCs w:val="20"/>
              </w:rPr>
              <w:t>paritaprevir</w:t>
            </w:r>
            <w:proofErr w:type="spellEnd"/>
            <w:r w:rsidRPr="008906E7">
              <w:rPr>
                <w:rFonts w:cstheme="minorHAnsi"/>
                <w:sz w:val="20"/>
                <w:szCs w:val="20"/>
              </w:rPr>
              <w:t xml:space="preserve"> and ritonavir </w:t>
            </w:r>
          </w:p>
          <w:p w:rsidR="00DA11D2" w:rsidRPr="008906E7" w:rsidRDefault="00DA11D2">
            <w:pPr>
              <w:tabs>
                <w:tab w:val="left" w:pos="567"/>
              </w:tabs>
              <w:rPr>
                <w:rFonts w:cstheme="minorHAnsi"/>
                <w:sz w:val="20"/>
                <w:szCs w:val="20"/>
              </w:rPr>
            </w:pPr>
            <w:r w:rsidRPr="008906E7">
              <w:rPr>
                <w:sz w:val="20"/>
                <w:szCs w:val="20"/>
              </w:rPr>
              <w:br/>
            </w:r>
            <w:proofErr w:type="spellStart"/>
            <w:r w:rsidRPr="008906E7">
              <w:rPr>
                <w:sz w:val="20"/>
                <w:szCs w:val="20"/>
              </w:rPr>
              <w:t>Rosuvastatin</w:t>
            </w:r>
            <w:proofErr w:type="spellEnd"/>
            <w:r w:rsidRPr="008906E7">
              <w:rPr>
                <w:sz w:val="20"/>
                <w:szCs w:val="20"/>
              </w:rPr>
              <w:t xml:space="preserve"> dose should not exceed 20 mg per day.</w:t>
            </w:r>
          </w:p>
        </w:tc>
      </w:tr>
      <w:tr w:rsidR="006C466F" w:rsidRPr="00A47F4F" w:rsidTr="00ED3483">
        <w:trPr>
          <w:trHeight w:val="100"/>
        </w:trPr>
        <w:tc>
          <w:tcPr>
            <w:tcW w:w="1752" w:type="dxa"/>
            <w:vMerge/>
          </w:tcPr>
          <w:p w:rsidR="00DA11D2" w:rsidRPr="008906E7" w:rsidRDefault="00DA11D2">
            <w:pPr>
              <w:tabs>
                <w:tab w:val="left" w:pos="567"/>
              </w:tabs>
              <w:rPr>
                <w:rFonts w:cstheme="minorHAnsi"/>
                <w:sz w:val="20"/>
                <w:szCs w:val="20"/>
              </w:rPr>
            </w:pPr>
          </w:p>
        </w:tc>
        <w:tc>
          <w:tcPr>
            <w:tcW w:w="1459" w:type="dxa"/>
            <w:gridSpan w:val="9"/>
          </w:tcPr>
          <w:p w:rsidR="00DA11D2" w:rsidRPr="008906E7" w:rsidRDefault="00DA11D2">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rosuvastatin</w:t>
            </w:r>
            <w:proofErr w:type="spellEnd"/>
          </w:p>
        </w:tc>
        <w:tc>
          <w:tcPr>
            <w:tcW w:w="1134" w:type="dxa"/>
            <w:gridSpan w:val="5"/>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2.61</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(2.01-3.39)</w:t>
            </w:r>
          </w:p>
        </w:tc>
        <w:tc>
          <w:tcPr>
            <w:tcW w:w="1137" w:type="dxa"/>
            <w:gridSpan w:val="5"/>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1.33</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(1.14-1.56)</w:t>
            </w:r>
          </w:p>
        </w:tc>
        <w:tc>
          <w:tcPr>
            <w:tcW w:w="1238" w:type="dxa"/>
            <w:gridSpan w:val="2"/>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0.65</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(0.57-0.74)</w:t>
            </w:r>
          </w:p>
        </w:tc>
        <w:tc>
          <w:tcPr>
            <w:tcW w:w="2460" w:type="dxa"/>
            <w:gridSpan w:val="2"/>
            <w:vMerge/>
          </w:tcPr>
          <w:p w:rsidR="00DA11D2" w:rsidRPr="008906E7" w:rsidRDefault="00DA11D2">
            <w:pPr>
              <w:rPr>
                <w:rFonts w:cstheme="minorHAnsi"/>
                <w:sz w:val="20"/>
                <w:szCs w:val="20"/>
              </w:rPr>
            </w:pPr>
          </w:p>
        </w:tc>
      </w:tr>
      <w:tr w:rsidR="006C466F" w:rsidRPr="00A47F4F" w:rsidTr="00ED3483">
        <w:trPr>
          <w:trHeight w:val="100"/>
        </w:trPr>
        <w:tc>
          <w:tcPr>
            <w:tcW w:w="1752" w:type="dxa"/>
            <w:vMerge/>
          </w:tcPr>
          <w:p w:rsidR="00DA11D2" w:rsidRPr="008906E7" w:rsidRDefault="00DA11D2">
            <w:pPr>
              <w:tabs>
                <w:tab w:val="left" w:pos="567"/>
              </w:tabs>
              <w:rPr>
                <w:rFonts w:cstheme="minorHAnsi"/>
                <w:sz w:val="20"/>
                <w:szCs w:val="20"/>
              </w:rPr>
            </w:pPr>
          </w:p>
        </w:tc>
        <w:tc>
          <w:tcPr>
            <w:tcW w:w="1459" w:type="dxa"/>
            <w:gridSpan w:val="9"/>
          </w:tcPr>
          <w:p w:rsidR="00DA11D2" w:rsidRPr="008906E7" w:rsidRDefault="00DA11D2">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ombitasvir</w:t>
            </w:r>
            <w:proofErr w:type="spellEnd"/>
          </w:p>
        </w:tc>
        <w:tc>
          <w:tcPr>
            <w:tcW w:w="1134" w:type="dxa"/>
            <w:gridSpan w:val="5"/>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0.89</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(0.81-0.97)</w:t>
            </w:r>
          </w:p>
        </w:tc>
        <w:tc>
          <w:tcPr>
            <w:tcW w:w="1137" w:type="dxa"/>
            <w:gridSpan w:val="5"/>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0.88</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(0.83-0.92)</w:t>
            </w:r>
          </w:p>
        </w:tc>
        <w:tc>
          <w:tcPr>
            <w:tcW w:w="1238" w:type="dxa"/>
            <w:gridSpan w:val="2"/>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0.87</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(0.83-0.91)</w:t>
            </w:r>
          </w:p>
        </w:tc>
        <w:tc>
          <w:tcPr>
            <w:tcW w:w="2460" w:type="dxa"/>
            <w:gridSpan w:val="2"/>
            <w:vMerge/>
          </w:tcPr>
          <w:p w:rsidR="00DA11D2" w:rsidRPr="008906E7" w:rsidRDefault="00DA11D2">
            <w:pPr>
              <w:rPr>
                <w:rFonts w:cstheme="minorHAnsi"/>
                <w:sz w:val="20"/>
                <w:szCs w:val="20"/>
              </w:rPr>
            </w:pPr>
          </w:p>
        </w:tc>
      </w:tr>
      <w:tr w:rsidR="006C466F" w:rsidRPr="00A47F4F" w:rsidTr="00ED3483">
        <w:trPr>
          <w:trHeight w:val="100"/>
        </w:trPr>
        <w:tc>
          <w:tcPr>
            <w:tcW w:w="1752" w:type="dxa"/>
            <w:vMerge/>
          </w:tcPr>
          <w:p w:rsidR="00DA11D2" w:rsidRPr="008906E7" w:rsidRDefault="00DA11D2">
            <w:pPr>
              <w:tabs>
                <w:tab w:val="left" w:pos="567"/>
              </w:tabs>
              <w:rPr>
                <w:rFonts w:cstheme="minorHAnsi"/>
                <w:sz w:val="20"/>
                <w:szCs w:val="20"/>
              </w:rPr>
            </w:pPr>
          </w:p>
        </w:tc>
        <w:tc>
          <w:tcPr>
            <w:tcW w:w="1459" w:type="dxa"/>
            <w:gridSpan w:val="9"/>
          </w:tcPr>
          <w:p w:rsidR="00DA11D2" w:rsidRPr="008906E7" w:rsidRDefault="00DA11D2">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paritaprevir</w:t>
            </w:r>
            <w:proofErr w:type="spellEnd"/>
          </w:p>
        </w:tc>
        <w:tc>
          <w:tcPr>
            <w:tcW w:w="1134" w:type="dxa"/>
            <w:gridSpan w:val="5"/>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1.40</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(1.12-1.74)</w:t>
            </w:r>
          </w:p>
        </w:tc>
        <w:tc>
          <w:tcPr>
            <w:tcW w:w="1137" w:type="dxa"/>
            <w:gridSpan w:val="5"/>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1.22</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(1.05-1.41)</w:t>
            </w:r>
          </w:p>
        </w:tc>
        <w:tc>
          <w:tcPr>
            <w:tcW w:w="1238" w:type="dxa"/>
            <w:gridSpan w:val="2"/>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1.06</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(0.85-1.32)</w:t>
            </w:r>
          </w:p>
        </w:tc>
        <w:tc>
          <w:tcPr>
            <w:tcW w:w="2460" w:type="dxa"/>
            <w:gridSpan w:val="2"/>
            <w:vMerge/>
          </w:tcPr>
          <w:p w:rsidR="00DA11D2" w:rsidRPr="008906E7" w:rsidRDefault="00DA11D2">
            <w:pPr>
              <w:rPr>
                <w:rFonts w:cstheme="minorHAnsi"/>
                <w:sz w:val="20"/>
                <w:szCs w:val="20"/>
              </w:rPr>
            </w:pPr>
          </w:p>
        </w:tc>
      </w:tr>
      <w:tr w:rsidR="006C466F" w:rsidRPr="00A47F4F" w:rsidTr="00ED3483">
        <w:trPr>
          <w:trHeight w:val="66"/>
        </w:trPr>
        <w:tc>
          <w:tcPr>
            <w:tcW w:w="1752" w:type="dxa"/>
            <w:vMerge w:val="restart"/>
          </w:tcPr>
          <w:p w:rsidR="00DA11D2" w:rsidRPr="008906E7" w:rsidRDefault="00DA11D2">
            <w:pPr>
              <w:tabs>
                <w:tab w:val="left" w:pos="567"/>
              </w:tabs>
              <w:rPr>
                <w:rFonts w:cstheme="minorHAnsi"/>
                <w:sz w:val="20"/>
                <w:szCs w:val="20"/>
              </w:rPr>
            </w:pPr>
            <w:r w:rsidRPr="008906E7">
              <w:rPr>
                <w:rFonts w:cstheme="minorHAnsi"/>
                <w:sz w:val="20"/>
                <w:szCs w:val="20"/>
              </w:rPr>
              <w:t>Pravastatin</w:t>
            </w:r>
          </w:p>
          <w:p w:rsidR="00DA11D2" w:rsidRPr="008906E7" w:rsidRDefault="00DA11D2" w:rsidP="001E0E8A">
            <w:pPr>
              <w:tabs>
                <w:tab w:val="left" w:pos="567"/>
              </w:tabs>
              <w:rPr>
                <w:rFonts w:cstheme="minorHAnsi"/>
                <w:sz w:val="20"/>
                <w:szCs w:val="20"/>
              </w:rPr>
            </w:pPr>
            <w:r w:rsidRPr="008906E7">
              <w:rPr>
                <w:rFonts w:cstheme="minorHAnsi"/>
                <w:sz w:val="20"/>
                <w:szCs w:val="20"/>
              </w:rPr>
              <w:t>10</w:t>
            </w:r>
            <w:r>
              <w:rPr>
                <w:rFonts w:cstheme="minorHAnsi"/>
                <w:sz w:val="20"/>
                <w:szCs w:val="20"/>
              </w:rPr>
              <w:t xml:space="preserve"> </w:t>
            </w:r>
            <w:r w:rsidRPr="008906E7">
              <w:rPr>
                <w:rFonts w:cstheme="minorHAnsi"/>
                <w:sz w:val="20"/>
                <w:szCs w:val="20"/>
              </w:rPr>
              <w:t xml:space="preserve">mg once daily </w:t>
            </w:r>
          </w:p>
        </w:tc>
        <w:tc>
          <w:tcPr>
            <w:tcW w:w="1459" w:type="dxa"/>
            <w:gridSpan w:val="9"/>
          </w:tcPr>
          <w:p w:rsidR="00DA11D2" w:rsidRPr="008906E7" w:rsidRDefault="00DA11D2">
            <w:pPr>
              <w:rPr>
                <w:rFonts w:cstheme="minorHAnsi"/>
                <w:sz w:val="20"/>
                <w:szCs w:val="20"/>
              </w:rPr>
            </w:pPr>
          </w:p>
        </w:tc>
        <w:tc>
          <w:tcPr>
            <w:tcW w:w="1134" w:type="dxa"/>
            <w:gridSpan w:val="5"/>
          </w:tcPr>
          <w:p w:rsidR="00DA11D2" w:rsidRPr="008906E7" w:rsidRDefault="00DA11D2">
            <w:pPr>
              <w:tabs>
                <w:tab w:val="left" w:pos="567"/>
              </w:tabs>
              <w:jc w:val="center"/>
              <w:rPr>
                <w:rFonts w:ascii="Calibri" w:hAnsi="Calibri" w:cs="Calibri"/>
                <w:sz w:val="20"/>
                <w:szCs w:val="20"/>
                <w:vertAlign w:val="subscript"/>
              </w:rPr>
            </w:pPr>
            <w:proofErr w:type="spellStart"/>
            <w:r w:rsidRPr="008906E7">
              <w:rPr>
                <w:rFonts w:ascii="Calibri" w:hAnsi="Calibri" w:cs="Calibri"/>
                <w:sz w:val="20"/>
                <w:szCs w:val="20"/>
              </w:rPr>
              <w:t>C</w:t>
            </w:r>
            <w:r w:rsidRPr="008906E7">
              <w:rPr>
                <w:rFonts w:ascii="Calibri" w:hAnsi="Calibri" w:cs="Calibri"/>
                <w:sz w:val="20"/>
                <w:szCs w:val="20"/>
                <w:vertAlign w:val="subscript"/>
              </w:rPr>
              <w:t>max</w:t>
            </w:r>
            <w:proofErr w:type="spellEnd"/>
          </w:p>
        </w:tc>
        <w:tc>
          <w:tcPr>
            <w:tcW w:w="1137" w:type="dxa"/>
            <w:gridSpan w:val="5"/>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AUC</w:t>
            </w:r>
          </w:p>
        </w:tc>
        <w:tc>
          <w:tcPr>
            <w:tcW w:w="1238" w:type="dxa"/>
            <w:gridSpan w:val="2"/>
          </w:tcPr>
          <w:p w:rsidR="00DA11D2" w:rsidRPr="008906E7" w:rsidRDefault="00DA11D2">
            <w:pPr>
              <w:tabs>
                <w:tab w:val="left" w:pos="567"/>
              </w:tabs>
              <w:jc w:val="center"/>
              <w:rPr>
                <w:rFonts w:ascii="Calibri" w:hAnsi="Calibri" w:cs="Calibri"/>
                <w:sz w:val="20"/>
                <w:szCs w:val="20"/>
              </w:rPr>
            </w:pPr>
            <w:proofErr w:type="spellStart"/>
            <w:r w:rsidRPr="008906E7">
              <w:rPr>
                <w:rFonts w:ascii="Calibri" w:hAnsi="Calibri" w:cs="Calibri"/>
                <w:sz w:val="20"/>
                <w:szCs w:val="20"/>
              </w:rPr>
              <w:t>C</w:t>
            </w:r>
            <w:r w:rsidRPr="008906E7">
              <w:rPr>
                <w:rFonts w:ascii="Calibri" w:hAnsi="Calibri" w:cs="Calibri"/>
                <w:sz w:val="20"/>
                <w:szCs w:val="20"/>
                <w:vertAlign w:val="subscript"/>
              </w:rPr>
              <w:t>min</w:t>
            </w:r>
            <w:proofErr w:type="spellEnd"/>
          </w:p>
        </w:tc>
        <w:tc>
          <w:tcPr>
            <w:tcW w:w="2460" w:type="dxa"/>
            <w:gridSpan w:val="2"/>
            <w:vMerge w:val="restart"/>
          </w:tcPr>
          <w:p w:rsidR="00DA11D2" w:rsidRPr="008906E7" w:rsidRDefault="00DA11D2">
            <w:pPr>
              <w:tabs>
                <w:tab w:val="left" w:pos="567"/>
              </w:tabs>
              <w:rPr>
                <w:rFonts w:cstheme="minorHAnsi"/>
                <w:sz w:val="20"/>
                <w:szCs w:val="20"/>
              </w:rPr>
            </w:pPr>
            <w:r w:rsidRPr="008906E7">
              <w:rPr>
                <w:rFonts w:cstheme="minorHAnsi"/>
                <w:sz w:val="20"/>
                <w:szCs w:val="20"/>
              </w:rPr>
              <w:t xml:space="preserve">Mechanism:  OATP1B/CYP3A4 inhibition by </w:t>
            </w:r>
            <w:proofErr w:type="spellStart"/>
            <w:r w:rsidRPr="008906E7">
              <w:rPr>
                <w:rFonts w:cstheme="minorHAnsi"/>
                <w:sz w:val="20"/>
                <w:szCs w:val="20"/>
              </w:rPr>
              <w:t>paritaprevir</w:t>
            </w:r>
            <w:proofErr w:type="spellEnd"/>
            <w:r w:rsidRPr="008906E7">
              <w:rPr>
                <w:rFonts w:cstheme="minorHAnsi"/>
                <w:sz w:val="20"/>
                <w:szCs w:val="20"/>
              </w:rPr>
              <w:t>.</w:t>
            </w:r>
          </w:p>
          <w:p w:rsidR="00DA11D2" w:rsidRPr="008906E7" w:rsidRDefault="00DA11D2">
            <w:pPr>
              <w:tabs>
                <w:tab w:val="left" w:pos="567"/>
              </w:tabs>
              <w:rPr>
                <w:rFonts w:cstheme="minorHAnsi"/>
                <w:sz w:val="20"/>
                <w:szCs w:val="20"/>
              </w:rPr>
            </w:pPr>
            <w:r w:rsidRPr="008906E7">
              <w:rPr>
                <w:rFonts w:cstheme="minorHAnsi"/>
                <w:sz w:val="20"/>
                <w:szCs w:val="20"/>
              </w:rPr>
              <w:t>Reduce pravastatin dose by 50%.</w:t>
            </w:r>
          </w:p>
          <w:p w:rsidR="00DA11D2" w:rsidRPr="008906E7" w:rsidRDefault="00DA11D2">
            <w:pPr>
              <w:tabs>
                <w:tab w:val="left" w:pos="567"/>
              </w:tabs>
              <w:rPr>
                <w:rFonts w:cstheme="minorHAnsi"/>
                <w:sz w:val="20"/>
                <w:szCs w:val="20"/>
              </w:rPr>
            </w:pPr>
          </w:p>
        </w:tc>
      </w:tr>
      <w:tr w:rsidR="006C466F" w:rsidRPr="00A47F4F" w:rsidTr="00ED3483">
        <w:trPr>
          <w:trHeight w:val="66"/>
        </w:trPr>
        <w:tc>
          <w:tcPr>
            <w:tcW w:w="1752" w:type="dxa"/>
            <w:vMerge/>
          </w:tcPr>
          <w:p w:rsidR="00DA11D2" w:rsidRPr="008906E7" w:rsidRDefault="00DA11D2">
            <w:pPr>
              <w:tabs>
                <w:tab w:val="left" w:pos="567"/>
              </w:tabs>
              <w:rPr>
                <w:rFonts w:cstheme="minorHAnsi"/>
                <w:sz w:val="20"/>
                <w:szCs w:val="20"/>
              </w:rPr>
            </w:pPr>
          </w:p>
        </w:tc>
        <w:tc>
          <w:tcPr>
            <w:tcW w:w="1459" w:type="dxa"/>
            <w:gridSpan w:val="9"/>
          </w:tcPr>
          <w:p w:rsidR="00DA11D2" w:rsidRPr="008906E7" w:rsidRDefault="00DA11D2">
            <w:pPr>
              <w:tabs>
                <w:tab w:val="left" w:pos="567"/>
              </w:tabs>
              <w:rPr>
                <w:rFonts w:ascii="Calibri" w:hAnsi="Calibri" w:cs="Calibri"/>
                <w:sz w:val="20"/>
                <w:szCs w:val="20"/>
              </w:rPr>
            </w:pPr>
            <w:r w:rsidRPr="008906E7">
              <w:rPr>
                <w:rFonts w:ascii="Calibri" w:hAnsi="Calibri" w:cs="Calibri"/>
                <w:sz w:val="20"/>
                <w:szCs w:val="20"/>
              </w:rPr>
              <w:t>↑ pravastatin</w:t>
            </w:r>
          </w:p>
        </w:tc>
        <w:tc>
          <w:tcPr>
            <w:tcW w:w="1134" w:type="dxa"/>
            <w:gridSpan w:val="5"/>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1.43</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(1.09-1.88)</w:t>
            </w:r>
          </w:p>
        </w:tc>
        <w:tc>
          <w:tcPr>
            <w:tcW w:w="1137" w:type="dxa"/>
            <w:gridSpan w:val="5"/>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1.76</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(1.46-2.13)</w:t>
            </w:r>
          </w:p>
        </w:tc>
        <w:tc>
          <w:tcPr>
            <w:tcW w:w="1238" w:type="dxa"/>
            <w:gridSpan w:val="2"/>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NA</w:t>
            </w:r>
          </w:p>
        </w:tc>
        <w:tc>
          <w:tcPr>
            <w:tcW w:w="2460" w:type="dxa"/>
            <w:gridSpan w:val="2"/>
            <w:vMerge/>
          </w:tcPr>
          <w:p w:rsidR="00DA11D2" w:rsidRPr="008906E7" w:rsidRDefault="00DA11D2">
            <w:pPr>
              <w:rPr>
                <w:rFonts w:cstheme="minorHAnsi"/>
                <w:sz w:val="20"/>
                <w:szCs w:val="20"/>
              </w:rPr>
            </w:pPr>
          </w:p>
        </w:tc>
      </w:tr>
      <w:tr w:rsidR="006C466F" w:rsidRPr="00A47F4F" w:rsidTr="00ED3483">
        <w:trPr>
          <w:trHeight w:val="66"/>
        </w:trPr>
        <w:tc>
          <w:tcPr>
            <w:tcW w:w="1752" w:type="dxa"/>
            <w:vMerge/>
          </w:tcPr>
          <w:p w:rsidR="00DA11D2" w:rsidRPr="008906E7" w:rsidRDefault="00DA11D2">
            <w:pPr>
              <w:tabs>
                <w:tab w:val="left" w:pos="567"/>
              </w:tabs>
              <w:rPr>
                <w:rFonts w:cstheme="minorHAnsi"/>
                <w:sz w:val="20"/>
                <w:szCs w:val="20"/>
              </w:rPr>
            </w:pPr>
          </w:p>
        </w:tc>
        <w:tc>
          <w:tcPr>
            <w:tcW w:w="1459" w:type="dxa"/>
            <w:gridSpan w:val="9"/>
          </w:tcPr>
          <w:p w:rsidR="00DA11D2" w:rsidRPr="008906E7" w:rsidRDefault="00DA11D2">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ombitasvir</w:t>
            </w:r>
            <w:proofErr w:type="spellEnd"/>
          </w:p>
        </w:tc>
        <w:tc>
          <w:tcPr>
            <w:tcW w:w="1134" w:type="dxa"/>
            <w:gridSpan w:val="5"/>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0.98</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(0.90-1.06)</w:t>
            </w:r>
          </w:p>
        </w:tc>
        <w:tc>
          <w:tcPr>
            <w:tcW w:w="1137" w:type="dxa"/>
            <w:gridSpan w:val="5"/>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0.94</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(0.88-1.02)</w:t>
            </w:r>
          </w:p>
        </w:tc>
        <w:tc>
          <w:tcPr>
            <w:tcW w:w="1238" w:type="dxa"/>
            <w:gridSpan w:val="2"/>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0.97</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(0.90-1.03)</w:t>
            </w:r>
          </w:p>
        </w:tc>
        <w:tc>
          <w:tcPr>
            <w:tcW w:w="2460" w:type="dxa"/>
            <w:gridSpan w:val="2"/>
            <w:vMerge/>
          </w:tcPr>
          <w:p w:rsidR="00DA11D2" w:rsidRPr="008906E7" w:rsidRDefault="00DA11D2">
            <w:pPr>
              <w:rPr>
                <w:rFonts w:cstheme="minorHAnsi"/>
                <w:sz w:val="20"/>
                <w:szCs w:val="20"/>
              </w:rPr>
            </w:pPr>
          </w:p>
        </w:tc>
      </w:tr>
      <w:tr w:rsidR="006C466F" w:rsidRPr="00A47F4F" w:rsidTr="00ED3483">
        <w:trPr>
          <w:trHeight w:val="66"/>
        </w:trPr>
        <w:tc>
          <w:tcPr>
            <w:tcW w:w="1752" w:type="dxa"/>
          </w:tcPr>
          <w:p w:rsidR="00DA11D2" w:rsidRPr="008906E7" w:rsidRDefault="00DA11D2">
            <w:pPr>
              <w:tabs>
                <w:tab w:val="left" w:pos="567"/>
              </w:tabs>
              <w:rPr>
                <w:rFonts w:cstheme="minorHAnsi"/>
                <w:sz w:val="20"/>
                <w:szCs w:val="20"/>
              </w:rPr>
            </w:pPr>
          </w:p>
        </w:tc>
        <w:tc>
          <w:tcPr>
            <w:tcW w:w="1459" w:type="dxa"/>
            <w:gridSpan w:val="9"/>
          </w:tcPr>
          <w:p w:rsidR="00DA11D2" w:rsidRPr="008906E7" w:rsidRDefault="00DA11D2">
            <w:pPr>
              <w:tabs>
                <w:tab w:val="left" w:pos="567"/>
              </w:tabs>
              <w:rPr>
                <w:rFonts w:ascii="Calibri" w:hAnsi="Calibri" w:cs="Calibri"/>
                <w:sz w:val="20"/>
                <w:szCs w:val="20"/>
              </w:rPr>
            </w:pPr>
            <w:r w:rsidRPr="008906E7">
              <w:rPr>
                <w:rFonts w:ascii="Calibri" w:hAnsi="Calibri" w:cs="Calibri"/>
                <w:sz w:val="20"/>
                <w:szCs w:val="20"/>
              </w:rPr>
              <w:t xml:space="preserve">↑ </w:t>
            </w:r>
            <w:proofErr w:type="spellStart"/>
            <w:r w:rsidRPr="008906E7">
              <w:rPr>
                <w:rFonts w:ascii="Calibri" w:hAnsi="Calibri" w:cs="Calibri"/>
                <w:sz w:val="20"/>
                <w:szCs w:val="20"/>
              </w:rPr>
              <w:t>paritaprevir</w:t>
            </w:r>
            <w:proofErr w:type="spellEnd"/>
          </w:p>
        </w:tc>
        <w:tc>
          <w:tcPr>
            <w:tcW w:w="1134" w:type="dxa"/>
            <w:gridSpan w:val="5"/>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1.44</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(1.15-1.81)</w:t>
            </w:r>
          </w:p>
        </w:tc>
        <w:tc>
          <w:tcPr>
            <w:tcW w:w="1137" w:type="dxa"/>
            <w:gridSpan w:val="5"/>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1.33</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(1.09-1.62)</w:t>
            </w:r>
          </w:p>
        </w:tc>
        <w:tc>
          <w:tcPr>
            <w:tcW w:w="1238" w:type="dxa"/>
            <w:gridSpan w:val="2"/>
          </w:tcPr>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1.28</w:t>
            </w:r>
          </w:p>
          <w:p w:rsidR="00DA11D2" w:rsidRPr="008906E7" w:rsidRDefault="00DA11D2">
            <w:pPr>
              <w:tabs>
                <w:tab w:val="left" w:pos="567"/>
              </w:tabs>
              <w:jc w:val="center"/>
              <w:rPr>
                <w:rFonts w:ascii="Calibri" w:hAnsi="Calibri" w:cs="Calibri"/>
                <w:sz w:val="20"/>
                <w:szCs w:val="20"/>
              </w:rPr>
            </w:pPr>
            <w:r w:rsidRPr="008906E7">
              <w:rPr>
                <w:rFonts w:ascii="Calibri" w:hAnsi="Calibri" w:cs="Calibri"/>
                <w:sz w:val="20"/>
                <w:szCs w:val="20"/>
              </w:rPr>
              <w:t>(0.83-1.96)</w:t>
            </w:r>
          </w:p>
        </w:tc>
        <w:tc>
          <w:tcPr>
            <w:tcW w:w="2460" w:type="dxa"/>
            <w:gridSpan w:val="2"/>
            <w:vMerge/>
          </w:tcPr>
          <w:p w:rsidR="00DA11D2" w:rsidRPr="008906E7" w:rsidRDefault="00DA11D2">
            <w:pPr>
              <w:rPr>
                <w:rFonts w:cstheme="minorHAnsi"/>
                <w:sz w:val="20"/>
                <w:szCs w:val="20"/>
              </w:rPr>
            </w:pPr>
          </w:p>
        </w:tc>
      </w:tr>
      <w:tr w:rsidR="00DA11D2" w:rsidRPr="00A47F4F" w:rsidTr="000D4A1F">
        <w:tc>
          <w:tcPr>
            <w:tcW w:w="9180" w:type="dxa"/>
            <w:gridSpan w:val="24"/>
          </w:tcPr>
          <w:p w:rsidR="00DA11D2" w:rsidRPr="002A790B" w:rsidRDefault="00DA11D2">
            <w:pPr>
              <w:rPr>
                <w:rFonts w:cstheme="minorHAnsi"/>
                <w:b/>
                <w:sz w:val="20"/>
                <w:szCs w:val="20"/>
              </w:rPr>
            </w:pPr>
            <w:r w:rsidRPr="002A790B">
              <w:rPr>
                <w:sz w:val="20"/>
                <w:szCs w:val="20"/>
              </w:rPr>
              <w:lastRenderedPageBreak/>
              <w:br w:type="page"/>
            </w:r>
            <w:proofErr w:type="spellStart"/>
            <w:r w:rsidRPr="002A790B">
              <w:rPr>
                <w:rFonts w:cstheme="minorHAnsi"/>
                <w:b/>
                <w:sz w:val="20"/>
                <w:szCs w:val="20"/>
              </w:rPr>
              <w:t>Immunosuppressants</w:t>
            </w:r>
            <w:proofErr w:type="spellEnd"/>
          </w:p>
        </w:tc>
      </w:tr>
      <w:tr w:rsidR="006C466F" w:rsidRPr="00A47F4F" w:rsidTr="00ED3483">
        <w:trPr>
          <w:trHeight w:val="134"/>
        </w:trPr>
        <w:tc>
          <w:tcPr>
            <w:tcW w:w="1752" w:type="dxa"/>
            <w:vMerge w:val="restart"/>
          </w:tcPr>
          <w:p w:rsidR="00DA11D2" w:rsidRPr="002A790B" w:rsidRDefault="00DA11D2">
            <w:pPr>
              <w:tabs>
                <w:tab w:val="left" w:pos="567"/>
              </w:tabs>
              <w:rPr>
                <w:rFonts w:cstheme="minorHAnsi"/>
                <w:sz w:val="20"/>
                <w:szCs w:val="20"/>
              </w:rPr>
            </w:pPr>
            <w:r w:rsidRPr="002A790B">
              <w:rPr>
                <w:rFonts w:cstheme="minorHAnsi"/>
                <w:sz w:val="20"/>
                <w:szCs w:val="20"/>
              </w:rPr>
              <w:t>Cyclosporine</w:t>
            </w:r>
          </w:p>
          <w:p w:rsidR="00DA11D2" w:rsidRPr="002A790B" w:rsidRDefault="00DA11D2" w:rsidP="001E0E8A">
            <w:pPr>
              <w:tabs>
                <w:tab w:val="left" w:pos="567"/>
              </w:tabs>
              <w:rPr>
                <w:rFonts w:cstheme="minorHAnsi"/>
                <w:sz w:val="20"/>
                <w:szCs w:val="20"/>
              </w:rPr>
            </w:pPr>
            <w:r w:rsidRPr="002A790B">
              <w:rPr>
                <w:rFonts w:cstheme="minorHAnsi"/>
                <w:sz w:val="20"/>
                <w:szCs w:val="20"/>
              </w:rPr>
              <w:t>30</w:t>
            </w:r>
            <w:r>
              <w:rPr>
                <w:rFonts w:cstheme="minorHAnsi"/>
                <w:sz w:val="20"/>
                <w:szCs w:val="20"/>
              </w:rPr>
              <w:t xml:space="preserve"> </w:t>
            </w:r>
            <w:r w:rsidRPr="002A790B">
              <w:rPr>
                <w:rFonts w:cstheme="minorHAnsi"/>
                <w:sz w:val="20"/>
                <w:szCs w:val="20"/>
              </w:rPr>
              <w:t>mg once daily single dose</w:t>
            </w:r>
            <w:r w:rsidRPr="002A790B">
              <w:rPr>
                <w:rFonts w:cstheme="minorHAnsi"/>
                <w:sz w:val="20"/>
                <w:szCs w:val="20"/>
                <w:vertAlign w:val="superscript"/>
              </w:rPr>
              <w:t>4</w:t>
            </w:r>
          </w:p>
        </w:tc>
        <w:tc>
          <w:tcPr>
            <w:tcW w:w="1459" w:type="dxa"/>
            <w:gridSpan w:val="9"/>
          </w:tcPr>
          <w:p w:rsidR="00DA11D2" w:rsidRPr="002A790B" w:rsidRDefault="00DA11D2">
            <w:pPr>
              <w:rPr>
                <w:rFonts w:cstheme="minorHAnsi"/>
                <w:sz w:val="20"/>
                <w:szCs w:val="20"/>
              </w:rPr>
            </w:pPr>
          </w:p>
        </w:tc>
        <w:tc>
          <w:tcPr>
            <w:tcW w:w="1134" w:type="dxa"/>
            <w:gridSpan w:val="5"/>
          </w:tcPr>
          <w:p w:rsidR="00DA11D2" w:rsidRPr="002A790B" w:rsidRDefault="00DA11D2">
            <w:pPr>
              <w:tabs>
                <w:tab w:val="left" w:pos="567"/>
              </w:tabs>
              <w:jc w:val="center"/>
              <w:rPr>
                <w:rFonts w:ascii="Calibri" w:hAnsi="Calibri" w:cs="Calibri"/>
                <w:sz w:val="20"/>
                <w:szCs w:val="20"/>
                <w:vertAlign w:val="subscript"/>
              </w:rPr>
            </w:pPr>
            <w:proofErr w:type="spellStart"/>
            <w:r w:rsidRPr="002A790B">
              <w:rPr>
                <w:rFonts w:ascii="Calibri" w:hAnsi="Calibri" w:cs="Calibri"/>
                <w:sz w:val="20"/>
                <w:szCs w:val="20"/>
              </w:rPr>
              <w:t>C</w:t>
            </w:r>
            <w:r w:rsidRPr="002A790B">
              <w:rPr>
                <w:rFonts w:ascii="Calibri" w:hAnsi="Calibri" w:cs="Calibri"/>
                <w:sz w:val="20"/>
                <w:szCs w:val="20"/>
                <w:vertAlign w:val="subscript"/>
              </w:rPr>
              <w:t>max</w:t>
            </w:r>
            <w:proofErr w:type="spellEnd"/>
          </w:p>
        </w:tc>
        <w:tc>
          <w:tcPr>
            <w:tcW w:w="1137"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AUC</w:t>
            </w:r>
          </w:p>
        </w:tc>
        <w:tc>
          <w:tcPr>
            <w:tcW w:w="1238" w:type="dxa"/>
            <w:gridSpan w:val="2"/>
          </w:tcPr>
          <w:p w:rsidR="00DA11D2" w:rsidRPr="002A790B" w:rsidRDefault="00DA11D2">
            <w:pPr>
              <w:tabs>
                <w:tab w:val="left" w:pos="567"/>
              </w:tabs>
              <w:jc w:val="center"/>
              <w:rPr>
                <w:rFonts w:ascii="Calibri" w:hAnsi="Calibri" w:cs="Calibri"/>
                <w:sz w:val="20"/>
                <w:szCs w:val="20"/>
              </w:rPr>
            </w:pPr>
            <w:proofErr w:type="spellStart"/>
            <w:r w:rsidRPr="002A790B">
              <w:rPr>
                <w:rFonts w:ascii="Calibri" w:hAnsi="Calibri" w:cs="Calibri"/>
                <w:sz w:val="20"/>
                <w:szCs w:val="20"/>
              </w:rPr>
              <w:t>C</w:t>
            </w:r>
            <w:r w:rsidRPr="002A790B">
              <w:rPr>
                <w:rFonts w:ascii="Calibri" w:hAnsi="Calibri" w:cs="Calibri"/>
                <w:sz w:val="20"/>
                <w:szCs w:val="20"/>
                <w:vertAlign w:val="subscript"/>
              </w:rPr>
              <w:t>min</w:t>
            </w:r>
            <w:proofErr w:type="spellEnd"/>
          </w:p>
        </w:tc>
        <w:tc>
          <w:tcPr>
            <w:tcW w:w="2460" w:type="dxa"/>
            <w:gridSpan w:val="2"/>
            <w:vMerge w:val="restart"/>
          </w:tcPr>
          <w:p w:rsidR="00DA11D2" w:rsidRPr="002A790B" w:rsidRDefault="00DA11D2">
            <w:pPr>
              <w:tabs>
                <w:tab w:val="left" w:pos="567"/>
              </w:tabs>
              <w:rPr>
                <w:rFonts w:cstheme="minorHAnsi"/>
                <w:sz w:val="20"/>
                <w:szCs w:val="20"/>
              </w:rPr>
            </w:pPr>
            <w:r w:rsidRPr="002A790B">
              <w:rPr>
                <w:rFonts w:cstheme="minorHAnsi"/>
                <w:sz w:val="20"/>
                <w:szCs w:val="20"/>
              </w:rPr>
              <w:t xml:space="preserve">When starting </w:t>
            </w:r>
            <w:proofErr w:type="spellStart"/>
            <w:r w:rsidRPr="002A790B">
              <w:rPr>
                <w:rFonts w:cstheme="minorHAnsi"/>
                <w:sz w:val="20"/>
                <w:szCs w:val="20"/>
              </w:rPr>
              <w:t>coadministration</w:t>
            </w:r>
            <w:proofErr w:type="spellEnd"/>
            <w:r w:rsidRPr="002A790B">
              <w:rPr>
                <w:rFonts w:cstheme="minorHAnsi"/>
                <w:sz w:val="20"/>
                <w:szCs w:val="20"/>
              </w:rPr>
              <w:t xml:space="preserve"> with TECHNIVIE, give one fifth of the total daily dose of </w:t>
            </w:r>
            <w:proofErr w:type="spellStart"/>
            <w:r w:rsidRPr="002A790B">
              <w:rPr>
                <w:rFonts w:cstheme="minorHAnsi"/>
                <w:sz w:val="20"/>
                <w:szCs w:val="20"/>
              </w:rPr>
              <w:t>ciclosporin</w:t>
            </w:r>
            <w:proofErr w:type="spellEnd"/>
            <w:r w:rsidRPr="002A790B">
              <w:rPr>
                <w:rFonts w:cstheme="minorHAnsi"/>
                <w:sz w:val="20"/>
                <w:szCs w:val="20"/>
              </w:rPr>
              <w:t xml:space="preserve"> once daily with TECHNIVIE.  Monitor </w:t>
            </w:r>
            <w:proofErr w:type="spellStart"/>
            <w:r w:rsidRPr="002A790B">
              <w:rPr>
                <w:rFonts w:cstheme="minorHAnsi"/>
                <w:sz w:val="20"/>
                <w:szCs w:val="20"/>
              </w:rPr>
              <w:t>ciclosporin</w:t>
            </w:r>
            <w:proofErr w:type="spellEnd"/>
            <w:r w:rsidRPr="002A790B">
              <w:rPr>
                <w:rFonts w:cstheme="minorHAnsi"/>
                <w:sz w:val="20"/>
                <w:szCs w:val="20"/>
              </w:rPr>
              <w:t xml:space="preserve"> levels and adjust dose and/or dosing frequency as needed.</w:t>
            </w:r>
          </w:p>
        </w:tc>
      </w:tr>
      <w:tr w:rsidR="006C466F" w:rsidRPr="00A47F4F" w:rsidTr="00ED3483">
        <w:trPr>
          <w:trHeight w:val="134"/>
        </w:trPr>
        <w:tc>
          <w:tcPr>
            <w:tcW w:w="1752" w:type="dxa"/>
            <w:vMerge/>
          </w:tcPr>
          <w:p w:rsidR="00DA11D2" w:rsidRPr="002A790B" w:rsidRDefault="00DA11D2">
            <w:pPr>
              <w:rPr>
                <w:rFonts w:cstheme="minorHAnsi"/>
                <w:sz w:val="20"/>
                <w:szCs w:val="20"/>
              </w:rPr>
            </w:pPr>
          </w:p>
        </w:tc>
        <w:tc>
          <w:tcPr>
            <w:tcW w:w="1459" w:type="dxa"/>
            <w:gridSpan w:val="9"/>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xml:space="preserve">↑ </w:t>
            </w:r>
            <w:proofErr w:type="spellStart"/>
            <w:r w:rsidRPr="002A790B">
              <w:rPr>
                <w:rFonts w:ascii="Calibri" w:hAnsi="Calibri" w:cs="Calibri"/>
                <w:sz w:val="20"/>
                <w:szCs w:val="20"/>
              </w:rPr>
              <w:t>ciciclosporin</w:t>
            </w:r>
            <w:proofErr w:type="spellEnd"/>
          </w:p>
        </w:tc>
        <w:tc>
          <w:tcPr>
            <w:tcW w:w="1134"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0.83</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(0.72-0.94)</w:t>
            </w:r>
          </w:p>
        </w:tc>
        <w:tc>
          <w:tcPr>
            <w:tcW w:w="1137"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4.28</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(3.66-5.01)</w:t>
            </w:r>
          </w:p>
        </w:tc>
        <w:tc>
          <w:tcPr>
            <w:tcW w:w="1238" w:type="dxa"/>
            <w:gridSpan w:val="2"/>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12.85</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(10.61-15.55)</w:t>
            </w:r>
          </w:p>
        </w:tc>
        <w:tc>
          <w:tcPr>
            <w:tcW w:w="2460" w:type="dxa"/>
            <w:gridSpan w:val="2"/>
            <w:vMerge/>
          </w:tcPr>
          <w:p w:rsidR="00DA11D2" w:rsidRPr="002A790B" w:rsidRDefault="00DA11D2">
            <w:pPr>
              <w:rPr>
                <w:rFonts w:cstheme="minorHAnsi"/>
                <w:sz w:val="20"/>
                <w:szCs w:val="20"/>
              </w:rPr>
            </w:pPr>
          </w:p>
        </w:tc>
      </w:tr>
      <w:tr w:rsidR="006C466F" w:rsidRPr="00A47F4F" w:rsidTr="00ED3483">
        <w:trPr>
          <w:trHeight w:val="134"/>
        </w:trPr>
        <w:tc>
          <w:tcPr>
            <w:tcW w:w="1752" w:type="dxa"/>
            <w:vMerge/>
          </w:tcPr>
          <w:p w:rsidR="00DA11D2" w:rsidRPr="002A790B" w:rsidRDefault="00DA11D2">
            <w:pPr>
              <w:rPr>
                <w:rFonts w:cstheme="minorHAnsi"/>
                <w:sz w:val="20"/>
                <w:szCs w:val="20"/>
              </w:rPr>
            </w:pPr>
          </w:p>
        </w:tc>
        <w:tc>
          <w:tcPr>
            <w:tcW w:w="1459" w:type="dxa"/>
            <w:gridSpan w:val="9"/>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xml:space="preserve">↔ </w:t>
            </w:r>
            <w:proofErr w:type="spellStart"/>
            <w:r w:rsidRPr="002A790B">
              <w:rPr>
                <w:rFonts w:ascii="Calibri" w:hAnsi="Calibri" w:cs="Calibri"/>
                <w:sz w:val="20"/>
                <w:szCs w:val="20"/>
              </w:rPr>
              <w:t>ombitasvir</w:t>
            </w:r>
            <w:proofErr w:type="spellEnd"/>
          </w:p>
        </w:tc>
        <w:tc>
          <w:tcPr>
            <w:tcW w:w="1134"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1.06</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(1.02-1.11)</w:t>
            </w:r>
          </w:p>
        </w:tc>
        <w:tc>
          <w:tcPr>
            <w:tcW w:w="1137"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1.10</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(1.07-1.12)</w:t>
            </w:r>
          </w:p>
        </w:tc>
        <w:tc>
          <w:tcPr>
            <w:tcW w:w="1238" w:type="dxa"/>
            <w:gridSpan w:val="2"/>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1.10</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(1.06-1.14)</w:t>
            </w:r>
          </w:p>
        </w:tc>
        <w:tc>
          <w:tcPr>
            <w:tcW w:w="2460" w:type="dxa"/>
            <w:gridSpan w:val="2"/>
            <w:vMerge/>
          </w:tcPr>
          <w:p w:rsidR="00DA11D2" w:rsidRPr="002A790B" w:rsidRDefault="00DA11D2">
            <w:pPr>
              <w:rPr>
                <w:rFonts w:cstheme="minorHAnsi"/>
                <w:sz w:val="20"/>
                <w:szCs w:val="20"/>
              </w:rPr>
            </w:pPr>
          </w:p>
        </w:tc>
      </w:tr>
      <w:tr w:rsidR="006C466F" w:rsidRPr="00A47F4F" w:rsidTr="00ED3483">
        <w:trPr>
          <w:trHeight w:val="134"/>
        </w:trPr>
        <w:tc>
          <w:tcPr>
            <w:tcW w:w="1752" w:type="dxa"/>
            <w:vMerge/>
          </w:tcPr>
          <w:p w:rsidR="00DA11D2" w:rsidRPr="002A790B" w:rsidRDefault="00DA11D2">
            <w:pPr>
              <w:rPr>
                <w:rFonts w:cstheme="minorHAnsi"/>
                <w:sz w:val="20"/>
                <w:szCs w:val="20"/>
              </w:rPr>
            </w:pPr>
          </w:p>
        </w:tc>
        <w:tc>
          <w:tcPr>
            <w:tcW w:w="1459" w:type="dxa"/>
            <w:gridSpan w:val="9"/>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xml:space="preserve">↑ </w:t>
            </w:r>
            <w:proofErr w:type="spellStart"/>
            <w:r w:rsidRPr="002A790B">
              <w:rPr>
                <w:rFonts w:ascii="Calibri" w:hAnsi="Calibri" w:cs="Calibri"/>
                <w:sz w:val="20"/>
                <w:szCs w:val="20"/>
              </w:rPr>
              <w:t>paritaprevir</w:t>
            </w:r>
            <w:proofErr w:type="spellEnd"/>
          </w:p>
        </w:tc>
        <w:tc>
          <w:tcPr>
            <w:tcW w:w="1134"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1.39</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(1.10-1.75)</w:t>
            </w:r>
          </w:p>
        </w:tc>
        <w:tc>
          <w:tcPr>
            <w:tcW w:w="1137"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1.46</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(1.29-1.64)</w:t>
            </w:r>
          </w:p>
        </w:tc>
        <w:tc>
          <w:tcPr>
            <w:tcW w:w="1238" w:type="dxa"/>
            <w:gridSpan w:val="2"/>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1.18</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(1.08-1.30)</w:t>
            </w:r>
          </w:p>
        </w:tc>
        <w:tc>
          <w:tcPr>
            <w:tcW w:w="2460" w:type="dxa"/>
            <w:gridSpan w:val="2"/>
            <w:vMerge/>
          </w:tcPr>
          <w:p w:rsidR="00DA11D2" w:rsidRPr="002A790B" w:rsidRDefault="00DA11D2">
            <w:pPr>
              <w:rPr>
                <w:rFonts w:cstheme="minorHAnsi"/>
                <w:sz w:val="20"/>
                <w:szCs w:val="20"/>
              </w:rPr>
            </w:pPr>
          </w:p>
        </w:tc>
      </w:tr>
      <w:tr w:rsidR="006C466F" w:rsidRPr="00A47F4F" w:rsidTr="00ED3483">
        <w:trPr>
          <w:trHeight w:val="66"/>
        </w:trPr>
        <w:tc>
          <w:tcPr>
            <w:tcW w:w="1752" w:type="dxa"/>
            <w:vMerge w:val="restart"/>
          </w:tcPr>
          <w:p w:rsidR="00DA11D2" w:rsidRPr="002A790B" w:rsidRDefault="00DA11D2">
            <w:pPr>
              <w:tabs>
                <w:tab w:val="left" w:pos="567"/>
              </w:tabs>
              <w:rPr>
                <w:rFonts w:cstheme="minorHAnsi"/>
                <w:sz w:val="20"/>
                <w:szCs w:val="20"/>
              </w:rPr>
            </w:pPr>
            <w:r w:rsidRPr="002A790B">
              <w:rPr>
                <w:rFonts w:cstheme="minorHAnsi"/>
                <w:sz w:val="20"/>
                <w:szCs w:val="20"/>
              </w:rPr>
              <w:t>Tacrolimus</w:t>
            </w:r>
          </w:p>
          <w:p w:rsidR="00DA11D2" w:rsidRPr="002A790B" w:rsidRDefault="00DA11D2" w:rsidP="001E0E8A">
            <w:pPr>
              <w:tabs>
                <w:tab w:val="left" w:pos="567"/>
              </w:tabs>
              <w:rPr>
                <w:rFonts w:cstheme="minorHAnsi"/>
                <w:sz w:val="20"/>
                <w:szCs w:val="20"/>
              </w:rPr>
            </w:pPr>
            <w:r w:rsidRPr="002A790B">
              <w:rPr>
                <w:rFonts w:cstheme="minorHAnsi"/>
                <w:sz w:val="20"/>
                <w:szCs w:val="20"/>
              </w:rPr>
              <w:t>2</w:t>
            </w:r>
            <w:r>
              <w:rPr>
                <w:rFonts w:cstheme="minorHAnsi"/>
                <w:sz w:val="20"/>
                <w:szCs w:val="20"/>
              </w:rPr>
              <w:t xml:space="preserve"> </w:t>
            </w:r>
            <w:r w:rsidRPr="002A790B">
              <w:rPr>
                <w:rFonts w:cstheme="minorHAnsi"/>
                <w:sz w:val="20"/>
                <w:szCs w:val="20"/>
              </w:rPr>
              <w:t>mg single dose</w:t>
            </w:r>
            <w:r w:rsidRPr="002A790B">
              <w:rPr>
                <w:rFonts w:cstheme="minorHAnsi"/>
                <w:sz w:val="20"/>
                <w:szCs w:val="20"/>
                <w:vertAlign w:val="superscript"/>
              </w:rPr>
              <w:t>5</w:t>
            </w:r>
          </w:p>
        </w:tc>
        <w:tc>
          <w:tcPr>
            <w:tcW w:w="1459" w:type="dxa"/>
            <w:gridSpan w:val="9"/>
          </w:tcPr>
          <w:p w:rsidR="00DA11D2" w:rsidRPr="002A790B" w:rsidRDefault="00DA11D2">
            <w:pPr>
              <w:tabs>
                <w:tab w:val="left" w:pos="567"/>
              </w:tabs>
              <w:rPr>
                <w:rFonts w:ascii="Calibri" w:hAnsi="Calibri" w:cs="Calibri"/>
                <w:sz w:val="20"/>
                <w:szCs w:val="20"/>
              </w:rPr>
            </w:pPr>
          </w:p>
        </w:tc>
        <w:tc>
          <w:tcPr>
            <w:tcW w:w="1134" w:type="dxa"/>
            <w:gridSpan w:val="5"/>
          </w:tcPr>
          <w:p w:rsidR="00DA11D2" w:rsidRPr="002A790B" w:rsidRDefault="00DA11D2">
            <w:pPr>
              <w:tabs>
                <w:tab w:val="left" w:pos="567"/>
              </w:tabs>
              <w:jc w:val="center"/>
              <w:rPr>
                <w:rFonts w:ascii="Calibri" w:hAnsi="Calibri" w:cs="Calibri"/>
                <w:sz w:val="20"/>
                <w:szCs w:val="20"/>
                <w:vertAlign w:val="subscript"/>
              </w:rPr>
            </w:pPr>
            <w:proofErr w:type="spellStart"/>
            <w:r w:rsidRPr="002A790B">
              <w:rPr>
                <w:rFonts w:ascii="Calibri" w:hAnsi="Calibri" w:cs="Calibri"/>
                <w:sz w:val="20"/>
                <w:szCs w:val="20"/>
              </w:rPr>
              <w:t>C</w:t>
            </w:r>
            <w:r w:rsidRPr="002A790B">
              <w:rPr>
                <w:rFonts w:ascii="Calibri" w:hAnsi="Calibri" w:cs="Calibri"/>
                <w:sz w:val="20"/>
                <w:szCs w:val="20"/>
                <w:vertAlign w:val="subscript"/>
              </w:rPr>
              <w:t>max</w:t>
            </w:r>
            <w:proofErr w:type="spellEnd"/>
          </w:p>
        </w:tc>
        <w:tc>
          <w:tcPr>
            <w:tcW w:w="1137"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AUC</w:t>
            </w:r>
          </w:p>
        </w:tc>
        <w:tc>
          <w:tcPr>
            <w:tcW w:w="1238" w:type="dxa"/>
            <w:gridSpan w:val="2"/>
          </w:tcPr>
          <w:p w:rsidR="00DA11D2" w:rsidRPr="002A790B" w:rsidRDefault="00DA11D2">
            <w:pPr>
              <w:tabs>
                <w:tab w:val="left" w:pos="567"/>
              </w:tabs>
              <w:jc w:val="center"/>
              <w:rPr>
                <w:rFonts w:ascii="Calibri" w:hAnsi="Calibri" w:cs="Calibri"/>
                <w:sz w:val="20"/>
                <w:szCs w:val="20"/>
              </w:rPr>
            </w:pPr>
            <w:proofErr w:type="spellStart"/>
            <w:r w:rsidRPr="002A790B">
              <w:rPr>
                <w:rFonts w:ascii="Calibri" w:hAnsi="Calibri" w:cs="Calibri"/>
                <w:sz w:val="20"/>
                <w:szCs w:val="20"/>
              </w:rPr>
              <w:t>C</w:t>
            </w:r>
            <w:r w:rsidRPr="002A790B">
              <w:rPr>
                <w:rFonts w:ascii="Calibri" w:hAnsi="Calibri" w:cs="Calibri"/>
                <w:sz w:val="20"/>
                <w:szCs w:val="20"/>
                <w:vertAlign w:val="subscript"/>
              </w:rPr>
              <w:t>min</w:t>
            </w:r>
            <w:proofErr w:type="spellEnd"/>
          </w:p>
        </w:tc>
        <w:tc>
          <w:tcPr>
            <w:tcW w:w="2460" w:type="dxa"/>
            <w:gridSpan w:val="2"/>
            <w:vMerge w:val="restart"/>
          </w:tcPr>
          <w:p w:rsidR="00DA11D2" w:rsidRPr="002A790B" w:rsidRDefault="00DA11D2">
            <w:pPr>
              <w:rPr>
                <w:rFonts w:cstheme="minorHAnsi"/>
                <w:sz w:val="20"/>
                <w:szCs w:val="20"/>
              </w:rPr>
            </w:pPr>
            <w:r w:rsidRPr="002A790B">
              <w:rPr>
                <w:rFonts w:cstheme="minorHAnsi"/>
                <w:sz w:val="20"/>
                <w:szCs w:val="20"/>
              </w:rPr>
              <w:t>Mechanism:  Effect on tacrolimus is due to CYP3A4 inhibition by ritonavir.</w:t>
            </w:r>
          </w:p>
          <w:p w:rsidR="00DA11D2" w:rsidRPr="002A790B" w:rsidRDefault="00DA11D2">
            <w:pPr>
              <w:tabs>
                <w:tab w:val="left" w:pos="567"/>
              </w:tabs>
              <w:rPr>
                <w:rFonts w:cstheme="minorHAnsi"/>
                <w:sz w:val="20"/>
                <w:szCs w:val="20"/>
              </w:rPr>
            </w:pPr>
            <w:r w:rsidRPr="002A790B">
              <w:rPr>
                <w:rFonts w:cstheme="minorHAnsi"/>
                <w:sz w:val="20"/>
                <w:szCs w:val="20"/>
              </w:rPr>
              <w:t xml:space="preserve">When starting </w:t>
            </w:r>
            <w:proofErr w:type="spellStart"/>
            <w:r w:rsidRPr="002A790B">
              <w:rPr>
                <w:rFonts w:cstheme="minorHAnsi"/>
                <w:sz w:val="20"/>
                <w:szCs w:val="20"/>
              </w:rPr>
              <w:t>coadministration</w:t>
            </w:r>
            <w:proofErr w:type="spellEnd"/>
            <w:r w:rsidRPr="002A790B">
              <w:rPr>
                <w:rFonts w:cstheme="minorHAnsi"/>
                <w:sz w:val="20"/>
                <w:szCs w:val="20"/>
              </w:rPr>
              <w:t xml:space="preserve"> with TECHNIVIE, administer 0.5 mg tacrolimus once every week. Monitor tacrolimus levels and adjust dose and/or dosing frequency as needed.</w:t>
            </w:r>
          </w:p>
          <w:p w:rsidR="00DA11D2" w:rsidRPr="002A790B" w:rsidRDefault="00DA11D2">
            <w:pPr>
              <w:tabs>
                <w:tab w:val="left" w:pos="567"/>
              </w:tabs>
              <w:rPr>
                <w:rFonts w:cstheme="minorHAnsi"/>
                <w:sz w:val="20"/>
                <w:szCs w:val="20"/>
              </w:rPr>
            </w:pPr>
          </w:p>
        </w:tc>
      </w:tr>
      <w:tr w:rsidR="006C466F" w:rsidRPr="00A47F4F" w:rsidTr="00ED3483">
        <w:trPr>
          <w:trHeight w:val="66"/>
        </w:trPr>
        <w:tc>
          <w:tcPr>
            <w:tcW w:w="1752" w:type="dxa"/>
            <w:vMerge/>
          </w:tcPr>
          <w:p w:rsidR="00DA11D2" w:rsidRPr="002A790B" w:rsidRDefault="00DA11D2">
            <w:pPr>
              <w:tabs>
                <w:tab w:val="left" w:pos="567"/>
              </w:tabs>
              <w:rPr>
                <w:rFonts w:cstheme="minorHAnsi"/>
                <w:sz w:val="20"/>
                <w:szCs w:val="20"/>
              </w:rPr>
            </w:pPr>
          </w:p>
        </w:tc>
        <w:tc>
          <w:tcPr>
            <w:tcW w:w="1459" w:type="dxa"/>
            <w:gridSpan w:val="9"/>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tacrolimus</w:t>
            </w:r>
          </w:p>
        </w:tc>
        <w:tc>
          <w:tcPr>
            <w:tcW w:w="1134"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4.27</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(3.49-5.22)</w:t>
            </w:r>
          </w:p>
        </w:tc>
        <w:tc>
          <w:tcPr>
            <w:tcW w:w="1137"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85.81</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(67.88-108.49)</w:t>
            </w:r>
          </w:p>
        </w:tc>
        <w:tc>
          <w:tcPr>
            <w:tcW w:w="1238" w:type="dxa"/>
            <w:gridSpan w:val="2"/>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24.61</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(19.69-30.77)</w:t>
            </w:r>
          </w:p>
        </w:tc>
        <w:tc>
          <w:tcPr>
            <w:tcW w:w="2460" w:type="dxa"/>
            <w:gridSpan w:val="2"/>
            <w:vMerge/>
          </w:tcPr>
          <w:p w:rsidR="00DA11D2" w:rsidRPr="002A790B" w:rsidRDefault="00DA11D2">
            <w:pPr>
              <w:rPr>
                <w:rFonts w:cstheme="minorHAnsi"/>
                <w:sz w:val="20"/>
                <w:szCs w:val="20"/>
              </w:rPr>
            </w:pPr>
          </w:p>
        </w:tc>
      </w:tr>
      <w:tr w:rsidR="006C466F" w:rsidRPr="00A47F4F" w:rsidTr="00ED3483">
        <w:trPr>
          <w:trHeight w:val="66"/>
        </w:trPr>
        <w:tc>
          <w:tcPr>
            <w:tcW w:w="1752" w:type="dxa"/>
            <w:vMerge/>
          </w:tcPr>
          <w:p w:rsidR="00DA11D2" w:rsidRPr="002A790B" w:rsidRDefault="00DA11D2">
            <w:pPr>
              <w:tabs>
                <w:tab w:val="left" w:pos="567"/>
              </w:tabs>
              <w:rPr>
                <w:rFonts w:cstheme="minorHAnsi"/>
                <w:sz w:val="20"/>
                <w:szCs w:val="20"/>
              </w:rPr>
            </w:pPr>
          </w:p>
        </w:tc>
        <w:tc>
          <w:tcPr>
            <w:tcW w:w="1459" w:type="dxa"/>
            <w:gridSpan w:val="9"/>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xml:space="preserve">↔ </w:t>
            </w:r>
            <w:proofErr w:type="spellStart"/>
            <w:r w:rsidRPr="002A790B">
              <w:rPr>
                <w:rFonts w:ascii="Calibri" w:hAnsi="Calibri" w:cs="Calibri"/>
                <w:sz w:val="20"/>
                <w:szCs w:val="20"/>
              </w:rPr>
              <w:t>ombitasvir</w:t>
            </w:r>
            <w:proofErr w:type="spellEnd"/>
          </w:p>
        </w:tc>
        <w:tc>
          <w:tcPr>
            <w:tcW w:w="1134"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0.94</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(0.89-1.00)</w:t>
            </w:r>
          </w:p>
        </w:tc>
        <w:tc>
          <w:tcPr>
            <w:tcW w:w="1137"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0.95</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(0.91-1.00)</w:t>
            </w:r>
          </w:p>
        </w:tc>
        <w:tc>
          <w:tcPr>
            <w:tcW w:w="1238" w:type="dxa"/>
            <w:gridSpan w:val="2"/>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0.95</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(0.92-0.99)</w:t>
            </w:r>
          </w:p>
        </w:tc>
        <w:tc>
          <w:tcPr>
            <w:tcW w:w="2460" w:type="dxa"/>
            <w:gridSpan w:val="2"/>
            <w:vMerge/>
          </w:tcPr>
          <w:p w:rsidR="00DA11D2" w:rsidRPr="002A790B" w:rsidRDefault="00DA11D2">
            <w:pPr>
              <w:rPr>
                <w:rFonts w:cstheme="minorHAnsi"/>
                <w:sz w:val="20"/>
                <w:szCs w:val="20"/>
              </w:rPr>
            </w:pPr>
          </w:p>
        </w:tc>
      </w:tr>
      <w:tr w:rsidR="006C466F" w:rsidRPr="00A47F4F" w:rsidTr="00ED3483">
        <w:trPr>
          <w:trHeight w:val="66"/>
        </w:trPr>
        <w:tc>
          <w:tcPr>
            <w:tcW w:w="1752" w:type="dxa"/>
            <w:vMerge/>
          </w:tcPr>
          <w:p w:rsidR="00DA11D2" w:rsidRPr="002A790B" w:rsidRDefault="00DA11D2">
            <w:pPr>
              <w:tabs>
                <w:tab w:val="left" w:pos="567"/>
              </w:tabs>
              <w:rPr>
                <w:rFonts w:cstheme="minorHAnsi"/>
                <w:sz w:val="20"/>
                <w:szCs w:val="20"/>
              </w:rPr>
            </w:pPr>
          </w:p>
        </w:tc>
        <w:tc>
          <w:tcPr>
            <w:tcW w:w="1459" w:type="dxa"/>
            <w:gridSpan w:val="9"/>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xml:space="preserve">↓ </w:t>
            </w:r>
            <w:proofErr w:type="spellStart"/>
            <w:r w:rsidRPr="002A790B">
              <w:rPr>
                <w:rFonts w:ascii="Calibri" w:hAnsi="Calibri" w:cs="Calibri"/>
                <w:sz w:val="20"/>
                <w:szCs w:val="20"/>
              </w:rPr>
              <w:t>paritaprevir</w:t>
            </w:r>
            <w:proofErr w:type="spellEnd"/>
          </w:p>
        </w:tc>
        <w:tc>
          <w:tcPr>
            <w:tcW w:w="1134"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0.71</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(0.55-0.91)</w:t>
            </w:r>
          </w:p>
        </w:tc>
        <w:tc>
          <w:tcPr>
            <w:tcW w:w="1137"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0.79</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(0.69-0.92)</w:t>
            </w:r>
          </w:p>
        </w:tc>
        <w:tc>
          <w:tcPr>
            <w:tcW w:w="1238" w:type="dxa"/>
            <w:gridSpan w:val="2"/>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0.84</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(0.74-0.97)</w:t>
            </w:r>
          </w:p>
        </w:tc>
        <w:tc>
          <w:tcPr>
            <w:tcW w:w="2460" w:type="dxa"/>
            <w:gridSpan w:val="2"/>
            <w:vMerge/>
          </w:tcPr>
          <w:p w:rsidR="00DA11D2" w:rsidRPr="002A790B" w:rsidRDefault="00DA11D2">
            <w:pPr>
              <w:rPr>
                <w:rFonts w:cstheme="minorHAnsi"/>
                <w:sz w:val="20"/>
                <w:szCs w:val="20"/>
              </w:rPr>
            </w:pPr>
          </w:p>
        </w:tc>
      </w:tr>
      <w:tr w:rsidR="00DA11D2" w:rsidRPr="00A47F4F" w:rsidTr="000D4A1F">
        <w:trPr>
          <w:trHeight w:val="124"/>
        </w:trPr>
        <w:tc>
          <w:tcPr>
            <w:tcW w:w="9180" w:type="dxa"/>
            <w:gridSpan w:val="24"/>
          </w:tcPr>
          <w:p w:rsidR="00DA11D2" w:rsidRPr="002A790B" w:rsidRDefault="00DA11D2">
            <w:pPr>
              <w:tabs>
                <w:tab w:val="left" w:pos="567"/>
              </w:tabs>
              <w:rPr>
                <w:rFonts w:ascii="Times New Roman" w:hAnsi="Times New Roman" w:cstheme="minorHAnsi"/>
                <w:b/>
                <w:sz w:val="20"/>
                <w:szCs w:val="20"/>
              </w:rPr>
            </w:pPr>
            <w:r w:rsidRPr="002A790B">
              <w:rPr>
                <w:rFonts w:cstheme="minorHAnsi"/>
                <w:b/>
                <w:sz w:val="20"/>
                <w:szCs w:val="20"/>
              </w:rPr>
              <w:t xml:space="preserve">Insulin </w:t>
            </w:r>
            <w:proofErr w:type="spellStart"/>
            <w:r w:rsidRPr="002A790B">
              <w:rPr>
                <w:rFonts w:cstheme="minorHAnsi"/>
                <w:b/>
                <w:sz w:val="20"/>
                <w:szCs w:val="20"/>
              </w:rPr>
              <w:t>Secretagogues</w:t>
            </w:r>
            <w:proofErr w:type="spellEnd"/>
          </w:p>
        </w:tc>
      </w:tr>
      <w:tr w:rsidR="00DA11D2" w:rsidRPr="00A47F4F" w:rsidTr="00ED3483">
        <w:trPr>
          <w:trHeight w:val="124"/>
        </w:trPr>
        <w:tc>
          <w:tcPr>
            <w:tcW w:w="1752" w:type="dxa"/>
          </w:tcPr>
          <w:p w:rsidR="00DA11D2" w:rsidRPr="002A790B" w:rsidRDefault="00DA11D2">
            <w:pPr>
              <w:tabs>
                <w:tab w:val="left" w:pos="567"/>
              </w:tabs>
              <w:rPr>
                <w:rFonts w:cstheme="minorHAnsi"/>
                <w:sz w:val="20"/>
                <w:szCs w:val="20"/>
              </w:rPr>
            </w:pPr>
            <w:proofErr w:type="spellStart"/>
            <w:r w:rsidRPr="002A790B">
              <w:rPr>
                <w:rFonts w:cstheme="minorHAnsi"/>
                <w:sz w:val="20"/>
                <w:szCs w:val="20"/>
              </w:rPr>
              <w:t>Repaglinide</w:t>
            </w:r>
            <w:proofErr w:type="spellEnd"/>
            <w:r w:rsidRPr="002A790B">
              <w:rPr>
                <w:rFonts w:ascii="Calibri" w:hAnsi="Calibri" w:cs="Calibri"/>
                <w:sz w:val="20"/>
                <w:szCs w:val="20"/>
              </w:rPr>
              <w:t>*</w:t>
            </w:r>
          </w:p>
        </w:tc>
        <w:tc>
          <w:tcPr>
            <w:tcW w:w="4968" w:type="dxa"/>
            <w:gridSpan w:val="21"/>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xml:space="preserve">↑ </w:t>
            </w:r>
            <w:proofErr w:type="spellStart"/>
            <w:r w:rsidRPr="002A790B">
              <w:rPr>
                <w:rFonts w:ascii="Calibri" w:hAnsi="Calibri" w:cs="Calibri"/>
                <w:sz w:val="20"/>
                <w:szCs w:val="20"/>
              </w:rPr>
              <w:t>repaglinide</w:t>
            </w:r>
            <w:proofErr w:type="spellEnd"/>
          </w:p>
          <w:p w:rsidR="00DA11D2" w:rsidRPr="002A790B" w:rsidRDefault="00DA11D2">
            <w:pPr>
              <w:tabs>
                <w:tab w:val="left" w:pos="567"/>
              </w:tabs>
              <w:rPr>
                <w:rFonts w:ascii="Calibri" w:hAnsi="Calibri" w:cs="Calibri"/>
                <w:sz w:val="20"/>
                <w:szCs w:val="20"/>
              </w:rPr>
            </w:pPr>
          </w:p>
        </w:tc>
        <w:tc>
          <w:tcPr>
            <w:tcW w:w="2460" w:type="dxa"/>
            <w:gridSpan w:val="2"/>
          </w:tcPr>
          <w:p w:rsidR="00DA11D2" w:rsidRPr="002A790B" w:rsidRDefault="00DA11D2">
            <w:pPr>
              <w:rPr>
                <w:rFonts w:cstheme="minorHAnsi"/>
                <w:sz w:val="20"/>
                <w:szCs w:val="20"/>
              </w:rPr>
            </w:pPr>
            <w:r w:rsidRPr="002A790B">
              <w:rPr>
                <w:rFonts w:cstheme="minorHAnsi"/>
                <w:sz w:val="20"/>
                <w:szCs w:val="20"/>
              </w:rPr>
              <w:t xml:space="preserve">Mechanism:  OATP1B1 inhibition by </w:t>
            </w:r>
            <w:proofErr w:type="spellStart"/>
            <w:r w:rsidRPr="002A790B">
              <w:rPr>
                <w:rFonts w:cstheme="minorHAnsi"/>
                <w:sz w:val="20"/>
                <w:szCs w:val="20"/>
              </w:rPr>
              <w:t>paritaprevir</w:t>
            </w:r>
            <w:proofErr w:type="spellEnd"/>
            <w:r w:rsidRPr="002A790B">
              <w:rPr>
                <w:rFonts w:cstheme="minorHAnsi"/>
                <w:sz w:val="20"/>
                <w:szCs w:val="20"/>
              </w:rPr>
              <w:t>.</w:t>
            </w:r>
          </w:p>
          <w:p w:rsidR="00DA11D2" w:rsidRPr="002A790B" w:rsidRDefault="00DA11D2">
            <w:pPr>
              <w:rPr>
                <w:rFonts w:cstheme="minorHAnsi"/>
                <w:sz w:val="20"/>
                <w:szCs w:val="20"/>
              </w:rPr>
            </w:pPr>
            <w:r w:rsidRPr="002A790B">
              <w:rPr>
                <w:rFonts w:cstheme="minorHAnsi"/>
                <w:sz w:val="20"/>
                <w:szCs w:val="20"/>
              </w:rPr>
              <w:t xml:space="preserve">Caution should be used and dose decrease may be needed for </w:t>
            </w:r>
            <w:proofErr w:type="spellStart"/>
            <w:r w:rsidRPr="002A790B">
              <w:rPr>
                <w:rFonts w:cstheme="minorHAnsi"/>
                <w:sz w:val="20"/>
                <w:szCs w:val="20"/>
              </w:rPr>
              <w:t>repaglinide</w:t>
            </w:r>
            <w:proofErr w:type="spellEnd"/>
            <w:r w:rsidRPr="002A790B">
              <w:rPr>
                <w:rFonts w:cstheme="minorHAnsi"/>
                <w:sz w:val="20"/>
                <w:szCs w:val="20"/>
              </w:rPr>
              <w:t>.</w:t>
            </w:r>
          </w:p>
        </w:tc>
      </w:tr>
      <w:tr w:rsidR="00DA11D2" w:rsidRPr="00A47F4F" w:rsidTr="000D4A1F">
        <w:trPr>
          <w:trHeight w:val="124"/>
        </w:trPr>
        <w:tc>
          <w:tcPr>
            <w:tcW w:w="9180" w:type="dxa"/>
            <w:gridSpan w:val="24"/>
          </w:tcPr>
          <w:p w:rsidR="00DA11D2" w:rsidRPr="00A33AC5" w:rsidRDefault="00996583">
            <w:pPr>
              <w:rPr>
                <w:rFonts w:cstheme="minorHAnsi"/>
                <w:b/>
                <w:sz w:val="20"/>
                <w:szCs w:val="20"/>
              </w:rPr>
            </w:pPr>
            <w:r>
              <w:rPr>
                <w:rFonts w:cstheme="minorHAnsi"/>
                <w:b/>
                <w:sz w:val="20"/>
                <w:szCs w:val="20"/>
              </w:rPr>
              <w:t>Muscle Relaxants</w:t>
            </w:r>
          </w:p>
        </w:tc>
      </w:tr>
      <w:tr w:rsidR="00996583" w:rsidRPr="00A47F4F" w:rsidTr="00ED3483">
        <w:trPr>
          <w:trHeight w:val="124"/>
        </w:trPr>
        <w:tc>
          <w:tcPr>
            <w:tcW w:w="1752" w:type="dxa"/>
          </w:tcPr>
          <w:p w:rsidR="00996583" w:rsidRPr="002A790B" w:rsidRDefault="00996583">
            <w:pPr>
              <w:tabs>
                <w:tab w:val="left" w:pos="567"/>
              </w:tabs>
              <w:rPr>
                <w:rFonts w:cstheme="minorHAnsi"/>
                <w:sz w:val="20"/>
                <w:szCs w:val="20"/>
              </w:rPr>
            </w:pPr>
            <w:proofErr w:type="spellStart"/>
            <w:r>
              <w:rPr>
                <w:rFonts w:cstheme="minorHAnsi"/>
                <w:sz w:val="20"/>
                <w:szCs w:val="20"/>
              </w:rPr>
              <w:t>Carisoprodol</w:t>
            </w:r>
            <w:proofErr w:type="spellEnd"/>
          </w:p>
        </w:tc>
        <w:tc>
          <w:tcPr>
            <w:tcW w:w="5017" w:type="dxa"/>
            <w:gridSpan w:val="22"/>
          </w:tcPr>
          <w:p w:rsidR="00996583" w:rsidRDefault="00996583" w:rsidP="00996583">
            <w:pPr>
              <w:autoSpaceDE w:val="0"/>
              <w:autoSpaceDN w:val="0"/>
              <w:adjustRightInd w:val="0"/>
              <w:rPr>
                <w:rFonts w:cstheme="minorHAnsi"/>
                <w:sz w:val="20"/>
                <w:szCs w:val="20"/>
              </w:rPr>
            </w:pPr>
            <w:r>
              <w:rPr>
                <w:rFonts w:cstheme="minorHAnsi"/>
                <w:sz w:val="20"/>
                <w:szCs w:val="20"/>
              </w:rPr>
              <w:t xml:space="preserve">↓ </w:t>
            </w:r>
            <w:proofErr w:type="spellStart"/>
            <w:r>
              <w:rPr>
                <w:rFonts w:cstheme="minorHAnsi"/>
                <w:sz w:val="20"/>
                <w:szCs w:val="20"/>
              </w:rPr>
              <w:t>carisoprodol</w:t>
            </w:r>
            <w:proofErr w:type="spellEnd"/>
          </w:p>
          <w:p w:rsidR="00996583" w:rsidRPr="002A790B" w:rsidRDefault="00996583" w:rsidP="00996583">
            <w:pPr>
              <w:rPr>
                <w:rFonts w:cstheme="minorHAnsi"/>
                <w:sz w:val="20"/>
                <w:szCs w:val="20"/>
              </w:rPr>
            </w:pPr>
            <w:r>
              <w:rPr>
                <w:rFonts w:cstheme="minorHAnsi"/>
                <w:sz w:val="20"/>
                <w:szCs w:val="20"/>
              </w:rPr>
              <w:t xml:space="preserve">↔ </w:t>
            </w:r>
            <w:proofErr w:type="spellStart"/>
            <w:r>
              <w:rPr>
                <w:rFonts w:cstheme="minorHAnsi"/>
                <w:sz w:val="20"/>
                <w:szCs w:val="20"/>
              </w:rPr>
              <w:t>mepobramate</w:t>
            </w:r>
            <w:proofErr w:type="spellEnd"/>
            <w:r>
              <w:rPr>
                <w:rFonts w:cstheme="minorHAnsi"/>
                <w:sz w:val="20"/>
                <w:szCs w:val="20"/>
              </w:rPr>
              <w:t xml:space="preserve"> (metabolite of </w:t>
            </w:r>
            <w:proofErr w:type="spellStart"/>
            <w:r>
              <w:rPr>
                <w:rFonts w:cstheme="minorHAnsi"/>
                <w:sz w:val="20"/>
                <w:szCs w:val="20"/>
              </w:rPr>
              <w:t>carisoprodol</w:t>
            </w:r>
            <w:proofErr w:type="spellEnd"/>
            <w:r>
              <w:rPr>
                <w:rFonts w:cstheme="minorHAnsi"/>
                <w:sz w:val="20"/>
                <w:szCs w:val="20"/>
              </w:rPr>
              <w:t>)</w:t>
            </w:r>
          </w:p>
        </w:tc>
        <w:tc>
          <w:tcPr>
            <w:tcW w:w="2411" w:type="dxa"/>
          </w:tcPr>
          <w:p w:rsidR="00996583" w:rsidRPr="002A790B" w:rsidRDefault="00996583" w:rsidP="00091350">
            <w:pPr>
              <w:rPr>
                <w:rFonts w:cstheme="minorHAnsi"/>
                <w:sz w:val="20"/>
                <w:szCs w:val="20"/>
              </w:rPr>
            </w:pPr>
            <w:r>
              <w:rPr>
                <w:rFonts w:cstheme="minorHAnsi"/>
                <w:sz w:val="20"/>
                <w:szCs w:val="20"/>
              </w:rPr>
              <w:t>No dose adjustment required; increase dose if clinically indicated</w:t>
            </w:r>
          </w:p>
        </w:tc>
      </w:tr>
      <w:tr w:rsidR="00996583" w:rsidRPr="00A47F4F" w:rsidTr="00ED3483">
        <w:trPr>
          <w:trHeight w:val="124"/>
        </w:trPr>
        <w:tc>
          <w:tcPr>
            <w:tcW w:w="1752" w:type="dxa"/>
          </w:tcPr>
          <w:p w:rsidR="00996583" w:rsidRPr="002A790B" w:rsidRDefault="00996583">
            <w:pPr>
              <w:tabs>
                <w:tab w:val="left" w:pos="567"/>
              </w:tabs>
              <w:rPr>
                <w:rFonts w:cstheme="minorHAnsi"/>
                <w:sz w:val="20"/>
                <w:szCs w:val="20"/>
              </w:rPr>
            </w:pPr>
            <w:r>
              <w:rPr>
                <w:rFonts w:cstheme="minorHAnsi"/>
                <w:sz w:val="20"/>
                <w:szCs w:val="20"/>
              </w:rPr>
              <w:t>Cyclobenzaprine</w:t>
            </w:r>
          </w:p>
        </w:tc>
        <w:tc>
          <w:tcPr>
            <w:tcW w:w="5017" w:type="dxa"/>
            <w:gridSpan w:val="22"/>
          </w:tcPr>
          <w:p w:rsidR="00996583" w:rsidRDefault="00996583" w:rsidP="00996583">
            <w:pPr>
              <w:autoSpaceDE w:val="0"/>
              <w:autoSpaceDN w:val="0"/>
              <w:adjustRightInd w:val="0"/>
              <w:rPr>
                <w:rFonts w:cstheme="minorHAnsi"/>
                <w:sz w:val="20"/>
                <w:szCs w:val="20"/>
              </w:rPr>
            </w:pPr>
            <w:r>
              <w:rPr>
                <w:rFonts w:cstheme="minorHAnsi"/>
                <w:sz w:val="20"/>
                <w:szCs w:val="20"/>
              </w:rPr>
              <w:t>↓ cyclobenzaprine</w:t>
            </w:r>
          </w:p>
          <w:p w:rsidR="00996583" w:rsidRPr="002A790B" w:rsidRDefault="00996583" w:rsidP="00996583">
            <w:pPr>
              <w:rPr>
                <w:rFonts w:cstheme="minorHAnsi"/>
                <w:sz w:val="20"/>
                <w:szCs w:val="20"/>
              </w:rPr>
            </w:pPr>
            <w:r>
              <w:rPr>
                <w:rFonts w:cstheme="minorHAnsi"/>
                <w:sz w:val="20"/>
                <w:szCs w:val="20"/>
              </w:rPr>
              <w:t xml:space="preserve">↓ </w:t>
            </w:r>
            <w:proofErr w:type="spellStart"/>
            <w:r>
              <w:rPr>
                <w:rFonts w:cstheme="minorHAnsi"/>
                <w:sz w:val="20"/>
                <w:szCs w:val="20"/>
              </w:rPr>
              <w:t>norcyclobenzaprine</w:t>
            </w:r>
            <w:proofErr w:type="spellEnd"/>
            <w:r>
              <w:rPr>
                <w:rFonts w:cstheme="minorHAnsi"/>
                <w:sz w:val="20"/>
                <w:szCs w:val="20"/>
              </w:rPr>
              <w:t xml:space="preserve"> (metabolite of cyclobenzaprine)</w:t>
            </w:r>
          </w:p>
        </w:tc>
        <w:tc>
          <w:tcPr>
            <w:tcW w:w="2411" w:type="dxa"/>
          </w:tcPr>
          <w:p w:rsidR="00996583" w:rsidRDefault="00996583" w:rsidP="00996583">
            <w:pPr>
              <w:rPr>
                <w:rFonts w:ascii="Times New Roman" w:hAnsi="Times New Roman" w:cs="Times New Roman"/>
                <w:sz w:val="24"/>
                <w:szCs w:val="24"/>
                <w:lang w:eastAsia="en-AU"/>
              </w:rPr>
            </w:pPr>
            <w:r>
              <w:rPr>
                <w:rFonts w:cstheme="minorHAnsi"/>
                <w:sz w:val="20"/>
                <w:szCs w:val="20"/>
              </w:rPr>
              <w:t>No dose adjustment required; increase dose if clinically indicated</w:t>
            </w:r>
            <w:r>
              <w:rPr>
                <w:rFonts w:ascii="Times New Roman" w:hAnsi="Times New Roman" w:cs="Times New Roman"/>
                <w:sz w:val="24"/>
                <w:szCs w:val="24"/>
                <w:lang w:eastAsia="en-AU"/>
              </w:rPr>
              <w:t xml:space="preserve"> </w:t>
            </w:r>
          </w:p>
          <w:p w:rsidR="00996583" w:rsidRPr="002A790B" w:rsidRDefault="00996583" w:rsidP="00091350">
            <w:pPr>
              <w:rPr>
                <w:rFonts w:cstheme="minorHAnsi"/>
                <w:sz w:val="20"/>
                <w:szCs w:val="20"/>
              </w:rPr>
            </w:pPr>
          </w:p>
        </w:tc>
      </w:tr>
      <w:tr w:rsidR="00DA11D2" w:rsidRPr="00A47F4F" w:rsidTr="000D4A1F">
        <w:trPr>
          <w:trHeight w:val="124"/>
        </w:trPr>
        <w:tc>
          <w:tcPr>
            <w:tcW w:w="9180" w:type="dxa"/>
            <w:gridSpan w:val="24"/>
          </w:tcPr>
          <w:p w:rsidR="00DA11D2" w:rsidRPr="002A790B" w:rsidRDefault="00DA11D2">
            <w:pPr>
              <w:tabs>
                <w:tab w:val="left" w:pos="567"/>
              </w:tabs>
              <w:rPr>
                <w:rFonts w:ascii="Times New Roman" w:hAnsi="Times New Roman" w:cstheme="minorHAnsi"/>
                <w:b/>
                <w:sz w:val="20"/>
                <w:szCs w:val="20"/>
              </w:rPr>
            </w:pPr>
            <w:r w:rsidRPr="002A790B">
              <w:rPr>
                <w:rFonts w:cstheme="minorHAnsi"/>
                <w:b/>
                <w:sz w:val="20"/>
                <w:szCs w:val="20"/>
              </w:rPr>
              <w:t>Opioids</w:t>
            </w:r>
          </w:p>
        </w:tc>
      </w:tr>
      <w:tr w:rsidR="003A240F" w:rsidRPr="00A47F4F" w:rsidTr="00ED3483">
        <w:trPr>
          <w:trHeight w:val="135"/>
        </w:trPr>
        <w:tc>
          <w:tcPr>
            <w:tcW w:w="1752" w:type="dxa"/>
            <w:vMerge w:val="restart"/>
          </w:tcPr>
          <w:p w:rsidR="00DA11D2" w:rsidRPr="002A790B" w:rsidRDefault="00DA11D2">
            <w:pPr>
              <w:tabs>
                <w:tab w:val="left" w:pos="567"/>
              </w:tabs>
              <w:rPr>
                <w:rFonts w:cstheme="minorHAnsi"/>
                <w:sz w:val="20"/>
                <w:szCs w:val="20"/>
              </w:rPr>
            </w:pPr>
            <w:r w:rsidRPr="002A790B">
              <w:rPr>
                <w:rFonts w:cstheme="minorHAnsi"/>
                <w:sz w:val="20"/>
                <w:szCs w:val="20"/>
              </w:rPr>
              <w:t>Methadone</w:t>
            </w:r>
          </w:p>
          <w:p w:rsidR="00DA11D2" w:rsidRPr="002A790B" w:rsidRDefault="00DA11D2" w:rsidP="001E0E8A">
            <w:pPr>
              <w:tabs>
                <w:tab w:val="left" w:pos="567"/>
              </w:tabs>
              <w:rPr>
                <w:rFonts w:cstheme="minorHAnsi"/>
                <w:sz w:val="20"/>
                <w:szCs w:val="20"/>
              </w:rPr>
            </w:pPr>
            <w:r w:rsidRPr="002A790B">
              <w:rPr>
                <w:rFonts w:cstheme="minorHAnsi"/>
                <w:sz w:val="20"/>
                <w:szCs w:val="20"/>
              </w:rPr>
              <w:t>20-120</w:t>
            </w:r>
            <w:r>
              <w:rPr>
                <w:rFonts w:cstheme="minorHAnsi"/>
                <w:sz w:val="20"/>
                <w:szCs w:val="20"/>
              </w:rPr>
              <w:t xml:space="preserve"> </w:t>
            </w:r>
            <w:r w:rsidRPr="002A790B">
              <w:rPr>
                <w:rFonts w:cstheme="minorHAnsi"/>
                <w:sz w:val="20"/>
                <w:szCs w:val="20"/>
              </w:rPr>
              <w:t>mg once daily</w:t>
            </w:r>
            <w:r w:rsidRPr="002A790B">
              <w:rPr>
                <w:rFonts w:cstheme="minorHAnsi"/>
                <w:sz w:val="20"/>
                <w:szCs w:val="20"/>
                <w:vertAlign w:val="superscript"/>
              </w:rPr>
              <w:t>6</w:t>
            </w:r>
          </w:p>
        </w:tc>
        <w:tc>
          <w:tcPr>
            <w:tcW w:w="1327" w:type="dxa"/>
            <w:gridSpan w:val="6"/>
          </w:tcPr>
          <w:p w:rsidR="00DA11D2" w:rsidRPr="002A790B" w:rsidRDefault="00DA11D2">
            <w:pPr>
              <w:tabs>
                <w:tab w:val="left" w:pos="567"/>
              </w:tabs>
              <w:rPr>
                <w:rFonts w:ascii="Calibri" w:hAnsi="Calibri" w:cs="Calibri"/>
                <w:i/>
                <w:sz w:val="20"/>
                <w:szCs w:val="20"/>
              </w:rPr>
            </w:pPr>
          </w:p>
        </w:tc>
        <w:tc>
          <w:tcPr>
            <w:tcW w:w="1135" w:type="dxa"/>
            <w:gridSpan w:val="6"/>
          </w:tcPr>
          <w:p w:rsidR="00DA11D2" w:rsidRPr="002A790B" w:rsidRDefault="00DA11D2">
            <w:pPr>
              <w:tabs>
                <w:tab w:val="left" w:pos="567"/>
              </w:tabs>
              <w:jc w:val="center"/>
              <w:rPr>
                <w:rFonts w:ascii="Calibri" w:hAnsi="Calibri" w:cs="Calibri"/>
                <w:sz w:val="20"/>
                <w:szCs w:val="20"/>
                <w:vertAlign w:val="subscript"/>
              </w:rPr>
            </w:pPr>
            <w:proofErr w:type="spellStart"/>
            <w:r w:rsidRPr="002A790B">
              <w:rPr>
                <w:rFonts w:ascii="Calibri" w:hAnsi="Calibri" w:cs="Calibri"/>
                <w:sz w:val="20"/>
                <w:szCs w:val="20"/>
              </w:rPr>
              <w:t>C</w:t>
            </w:r>
            <w:r w:rsidRPr="002A790B">
              <w:rPr>
                <w:rFonts w:ascii="Calibri" w:hAnsi="Calibri" w:cs="Calibri"/>
                <w:sz w:val="20"/>
                <w:szCs w:val="20"/>
                <w:vertAlign w:val="subscript"/>
              </w:rPr>
              <w:t>max</w:t>
            </w:r>
            <w:proofErr w:type="spellEnd"/>
          </w:p>
        </w:tc>
        <w:tc>
          <w:tcPr>
            <w:tcW w:w="1128" w:type="dxa"/>
            <w:gridSpan w:val="4"/>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AUC</w:t>
            </w:r>
          </w:p>
        </w:tc>
        <w:tc>
          <w:tcPr>
            <w:tcW w:w="1427" w:type="dxa"/>
            <w:gridSpan w:val="6"/>
          </w:tcPr>
          <w:p w:rsidR="00DA11D2" w:rsidRPr="002A790B" w:rsidRDefault="00DA11D2">
            <w:pPr>
              <w:tabs>
                <w:tab w:val="left" w:pos="567"/>
              </w:tabs>
              <w:jc w:val="center"/>
              <w:rPr>
                <w:rFonts w:ascii="Calibri" w:hAnsi="Calibri" w:cs="Calibri"/>
                <w:sz w:val="20"/>
                <w:szCs w:val="20"/>
              </w:rPr>
            </w:pPr>
            <w:proofErr w:type="spellStart"/>
            <w:r w:rsidRPr="002A790B">
              <w:rPr>
                <w:rFonts w:ascii="Calibri" w:hAnsi="Calibri" w:cs="Calibri"/>
                <w:sz w:val="20"/>
                <w:szCs w:val="20"/>
              </w:rPr>
              <w:t>C</w:t>
            </w:r>
            <w:r w:rsidRPr="002A790B">
              <w:rPr>
                <w:rFonts w:ascii="Calibri" w:hAnsi="Calibri" w:cs="Calibri"/>
                <w:sz w:val="20"/>
                <w:szCs w:val="20"/>
                <w:vertAlign w:val="subscript"/>
              </w:rPr>
              <w:t>min</w:t>
            </w:r>
            <w:proofErr w:type="spellEnd"/>
          </w:p>
        </w:tc>
        <w:tc>
          <w:tcPr>
            <w:tcW w:w="2411" w:type="dxa"/>
            <w:vMerge w:val="restart"/>
          </w:tcPr>
          <w:p w:rsidR="00DA11D2" w:rsidRPr="002A790B" w:rsidRDefault="00DA11D2">
            <w:pPr>
              <w:tabs>
                <w:tab w:val="left" w:pos="567"/>
              </w:tabs>
              <w:rPr>
                <w:rFonts w:cstheme="minorHAnsi"/>
                <w:sz w:val="20"/>
                <w:szCs w:val="20"/>
              </w:rPr>
            </w:pPr>
            <w:r w:rsidRPr="002A790B">
              <w:rPr>
                <w:rFonts w:cstheme="minorHAnsi"/>
                <w:sz w:val="20"/>
                <w:szCs w:val="20"/>
              </w:rPr>
              <w:t>No dose adjustment is necessary for methadone.</w:t>
            </w:r>
          </w:p>
          <w:p w:rsidR="00DA11D2" w:rsidRPr="002A790B" w:rsidRDefault="00DA11D2">
            <w:pPr>
              <w:tabs>
                <w:tab w:val="left" w:pos="567"/>
              </w:tabs>
              <w:rPr>
                <w:rFonts w:cstheme="minorHAnsi"/>
                <w:sz w:val="20"/>
                <w:szCs w:val="20"/>
              </w:rPr>
            </w:pPr>
          </w:p>
        </w:tc>
      </w:tr>
      <w:tr w:rsidR="003A240F" w:rsidRPr="00A47F4F" w:rsidTr="00ED3483">
        <w:trPr>
          <w:trHeight w:val="135"/>
        </w:trPr>
        <w:tc>
          <w:tcPr>
            <w:tcW w:w="1752" w:type="dxa"/>
            <w:vMerge/>
          </w:tcPr>
          <w:p w:rsidR="00DA11D2" w:rsidRPr="002A790B" w:rsidRDefault="00DA11D2">
            <w:pPr>
              <w:tabs>
                <w:tab w:val="left" w:pos="567"/>
              </w:tabs>
              <w:rPr>
                <w:rFonts w:cstheme="minorHAnsi"/>
                <w:sz w:val="20"/>
                <w:szCs w:val="20"/>
              </w:rPr>
            </w:pPr>
          </w:p>
        </w:tc>
        <w:tc>
          <w:tcPr>
            <w:tcW w:w="1327" w:type="dxa"/>
            <w:gridSpan w:val="6"/>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R-methadone</w:t>
            </w:r>
          </w:p>
        </w:tc>
        <w:tc>
          <w:tcPr>
            <w:tcW w:w="1135" w:type="dxa"/>
            <w:gridSpan w:val="6"/>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0.94</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(0.90-0.98)</w:t>
            </w:r>
          </w:p>
        </w:tc>
        <w:tc>
          <w:tcPr>
            <w:tcW w:w="1128" w:type="dxa"/>
            <w:gridSpan w:val="4"/>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0.97</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(0.91-1.03)</w:t>
            </w:r>
          </w:p>
        </w:tc>
        <w:tc>
          <w:tcPr>
            <w:tcW w:w="1427" w:type="dxa"/>
            <w:gridSpan w:val="6"/>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0.99</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(0.90-1.08)</w:t>
            </w:r>
          </w:p>
        </w:tc>
        <w:tc>
          <w:tcPr>
            <w:tcW w:w="2411" w:type="dxa"/>
            <w:vMerge/>
          </w:tcPr>
          <w:p w:rsidR="00DA11D2" w:rsidRPr="002A790B" w:rsidRDefault="00DA11D2">
            <w:pPr>
              <w:rPr>
                <w:rFonts w:cstheme="minorHAnsi"/>
                <w:sz w:val="20"/>
                <w:szCs w:val="20"/>
              </w:rPr>
            </w:pPr>
          </w:p>
        </w:tc>
      </w:tr>
      <w:tr w:rsidR="003A240F" w:rsidRPr="00A47F4F" w:rsidTr="00ED3483">
        <w:trPr>
          <w:trHeight w:val="135"/>
        </w:trPr>
        <w:tc>
          <w:tcPr>
            <w:tcW w:w="1752" w:type="dxa"/>
            <w:vMerge/>
          </w:tcPr>
          <w:p w:rsidR="00DA11D2" w:rsidRPr="002A790B" w:rsidRDefault="00DA11D2">
            <w:pPr>
              <w:tabs>
                <w:tab w:val="left" w:pos="567"/>
              </w:tabs>
              <w:rPr>
                <w:rFonts w:cstheme="minorHAnsi"/>
                <w:sz w:val="20"/>
                <w:szCs w:val="20"/>
              </w:rPr>
            </w:pPr>
          </w:p>
        </w:tc>
        <w:tc>
          <w:tcPr>
            <w:tcW w:w="1327" w:type="dxa"/>
            <w:gridSpan w:val="6"/>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S-methadone</w:t>
            </w:r>
          </w:p>
        </w:tc>
        <w:tc>
          <w:tcPr>
            <w:tcW w:w="1135" w:type="dxa"/>
            <w:gridSpan w:val="6"/>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0.94</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(0.90-0.99)</w:t>
            </w:r>
          </w:p>
        </w:tc>
        <w:tc>
          <w:tcPr>
            <w:tcW w:w="1128" w:type="dxa"/>
            <w:gridSpan w:val="4"/>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0.96</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(0.89-1.03)</w:t>
            </w:r>
          </w:p>
        </w:tc>
        <w:tc>
          <w:tcPr>
            <w:tcW w:w="1427" w:type="dxa"/>
            <w:gridSpan w:val="6"/>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0.93</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(0.84-1.02)</w:t>
            </w:r>
          </w:p>
        </w:tc>
        <w:tc>
          <w:tcPr>
            <w:tcW w:w="2411" w:type="dxa"/>
            <w:vMerge/>
          </w:tcPr>
          <w:p w:rsidR="00DA11D2" w:rsidRPr="002A790B" w:rsidRDefault="00DA11D2">
            <w:pPr>
              <w:rPr>
                <w:rFonts w:cstheme="minorHAnsi"/>
                <w:sz w:val="20"/>
                <w:szCs w:val="20"/>
              </w:rPr>
            </w:pPr>
          </w:p>
        </w:tc>
      </w:tr>
      <w:tr w:rsidR="006C466F" w:rsidRPr="00A47F4F" w:rsidTr="00ED3483">
        <w:trPr>
          <w:trHeight w:val="135"/>
        </w:trPr>
        <w:tc>
          <w:tcPr>
            <w:tcW w:w="1752" w:type="dxa"/>
            <w:vMerge/>
          </w:tcPr>
          <w:p w:rsidR="00DA11D2" w:rsidRPr="002A790B" w:rsidRDefault="00DA11D2">
            <w:pPr>
              <w:tabs>
                <w:tab w:val="left" w:pos="567"/>
              </w:tabs>
              <w:rPr>
                <w:rFonts w:cstheme="minorHAnsi"/>
                <w:sz w:val="20"/>
                <w:szCs w:val="20"/>
              </w:rPr>
            </w:pPr>
          </w:p>
        </w:tc>
        <w:tc>
          <w:tcPr>
            <w:tcW w:w="5017" w:type="dxa"/>
            <w:gridSpan w:val="22"/>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xml:space="preserve">↔ </w:t>
            </w:r>
            <w:proofErr w:type="spellStart"/>
            <w:r w:rsidRPr="002A790B">
              <w:rPr>
                <w:rFonts w:ascii="Calibri" w:hAnsi="Calibri" w:cs="Calibri"/>
                <w:sz w:val="20"/>
                <w:szCs w:val="20"/>
              </w:rPr>
              <w:t>ombitasvir</w:t>
            </w:r>
            <w:proofErr w:type="spellEnd"/>
            <w:r w:rsidRPr="002A790B">
              <w:rPr>
                <w:rFonts w:ascii="Calibri" w:hAnsi="Calibri" w:cs="Calibri"/>
                <w:sz w:val="20"/>
                <w:szCs w:val="20"/>
              </w:rPr>
              <w:t xml:space="preserve"> and </w:t>
            </w:r>
            <w:proofErr w:type="spellStart"/>
            <w:r w:rsidRPr="002A790B">
              <w:rPr>
                <w:rFonts w:ascii="Calibri" w:hAnsi="Calibri" w:cs="Calibri"/>
                <w:sz w:val="20"/>
                <w:szCs w:val="20"/>
              </w:rPr>
              <w:t>paritaprevir</w:t>
            </w:r>
            <w:proofErr w:type="spellEnd"/>
            <w:r w:rsidRPr="002A790B">
              <w:rPr>
                <w:rFonts w:ascii="Calibri" w:hAnsi="Calibri" w:cs="Calibri"/>
                <w:sz w:val="20"/>
                <w:szCs w:val="20"/>
              </w:rPr>
              <w:t xml:space="preserve"> (based on the cross</w:t>
            </w:r>
            <w:r w:rsidRPr="002A790B">
              <w:rPr>
                <w:rFonts w:ascii="Calibri" w:hAnsi="Calibri" w:cs="Calibri"/>
                <w:sz w:val="20"/>
                <w:szCs w:val="20"/>
              </w:rPr>
              <w:noBreakHyphen/>
              <w:t>study comparison)</w:t>
            </w:r>
          </w:p>
        </w:tc>
        <w:tc>
          <w:tcPr>
            <w:tcW w:w="2411" w:type="dxa"/>
            <w:vMerge/>
          </w:tcPr>
          <w:p w:rsidR="00DA11D2" w:rsidRPr="002A790B" w:rsidRDefault="00DA11D2">
            <w:pPr>
              <w:rPr>
                <w:rFonts w:cstheme="minorHAnsi"/>
                <w:sz w:val="20"/>
                <w:szCs w:val="20"/>
              </w:rPr>
            </w:pPr>
          </w:p>
        </w:tc>
      </w:tr>
      <w:tr w:rsidR="006C466F" w:rsidRPr="00A47F4F" w:rsidTr="00ED3483">
        <w:trPr>
          <w:trHeight w:val="98"/>
        </w:trPr>
        <w:tc>
          <w:tcPr>
            <w:tcW w:w="1752" w:type="dxa"/>
            <w:vMerge w:val="restart"/>
          </w:tcPr>
          <w:p w:rsidR="00DA11D2" w:rsidRPr="002A790B" w:rsidRDefault="00DA11D2">
            <w:pPr>
              <w:tabs>
                <w:tab w:val="left" w:pos="567"/>
              </w:tabs>
              <w:rPr>
                <w:rFonts w:cstheme="minorHAnsi"/>
                <w:sz w:val="20"/>
                <w:szCs w:val="20"/>
              </w:rPr>
            </w:pPr>
            <w:r w:rsidRPr="002A790B">
              <w:rPr>
                <w:rFonts w:cstheme="minorHAnsi"/>
                <w:sz w:val="20"/>
                <w:szCs w:val="20"/>
              </w:rPr>
              <w:t>Buprenorphine/ naloxone</w:t>
            </w:r>
          </w:p>
          <w:p w:rsidR="00DA11D2" w:rsidRPr="002A790B" w:rsidRDefault="00DA11D2">
            <w:pPr>
              <w:tabs>
                <w:tab w:val="left" w:pos="567"/>
              </w:tabs>
              <w:rPr>
                <w:rFonts w:cstheme="minorHAnsi"/>
                <w:sz w:val="20"/>
                <w:szCs w:val="20"/>
              </w:rPr>
            </w:pPr>
            <w:r w:rsidRPr="002A790B">
              <w:rPr>
                <w:rFonts w:cstheme="minorHAnsi"/>
                <w:sz w:val="20"/>
                <w:szCs w:val="20"/>
              </w:rPr>
              <w:t>4-24 mg/1-6 mg once daily</w:t>
            </w:r>
            <w:r w:rsidRPr="002A790B">
              <w:rPr>
                <w:rFonts w:cstheme="minorHAnsi"/>
                <w:sz w:val="20"/>
                <w:szCs w:val="20"/>
                <w:vertAlign w:val="superscript"/>
              </w:rPr>
              <w:t>6</w:t>
            </w:r>
          </w:p>
        </w:tc>
        <w:tc>
          <w:tcPr>
            <w:tcW w:w="1327" w:type="dxa"/>
            <w:gridSpan w:val="6"/>
          </w:tcPr>
          <w:p w:rsidR="00DA11D2" w:rsidRPr="002A790B" w:rsidRDefault="00DA11D2">
            <w:pPr>
              <w:tabs>
                <w:tab w:val="left" w:pos="567"/>
              </w:tabs>
              <w:rPr>
                <w:rFonts w:ascii="Calibri" w:hAnsi="Calibri" w:cs="Calibri"/>
                <w:sz w:val="20"/>
                <w:szCs w:val="20"/>
              </w:rPr>
            </w:pPr>
          </w:p>
        </w:tc>
        <w:tc>
          <w:tcPr>
            <w:tcW w:w="1135" w:type="dxa"/>
            <w:gridSpan w:val="6"/>
          </w:tcPr>
          <w:p w:rsidR="00DA11D2" w:rsidRPr="002A790B" w:rsidRDefault="00DA11D2">
            <w:pPr>
              <w:tabs>
                <w:tab w:val="left" w:pos="567"/>
              </w:tabs>
              <w:jc w:val="center"/>
              <w:rPr>
                <w:rFonts w:ascii="Calibri" w:hAnsi="Calibri" w:cs="Calibri"/>
                <w:sz w:val="20"/>
                <w:szCs w:val="20"/>
                <w:vertAlign w:val="subscript"/>
              </w:rPr>
            </w:pPr>
            <w:proofErr w:type="spellStart"/>
            <w:r w:rsidRPr="002A790B">
              <w:rPr>
                <w:rFonts w:ascii="Calibri" w:hAnsi="Calibri" w:cs="Calibri"/>
                <w:sz w:val="20"/>
                <w:szCs w:val="20"/>
              </w:rPr>
              <w:t>C</w:t>
            </w:r>
            <w:r w:rsidRPr="002A790B">
              <w:rPr>
                <w:rFonts w:ascii="Calibri" w:hAnsi="Calibri" w:cs="Calibri"/>
                <w:sz w:val="20"/>
                <w:szCs w:val="20"/>
                <w:vertAlign w:val="subscript"/>
              </w:rPr>
              <w:t>max</w:t>
            </w:r>
            <w:proofErr w:type="spellEnd"/>
          </w:p>
        </w:tc>
        <w:tc>
          <w:tcPr>
            <w:tcW w:w="1128" w:type="dxa"/>
            <w:gridSpan w:val="4"/>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AUC</w:t>
            </w:r>
          </w:p>
        </w:tc>
        <w:tc>
          <w:tcPr>
            <w:tcW w:w="1427" w:type="dxa"/>
            <w:gridSpan w:val="6"/>
          </w:tcPr>
          <w:p w:rsidR="00DA11D2" w:rsidRPr="002A790B" w:rsidRDefault="00DA11D2">
            <w:pPr>
              <w:tabs>
                <w:tab w:val="left" w:pos="567"/>
              </w:tabs>
              <w:jc w:val="center"/>
              <w:rPr>
                <w:rFonts w:ascii="Calibri" w:hAnsi="Calibri" w:cs="Calibri"/>
                <w:sz w:val="20"/>
                <w:szCs w:val="20"/>
              </w:rPr>
            </w:pPr>
            <w:proofErr w:type="spellStart"/>
            <w:r w:rsidRPr="002A790B">
              <w:rPr>
                <w:rFonts w:ascii="Calibri" w:hAnsi="Calibri" w:cs="Calibri"/>
                <w:sz w:val="20"/>
                <w:szCs w:val="20"/>
              </w:rPr>
              <w:t>C</w:t>
            </w:r>
            <w:r w:rsidRPr="002A790B">
              <w:rPr>
                <w:rFonts w:ascii="Calibri" w:hAnsi="Calibri" w:cs="Calibri"/>
                <w:sz w:val="20"/>
                <w:szCs w:val="20"/>
                <w:vertAlign w:val="subscript"/>
              </w:rPr>
              <w:t>min</w:t>
            </w:r>
            <w:proofErr w:type="spellEnd"/>
          </w:p>
        </w:tc>
        <w:tc>
          <w:tcPr>
            <w:tcW w:w="2411" w:type="dxa"/>
            <w:vMerge w:val="restart"/>
          </w:tcPr>
          <w:p w:rsidR="00DA11D2" w:rsidRPr="002A790B" w:rsidRDefault="00DA11D2">
            <w:pPr>
              <w:tabs>
                <w:tab w:val="left" w:pos="567"/>
              </w:tabs>
              <w:rPr>
                <w:rFonts w:cstheme="minorHAnsi"/>
                <w:sz w:val="20"/>
                <w:szCs w:val="20"/>
              </w:rPr>
            </w:pPr>
            <w:r w:rsidRPr="002A790B">
              <w:rPr>
                <w:rFonts w:cstheme="minorHAnsi"/>
                <w:sz w:val="20"/>
                <w:szCs w:val="20"/>
              </w:rPr>
              <w:t>No dose adjustment is necessary for buprenorphine/naloxone.</w:t>
            </w:r>
          </w:p>
          <w:p w:rsidR="00DA11D2" w:rsidRPr="002A790B" w:rsidRDefault="00DA11D2">
            <w:pPr>
              <w:rPr>
                <w:rFonts w:cstheme="minorHAnsi"/>
                <w:sz w:val="20"/>
                <w:szCs w:val="20"/>
              </w:rPr>
            </w:pPr>
          </w:p>
        </w:tc>
      </w:tr>
      <w:tr w:rsidR="006C466F" w:rsidRPr="00A47F4F" w:rsidTr="00ED3483">
        <w:trPr>
          <w:trHeight w:val="98"/>
        </w:trPr>
        <w:tc>
          <w:tcPr>
            <w:tcW w:w="1752" w:type="dxa"/>
            <w:vMerge/>
          </w:tcPr>
          <w:p w:rsidR="00DA11D2" w:rsidRPr="002A790B" w:rsidRDefault="00DA11D2">
            <w:pPr>
              <w:tabs>
                <w:tab w:val="left" w:pos="567"/>
              </w:tabs>
              <w:rPr>
                <w:rFonts w:cstheme="minorHAnsi"/>
                <w:sz w:val="20"/>
                <w:szCs w:val="20"/>
              </w:rPr>
            </w:pPr>
          </w:p>
        </w:tc>
        <w:tc>
          <w:tcPr>
            <w:tcW w:w="1327" w:type="dxa"/>
            <w:gridSpan w:val="6"/>
          </w:tcPr>
          <w:p w:rsidR="00DA11D2" w:rsidRPr="002A790B" w:rsidRDefault="00DA11D2" w:rsidP="003A240F">
            <w:pPr>
              <w:tabs>
                <w:tab w:val="left" w:pos="567"/>
              </w:tabs>
              <w:rPr>
                <w:rFonts w:ascii="Calibri" w:hAnsi="Calibri" w:cs="Calibri"/>
                <w:sz w:val="20"/>
                <w:szCs w:val="20"/>
              </w:rPr>
            </w:pPr>
            <w:r w:rsidRPr="002A790B">
              <w:rPr>
                <w:rFonts w:ascii="Calibri" w:hAnsi="Calibri" w:cs="Calibri"/>
                <w:sz w:val="20"/>
                <w:szCs w:val="20"/>
              </w:rPr>
              <w:t>↑ buprenorphine</w:t>
            </w:r>
          </w:p>
        </w:tc>
        <w:tc>
          <w:tcPr>
            <w:tcW w:w="1135" w:type="dxa"/>
            <w:gridSpan w:val="6"/>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1.19</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(1.01-1.40)</w:t>
            </w:r>
          </w:p>
        </w:tc>
        <w:tc>
          <w:tcPr>
            <w:tcW w:w="1128" w:type="dxa"/>
            <w:gridSpan w:val="4"/>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1.51</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(1.27-1.78)</w:t>
            </w:r>
          </w:p>
        </w:tc>
        <w:tc>
          <w:tcPr>
            <w:tcW w:w="1427" w:type="dxa"/>
            <w:gridSpan w:val="6"/>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1.65</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(1.30-2.08)</w:t>
            </w:r>
          </w:p>
        </w:tc>
        <w:tc>
          <w:tcPr>
            <w:tcW w:w="2411" w:type="dxa"/>
            <w:vMerge/>
          </w:tcPr>
          <w:p w:rsidR="00DA11D2" w:rsidRPr="002A790B" w:rsidRDefault="00DA11D2">
            <w:pPr>
              <w:rPr>
                <w:rFonts w:cstheme="minorHAnsi"/>
                <w:sz w:val="20"/>
                <w:szCs w:val="20"/>
              </w:rPr>
            </w:pPr>
          </w:p>
        </w:tc>
      </w:tr>
      <w:tr w:rsidR="006C466F" w:rsidRPr="00A47F4F" w:rsidTr="00ED3483">
        <w:trPr>
          <w:trHeight w:val="98"/>
        </w:trPr>
        <w:tc>
          <w:tcPr>
            <w:tcW w:w="1752" w:type="dxa"/>
            <w:vMerge/>
          </w:tcPr>
          <w:p w:rsidR="00DA11D2" w:rsidRPr="002A790B" w:rsidRDefault="00DA11D2">
            <w:pPr>
              <w:tabs>
                <w:tab w:val="left" w:pos="567"/>
              </w:tabs>
              <w:rPr>
                <w:rFonts w:cstheme="minorHAnsi"/>
                <w:sz w:val="20"/>
                <w:szCs w:val="20"/>
              </w:rPr>
            </w:pPr>
          </w:p>
        </w:tc>
        <w:tc>
          <w:tcPr>
            <w:tcW w:w="1327" w:type="dxa"/>
            <w:gridSpan w:val="6"/>
          </w:tcPr>
          <w:p w:rsidR="00DA11D2" w:rsidRPr="002A790B" w:rsidRDefault="00DA11D2" w:rsidP="003A240F">
            <w:pPr>
              <w:tabs>
                <w:tab w:val="left" w:pos="567"/>
              </w:tabs>
              <w:rPr>
                <w:rFonts w:ascii="Calibri" w:hAnsi="Calibri" w:cs="Calibri"/>
                <w:sz w:val="20"/>
                <w:szCs w:val="20"/>
              </w:rPr>
            </w:pPr>
            <w:r w:rsidRPr="002A790B">
              <w:rPr>
                <w:rFonts w:ascii="Calibri" w:hAnsi="Calibri" w:cs="Calibri"/>
                <w:sz w:val="20"/>
                <w:szCs w:val="20"/>
              </w:rPr>
              <w:t xml:space="preserve">↑ </w:t>
            </w:r>
            <w:proofErr w:type="spellStart"/>
            <w:r w:rsidRPr="002A790B">
              <w:rPr>
                <w:rFonts w:ascii="Calibri" w:hAnsi="Calibri" w:cs="Calibri"/>
                <w:sz w:val="20"/>
                <w:szCs w:val="20"/>
              </w:rPr>
              <w:t>norbuprenorphine</w:t>
            </w:r>
            <w:proofErr w:type="spellEnd"/>
          </w:p>
        </w:tc>
        <w:tc>
          <w:tcPr>
            <w:tcW w:w="1135" w:type="dxa"/>
            <w:gridSpan w:val="6"/>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1.82</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(1.41-2.36)</w:t>
            </w:r>
          </w:p>
        </w:tc>
        <w:tc>
          <w:tcPr>
            <w:tcW w:w="1128" w:type="dxa"/>
            <w:gridSpan w:val="4"/>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2.11</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(1.65-2.70)</w:t>
            </w:r>
          </w:p>
        </w:tc>
        <w:tc>
          <w:tcPr>
            <w:tcW w:w="1427" w:type="dxa"/>
            <w:gridSpan w:val="6"/>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1.87</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(1.48-2.36)</w:t>
            </w:r>
          </w:p>
        </w:tc>
        <w:tc>
          <w:tcPr>
            <w:tcW w:w="2411" w:type="dxa"/>
            <w:vMerge/>
          </w:tcPr>
          <w:p w:rsidR="00DA11D2" w:rsidRPr="002A790B" w:rsidRDefault="00DA11D2">
            <w:pPr>
              <w:rPr>
                <w:rFonts w:cstheme="minorHAnsi"/>
                <w:sz w:val="20"/>
                <w:szCs w:val="20"/>
              </w:rPr>
            </w:pPr>
          </w:p>
        </w:tc>
      </w:tr>
      <w:tr w:rsidR="006C466F" w:rsidRPr="00A47F4F" w:rsidTr="00ED3483">
        <w:trPr>
          <w:trHeight w:val="98"/>
        </w:trPr>
        <w:tc>
          <w:tcPr>
            <w:tcW w:w="1752" w:type="dxa"/>
            <w:vMerge/>
          </w:tcPr>
          <w:p w:rsidR="00DA11D2" w:rsidRPr="002A790B" w:rsidRDefault="00DA11D2">
            <w:pPr>
              <w:tabs>
                <w:tab w:val="left" w:pos="567"/>
              </w:tabs>
              <w:rPr>
                <w:rFonts w:cstheme="minorHAnsi"/>
                <w:sz w:val="20"/>
                <w:szCs w:val="20"/>
              </w:rPr>
            </w:pPr>
          </w:p>
        </w:tc>
        <w:tc>
          <w:tcPr>
            <w:tcW w:w="1327" w:type="dxa"/>
            <w:gridSpan w:val="6"/>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naloxone</w:t>
            </w:r>
          </w:p>
        </w:tc>
        <w:tc>
          <w:tcPr>
            <w:tcW w:w="1135" w:type="dxa"/>
            <w:gridSpan w:val="6"/>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0.99</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(0.84-1.16)</w:t>
            </w:r>
          </w:p>
        </w:tc>
        <w:tc>
          <w:tcPr>
            <w:tcW w:w="1128" w:type="dxa"/>
            <w:gridSpan w:val="4"/>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1.11</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(0.91-1.37)</w:t>
            </w:r>
          </w:p>
        </w:tc>
        <w:tc>
          <w:tcPr>
            <w:tcW w:w="1427" w:type="dxa"/>
            <w:gridSpan w:val="6"/>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NA</w:t>
            </w:r>
          </w:p>
        </w:tc>
        <w:tc>
          <w:tcPr>
            <w:tcW w:w="2411" w:type="dxa"/>
            <w:vMerge/>
          </w:tcPr>
          <w:p w:rsidR="00DA11D2" w:rsidRPr="002A790B" w:rsidRDefault="00DA11D2">
            <w:pPr>
              <w:rPr>
                <w:rFonts w:cstheme="minorHAnsi"/>
                <w:sz w:val="20"/>
                <w:szCs w:val="20"/>
              </w:rPr>
            </w:pPr>
          </w:p>
        </w:tc>
      </w:tr>
      <w:tr w:rsidR="006C466F" w:rsidRPr="00A47F4F" w:rsidTr="00ED3483">
        <w:trPr>
          <w:trHeight w:val="98"/>
        </w:trPr>
        <w:tc>
          <w:tcPr>
            <w:tcW w:w="1752" w:type="dxa"/>
            <w:vMerge/>
          </w:tcPr>
          <w:p w:rsidR="00DA11D2" w:rsidRPr="002A790B" w:rsidRDefault="00DA11D2">
            <w:pPr>
              <w:tabs>
                <w:tab w:val="left" w:pos="567"/>
              </w:tabs>
              <w:rPr>
                <w:rFonts w:cstheme="minorHAnsi"/>
                <w:sz w:val="20"/>
                <w:szCs w:val="20"/>
              </w:rPr>
            </w:pPr>
          </w:p>
        </w:tc>
        <w:tc>
          <w:tcPr>
            <w:tcW w:w="5017" w:type="dxa"/>
            <w:gridSpan w:val="22"/>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xml:space="preserve">↔ </w:t>
            </w:r>
            <w:proofErr w:type="spellStart"/>
            <w:r w:rsidRPr="002A790B">
              <w:rPr>
                <w:rFonts w:ascii="Calibri" w:hAnsi="Calibri" w:cs="Calibri"/>
                <w:sz w:val="20"/>
                <w:szCs w:val="20"/>
              </w:rPr>
              <w:t>ombitasvir</w:t>
            </w:r>
            <w:proofErr w:type="spellEnd"/>
            <w:r w:rsidRPr="002A790B">
              <w:rPr>
                <w:rFonts w:ascii="Calibri" w:hAnsi="Calibri" w:cs="Calibri"/>
                <w:sz w:val="20"/>
                <w:szCs w:val="20"/>
              </w:rPr>
              <w:t xml:space="preserve"> and </w:t>
            </w:r>
            <w:proofErr w:type="spellStart"/>
            <w:r w:rsidRPr="002A790B">
              <w:rPr>
                <w:rFonts w:ascii="Calibri" w:hAnsi="Calibri" w:cs="Calibri"/>
                <w:sz w:val="20"/>
                <w:szCs w:val="20"/>
              </w:rPr>
              <w:t>paritaprevir</w:t>
            </w:r>
            <w:proofErr w:type="spellEnd"/>
            <w:r w:rsidRPr="002A790B">
              <w:rPr>
                <w:rFonts w:ascii="Calibri" w:hAnsi="Calibri" w:cs="Calibri"/>
                <w:sz w:val="20"/>
                <w:szCs w:val="20"/>
              </w:rPr>
              <w:t xml:space="preserve"> (based on the cross-study </w:t>
            </w:r>
            <w:r w:rsidRPr="002A790B">
              <w:rPr>
                <w:rFonts w:ascii="Calibri" w:hAnsi="Calibri" w:cs="Calibri"/>
                <w:sz w:val="20"/>
                <w:szCs w:val="20"/>
              </w:rPr>
              <w:lastRenderedPageBreak/>
              <w:t>comparison)</w:t>
            </w:r>
          </w:p>
        </w:tc>
        <w:tc>
          <w:tcPr>
            <w:tcW w:w="2411" w:type="dxa"/>
            <w:vMerge/>
          </w:tcPr>
          <w:p w:rsidR="00DA11D2" w:rsidRPr="002A790B" w:rsidRDefault="00DA11D2">
            <w:pPr>
              <w:rPr>
                <w:rFonts w:cstheme="minorHAnsi"/>
                <w:sz w:val="20"/>
                <w:szCs w:val="20"/>
              </w:rPr>
            </w:pPr>
          </w:p>
        </w:tc>
      </w:tr>
      <w:tr w:rsidR="006C466F" w:rsidRPr="00A47F4F" w:rsidTr="00ED3483">
        <w:trPr>
          <w:trHeight w:val="67"/>
        </w:trPr>
        <w:tc>
          <w:tcPr>
            <w:tcW w:w="1752" w:type="dxa"/>
            <w:vMerge w:val="restart"/>
          </w:tcPr>
          <w:p w:rsidR="006C466F" w:rsidRPr="002A790B" w:rsidRDefault="006C466F">
            <w:pPr>
              <w:tabs>
                <w:tab w:val="left" w:pos="567"/>
              </w:tabs>
              <w:rPr>
                <w:rFonts w:cstheme="minorHAnsi"/>
                <w:sz w:val="20"/>
                <w:szCs w:val="20"/>
              </w:rPr>
            </w:pPr>
            <w:r>
              <w:rPr>
                <w:rFonts w:cstheme="minorHAnsi"/>
                <w:sz w:val="20"/>
                <w:szCs w:val="20"/>
              </w:rPr>
              <w:lastRenderedPageBreak/>
              <w:t>Hydrocodone</w:t>
            </w:r>
          </w:p>
        </w:tc>
        <w:tc>
          <w:tcPr>
            <w:tcW w:w="1327" w:type="dxa"/>
            <w:gridSpan w:val="6"/>
          </w:tcPr>
          <w:p w:rsidR="006C466F" w:rsidRPr="002A790B" w:rsidRDefault="006C466F">
            <w:pPr>
              <w:tabs>
                <w:tab w:val="left" w:pos="567"/>
              </w:tabs>
              <w:rPr>
                <w:rFonts w:ascii="Calibri" w:hAnsi="Calibri" w:cs="Calibri"/>
                <w:sz w:val="20"/>
                <w:szCs w:val="20"/>
              </w:rPr>
            </w:pPr>
          </w:p>
        </w:tc>
        <w:tc>
          <w:tcPr>
            <w:tcW w:w="1181" w:type="dxa"/>
            <w:gridSpan w:val="7"/>
          </w:tcPr>
          <w:p w:rsidR="006C466F" w:rsidRPr="002A790B" w:rsidRDefault="006C466F" w:rsidP="006C466F">
            <w:pPr>
              <w:tabs>
                <w:tab w:val="left" w:pos="567"/>
              </w:tabs>
              <w:jc w:val="center"/>
              <w:rPr>
                <w:rFonts w:ascii="Calibri" w:hAnsi="Calibri" w:cs="Calibri"/>
                <w:sz w:val="20"/>
                <w:szCs w:val="20"/>
              </w:rPr>
            </w:pPr>
            <w:proofErr w:type="spellStart"/>
            <w:r w:rsidRPr="006C466F">
              <w:rPr>
                <w:rFonts w:ascii="Calibri" w:hAnsi="Calibri" w:cs="Calibri"/>
                <w:sz w:val="20"/>
                <w:szCs w:val="20"/>
              </w:rPr>
              <w:t>C</w:t>
            </w:r>
            <w:r w:rsidRPr="006C466F">
              <w:rPr>
                <w:rFonts w:ascii="Calibri" w:hAnsi="Calibri" w:cs="Calibri"/>
                <w:sz w:val="20"/>
                <w:szCs w:val="20"/>
                <w:vertAlign w:val="subscript"/>
              </w:rPr>
              <w:t>max</w:t>
            </w:r>
            <w:proofErr w:type="spellEnd"/>
          </w:p>
        </w:tc>
        <w:tc>
          <w:tcPr>
            <w:tcW w:w="1235" w:type="dxa"/>
            <w:gridSpan w:val="7"/>
          </w:tcPr>
          <w:p w:rsidR="006C466F" w:rsidRPr="00ED3483" w:rsidRDefault="006C466F" w:rsidP="006C466F">
            <w:pPr>
              <w:tabs>
                <w:tab w:val="left" w:pos="567"/>
              </w:tabs>
              <w:jc w:val="center"/>
              <w:rPr>
                <w:rFonts w:ascii="Calibri" w:hAnsi="Calibri" w:cs="Calibri"/>
                <w:sz w:val="20"/>
                <w:szCs w:val="20"/>
              </w:rPr>
            </w:pPr>
            <w:r w:rsidRPr="00ED3483">
              <w:rPr>
                <w:rFonts w:cstheme="minorHAnsi"/>
                <w:sz w:val="20"/>
                <w:szCs w:val="24"/>
              </w:rPr>
              <w:t>AUC</w:t>
            </w:r>
          </w:p>
        </w:tc>
        <w:tc>
          <w:tcPr>
            <w:tcW w:w="1274" w:type="dxa"/>
            <w:gridSpan w:val="2"/>
          </w:tcPr>
          <w:p w:rsidR="006C466F" w:rsidRPr="002A790B" w:rsidRDefault="006C466F" w:rsidP="006C466F">
            <w:pPr>
              <w:tabs>
                <w:tab w:val="left" w:pos="567"/>
              </w:tabs>
              <w:jc w:val="center"/>
              <w:rPr>
                <w:rFonts w:ascii="Calibri" w:hAnsi="Calibri" w:cs="Calibri"/>
                <w:sz w:val="20"/>
                <w:szCs w:val="20"/>
              </w:rPr>
            </w:pPr>
            <w:proofErr w:type="spellStart"/>
            <w:r w:rsidRPr="006C466F">
              <w:rPr>
                <w:rFonts w:ascii="Calibri" w:hAnsi="Calibri" w:cs="Calibri"/>
                <w:sz w:val="20"/>
                <w:szCs w:val="20"/>
              </w:rPr>
              <w:t>C</w:t>
            </w:r>
            <w:r w:rsidRPr="006C466F">
              <w:rPr>
                <w:rFonts w:ascii="Calibri" w:hAnsi="Calibri" w:cs="Calibri"/>
                <w:sz w:val="20"/>
                <w:szCs w:val="20"/>
                <w:vertAlign w:val="subscript"/>
              </w:rPr>
              <w:t>min</w:t>
            </w:r>
            <w:proofErr w:type="spellEnd"/>
          </w:p>
        </w:tc>
        <w:tc>
          <w:tcPr>
            <w:tcW w:w="2411" w:type="dxa"/>
            <w:vMerge w:val="restart"/>
          </w:tcPr>
          <w:p w:rsidR="006C466F" w:rsidRPr="002A790B" w:rsidRDefault="006C466F">
            <w:pPr>
              <w:rPr>
                <w:rFonts w:cstheme="minorHAnsi"/>
                <w:sz w:val="20"/>
                <w:szCs w:val="20"/>
              </w:rPr>
            </w:pPr>
            <w:r w:rsidRPr="00997A74">
              <w:rPr>
                <w:rFonts w:cstheme="minorHAnsi"/>
                <w:sz w:val="20"/>
                <w:szCs w:val="20"/>
                <w:lang w:val="en-US"/>
              </w:rPr>
              <w:t xml:space="preserve">Reduce the dose of hydrocodone by 50% and monitor patients for respiratory depression and sedation at frequent intervals. Upon completion of </w:t>
            </w:r>
            <w:r>
              <w:rPr>
                <w:rFonts w:cstheme="minorHAnsi"/>
                <w:sz w:val="20"/>
                <w:szCs w:val="20"/>
                <w:lang w:val="en-US"/>
              </w:rPr>
              <w:t>TECHNIVIE</w:t>
            </w:r>
            <w:r w:rsidRPr="00997A74">
              <w:rPr>
                <w:rFonts w:cstheme="minorHAnsi"/>
                <w:sz w:val="20"/>
                <w:szCs w:val="20"/>
                <w:lang w:val="en-US"/>
              </w:rPr>
              <w:t xml:space="preserve"> therapy, adjust the hydrocodone dose and monitor for signs of opioid withdrawa</w:t>
            </w:r>
            <w:r>
              <w:rPr>
                <w:rFonts w:cstheme="minorHAnsi"/>
                <w:sz w:val="20"/>
                <w:szCs w:val="20"/>
                <w:lang w:val="en-US"/>
              </w:rPr>
              <w:t>l.</w:t>
            </w:r>
          </w:p>
        </w:tc>
      </w:tr>
      <w:tr w:rsidR="006C466F" w:rsidRPr="00A47F4F" w:rsidTr="00ED3483">
        <w:trPr>
          <w:trHeight w:val="67"/>
        </w:trPr>
        <w:tc>
          <w:tcPr>
            <w:tcW w:w="1752" w:type="dxa"/>
            <w:vMerge/>
          </w:tcPr>
          <w:p w:rsidR="006C466F" w:rsidRPr="002A790B" w:rsidRDefault="006C466F">
            <w:pPr>
              <w:tabs>
                <w:tab w:val="left" w:pos="567"/>
              </w:tabs>
              <w:rPr>
                <w:rFonts w:cstheme="minorHAnsi"/>
                <w:sz w:val="20"/>
                <w:szCs w:val="20"/>
              </w:rPr>
            </w:pPr>
          </w:p>
        </w:tc>
        <w:tc>
          <w:tcPr>
            <w:tcW w:w="1327" w:type="dxa"/>
            <w:gridSpan w:val="6"/>
          </w:tcPr>
          <w:p w:rsidR="006C466F" w:rsidRPr="002A790B" w:rsidRDefault="006C466F">
            <w:pPr>
              <w:tabs>
                <w:tab w:val="left" w:pos="567"/>
              </w:tabs>
              <w:rPr>
                <w:rFonts w:ascii="Calibri" w:hAnsi="Calibri" w:cs="Calibri"/>
                <w:sz w:val="20"/>
                <w:szCs w:val="20"/>
              </w:rPr>
            </w:pPr>
            <w:r w:rsidRPr="006C466F">
              <w:rPr>
                <w:rFonts w:ascii="Calibri" w:hAnsi="Calibri" w:cs="Calibri"/>
                <w:sz w:val="20"/>
                <w:szCs w:val="20"/>
              </w:rPr>
              <w:t>↑  hydrocodone</w:t>
            </w:r>
          </w:p>
        </w:tc>
        <w:tc>
          <w:tcPr>
            <w:tcW w:w="1181" w:type="dxa"/>
            <w:gridSpan w:val="7"/>
          </w:tcPr>
          <w:p w:rsidR="006C466F" w:rsidRPr="006C466F" w:rsidRDefault="006C466F" w:rsidP="006C466F">
            <w:pPr>
              <w:tabs>
                <w:tab w:val="left" w:pos="567"/>
              </w:tabs>
              <w:jc w:val="center"/>
              <w:rPr>
                <w:rFonts w:ascii="Calibri" w:hAnsi="Calibri" w:cs="Calibri"/>
                <w:sz w:val="20"/>
                <w:szCs w:val="20"/>
              </w:rPr>
            </w:pPr>
            <w:r w:rsidRPr="006C466F">
              <w:rPr>
                <w:rFonts w:ascii="Calibri" w:hAnsi="Calibri" w:cs="Calibri"/>
                <w:sz w:val="20"/>
                <w:szCs w:val="20"/>
              </w:rPr>
              <w:t>1.27</w:t>
            </w:r>
          </w:p>
          <w:p w:rsidR="006C466F" w:rsidRPr="002A790B" w:rsidRDefault="006C466F" w:rsidP="006C466F">
            <w:pPr>
              <w:tabs>
                <w:tab w:val="left" w:pos="567"/>
              </w:tabs>
              <w:jc w:val="center"/>
              <w:rPr>
                <w:rFonts w:ascii="Calibri" w:hAnsi="Calibri" w:cs="Calibri"/>
                <w:sz w:val="20"/>
                <w:szCs w:val="20"/>
              </w:rPr>
            </w:pPr>
            <w:r w:rsidRPr="006C466F">
              <w:rPr>
                <w:rFonts w:ascii="Calibri" w:hAnsi="Calibri" w:cs="Calibri"/>
                <w:sz w:val="20"/>
                <w:szCs w:val="20"/>
              </w:rPr>
              <w:t>(1.14-1.40)</w:t>
            </w:r>
          </w:p>
        </w:tc>
        <w:tc>
          <w:tcPr>
            <w:tcW w:w="1235" w:type="dxa"/>
            <w:gridSpan w:val="7"/>
          </w:tcPr>
          <w:p w:rsidR="006C466F" w:rsidRPr="00ED3483" w:rsidRDefault="006C466F" w:rsidP="006C466F">
            <w:pPr>
              <w:tabs>
                <w:tab w:val="left" w:pos="567"/>
              </w:tabs>
              <w:jc w:val="center"/>
              <w:rPr>
                <w:rFonts w:ascii="Calibri" w:hAnsi="Calibri" w:cs="Calibri"/>
                <w:sz w:val="20"/>
                <w:szCs w:val="20"/>
              </w:rPr>
            </w:pPr>
            <w:r w:rsidRPr="00ED3483">
              <w:rPr>
                <w:rFonts w:ascii="Calibri" w:hAnsi="Calibri" w:cs="Calibri"/>
                <w:sz w:val="20"/>
                <w:szCs w:val="20"/>
              </w:rPr>
              <w:t>1.90</w:t>
            </w:r>
          </w:p>
          <w:p w:rsidR="006C466F" w:rsidRPr="00ED3483" w:rsidRDefault="006C466F" w:rsidP="006C466F">
            <w:pPr>
              <w:tabs>
                <w:tab w:val="left" w:pos="567"/>
              </w:tabs>
              <w:jc w:val="center"/>
              <w:rPr>
                <w:rFonts w:ascii="Calibri" w:hAnsi="Calibri" w:cs="Calibri"/>
                <w:sz w:val="20"/>
                <w:szCs w:val="20"/>
              </w:rPr>
            </w:pPr>
            <w:r w:rsidRPr="00ED3483">
              <w:rPr>
                <w:rFonts w:ascii="Calibri" w:hAnsi="Calibri" w:cs="Calibri"/>
                <w:sz w:val="20"/>
                <w:szCs w:val="20"/>
              </w:rPr>
              <w:t>(1.72-2.10)</w:t>
            </w:r>
          </w:p>
        </w:tc>
        <w:tc>
          <w:tcPr>
            <w:tcW w:w="1274" w:type="dxa"/>
            <w:gridSpan w:val="2"/>
          </w:tcPr>
          <w:p w:rsidR="006C466F" w:rsidRPr="002A790B" w:rsidRDefault="006C466F" w:rsidP="006C466F">
            <w:pPr>
              <w:tabs>
                <w:tab w:val="left" w:pos="567"/>
              </w:tabs>
              <w:jc w:val="center"/>
              <w:rPr>
                <w:rFonts w:ascii="Calibri" w:hAnsi="Calibri" w:cs="Calibri"/>
                <w:sz w:val="20"/>
                <w:szCs w:val="20"/>
              </w:rPr>
            </w:pPr>
            <w:r w:rsidRPr="006C466F">
              <w:rPr>
                <w:rFonts w:ascii="Calibri" w:hAnsi="Calibri" w:cs="Calibri"/>
                <w:sz w:val="20"/>
                <w:szCs w:val="20"/>
              </w:rPr>
              <w:t>NA</w:t>
            </w:r>
          </w:p>
        </w:tc>
        <w:tc>
          <w:tcPr>
            <w:tcW w:w="2411" w:type="dxa"/>
            <w:vMerge/>
          </w:tcPr>
          <w:p w:rsidR="006C466F" w:rsidRPr="002A790B" w:rsidRDefault="006C466F">
            <w:pPr>
              <w:rPr>
                <w:rFonts w:cstheme="minorHAnsi"/>
                <w:sz w:val="20"/>
                <w:szCs w:val="20"/>
              </w:rPr>
            </w:pPr>
          </w:p>
        </w:tc>
      </w:tr>
      <w:tr w:rsidR="006C466F" w:rsidRPr="00A47F4F" w:rsidTr="00ED3483">
        <w:trPr>
          <w:trHeight w:val="67"/>
        </w:trPr>
        <w:tc>
          <w:tcPr>
            <w:tcW w:w="1752" w:type="dxa"/>
            <w:vMerge/>
          </w:tcPr>
          <w:p w:rsidR="006C466F" w:rsidRPr="002A790B" w:rsidRDefault="006C466F">
            <w:pPr>
              <w:tabs>
                <w:tab w:val="left" w:pos="567"/>
              </w:tabs>
              <w:rPr>
                <w:rFonts w:cstheme="minorHAnsi"/>
                <w:sz w:val="20"/>
                <w:szCs w:val="20"/>
              </w:rPr>
            </w:pPr>
          </w:p>
        </w:tc>
        <w:tc>
          <w:tcPr>
            <w:tcW w:w="1327" w:type="dxa"/>
            <w:gridSpan w:val="6"/>
          </w:tcPr>
          <w:p w:rsidR="006C466F" w:rsidRPr="002A790B" w:rsidRDefault="006C466F">
            <w:pPr>
              <w:tabs>
                <w:tab w:val="left" w:pos="567"/>
              </w:tabs>
              <w:rPr>
                <w:rFonts w:ascii="Calibri" w:hAnsi="Calibri" w:cs="Calibri"/>
                <w:sz w:val="20"/>
                <w:szCs w:val="20"/>
              </w:rPr>
            </w:pPr>
            <w:r w:rsidRPr="006C466F">
              <w:rPr>
                <w:rFonts w:ascii="Calibri" w:hAnsi="Calibri" w:cs="Calibri"/>
                <w:sz w:val="20"/>
                <w:szCs w:val="20"/>
              </w:rPr>
              <w:t xml:space="preserve">↔ </w:t>
            </w:r>
            <w:proofErr w:type="spellStart"/>
            <w:r w:rsidRPr="006C466F">
              <w:rPr>
                <w:rFonts w:ascii="Calibri" w:hAnsi="Calibri" w:cs="Calibri"/>
                <w:sz w:val="20"/>
                <w:szCs w:val="20"/>
              </w:rPr>
              <w:t>ombitasvir</w:t>
            </w:r>
            <w:proofErr w:type="spellEnd"/>
          </w:p>
        </w:tc>
        <w:tc>
          <w:tcPr>
            <w:tcW w:w="1181" w:type="dxa"/>
            <w:gridSpan w:val="7"/>
          </w:tcPr>
          <w:p w:rsidR="006C466F" w:rsidRPr="006C466F" w:rsidRDefault="006C466F" w:rsidP="006C466F">
            <w:pPr>
              <w:tabs>
                <w:tab w:val="left" w:pos="567"/>
              </w:tabs>
              <w:jc w:val="center"/>
              <w:rPr>
                <w:rFonts w:ascii="Calibri" w:hAnsi="Calibri" w:cs="Calibri"/>
                <w:sz w:val="20"/>
                <w:szCs w:val="20"/>
              </w:rPr>
            </w:pPr>
            <w:r w:rsidRPr="006C466F">
              <w:rPr>
                <w:rFonts w:ascii="Calibri" w:hAnsi="Calibri" w:cs="Calibri"/>
                <w:sz w:val="20"/>
                <w:szCs w:val="20"/>
              </w:rPr>
              <w:t>1.01</w:t>
            </w:r>
          </w:p>
          <w:p w:rsidR="006C466F" w:rsidRPr="002A790B" w:rsidRDefault="006C466F" w:rsidP="006C466F">
            <w:pPr>
              <w:tabs>
                <w:tab w:val="left" w:pos="567"/>
              </w:tabs>
              <w:jc w:val="center"/>
              <w:rPr>
                <w:rFonts w:ascii="Calibri" w:hAnsi="Calibri" w:cs="Calibri"/>
                <w:sz w:val="20"/>
                <w:szCs w:val="20"/>
              </w:rPr>
            </w:pPr>
            <w:r w:rsidRPr="006C466F">
              <w:rPr>
                <w:rFonts w:ascii="Calibri" w:hAnsi="Calibri" w:cs="Calibri"/>
                <w:sz w:val="20"/>
                <w:szCs w:val="20"/>
              </w:rPr>
              <w:t>(0.93-1.10)</w:t>
            </w:r>
          </w:p>
        </w:tc>
        <w:tc>
          <w:tcPr>
            <w:tcW w:w="1235" w:type="dxa"/>
            <w:gridSpan w:val="7"/>
          </w:tcPr>
          <w:p w:rsidR="006C466F" w:rsidRPr="006C466F" w:rsidRDefault="006C466F" w:rsidP="006C466F">
            <w:pPr>
              <w:tabs>
                <w:tab w:val="left" w:pos="567"/>
              </w:tabs>
              <w:jc w:val="center"/>
              <w:rPr>
                <w:rFonts w:ascii="Calibri" w:hAnsi="Calibri" w:cs="Calibri"/>
                <w:sz w:val="20"/>
                <w:szCs w:val="20"/>
              </w:rPr>
            </w:pPr>
            <w:r w:rsidRPr="006C466F">
              <w:rPr>
                <w:rFonts w:ascii="Calibri" w:hAnsi="Calibri" w:cs="Calibri"/>
                <w:sz w:val="20"/>
                <w:szCs w:val="20"/>
              </w:rPr>
              <w:t>0.97</w:t>
            </w:r>
          </w:p>
          <w:p w:rsidR="006C466F" w:rsidRPr="002A790B" w:rsidRDefault="006C466F" w:rsidP="006C466F">
            <w:pPr>
              <w:tabs>
                <w:tab w:val="left" w:pos="567"/>
              </w:tabs>
              <w:jc w:val="center"/>
              <w:rPr>
                <w:rFonts w:ascii="Calibri" w:hAnsi="Calibri" w:cs="Calibri"/>
                <w:sz w:val="20"/>
                <w:szCs w:val="20"/>
              </w:rPr>
            </w:pPr>
            <w:r w:rsidRPr="006C466F">
              <w:rPr>
                <w:rFonts w:ascii="Calibri" w:hAnsi="Calibri" w:cs="Calibri"/>
                <w:sz w:val="20"/>
                <w:szCs w:val="20"/>
              </w:rPr>
              <w:t>(0.93-1.02)</w:t>
            </w:r>
          </w:p>
        </w:tc>
        <w:tc>
          <w:tcPr>
            <w:tcW w:w="1274" w:type="dxa"/>
            <w:gridSpan w:val="2"/>
          </w:tcPr>
          <w:p w:rsidR="006C466F" w:rsidRPr="006C466F" w:rsidRDefault="006C466F" w:rsidP="006C466F">
            <w:pPr>
              <w:tabs>
                <w:tab w:val="left" w:pos="567"/>
              </w:tabs>
              <w:jc w:val="center"/>
              <w:rPr>
                <w:rFonts w:ascii="Calibri" w:hAnsi="Calibri" w:cs="Calibri"/>
                <w:sz w:val="20"/>
                <w:szCs w:val="20"/>
              </w:rPr>
            </w:pPr>
            <w:r w:rsidRPr="006C466F">
              <w:rPr>
                <w:rFonts w:ascii="Calibri" w:hAnsi="Calibri" w:cs="Calibri"/>
                <w:sz w:val="20"/>
                <w:szCs w:val="20"/>
              </w:rPr>
              <w:t>0.93</w:t>
            </w:r>
          </w:p>
          <w:p w:rsidR="006C466F" w:rsidRPr="002A790B" w:rsidRDefault="006C466F" w:rsidP="006C466F">
            <w:pPr>
              <w:tabs>
                <w:tab w:val="left" w:pos="567"/>
              </w:tabs>
              <w:jc w:val="center"/>
              <w:rPr>
                <w:rFonts w:ascii="Calibri" w:hAnsi="Calibri" w:cs="Calibri"/>
                <w:sz w:val="20"/>
                <w:szCs w:val="20"/>
              </w:rPr>
            </w:pPr>
            <w:r w:rsidRPr="006C466F">
              <w:rPr>
                <w:rFonts w:ascii="Calibri" w:hAnsi="Calibri" w:cs="Calibri"/>
                <w:sz w:val="20"/>
                <w:szCs w:val="20"/>
              </w:rPr>
              <w:t>(0.90-0.97)</w:t>
            </w:r>
          </w:p>
        </w:tc>
        <w:tc>
          <w:tcPr>
            <w:tcW w:w="2411" w:type="dxa"/>
            <w:vMerge/>
          </w:tcPr>
          <w:p w:rsidR="006C466F" w:rsidRPr="002A790B" w:rsidRDefault="006C466F">
            <w:pPr>
              <w:rPr>
                <w:rFonts w:cstheme="minorHAnsi"/>
                <w:sz w:val="20"/>
                <w:szCs w:val="20"/>
              </w:rPr>
            </w:pPr>
          </w:p>
        </w:tc>
      </w:tr>
      <w:tr w:rsidR="006C466F" w:rsidRPr="00A47F4F" w:rsidTr="00ED3483">
        <w:trPr>
          <w:trHeight w:val="67"/>
        </w:trPr>
        <w:tc>
          <w:tcPr>
            <w:tcW w:w="1752" w:type="dxa"/>
            <w:vMerge/>
          </w:tcPr>
          <w:p w:rsidR="006C466F" w:rsidRPr="002A790B" w:rsidRDefault="006C466F">
            <w:pPr>
              <w:tabs>
                <w:tab w:val="left" w:pos="567"/>
              </w:tabs>
              <w:rPr>
                <w:rFonts w:cstheme="minorHAnsi"/>
                <w:sz w:val="20"/>
                <w:szCs w:val="20"/>
              </w:rPr>
            </w:pPr>
          </w:p>
        </w:tc>
        <w:tc>
          <w:tcPr>
            <w:tcW w:w="1327" w:type="dxa"/>
            <w:gridSpan w:val="6"/>
          </w:tcPr>
          <w:p w:rsidR="006C466F" w:rsidRPr="002A790B" w:rsidRDefault="006C466F">
            <w:pPr>
              <w:tabs>
                <w:tab w:val="left" w:pos="567"/>
              </w:tabs>
              <w:rPr>
                <w:rFonts w:ascii="Calibri" w:hAnsi="Calibri" w:cs="Calibri"/>
                <w:sz w:val="20"/>
                <w:szCs w:val="20"/>
              </w:rPr>
            </w:pPr>
            <w:r w:rsidRPr="006C466F">
              <w:rPr>
                <w:rFonts w:ascii="Calibri" w:hAnsi="Calibri" w:cs="Calibri"/>
                <w:sz w:val="20"/>
                <w:szCs w:val="20"/>
              </w:rPr>
              <w:t xml:space="preserve">↔ </w:t>
            </w:r>
            <w:proofErr w:type="spellStart"/>
            <w:r w:rsidRPr="006C466F">
              <w:rPr>
                <w:rFonts w:ascii="Calibri" w:hAnsi="Calibri" w:cs="Calibri"/>
                <w:sz w:val="20"/>
                <w:szCs w:val="20"/>
              </w:rPr>
              <w:t>paritaprevir</w:t>
            </w:r>
            <w:proofErr w:type="spellEnd"/>
          </w:p>
        </w:tc>
        <w:tc>
          <w:tcPr>
            <w:tcW w:w="1181" w:type="dxa"/>
            <w:gridSpan w:val="7"/>
          </w:tcPr>
          <w:p w:rsidR="006C466F" w:rsidRPr="006C466F" w:rsidRDefault="006C466F" w:rsidP="006C466F">
            <w:pPr>
              <w:tabs>
                <w:tab w:val="left" w:pos="567"/>
              </w:tabs>
              <w:jc w:val="center"/>
              <w:rPr>
                <w:rFonts w:ascii="Calibri" w:hAnsi="Calibri" w:cs="Calibri"/>
                <w:sz w:val="20"/>
                <w:szCs w:val="20"/>
              </w:rPr>
            </w:pPr>
            <w:r w:rsidRPr="006C466F">
              <w:rPr>
                <w:rFonts w:ascii="Calibri" w:hAnsi="Calibri" w:cs="Calibri"/>
                <w:sz w:val="20"/>
                <w:szCs w:val="20"/>
              </w:rPr>
              <w:t>1.01</w:t>
            </w:r>
          </w:p>
          <w:p w:rsidR="006C466F" w:rsidRPr="002A790B" w:rsidRDefault="006C466F" w:rsidP="006C466F">
            <w:pPr>
              <w:tabs>
                <w:tab w:val="left" w:pos="567"/>
              </w:tabs>
              <w:jc w:val="center"/>
              <w:rPr>
                <w:rFonts w:ascii="Calibri" w:hAnsi="Calibri" w:cs="Calibri"/>
                <w:sz w:val="20"/>
                <w:szCs w:val="20"/>
              </w:rPr>
            </w:pPr>
            <w:r w:rsidRPr="006C466F">
              <w:rPr>
                <w:rFonts w:ascii="Calibri" w:hAnsi="Calibri" w:cs="Calibri"/>
                <w:sz w:val="20"/>
                <w:szCs w:val="20"/>
              </w:rPr>
              <w:t>(0.80-1.27)</w:t>
            </w:r>
          </w:p>
        </w:tc>
        <w:tc>
          <w:tcPr>
            <w:tcW w:w="1235" w:type="dxa"/>
            <w:gridSpan w:val="7"/>
          </w:tcPr>
          <w:p w:rsidR="006C466F" w:rsidRPr="006C466F" w:rsidRDefault="006C466F" w:rsidP="006C466F">
            <w:pPr>
              <w:tabs>
                <w:tab w:val="left" w:pos="567"/>
              </w:tabs>
              <w:jc w:val="center"/>
              <w:rPr>
                <w:rFonts w:ascii="Calibri" w:hAnsi="Calibri" w:cs="Calibri"/>
                <w:sz w:val="20"/>
                <w:szCs w:val="20"/>
              </w:rPr>
            </w:pPr>
            <w:r w:rsidRPr="006C466F">
              <w:rPr>
                <w:rFonts w:ascii="Calibri" w:hAnsi="Calibri" w:cs="Calibri"/>
                <w:sz w:val="20"/>
                <w:szCs w:val="20"/>
              </w:rPr>
              <w:t>1.03</w:t>
            </w:r>
          </w:p>
          <w:p w:rsidR="006C466F" w:rsidRPr="002A790B" w:rsidRDefault="006C466F" w:rsidP="006C466F">
            <w:pPr>
              <w:tabs>
                <w:tab w:val="left" w:pos="567"/>
              </w:tabs>
              <w:jc w:val="center"/>
              <w:rPr>
                <w:rFonts w:ascii="Calibri" w:hAnsi="Calibri" w:cs="Calibri"/>
                <w:sz w:val="20"/>
                <w:szCs w:val="20"/>
              </w:rPr>
            </w:pPr>
            <w:r w:rsidRPr="006C466F">
              <w:rPr>
                <w:rFonts w:ascii="Calibri" w:hAnsi="Calibri" w:cs="Calibri"/>
                <w:sz w:val="20"/>
                <w:szCs w:val="20"/>
              </w:rPr>
              <w:t>(0.89-1.18)</w:t>
            </w:r>
          </w:p>
        </w:tc>
        <w:tc>
          <w:tcPr>
            <w:tcW w:w="1274" w:type="dxa"/>
            <w:gridSpan w:val="2"/>
          </w:tcPr>
          <w:p w:rsidR="006C466F" w:rsidRPr="006C466F" w:rsidRDefault="006C466F" w:rsidP="006C466F">
            <w:pPr>
              <w:tabs>
                <w:tab w:val="left" w:pos="567"/>
              </w:tabs>
              <w:jc w:val="center"/>
              <w:rPr>
                <w:rFonts w:ascii="Calibri" w:hAnsi="Calibri" w:cs="Calibri"/>
                <w:sz w:val="20"/>
                <w:szCs w:val="20"/>
              </w:rPr>
            </w:pPr>
            <w:r w:rsidRPr="006C466F">
              <w:rPr>
                <w:rFonts w:ascii="Calibri" w:hAnsi="Calibri" w:cs="Calibri"/>
                <w:sz w:val="20"/>
                <w:szCs w:val="20"/>
              </w:rPr>
              <w:t>1.10</w:t>
            </w:r>
          </w:p>
          <w:p w:rsidR="006C466F" w:rsidRPr="002A790B" w:rsidRDefault="006C466F" w:rsidP="006C466F">
            <w:pPr>
              <w:tabs>
                <w:tab w:val="left" w:pos="567"/>
              </w:tabs>
              <w:jc w:val="center"/>
              <w:rPr>
                <w:rFonts w:ascii="Calibri" w:hAnsi="Calibri" w:cs="Calibri"/>
                <w:sz w:val="20"/>
                <w:szCs w:val="20"/>
              </w:rPr>
            </w:pPr>
            <w:r w:rsidRPr="006C466F">
              <w:rPr>
                <w:rFonts w:ascii="Calibri" w:hAnsi="Calibri" w:cs="Calibri"/>
                <w:sz w:val="20"/>
                <w:szCs w:val="20"/>
              </w:rPr>
              <w:t>(0.97-1.26)</w:t>
            </w:r>
          </w:p>
        </w:tc>
        <w:tc>
          <w:tcPr>
            <w:tcW w:w="2411" w:type="dxa"/>
            <w:vMerge/>
          </w:tcPr>
          <w:p w:rsidR="006C466F" w:rsidRPr="002A790B" w:rsidRDefault="006C466F">
            <w:pPr>
              <w:rPr>
                <w:rFonts w:cstheme="minorHAnsi"/>
                <w:sz w:val="20"/>
                <w:szCs w:val="20"/>
              </w:rPr>
            </w:pPr>
          </w:p>
        </w:tc>
      </w:tr>
      <w:tr w:rsidR="00DA11D2" w:rsidRPr="00A47F4F" w:rsidTr="000D4A1F">
        <w:tc>
          <w:tcPr>
            <w:tcW w:w="9180" w:type="dxa"/>
            <w:gridSpan w:val="24"/>
          </w:tcPr>
          <w:p w:rsidR="00DA11D2" w:rsidRPr="002A790B" w:rsidRDefault="00DA11D2">
            <w:pPr>
              <w:rPr>
                <w:rFonts w:cstheme="minorHAnsi"/>
                <w:b/>
                <w:sz w:val="20"/>
                <w:szCs w:val="20"/>
              </w:rPr>
            </w:pPr>
            <w:r w:rsidRPr="002A790B">
              <w:rPr>
                <w:rFonts w:cstheme="minorHAnsi"/>
                <w:b/>
                <w:sz w:val="20"/>
                <w:szCs w:val="20"/>
              </w:rPr>
              <w:t>Proton Pump Inhibitors</w:t>
            </w:r>
          </w:p>
        </w:tc>
      </w:tr>
      <w:tr w:rsidR="003A240F" w:rsidRPr="00A47F4F" w:rsidTr="00ED3483">
        <w:trPr>
          <w:trHeight w:val="136"/>
        </w:trPr>
        <w:tc>
          <w:tcPr>
            <w:tcW w:w="1752" w:type="dxa"/>
            <w:vMerge w:val="restart"/>
          </w:tcPr>
          <w:p w:rsidR="00DA11D2" w:rsidRPr="002A790B" w:rsidRDefault="00DA11D2">
            <w:pPr>
              <w:tabs>
                <w:tab w:val="left" w:pos="567"/>
              </w:tabs>
              <w:rPr>
                <w:rFonts w:cstheme="minorHAnsi"/>
                <w:sz w:val="20"/>
                <w:szCs w:val="20"/>
              </w:rPr>
            </w:pPr>
            <w:r w:rsidRPr="002A790B">
              <w:rPr>
                <w:rFonts w:cstheme="minorHAnsi"/>
                <w:sz w:val="20"/>
                <w:szCs w:val="20"/>
              </w:rPr>
              <w:t>Omeprazole</w:t>
            </w:r>
          </w:p>
          <w:p w:rsidR="00DA11D2" w:rsidRPr="002A790B" w:rsidRDefault="00DA11D2" w:rsidP="001E0E8A">
            <w:pPr>
              <w:rPr>
                <w:rFonts w:cstheme="minorHAnsi"/>
                <w:sz w:val="20"/>
                <w:szCs w:val="20"/>
              </w:rPr>
            </w:pPr>
            <w:r w:rsidRPr="002A790B">
              <w:rPr>
                <w:rFonts w:cstheme="minorHAnsi"/>
                <w:sz w:val="20"/>
                <w:szCs w:val="20"/>
              </w:rPr>
              <w:t>40</w:t>
            </w:r>
            <w:r>
              <w:rPr>
                <w:rFonts w:cstheme="minorHAnsi"/>
                <w:sz w:val="20"/>
                <w:szCs w:val="20"/>
              </w:rPr>
              <w:t xml:space="preserve"> </w:t>
            </w:r>
            <w:r w:rsidRPr="002A790B">
              <w:rPr>
                <w:rFonts w:cstheme="minorHAnsi"/>
                <w:sz w:val="20"/>
                <w:szCs w:val="20"/>
              </w:rPr>
              <w:t>mg once daily</w:t>
            </w:r>
          </w:p>
        </w:tc>
        <w:tc>
          <w:tcPr>
            <w:tcW w:w="1327" w:type="dxa"/>
            <w:gridSpan w:val="6"/>
          </w:tcPr>
          <w:p w:rsidR="00DA11D2" w:rsidRPr="002A790B" w:rsidRDefault="00DA11D2">
            <w:pPr>
              <w:rPr>
                <w:rFonts w:cstheme="minorHAnsi"/>
                <w:sz w:val="20"/>
                <w:szCs w:val="20"/>
              </w:rPr>
            </w:pPr>
          </w:p>
        </w:tc>
        <w:tc>
          <w:tcPr>
            <w:tcW w:w="1135" w:type="dxa"/>
            <w:gridSpan w:val="6"/>
          </w:tcPr>
          <w:p w:rsidR="00DA11D2" w:rsidRPr="002A790B" w:rsidRDefault="00DA11D2">
            <w:pPr>
              <w:tabs>
                <w:tab w:val="left" w:pos="567"/>
              </w:tabs>
              <w:jc w:val="center"/>
              <w:rPr>
                <w:rFonts w:ascii="Calibri" w:hAnsi="Calibri" w:cs="Calibri"/>
                <w:sz w:val="20"/>
                <w:szCs w:val="20"/>
                <w:vertAlign w:val="subscript"/>
              </w:rPr>
            </w:pPr>
            <w:proofErr w:type="spellStart"/>
            <w:r w:rsidRPr="002A790B">
              <w:rPr>
                <w:rFonts w:ascii="Calibri" w:hAnsi="Calibri" w:cs="Calibri"/>
                <w:sz w:val="20"/>
                <w:szCs w:val="20"/>
              </w:rPr>
              <w:t>C</w:t>
            </w:r>
            <w:r w:rsidRPr="002A790B">
              <w:rPr>
                <w:rFonts w:ascii="Calibri" w:hAnsi="Calibri" w:cs="Calibri"/>
                <w:sz w:val="20"/>
                <w:szCs w:val="20"/>
                <w:vertAlign w:val="subscript"/>
              </w:rPr>
              <w:t>max</w:t>
            </w:r>
            <w:proofErr w:type="spellEnd"/>
          </w:p>
        </w:tc>
        <w:tc>
          <w:tcPr>
            <w:tcW w:w="1136"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AUC</w:t>
            </w:r>
          </w:p>
        </w:tc>
        <w:tc>
          <w:tcPr>
            <w:tcW w:w="1370" w:type="dxa"/>
            <w:gridSpan w:val="4"/>
          </w:tcPr>
          <w:p w:rsidR="00DA11D2" w:rsidRPr="002A790B" w:rsidRDefault="00DA11D2">
            <w:pPr>
              <w:tabs>
                <w:tab w:val="left" w:pos="567"/>
              </w:tabs>
              <w:jc w:val="center"/>
              <w:rPr>
                <w:rFonts w:ascii="Calibri" w:hAnsi="Calibri" w:cs="Calibri"/>
                <w:sz w:val="20"/>
                <w:szCs w:val="20"/>
              </w:rPr>
            </w:pPr>
            <w:proofErr w:type="spellStart"/>
            <w:r w:rsidRPr="002A790B">
              <w:rPr>
                <w:rFonts w:ascii="Calibri" w:hAnsi="Calibri" w:cs="Calibri"/>
                <w:sz w:val="20"/>
                <w:szCs w:val="20"/>
              </w:rPr>
              <w:t>C</w:t>
            </w:r>
            <w:r w:rsidRPr="002A790B">
              <w:rPr>
                <w:rFonts w:ascii="Calibri" w:hAnsi="Calibri" w:cs="Calibri"/>
                <w:sz w:val="20"/>
                <w:szCs w:val="20"/>
                <w:vertAlign w:val="subscript"/>
              </w:rPr>
              <w:t>min</w:t>
            </w:r>
            <w:proofErr w:type="spellEnd"/>
          </w:p>
        </w:tc>
        <w:tc>
          <w:tcPr>
            <w:tcW w:w="2460" w:type="dxa"/>
            <w:gridSpan w:val="2"/>
            <w:vMerge w:val="restart"/>
          </w:tcPr>
          <w:p w:rsidR="00DA11D2" w:rsidRPr="002A790B" w:rsidRDefault="00DA11D2">
            <w:pPr>
              <w:rPr>
                <w:rFonts w:cstheme="minorHAnsi"/>
                <w:sz w:val="20"/>
                <w:szCs w:val="20"/>
              </w:rPr>
            </w:pPr>
            <w:r w:rsidRPr="002A790B">
              <w:rPr>
                <w:rFonts w:cstheme="minorHAnsi"/>
                <w:sz w:val="20"/>
                <w:szCs w:val="20"/>
              </w:rPr>
              <w:t>Mechanism:  CYP2C19 induction by ritonavir.</w:t>
            </w:r>
          </w:p>
          <w:p w:rsidR="00DA11D2" w:rsidRPr="002A790B" w:rsidRDefault="00DA11D2">
            <w:pPr>
              <w:tabs>
                <w:tab w:val="left" w:pos="567"/>
              </w:tabs>
              <w:rPr>
                <w:rFonts w:cstheme="minorHAnsi"/>
                <w:sz w:val="20"/>
                <w:szCs w:val="20"/>
              </w:rPr>
            </w:pPr>
            <w:r w:rsidRPr="002A790B">
              <w:rPr>
                <w:rFonts w:cstheme="minorHAnsi"/>
                <w:sz w:val="20"/>
                <w:szCs w:val="20"/>
              </w:rPr>
              <w:t>If clinically indicated, higher doses of omeprazole should be used.</w:t>
            </w:r>
          </w:p>
          <w:p w:rsidR="00DA11D2" w:rsidRPr="002A790B" w:rsidRDefault="00DA11D2">
            <w:pPr>
              <w:tabs>
                <w:tab w:val="left" w:pos="567"/>
              </w:tabs>
              <w:rPr>
                <w:rFonts w:cstheme="minorHAnsi"/>
                <w:sz w:val="20"/>
                <w:szCs w:val="20"/>
              </w:rPr>
            </w:pPr>
          </w:p>
        </w:tc>
      </w:tr>
      <w:tr w:rsidR="003A240F" w:rsidRPr="00A47F4F" w:rsidTr="00ED3483">
        <w:trPr>
          <w:trHeight w:val="136"/>
        </w:trPr>
        <w:tc>
          <w:tcPr>
            <w:tcW w:w="1752" w:type="dxa"/>
            <w:vMerge/>
          </w:tcPr>
          <w:p w:rsidR="00DA11D2" w:rsidRPr="002A790B" w:rsidRDefault="00DA11D2">
            <w:pPr>
              <w:rPr>
                <w:rFonts w:cstheme="minorHAnsi"/>
                <w:sz w:val="20"/>
                <w:szCs w:val="20"/>
              </w:rPr>
            </w:pPr>
          </w:p>
        </w:tc>
        <w:tc>
          <w:tcPr>
            <w:tcW w:w="1327" w:type="dxa"/>
            <w:gridSpan w:val="6"/>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omeprazole</w:t>
            </w:r>
          </w:p>
        </w:tc>
        <w:tc>
          <w:tcPr>
            <w:tcW w:w="1135" w:type="dxa"/>
            <w:gridSpan w:val="6"/>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0.48</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(0.29-0.78)</w:t>
            </w:r>
          </w:p>
        </w:tc>
        <w:tc>
          <w:tcPr>
            <w:tcW w:w="1136"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 xml:space="preserve">0.46 (0.27-0.77) </w:t>
            </w:r>
          </w:p>
        </w:tc>
        <w:tc>
          <w:tcPr>
            <w:tcW w:w="1370" w:type="dxa"/>
            <w:gridSpan w:val="4"/>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NA</w:t>
            </w:r>
          </w:p>
        </w:tc>
        <w:tc>
          <w:tcPr>
            <w:tcW w:w="2460" w:type="dxa"/>
            <w:gridSpan w:val="2"/>
            <w:vMerge/>
          </w:tcPr>
          <w:p w:rsidR="00DA11D2" w:rsidRPr="002A790B" w:rsidRDefault="00DA11D2">
            <w:pPr>
              <w:rPr>
                <w:rFonts w:cstheme="minorHAnsi"/>
                <w:sz w:val="20"/>
                <w:szCs w:val="20"/>
              </w:rPr>
            </w:pPr>
          </w:p>
        </w:tc>
      </w:tr>
      <w:tr w:rsidR="003A240F" w:rsidRPr="00A47F4F" w:rsidTr="00ED3483">
        <w:trPr>
          <w:trHeight w:val="136"/>
        </w:trPr>
        <w:tc>
          <w:tcPr>
            <w:tcW w:w="1752" w:type="dxa"/>
            <w:vMerge/>
          </w:tcPr>
          <w:p w:rsidR="00DA11D2" w:rsidRPr="002A790B" w:rsidRDefault="00DA11D2">
            <w:pPr>
              <w:rPr>
                <w:rFonts w:cstheme="minorHAnsi"/>
                <w:sz w:val="20"/>
                <w:szCs w:val="20"/>
              </w:rPr>
            </w:pPr>
          </w:p>
        </w:tc>
        <w:tc>
          <w:tcPr>
            <w:tcW w:w="1327" w:type="dxa"/>
            <w:gridSpan w:val="6"/>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xml:space="preserve">↔ </w:t>
            </w:r>
            <w:proofErr w:type="spellStart"/>
            <w:r w:rsidRPr="002A790B">
              <w:rPr>
                <w:rFonts w:ascii="Calibri" w:hAnsi="Calibri" w:cs="Calibri"/>
                <w:sz w:val="20"/>
                <w:szCs w:val="20"/>
              </w:rPr>
              <w:t>ombitasvir</w:t>
            </w:r>
            <w:proofErr w:type="spellEnd"/>
          </w:p>
        </w:tc>
        <w:tc>
          <w:tcPr>
            <w:tcW w:w="1135" w:type="dxa"/>
            <w:gridSpan w:val="6"/>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0.96</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(0.81-1.14)</w:t>
            </w:r>
          </w:p>
        </w:tc>
        <w:tc>
          <w:tcPr>
            <w:tcW w:w="1136"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1.00</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(0.88-1.12)</w:t>
            </w:r>
          </w:p>
        </w:tc>
        <w:tc>
          <w:tcPr>
            <w:tcW w:w="1370" w:type="dxa"/>
            <w:gridSpan w:val="4"/>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0.97</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(0.89-1.07)</w:t>
            </w:r>
          </w:p>
        </w:tc>
        <w:tc>
          <w:tcPr>
            <w:tcW w:w="2460" w:type="dxa"/>
            <w:gridSpan w:val="2"/>
            <w:vMerge/>
          </w:tcPr>
          <w:p w:rsidR="00DA11D2" w:rsidRPr="002A790B" w:rsidRDefault="00DA11D2">
            <w:pPr>
              <w:rPr>
                <w:rFonts w:cstheme="minorHAnsi"/>
                <w:sz w:val="20"/>
                <w:szCs w:val="20"/>
              </w:rPr>
            </w:pPr>
          </w:p>
        </w:tc>
      </w:tr>
      <w:tr w:rsidR="003A240F" w:rsidRPr="00A47F4F" w:rsidTr="00ED3483">
        <w:trPr>
          <w:trHeight w:val="136"/>
        </w:trPr>
        <w:tc>
          <w:tcPr>
            <w:tcW w:w="1752" w:type="dxa"/>
            <w:vMerge/>
          </w:tcPr>
          <w:p w:rsidR="00DA11D2" w:rsidRPr="002A790B" w:rsidRDefault="00DA11D2">
            <w:pPr>
              <w:rPr>
                <w:rFonts w:cstheme="minorHAnsi"/>
                <w:sz w:val="20"/>
                <w:szCs w:val="20"/>
              </w:rPr>
            </w:pPr>
          </w:p>
        </w:tc>
        <w:tc>
          <w:tcPr>
            <w:tcW w:w="1327" w:type="dxa"/>
            <w:gridSpan w:val="6"/>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xml:space="preserve">↔ </w:t>
            </w:r>
            <w:proofErr w:type="spellStart"/>
            <w:r w:rsidRPr="002A790B">
              <w:rPr>
                <w:rFonts w:ascii="Calibri" w:hAnsi="Calibri" w:cs="Calibri"/>
                <w:sz w:val="20"/>
                <w:szCs w:val="20"/>
              </w:rPr>
              <w:t>paritaprevir</w:t>
            </w:r>
            <w:proofErr w:type="spellEnd"/>
          </w:p>
        </w:tc>
        <w:tc>
          <w:tcPr>
            <w:tcW w:w="1135" w:type="dxa"/>
            <w:gridSpan w:val="6"/>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1.02</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(0.64-1.62)</w:t>
            </w:r>
          </w:p>
        </w:tc>
        <w:tc>
          <w:tcPr>
            <w:tcW w:w="1136" w:type="dxa"/>
            <w:gridSpan w:val="5"/>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0.93</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(0.64-1.34)</w:t>
            </w:r>
          </w:p>
        </w:tc>
        <w:tc>
          <w:tcPr>
            <w:tcW w:w="1370" w:type="dxa"/>
            <w:gridSpan w:val="4"/>
          </w:tcPr>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0.83</w:t>
            </w:r>
          </w:p>
          <w:p w:rsidR="00DA11D2" w:rsidRPr="002A790B" w:rsidRDefault="00DA11D2">
            <w:pPr>
              <w:tabs>
                <w:tab w:val="left" w:pos="567"/>
              </w:tabs>
              <w:jc w:val="center"/>
              <w:rPr>
                <w:rFonts w:ascii="Calibri" w:hAnsi="Calibri" w:cs="Calibri"/>
                <w:sz w:val="20"/>
                <w:szCs w:val="20"/>
              </w:rPr>
            </w:pPr>
            <w:r w:rsidRPr="002A790B">
              <w:rPr>
                <w:rFonts w:ascii="Calibri" w:hAnsi="Calibri" w:cs="Calibri"/>
                <w:sz w:val="20"/>
                <w:szCs w:val="20"/>
              </w:rPr>
              <w:t>(0.67-1.04)</w:t>
            </w:r>
          </w:p>
        </w:tc>
        <w:tc>
          <w:tcPr>
            <w:tcW w:w="2460" w:type="dxa"/>
            <w:gridSpan w:val="2"/>
            <w:vMerge/>
          </w:tcPr>
          <w:p w:rsidR="00DA11D2" w:rsidRPr="002A790B" w:rsidRDefault="00DA11D2">
            <w:pPr>
              <w:rPr>
                <w:rFonts w:cstheme="minorHAnsi"/>
                <w:sz w:val="20"/>
                <w:szCs w:val="20"/>
              </w:rPr>
            </w:pPr>
          </w:p>
        </w:tc>
      </w:tr>
      <w:tr w:rsidR="00DA11D2" w:rsidRPr="00A47F4F" w:rsidTr="00ED3483">
        <w:tc>
          <w:tcPr>
            <w:tcW w:w="1752" w:type="dxa"/>
          </w:tcPr>
          <w:p w:rsidR="00DA11D2" w:rsidRPr="002A790B" w:rsidRDefault="00DA11D2">
            <w:pPr>
              <w:tabs>
                <w:tab w:val="left" w:pos="567"/>
              </w:tabs>
              <w:rPr>
                <w:rFonts w:cstheme="minorHAnsi"/>
                <w:sz w:val="20"/>
                <w:szCs w:val="20"/>
              </w:rPr>
            </w:pPr>
            <w:r w:rsidRPr="002A790B">
              <w:rPr>
                <w:sz w:val="20"/>
                <w:szCs w:val="20"/>
              </w:rPr>
              <w:br w:type="page"/>
            </w:r>
            <w:r w:rsidRPr="002A790B">
              <w:rPr>
                <w:rFonts w:cstheme="minorHAnsi"/>
                <w:sz w:val="20"/>
                <w:szCs w:val="20"/>
              </w:rPr>
              <w:t>Esomeprazole</w:t>
            </w:r>
            <w:r w:rsidRPr="002A790B">
              <w:rPr>
                <w:rFonts w:ascii="Calibri" w:hAnsi="Calibri" w:cs="Calibri"/>
                <w:sz w:val="20"/>
                <w:szCs w:val="20"/>
              </w:rPr>
              <w:t>*</w:t>
            </w:r>
            <w:r w:rsidRPr="002A790B">
              <w:rPr>
                <w:rFonts w:cstheme="minorHAnsi"/>
                <w:sz w:val="20"/>
                <w:szCs w:val="20"/>
              </w:rPr>
              <w:t>, Lansoprazole</w:t>
            </w:r>
            <w:r w:rsidRPr="002A790B">
              <w:rPr>
                <w:rFonts w:ascii="Calibri" w:hAnsi="Calibri" w:cs="Calibri"/>
                <w:sz w:val="20"/>
                <w:szCs w:val="20"/>
              </w:rPr>
              <w:t>*</w:t>
            </w:r>
          </w:p>
        </w:tc>
        <w:tc>
          <w:tcPr>
            <w:tcW w:w="4968" w:type="dxa"/>
            <w:gridSpan w:val="21"/>
          </w:tcPr>
          <w:p w:rsidR="00DA11D2" w:rsidRPr="002A790B" w:rsidRDefault="00DA11D2" w:rsidP="00091350">
            <w:pPr>
              <w:tabs>
                <w:tab w:val="left" w:pos="567"/>
              </w:tabs>
              <w:rPr>
                <w:rFonts w:ascii="Calibri" w:hAnsi="Calibri" w:cs="Calibri"/>
                <w:sz w:val="20"/>
                <w:szCs w:val="20"/>
              </w:rPr>
            </w:pPr>
            <w:r w:rsidRPr="002A790B">
              <w:rPr>
                <w:rFonts w:ascii="Calibri" w:hAnsi="Calibri" w:cs="Calibri"/>
                <w:sz w:val="20"/>
                <w:szCs w:val="20"/>
              </w:rPr>
              <w:t>↓ esomeprazole, lansoprazole</w:t>
            </w:r>
          </w:p>
        </w:tc>
        <w:tc>
          <w:tcPr>
            <w:tcW w:w="2460" w:type="dxa"/>
            <w:gridSpan w:val="2"/>
          </w:tcPr>
          <w:p w:rsidR="00DA11D2" w:rsidRPr="002A790B" w:rsidRDefault="00DA11D2">
            <w:pPr>
              <w:tabs>
                <w:tab w:val="left" w:pos="567"/>
              </w:tabs>
              <w:rPr>
                <w:rFonts w:cstheme="minorHAnsi"/>
                <w:sz w:val="20"/>
                <w:szCs w:val="20"/>
              </w:rPr>
            </w:pPr>
            <w:r w:rsidRPr="002A790B">
              <w:rPr>
                <w:rFonts w:cstheme="minorHAnsi"/>
                <w:sz w:val="20"/>
                <w:szCs w:val="20"/>
              </w:rPr>
              <w:t>Mechanism:  CYP2C19 induction by ritonavir.</w:t>
            </w:r>
          </w:p>
          <w:p w:rsidR="00DA11D2" w:rsidRPr="002A790B" w:rsidRDefault="00DA11D2">
            <w:pPr>
              <w:tabs>
                <w:tab w:val="left" w:pos="567"/>
              </w:tabs>
              <w:rPr>
                <w:rFonts w:cstheme="minorHAnsi"/>
                <w:sz w:val="20"/>
                <w:szCs w:val="20"/>
              </w:rPr>
            </w:pPr>
            <w:r w:rsidRPr="002A790B">
              <w:rPr>
                <w:rFonts w:cstheme="minorHAnsi"/>
                <w:sz w:val="20"/>
                <w:szCs w:val="20"/>
              </w:rPr>
              <w:t>If clinically indicated, higher doses of esomeprazole/lansoprazole may be needed.</w:t>
            </w:r>
          </w:p>
        </w:tc>
      </w:tr>
      <w:tr w:rsidR="00DA11D2" w:rsidRPr="00A47F4F" w:rsidTr="000D4A1F">
        <w:tc>
          <w:tcPr>
            <w:tcW w:w="9180" w:type="dxa"/>
            <w:gridSpan w:val="24"/>
          </w:tcPr>
          <w:p w:rsidR="00DA11D2" w:rsidRPr="002A790B" w:rsidRDefault="00DA11D2">
            <w:pPr>
              <w:rPr>
                <w:rFonts w:cstheme="minorHAnsi"/>
                <w:b/>
                <w:sz w:val="20"/>
                <w:szCs w:val="20"/>
              </w:rPr>
            </w:pPr>
            <w:r w:rsidRPr="002A790B">
              <w:rPr>
                <w:rFonts w:cstheme="minorHAnsi"/>
                <w:b/>
                <w:sz w:val="20"/>
                <w:szCs w:val="20"/>
              </w:rPr>
              <w:t>Sedatives/Hypnotics</w:t>
            </w:r>
          </w:p>
        </w:tc>
      </w:tr>
      <w:tr w:rsidR="00DA11D2" w:rsidRPr="00A47F4F" w:rsidTr="00ED3483">
        <w:tc>
          <w:tcPr>
            <w:tcW w:w="1752" w:type="dxa"/>
          </w:tcPr>
          <w:p w:rsidR="00DA11D2" w:rsidRPr="002A790B" w:rsidRDefault="00DA11D2">
            <w:pPr>
              <w:rPr>
                <w:rFonts w:cstheme="minorHAnsi"/>
                <w:sz w:val="20"/>
                <w:szCs w:val="20"/>
              </w:rPr>
            </w:pPr>
            <w:proofErr w:type="spellStart"/>
            <w:r w:rsidRPr="002A790B">
              <w:rPr>
                <w:rFonts w:cstheme="minorHAnsi"/>
                <w:sz w:val="20"/>
                <w:szCs w:val="20"/>
              </w:rPr>
              <w:t>Triazolam</w:t>
            </w:r>
            <w:proofErr w:type="spellEnd"/>
            <w:r w:rsidRPr="002A790B">
              <w:rPr>
                <w:rFonts w:cstheme="minorHAnsi"/>
                <w:sz w:val="20"/>
                <w:szCs w:val="20"/>
              </w:rPr>
              <w:t>, orally administered midazolam</w:t>
            </w:r>
          </w:p>
          <w:p w:rsidR="00DA11D2" w:rsidRPr="002A790B" w:rsidRDefault="00DA11D2">
            <w:pPr>
              <w:rPr>
                <w:rFonts w:cstheme="minorHAnsi"/>
                <w:sz w:val="20"/>
                <w:szCs w:val="20"/>
              </w:rPr>
            </w:pPr>
          </w:p>
        </w:tc>
        <w:tc>
          <w:tcPr>
            <w:tcW w:w="4968" w:type="dxa"/>
            <w:gridSpan w:val="21"/>
          </w:tcPr>
          <w:p w:rsidR="00DA11D2" w:rsidRPr="002A790B" w:rsidRDefault="00DA11D2">
            <w:pPr>
              <w:rPr>
                <w:rFonts w:cstheme="minorHAnsi"/>
                <w:sz w:val="20"/>
                <w:szCs w:val="20"/>
              </w:rPr>
            </w:pPr>
            <w:r w:rsidRPr="002A790B">
              <w:rPr>
                <w:rFonts w:cstheme="minorHAnsi"/>
                <w:sz w:val="20"/>
                <w:szCs w:val="20"/>
              </w:rPr>
              <w:t xml:space="preserve">Large ↑ </w:t>
            </w:r>
            <w:proofErr w:type="spellStart"/>
            <w:r w:rsidRPr="002A790B">
              <w:rPr>
                <w:rFonts w:cstheme="minorHAnsi"/>
                <w:sz w:val="20"/>
                <w:szCs w:val="20"/>
              </w:rPr>
              <w:t>triazolam</w:t>
            </w:r>
            <w:proofErr w:type="spellEnd"/>
            <w:r w:rsidRPr="002A790B">
              <w:rPr>
                <w:rFonts w:cstheme="minorHAnsi"/>
                <w:sz w:val="20"/>
                <w:szCs w:val="20"/>
              </w:rPr>
              <w:t xml:space="preserve"> and orally administered midazolam*</w:t>
            </w:r>
          </w:p>
        </w:tc>
        <w:tc>
          <w:tcPr>
            <w:tcW w:w="2460" w:type="dxa"/>
            <w:gridSpan w:val="2"/>
          </w:tcPr>
          <w:p w:rsidR="00DA11D2" w:rsidRPr="002A790B" w:rsidRDefault="00DA11D2">
            <w:pPr>
              <w:rPr>
                <w:rFonts w:cstheme="minorHAnsi"/>
                <w:sz w:val="20"/>
                <w:szCs w:val="20"/>
              </w:rPr>
            </w:pPr>
            <w:proofErr w:type="spellStart"/>
            <w:r w:rsidRPr="002A790B">
              <w:rPr>
                <w:rFonts w:cstheme="minorHAnsi"/>
                <w:sz w:val="20"/>
                <w:szCs w:val="20"/>
              </w:rPr>
              <w:t>Triazolam</w:t>
            </w:r>
            <w:proofErr w:type="spellEnd"/>
            <w:r w:rsidRPr="002A790B">
              <w:rPr>
                <w:rFonts w:cstheme="minorHAnsi"/>
                <w:sz w:val="20"/>
                <w:szCs w:val="20"/>
              </w:rPr>
              <w:t xml:space="preserve"> and orally administered midazolam are extensively metabolised by CYP3A4. Co-administration of </w:t>
            </w:r>
            <w:proofErr w:type="spellStart"/>
            <w:r w:rsidRPr="002A790B">
              <w:rPr>
                <w:rFonts w:cstheme="minorHAnsi"/>
                <w:sz w:val="20"/>
                <w:szCs w:val="20"/>
              </w:rPr>
              <w:t>triazolam</w:t>
            </w:r>
            <w:proofErr w:type="spellEnd"/>
            <w:r w:rsidRPr="002A790B">
              <w:rPr>
                <w:rFonts w:cstheme="minorHAnsi"/>
                <w:sz w:val="20"/>
                <w:szCs w:val="20"/>
              </w:rPr>
              <w:t xml:space="preserve"> or orally administered midazolam with TECHNIVIE may cause large increases in the concentration of these benzodiazepines.  The potential exists for serious and/or life-threatening events such as prolonged or increased sedation or respiratory depression.</w:t>
            </w:r>
          </w:p>
          <w:p w:rsidR="00DA11D2" w:rsidRPr="002A790B" w:rsidRDefault="00DA11D2">
            <w:pPr>
              <w:rPr>
                <w:rFonts w:cstheme="minorHAnsi"/>
                <w:sz w:val="20"/>
                <w:szCs w:val="20"/>
              </w:rPr>
            </w:pPr>
            <w:r w:rsidRPr="002A790B">
              <w:rPr>
                <w:rFonts w:cstheme="minorHAnsi"/>
                <w:sz w:val="20"/>
                <w:szCs w:val="20"/>
              </w:rPr>
              <w:t>(</w:t>
            </w:r>
            <w:proofErr w:type="gramStart"/>
            <w:r w:rsidRPr="002A790B">
              <w:rPr>
                <w:rFonts w:cstheme="minorHAnsi"/>
                <w:sz w:val="20"/>
                <w:szCs w:val="20"/>
              </w:rPr>
              <w:t>see</w:t>
            </w:r>
            <w:proofErr w:type="gramEnd"/>
            <w:r w:rsidRPr="002A790B">
              <w:rPr>
                <w:rFonts w:cstheme="minorHAnsi"/>
                <w:sz w:val="20"/>
                <w:szCs w:val="20"/>
              </w:rPr>
              <w:t xml:space="preserve"> CONTRAINDICATIONS).</w:t>
            </w:r>
          </w:p>
        </w:tc>
      </w:tr>
      <w:tr w:rsidR="006C466F" w:rsidRPr="00A47F4F" w:rsidTr="00ED3483">
        <w:trPr>
          <w:trHeight w:val="66"/>
        </w:trPr>
        <w:tc>
          <w:tcPr>
            <w:tcW w:w="1752" w:type="dxa"/>
            <w:vMerge w:val="restart"/>
          </w:tcPr>
          <w:p w:rsidR="00DA11D2" w:rsidRPr="002A790B" w:rsidRDefault="00DA11D2">
            <w:pPr>
              <w:tabs>
                <w:tab w:val="left" w:pos="567"/>
              </w:tabs>
              <w:rPr>
                <w:rFonts w:cstheme="minorHAnsi"/>
                <w:sz w:val="20"/>
                <w:szCs w:val="20"/>
              </w:rPr>
            </w:pPr>
            <w:r w:rsidRPr="002A790B">
              <w:rPr>
                <w:rFonts w:cstheme="minorHAnsi"/>
                <w:sz w:val="20"/>
                <w:szCs w:val="20"/>
              </w:rPr>
              <w:t>Zolpidem</w:t>
            </w:r>
            <w:r w:rsidRPr="002A790B">
              <w:rPr>
                <w:rFonts w:cstheme="minorHAnsi"/>
                <w:sz w:val="20"/>
                <w:szCs w:val="20"/>
                <w:vertAlign w:val="superscript"/>
              </w:rPr>
              <w:t>1</w:t>
            </w:r>
          </w:p>
          <w:p w:rsidR="00DA11D2" w:rsidRPr="002A790B" w:rsidRDefault="00DA11D2" w:rsidP="001E0E8A">
            <w:pPr>
              <w:rPr>
                <w:rFonts w:cstheme="minorHAnsi"/>
                <w:sz w:val="20"/>
                <w:szCs w:val="20"/>
              </w:rPr>
            </w:pPr>
            <w:r w:rsidRPr="002A790B">
              <w:rPr>
                <w:rFonts w:cstheme="minorHAnsi"/>
                <w:sz w:val="20"/>
                <w:szCs w:val="20"/>
              </w:rPr>
              <w:t>5</w:t>
            </w:r>
            <w:r>
              <w:rPr>
                <w:rFonts w:cstheme="minorHAnsi"/>
                <w:sz w:val="20"/>
                <w:szCs w:val="20"/>
              </w:rPr>
              <w:t xml:space="preserve"> </w:t>
            </w:r>
            <w:r w:rsidRPr="002A790B">
              <w:rPr>
                <w:rFonts w:cstheme="minorHAnsi"/>
                <w:sz w:val="20"/>
                <w:szCs w:val="20"/>
              </w:rPr>
              <w:t>mg single dose</w:t>
            </w:r>
          </w:p>
        </w:tc>
        <w:tc>
          <w:tcPr>
            <w:tcW w:w="1188" w:type="dxa"/>
            <w:gridSpan w:val="3"/>
          </w:tcPr>
          <w:p w:rsidR="00DA11D2" w:rsidRPr="002A790B" w:rsidRDefault="00DA11D2">
            <w:pPr>
              <w:rPr>
                <w:rFonts w:cstheme="minorHAnsi"/>
                <w:sz w:val="20"/>
                <w:szCs w:val="20"/>
              </w:rPr>
            </w:pPr>
          </w:p>
        </w:tc>
        <w:tc>
          <w:tcPr>
            <w:tcW w:w="1135" w:type="dxa"/>
            <w:gridSpan w:val="7"/>
          </w:tcPr>
          <w:p w:rsidR="00DA11D2" w:rsidRPr="002A790B" w:rsidRDefault="00DA11D2">
            <w:pPr>
              <w:tabs>
                <w:tab w:val="left" w:pos="567"/>
              </w:tabs>
              <w:rPr>
                <w:rFonts w:ascii="Calibri" w:hAnsi="Calibri" w:cs="Calibri"/>
                <w:sz w:val="20"/>
                <w:szCs w:val="20"/>
                <w:vertAlign w:val="subscript"/>
              </w:rPr>
            </w:pPr>
            <w:proofErr w:type="spellStart"/>
            <w:r w:rsidRPr="002A790B">
              <w:rPr>
                <w:rFonts w:ascii="Calibri" w:hAnsi="Calibri" w:cs="Calibri"/>
                <w:sz w:val="20"/>
                <w:szCs w:val="20"/>
              </w:rPr>
              <w:t>C</w:t>
            </w:r>
            <w:r w:rsidRPr="002A790B">
              <w:rPr>
                <w:rFonts w:ascii="Calibri" w:hAnsi="Calibri" w:cs="Calibri"/>
                <w:sz w:val="20"/>
                <w:szCs w:val="20"/>
                <w:vertAlign w:val="subscript"/>
              </w:rPr>
              <w:t>max</w:t>
            </w:r>
            <w:proofErr w:type="spellEnd"/>
          </w:p>
        </w:tc>
        <w:tc>
          <w:tcPr>
            <w:tcW w:w="1275" w:type="dxa"/>
            <w:gridSpan w:val="7"/>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AUC</w:t>
            </w:r>
          </w:p>
        </w:tc>
        <w:tc>
          <w:tcPr>
            <w:tcW w:w="1370" w:type="dxa"/>
            <w:gridSpan w:val="4"/>
          </w:tcPr>
          <w:p w:rsidR="00DA11D2" w:rsidRPr="002A790B" w:rsidRDefault="00DA11D2">
            <w:pPr>
              <w:tabs>
                <w:tab w:val="left" w:pos="567"/>
              </w:tabs>
              <w:rPr>
                <w:rFonts w:ascii="Calibri" w:hAnsi="Calibri" w:cs="Calibri"/>
                <w:sz w:val="20"/>
                <w:szCs w:val="20"/>
              </w:rPr>
            </w:pPr>
            <w:proofErr w:type="spellStart"/>
            <w:r w:rsidRPr="002A790B">
              <w:rPr>
                <w:rFonts w:ascii="Calibri" w:hAnsi="Calibri" w:cs="Calibri"/>
                <w:sz w:val="20"/>
                <w:szCs w:val="20"/>
              </w:rPr>
              <w:t>C</w:t>
            </w:r>
            <w:r w:rsidRPr="002A790B">
              <w:rPr>
                <w:rFonts w:ascii="Calibri" w:hAnsi="Calibri" w:cs="Calibri"/>
                <w:sz w:val="20"/>
                <w:szCs w:val="20"/>
                <w:vertAlign w:val="subscript"/>
              </w:rPr>
              <w:t>min</w:t>
            </w:r>
            <w:proofErr w:type="spellEnd"/>
          </w:p>
        </w:tc>
        <w:tc>
          <w:tcPr>
            <w:tcW w:w="2460" w:type="dxa"/>
            <w:gridSpan w:val="2"/>
            <w:vMerge w:val="restart"/>
          </w:tcPr>
          <w:p w:rsidR="00DA11D2" w:rsidRPr="002A790B" w:rsidRDefault="00DA11D2">
            <w:pPr>
              <w:tabs>
                <w:tab w:val="left" w:pos="567"/>
              </w:tabs>
              <w:rPr>
                <w:rFonts w:cstheme="minorHAnsi"/>
                <w:sz w:val="20"/>
                <w:szCs w:val="20"/>
              </w:rPr>
            </w:pPr>
            <w:r w:rsidRPr="002A790B">
              <w:rPr>
                <w:rFonts w:cstheme="minorHAnsi"/>
                <w:sz w:val="20"/>
                <w:szCs w:val="20"/>
              </w:rPr>
              <w:t>No dose adjustment is necessary for zolpidem.</w:t>
            </w:r>
          </w:p>
          <w:p w:rsidR="00DA11D2" w:rsidRPr="002A790B" w:rsidRDefault="00DA11D2">
            <w:pPr>
              <w:tabs>
                <w:tab w:val="left" w:pos="567"/>
              </w:tabs>
              <w:rPr>
                <w:rFonts w:cstheme="minorHAnsi"/>
                <w:sz w:val="20"/>
                <w:szCs w:val="20"/>
              </w:rPr>
            </w:pPr>
          </w:p>
        </w:tc>
      </w:tr>
      <w:tr w:rsidR="006C466F" w:rsidRPr="00A47F4F" w:rsidTr="00ED3483">
        <w:trPr>
          <w:trHeight w:val="66"/>
        </w:trPr>
        <w:tc>
          <w:tcPr>
            <w:tcW w:w="1752" w:type="dxa"/>
            <w:vMerge/>
          </w:tcPr>
          <w:p w:rsidR="00DA11D2" w:rsidRPr="002A790B" w:rsidRDefault="00DA11D2">
            <w:pPr>
              <w:tabs>
                <w:tab w:val="left" w:pos="567"/>
              </w:tabs>
              <w:rPr>
                <w:rFonts w:cstheme="minorHAnsi"/>
                <w:sz w:val="20"/>
                <w:szCs w:val="20"/>
              </w:rPr>
            </w:pPr>
          </w:p>
        </w:tc>
        <w:tc>
          <w:tcPr>
            <w:tcW w:w="1188" w:type="dxa"/>
            <w:gridSpan w:val="3"/>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zolpidem</w:t>
            </w:r>
          </w:p>
        </w:tc>
        <w:tc>
          <w:tcPr>
            <w:tcW w:w="1135" w:type="dxa"/>
            <w:gridSpan w:val="7"/>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0.94</w:t>
            </w:r>
          </w:p>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(0.76-1.16)</w:t>
            </w:r>
          </w:p>
        </w:tc>
        <w:tc>
          <w:tcPr>
            <w:tcW w:w="1275" w:type="dxa"/>
            <w:gridSpan w:val="7"/>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0.95</w:t>
            </w:r>
          </w:p>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(0.74-1.23)</w:t>
            </w:r>
          </w:p>
        </w:tc>
        <w:tc>
          <w:tcPr>
            <w:tcW w:w="1370" w:type="dxa"/>
            <w:gridSpan w:val="4"/>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NA</w:t>
            </w:r>
          </w:p>
        </w:tc>
        <w:tc>
          <w:tcPr>
            <w:tcW w:w="2460" w:type="dxa"/>
            <w:gridSpan w:val="2"/>
            <w:vMerge/>
          </w:tcPr>
          <w:p w:rsidR="00DA11D2" w:rsidRPr="002A790B" w:rsidRDefault="00DA11D2">
            <w:pPr>
              <w:rPr>
                <w:rFonts w:cstheme="minorHAnsi"/>
                <w:sz w:val="20"/>
                <w:szCs w:val="20"/>
              </w:rPr>
            </w:pPr>
          </w:p>
        </w:tc>
      </w:tr>
      <w:tr w:rsidR="006C466F" w:rsidRPr="00A47F4F" w:rsidTr="00ED3483">
        <w:trPr>
          <w:trHeight w:val="66"/>
        </w:trPr>
        <w:tc>
          <w:tcPr>
            <w:tcW w:w="1752" w:type="dxa"/>
            <w:vMerge/>
          </w:tcPr>
          <w:p w:rsidR="00DA11D2" w:rsidRPr="002A790B" w:rsidRDefault="00DA11D2">
            <w:pPr>
              <w:tabs>
                <w:tab w:val="left" w:pos="567"/>
              </w:tabs>
              <w:rPr>
                <w:rFonts w:cstheme="minorHAnsi"/>
                <w:sz w:val="20"/>
                <w:szCs w:val="20"/>
              </w:rPr>
            </w:pPr>
          </w:p>
        </w:tc>
        <w:tc>
          <w:tcPr>
            <w:tcW w:w="1188" w:type="dxa"/>
            <w:gridSpan w:val="3"/>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xml:space="preserve">↔ </w:t>
            </w:r>
            <w:proofErr w:type="spellStart"/>
            <w:r w:rsidRPr="002A790B">
              <w:rPr>
                <w:rFonts w:ascii="Calibri" w:hAnsi="Calibri" w:cs="Calibri"/>
                <w:sz w:val="20"/>
                <w:szCs w:val="20"/>
              </w:rPr>
              <w:t>ombitasvir</w:t>
            </w:r>
            <w:proofErr w:type="spellEnd"/>
          </w:p>
        </w:tc>
        <w:tc>
          <w:tcPr>
            <w:tcW w:w="1135" w:type="dxa"/>
            <w:gridSpan w:val="7"/>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1.07</w:t>
            </w:r>
          </w:p>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(1.00-1.15)</w:t>
            </w:r>
          </w:p>
        </w:tc>
        <w:tc>
          <w:tcPr>
            <w:tcW w:w="1275" w:type="dxa"/>
            <w:gridSpan w:val="7"/>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1.03</w:t>
            </w:r>
          </w:p>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(1.00-1.07)</w:t>
            </w:r>
          </w:p>
        </w:tc>
        <w:tc>
          <w:tcPr>
            <w:tcW w:w="1370" w:type="dxa"/>
            <w:gridSpan w:val="4"/>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1.04</w:t>
            </w:r>
          </w:p>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(1.00-1.08)</w:t>
            </w:r>
          </w:p>
        </w:tc>
        <w:tc>
          <w:tcPr>
            <w:tcW w:w="2460" w:type="dxa"/>
            <w:gridSpan w:val="2"/>
            <w:vMerge/>
          </w:tcPr>
          <w:p w:rsidR="00DA11D2" w:rsidRPr="002A790B" w:rsidRDefault="00DA11D2">
            <w:pPr>
              <w:rPr>
                <w:rFonts w:cstheme="minorHAnsi"/>
                <w:sz w:val="20"/>
                <w:szCs w:val="20"/>
              </w:rPr>
            </w:pPr>
          </w:p>
        </w:tc>
      </w:tr>
      <w:tr w:rsidR="006C466F" w:rsidRPr="00A47F4F" w:rsidTr="00ED3483">
        <w:trPr>
          <w:trHeight w:val="66"/>
        </w:trPr>
        <w:tc>
          <w:tcPr>
            <w:tcW w:w="1752" w:type="dxa"/>
            <w:vMerge/>
          </w:tcPr>
          <w:p w:rsidR="00DA11D2" w:rsidRPr="002A790B" w:rsidRDefault="00DA11D2">
            <w:pPr>
              <w:tabs>
                <w:tab w:val="left" w:pos="567"/>
              </w:tabs>
              <w:rPr>
                <w:rFonts w:cstheme="minorHAnsi"/>
                <w:sz w:val="20"/>
                <w:szCs w:val="20"/>
              </w:rPr>
            </w:pPr>
          </w:p>
        </w:tc>
        <w:tc>
          <w:tcPr>
            <w:tcW w:w="1188" w:type="dxa"/>
            <w:gridSpan w:val="3"/>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xml:space="preserve">↓ </w:t>
            </w:r>
            <w:proofErr w:type="spellStart"/>
            <w:r w:rsidRPr="002A790B">
              <w:rPr>
                <w:rFonts w:ascii="Calibri" w:hAnsi="Calibri" w:cs="Calibri"/>
                <w:sz w:val="20"/>
                <w:szCs w:val="20"/>
              </w:rPr>
              <w:t>paritaprevir</w:t>
            </w:r>
            <w:proofErr w:type="spellEnd"/>
          </w:p>
        </w:tc>
        <w:tc>
          <w:tcPr>
            <w:tcW w:w="1135" w:type="dxa"/>
            <w:gridSpan w:val="7"/>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0.63</w:t>
            </w:r>
          </w:p>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(0.46-0.86)</w:t>
            </w:r>
          </w:p>
        </w:tc>
        <w:tc>
          <w:tcPr>
            <w:tcW w:w="1275" w:type="dxa"/>
            <w:gridSpan w:val="7"/>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0.68</w:t>
            </w:r>
          </w:p>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(0.55-0.85)</w:t>
            </w:r>
          </w:p>
        </w:tc>
        <w:tc>
          <w:tcPr>
            <w:tcW w:w="1370" w:type="dxa"/>
            <w:gridSpan w:val="4"/>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1.23</w:t>
            </w:r>
          </w:p>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(1.10-1.38)</w:t>
            </w:r>
          </w:p>
        </w:tc>
        <w:tc>
          <w:tcPr>
            <w:tcW w:w="2460" w:type="dxa"/>
            <w:gridSpan w:val="2"/>
            <w:vMerge/>
          </w:tcPr>
          <w:p w:rsidR="00DA11D2" w:rsidRPr="002A790B" w:rsidRDefault="00DA11D2">
            <w:pPr>
              <w:rPr>
                <w:rFonts w:cstheme="minorHAnsi"/>
                <w:sz w:val="20"/>
                <w:szCs w:val="20"/>
              </w:rPr>
            </w:pPr>
          </w:p>
        </w:tc>
      </w:tr>
      <w:tr w:rsidR="006C466F" w:rsidRPr="00A47F4F" w:rsidTr="00ED3483">
        <w:trPr>
          <w:trHeight w:val="66"/>
        </w:trPr>
        <w:tc>
          <w:tcPr>
            <w:tcW w:w="1752" w:type="dxa"/>
            <w:vMerge w:val="restart"/>
          </w:tcPr>
          <w:p w:rsidR="00DA11D2" w:rsidRPr="002A790B" w:rsidRDefault="00DA11D2">
            <w:pPr>
              <w:tabs>
                <w:tab w:val="left" w:pos="567"/>
              </w:tabs>
              <w:rPr>
                <w:rFonts w:cstheme="minorHAnsi"/>
                <w:sz w:val="20"/>
                <w:szCs w:val="20"/>
              </w:rPr>
            </w:pPr>
            <w:r w:rsidRPr="002A790B">
              <w:rPr>
                <w:rFonts w:cstheme="minorHAnsi"/>
                <w:sz w:val="20"/>
                <w:szCs w:val="20"/>
              </w:rPr>
              <w:t>Alprazolam</w:t>
            </w:r>
            <w:r w:rsidRPr="002A790B">
              <w:rPr>
                <w:rFonts w:cstheme="minorHAnsi"/>
                <w:sz w:val="20"/>
                <w:szCs w:val="20"/>
                <w:vertAlign w:val="superscript"/>
              </w:rPr>
              <w:t>1</w:t>
            </w:r>
          </w:p>
          <w:p w:rsidR="00DA11D2" w:rsidRPr="002A790B" w:rsidRDefault="00DA11D2" w:rsidP="001E0E8A">
            <w:pPr>
              <w:tabs>
                <w:tab w:val="left" w:pos="567"/>
              </w:tabs>
              <w:rPr>
                <w:rFonts w:cstheme="minorHAnsi"/>
                <w:sz w:val="20"/>
                <w:szCs w:val="20"/>
              </w:rPr>
            </w:pPr>
            <w:r w:rsidRPr="002A790B">
              <w:rPr>
                <w:rFonts w:cstheme="minorHAnsi"/>
                <w:sz w:val="20"/>
                <w:szCs w:val="20"/>
              </w:rPr>
              <w:t>0.5</w:t>
            </w:r>
            <w:r>
              <w:rPr>
                <w:rFonts w:cstheme="minorHAnsi"/>
                <w:sz w:val="20"/>
                <w:szCs w:val="20"/>
              </w:rPr>
              <w:t xml:space="preserve"> </w:t>
            </w:r>
            <w:r w:rsidRPr="002A790B">
              <w:rPr>
                <w:rFonts w:cstheme="minorHAnsi"/>
                <w:sz w:val="20"/>
                <w:szCs w:val="20"/>
              </w:rPr>
              <w:t>mg single dose</w:t>
            </w:r>
          </w:p>
        </w:tc>
        <w:tc>
          <w:tcPr>
            <w:tcW w:w="1188" w:type="dxa"/>
            <w:gridSpan w:val="3"/>
          </w:tcPr>
          <w:p w:rsidR="00DA11D2" w:rsidRPr="002A790B" w:rsidRDefault="00DA11D2">
            <w:pPr>
              <w:rPr>
                <w:rFonts w:cstheme="minorHAnsi"/>
                <w:sz w:val="20"/>
                <w:szCs w:val="20"/>
              </w:rPr>
            </w:pPr>
          </w:p>
        </w:tc>
        <w:tc>
          <w:tcPr>
            <w:tcW w:w="1135" w:type="dxa"/>
            <w:gridSpan w:val="7"/>
          </w:tcPr>
          <w:p w:rsidR="00DA11D2" w:rsidRPr="002A790B" w:rsidRDefault="00DA11D2" w:rsidP="002A790B">
            <w:pPr>
              <w:tabs>
                <w:tab w:val="left" w:pos="567"/>
              </w:tabs>
              <w:jc w:val="center"/>
              <w:rPr>
                <w:rFonts w:ascii="Calibri" w:hAnsi="Calibri" w:cs="Calibri"/>
                <w:sz w:val="20"/>
                <w:szCs w:val="20"/>
                <w:vertAlign w:val="subscript"/>
              </w:rPr>
            </w:pPr>
            <w:proofErr w:type="spellStart"/>
            <w:r w:rsidRPr="002A790B">
              <w:rPr>
                <w:rFonts w:ascii="Calibri" w:hAnsi="Calibri" w:cs="Calibri"/>
                <w:sz w:val="20"/>
                <w:szCs w:val="20"/>
              </w:rPr>
              <w:t>C</w:t>
            </w:r>
            <w:r w:rsidRPr="002A790B">
              <w:rPr>
                <w:rFonts w:ascii="Calibri" w:hAnsi="Calibri" w:cs="Calibri"/>
                <w:sz w:val="20"/>
                <w:szCs w:val="20"/>
                <w:vertAlign w:val="subscript"/>
              </w:rPr>
              <w:t>max</w:t>
            </w:r>
            <w:proofErr w:type="spellEnd"/>
          </w:p>
        </w:tc>
        <w:tc>
          <w:tcPr>
            <w:tcW w:w="1275" w:type="dxa"/>
            <w:gridSpan w:val="7"/>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AUC</w:t>
            </w:r>
          </w:p>
        </w:tc>
        <w:tc>
          <w:tcPr>
            <w:tcW w:w="1370" w:type="dxa"/>
            <w:gridSpan w:val="4"/>
          </w:tcPr>
          <w:p w:rsidR="00DA11D2" w:rsidRPr="002A790B" w:rsidRDefault="00DA11D2" w:rsidP="002A790B">
            <w:pPr>
              <w:tabs>
                <w:tab w:val="left" w:pos="567"/>
              </w:tabs>
              <w:jc w:val="center"/>
              <w:rPr>
                <w:rFonts w:ascii="Calibri" w:hAnsi="Calibri" w:cs="Calibri"/>
                <w:sz w:val="20"/>
                <w:szCs w:val="20"/>
              </w:rPr>
            </w:pPr>
            <w:proofErr w:type="spellStart"/>
            <w:r w:rsidRPr="002A790B">
              <w:rPr>
                <w:rFonts w:ascii="Calibri" w:hAnsi="Calibri" w:cs="Calibri"/>
                <w:sz w:val="20"/>
                <w:szCs w:val="20"/>
              </w:rPr>
              <w:t>C</w:t>
            </w:r>
            <w:r w:rsidRPr="002A790B">
              <w:rPr>
                <w:rFonts w:ascii="Calibri" w:hAnsi="Calibri" w:cs="Calibri"/>
                <w:sz w:val="20"/>
                <w:szCs w:val="20"/>
                <w:vertAlign w:val="subscript"/>
              </w:rPr>
              <w:t>min</w:t>
            </w:r>
            <w:proofErr w:type="spellEnd"/>
          </w:p>
        </w:tc>
        <w:tc>
          <w:tcPr>
            <w:tcW w:w="2460" w:type="dxa"/>
            <w:gridSpan w:val="2"/>
            <w:vMerge w:val="restart"/>
          </w:tcPr>
          <w:p w:rsidR="00DA11D2" w:rsidRPr="002A790B" w:rsidRDefault="00DA11D2">
            <w:pPr>
              <w:tabs>
                <w:tab w:val="left" w:pos="567"/>
              </w:tabs>
              <w:rPr>
                <w:rFonts w:cstheme="minorHAnsi"/>
                <w:sz w:val="20"/>
                <w:szCs w:val="20"/>
              </w:rPr>
            </w:pPr>
            <w:r w:rsidRPr="002A790B">
              <w:rPr>
                <w:rFonts w:cstheme="minorHAnsi"/>
                <w:sz w:val="20"/>
                <w:szCs w:val="20"/>
              </w:rPr>
              <w:t>Clinical monitoring of patients is recommended.  A decrease in alprazolam dose can be considered based on clinical response.</w:t>
            </w:r>
          </w:p>
          <w:p w:rsidR="00DA11D2" w:rsidRPr="002A790B" w:rsidRDefault="00DA11D2">
            <w:pPr>
              <w:tabs>
                <w:tab w:val="left" w:pos="567"/>
              </w:tabs>
              <w:rPr>
                <w:rFonts w:cstheme="minorHAnsi"/>
                <w:sz w:val="20"/>
                <w:szCs w:val="20"/>
              </w:rPr>
            </w:pPr>
          </w:p>
        </w:tc>
      </w:tr>
      <w:tr w:rsidR="006C466F" w:rsidRPr="00A47F4F" w:rsidTr="00ED3483">
        <w:trPr>
          <w:trHeight w:val="66"/>
        </w:trPr>
        <w:tc>
          <w:tcPr>
            <w:tcW w:w="1752" w:type="dxa"/>
            <w:vMerge/>
          </w:tcPr>
          <w:p w:rsidR="00DA11D2" w:rsidRPr="002A790B" w:rsidRDefault="00DA11D2">
            <w:pPr>
              <w:tabs>
                <w:tab w:val="left" w:pos="567"/>
              </w:tabs>
              <w:rPr>
                <w:rFonts w:cstheme="minorHAnsi"/>
                <w:sz w:val="20"/>
                <w:szCs w:val="20"/>
              </w:rPr>
            </w:pPr>
          </w:p>
        </w:tc>
        <w:tc>
          <w:tcPr>
            <w:tcW w:w="1188" w:type="dxa"/>
            <w:gridSpan w:val="3"/>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alprazolam</w:t>
            </w:r>
          </w:p>
        </w:tc>
        <w:tc>
          <w:tcPr>
            <w:tcW w:w="1135" w:type="dxa"/>
            <w:gridSpan w:val="7"/>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1.09</w:t>
            </w:r>
          </w:p>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(1.03-1.15)</w:t>
            </w:r>
          </w:p>
        </w:tc>
        <w:tc>
          <w:tcPr>
            <w:tcW w:w="1275" w:type="dxa"/>
            <w:gridSpan w:val="7"/>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1.34</w:t>
            </w:r>
          </w:p>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(1.15-1.55)</w:t>
            </w:r>
          </w:p>
        </w:tc>
        <w:tc>
          <w:tcPr>
            <w:tcW w:w="1370" w:type="dxa"/>
            <w:gridSpan w:val="4"/>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NA</w:t>
            </w:r>
          </w:p>
        </w:tc>
        <w:tc>
          <w:tcPr>
            <w:tcW w:w="2460" w:type="dxa"/>
            <w:gridSpan w:val="2"/>
            <w:vMerge/>
          </w:tcPr>
          <w:p w:rsidR="00DA11D2" w:rsidRPr="002A790B" w:rsidRDefault="00DA11D2">
            <w:pPr>
              <w:rPr>
                <w:rFonts w:cstheme="minorHAnsi"/>
                <w:sz w:val="20"/>
                <w:szCs w:val="20"/>
              </w:rPr>
            </w:pPr>
          </w:p>
        </w:tc>
      </w:tr>
      <w:tr w:rsidR="006C466F" w:rsidRPr="00A47F4F" w:rsidTr="00ED3483">
        <w:trPr>
          <w:trHeight w:val="66"/>
        </w:trPr>
        <w:tc>
          <w:tcPr>
            <w:tcW w:w="1752" w:type="dxa"/>
            <w:vMerge/>
          </w:tcPr>
          <w:p w:rsidR="00DA11D2" w:rsidRPr="002A790B" w:rsidRDefault="00DA11D2">
            <w:pPr>
              <w:tabs>
                <w:tab w:val="left" w:pos="567"/>
              </w:tabs>
              <w:rPr>
                <w:rFonts w:cstheme="minorHAnsi"/>
                <w:sz w:val="20"/>
                <w:szCs w:val="20"/>
              </w:rPr>
            </w:pPr>
          </w:p>
        </w:tc>
        <w:tc>
          <w:tcPr>
            <w:tcW w:w="1188" w:type="dxa"/>
            <w:gridSpan w:val="3"/>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xml:space="preserve">↔ </w:t>
            </w:r>
            <w:proofErr w:type="spellStart"/>
            <w:r w:rsidRPr="002A790B">
              <w:rPr>
                <w:rFonts w:ascii="Calibri" w:hAnsi="Calibri" w:cs="Calibri"/>
                <w:sz w:val="20"/>
                <w:szCs w:val="20"/>
              </w:rPr>
              <w:t>ombitasvir</w:t>
            </w:r>
            <w:proofErr w:type="spellEnd"/>
          </w:p>
        </w:tc>
        <w:tc>
          <w:tcPr>
            <w:tcW w:w="1135" w:type="dxa"/>
            <w:gridSpan w:val="7"/>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0.98</w:t>
            </w:r>
          </w:p>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(0.93-1.04)</w:t>
            </w:r>
          </w:p>
        </w:tc>
        <w:tc>
          <w:tcPr>
            <w:tcW w:w="1275" w:type="dxa"/>
            <w:gridSpan w:val="7"/>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1.00</w:t>
            </w:r>
          </w:p>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(0.96-1.04)</w:t>
            </w:r>
          </w:p>
        </w:tc>
        <w:tc>
          <w:tcPr>
            <w:tcW w:w="1370" w:type="dxa"/>
            <w:gridSpan w:val="4"/>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0.98</w:t>
            </w:r>
          </w:p>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(0.93-1.04)</w:t>
            </w:r>
          </w:p>
        </w:tc>
        <w:tc>
          <w:tcPr>
            <w:tcW w:w="2460" w:type="dxa"/>
            <w:gridSpan w:val="2"/>
            <w:vMerge/>
          </w:tcPr>
          <w:p w:rsidR="00DA11D2" w:rsidRPr="002A790B" w:rsidRDefault="00DA11D2">
            <w:pPr>
              <w:rPr>
                <w:rFonts w:cstheme="minorHAnsi"/>
                <w:sz w:val="20"/>
                <w:szCs w:val="20"/>
              </w:rPr>
            </w:pPr>
          </w:p>
        </w:tc>
      </w:tr>
      <w:tr w:rsidR="006C466F" w:rsidRPr="00A47F4F" w:rsidTr="00ED3483">
        <w:trPr>
          <w:trHeight w:val="66"/>
        </w:trPr>
        <w:tc>
          <w:tcPr>
            <w:tcW w:w="1752" w:type="dxa"/>
            <w:vMerge/>
          </w:tcPr>
          <w:p w:rsidR="00DA11D2" w:rsidRPr="002A790B" w:rsidRDefault="00DA11D2">
            <w:pPr>
              <w:tabs>
                <w:tab w:val="left" w:pos="567"/>
              </w:tabs>
              <w:rPr>
                <w:rFonts w:cstheme="minorHAnsi"/>
                <w:sz w:val="20"/>
                <w:szCs w:val="20"/>
              </w:rPr>
            </w:pPr>
          </w:p>
        </w:tc>
        <w:tc>
          <w:tcPr>
            <w:tcW w:w="1188" w:type="dxa"/>
            <w:gridSpan w:val="3"/>
          </w:tcPr>
          <w:p w:rsidR="00DA11D2" w:rsidRPr="002A790B" w:rsidRDefault="00DA11D2">
            <w:pPr>
              <w:tabs>
                <w:tab w:val="left" w:pos="567"/>
              </w:tabs>
              <w:rPr>
                <w:rFonts w:ascii="Calibri" w:hAnsi="Calibri" w:cs="Calibri"/>
                <w:sz w:val="20"/>
                <w:szCs w:val="20"/>
              </w:rPr>
            </w:pPr>
            <w:r w:rsidRPr="002A790B">
              <w:rPr>
                <w:rFonts w:ascii="Calibri" w:hAnsi="Calibri" w:cs="Calibri"/>
                <w:sz w:val="20"/>
                <w:szCs w:val="20"/>
              </w:rPr>
              <w:t xml:space="preserve">↔ </w:t>
            </w:r>
            <w:proofErr w:type="spellStart"/>
            <w:r w:rsidRPr="002A790B">
              <w:rPr>
                <w:rFonts w:ascii="Calibri" w:hAnsi="Calibri" w:cs="Calibri"/>
                <w:sz w:val="20"/>
                <w:szCs w:val="20"/>
              </w:rPr>
              <w:t>paritaprevir</w:t>
            </w:r>
            <w:proofErr w:type="spellEnd"/>
          </w:p>
        </w:tc>
        <w:tc>
          <w:tcPr>
            <w:tcW w:w="1135" w:type="dxa"/>
            <w:gridSpan w:val="7"/>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0.91</w:t>
            </w:r>
          </w:p>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(0.64-1.31)</w:t>
            </w:r>
          </w:p>
        </w:tc>
        <w:tc>
          <w:tcPr>
            <w:tcW w:w="1275" w:type="dxa"/>
            <w:gridSpan w:val="7"/>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0.96</w:t>
            </w:r>
          </w:p>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(0.73-1.27)</w:t>
            </w:r>
          </w:p>
        </w:tc>
        <w:tc>
          <w:tcPr>
            <w:tcW w:w="1370" w:type="dxa"/>
            <w:gridSpan w:val="4"/>
          </w:tcPr>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1.12</w:t>
            </w:r>
          </w:p>
          <w:p w:rsidR="00DA11D2" w:rsidRPr="002A790B" w:rsidRDefault="00DA11D2" w:rsidP="002A790B">
            <w:pPr>
              <w:tabs>
                <w:tab w:val="left" w:pos="567"/>
              </w:tabs>
              <w:jc w:val="center"/>
              <w:rPr>
                <w:rFonts w:ascii="Calibri" w:hAnsi="Calibri" w:cs="Calibri"/>
                <w:sz w:val="20"/>
                <w:szCs w:val="20"/>
              </w:rPr>
            </w:pPr>
            <w:r w:rsidRPr="002A790B">
              <w:rPr>
                <w:rFonts w:ascii="Calibri" w:hAnsi="Calibri" w:cs="Calibri"/>
                <w:sz w:val="20"/>
                <w:szCs w:val="20"/>
              </w:rPr>
              <w:t>(1.02-1.23)</w:t>
            </w:r>
          </w:p>
        </w:tc>
        <w:tc>
          <w:tcPr>
            <w:tcW w:w="2460" w:type="dxa"/>
            <w:gridSpan w:val="2"/>
            <w:vMerge/>
          </w:tcPr>
          <w:p w:rsidR="00DA11D2" w:rsidRPr="002A790B" w:rsidRDefault="00DA11D2">
            <w:pPr>
              <w:rPr>
                <w:rFonts w:cstheme="minorHAnsi"/>
                <w:sz w:val="20"/>
                <w:szCs w:val="20"/>
              </w:rPr>
            </w:pPr>
          </w:p>
        </w:tc>
      </w:tr>
      <w:tr w:rsidR="006C466F" w:rsidRPr="00A47F4F" w:rsidTr="00ED3483">
        <w:tc>
          <w:tcPr>
            <w:tcW w:w="1752" w:type="dxa"/>
          </w:tcPr>
          <w:p w:rsidR="006C466F" w:rsidRPr="002A790B" w:rsidRDefault="006C466F">
            <w:pPr>
              <w:tabs>
                <w:tab w:val="left" w:pos="567"/>
              </w:tabs>
              <w:rPr>
                <w:rFonts w:cstheme="minorHAnsi"/>
                <w:sz w:val="20"/>
                <w:szCs w:val="20"/>
              </w:rPr>
            </w:pPr>
            <w:r>
              <w:rPr>
                <w:rFonts w:cstheme="minorHAnsi"/>
                <w:sz w:val="20"/>
                <w:szCs w:val="20"/>
              </w:rPr>
              <w:lastRenderedPageBreak/>
              <w:t>Diazepam</w:t>
            </w:r>
          </w:p>
        </w:tc>
        <w:tc>
          <w:tcPr>
            <w:tcW w:w="5017" w:type="dxa"/>
            <w:gridSpan w:val="22"/>
          </w:tcPr>
          <w:p w:rsidR="006C466F" w:rsidRPr="007D5CF0" w:rsidRDefault="006C466F" w:rsidP="00074DE4">
            <w:pPr>
              <w:rPr>
                <w:sz w:val="20"/>
                <w:szCs w:val="20"/>
              </w:rPr>
            </w:pPr>
            <w:r w:rsidRPr="007D5CF0">
              <w:rPr>
                <w:sz w:val="20"/>
                <w:szCs w:val="20"/>
              </w:rPr>
              <w:t>↓ diazepam</w:t>
            </w:r>
            <w:r w:rsidRPr="007D5CF0">
              <w:rPr>
                <w:sz w:val="20"/>
                <w:szCs w:val="20"/>
              </w:rPr>
              <w:br/>
              <w:t xml:space="preserve">↓ </w:t>
            </w:r>
            <w:proofErr w:type="spellStart"/>
            <w:r w:rsidRPr="007D5CF0">
              <w:rPr>
                <w:sz w:val="20"/>
                <w:szCs w:val="20"/>
              </w:rPr>
              <w:t>nordiazepam</w:t>
            </w:r>
            <w:proofErr w:type="spellEnd"/>
            <w:r w:rsidRPr="007D5CF0">
              <w:rPr>
                <w:sz w:val="20"/>
                <w:szCs w:val="20"/>
              </w:rPr>
              <w:t xml:space="preserve"> (metabolite of diazepam)</w:t>
            </w:r>
          </w:p>
          <w:p w:rsidR="006C466F" w:rsidRPr="007D5CF0" w:rsidRDefault="006C466F" w:rsidP="00074DE4">
            <w:pPr>
              <w:pStyle w:val="gtcblankline"/>
              <w:rPr>
                <w:sz w:val="20"/>
                <w:szCs w:val="20"/>
              </w:rPr>
            </w:pPr>
          </w:p>
        </w:tc>
        <w:tc>
          <w:tcPr>
            <w:tcW w:w="2411" w:type="dxa"/>
          </w:tcPr>
          <w:p w:rsidR="006C466F" w:rsidRPr="009E1A60" w:rsidRDefault="006C466F">
            <w:pPr>
              <w:rPr>
                <w:rFonts w:cstheme="minorHAnsi"/>
                <w:sz w:val="20"/>
                <w:szCs w:val="20"/>
              </w:rPr>
            </w:pPr>
            <w:r w:rsidRPr="007D5CF0">
              <w:rPr>
                <w:rFonts w:cstheme="minorHAnsi"/>
                <w:sz w:val="20"/>
                <w:szCs w:val="20"/>
              </w:rPr>
              <w:t>No dose adjustment required; increase dose if clinically indicated.</w:t>
            </w:r>
          </w:p>
        </w:tc>
      </w:tr>
      <w:tr w:rsidR="00DA11D2" w:rsidRPr="00A47F4F" w:rsidTr="000D4A1F">
        <w:tc>
          <w:tcPr>
            <w:tcW w:w="9180" w:type="dxa"/>
            <w:gridSpan w:val="24"/>
          </w:tcPr>
          <w:p w:rsidR="00DA11D2" w:rsidRPr="002A790B" w:rsidRDefault="00DA11D2">
            <w:pPr>
              <w:rPr>
                <w:rFonts w:cstheme="minorHAnsi"/>
                <w:sz w:val="20"/>
                <w:szCs w:val="20"/>
              </w:rPr>
            </w:pPr>
            <w:r w:rsidRPr="002A790B">
              <w:rPr>
                <w:rFonts w:cstheme="minorHAnsi"/>
                <w:b/>
                <w:sz w:val="20"/>
                <w:szCs w:val="20"/>
              </w:rPr>
              <w:t>Thyroid Hormones</w:t>
            </w:r>
          </w:p>
        </w:tc>
      </w:tr>
      <w:tr w:rsidR="003A240F" w:rsidRPr="00A47F4F" w:rsidTr="00ED3483">
        <w:tc>
          <w:tcPr>
            <w:tcW w:w="1752" w:type="dxa"/>
          </w:tcPr>
          <w:p w:rsidR="00DA11D2" w:rsidRPr="002A790B" w:rsidRDefault="00DA11D2">
            <w:pPr>
              <w:tabs>
                <w:tab w:val="left" w:pos="567"/>
              </w:tabs>
              <w:rPr>
                <w:rFonts w:cstheme="minorHAnsi"/>
                <w:sz w:val="20"/>
                <w:szCs w:val="20"/>
              </w:rPr>
            </w:pPr>
            <w:r w:rsidRPr="002A790B">
              <w:rPr>
                <w:rFonts w:cstheme="minorHAnsi"/>
                <w:sz w:val="20"/>
                <w:szCs w:val="20"/>
              </w:rPr>
              <w:t>Levothyroxine</w:t>
            </w:r>
            <w:r w:rsidRPr="002A790B">
              <w:rPr>
                <w:rFonts w:ascii="Calibri" w:hAnsi="Calibri" w:cs="Calibri"/>
                <w:sz w:val="20"/>
                <w:szCs w:val="20"/>
              </w:rPr>
              <w:t>*</w:t>
            </w:r>
          </w:p>
        </w:tc>
        <w:tc>
          <w:tcPr>
            <w:tcW w:w="4968" w:type="dxa"/>
            <w:gridSpan w:val="21"/>
          </w:tcPr>
          <w:p w:rsidR="00DA11D2" w:rsidRPr="002A790B" w:rsidRDefault="00DA11D2" w:rsidP="00091350">
            <w:pPr>
              <w:tabs>
                <w:tab w:val="left" w:pos="567"/>
              </w:tabs>
              <w:rPr>
                <w:rFonts w:ascii="Calibri" w:hAnsi="Calibri" w:cs="Calibri"/>
                <w:sz w:val="20"/>
                <w:szCs w:val="20"/>
              </w:rPr>
            </w:pPr>
            <w:r w:rsidRPr="002A790B">
              <w:rPr>
                <w:rFonts w:ascii="Calibri" w:hAnsi="Calibri" w:cs="Calibri"/>
                <w:sz w:val="20"/>
                <w:szCs w:val="20"/>
              </w:rPr>
              <w:t>↑ levothyroxine</w:t>
            </w:r>
          </w:p>
        </w:tc>
        <w:tc>
          <w:tcPr>
            <w:tcW w:w="2460" w:type="dxa"/>
            <w:gridSpan w:val="2"/>
          </w:tcPr>
          <w:p w:rsidR="00DA11D2" w:rsidRPr="002A790B" w:rsidRDefault="00DA11D2">
            <w:pPr>
              <w:rPr>
                <w:rFonts w:cstheme="minorHAnsi"/>
                <w:sz w:val="20"/>
                <w:szCs w:val="20"/>
              </w:rPr>
            </w:pPr>
            <w:r w:rsidRPr="002A790B">
              <w:rPr>
                <w:rFonts w:cstheme="minorHAnsi"/>
                <w:sz w:val="20"/>
                <w:szCs w:val="20"/>
              </w:rPr>
              <w:t xml:space="preserve">Mechanism:  UGT1A1 inhibition by </w:t>
            </w:r>
            <w:proofErr w:type="spellStart"/>
            <w:r w:rsidRPr="002A790B">
              <w:rPr>
                <w:rFonts w:cstheme="minorHAnsi"/>
                <w:sz w:val="20"/>
                <w:szCs w:val="20"/>
              </w:rPr>
              <w:t>paritaprevir</w:t>
            </w:r>
            <w:proofErr w:type="spellEnd"/>
            <w:r w:rsidRPr="002A790B">
              <w:rPr>
                <w:rFonts w:cstheme="minorHAnsi"/>
                <w:sz w:val="20"/>
                <w:szCs w:val="20"/>
              </w:rPr>
              <w:t xml:space="preserve"> and </w:t>
            </w:r>
            <w:proofErr w:type="spellStart"/>
            <w:r w:rsidRPr="002A790B">
              <w:rPr>
                <w:rFonts w:cstheme="minorHAnsi"/>
                <w:sz w:val="20"/>
                <w:szCs w:val="20"/>
              </w:rPr>
              <w:t>ombitasvir</w:t>
            </w:r>
            <w:proofErr w:type="spellEnd"/>
            <w:r w:rsidRPr="002A790B">
              <w:rPr>
                <w:rFonts w:cstheme="minorHAnsi"/>
                <w:sz w:val="20"/>
                <w:szCs w:val="20"/>
              </w:rPr>
              <w:t>.</w:t>
            </w:r>
          </w:p>
          <w:p w:rsidR="00DA11D2" w:rsidRPr="002A790B" w:rsidRDefault="00DA11D2">
            <w:pPr>
              <w:tabs>
                <w:tab w:val="left" w:pos="567"/>
              </w:tabs>
              <w:rPr>
                <w:rFonts w:cstheme="minorHAnsi"/>
                <w:sz w:val="20"/>
                <w:szCs w:val="20"/>
              </w:rPr>
            </w:pPr>
            <w:r w:rsidRPr="002A790B">
              <w:rPr>
                <w:rFonts w:cstheme="minorHAnsi"/>
                <w:sz w:val="20"/>
                <w:szCs w:val="20"/>
              </w:rPr>
              <w:t>Clinical monitoring and dose adjustment may be required for levothyroxine.</w:t>
            </w:r>
          </w:p>
        </w:tc>
      </w:tr>
      <w:tr w:rsidR="00DA11D2" w:rsidRPr="00A47F4F" w:rsidTr="000D4A1F">
        <w:tc>
          <w:tcPr>
            <w:tcW w:w="9180" w:type="dxa"/>
            <w:gridSpan w:val="24"/>
          </w:tcPr>
          <w:p w:rsidR="00DA11D2" w:rsidRPr="002A790B" w:rsidRDefault="00DA11D2">
            <w:pPr>
              <w:numPr>
                <w:ilvl w:val="0"/>
                <w:numId w:val="39"/>
              </w:numPr>
              <w:rPr>
                <w:rFonts w:cstheme="minorHAnsi"/>
                <w:sz w:val="20"/>
                <w:szCs w:val="20"/>
              </w:rPr>
            </w:pPr>
            <w:r w:rsidRPr="002A790B">
              <w:rPr>
                <w:rFonts w:cstheme="minorHAnsi"/>
                <w:sz w:val="20"/>
                <w:szCs w:val="20"/>
              </w:rPr>
              <w:t>Not studied; expected effect.</w:t>
            </w:r>
          </w:p>
          <w:p w:rsidR="00DA11D2" w:rsidRPr="002A790B" w:rsidRDefault="00DA11D2">
            <w:pPr>
              <w:numPr>
                <w:ilvl w:val="0"/>
                <w:numId w:val="38"/>
              </w:numPr>
              <w:rPr>
                <w:rFonts w:cstheme="minorHAnsi"/>
                <w:sz w:val="20"/>
                <w:szCs w:val="20"/>
              </w:rPr>
            </w:pPr>
            <w:r w:rsidRPr="002A790B">
              <w:rPr>
                <w:rFonts w:cstheme="minorHAnsi"/>
                <w:sz w:val="20"/>
                <w:szCs w:val="20"/>
              </w:rPr>
              <w:t xml:space="preserve">Drug-drug interaction study carried out with </w:t>
            </w:r>
            <w:proofErr w:type="spellStart"/>
            <w:r>
              <w:rPr>
                <w:rFonts w:cstheme="minorHAnsi"/>
                <w:sz w:val="20"/>
                <w:szCs w:val="20"/>
              </w:rPr>
              <w:t>paritaprevir</w:t>
            </w:r>
            <w:proofErr w:type="spellEnd"/>
            <w:r>
              <w:rPr>
                <w:rFonts w:cstheme="minorHAnsi"/>
                <w:sz w:val="20"/>
                <w:szCs w:val="20"/>
              </w:rPr>
              <w:t>/</w:t>
            </w:r>
            <w:r w:rsidRPr="002A790B">
              <w:rPr>
                <w:rFonts w:cstheme="minorHAnsi"/>
                <w:sz w:val="20"/>
                <w:szCs w:val="20"/>
              </w:rPr>
              <w:t>ritonavir</w:t>
            </w:r>
            <w:r>
              <w:rPr>
                <w:rFonts w:cstheme="minorHAnsi"/>
                <w:sz w:val="20"/>
                <w:szCs w:val="20"/>
              </w:rPr>
              <w:t>/</w:t>
            </w:r>
            <w:proofErr w:type="spellStart"/>
            <w:r>
              <w:rPr>
                <w:rFonts w:cstheme="minorHAnsi"/>
                <w:sz w:val="20"/>
                <w:szCs w:val="20"/>
              </w:rPr>
              <w:t>ombitasvir</w:t>
            </w:r>
            <w:proofErr w:type="spellEnd"/>
            <w:r>
              <w:rPr>
                <w:rFonts w:cstheme="minorHAnsi"/>
                <w:sz w:val="20"/>
                <w:szCs w:val="20"/>
              </w:rPr>
              <w:t xml:space="preserve"> </w:t>
            </w:r>
            <w:r w:rsidRPr="002A790B">
              <w:rPr>
                <w:rFonts w:cstheme="minorHAnsi"/>
                <w:sz w:val="20"/>
                <w:szCs w:val="20"/>
              </w:rPr>
              <w:t xml:space="preserve">and </w:t>
            </w:r>
            <w:proofErr w:type="spellStart"/>
            <w:r w:rsidRPr="002A790B">
              <w:rPr>
                <w:rFonts w:cstheme="minorHAnsi"/>
                <w:sz w:val="20"/>
                <w:szCs w:val="20"/>
              </w:rPr>
              <w:t>dasabuvir</w:t>
            </w:r>
            <w:proofErr w:type="spellEnd"/>
            <w:r w:rsidRPr="002A790B">
              <w:rPr>
                <w:rFonts w:cstheme="minorHAnsi"/>
                <w:sz w:val="20"/>
                <w:szCs w:val="20"/>
              </w:rPr>
              <w:t xml:space="preserve"> combination.</w:t>
            </w:r>
          </w:p>
          <w:p w:rsidR="00DA11D2" w:rsidRPr="002A790B" w:rsidRDefault="00DA11D2">
            <w:pPr>
              <w:numPr>
                <w:ilvl w:val="0"/>
                <w:numId w:val="38"/>
              </w:numPr>
              <w:rPr>
                <w:rFonts w:ascii="Calibri" w:hAnsi="Calibri" w:cs="Calibri"/>
                <w:sz w:val="20"/>
                <w:szCs w:val="20"/>
              </w:rPr>
            </w:pPr>
            <w:proofErr w:type="spellStart"/>
            <w:r w:rsidRPr="002A790B">
              <w:rPr>
                <w:rFonts w:ascii="Calibri" w:hAnsi="Calibri" w:cs="Calibri"/>
                <w:sz w:val="20"/>
                <w:szCs w:val="20"/>
              </w:rPr>
              <w:t>Lopinavir</w:t>
            </w:r>
            <w:proofErr w:type="spellEnd"/>
            <w:r w:rsidRPr="002A790B">
              <w:rPr>
                <w:rFonts w:ascii="Calibri" w:hAnsi="Calibri" w:cs="Calibri"/>
                <w:sz w:val="20"/>
                <w:szCs w:val="20"/>
              </w:rPr>
              <w:t>/ritonavir 800/200</w:t>
            </w:r>
            <w:r>
              <w:rPr>
                <w:rFonts w:ascii="Calibri" w:hAnsi="Calibri" w:cs="Calibri"/>
                <w:sz w:val="20"/>
                <w:szCs w:val="20"/>
              </w:rPr>
              <w:t xml:space="preserve"> </w:t>
            </w:r>
            <w:r w:rsidRPr="002A790B">
              <w:rPr>
                <w:rFonts w:ascii="Calibri" w:hAnsi="Calibri" w:cs="Calibri"/>
                <w:sz w:val="20"/>
                <w:szCs w:val="20"/>
              </w:rPr>
              <w:t xml:space="preserve">mg once daily (administered in the evening) was also administered with </w:t>
            </w:r>
            <w:proofErr w:type="spellStart"/>
            <w:r w:rsidRPr="002A790B">
              <w:rPr>
                <w:rFonts w:ascii="Calibri" w:hAnsi="Calibri" w:cs="Calibri"/>
                <w:sz w:val="20"/>
                <w:szCs w:val="20"/>
              </w:rPr>
              <w:t>paritaprevir</w:t>
            </w:r>
            <w:proofErr w:type="spellEnd"/>
            <w:r w:rsidRPr="002A790B">
              <w:rPr>
                <w:rFonts w:ascii="Calibri" w:hAnsi="Calibri" w:cs="Calibri"/>
                <w:sz w:val="20"/>
                <w:szCs w:val="20"/>
              </w:rPr>
              <w:t>/ritonavir/</w:t>
            </w:r>
            <w:proofErr w:type="spellStart"/>
            <w:r w:rsidRPr="002A790B">
              <w:rPr>
                <w:rFonts w:ascii="Calibri" w:hAnsi="Calibri" w:cs="Calibri"/>
                <w:sz w:val="20"/>
                <w:szCs w:val="20"/>
              </w:rPr>
              <w:t>ombitasvir</w:t>
            </w:r>
            <w:proofErr w:type="spellEnd"/>
            <w:r w:rsidRPr="002A790B">
              <w:rPr>
                <w:rFonts w:ascii="Calibri" w:hAnsi="Calibri" w:cs="Calibri"/>
                <w:sz w:val="20"/>
                <w:szCs w:val="20"/>
              </w:rPr>
              <w:t xml:space="preserve"> + </w:t>
            </w:r>
            <w:proofErr w:type="spellStart"/>
            <w:r w:rsidRPr="002A790B">
              <w:rPr>
                <w:rFonts w:ascii="Calibri" w:hAnsi="Calibri" w:cs="Calibri"/>
                <w:sz w:val="20"/>
                <w:szCs w:val="20"/>
              </w:rPr>
              <w:t>dasabuvir</w:t>
            </w:r>
            <w:proofErr w:type="spellEnd"/>
            <w:r w:rsidRPr="002A790B">
              <w:rPr>
                <w:rFonts w:ascii="Calibri" w:hAnsi="Calibri" w:cs="Calibri"/>
                <w:sz w:val="20"/>
                <w:szCs w:val="20"/>
              </w:rPr>
              <w:t xml:space="preserve">.  The effect on </w:t>
            </w:r>
            <w:proofErr w:type="spellStart"/>
            <w:r w:rsidRPr="002A790B">
              <w:rPr>
                <w:rFonts w:ascii="Calibri" w:hAnsi="Calibri" w:cs="Calibri"/>
                <w:sz w:val="20"/>
                <w:szCs w:val="20"/>
              </w:rPr>
              <w:t>C</w:t>
            </w:r>
            <w:r w:rsidRPr="002A790B">
              <w:rPr>
                <w:rFonts w:ascii="Calibri" w:hAnsi="Calibri" w:cs="Calibri"/>
                <w:sz w:val="20"/>
                <w:szCs w:val="20"/>
                <w:vertAlign w:val="subscript"/>
              </w:rPr>
              <w:t>max</w:t>
            </w:r>
            <w:proofErr w:type="spellEnd"/>
            <w:r w:rsidRPr="002A790B">
              <w:rPr>
                <w:rFonts w:ascii="Calibri" w:hAnsi="Calibri" w:cs="Calibri"/>
                <w:sz w:val="20"/>
                <w:szCs w:val="20"/>
                <w:vertAlign w:val="subscript"/>
              </w:rPr>
              <w:t xml:space="preserve"> </w:t>
            </w:r>
            <w:r w:rsidRPr="002A790B">
              <w:rPr>
                <w:rFonts w:ascii="Calibri" w:hAnsi="Calibri" w:cs="Calibri"/>
                <w:sz w:val="20"/>
                <w:szCs w:val="20"/>
              </w:rPr>
              <w:t xml:space="preserve">and AUC of the DAAs and </w:t>
            </w:r>
            <w:proofErr w:type="spellStart"/>
            <w:r w:rsidRPr="002A790B">
              <w:rPr>
                <w:rFonts w:ascii="Calibri" w:hAnsi="Calibri" w:cs="Calibri"/>
                <w:sz w:val="20"/>
                <w:szCs w:val="20"/>
              </w:rPr>
              <w:t>lopinavir</w:t>
            </w:r>
            <w:proofErr w:type="spellEnd"/>
            <w:r w:rsidRPr="002A790B">
              <w:rPr>
                <w:rFonts w:ascii="Calibri" w:hAnsi="Calibri" w:cs="Calibri"/>
                <w:sz w:val="20"/>
                <w:szCs w:val="20"/>
              </w:rPr>
              <w:t xml:space="preserve"> was similar to that observed when </w:t>
            </w:r>
            <w:proofErr w:type="spellStart"/>
            <w:r w:rsidRPr="002A790B">
              <w:rPr>
                <w:rFonts w:ascii="Calibri" w:hAnsi="Calibri" w:cs="Calibri"/>
                <w:sz w:val="20"/>
                <w:szCs w:val="20"/>
              </w:rPr>
              <w:t>lopinavir</w:t>
            </w:r>
            <w:proofErr w:type="spellEnd"/>
            <w:r w:rsidRPr="002A790B">
              <w:rPr>
                <w:rFonts w:ascii="Calibri" w:hAnsi="Calibri" w:cs="Calibri"/>
                <w:sz w:val="20"/>
                <w:szCs w:val="20"/>
              </w:rPr>
              <w:t>/ritonavir 400/100</w:t>
            </w:r>
            <w:r>
              <w:rPr>
                <w:rFonts w:ascii="Calibri" w:hAnsi="Calibri" w:cs="Calibri"/>
                <w:sz w:val="20"/>
                <w:szCs w:val="20"/>
              </w:rPr>
              <w:t xml:space="preserve"> </w:t>
            </w:r>
            <w:r w:rsidRPr="002A790B">
              <w:rPr>
                <w:rFonts w:ascii="Calibri" w:hAnsi="Calibri" w:cs="Calibri"/>
                <w:sz w:val="20"/>
                <w:szCs w:val="20"/>
              </w:rPr>
              <w:t xml:space="preserve">mg twice daily was administered with </w:t>
            </w:r>
            <w:proofErr w:type="spellStart"/>
            <w:r w:rsidRPr="002A790B">
              <w:rPr>
                <w:rFonts w:ascii="Calibri" w:hAnsi="Calibri" w:cs="Calibri"/>
                <w:sz w:val="20"/>
                <w:szCs w:val="20"/>
              </w:rPr>
              <w:t>paritaprevir</w:t>
            </w:r>
            <w:proofErr w:type="spellEnd"/>
            <w:r w:rsidRPr="002A790B">
              <w:rPr>
                <w:rFonts w:ascii="Calibri" w:hAnsi="Calibri" w:cs="Calibri"/>
                <w:sz w:val="20"/>
                <w:szCs w:val="20"/>
              </w:rPr>
              <w:t>/ritonavir/</w:t>
            </w:r>
            <w:proofErr w:type="spellStart"/>
            <w:r w:rsidRPr="002A790B">
              <w:rPr>
                <w:rFonts w:ascii="Calibri" w:hAnsi="Calibri" w:cs="Calibri"/>
                <w:sz w:val="20"/>
                <w:szCs w:val="20"/>
              </w:rPr>
              <w:t>ombitasvir</w:t>
            </w:r>
            <w:proofErr w:type="spellEnd"/>
            <w:r w:rsidRPr="002A790B">
              <w:rPr>
                <w:rFonts w:ascii="Calibri" w:hAnsi="Calibri" w:cs="Calibri"/>
                <w:sz w:val="20"/>
                <w:szCs w:val="20"/>
              </w:rPr>
              <w:t xml:space="preserve"> + </w:t>
            </w:r>
            <w:proofErr w:type="spellStart"/>
            <w:r w:rsidRPr="002A790B">
              <w:rPr>
                <w:rFonts w:ascii="Calibri" w:hAnsi="Calibri" w:cs="Calibri"/>
                <w:sz w:val="20"/>
                <w:szCs w:val="20"/>
              </w:rPr>
              <w:t>dasabuvir</w:t>
            </w:r>
            <w:proofErr w:type="spellEnd"/>
            <w:r w:rsidRPr="002A790B">
              <w:rPr>
                <w:rFonts w:ascii="Calibri" w:hAnsi="Calibri" w:cs="Calibri"/>
                <w:sz w:val="20"/>
                <w:szCs w:val="20"/>
              </w:rPr>
              <w:t>.</w:t>
            </w:r>
          </w:p>
          <w:p w:rsidR="00DA11D2" w:rsidRPr="002A790B" w:rsidRDefault="00DA11D2">
            <w:pPr>
              <w:numPr>
                <w:ilvl w:val="0"/>
                <w:numId w:val="38"/>
              </w:numPr>
              <w:rPr>
                <w:rFonts w:ascii="Calibri" w:hAnsi="Calibri" w:cs="Calibri"/>
                <w:sz w:val="20"/>
                <w:szCs w:val="20"/>
              </w:rPr>
            </w:pPr>
            <w:r w:rsidRPr="002A790B">
              <w:rPr>
                <w:rFonts w:ascii="Calibri" w:hAnsi="Calibri" w:cs="Calibri"/>
                <w:sz w:val="20"/>
                <w:szCs w:val="20"/>
              </w:rPr>
              <w:t xml:space="preserve"> </w:t>
            </w:r>
            <w:r w:rsidRPr="002A790B">
              <w:rPr>
                <w:rFonts w:cstheme="minorHAnsi"/>
                <w:sz w:val="20"/>
                <w:szCs w:val="20"/>
              </w:rPr>
              <w:t xml:space="preserve">Similar increases were observed when </w:t>
            </w:r>
            <w:proofErr w:type="spellStart"/>
            <w:r w:rsidRPr="002A790B">
              <w:rPr>
                <w:rFonts w:cstheme="minorHAnsi"/>
                <w:sz w:val="20"/>
                <w:szCs w:val="20"/>
              </w:rPr>
              <w:t>rilpivirine</w:t>
            </w:r>
            <w:proofErr w:type="spellEnd"/>
            <w:r w:rsidRPr="002A790B">
              <w:rPr>
                <w:rFonts w:cstheme="minorHAnsi"/>
                <w:sz w:val="20"/>
                <w:szCs w:val="20"/>
              </w:rPr>
              <w:t xml:space="preserve"> was dosed in the evening with food or 4 hours after food. </w:t>
            </w:r>
          </w:p>
          <w:p w:rsidR="00DA11D2" w:rsidRPr="002A790B" w:rsidRDefault="00DA11D2">
            <w:pPr>
              <w:numPr>
                <w:ilvl w:val="0"/>
                <w:numId w:val="38"/>
              </w:numPr>
              <w:rPr>
                <w:rFonts w:ascii="Calibri" w:hAnsi="Calibri" w:cs="Calibri"/>
                <w:sz w:val="20"/>
                <w:szCs w:val="20"/>
              </w:rPr>
            </w:pPr>
            <w:proofErr w:type="spellStart"/>
            <w:r w:rsidRPr="002A790B">
              <w:rPr>
                <w:rFonts w:ascii="Calibri" w:hAnsi="Calibri" w:cs="Calibri"/>
                <w:sz w:val="20"/>
                <w:szCs w:val="20"/>
              </w:rPr>
              <w:t>Ciclosporin</w:t>
            </w:r>
            <w:proofErr w:type="spellEnd"/>
            <w:r w:rsidRPr="002A790B">
              <w:rPr>
                <w:rFonts w:ascii="Calibri" w:hAnsi="Calibri" w:cs="Calibri"/>
                <w:sz w:val="20"/>
                <w:szCs w:val="20"/>
              </w:rPr>
              <w:t xml:space="preserve"> 100</w:t>
            </w:r>
            <w:r>
              <w:rPr>
                <w:rFonts w:ascii="Calibri" w:hAnsi="Calibri" w:cs="Calibri"/>
                <w:sz w:val="20"/>
                <w:szCs w:val="20"/>
              </w:rPr>
              <w:t xml:space="preserve"> </w:t>
            </w:r>
            <w:r w:rsidRPr="002A790B">
              <w:rPr>
                <w:rFonts w:ascii="Calibri" w:hAnsi="Calibri" w:cs="Calibri"/>
                <w:sz w:val="20"/>
                <w:szCs w:val="20"/>
              </w:rPr>
              <w:t xml:space="preserve">mg dosed alone and 10 mg administered with </w:t>
            </w:r>
            <w:proofErr w:type="spellStart"/>
            <w:r w:rsidRPr="002A790B">
              <w:rPr>
                <w:rFonts w:ascii="Calibri" w:hAnsi="Calibri" w:cs="Calibri"/>
                <w:sz w:val="20"/>
                <w:szCs w:val="20"/>
              </w:rPr>
              <w:t>pa</w:t>
            </w:r>
            <w:r>
              <w:rPr>
                <w:rFonts w:ascii="Calibri" w:hAnsi="Calibri" w:cs="Calibri"/>
                <w:sz w:val="20"/>
                <w:szCs w:val="20"/>
              </w:rPr>
              <w:t>ritaprevir</w:t>
            </w:r>
            <w:proofErr w:type="spellEnd"/>
            <w:r>
              <w:rPr>
                <w:rFonts w:ascii="Calibri" w:hAnsi="Calibri" w:cs="Calibri"/>
                <w:sz w:val="20"/>
                <w:szCs w:val="20"/>
              </w:rPr>
              <w:t>/ritonavir/</w:t>
            </w:r>
            <w:proofErr w:type="spellStart"/>
            <w:r>
              <w:rPr>
                <w:rFonts w:ascii="Calibri" w:hAnsi="Calibri" w:cs="Calibri"/>
                <w:sz w:val="20"/>
                <w:szCs w:val="20"/>
              </w:rPr>
              <w:t>ombitasvir</w:t>
            </w:r>
            <w:proofErr w:type="spellEnd"/>
            <w:r w:rsidRPr="002A790B">
              <w:rPr>
                <w:rFonts w:ascii="Calibri" w:hAnsi="Calibri" w:cs="Calibri"/>
                <w:sz w:val="20"/>
                <w:szCs w:val="20"/>
              </w:rPr>
              <w:t xml:space="preserve">.  Dose-normalised </w:t>
            </w:r>
            <w:proofErr w:type="spellStart"/>
            <w:r w:rsidRPr="002A790B">
              <w:rPr>
                <w:rFonts w:ascii="Calibri" w:hAnsi="Calibri" w:cs="Calibri"/>
                <w:sz w:val="20"/>
                <w:szCs w:val="20"/>
              </w:rPr>
              <w:t>ciclosporin</w:t>
            </w:r>
            <w:proofErr w:type="spellEnd"/>
            <w:r w:rsidRPr="002A790B">
              <w:rPr>
                <w:rFonts w:ascii="Calibri" w:hAnsi="Calibri" w:cs="Calibri"/>
                <w:sz w:val="20"/>
                <w:szCs w:val="20"/>
              </w:rPr>
              <w:t xml:space="preserve"> ratios are shown for interaction with </w:t>
            </w:r>
            <w:proofErr w:type="spellStart"/>
            <w:r w:rsidRPr="002A790B">
              <w:rPr>
                <w:rFonts w:ascii="Calibri" w:hAnsi="Calibri" w:cs="Calibri"/>
                <w:sz w:val="20"/>
                <w:szCs w:val="20"/>
              </w:rPr>
              <w:t>paritaprevir</w:t>
            </w:r>
            <w:proofErr w:type="spellEnd"/>
            <w:r w:rsidRPr="002A790B">
              <w:rPr>
                <w:rFonts w:ascii="Calibri" w:hAnsi="Calibri" w:cs="Calibri"/>
                <w:sz w:val="20"/>
                <w:szCs w:val="20"/>
              </w:rPr>
              <w:t>/ritonavir/</w:t>
            </w:r>
            <w:proofErr w:type="spellStart"/>
            <w:r w:rsidRPr="002A790B">
              <w:rPr>
                <w:rFonts w:ascii="Calibri" w:hAnsi="Calibri" w:cs="Calibri"/>
                <w:sz w:val="20"/>
                <w:szCs w:val="20"/>
              </w:rPr>
              <w:t>ombitasvir</w:t>
            </w:r>
            <w:proofErr w:type="spellEnd"/>
            <w:r w:rsidRPr="002A790B">
              <w:rPr>
                <w:rFonts w:ascii="Calibri" w:hAnsi="Calibri" w:cs="Calibri"/>
                <w:sz w:val="20"/>
                <w:szCs w:val="20"/>
              </w:rPr>
              <w:t xml:space="preserve">. </w:t>
            </w:r>
          </w:p>
          <w:p w:rsidR="00DA11D2" w:rsidRPr="002A790B" w:rsidRDefault="00DA11D2">
            <w:pPr>
              <w:numPr>
                <w:ilvl w:val="0"/>
                <w:numId w:val="38"/>
              </w:numPr>
              <w:rPr>
                <w:rFonts w:ascii="Calibri" w:hAnsi="Calibri" w:cs="Calibri"/>
                <w:sz w:val="20"/>
                <w:szCs w:val="20"/>
              </w:rPr>
            </w:pPr>
            <w:r w:rsidRPr="002A790B">
              <w:rPr>
                <w:rFonts w:ascii="Calibri" w:hAnsi="Calibri" w:cs="Calibri"/>
                <w:sz w:val="20"/>
                <w:szCs w:val="20"/>
              </w:rPr>
              <w:t>Tacrolimus 2</w:t>
            </w:r>
            <w:r>
              <w:rPr>
                <w:rFonts w:ascii="Calibri" w:hAnsi="Calibri" w:cs="Calibri"/>
                <w:sz w:val="20"/>
                <w:szCs w:val="20"/>
              </w:rPr>
              <w:t xml:space="preserve"> </w:t>
            </w:r>
            <w:r w:rsidRPr="002A790B">
              <w:rPr>
                <w:rFonts w:ascii="Calibri" w:hAnsi="Calibri" w:cs="Calibri"/>
                <w:sz w:val="20"/>
                <w:szCs w:val="20"/>
              </w:rPr>
              <w:t xml:space="preserve">mg dosed alone and 0.5 mg administered with </w:t>
            </w:r>
            <w:proofErr w:type="spellStart"/>
            <w:r w:rsidRPr="002A790B">
              <w:rPr>
                <w:rFonts w:ascii="Calibri" w:hAnsi="Calibri" w:cs="Calibri"/>
                <w:sz w:val="20"/>
                <w:szCs w:val="20"/>
              </w:rPr>
              <w:t>paritaprevir</w:t>
            </w:r>
            <w:proofErr w:type="spellEnd"/>
            <w:r w:rsidRPr="002A790B">
              <w:rPr>
                <w:rFonts w:ascii="Calibri" w:hAnsi="Calibri" w:cs="Calibri"/>
                <w:sz w:val="20"/>
                <w:szCs w:val="20"/>
              </w:rPr>
              <w:t>/ritonavir/</w:t>
            </w:r>
            <w:proofErr w:type="spellStart"/>
            <w:r w:rsidRPr="002A790B">
              <w:rPr>
                <w:rFonts w:ascii="Calibri" w:hAnsi="Calibri" w:cs="Calibri"/>
                <w:sz w:val="20"/>
                <w:szCs w:val="20"/>
              </w:rPr>
              <w:t>ombitasvir</w:t>
            </w:r>
            <w:proofErr w:type="spellEnd"/>
            <w:r w:rsidRPr="002A790B">
              <w:rPr>
                <w:rFonts w:ascii="Calibri" w:hAnsi="Calibri" w:cs="Calibri"/>
                <w:sz w:val="20"/>
                <w:szCs w:val="20"/>
              </w:rPr>
              <w:t xml:space="preserve">.  Dose-normalized tacrolimus ratios are shown for interaction with </w:t>
            </w:r>
            <w:proofErr w:type="spellStart"/>
            <w:r w:rsidRPr="002A790B">
              <w:rPr>
                <w:rFonts w:ascii="Calibri" w:hAnsi="Calibri" w:cs="Calibri"/>
                <w:sz w:val="20"/>
                <w:szCs w:val="20"/>
              </w:rPr>
              <w:t>paritaprevir</w:t>
            </w:r>
            <w:proofErr w:type="spellEnd"/>
            <w:r w:rsidRPr="002A790B">
              <w:rPr>
                <w:rFonts w:ascii="Calibri" w:hAnsi="Calibri" w:cs="Calibri"/>
                <w:sz w:val="20"/>
                <w:szCs w:val="20"/>
              </w:rPr>
              <w:t>/ritonavir/</w:t>
            </w:r>
            <w:proofErr w:type="spellStart"/>
            <w:r w:rsidRPr="002A790B">
              <w:rPr>
                <w:rFonts w:ascii="Calibri" w:hAnsi="Calibri" w:cs="Calibri"/>
                <w:sz w:val="20"/>
                <w:szCs w:val="20"/>
              </w:rPr>
              <w:t>ombitasvir</w:t>
            </w:r>
            <w:proofErr w:type="spellEnd"/>
          </w:p>
          <w:p w:rsidR="00DA11D2" w:rsidRPr="002A790B" w:rsidRDefault="00DA11D2">
            <w:pPr>
              <w:numPr>
                <w:ilvl w:val="0"/>
                <w:numId w:val="38"/>
              </w:numPr>
              <w:rPr>
                <w:rFonts w:ascii="Calibri" w:hAnsi="Calibri" w:cs="Calibri"/>
                <w:sz w:val="20"/>
                <w:szCs w:val="20"/>
              </w:rPr>
            </w:pPr>
            <w:r w:rsidRPr="002A790B">
              <w:rPr>
                <w:rFonts w:ascii="Calibri" w:hAnsi="Calibri" w:cs="Calibri"/>
                <w:sz w:val="20"/>
                <w:szCs w:val="20"/>
              </w:rPr>
              <w:t>Dose-normalised parameters reported for methadone, buprenorphine and naloxone.</w:t>
            </w:r>
          </w:p>
          <w:p w:rsidR="00DA11D2" w:rsidRPr="002A790B" w:rsidRDefault="00DA11D2">
            <w:pPr>
              <w:tabs>
                <w:tab w:val="left" w:pos="567"/>
              </w:tabs>
              <w:rPr>
                <w:rFonts w:ascii="Calibri" w:hAnsi="Calibri" w:cs="Calibri"/>
                <w:sz w:val="20"/>
                <w:szCs w:val="20"/>
              </w:rPr>
            </w:pPr>
          </w:p>
          <w:p w:rsidR="00DA11D2" w:rsidRPr="002A790B" w:rsidRDefault="00DA11D2" w:rsidP="00996583">
            <w:pPr>
              <w:rPr>
                <w:rFonts w:cstheme="minorHAnsi"/>
                <w:sz w:val="20"/>
                <w:szCs w:val="20"/>
              </w:rPr>
            </w:pPr>
            <w:r w:rsidRPr="002A790B">
              <w:rPr>
                <w:rFonts w:ascii="Calibri" w:hAnsi="Calibri" w:cs="Calibri"/>
                <w:sz w:val="20"/>
                <w:szCs w:val="20"/>
              </w:rPr>
              <w:t xml:space="preserve">Note:  Doses used for TECHNIVIE were:  </w:t>
            </w:r>
            <w:proofErr w:type="spellStart"/>
            <w:r w:rsidRPr="002A790B">
              <w:rPr>
                <w:rFonts w:ascii="Calibri" w:hAnsi="Calibri" w:cs="Calibri"/>
                <w:sz w:val="20"/>
                <w:szCs w:val="20"/>
              </w:rPr>
              <w:t>paritaprevir</w:t>
            </w:r>
            <w:proofErr w:type="spellEnd"/>
            <w:r w:rsidRPr="002A790B">
              <w:rPr>
                <w:rFonts w:ascii="Calibri" w:hAnsi="Calibri" w:cs="Calibri"/>
                <w:sz w:val="20"/>
                <w:szCs w:val="20"/>
              </w:rPr>
              <w:t xml:space="preserve"> 150</w:t>
            </w:r>
            <w:r>
              <w:rPr>
                <w:rFonts w:ascii="Calibri" w:hAnsi="Calibri" w:cs="Calibri"/>
                <w:sz w:val="20"/>
                <w:szCs w:val="20"/>
              </w:rPr>
              <w:t xml:space="preserve"> </w:t>
            </w:r>
            <w:r w:rsidRPr="002A790B">
              <w:rPr>
                <w:rFonts w:ascii="Calibri" w:hAnsi="Calibri" w:cs="Calibri"/>
                <w:sz w:val="20"/>
                <w:szCs w:val="20"/>
              </w:rPr>
              <w:t>mg</w:t>
            </w:r>
            <w:r>
              <w:rPr>
                <w:rFonts w:ascii="Calibri" w:hAnsi="Calibri" w:cs="Calibri"/>
                <w:sz w:val="20"/>
                <w:szCs w:val="20"/>
              </w:rPr>
              <w:t>,</w:t>
            </w:r>
            <w:r w:rsidRPr="002A790B">
              <w:rPr>
                <w:rFonts w:ascii="Calibri" w:hAnsi="Calibri" w:cs="Calibri"/>
                <w:sz w:val="20"/>
                <w:szCs w:val="20"/>
              </w:rPr>
              <w:t xml:space="preserve"> ritonavir 100</w:t>
            </w:r>
            <w:r>
              <w:rPr>
                <w:rFonts w:ascii="Calibri" w:hAnsi="Calibri" w:cs="Calibri"/>
                <w:sz w:val="20"/>
                <w:szCs w:val="20"/>
              </w:rPr>
              <w:t xml:space="preserve"> </w:t>
            </w:r>
            <w:r w:rsidRPr="002A790B">
              <w:rPr>
                <w:rFonts w:ascii="Calibri" w:hAnsi="Calibri" w:cs="Calibri"/>
                <w:sz w:val="20"/>
                <w:szCs w:val="20"/>
              </w:rPr>
              <w:t xml:space="preserve">mg </w:t>
            </w:r>
            <w:r w:rsidR="00996583">
              <w:rPr>
                <w:rFonts w:ascii="Calibri" w:hAnsi="Calibri" w:cs="Calibri"/>
                <w:sz w:val="20"/>
                <w:szCs w:val="20"/>
              </w:rPr>
              <w:t xml:space="preserve">and </w:t>
            </w:r>
            <w:proofErr w:type="spellStart"/>
            <w:r w:rsidR="00996583" w:rsidRPr="002A790B">
              <w:rPr>
                <w:rFonts w:ascii="Calibri" w:hAnsi="Calibri" w:cs="Calibri"/>
                <w:sz w:val="20"/>
                <w:szCs w:val="20"/>
              </w:rPr>
              <w:t>ombitasvir</w:t>
            </w:r>
            <w:proofErr w:type="spellEnd"/>
            <w:r w:rsidR="00996583" w:rsidRPr="002A790B">
              <w:rPr>
                <w:rFonts w:ascii="Calibri" w:hAnsi="Calibri" w:cs="Calibri"/>
                <w:sz w:val="20"/>
                <w:szCs w:val="20"/>
              </w:rPr>
              <w:t xml:space="preserve"> 25</w:t>
            </w:r>
            <w:r w:rsidR="00996583">
              <w:rPr>
                <w:rFonts w:ascii="Calibri" w:hAnsi="Calibri" w:cs="Calibri"/>
                <w:sz w:val="20"/>
                <w:szCs w:val="20"/>
              </w:rPr>
              <w:t xml:space="preserve"> </w:t>
            </w:r>
            <w:r w:rsidR="00996583" w:rsidRPr="002A790B">
              <w:rPr>
                <w:rFonts w:ascii="Calibri" w:hAnsi="Calibri" w:cs="Calibri"/>
                <w:sz w:val="20"/>
                <w:szCs w:val="20"/>
              </w:rPr>
              <w:t>mg</w:t>
            </w:r>
            <w:r w:rsidR="00996583">
              <w:rPr>
                <w:rFonts w:ascii="Calibri" w:hAnsi="Calibri" w:cs="Calibri"/>
                <w:sz w:val="20"/>
                <w:szCs w:val="20"/>
              </w:rPr>
              <w:t xml:space="preserve"> </w:t>
            </w:r>
            <w:r w:rsidRPr="002A790B">
              <w:rPr>
                <w:rFonts w:ascii="Calibri" w:hAnsi="Calibri" w:cs="Calibri"/>
                <w:sz w:val="20"/>
                <w:szCs w:val="20"/>
              </w:rPr>
              <w:t>once daily.  TECHNIVIE was administered as multiple doses in all the drug interaction studies except the drug interaction studies with carbamazepine, gemfibrozil and ketoconazole.</w:t>
            </w:r>
          </w:p>
        </w:tc>
      </w:tr>
    </w:tbl>
    <w:p w:rsidR="00085F33" w:rsidRPr="00A47F4F" w:rsidRDefault="0011309F">
      <w:pPr>
        <w:pStyle w:val="Heading1"/>
        <w:rPr>
          <w:sz w:val="22"/>
          <w:szCs w:val="22"/>
        </w:rPr>
      </w:pPr>
      <w:bookmarkStart w:id="49" w:name="_Toc383787412"/>
      <w:r w:rsidRPr="00A47F4F">
        <w:rPr>
          <w:sz w:val="22"/>
          <w:szCs w:val="22"/>
        </w:rPr>
        <w:t>Adverse Effects</w:t>
      </w:r>
      <w:bookmarkEnd w:id="49"/>
    </w:p>
    <w:p w:rsidR="00085F33" w:rsidRPr="00A47F4F" w:rsidRDefault="0011309F">
      <w:pPr>
        <w:pStyle w:val="Heading2Unnumbered"/>
        <w:rPr>
          <w:sz w:val="22"/>
          <w:szCs w:val="22"/>
          <w:lang w:val="en-AU"/>
        </w:rPr>
      </w:pPr>
      <w:r w:rsidRPr="00A47F4F">
        <w:rPr>
          <w:sz w:val="22"/>
          <w:szCs w:val="22"/>
          <w:lang w:val="en-AU"/>
        </w:rPr>
        <w:t xml:space="preserve">Clinical Trials Experience </w:t>
      </w:r>
    </w:p>
    <w:p w:rsidR="00085F33" w:rsidRPr="00A47F4F" w:rsidRDefault="0011309F">
      <w:pPr>
        <w:spacing w:line="240" w:lineRule="auto"/>
        <w:jc w:val="both"/>
        <w:rPr>
          <w:rFonts w:cs="Arial"/>
        </w:rPr>
      </w:pPr>
      <w:bookmarkStart w:id="50" w:name="p90055241370612716"/>
      <w:bookmarkEnd w:id="50"/>
      <w:r w:rsidRPr="00A47F4F">
        <w:rPr>
          <w:rFonts w:cs="Arial"/>
        </w:rPr>
        <w:t>Because clinical trials are conducted under widely varying conditions, adverse reaction rates observed in clinical trials of TECHNIVIE cannot be directly compared to rates in the clinical trials of another drug and may not reflect the rates observed in practice.</w:t>
      </w:r>
    </w:p>
    <w:p w:rsidR="00085F33" w:rsidRPr="00A47F4F" w:rsidRDefault="0011309F">
      <w:pPr>
        <w:spacing w:before="144" w:after="0" w:line="240" w:lineRule="auto"/>
        <w:rPr>
          <w:rFonts w:eastAsia="Times New Roman" w:cstheme="minorHAnsi"/>
          <w:lang w:val="en-US"/>
        </w:rPr>
      </w:pPr>
      <w:r w:rsidRPr="00A47F4F">
        <w:rPr>
          <w:rFonts w:eastAsia="Times New Roman" w:cstheme="minorHAnsi"/>
          <w:lang w:val="en-US"/>
        </w:rPr>
        <w:t xml:space="preserve">The safety assessment of TECHNIVIE is based on data from </w:t>
      </w:r>
      <w:r w:rsidR="00FA6322">
        <w:t>three</w:t>
      </w:r>
      <w:r w:rsidR="00FA6322" w:rsidRPr="005E358F">
        <w:t xml:space="preserve"> </w:t>
      </w:r>
      <w:r w:rsidR="00CD0353" w:rsidRPr="005E358F">
        <w:t>clinical studies in subjects with HCV genotype</w:t>
      </w:r>
      <w:r w:rsidR="00CD0353">
        <w:t xml:space="preserve"> </w:t>
      </w:r>
      <w:r w:rsidR="00CD0353" w:rsidRPr="005E358F">
        <w:t xml:space="preserve">4 </w:t>
      </w:r>
      <w:proofErr w:type="gramStart"/>
      <w:r w:rsidR="00CD0353" w:rsidRPr="005E358F">
        <w:t>infection</w:t>
      </w:r>
      <w:proofErr w:type="gramEnd"/>
      <w:r w:rsidR="00CD0353" w:rsidRPr="005E358F">
        <w:t xml:space="preserve">. </w:t>
      </w:r>
      <w:r w:rsidR="001E0E8A">
        <w:t xml:space="preserve"> </w:t>
      </w:r>
      <w:r w:rsidR="00CD0353" w:rsidRPr="005E358F">
        <w:t xml:space="preserve">One study (PEARL-I) included 135 </w:t>
      </w:r>
      <w:r w:rsidR="00CD0353">
        <w:t xml:space="preserve">HCV genotype 4-infected </w:t>
      </w:r>
      <w:r w:rsidR="00CD0353" w:rsidRPr="005E358F">
        <w:t xml:space="preserve">subjects without cirrhosis, 91 who received </w:t>
      </w:r>
      <w:proofErr w:type="spellStart"/>
      <w:r w:rsidR="00CD0353" w:rsidRPr="005E358F">
        <w:t>paritaprevir</w:t>
      </w:r>
      <w:proofErr w:type="spellEnd"/>
      <w:r w:rsidR="00CD0353" w:rsidRPr="005E358F">
        <w:t xml:space="preserve"> 150 mg ritonavir 100 mg </w:t>
      </w:r>
      <w:r w:rsidR="001E0E8A" w:rsidRPr="005E358F">
        <w:t xml:space="preserve">and </w:t>
      </w:r>
      <w:proofErr w:type="spellStart"/>
      <w:r w:rsidR="001E0E8A" w:rsidRPr="005E358F">
        <w:t>ombitasvir</w:t>
      </w:r>
      <w:proofErr w:type="spellEnd"/>
      <w:r w:rsidR="001E0E8A" w:rsidRPr="005E358F">
        <w:t xml:space="preserve"> 25 mg </w:t>
      </w:r>
      <w:r w:rsidR="00CD0353" w:rsidRPr="005E358F">
        <w:t xml:space="preserve">(administered as </w:t>
      </w:r>
      <w:r w:rsidR="00996583" w:rsidRPr="005E358F">
        <w:t xml:space="preserve">three </w:t>
      </w:r>
      <w:proofErr w:type="spellStart"/>
      <w:r w:rsidR="00996583" w:rsidRPr="005E358F">
        <w:t>paritaprevir</w:t>
      </w:r>
      <w:proofErr w:type="spellEnd"/>
      <w:r w:rsidR="00996583" w:rsidRPr="005E358F">
        <w:t xml:space="preserve"> 50 mg tablets</w:t>
      </w:r>
      <w:r w:rsidR="00996583">
        <w:t xml:space="preserve">, </w:t>
      </w:r>
      <w:r w:rsidR="001E0E8A" w:rsidRPr="005E358F">
        <w:t>one ritonavir 100 mg capsule</w:t>
      </w:r>
      <w:r w:rsidR="001E0E8A">
        <w:t>,</w:t>
      </w:r>
      <w:r w:rsidR="001E0E8A" w:rsidRPr="005E358F">
        <w:t xml:space="preserve"> </w:t>
      </w:r>
      <w:r w:rsidR="00996583">
        <w:t xml:space="preserve">and </w:t>
      </w:r>
      <w:r w:rsidR="00CD0353" w:rsidRPr="005E358F">
        <w:t xml:space="preserve">one </w:t>
      </w:r>
      <w:proofErr w:type="spellStart"/>
      <w:r w:rsidR="00CD0353" w:rsidRPr="005E358F">
        <w:t>ombitasvir</w:t>
      </w:r>
      <w:proofErr w:type="spellEnd"/>
      <w:r w:rsidR="00CD0353" w:rsidRPr="005E358F">
        <w:t xml:space="preserve"> 25 mg </w:t>
      </w:r>
      <w:proofErr w:type="gramStart"/>
      <w:r w:rsidR="00CD0353" w:rsidRPr="005E358F">
        <w:t>tablet )</w:t>
      </w:r>
      <w:proofErr w:type="gramEnd"/>
      <w:r w:rsidR="00CD0353" w:rsidRPr="005E358F">
        <w:t xml:space="preserve"> once daily with ribavirin for 12 weeks and 44 subjects who received </w:t>
      </w:r>
      <w:proofErr w:type="spellStart"/>
      <w:r w:rsidR="00CD0353" w:rsidRPr="005E358F">
        <w:t>paritaprevir</w:t>
      </w:r>
      <w:proofErr w:type="spellEnd"/>
      <w:r w:rsidR="00CD0353" w:rsidRPr="005E358F">
        <w:t xml:space="preserve"> 150 mg, ritonavir 100 mg </w:t>
      </w:r>
      <w:r w:rsidR="001E0E8A" w:rsidRPr="005E358F">
        <w:t xml:space="preserve">and </w:t>
      </w:r>
      <w:proofErr w:type="spellStart"/>
      <w:r w:rsidR="001E0E8A" w:rsidRPr="005E358F">
        <w:t>ombitasvir</w:t>
      </w:r>
      <w:proofErr w:type="spellEnd"/>
      <w:r w:rsidR="001E0E8A" w:rsidRPr="005E358F">
        <w:t xml:space="preserve"> 25 mg </w:t>
      </w:r>
      <w:r w:rsidR="00CD0353" w:rsidRPr="005E358F">
        <w:t xml:space="preserve">once daily without ribavirin for 12 weeks. </w:t>
      </w:r>
      <w:r w:rsidR="001E0E8A">
        <w:t xml:space="preserve"> </w:t>
      </w:r>
      <w:r w:rsidR="00CD0353" w:rsidRPr="005E358F">
        <w:t>The second study (AGATE-I)</w:t>
      </w:r>
      <w:r w:rsidR="00CD0353">
        <w:t xml:space="preserve">, </w:t>
      </w:r>
      <w:r w:rsidR="00CD0353" w:rsidRPr="005E358F">
        <w:t xml:space="preserve">included 60 subjects with compensated cirrhosis </w:t>
      </w:r>
      <w:r w:rsidR="00CD0353">
        <w:t xml:space="preserve">who </w:t>
      </w:r>
      <w:r w:rsidR="00CD0353" w:rsidRPr="00170955">
        <w:t xml:space="preserve">received </w:t>
      </w:r>
      <w:proofErr w:type="spellStart"/>
      <w:r w:rsidR="00996583">
        <w:t>coformulated</w:t>
      </w:r>
      <w:proofErr w:type="spellEnd"/>
      <w:r w:rsidR="00996583">
        <w:t xml:space="preserve"> </w:t>
      </w:r>
      <w:proofErr w:type="spellStart"/>
      <w:r w:rsidR="00CD0353" w:rsidRPr="00170955">
        <w:t>paritaprevir</w:t>
      </w:r>
      <w:proofErr w:type="spellEnd"/>
      <w:r w:rsidR="00CD0353" w:rsidRPr="00170955">
        <w:t>/ritonavir</w:t>
      </w:r>
      <w:r w:rsidR="001E0E8A" w:rsidRPr="00170955">
        <w:t>/</w:t>
      </w:r>
      <w:proofErr w:type="spellStart"/>
      <w:r w:rsidR="001E0E8A" w:rsidRPr="00170955">
        <w:t>ombitasvir</w:t>
      </w:r>
      <w:proofErr w:type="spellEnd"/>
      <w:r w:rsidR="001E0E8A" w:rsidRPr="00170955">
        <w:t xml:space="preserve"> </w:t>
      </w:r>
      <w:r w:rsidR="00CD0353" w:rsidRPr="00170955">
        <w:t>(150/100</w:t>
      </w:r>
      <w:r w:rsidR="009B60A4" w:rsidRPr="00170955">
        <w:t>/25</w:t>
      </w:r>
      <w:r w:rsidR="00996583">
        <w:t xml:space="preserve"> </w:t>
      </w:r>
      <w:r w:rsidR="00CD0353" w:rsidRPr="00170955">
        <w:t>mg) once daily with ribavirin for 12 weeks.</w:t>
      </w:r>
      <w:r w:rsidR="00FA6322">
        <w:t xml:space="preserve"> </w:t>
      </w:r>
      <w:r w:rsidR="00FA6322">
        <w:rPr>
          <w:rFonts w:eastAsia="Times New Roman" w:cstheme="minorHAnsi"/>
          <w:lang w:val="en-US"/>
        </w:rPr>
        <w:t xml:space="preserve">A third study (AGATE-II) included 131 HCV genotype 4-infected subjects in Egypt (100 without cirrhosis and 31 with compensated cirrhosis) who received </w:t>
      </w:r>
      <w:proofErr w:type="spellStart"/>
      <w:r w:rsidR="00996583">
        <w:rPr>
          <w:rFonts w:eastAsia="Times New Roman" w:cstheme="minorHAnsi"/>
          <w:lang w:val="en-US"/>
        </w:rPr>
        <w:t>coformulated</w:t>
      </w:r>
      <w:proofErr w:type="spellEnd"/>
      <w:r w:rsidR="00996583">
        <w:rPr>
          <w:rFonts w:eastAsia="Times New Roman" w:cstheme="minorHAnsi"/>
          <w:lang w:val="en-US"/>
        </w:rPr>
        <w:t xml:space="preserve"> </w:t>
      </w:r>
      <w:proofErr w:type="spellStart"/>
      <w:r w:rsidR="00FA6322" w:rsidRPr="00170955">
        <w:t>paritaprevir</w:t>
      </w:r>
      <w:proofErr w:type="spellEnd"/>
      <w:r w:rsidR="00FA6322" w:rsidRPr="00170955">
        <w:t>/ritonavir/</w:t>
      </w:r>
      <w:proofErr w:type="spellStart"/>
      <w:r w:rsidR="00FA6322" w:rsidRPr="00170955">
        <w:t>ombitasvir</w:t>
      </w:r>
      <w:proofErr w:type="spellEnd"/>
      <w:r w:rsidR="00FA6322" w:rsidRPr="00170955">
        <w:t xml:space="preserve"> (150/100/25</w:t>
      </w:r>
      <w:r w:rsidR="00FA6322">
        <w:t xml:space="preserve"> </w:t>
      </w:r>
      <w:r w:rsidR="00FA6322" w:rsidRPr="00170955">
        <w:t>mg) once daily with ribavirin for 12 weeks</w:t>
      </w:r>
      <w:r w:rsidR="00FA6322">
        <w:t>.</w:t>
      </w:r>
    </w:p>
    <w:p w:rsidR="00BF7C61" w:rsidRDefault="00AD58F7">
      <w:pPr>
        <w:spacing w:before="144" w:after="0" w:line="240" w:lineRule="auto"/>
        <w:rPr>
          <w:rFonts w:eastAsia="Times New Roman" w:cstheme="minorHAnsi"/>
          <w:lang w:val="en-US"/>
        </w:rPr>
      </w:pPr>
      <w:hyperlink w:anchor="table_3" w:tooltip="gtc:Link" w:history="1">
        <w:r w:rsidR="00CD0353" w:rsidRPr="00CF3637">
          <w:rPr>
            <w:rStyle w:val="Hyperlink"/>
            <w:rFonts w:eastAsia="Times New Roman" w:cstheme="minorHAnsi"/>
            <w:color w:val="auto"/>
            <w:u w:val="none"/>
            <w:lang w:val="en-US"/>
          </w:rPr>
          <w:t>Table</w:t>
        </w:r>
      </w:hyperlink>
      <w:r w:rsidR="00CD0353" w:rsidRPr="00CF3637">
        <w:rPr>
          <w:rFonts w:eastAsia="Times New Roman" w:cstheme="minorHAnsi"/>
          <w:lang w:val="en-US"/>
        </w:rPr>
        <w:t xml:space="preserve"> </w:t>
      </w:r>
      <w:r w:rsidR="00B54C47" w:rsidRPr="00CF3637">
        <w:rPr>
          <w:rFonts w:eastAsia="Times New Roman" w:cstheme="minorHAnsi"/>
          <w:lang w:val="en-US"/>
        </w:rPr>
        <w:t>6</w:t>
      </w:r>
      <w:r w:rsidR="00CD0353" w:rsidRPr="00CD0353">
        <w:rPr>
          <w:rFonts w:eastAsia="Times New Roman" w:cstheme="minorHAnsi"/>
          <w:lang w:val="en-US"/>
        </w:rPr>
        <w:t xml:space="preserve"> includes rates of the adverse reactions from </w:t>
      </w:r>
      <w:r w:rsidR="00530DB6">
        <w:rPr>
          <w:rFonts w:eastAsia="Times New Roman" w:cstheme="minorHAnsi"/>
          <w:lang w:val="en-US"/>
        </w:rPr>
        <w:t>three</w:t>
      </w:r>
      <w:r w:rsidR="00530DB6" w:rsidRPr="00CD0353">
        <w:rPr>
          <w:rFonts w:eastAsia="Times New Roman" w:cstheme="minorHAnsi"/>
          <w:lang w:val="en-US"/>
        </w:rPr>
        <w:t xml:space="preserve"> </w:t>
      </w:r>
      <w:r w:rsidR="00CD0353" w:rsidRPr="00CD0353">
        <w:rPr>
          <w:rFonts w:eastAsia="Times New Roman" w:cstheme="minorHAnsi"/>
          <w:lang w:val="en-US"/>
        </w:rPr>
        <w:t xml:space="preserve">trials that were conducted in HCV genotype 4-infected subjects who received </w:t>
      </w:r>
      <w:proofErr w:type="spellStart"/>
      <w:r w:rsidR="00CD0353" w:rsidRPr="00CD0353">
        <w:rPr>
          <w:rFonts w:eastAsia="Times New Roman" w:cstheme="minorHAnsi"/>
          <w:lang w:val="en-US"/>
        </w:rPr>
        <w:t>paritaprevir</w:t>
      </w:r>
      <w:proofErr w:type="spellEnd"/>
      <w:r w:rsidR="00CD0353" w:rsidRPr="00CD0353">
        <w:rPr>
          <w:rFonts w:eastAsia="Times New Roman" w:cstheme="minorHAnsi"/>
          <w:lang w:val="en-US"/>
        </w:rPr>
        <w:t>/ritonavir</w:t>
      </w:r>
      <w:r w:rsidR="009B60A4" w:rsidRPr="00CD0353">
        <w:rPr>
          <w:rFonts w:eastAsia="Times New Roman" w:cstheme="minorHAnsi"/>
          <w:lang w:val="en-US"/>
        </w:rPr>
        <w:t>/</w:t>
      </w:r>
      <w:proofErr w:type="spellStart"/>
      <w:r w:rsidR="009B60A4" w:rsidRPr="00CD0353">
        <w:rPr>
          <w:rFonts w:eastAsia="Times New Roman" w:cstheme="minorHAnsi"/>
          <w:lang w:val="en-US"/>
        </w:rPr>
        <w:t>ombitasvir</w:t>
      </w:r>
      <w:proofErr w:type="spellEnd"/>
      <w:r w:rsidR="009B60A4" w:rsidRPr="00CD0353">
        <w:rPr>
          <w:rFonts w:eastAsia="Times New Roman" w:cstheme="minorHAnsi"/>
          <w:lang w:val="en-US"/>
        </w:rPr>
        <w:t xml:space="preserve"> </w:t>
      </w:r>
      <w:r w:rsidR="00CD0353" w:rsidRPr="00CD0353">
        <w:rPr>
          <w:rFonts w:eastAsia="Times New Roman" w:cstheme="minorHAnsi"/>
          <w:lang w:val="en-US"/>
        </w:rPr>
        <w:t>with and without ribavirin (PEARL-</w:t>
      </w:r>
      <w:proofErr w:type="gramStart"/>
      <w:r w:rsidR="00CD0353" w:rsidRPr="00CD0353">
        <w:rPr>
          <w:rFonts w:eastAsia="Times New Roman" w:cstheme="minorHAnsi"/>
          <w:lang w:val="en-US"/>
        </w:rPr>
        <w:t xml:space="preserve">I </w:t>
      </w:r>
      <w:r w:rsidR="00E5634B">
        <w:rPr>
          <w:rFonts w:eastAsia="Times New Roman" w:cstheme="minorHAnsi"/>
          <w:lang w:val="en-US"/>
        </w:rPr>
        <w:t>,</w:t>
      </w:r>
      <w:proofErr w:type="gramEnd"/>
      <w:r w:rsidR="00E5634B">
        <w:rPr>
          <w:rFonts w:eastAsia="Times New Roman" w:cstheme="minorHAnsi"/>
          <w:lang w:val="en-US"/>
        </w:rPr>
        <w:t xml:space="preserve"> </w:t>
      </w:r>
      <w:r w:rsidR="00CD0353" w:rsidRPr="00CD0353">
        <w:rPr>
          <w:rFonts w:eastAsia="Times New Roman" w:cstheme="minorHAnsi"/>
          <w:lang w:val="en-US"/>
        </w:rPr>
        <w:t>AGATE-I</w:t>
      </w:r>
      <w:r w:rsidR="00E5634B">
        <w:rPr>
          <w:rFonts w:eastAsia="Times New Roman" w:cstheme="minorHAnsi"/>
          <w:lang w:val="en-US"/>
        </w:rPr>
        <w:t xml:space="preserve"> and AGATE-II</w:t>
      </w:r>
      <w:r w:rsidR="00CD0353" w:rsidRPr="00CD0353">
        <w:rPr>
          <w:rFonts w:eastAsia="Times New Roman" w:cstheme="minorHAnsi"/>
          <w:lang w:val="en-US"/>
        </w:rPr>
        <w:t xml:space="preserve">). </w:t>
      </w:r>
      <w:r w:rsidR="009B60A4">
        <w:rPr>
          <w:rFonts w:eastAsia="Times New Roman" w:cstheme="minorHAnsi"/>
          <w:lang w:val="en-US"/>
        </w:rPr>
        <w:t xml:space="preserve"> </w:t>
      </w:r>
      <w:r w:rsidR="00CD0353" w:rsidRPr="00CD0353">
        <w:rPr>
          <w:rFonts w:eastAsia="Times New Roman" w:cstheme="minorHAnsi"/>
          <w:lang w:val="en-US"/>
        </w:rPr>
        <w:t>The majority of these events were mild in severity, none were serious and none led to discontinuation of treatment.</w:t>
      </w:r>
    </w:p>
    <w:p w:rsidR="003A11C0" w:rsidRPr="00A47F4F" w:rsidRDefault="003A11C0">
      <w:pPr>
        <w:spacing w:before="144" w:after="0" w:line="240" w:lineRule="auto"/>
        <w:rPr>
          <w:rFonts w:eastAsia="Times New Roman" w:cstheme="minorHAnsi"/>
          <w:lang w:val="en-US"/>
        </w:rPr>
      </w:pPr>
    </w:p>
    <w:p w:rsidR="00085F33" w:rsidRPr="00A47F4F" w:rsidRDefault="0011309F">
      <w:pPr>
        <w:spacing w:before="120" w:after="0" w:line="240" w:lineRule="auto"/>
        <w:jc w:val="center"/>
        <w:rPr>
          <w:rFonts w:eastAsia="Times New Roman" w:cstheme="minorHAnsi"/>
          <w:b/>
          <w:bCs/>
          <w:lang w:val="en-US"/>
        </w:rPr>
      </w:pPr>
      <w:proofErr w:type="gramStart"/>
      <w:r w:rsidRPr="00A47F4F">
        <w:rPr>
          <w:rFonts w:eastAsia="Times New Roman" w:cstheme="minorHAnsi"/>
          <w:b/>
          <w:bCs/>
          <w:lang w:val="en-US"/>
        </w:rPr>
        <w:lastRenderedPageBreak/>
        <w:t xml:space="preserve">Table </w:t>
      </w:r>
      <w:r w:rsidR="0081426E">
        <w:rPr>
          <w:rFonts w:eastAsia="Times New Roman" w:cstheme="minorHAnsi"/>
          <w:b/>
          <w:bCs/>
          <w:lang w:val="en-US"/>
        </w:rPr>
        <w:t>6</w:t>
      </w:r>
      <w:r w:rsidRPr="00A47F4F">
        <w:rPr>
          <w:rFonts w:eastAsia="Times New Roman" w:cstheme="minorHAnsi"/>
          <w:b/>
          <w:bCs/>
          <w:lang w:val="en-US"/>
        </w:rPr>
        <w:t>.</w:t>
      </w:r>
      <w:proofErr w:type="gramEnd"/>
      <w:r w:rsidRPr="00A47F4F">
        <w:rPr>
          <w:rFonts w:eastAsia="Times New Roman" w:cstheme="minorHAnsi"/>
          <w:b/>
          <w:bCs/>
          <w:lang w:val="en-US"/>
        </w:rPr>
        <w:t xml:space="preserve"> Selected Adverse Reactions (All Grades) with ≥5% Frequency Reported in Subjects Treated with </w:t>
      </w:r>
      <w:proofErr w:type="spellStart"/>
      <w:proofErr w:type="gramStart"/>
      <w:r w:rsidRPr="00A47F4F">
        <w:rPr>
          <w:rFonts w:eastAsia="Times New Roman" w:cstheme="minorHAnsi"/>
          <w:b/>
          <w:bCs/>
          <w:lang w:val="en-US"/>
        </w:rPr>
        <w:t>Paritaprevir</w:t>
      </w:r>
      <w:proofErr w:type="spellEnd"/>
      <w:r w:rsidRPr="00A47F4F">
        <w:rPr>
          <w:rFonts w:eastAsia="Times New Roman" w:cstheme="minorHAnsi"/>
          <w:b/>
          <w:bCs/>
          <w:lang w:val="en-US"/>
        </w:rPr>
        <w:t xml:space="preserve"> </w:t>
      </w:r>
      <w:r w:rsidR="00996583">
        <w:rPr>
          <w:rFonts w:eastAsia="Times New Roman" w:cstheme="minorHAnsi"/>
          <w:b/>
          <w:bCs/>
          <w:lang w:val="en-US"/>
        </w:rPr>
        <w:t>,</w:t>
      </w:r>
      <w:proofErr w:type="gramEnd"/>
      <w:r w:rsidR="00996583">
        <w:rPr>
          <w:rFonts w:eastAsia="Times New Roman" w:cstheme="minorHAnsi"/>
          <w:b/>
          <w:bCs/>
          <w:lang w:val="en-US"/>
        </w:rPr>
        <w:t xml:space="preserve"> </w:t>
      </w:r>
      <w:r w:rsidRPr="00A47F4F">
        <w:rPr>
          <w:rFonts w:eastAsia="Times New Roman" w:cstheme="minorHAnsi"/>
          <w:b/>
          <w:bCs/>
          <w:lang w:val="en-US"/>
        </w:rPr>
        <w:t xml:space="preserve">Ritonavir </w:t>
      </w:r>
      <w:r w:rsidR="00996583">
        <w:rPr>
          <w:rFonts w:eastAsia="Times New Roman" w:cstheme="minorHAnsi"/>
          <w:b/>
          <w:bCs/>
          <w:lang w:val="en-US"/>
        </w:rPr>
        <w:t xml:space="preserve">and </w:t>
      </w:r>
      <w:proofErr w:type="spellStart"/>
      <w:r w:rsidR="00996583">
        <w:rPr>
          <w:rFonts w:eastAsia="Times New Roman" w:cstheme="minorHAnsi"/>
          <w:b/>
          <w:bCs/>
          <w:lang w:val="en-US"/>
        </w:rPr>
        <w:t>Ombitasvir</w:t>
      </w:r>
      <w:proofErr w:type="spellEnd"/>
      <w:r w:rsidR="00996583">
        <w:rPr>
          <w:rFonts w:eastAsia="Times New Roman" w:cstheme="minorHAnsi"/>
          <w:b/>
          <w:bCs/>
          <w:lang w:val="en-US"/>
        </w:rPr>
        <w:t xml:space="preserve"> </w:t>
      </w:r>
      <w:r w:rsidRPr="00A47F4F">
        <w:rPr>
          <w:rFonts w:eastAsia="Times New Roman" w:cstheme="minorHAnsi"/>
          <w:b/>
          <w:bCs/>
          <w:lang w:val="en-US"/>
        </w:rPr>
        <w:t xml:space="preserve">with or without Ribavirin for 12 Weeks </w:t>
      </w:r>
    </w:p>
    <w:p w:rsidR="003D48A2" w:rsidRPr="00A47F4F" w:rsidRDefault="003D48A2">
      <w:pPr>
        <w:spacing w:before="120" w:after="0" w:line="240" w:lineRule="auto"/>
        <w:jc w:val="center"/>
        <w:rPr>
          <w:rFonts w:eastAsia="Times New Roman" w:cstheme="minorHAnsi"/>
          <w:b/>
          <w:bCs/>
          <w:lang w:val="en-US"/>
        </w:rPr>
      </w:pPr>
    </w:p>
    <w:tbl>
      <w:tblPr>
        <w:tblW w:w="9549" w:type="dxa"/>
        <w:jc w:val="center"/>
        <w:tblInd w:w="-493" w:type="dxa"/>
        <w:tblLayout w:type="fixed"/>
        <w:tblCellMar>
          <w:top w:w="15" w:type="dxa"/>
          <w:left w:w="15" w:type="dxa"/>
          <w:bottom w:w="15" w:type="dxa"/>
          <w:right w:w="15" w:type="dxa"/>
        </w:tblCellMar>
        <w:tblLook w:val="04A0" w:firstRow="1" w:lastRow="0" w:firstColumn="1" w:lastColumn="0" w:noHBand="0" w:noVBand="1"/>
      </w:tblPr>
      <w:tblGrid>
        <w:gridCol w:w="952"/>
        <w:gridCol w:w="1681"/>
        <w:gridCol w:w="1730"/>
        <w:gridCol w:w="1730"/>
        <w:gridCol w:w="1728"/>
        <w:gridCol w:w="1728"/>
      </w:tblGrid>
      <w:tr w:rsidR="00530DB6" w:rsidRPr="00A47F4F" w:rsidTr="00530DB6">
        <w:trPr>
          <w:tblHeader/>
          <w:jc w:val="center"/>
        </w:trPr>
        <w:tc>
          <w:tcPr>
            <w:tcW w:w="498" w:type="pct"/>
            <w:tcBorders>
              <w:top w:val="single" w:sz="6" w:space="0" w:color="000000"/>
              <w:left w:val="single" w:sz="6" w:space="0" w:color="000000"/>
              <w:bottom w:val="single" w:sz="6" w:space="0" w:color="000000"/>
              <w:right w:val="single" w:sz="6" w:space="0" w:color="000000"/>
            </w:tcBorders>
            <w:vAlign w:val="center"/>
            <w:hideMark/>
          </w:tcPr>
          <w:p w:rsidR="00530DB6" w:rsidRPr="00A47F4F" w:rsidRDefault="00530DB6" w:rsidP="003D48A2">
            <w:pPr>
              <w:spacing w:after="0" w:line="240" w:lineRule="auto"/>
              <w:rPr>
                <w:rFonts w:eastAsia="Times New Roman" w:cstheme="minorHAnsi"/>
                <w:lang w:val="en-US"/>
              </w:rPr>
            </w:pPr>
            <w:r w:rsidRPr="00A47F4F">
              <w:rPr>
                <w:rFonts w:eastAsia="Times New Roman" w:cstheme="minorHAnsi"/>
                <w:lang w:val="en-US"/>
              </w:rPr>
              <w:t> </w:t>
            </w:r>
          </w:p>
        </w:tc>
        <w:tc>
          <w:tcPr>
            <w:tcW w:w="1786" w:type="pct"/>
            <w:gridSpan w:val="2"/>
            <w:tcBorders>
              <w:top w:val="single" w:sz="6" w:space="0" w:color="000000"/>
              <w:left w:val="single" w:sz="6" w:space="0" w:color="000000"/>
              <w:bottom w:val="single" w:sz="6" w:space="0" w:color="000000"/>
              <w:right w:val="single" w:sz="6" w:space="0" w:color="000000"/>
            </w:tcBorders>
          </w:tcPr>
          <w:p w:rsidR="00530DB6" w:rsidRPr="00A47F4F" w:rsidRDefault="00530DB6" w:rsidP="003D48A2">
            <w:pPr>
              <w:spacing w:after="0" w:line="240" w:lineRule="auto"/>
              <w:jc w:val="center"/>
              <w:rPr>
                <w:rFonts w:eastAsia="Times New Roman" w:cstheme="minorHAnsi"/>
                <w:b/>
                <w:lang w:val="en-US"/>
              </w:rPr>
            </w:pPr>
            <w:r w:rsidRPr="00A47F4F">
              <w:rPr>
                <w:rFonts w:eastAsia="Times New Roman" w:cstheme="minorHAnsi"/>
                <w:b/>
                <w:lang w:val="en-US"/>
              </w:rPr>
              <w:t>PEARL-I</w:t>
            </w:r>
          </w:p>
          <w:p w:rsidR="00530DB6" w:rsidRPr="00A47F4F" w:rsidRDefault="00530DB6" w:rsidP="00996583">
            <w:pPr>
              <w:spacing w:after="0" w:line="240" w:lineRule="auto"/>
              <w:jc w:val="center"/>
              <w:rPr>
                <w:rFonts w:eastAsia="Times New Roman" w:cstheme="minorHAnsi"/>
                <w:b/>
                <w:lang w:val="en-US"/>
              </w:rPr>
            </w:pPr>
            <w:r>
              <w:rPr>
                <w:rFonts w:eastAsia="Times New Roman" w:cstheme="minorHAnsi"/>
                <w:b/>
                <w:lang w:val="en-US"/>
              </w:rPr>
              <w:t>(</w:t>
            </w:r>
            <w:r w:rsidR="00996583">
              <w:rPr>
                <w:rFonts w:eastAsia="Times New Roman" w:cstheme="minorHAnsi"/>
                <w:b/>
                <w:lang w:val="en-US"/>
              </w:rPr>
              <w:t xml:space="preserve">without </w:t>
            </w:r>
            <w:r>
              <w:rPr>
                <w:rFonts w:eastAsia="Times New Roman" w:cstheme="minorHAnsi"/>
                <w:b/>
                <w:lang w:val="en-US"/>
              </w:rPr>
              <w:t>cirrhosis)</w:t>
            </w:r>
          </w:p>
        </w:tc>
        <w:tc>
          <w:tcPr>
            <w:tcW w:w="906" w:type="pct"/>
            <w:tcBorders>
              <w:top w:val="single" w:sz="6" w:space="0" w:color="000000"/>
              <w:left w:val="single" w:sz="6" w:space="0" w:color="000000"/>
              <w:bottom w:val="single" w:sz="6" w:space="0" w:color="000000"/>
              <w:right w:val="single" w:sz="6" w:space="0" w:color="000000"/>
            </w:tcBorders>
          </w:tcPr>
          <w:p w:rsidR="00530DB6" w:rsidRDefault="00530DB6" w:rsidP="003D48A2">
            <w:pPr>
              <w:spacing w:after="0" w:line="240" w:lineRule="auto"/>
              <w:jc w:val="center"/>
              <w:rPr>
                <w:rFonts w:eastAsia="Times New Roman" w:cstheme="minorHAnsi"/>
                <w:b/>
                <w:lang w:val="en-US"/>
              </w:rPr>
            </w:pPr>
            <w:r>
              <w:rPr>
                <w:rFonts w:eastAsia="Times New Roman" w:cstheme="minorHAnsi"/>
                <w:b/>
                <w:lang w:val="en-US"/>
              </w:rPr>
              <w:t>AGATE-I</w:t>
            </w:r>
          </w:p>
          <w:p w:rsidR="00530DB6" w:rsidRPr="00A47F4F" w:rsidRDefault="00530DB6" w:rsidP="003D48A2">
            <w:pPr>
              <w:spacing w:after="0" w:line="240" w:lineRule="auto"/>
              <w:jc w:val="center"/>
              <w:rPr>
                <w:rFonts w:eastAsia="Times New Roman" w:cstheme="minorHAnsi"/>
                <w:b/>
                <w:lang w:val="en-US"/>
              </w:rPr>
            </w:pPr>
            <w:r>
              <w:rPr>
                <w:rFonts w:eastAsia="Times New Roman" w:cstheme="minorHAnsi"/>
                <w:b/>
                <w:lang w:val="en-US"/>
              </w:rPr>
              <w:t>(with cirrhosis)</w:t>
            </w:r>
          </w:p>
        </w:tc>
        <w:tc>
          <w:tcPr>
            <w:tcW w:w="905" w:type="pct"/>
            <w:tcBorders>
              <w:top w:val="single" w:sz="6" w:space="0" w:color="000000"/>
              <w:left w:val="single" w:sz="6" w:space="0" w:color="000000"/>
              <w:bottom w:val="single" w:sz="6" w:space="0" w:color="000000"/>
              <w:right w:val="single" w:sz="6" w:space="0" w:color="000000"/>
            </w:tcBorders>
          </w:tcPr>
          <w:p w:rsidR="00530DB6" w:rsidRDefault="00530DB6" w:rsidP="00530DB6">
            <w:pPr>
              <w:spacing w:after="0" w:line="240" w:lineRule="auto"/>
              <w:jc w:val="center"/>
              <w:rPr>
                <w:rFonts w:eastAsia="Times New Roman" w:cstheme="minorHAnsi"/>
                <w:b/>
                <w:lang w:val="en-US"/>
              </w:rPr>
            </w:pPr>
            <w:r>
              <w:rPr>
                <w:rFonts w:eastAsia="Times New Roman" w:cstheme="minorHAnsi"/>
                <w:b/>
                <w:lang w:val="en-US"/>
              </w:rPr>
              <w:t>AGATE-II</w:t>
            </w:r>
          </w:p>
          <w:p w:rsidR="00530DB6" w:rsidRDefault="00530DB6" w:rsidP="00530DB6">
            <w:pPr>
              <w:spacing w:after="0" w:line="240" w:lineRule="auto"/>
              <w:jc w:val="center"/>
              <w:rPr>
                <w:rFonts w:eastAsia="Times New Roman" w:cstheme="minorHAnsi"/>
                <w:b/>
                <w:lang w:val="en-US"/>
              </w:rPr>
            </w:pPr>
            <w:r>
              <w:rPr>
                <w:rFonts w:eastAsia="Times New Roman" w:cstheme="minorHAnsi"/>
                <w:b/>
                <w:lang w:val="en-US"/>
              </w:rPr>
              <w:t>(without cirrhosis)</w:t>
            </w:r>
          </w:p>
        </w:tc>
        <w:tc>
          <w:tcPr>
            <w:tcW w:w="905" w:type="pct"/>
            <w:tcBorders>
              <w:top w:val="single" w:sz="6" w:space="0" w:color="000000"/>
              <w:left w:val="single" w:sz="6" w:space="0" w:color="000000"/>
              <w:bottom w:val="single" w:sz="6" w:space="0" w:color="000000"/>
              <w:right w:val="single" w:sz="6" w:space="0" w:color="000000"/>
            </w:tcBorders>
          </w:tcPr>
          <w:p w:rsidR="00530DB6" w:rsidRDefault="00530DB6" w:rsidP="003D48A2">
            <w:pPr>
              <w:spacing w:after="0" w:line="240" w:lineRule="auto"/>
              <w:jc w:val="center"/>
              <w:rPr>
                <w:rFonts w:eastAsia="Times New Roman" w:cstheme="minorHAnsi"/>
                <w:b/>
                <w:lang w:val="en-US"/>
              </w:rPr>
            </w:pPr>
            <w:r>
              <w:rPr>
                <w:rFonts w:eastAsia="Times New Roman" w:cstheme="minorHAnsi"/>
                <w:b/>
                <w:lang w:val="en-US"/>
              </w:rPr>
              <w:t>AGATE-II</w:t>
            </w:r>
          </w:p>
          <w:p w:rsidR="00530DB6" w:rsidRDefault="00530DB6" w:rsidP="003D48A2">
            <w:pPr>
              <w:spacing w:after="0" w:line="240" w:lineRule="auto"/>
              <w:jc w:val="center"/>
              <w:rPr>
                <w:rFonts w:eastAsia="Times New Roman" w:cstheme="minorHAnsi"/>
                <w:b/>
                <w:lang w:val="en-US"/>
              </w:rPr>
            </w:pPr>
            <w:r>
              <w:rPr>
                <w:rFonts w:eastAsia="Times New Roman" w:cstheme="minorHAnsi"/>
                <w:b/>
                <w:lang w:val="en-US"/>
              </w:rPr>
              <w:t>(with cirrhosis)</w:t>
            </w:r>
          </w:p>
        </w:tc>
      </w:tr>
      <w:tr w:rsidR="00530DB6" w:rsidRPr="00A47F4F" w:rsidTr="00530DB6">
        <w:trPr>
          <w:tblHeader/>
          <w:jc w:val="center"/>
        </w:trPr>
        <w:tc>
          <w:tcPr>
            <w:tcW w:w="498" w:type="pct"/>
            <w:tcBorders>
              <w:top w:val="single" w:sz="6" w:space="0" w:color="000000"/>
              <w:left w:val="single" w:sz="6" w:space="0" w:color="000000"/>
              <w:bottom w:val="single" w:sz="6" w:space="0" w:color="000000"/>
              <w:right w:val="single" w:sz="6" w:space="0" w:color="000000"/>
            </w:tcBorders>
            <w:vAlign w:val="center"/>
            <w:hideMark/>
          </w:tcPr>
          <w:p w:rsidR="00530DB6" w:rsidRPr="00A47F4F" w:rsidRDefault="00530DB6" w:rsidP="0084631A">
            <w:pPr>
              <w:spacing w:after="0" w:line="240" w:lineRule="auto"/>
              <w:jc w:val="center"/>
              <w:rPr>
                <w:rFonts w:eastAsia="Times New Roman" w:cstheme="minorHAnsi"/>
                <w:lang w:val="en-US"/>
              </w:rPr>
            </w:pPr>
            <w:r w:rsidRPr="00A47F4F">
              <w:rPr>
                <w:rFonts w:eastAsia="Times New Roman" w:cstheme="minorHAnsi"/>
                <w:b/>
                <w:lang w:val="en-US"/>
              </w:rPr>
              <w:t>Adverse Reaction</w:t>
            </w:r>
          </w:p>
        </w:tc>
        <w:tc>
          <w:tcPr>
            <w:tcW w:w="880" w:type="pct"/>
            <w:tcBorders>
              <w:top w:val="single" w:sz="6" w:space="0" w:color="000000"/>
              <w:left w:val="single" w:sz="6" w:space="0" w:color="000000"/>
              <w:bottom w:val="single" w:sz="6" w:space="0" w:color="000000"/>
              <w:right w:val="single" w:sz="6" w:space="0" w:color="000000"/>
            </w:tcBorders>
          </w:tcPr>
          <w:p w:rsidR="00530DB6" w:rsidRPr="00A47F4F" w:rsidRDefault="00996583" w:rsidP="003D48A2">
            <w:pPr>
              <w:spacing w:after="0" w:line="240" w:lineRule="auto"/>
              <w:jc w:val="center"/>
              <w:rPr>
                <w:rFonts w:eastAsia="Times New Roman" w:cstheme="minorHAnsi"/>
                <w:b/>
                <w:lang w:val="en-US"/>
              </w:rPr>
            </w:pPr>
            <w:proofErr w:type="spellStart"/>
            <w:r>
              <w:rPr>
                <w:rFonts w:eastAsia="Times New Roman" w:cstheme="minorHAnsi"/>
                <w:b/>
                <w:lang w:val="en-US"/>
              </w:rPr>
              <w:t>P</w:t>
            </w:r>
            <w:r w:rsidR="00530DB6" w:rsidRPr="00A47F4F">
              <w:rPr>
                <w:rFonts w:eastAsia="Times New Roman" w:cstheme="minorHAnsi"/>
                <w:b/>
                <w:lang w:val="en-US"/>
              </w:rPr>
              <w:t>aritaprevir</w:t>
            </w:r>
            <w:proofErr w:type="spellEnd"/>
            <w:r>
              <w:rPr>
                <w:rFonts w:eastAsia="Times New Roman" w:cstheme="minorHAnsi"/>
                <w:b/>
                <w:lang w:val="en-US"/>
              </w:rPr>
              <w:t xml:space="preserve"> +</w:t>
            </w:r>
            <w:r w:rsidR="00530DB6" w:rsidRPr="00A47F4F">
              <w:rPr>
                <w:rFonts w:eastAsia="Times New Roman" w:cstheme="minorHAnsi"/>
                <w:b/>
                <w:lang w:val="en-US"/>
              </w:rPr>
              <w:t xml:space="preserve"> ritonavir +</w:t>
            </w:r>
            <w:r>
              <w:rPr>
                <w:rFonts w:eastAsia="Times New Roman" w:cstheme="minorHAnsi"/>
                <w:b/>
                <w:lang w:val="en-US"/>
              </w:rPr>
              <w:t xml:space="preserve"> </w:t>
            </w:r>
            <w:proofErr w:type="spellStart"/>
            <w:r>
              <w:rPr>
                <w:rFonts w:eastAsia="Times New Roman" w:cstheme="minorHAnsi"/>
                <w:b/>
                <w:lang w:val="en-US"/>
              </w:rPr>
              <w:t>ombitasvir</w:t>
            </w:r>
            <w:proofErr w:type="spellEnd"/>
            <w:r>
              <w:rPr>
                <w:rFonts w:eastAsia="Times New Roman" w:cstheme="minorHAnsi"/>
                <w:b/>
                <w:vertAlign w:val="superscript"/>
              </w:rPr>
              <w:t xml:space="preserve"> a</w:t>
            </w:r>
            <w:r>
              <w:rPr>
                <w:rFonts w:eastAsia="Times New Roman" w:cstheme="minorHAnsi"/>
                <w:b/>
                <w:lang w:val="en-US"/>
              </w:rPr>
              <w:t xml:space="preserve"> +</w:t>
            </w:r>
            <w:r w:rsidR="00530DB6" w:rsidRPr="00A47F4F">
              <w:rPr>
                <w:rFonts w:eastAsia="Times New Roman" w:cstheme="minorHAnsi"/>
                <w:b/>
                <w:lang w:val="en-US"/>
              </w:rPr>
              <w:t xml:space="preserve"> RBV</w:t>
            </w:r>
          </w:p>
          <w:p w:rsidR="00530DB6" w:rsidRPr="00A47F4F" w:rsidRDefault="00530DB6" w:rsidP="003D48A2">
            <w:pPr>
              <w:spacing w:after="0" w:line="240" w:lineRule="auto"/>
              <w:jc w:val="center"/>
              <w:rPr>
                <w:rFonts w:eastAsia="Times New Roman" w:cstheme="minorHAnsi"/>
                <w:b/>
                <w:lang w:val="en-US"/>
              </w:rPr>
            </w:pPr>
            <w:r w:rsidRPr="00A47F4F">
              <w:rPr>
                <w:rFonts w:eastAsia="Times New Roman" w:cstheme="minorHAnsi"/>
                <w:b/>
                <w:lang w:val="en-US"/>
              </w:rPr>
              <w:t>12 Weeks</w:t>
            </w:r>
          </w:p>
          <w:p w:rsidR="00530DB6" w:rsidRPr="00A47F4F" w:rsidRDefault="00530DB6" w:rsidP="003D48A2">
            <w:pPr>
              <w:spacing w:after="0" w:line="240" w:lineRule="auto"/>
              <w:jc w:val="center"/>
              <w:rPr>
                <w:rFonts w:eastAsia="Times New Roman" w:cstheme="minorHAnsi"/>
                <w:b/>
                <w:lang w:val="en-US"/>
              </w:rPr>
            </w:pPr>
            <w:r w:rsidRPr="00A47F4F">
              <w:rPr>
                <w:rFonts w:eastAsia="Times New Roman" w:cstheme="minorHAnsi"/>
                <w:b/>
                <w:lang w:val="en-US"/>
              </w:rPr>
              <w:t>N = 91</w:t>
            </w:r>
          </w:p>
          <w:p w:rsidR="00530DB6" w:rsidRPr="00A47F4F" w:rsidRDefault="00530DB6" w:rsidP="003D48A2">
            <w:pPr>
              <w:spacing w:after="0" w:line="240" w:lineRule="auto"/>
              <w:jc w:val="center"/>
              <w:rPr>
                <w:rFonts w:eastAsia="Times New Roman" w:cstheme="minorHAnsi"/>
                <w:b/>
                <w:lang w:val="en-US"/>
              </w:rPr>
            </w:pPr>
            <w:r w:rsidRPr="00A47F4F">
              <w:rPr>
                <w:rFonts w:eastAsia="Times New Roman" w:cstheme="minorHAnsi"/>
                <w:b/>
                <w:lang w:val="en-US"/>
              </w:rPr>
              <w:t>%</w:t>
            </w:r>
          </w:p>
        </w:tc>
        <w:tc>
          <w:tcPr>
            <w:tcW w:w="906" w:type="pct"/>
            <w:tcBorders>
              <w:top w:val="single" w:sz="6" w:space="0" w:color="000000"/>
              <w:left w:val="single" w:sz="6" w:space="0" w:color="000000"/>
              <w:bottom w:val="single" w:sz="6" w:space="0" w:color="000000"/>
              <w:right w:val="single" w:sz="6" w:space="0" w:color="000000"/>
            </w:tcBorders>
          </w:tcPr>
          <w:p w:rsidR="00530DB6" w:rsidRPr="00A47F4F" w:rsidRDefault="00996583" w:rsidP="003D48A2">
            <w:pPr>
              <w:spacing w:after="0" w:line="240" w:lineRule="auto"/>
              <w:jc w:val="center"/>
              <w:rPr>
                <w:rFonts w:eastAsia="Times New Roman" w:cstheme="minorHAnsi"/>
                <w:b/>
                <w:lang w:val="en-US"/>
              </w:rPr>
            </w:pPr>
            <w:proofErr w:type="spellStart"/>
            <w:r>
              <w:rPr>
                <w:rFonts w:eastAsia="Times New Roman" w:cstheme="minorHAnsi"/>
                <w:b/>
                <w:lang w:val="en-US"/>
              </w:rPr>
              <w:t>P</w:t>
            </w:r>
            <w:r w:rsidR="00530DB6" w:rsidRPr="00A47F4F">
              <w:rPr>
                <w:rFonts w:eastAsia="Times New Roman" w:cstheme="minorHAnsi"/>
                <w:b/>
                <w:lang w:val="en-US"/>
              </w:rPr>
              <w:t>aritaprevir</w:t>
            </w:r>
            <w:proofErr w:type="spellEnd"/>
            <w:r>
              <w:rPr>
                <w:rFonts w:eastAsia="Times New Roman" w:cstheme="minorHAnsi"/>
                <w:b/>
                <w:lang w:val="en-US"/>
              </w:rPr>
              <w:t xml:space="preserve"> +</w:t>
            </w:r>
            <w:r w:rsidR="00530DB6" w:rsidRPr="00A47F4F">
              <w:rPr>
                <w:rFonts w:eastAsia="Times New Roman" w:cstheme="minorHAnsi"/>
                <w:b/>
                <w:lang w:val="en-US"/>
              </w:rPr>
              <w:t xml:space="preserve"> ritonavir</w:t>
            </w:r>
            <w:r>
              <w:rPr>
                <w:rFonts w:eastAsia="Times New Roman" w:cstheme="minorHAnsi"/>
                <w:b/>
                <w:lang w:val="en-US"/>
              </w:rPr>
              <w:t xml:space="preserve"> + </w:t>
            </w:r>
            <w:proofErr w:type="spellStart"/>
            <w:r>
              <w:rPr>
                <w:rFonts w:eastAsia="Times New Roman" w:cstheme="minorHAnsi"/>
                <w:b/>
                <w:lang w:val="en-US"/>
              </w:rPr>
              <w:t>ombitasvir</w:t>
            </w:r>
            <w:proofErr w:type="spellEnd"/>
            <w:r>
              <w:rPr>
                <w:rFonts w:eastAsia="Times New Roman" w:cstheme="minorHAnsi"/>
                <w:b/>
                <w:vertAlign w:val="superscript"/>
              </w:rPr>
              <w:t xml:space="preserve"> a</w:t>
            </w:r>
            <w:r>
              <w:rPr>
                <w:rFonts w:eastAsia="Times New Roman" w:cstheme="minorHAnsi"/>
                <w:b/>
                <w:lang w:val="en-US"/>
              </w:rPr>
              <w:t xml:space="preserve"> </w:t>
            </w:r>
          </w:p>
          <w:p w:rsidR="00530DB6" w:rsidRPr="00A47F4F" w:rsidRDefault="00530DB6" w:rsidP="003D48A2">
            <w:pPr>
              <w:spacing w:after="0" w:line="240" w:lineRule="auto"/>
              <w:jc w:val="center"/>
              <w:rPr>
                <w:rFonts w:eastAsia="Times New Roman" w:cstheme="minorHAnsi"/>
                <w:b/>
                <w:lang w:val="en-US"/>
              </w:rPr>
            </w:pPr>
            <w:r w:rsidRPr="00A47F4F">
              <w:rPr>
                <w:rFonts w:eastAsia="Times New Roman" w:cstheme="minorHAnsi"/>
                <w:b/>
                <w:lang w:val="en-US"/>
              </w:rPr>
              <w:t xml:space="preserve"> 12 Weeks</w:t>
            </w:r>
          </w:p>
          <w:p w:rsidR="00530DB6" w:rsidRPr="00A47F4F" w:rsidRDefault="00530DB6" w:rsidP="003D48A2">
            <w:pPr>
              <w:spacing w:after="0" w:line="240" w:lineRule="auto"/>
              <w:jc w:val="center"/>
              <w:rPr>
                <w:rFonts w:eastAsia="Times New Roman" w:cstheme="minorHAnsi"/>
                <w:b/>
                <w:lang w:val="en-US"/>
              </w:rPr>
            </w:pPr>
            <w:r w:rsidRPr="00A47F4F">
              <w:rPr>
                <w:rFonts w:eastAsia="Times New Roman" w:cstheme="minorHAnsi"/>
                <w:b/>
                <w:lang w:val="en-US"/>
              </w:rPr>
              <w:t xml:space="preserve">N = </w:t>
            </w:r>
            <w:r>
              <w:rPr>
                <w:rFonts w:eastAsia="Times New Roman" w:cstheme="minorHAnsi"/>
                <w:b/>
                <w:lang w:val="en-US"/>
              </w:rPr>
              <w:t>44</w:t>
            </w:r>
          </w:p>
          <w:p w:rsidR="00530DB6" w:rsidRPr="00A47F4F" w:rsidRDefault="00530DB6" w:rsidP="003D48A2">
            <w:pPr>
              <w:spacing w:after="0" w:line="240" w:lineRule="auto"/>
              <w:jc w:val="center"/>
              <w:rPr>
                <w:rFonts w:eastAsia="Times New Roman" w:cstheme="minorHAnsi"/>
                <w:b/>
                <w:lang w:val="en-US"/>
              </w:rPr>
            </w:pPr>
            <w:r w:rsidRPr="00A47F4F">
              <w:rPr>
                <w:rFonts w:eastAsia="Times New Roman" w:cstheme="minorHAnsi"/>
                <w:b/>
                <w:lang w:val="en-US"/>
              </w:rPr>
              <w:t>%</w:t>
            </w:r>
          </w:p>
        </w:tc>
        <w:tc>
          <w:tcPr>
            <w:tcW w:w="906" w:type="pct"/>
            <w:tcBorders>
              <w:top w:val="single" w:sz="6" w:space="0" w:color="000000"/>
              <w:left w:val="single" w:sz="6" w:space="0" w:color="000000"/>
              <w:bottom w:val="single" w:sz="6" w:space="0" w:color="000000"/>
              <w:right w:val="single" w:sz="6" w:space="0" w:color="000000"/>
            </w:tcBorders>
          </w:tcPr>
          <w:p w:rsidR="00530DB6" w:rsidRDefault="00297F96" w:rsidP="00DC2529">
            <w:pPr>
              <w:jc w:val="center"/>
              <w:rPr>
                <w:b/>
              </w:rPr>
            </w:pPr>
            <w:proofErr w:type="spellStart"/>
            <w:r>
              <w:rPr>
                <w:b/>
              </w:rPr>
              <w:t>P</w:t>
            </w:r>
            <w:r w:rsidR="00530DB6">
              <w:rPr>
                <w:b/>
              </w:rPr>
              <w:t>aritaprevir</w:t>
            </w:r>
            <w:proofErr w:type="spellEnd"/>
            <w:r>
              <w:rPr>
                <w:b/>
              </w:rPr>
              <w:t xml:space="preserve"> + </w:t>
            </w:r>
            <w:r w:rsidR="00530DB6">
              <w:rPr>
                <w:b/>
              </w:rPr>
              <w:br/>
              <w:t xml:space="preserve">ritonavir + </w:t>
            </w:r>
            <w:proofErr w:type="spellStart"/>
            <w:r>
              <w:rPr>
                <w:b/>
              </w:rPr>
              <w:t>ombitasvir</w:t>
            </w:r>
            <w:proofErr w:type="spellEnd"/>
            <w:r>
              <w:rPr>
                <w:b/>
                <w:vertAlign w:val="superscript"/>
              </w:rPr>
              <w:t xml:space="preserve"> b</w:t>
            </w:r>
            <w:r>
              <w:rPr>
                <w:b/>
              </w:rPr>
              <w:t xml:space="preserve"> + </w:t>
            </w:r>
            <w:r w:rsidR="00530DB6">
              <w:rPr>
                <w:b/>
              </w:rPr>
              <w:t>RBV</w:t>
            </w:r>
            <w:r w:rsidR="00530DB6">
              <w:rPr>
                <w:b/>
              </w:rPr>
              <w:br/>
              <w:t>12 Weeks</w:t>
            </w:r>
            <w:r w:rsidR="00530DB6">
              <w:rPr>
                <w:b/>
              </w:rPr>
              <w:br/>
              <w:t>N = 60</w:t>
            </w:r>
          </w:p>
          <w:p w:rsidR="00530DB6" w:rsidRPr="00A47F4F" w:rsidRDefault="00530DB6" w:rsidP="003D48A2">
            <w:pPr>
              <w:spacing w:after="0" w:line="240" w:lineRule="auto"/>
              <w:jc w:val="center"/>
              <w:rPr>
                <w:rFonts w:eastAsia="Times New Roman" w:cstheme="minorHAnsi"/>
                <w:b/>
                <w:lang w:val="en-US"/>
              </w:rPr>
            </w:pPr>
            <w:r>
              <w:rPr>
                <w:b/>
              </w:rPr>
              <w:t>%</w:t>
            </w:r>
          </w:p>
        </w:tc>
        <w:tc>
          <w:tcPr>
            <w:tcW w:w="905" w:type="pct"/>
            <w:tcBorders>
              <w:top w:val="single" w:sz="6" w:space="0" w:color="000000"/>
              <w:left w:val="single" w:sz="6" w:space="0" w:color="000000"/>
              <w:bottom w:val="single" w:sz="6" w:space="0" w:color="000000"/>
              <w:right w:val="single" w:sz="6" w:space="0" w:color="000000"/>
            </w:tcBorders>
          </w:tcPr>
          <w:p w:rsidR="00530DB6" w:rsidRPr="006E6B16" w:rsidRDefault="00297F96" w:rsidP="00530DB6">
            <w:pPr>
              <w:spacing w:after="0" w:line="240" w:lineRule="auto"/>
              <w:jc w:val="center"/>
              <w:rPr>
                <w:rFonts w:eastAsia="Times New Roman" w:cstheme="minorHAnsi"/>
                <w:b/>
                <w:lang w:val="en-US"/>
              </w:rPr>
            </w:pPr>
            <w:proofErr w:type="spellStart"/>
            <w:r>
              <w:rPr>
                <w:rFonts w:eastAsia="Times New Roman" w:cstheme="minorHAnsi"/>
                <w:b/>
                <w:lang w:val="en-US"/>
              </w:rPr>
              <w:t>P</w:t>
            </w:r>
            <w:r w:rsidR="00530DB6" w:rsidRPr="006E6B16">
              <w:rPr>
                <w:rFonts w:eastAsia="Times New Roman" w:cstheme="minorHAnsi"/>
                <w:b/>
                <w:lang w:val="en-US"/>
              </w:rPr>
              <w:t>aritaprevir</w:t>
            </w:r>
            <w:proofErr w:type="spellEnd"/>
            <w:r>
              <w:rPr>
                <w:rFonts w:eastAsia="Times New Roman" w:cstheme="minorHAnsi"/>
                <w:b/>
                <w:lang w:val="en-US"/>
              </w:rPr>
              <w:t xml:space="preserve"> +</w:t>
            </w:r>
            <w:r w:rsidR="00530DB6" w:rsidRPr="006E6B16">
              <w:rPr>
                <w:rFonts w:eastAsia="Times New Roman" w:cstheme="minorHAnsi"/>
                <w:b/>
                <w:lang w:val="en-US"/>
              </w:rPr>
              <w:t xml:space="preserve"> ritonavir + </w:t>
            </w:r>
            <w:proofErr w:type="spellStart"/>
            <w:r>
              <w:rPr>
                <w:rFonts w:eastAsia="Times New Roman" w:cstheme="minorHAnsi"/>
                <w:b/>
                <w:lang w:val="en-US"/>
              </w:rPr>
              <w:t>ombitasvir</w:t>
            </w:r>
            <w:proofErr w:type="spellEnd"/>
            <w:r>
              <w:rPr>
                <w:b/>
                <w:vertAlign w:val="superscript"/>
              </w:rPr>
              <w:t xml:space="preserve"> b</w:t>
            </w:r>
            <w:r w:rsidRPr="006E6B16">
              <w:rPr>
                <w:rFonts w:eastAsia="Times New Roman" w:cstheme="minorHAnsi"/>
                <w:b/>
                <w:lang w:val="en-US"/>
              </w:rPr>
              <w:t xml:space="preserve"> </w:t>
            </w:r>
            <w:r>
              <w:rPr>
                <w:rFonts w:eastAsia="Times New Roman" w:cstheme="minorHAnsi"/>
                <w:b/>
                <w:lang w:val="en-US"/>
              </w:rPr>
              <w:t xml:space="preserve">+ </w:t>
            </w:r>
            <w:r w:rsidR="00530DB6" w:rsidRPr="006E6B16">
              <w:rPr>
                <w:rFonts w:eastAsia="Times New Roman" w:cstheme="minorHAnsi"/>
                <w:b/>
                <w:lang w:val="en-US"/>
              </w:rPr>
              <w:t>RBV</w:t>
            </w:r>
          </w:p>
          <w:p w:rsidR="00530DB6" w:rsidRPr="006E6B16" w:rsidRDefault="00530DB6" w:rsidP="00530DB6">
            <w:pPr>
              <w:spacing w:after="0" w:line="240" w:lineRule="auto"/>
              <w:jc w:val="center"/>
              <w:rPr>
                <w:rFonts w:eastAsia="Times New Roman" w:cstheme="minorHAnsi"/>
                <w:b/>
                <w:lang w:val="en-US"/>
              </w:rPr>
            </w:pPr>
            <w:r w:rsidRPr="006E6B16">
              <w:rPr>
                <w:rFonts w:eastAsia="Times New Roman" w:cstheme="minorHAnsi"/>
                <w:b/>
                <w:lang w:val="en-US"/>
              </w:rPr>
              <w:t>12 Weeks</w:t>
            </w:r>
          </w:p>
          <w:p w:rsidR="00530DB6" w:rsidRPr="006E6B16" w:rsidRDefault="00530DB6" w:rsidP="00530DB6">
            <w:pPr>
              <w:spacing w:after="0" w:line="240" w:lineRule="auto"/>
              <w:jc w:val="center"/>
              <w:rPr>
                <w:rFonts w:eastAsia="Times New Roman" w:cstheme="minorHAnsi"/>
                <w:b/>
                <w:lang w:val="en-US"/>
              </w:rPr>
            </w:pPr>
            <w:r w:rsidRPr="006E6B16">
              <w:rPr>
                <w:rFonts w:eastAsia="Times New Roman" w:cstheme="minorHAnsi"/>
                <w:b/>
                <w:lang w:val="en-US"/>
              </w:rPr>
              <w:t>N=100</w:t>
            </w:r>
          </w:p>
          <w:p w:rsidR="00530DB6" w:rsidRDefault="00530DB6" w:rsidP="00530DB6">
            <w:pPr>
              <w:jc w:val="center"/>
              <w:rPr>
                <w:b/>
              </w:rPr>
            </w:pPr>
            <w:r w:rsidRPr="006E6B16">
              <w:rPr>
                <w:rFonts w:eastAsia="Times New Roman" w:cstheme="minorHAnsi"/>
                <w:b/>
                <w:lang w:val="en-US"/>
              </w:rPr>
              <w:t>%</w:t>
            </w:r>
          </w:p>
        </w:tc>
        <w:tc>
          <w:tcPr>
            <w:tcW w:w="905" w:type="pct"/>
            <w:tcBorders>
              <w:top w:val="single" w:sz="6" w:space="0" w:color="000000"/>
              <w:left w:val="single" w:sz="6" w:space="0" w:color="000000"/>
              <w:bottom w:val="single" w:sz="6" w:space="0" w:color="000000"/>
              <w:right w:val="single" w:sz="6" w:space="0" w:color="000000"/>
            </w:tcBorders>
          </w:tcPr>
          <w:p w:rsidR="00530DB6" w:rsidRPr="006E6B16" w:rsidRDefault="00297F96" w:rsidP="00530DB6">
            <w:pPr>
              <w:spacing w:after="0" w:line="240" w:lineRule="auto"/>
              <w:jc w:val="center"/>
              <w:rPr>
                <w:rFonts w:eastAsia="Times New Roman" w:cstheme="minorHAnsi"/>
                <w:b/>
                <w:lang w:val="en-US"/>
              </w:rPr>
            </w:pPr>
            <w:proofErr w:type="spellStart"/>
            <w:r>
              <w:rPr>
                <w:rFonts w:eastAsia="Times New Roman" w:cstheme="minorHAnsi"/>
                <w:b/>
                <w:lang w:val="en-US"/>
              </w:rPr>
              <w:t>P</w:t>
            </w:r>
            <w:r w:rsidR="00530DB6" w:rsidRPr="006E6B16">
              <w:rPr>
                <w:rFonts w:eastAsia="Times New Roman" w:cstheme="minorHAnsi"/>
                <w:b/>
                <w:lang w:val="en-US"/>
              </w:rPr>
              <w:t>aritaprevir</w:t>
            </w:r>
            <w:proofErr w:type="spellEnd"/>
            <w:r>
              <w:rPr>
                <w:rFonts w:eastAsia="Times New Roman" w:cstheme="minorHAnsi"/>
                <w:b/>
                <w:lang w:val="en-US"/>
              </w:rPr>
              <w:t xml:space="preserve"> +</w:t>
            </w:r>
            <w:r w:rsidR="00530DB6" w:rsidRPr="006E6B16">
              <w:rPr>
                <w:rFonts w:eastAsia="Times New Roman" w:cstheme="minorHAnsi"/>
                <w:b/>
                <w:lang w:val="en-US"/>
              </w:rPr>
              <w:t xml:space="preserve"> ritonavir + </w:t>
            </w:r>
            <w:proofErr w:type="spellStart"/>
            <w:r>
              <w:rPr>
                <w:rFonts w:eastAsia="Times New Roman" w:cstheme="minorHAnsi"/>
                <w:b/>
                <w:lang w:val="en-US"/>
              </w:rPr>
              <w:t>ombitasvir</w:t>
            </w:r>
            <w:proofErr w:type="spellEnd"/>
            <w:r>
              <w:rPr>
                <w:b/>
                <w:vertAlign w:val="superscript"/>
              </w:rPr>
              <w:t xml:space="preserve"> b</w:t>
            </w:r>
            <w:r w:rsidRPr="006E6B16">
              <w:rPr>
                <w:rFonts w:eastAsia="Times New Roman" w:cstheme="minorHAnsi"/>
                <w:b/>
                <w:lang w:val="en-US"/>
              </w:rPr>
              <w:t xml:space="preserve"> </w:t>
            </w:r>
            <w:r>
              <w:rPr>
                <w:rFonts w:eastAsia="Times New Roman" w:cstheme="minorHAnsi"/>
                <w:b/>
                <w:lang w:val="en-US"/>
              </w:rPr>
              <w:t xml:space="preserve">+ </w:t>
            </w:r>
            <w:r w:rsidR="00530DB6" w:rsidRPr="006E6B16">
              <w:rPr>
                <w:rFonts w:eastAsia="Times New Roman" w:cstheme="minorHAnsi"/>
                <w:b/>
                <w:lang w:val="en-US"/>
              </w:rPr>
              <w:t>RBV</w:t>
            </w:r>
          </w:p>
          <w:p w:rsidR="00530DB6" w:rsidRPr="006E6B16" w:rsidRDefault="00530DB6" w:rsidP="00530DB6">
            <w:pPr>
              <w:spacing w:after="0" w:line="240" w:lineRule="auto"/>
              <w:jc w:val="center"/>
              <w:rPr>
                <w:rFonts w:eastAsia="Times New Roman" w:cstheme="minorHAnsi"/>
                <w:b/>
                <w:lang w:val="en-US"/>
              </w:rPr>
            </w:pPr>
            <w:r w:rsidRPr="006E6B16">
              <w:rPr>
                <w:rFonts w:eastAsia="Times New Roman" w:cstheme="minorHAnsi"/>
                <w:b/>
                <w:lang w:val="en-US"/>
              </w:rPr>
              <w:t>12 Weeks</w:t>
            </w:r>
          </w:p>
          <w:p w:rsidR="00530DB6" w:rsidRPr="006E6B16" w:rsidRDefault="00530DB6" w:rsidP="00530DB6">
            <w:pPr>
              <w:spacing w:after="0" w:line="240" w:lineRule="auto"/>
              <w:jc w:val="center"/>
              <w:rPr>
                <w:rFonts w:eastAsia="Times New Roman" w:cstheme="minorHAnsi"/>
                <w:b/>
                <w:lang w:val="en-US"/>
              </w:rPr>
            </w:pPr>
            <w:r w:rsidRPr="006E6B16">
              <w:rPr>
                <w:rFonts w:eastAsia="Times New Roman" w:cstheme="minorHAnsi"/>
                <w:b/>
                <w:lang w:val="en-US"/>
              </w:rPr>
              <w:t>N=31</w:t>
            </w:r>
          </w:p>
          <w:p w:rsidR="00530DB6" w:rsidRDefault="00530DB6" w:rsidP="00530DB6">
            <w:pPr>
              <w:jc w:val="center"/>
              <w:rPr>
                <w:b/>
              </w:rPr>
            </w:pPr>
            <w:r w:rsidRPr="006E6B16">
              <w:rPr>
                <w:rFonts w:eastAsia="Times New Roman" w:cstheme="minorHAnsi"/>
                <w:b/>
                <w:lang w:val="en-US"/>
              </w:rPr>
              <w:t>%</w:t>
            </w:r>
          </w:p>
        </w:tc>
      </w:tr>
      <w:tr w:rsidR="00530DB6" w:rsidRPr="00A47F4F" w:rsidTr="00530DB6">
        <w:trPr>
          <w:jc w:val="center"/>
        </w:trPr>
        <w:tc>
          <w:tcPr>
            <w:tcW w:w="498" w:type="pct"/>
            <w:tcBorders>
              <w:top w:val="single" w:sz="6" w:space="0" w:color="000000"/>
              <w:left w:val="single" w:sz="6" w:space="0" w:color="000000"/>
              <w:bottom w:val="single" w:sz="6" w:space="0" w:color="000000"/>
              <w:right w:val="single" w:sz="6" w:space="0" w:color="000000"/>
            </w:tcBorders>
            <w:vAlign w:val="center"/>
          </w:tcPr>
          <w:p w:rsidR="00530DB6" w:rsidRPr="00A47F4F" w:rsidRDefault="00530DB6" w:rsidP="003D48A2">
            <w:pPr>
              <w:spacing w:after="0" w:line="240" w:lineRule="auto"/>
              <w:jc w:val="center"/>
              <w:rPr>
                <w:rFonts w:eastAsia="Times New Roman" w:cstheme="minorHAnsi"/>
                <w:lang w:val="en-US"/>
              </w:rPr>
            </w:pPr>
            <w:r w:rsidRPr="00A47F4F">
              <w:rPr>
                <w:rFonts w:eastAsia="Times New Roman" w:cstheme="minorHAnsi"/>
                <w:lang w:val="en-US"/>
              </w:rPr>
              <w:t>Asthenia</w:t>
            </w:r>
          </w:p>
        </w:tc>
        <w:tc>
          <w:tcPr>
            <w:tcW w:w="880" w:type="pct"/>
            <w:tcBorders>
              <w:top w:val="single" w:sz="6" w:space="0" w:color="000000"/>
              <w:left w:val="single" w:sz="6" w:space="0" w:color="000000"/>
              <w:bottom w:val="single" w:sz="6" w:space="0" w:color="000000"/>
              <w:right w:val="single" w:sz="6" w:space="0" w:color="000000"/>
            </w:tcBorders>
          </w:tcPr>
          <w:p w:rsidR="00530DB6" w:rsidRPr="00A47F4F" w:rsidRDefault="00530DB6" w:rsidP="003D48A2">
            <w:pPr>
              <w:spacing w:after="0" w:line="240" w:lineRule="auto"/>
              <w:jc w:val="center"/>
              <w:rPr>
                <w:rFonts w:eastAsia="Times New Roman" w:cstheme="minorHAnsi"/>
                <w:lang w:val="en-US"/>
              </w:rPr>
            </w:pPr>
            <w:r w:rsidRPr="00A47F4F">
              <w:rPr>
                <w:rFonts w:eastAsia="Times New Roman" w:cstheme="minorHAnsi"/>
                <w:lang w:val="en-US"/>
              </w:rPr>
              <w:t>29</w:t>
            </w:r>
          </w:p>
        </w:tc>
        <w:tc>
          <w:tcPr>
            <w:tcW w:w="906" w:type="pct"/>
            <w:tcBorders>
              <w:top w:val="single" w:sz="6" w:space="0" w:color="000000"/>
              <w:left w:val="single" w:sz="6" w:space="0" w:color="000000"/>
              <w:bottom w:val="single" w:sz="6" w:space="0" w:color="000000"/>
              <w:right w:val="single" w:sz="6" w:space="0" w:color="000000"/>
            </w:tcBorders>
          </w:tcPr>
          <w:p w:rsidR="00530DB6" w:rsidRPr="00A47F4F" w:rsidRDefault="00530DB6" w:rsidP="003D48A2">
            <w:pPr>
              <w:spacing w:after="0" w:line="240" w:lineRule="auto"/>
              <w:jc w:val="center"/>
              <w:rPr>
                <w:rFonts w:eastAsia="Times New Roman" w:cstheme="minorHAnsi"/>
                <w:lang w:val="en-US"/>
              </w:rPr>
            </w:pPr>
            <w:r>
              <w:rPr>
                <w:rFonts w:eastAsia="Times New Roman" w:cstheme="minorHAnsi"/>
                <w:lang w:val="en-US"/>
              </w:rPr>
              <w:t>25</w:t>
            </w:r>
          </w:p>
        </w:tc>
        <w:tc>
          <w:tcPr>
            <w:tcW w:w="906" w:type="pct"/>
            <w:tcBorders>
              <w:top w:val="single" w:sz="6" w:space="0" w:color="000000"/>
              <w:left w:val="single" w:sz="6" w:space="0" w:color="000000"/>
              <w:bottom w:val="single" w:sz="6" w:space="0" w:color="000000"/>
              <w:right w:val="single" w:sz="6" w:space="0" w:color="000000"/>
            </w:tcBorders>
          </w:tcPr>
          <w:p w:rsidR="00530DB6" w:rsidRPr="00A47F4F" w:rsidDel="00D35376" w:rsidRDefault="00530DB6" w:rsidP="003D48A2">
            <w:pPr>
              <w:spacing w:after="0" w:line="240" w:lineRule="auto"/>
              <w:jc w:val="center"/>
              <w:rPr>
                <w:rFonts w:eastAsia="Times New Roman" w:cstheme="minorHAnsi"/>
                <w:lang w:val="en-US"/>
              </w:rPr>
            </w:pPr>
            <w:r>
              <w:t>18</w:t>
            </w:r>
          </w:p>
        </w:tc>
        <w:tc>
          <w:tcPr>
            <w:tcW w:w="905" w:type="pct"/>
            <w:tcBorders>
              <w:top w:val="single" w:sz="6" w:space="0" w:color="000000"/>
              <w:left w:val="single" w:sz="6" w:space="0" w:color="000000"/>
              <w:bottom w:val="single" w:sz="6" w:space="0" w:color="000000"/>
              <w:right w:val="single" w:sz="6" w:space="0" w:color="000000"/>
            </w:tcBorders>
          </w:tcPr>
          <w:p w:rsidR="00530DB6" w:rsidRDefault="00530DB6" w:rsidP="003D48A2">
            <w:pPr>
              <w:spacing w:after="0" w:line="240" w:lineRule="auto"/>
              <w:jc w:val="center"/>
            </w:pPr>
            <w:r w:rsidRPr="006E6B16">
              <w:rPr>
                <w:rFonts w:cstheme="minorHAnsi"/>
              </w:rPr>
              <w:t>3</w:t>
            </w:r>
          </w:p>
        </w:tc>
        <w:tc>
          <w:tcPr>
            <w:tcW w:w="905" w:type="pct"/>
            <w:tcBorders>
              <w:top w:val="single" w:sz="6" w:space="0" w:color="000000"/>
              <w:left w:val="single" w:sz="6" w:space="0" w:color="000000"/>
              <w:bottom w:val="single" w:sz="6" w:space="0" w:color="000000"/>
              <w:right w:val="single" w:sz="6" w:space="0" w:color="000000"/>
            </w:tcBorders>
          </w:tcPr>
          <w:p w:rsidR="00530DB6" w:rsidRDefault="00530DB6" w:rsidP="003D48A2">
            <w:pPr>
              <w:spacing w:after="0" w:line="240" w:lineRule="auto"/>
              <w:jc w:val="center"/>
            </w:pPr>
            <w:r w:rsidRPr="006E6B16">
              <w:rPr>
                <w:rFonts w:cstheme="minorHAnsi"/>
              </w:rPr>
              <w:t>0</w:t>
            </w:r>
          </w:p>
        </w:tc>
      </w:tr>
      <w:tr w:rsidR="00530DB6" w:rsidRPr="00A47F4F" w:rsidTr="00530DB6">
        <w:trPr>
          <w:jc w:val="center"/>
        </w:trPr>
        <w:tc>
          <w:tcPr>
            <w:tcW w:w="498" w:type="pct"/>
            <w:tcBorders>
              <w:top w:val="single" w:sz="6" w:space="0" w:color="000000"/>
              <w:left w:val="single" w:sz="6" w:space="0" w:color="000000"/>
              <w:bottom w:val="single" w:sz="6" w:space="0" w:color="000000"/>
              <w:right w:val="single" w:sz="6" w:space="0" w:color="000000"/>
            </w:tcBorders>
            <w:vAlign w:val="center"/>
            <w:hideMark/>
          </w:tcPr>
          <w:p w:rsidR="00530DB6" w:rsidRPr="00A47F4F" w:rsidRDefault="00530DB6" w:rsidP="003D48A2">
            <w:pPr>
              <w:spacing w:after="0" w:line="240" w:lineRule="auto"/>
              <w:jc w:val="center"/>
              <w:rPr>
                <w:rFonts w:eastAsia="Times New Roman" w:cstheme="minorHAnsi"/>
                <w:lang w:val="en-US"/>
              </w:rPr>
            </w:pPr>
            <w:r w:rsidRPr="00A47F4F">
              <w:rPr>
                <w:rFonts w:eastAsia="Times New Roman" w:cstheme="minorHAnsi"/>
                <w:lang w:val="en-US"/>
              </w:rPr>
              <w:t>Fatigue</w:t>
            </w:r>
          </w:p>
        </w:tc>
        <w:tc>
          <w:tcPr>
            <w:tcW w:w="880" w:type="pct"/>
            <w:tcBorders>
              <w:top w:val="single" w:sz="6" w:space="0" w:color="000000"/>
              <w:left w:val="single" w:sz="6" w:space="0" w:color="000000"/>
              <w:bottom w:val="single" w:sz="6" w:space="0" w:color="000000"/>
              <w:right w:val="single" w:sz="6" w:space="0" w:color="000000"/>
            </w:tcBorders>
          </w:tcPr>
          <w:p w:rsidR="00530DB6" w:rsidRPr="00A47F4F" w:rsidRDefault="00530DB6" w:rsidP="003D48A2">
            <w:pPr>
              <w:spacing w:after="0" w:line="240" w:lineRule="auto"/>
              <w:jc w:val="center"/>
              <w:rPr>
                <w:rFonts w:eastAsia="Times New Roman" w:cstheme="minorHAnsi"/>
                <w:lang w:val="en-US"/>
              </w:rPr>
            </w:pPr>
            <w:r w:rsidRPr="00A47F4F">
              <w:rPr>
                <w:rFonts w:eastAsia="Times New Roman" w:cstheme="minorHAnsi"/>
                <w:lang w:val="en-US"/>
              </w:rPr>
              <w:t>15</w:t>
            </w:r>
          </w:p>
        </w:tc>
        <w:tc>
          <w:tcPr>
            <w:tcW w:w="906" w:type="pct"/>
            <w:tcBorders>
              <w:top w:val="single" w:sz="6" w:space="0" w:color="000000"/>
              <w:left w:val="single" w:sz="6" w:space="0" w:color="000000"/>
              <w:bottom w:val="single" w:sz="6" w:space="0" w:color="000000"/>
              <w:right w:val="single" w:sz="6" w:space="0" w:color="000000"/>
            </w:tcBorders>
          </w:tcPr>
          <w:p w:rsidR="00530DB6" w:rsidRPr="00A47F4F" w:rsidRDefault="00530DB6" w:rsidP="003D48A2">
            <w:pPr>
              <w:spacing w:after="0" w:line="240" w:lineRule="auto"/>
              <w:jc w:val="center"/>
              <w:rPr>
                <w:rFonts w:eastAsia="Times New Roman" w:cstheme="minorHAnsi"/>
                <w:lang w:val="en-US"/>
              </w:rPr>
            </w:pPr>
            <w:r w:rsidRPr="00A47F4F">
              <w:rPr>
                <w:rFonts w:eastAsia="Times New Roman" w:cstheme="minorHAnsi"/>
                <w:lang w:val="en-US"/>
              </w:rPr>
              <w:t>7</w:t>
            </w:r>
          </w:p>
        </w:tc>
        <w:tc>
          <w:tcPr>
            <w:tcW w:w="906" w:type="pct"/>
            <w:tcBorders>
              <w:top w:val="single" w:sz="6" w:space="0" w:color="000000"/>
              <w:left w:val="single" w:sz="6" w:space="0" w:color="000000"/>
              <w:bottom w:val="single" w:sz="6" w:space="0" w:color="000000"/>
              <w:right w:val="single" w:sz="6" w:space="0" w:color="000000"/>
            </w:tcBorders>
          </w:tcPr>
          <w:p w:rsidR="00530DB6" w:rsidRPr="00A47F4F" w:rsidRDefault="00530DB6" w:rsidP="003D48A2">
            <w:pPr>
              <w:spacing w:after="0" w:line="240" w:lineRule="auto"/>
              <w:jc w:val="center"/>
              <w:rPr>
                <w:rFonts w:eastAsia="Times New Roman" w:cstheme="minorHAnsi"/>
                <w:lang w:val="en-US"/>
              </w:rPr>
            </w:pPr>
            <w:r>
              <w:t>17</w:t>
            </w:r>
          </w:p>
        </w:tc>
        <w:tc>
          <w:tcPr>
            <w:tcW w:w="905" w:type="pct"/>
            <w:tcBorders>
              <w:top w:val="single" w:sz="6" w:space="0" w:color="000000"/>
              <w:left w:val="single" w:sz="6" w:space="0" w:color="000000"/>
              <w:bottom w:val="single" w:sz="6" w:space="0" w:color="000000"/>
              <w:right w:val="single" w:sz="6" w:space="0" w:color="000000"/>
            </w:tcBorders>
          </w:tcPr>
          <w:p w:rsidR="00530DB6" w:rsidRDefault="00530DB6" w:rsidP="003D48A2">
            <w:pPr>
              <w:spacing w:after="0" w:line="240" w:lineRule="auto"/>
              <w:jc w:val="center"/>
            </w:pPr>
            <w:r w:rsidRPr="006E6B16">
              <w:rPr>
                <w:rFonts w:cstheme="minorHAnsi"/>
              </w:rPr>
              <w:t>35</w:t>
            </w:r>
          </w:p>
        </w:tc>
        <w:tc>
          <w:tcPr>
            <w:tcW w:w="905" w:type="pct"/>
            <w:tcBorders>
              <w:top w:val="single" w:sz="6" w:space="0" w:color="000000"/>
              <w:left w:val="single" w:sz="6" w:space="0" w:color="000000"/>
              <w:bottom w:val="single" w:sz="6" w:space="0" w:color="000000"/>
              <w:right w:val="single" w:sz="6" w:space="0" w:color="000000"/>
            </w:tcBorders>
          </w:tcPr>
          <w:p w:rsidR="00530DB6" w:rsidRDefault="00530DB6" w:rsidP="003D48A2">
            <w:pPr>
              <w:spacing w:after="0" w:line="240" w:lineRule="auto"/>
              <w:jc w:val="center"/>
            </w:pPr>
            <w:r w:rsidRPr="006E6B16">
              <w:rPr>
                <w:rFonts w:cstheme="minorHAnsi"/>
              </w:rPr>
              <w:t>29</w:t>
            </w:r>
          </w:p>
        </w:tc>
      </w:tr>
      <w:tr w:rsidR="00530DB6" w:rsidRPr="00A47F4F" w:rsidTr="00530DB6">
        <w:trPr>
          <w:jc w:val="center"/>
        </w:trPr>
        <w:tc>
          <w:tcPr>
            <w:tcW w:w="498" w:type="pct"/>
            <w:tcBorders>
              <w:top w:val="single" w:sz="6" w:space="0" w:color="000000"/>
              <w:left w:val="single" w:sz="6" w:space="0" w:color="000000"/>
              <w:bottom w:val="single" w:sz="6" w:space="0" w:color="000000"/>
              <w:right w:val="single" w:sz="6" w:space="0" w:color="000000"/>
            </w:tcBorders>
            <w:vAlign w:val="center"/>
            <w:hideMark/>
          </w:tcPr>
          <w:p w:rsidR="00530DB6" w:rsidRPr="00A47F4F" w:rsidRDefault="00530DB6" w:rsidP="003D48A2">
            <w:pPr>
              <w:spacing w:after="0" w:line="240" w:lineRule="auto"/>
              <w:jc w:val="center"/>
              <w:rPr>
                <w:rFonts w:eastAsia="Times New Roman" w:cstheme="minorHAnsi"/>
                <w:lang w:val="en-US"/>
              </w:rPr>
            </w:pPr>
            <w:r w:rsidRPr="00A47F4F">
              <w:rPr>
                <w:rFonts w:eastAsia="Times New Roman" w:cstheme="minorHAnsi"/>
                <w:lang w:val="en-US"/>
              </w:rPr>
              <w:t>Nausea</w:t>
            </w:r>
          </w:p>
        </w:tc>
        <w:tc>
          <w:tcPr>
            <w:tcW w:w="880" w:type="pct"/>
            <w:tcBorders>
              <w:top w:val="single" w:sz="6" w:space="0" w:color="000000"/>
              <w:left w:val="single" w:sz="6" w:space="0" w:color="000000"/>
              <w:bottom w:val="single" w:sz="6" w:space="0" w:color="000000"/>
              <w:right w:val="single" w:sz="6" w:space="0" w:color="000000"/>
            </w:tcBorders>
          </w:tcPr>
          <w:p w:rsidR="00530DB6" w:rsidRPr="00A47F4F" w:rsidRDefault="00530DB6" w:rsidP="003D48A2">
            <w:pPr>
              <w:spacing w:after="0" w:line="240" w:lineRule="auto"/>
              <w:jc w:val="center"/>
              <w:rPr>
                <w:rFonts w:eastAsia="Times New Roman" w:cstheme="minorHAnsi"/>
                <w:lang w:val="en-US"/>
              </w:rPr>
            </w:pPr>
            <w:r w:rsidRPr="00A47F4F">
              <w:rPr>
                <w:rFonts w:eastAsia="Times New Roman" w:cstheme="minorHAnsi"/>
                <w:lang w:val="en-US"/>
              </w:rPr>
              <w:t>14</w:t>
            </w:r>
          </w:p>
        </w:tc>
        <w:tc>
          <w:tcPr>
            <w:tcW w:w="906" w:type="pct"/>
            <w:tcBorders>
              <w:top w:val="single" w:sz="6" w:space="0" w:color="000000"/>
              <w:left w:val="single" w:sz="6" w:space="0" w:color="000000"/>
              <w:bottom w:val="single" w:sz="6" w:space="0" w:color="000000"/>
              <w:right w:val="single" w:sz="6" w:space="0" w:color="000000"/>
            </w:tcBorders>
          </w:tcPr>
          <w:p w:rsidR="00530DB6" w:rsidRPr="00A47F4F" w:rsidRDefault="00530DB6" w:rsidP="003D48A2">
            <w:pPr>
              <w:spacing w:after="0" w:line="240" w:lineRule="auto"/>
              <w:jc w:val="center"/>
              <w:rPr>
                <w:rFonts w:eastAsia="Times New Roman" w:cstheme="minorHAnsi"/>
                <w:lang w:val="en-US"/>
              </w:rPr>
            </w:pPr>
            <w:r>
              <w:rPr>
                <w:rFonts w:eastAsia="Times New Roman" w:cstheme="minorHAnsi"/>
                <w:lang w:val="en-US"/>
              </w:rPr>
              <w:t>9</w:t>
            </w:r>
          </w:p>
        </w:tc>
        <w:tc>
          <w:tcPr>
            <w:tcW w:w="906" w:type="pct"/>
            <w:tcBorders>
              <w:top w:val="single" w:sz="6" w:space="0" w:color="000000"/>
              <w:left w:val="single" w:sz="6" w:space="0" w:color="000000"/>
              <w:bottom w:val="single" w:sz="6" w:space="0" w:color="000000"/>
              <w:right w:val="single" w:sz="6" w:space="0" w:color="000000"/>
            </w:tcBorders>
          </w:tcPr>
          <w:p w:rsidR="00530DB6" w:rsidRPr="00A47F4F" w:rsidDel="00D35376" w:rsidRDefault="00530DB6" w:rsidP="003D48A2">
            <w:pPr>
              <w:spacing w:after="0" w:line="240" w:lineRule="auto"/>
              <w:jc w:val="center"/>
              <w:rPr>
                <w:rFonts w:eastAsia="Times New Roman" w:cstheme="minorHAnsi"/>
                <w:lang w:val="en-US"/>
              </w:rPr>
            </w:pPr>
            <w:r>
              <w:t>10</w:t>
            </w:r>
          </w:p>
        </w:tc>
        <w:tc>
          <w:tcPr>
            <w:tcW w:w="905" w:type="pct"/>
            <w:tcBorders>
              <w:top w:val="single" w:sz="6" w:space="0" w:color="000000"/>
              <w:left w:val="single" w:sz="6" w:space="0" w:color="000000"/>
              <w:bottom w:val="single" w:sz="6" w:space="0" w:color="000000"/>
              <w:right w:val="single" w:sz="6" w:space="0" w:color="000000"/>
            </w:tcBorders>
          </w:tcPr>
          <w:p w:rsidR="00530DB6" w:rsidRDefault="00530DB6" w:rsidP="003D48A2">
            <w:pPr>
              <w:spacing w:after="0" w:line="240" w:lineRule="auto"/>
              <w:jc w:val="center"/>
            </w:pPr>
            <w:r w:rsidRPr="006E6B16">
              <w:rPr>
                <w:rFonts w:cstheme="minorHAnsi"/>
              </w:rPr>
              <w:t>7</w:t>
            </w:r>
          </w:p>
        </w:tc>
        <w:tc>
          <w:tcPr>
            <w:tcW w:w="905" w:type="pct"/>
            <w:tcBorders>
              <w:top w:val="single" w:sz="6" w:space="0" w:color="000000"/>
              <w:left w:val="single" w:sz="6" w:space="0" w:color="000000"/>
              <w:bottom w:val="single" w:sz="6" w:space="0" w:color="000000"/>
              <w:right w:val="single" w:sz="6" w:space="0" w:color="000000"/>
            </w:tcBorders>
          </w:tcPr>
          <w:p w:rsidR="00530DB6" w:rsidRDefault="00530DB6" w:rsidP="003D48A2">
            <w:pPr>
              <w:spacing w:after="0" w:line="240" w:lineRule="auto"/>
              <w:jc w:val="center"/>
            </w:pPr>
            <w:r w:rsidRPr="006E6B16">
              <w:rPr>
                <w:rFonts w:cstheme="minorHAnsi"/>
              </w:rPr>
              <w:t>6</w:t>
            </w:r>
          </w:p>
        </w:tc>
      </w:tr>
      <w:tr w:rsidR="00530DB6" w:rsidRPr="00A47F4F" w:rsidTr="00530DB6">
        <w:trPr>
          <w:jc w:val="center"/>
        </w:trPr>
        <w:tc>
          <w:tcPr>
            <w:tcW w:w="498" w:type="pct"/>
            <w:tcBorders>
              <w:top w:val="single" w:sz="6" w:space="0" w:color="000000"/>
              <w:left w:val="single" w:sz="6" w:space="0" w:color="000000"/>
              <w:bottom w:val="single" w:sz="6" w:space="0" w:color="000000"/>
              <w:right w:val="single" w:sz="6" w:space="0" w:color="000000"/>
            </w:tcBorders>
            <w:vAlign w:val="center"/>
          </w:tcPr>
          <w:p w:rsidR="00530DB6" w:rsidRPr="00A47F4F" w:rsidRDefault="00530DB6" w:rsidP="003D48A2">
            <w:pPr>
              <w:spacing w:after="0" w:line="240" w:lineRule="auto"/>
              <w:jc w:val="center"/>
              <w:rPr>
                <w:rFonts w:eastAsia="Times New Roman" w:cstheme="minorHAnsi"/>
                <w:lang w:val="en-US"/>
              </w:rPr>
            </w:pPr>
            <w:r w:rsidRPr="00A47F4F">
              <w:rPr>
                <w:rFonts w:eastAsia="Times New Roman" w:cstheme="minorHAnsi"/>
                <w:lang w:val="en-US"/>
              </w:rPr>
              <w:t>Insomnia</w:t>
            </w:r>
          </w:p>
        </w:tc>
        <w:tc>
          <w:tcPr>
            <w:tcW w:w="880" w:type="pct"/>
            <w:tcBorders>
              <w:top w:val="single" w:sz="6" w:space="0" w:color="000000"/>
              <w:left w:val="single" w:sz="6" w:space="0" w:color="000000"/>
              <w:bottom w:val="single" w:sz="6" w:space="0" w:color="000000"/>
              <w:right w:val="single" w:sz="6" w:space="0" w:color="000000"/>
            </w:tcBorders>
          </w:tcPr>
          <w:p w:rsidR="00530DB6" w:rsidRPr="00A47F4F" w:rsidRDefault="00530DB6" w:rsidP="003D48A2">
            <w:pPr>
              <w:spacing w:after="0" w:line="240" w:lineRule="auto"/>
              <w:jc w:val="center"/>
              <w:rPr>
                <w:rFonts w:eastAsia="Times New Roman" w:cstheme="minorHAnsi"/>
                <w:lang w:val="en-US"/>
              </w:rPr>
            </w:pPr>
            <w:r w:rsidRPr="00A47F4F">
              <w:rPr>
                <w:rFonts w:eastAsia="Times New Roman" w:cstheme="minorHAnsi"/>
                <w:lang w:val="en-US"/>
              </w:rPr>
              <w:t>13</w:t>
            </w:r>
          </w:p>
        </w:tc>
        <w:tc>
          <w:tcPr>
            <w:tcW w:w="906" w:type="pct"/>
            <w:tcBorders>
              <w:top w:val="single" w:sz="6" w:space="0" w:color="000000"/>
              <w:left w:val="single" w:sz="6" w:space="0" w:color="000000"/>
              <w:bottom w:val="single" w:sz="6" w:space="0" w:color="000000"/>
              <w:right w:val="single" w:sz="6" w:space="0" w:color="000000"/>
            </w:tcBorders>
          </w:tcPr>
          <w:p w:rsidR="00530DB6" w:rsidRPr="00A47F4F" w:rsidRDefault="00530DB6" w:rsidP="003D48A2">
            <w:pPr>
              <w:spacing w:after="0" w:line="240" w:lineRule="auto"/>
              <w:jc w:val="center"/>
              <w:rPr>
                <w:rFonts w:eastAsia="Times New Roman" w:cstheme="minorHAnsi"/>
                <w:lang w:val="en-US"/>
              </w:rPr>
            </w:pPr>
            <w:r>
              <w:rPr>
                <w:rFonts w:eastAsia="Times New Roman" w:cstheme="minorHAnsi"/>
                <w:lang w:val="en-US"/>
              </w:rPr>
              <w:t>5</w:t>
            </w:r>
          </w:p>
        </w:tc>
        <w:tc>
          <w:tcPr>
            <w:tcW w:w="906" w:type="pct"/>
            <w:tcBorders>
              <w:top w:val="single" w:sz="6" w:space="0" w:color="000000"/>
              <w:left w:val="single" w:sz="6" w:space="0" w:color="000000"/>
              <w:bottom w:val="single" w:sz="6" w:space="0" w:color="000000"/>
              <w:right w:val="single" w:sz="6" w:space="0" w:color="000000"/>
            </w:tcBorders>
          </w:tcPr>
          <w:p w:rsidR="00530DB6" w:rsidRPr="00A47F4F" w:rsidDel="00D35376" w:rsidRDefault="00530DB6" w:rsidP="003D48A2">
            <w:pPr>
              <w:spacing w:after="0" w:line="240" w:lineRule="auto"/>
              <w:jc w:val="center"/>
              <w:rPr>
                <w:rFonts w:eastAsia="Times New Roman" w:cstheme="minorHAnsi"/>
                <w:lang w:val="en-US"/>
              </w:rPr>
            </w:pPr>
            <w:r>
              <w:t>10</w:t>
            </w:r>
          </w:p>
        </w:tc>
        <w:tc>
          <w:tcPr>
            <w:tcW w:w="905" w:type="pct"/>
            <w:tcBorders>
              <w:top w:val="single" w:sz="6" w:space="0" w:color="000000"/>
              <w:left w:val="single" w:sz="6" w:space="0" w:color="000000"/>
              <w:bottom w:val="single" w:sz="6" w:space="0" w:color="000000"/>
              <w:right w:val="single" w:sz="6" w:space="0" w:color="000000"/>
            </w:tcBorders>
          </w:tcPr>
          <w:p w:rsidR="00530DB6" w:rsidRDefault="00530DB6" w:rsidP="003D48A2">
            <w:pPr>
              <w:spacing w:after="0" w:line="240" w:lineRule="auto"/>
              <w:jc w:val="center"/>
            </w:pPr>
            <w:r w:rsidRPr="006E6B16">
              <w:rPr>
                <w:rFonts w:cstheme="minorHAnsi"/>
              </w:rPr>
              <w:t>9</w:t>
            </w:r>
          </w:p>
        </w:tc>
        <w:tc>
          <w:tcPr>
            <w:tcW w:w="905" w:type="pct"/>
            <w:tcBorders>
              <w:top w:val="single" w:sz="6" w:space="0" w:color="000000"/>
              <w:left w:val="single" w:sz="6" w:space="0" w:color="000000"/>
              <w:bottom w:val="single" w:sz="6" w:space="0" w:color="000000"/>
              <w:right w:val="single" w:sz="6" w:space="0" w:color="000000"/>
            </w:tcBorders>
          </w:tcPr>
          <w:p w:rsidR="00530DB6" w:rsidRDefault="00530DB6" w:rsidP="003D48A2">
            <w:pPr>
              <w:spacing w:after="0" w:line="240" w:lineRule="auto"/>
              <w:jc w:val="center"/>
            </w:pPr>
            <w:r w:rsidRPr="006E6B16">
              <w:rPr>
                <w:rFonts w:cstheme="minorHAnsi"/>
              </w:rPr>
              <w:t>6</w:t>
            </w:r>
          </w:p>
        </w:tc>
      </w:tr>
      <w:tr w:rsidR="00530DB6" w:rsidRPr="00A47F4F" w:rsidTr="00530DB6">
        <w:trPr>
          <w:jc w:val="center"/>
        </w:trPr>
        <w:tc>
          <w:tcPr>
            <w:tcW w:w="498" w:type="pct"/>
            <w:tcBorders>
              <w:top w:val="single" w:sz="6" w:space="0" w:color="000000"/>
              <w:left w:val="single" w:sz="6" w:space="0" w:color="000000"/>
              <w:bottom w:val="single" w:sz="6" w:space="0" w:color="000000"/>
              <w:right w:val="single" w:sz="6" w:space="0" w:color="000000"/>
            </w:tcBorders>
            <w:vAlign w:val="center"/>
            <w:hideMark/>
          </w:tcPr>
          <w:p w:rsidR="00530DB6" w:rsidRPr="00A47F4F" w:rsidRDefault="00530DB6" w:rsidP="003D48A2">
            <w:pPr>
              <w:spacing w:after="0" w:line="240" w:lineRule="auto"/>
              <w:jc w:val="center"/>
              <w:rPr>
                <w:rFonts w:eastAsia="Times New Roman" w:cstheme="minorHAnsi"/>
                <w:lang w:val="en-US"/>
              </w:rPr>
            </w:pPr>
            <w:r w:rsidRPr="00A47F4F">
              <w:rPr>
                <w:rFonts w:eastAsia="Times New Roman" w:cstheme="minorHAnsi"/>
                <w:lang w:val="en-US"/>
              </w:rPr>
              <w:t>Pruritus</w:t>
            </w:r>
            <w:r>
              <w:rPr>
                <w:rFonts w:eastAsia="Times New Roman" w:cstheme="minorHAnsi"/>
                <w:lang w:val="en-US"/>
              </w:rPr>
              <w:t>^</w:t>
            </w:r>
          </w:p>
        </w:tc>
        <w:tc>
          <w:tcPr>
            <w:tcW w:w="880" w:type="pct"/>
            <w:tcBorders>
              <w:top w:val="single" w:sz="6" w:space="0" w:color="000000"/>
              <w:left w:val="single" w:sz="6" w:space="0" w:color="000000"/>
              <w:bottom w:val="single" w:sz="6" w:space="0" w:color="000000"/>
              <w:right w:val="single" w:sz="6" w:space="0" w:color="000000"/>
            </w:tcBorders>
          </w:tcPr>
          <w:p w:rsidR="00530DB6" w:rsidRPr="00A47F4F" w:rsidRDefault="00530DB6" w:rsidP="003D48A2">
            <w:pPr>
              <w:spacing w:after="0" w:line="240" w:lineRule="auto"/>
              <w:jc w:val="center"/>
              <w:rPr>
                <w:rFonts w:eastAsia="Times New Roman" w:cstheme="minorHAnsi"/>
                <w:lang w:val="en-US"/>
              </w:rPr>
            </w:pPr>
            <w:r w:rsidRPr="00A47F4F">
              <w:rPr>
                <w:rFonts w:eastAsia="Times New Roman" w:cstheme="minorHAnsi"/>
                <w:lang w:val="en-US"/>
              </w:rPr>
              <w:t>7</w:t>
            </w:r>
          </w:p>
        </w:tc>
        <w:tc>
          <w:tcPr>
            <w:tcW w:w="906" w:type="pct"/>
            <w:tcBorders>
              <w:top w:val="single" w:sz="6" w:space="0" w:color="000000"/>
              <w:left w:val="single" w:sz="6" w:space="0" w:color="000000"/>
              <w:bottom w:val="single" w:sz="6" w:space="0" w:color="000000"/>
              <w:right w:val="single" w:sz="6" w:space="0" w:color="000000"/>
            </w:tcBorders>
          </w:tcPr>
          <w:p w:rsidR="00530DB6" w:rsidRPr="00A47F4F" w:rsidRDefault="00530DB6" w:rsidP="003D48A2">
            <w:pPr>
              <w:spacing w:after="0" w:line="240" w:lineRule="auto"/>
              <w:jc w:val="center"/>
              <w:rPr>
                <w:rFonts w:eastAsia="Times New Roman" w:cstheme="minorHAnsi"/>
                <w:lang w:val="en-US"/>
              </w:rPr>
            </w:pPr>
            <w:r>
              <w:rPr>
                <w:rFonts w:eastAsia="Times New Roman" w:cstheme="minorHAnsi"/>
                <w:lang w:val="en-US"/>
              </w:rPr>
              <w:t>5</w:t>
            </w:r>
          </w:p>
        </w:tc>
        <w:tc>
          <w:tcPr>
            <w:tcW w:w="906" w:type="pct"/>
            <w:tcBorders>
              <w:top w:val="single" w:sz="6" w:space="0" w:color="000000"/>
              <w:left w:val="single" w:sz="6" w:space="0" w:color="000000"/>
              <w:bottom w:val="single" w:sz="6" w:space="0" w:color="000000"/>
              <w:right w:val="single" w:sz="6" w:space="0" w:color="000000"/>
            </w:tcBorders>
          </w:tcPr>
          <w:p w:rsidR="00530DB6" w:rsidRPr="00A47F4F" w:rsidDel="00D35376" w:rsidRDefault="00530DB6" w:rsidP="003D48A2">
            <w:pPr>
              <w:spacing w:after="0" w:line="240" w:lineRule="auto"/>
              <w:jc w:val="center"/>
              <w:rPr>
                <w:rFonts w:eastAsia="Times New Roman" w:cstheme="minorHAnsi"/>
                <w:lang w:val="en-US"/>
              </w:rPr>
            </w:pPr>
            <w:r w:rsidRPr="00A9197F">
              <w:t>8</w:t>
            </w:r>
          </w:p>
        </w:tc>
        <w:tc>
          <w:tcPr>
            <w:tcW w:w="905" w:type="pct"/>
            <w:tcBorders>
              <w:top w:val="single" w:sz="6" w:space="0" w:color="000000"/>
              <w:left w:val="single" w:sz="6" w:space="0" w:color="000000"/>
              <w:bottom w:val="single" w:sz="6" w:space="0" w:color="000000"/>
              <w:right w:val="single" w:sz="6" w:space="0" w:color="000000"/>
            </w:tcBorders>
          </w:tcPr>
          <w:p w:rsidR="00530DB6" w:rsidRDefault="00530DB6" w:rsidP="003D48A2">
            <w:pPr>
              <w:spacing w:after="0" w:line="240" w:lineRule="auto"/>
              <w:jc w:val="center"/>
            </w:pPr>
            <w:r w:rsidRPr="006E6B16">
              <w:rPr>
                <w:rFonts w:cstheme="minorHAnsi"/>
              </w:rPr>
              <w:t>23</w:t>
            </w:r>
          </w:p>
        </w:tc>
        <w:tc>
          <w:tcPr>
            <w:tcW w:w="905" w:type="pct"/>
            <w:tcBorders>
              <w:top w:val="single" w:sz="6" w:space="0" w:color="000000"/>
              <w:left w:val="single" w:sz="6" w:space="0" w:color="000000"/>
              <w:bottom w:val="single" w:sz="6" w:space="0" w:color="000000"/>
              <w:right w:val="single" w:sz="6" w:space="0" w:color="000000"/>
            </w:tcBorders>
          </w:tcPr>
          <w:p w:rsidR="00530DB6" w:rsidRPr="00A9197F" w:rsidRDefault="00530DB6" w:rsidP="003D48A2">
            <w:pPr>
              <w:spacing w:after="0" w:line="240" w:lineRule="auto"/>
              <w:jc w:val="center"/>
            </w:pPr>
            <w:r w:rsidRPr="006E6B16">
              <w:rPr>
                <w:rFonts w:cstheme="minorHAnsi"/>
              </w:rPr>
              <w:t>13</w:t>
            </w:r>
          </w:p>
        </w:tc>
      </w:tr>
      <w:tr w:rsidR="00530DB6" w:rsidRPr="00A47F4F" w:rsidTr="00530DB6">
        <w:trPr>
          <w:jc w:val="center"/>
        </w:trPr>
        <w:tc>
          <w:tcPr>
            <w:tcW w:w="498" w:type="pct"/>
            <w:tcBorders>
              <w:top w:val="single" w:sz="6" w:space="0" w:color="000000"/>
              <w:left w:val="single" w:sz="6" w:space="0" w:color="000000"/>
              <w:bottom w:val="single" w:sz="6" w:space="0" w:color="000000"/>
              <w:right w:val="single" w:sz="6" w:space="0" w:color="000000"/>
            </w:tcBorders>
            <w:vAlign w:val="center"/>
          </w:tcPr>
          <w:p w:rsidR="00530DB6" w:rsidRPr="00A47F4F" w:rsidRDefault="00530DB6" w:rsidP="003D48A2">
            <w:pPr>
              <w:spacing w:after="0" w:line="240" w:lineRule="auto"/>
              <w:jc w:val="center"/>
              <w:rPr>
                <w:rFonts w:eastAsia="Times New Roman" w:cstheme="minorHAnsi"/>
                <w:lang w:val="en-US"/>
              </w:rPr>
            </w:pPr>
            <w:r w:rsidRPr="00A47F4F">
              <w:rPr>
                <w:rFonts w:eastAsia="Times New Roman" w:cstheme="minorHAnsi"/>
                <w:lang w:val="en-US"/>
              </w:rPr>
              <w:t>Skin reactions</w:t>
            </w:r>
            <w:r w:rsidRPr="00A47F4F">
              <w:rPr>
                <w:rFonts w:eastAsia="Times New Roman" w:cstheme="minorHAnsi"/>
                <w:vertAlign w:val="superscript"/>
                <w:lang w:val="en-US"/>
              </w:rPr>
              <w:t>$,#</w:t>
            </w:r>
          </w:p>
        </w:tc>
        <w:tc>
          <w:tcPr>
            <w:tcW w:w="880" w:type="pct"/>
            <w:tcBorders>
              <w:top w:val="single" w:sz="6" w:space="0" w:color="000000"/>
              <w:left w:val="single" w:sz="6" w:space="0" w:color="000000"/>
              <w:bottom w:val="single" w:sz="6" w:space="0" w:color="000000"/>
              <w:right w:val="single" w:sz="6" w:space="0" w:color="000000"/>
            </w:tcBorders>
          </w:tcPr>
          <w:p w:rsidR="00530DB6" w:rsidRPr="00A47F4F" w:rsidRDefault="00530DB6" w:rsidP="003D48A2">
            <w:pPr>
              <w:spacing w:after="0" w:line="240" w:lineRule="auto"/>
              <w:jc w:val="center"/>
              <w:rPr>
                <w:rFonts w:eastAsia="Times New Roman" w:cstheme="minorHAnsi"/>
                <w:lang w:val="en-US"/>
              </w:rPr>
            </w:pPr>
            <w:r w:rsidRPr="00A47F4F">
              <w:rPr>
                <w:rFonts w:eastAsia="Times New Roman" w:cstheme="minorHAnsi"/>
                <w:lang w:val="en-US"/>
              </w:rPr>
              <w:t>7</w:t>
            </w:r>
          </w:p>
        </w:tc>
        <w:tc>
          <w:tcPr>
            <w:tcW w:w="906" w:type="pct"/>
            <w:tcBorders>
              <w:top w:val="single" w:sz="6" w:space="0" w:color="000000"/>
              <w:left w:val="single" w:sz="6" w:space="0" w:color="000000"/>
              <w:bottom w:val="single" w:sz="6" w:space="0" w:color="000000"/>
              <w:right w:val="single" w:sz="6" w:space="0" w:color="000000"/>
            </w:tcBorders>
          </w:tcPr>
          <w:p w:rsidR="00530DB6" w:rsidRPr="00A47F4F" w:rsidRDefault="00530DB6" w:rsidP="003D48A2">
            <w:pPr>
              <w:spacing w:after="0" w:line="240" w:lineRule="auto"/>
              <w:jc w:val="center"/>
              <w:rPr>
                <w:rFonts w:eastAsia="Times New Roman" w:cstheme="minorHAnsi"/>
                <w:lang w:val="en-US"/>
              </w:rPr>
            </w:pPr>
            <w:r>
              <w:rPr>
                <w:rFonts w:eastAsia="Times New Roman" w:cstheme="minorHAnsi"/>
                <w:lang w:val="en-US"/>
              </w:rPr>
              <w:t>5</w:t>
            </w:r>
          </w:p>
        </w:tc>
        <w:tc>
          <w:tcPr>
            <w:tcW w:w="906" w:type="pct"/>
            <w:tcBorders>
              <w:top w:val="single" w:sz="6" w:space="0" w:color="000000"/>
              <w:left w:val="single" w:sz="6" w:space="0" w:color="000000"/>
              <w:bottom w:val="single" w:sz="6" w:space="0" w:color="000000"/>
              <w:right w:val="single" w:sz="6" w:space="0" w:color="000000"/>
            </w:tcBorders>
          </w:tcPr>
          <w:p w:rsidR="00530DB6" w:rsidRPr="00A47F4F" w:rsidDel="00D35376" w:rsidRDefault="00530DB6" w:rsidP="003D48A2">
            <w:pPr>
              <w:spacing w:after="0" w:line="240" w:lineRule="auto"/>
              <w:jc w:val="center"/>
              <w:rPr>
                <w:rFonts w:eastAsia="Times New Roman" w:cstheme="minorHAnsi"/>
                <w:lang w:val="en-US"/>
              </w:rPr>
            </w:pPr>
            <w:r>
              <w:t>8</w:t>
            </w:r>
          </w:p>
        </w:tc>
        <w:tc>
          <w:tcPr>
            <w:tcW w:w="905" w:type="pct"/>
            <w:tcBorders>
              <w:top w:val="single" w:sz="6" w:space="0" w:color="000000"/>
              <w:left w:val="single" w:sz="6" w:space="0" w:color="000000"/>
              <w:bottom w:val="single" w:sz="6" w:space="0" w:color="000000"/>
              <w:right w:val="single" w:sz="6" w:space="0" w:color="000000"/>
            </w:tcBorders>
          </w:tcPr>
          <w:p w:rsidR="00530DB6" w:rsidRDefault="00530DB6" w:rsidP="003D48A2">
            <w:pPr>
              <w:spacing w:after="0" w:line="240" w:lineRule="auto"/>
              <w:jc w:val="center"/>
            </w:pPr>
            <w:r w:rsidRPr="006E6B16">
              <w:rPr>
                <w:rFonts w:cstheme="minorHAnsi"/>
              </w:rPr>
              <w:t>*</w:t>
            </w:r>
          </w:p>
        </w:tc>
        <w:tc>
          <w:tcPr>
            <w:tcW w:w="905" w:type="pct"/>
            <w:tcBorders>
              <w:top w:val="single" w:sz="6" w:space="0" w:color="000000"/>
              <w:left w:val="single" w:sz="6" w:space="0" w:color="000000"/>
              <w:bottom w:val="single" w:sz="6" w:space="0" w:color="000000"/>
              <w:right w:val="single" w:sz="6" w:space="0" w:color="000000"/>
            </w:tcBorders>
          </w:tcPr>
          <w:p w:rsidR="00530DB6" w:rsidRDefault="00530DB6" w:rsidP="003D48A2">
            <w:pPr>
              <w:spacing w:after="0" w:line="240" w:lineRule="auto"/>
              <w:jc w:val="center"/>
            </w:pPr>
            <w:r w:rsidRPr="006E6B16">
              <w:rPr>
                <w:rFonts w:cstheme="minorHAnsi"/>
              </w:rPr>
              <w:t>*</w:t>
            </w:r>
          </w:p>
        </w:tc>
      </w:tr>
      <w:tr w:rsidR="00530DB6" w:rsidRPr="00A47F4F" w:rsidTr="00530DB6">
        <w:trPr>
          <w:jc w:val="center"/>
        </w:trPr>
        <w:tc>
          <w:tcPr>
            <w:tcW w:w="498" w:type="pct"/>
            <w:tcBorders>
              <w:top w:val="single" w:sz="6" w:space="0" w:color="000000"/>
              <w:left w:val="single" w:sz="6" w:space="0" w:color="000000"/>
              <w:bottom w:val="single" w:sz="6" w:space="0" w:color="000000"/>
              <w:right w:val="single" w:sz="6" w:space="0" w:color="000000"/>
            </w:tcBorders>
            <w:vAlign w:val="center"/>
          </w:tcPr>
          <w:p w:rsidR="00530DB6" w:rsidRPr="00A47F4F" w:rsidRDefault="00530DB6" w:rsidP="003D48A2">
            <w:pPr>
              <w:spacing w:after="0" w:line="240" w:lineRule="auto"/>
              <w:jc w:val="center"/>
              <w:rPr>
                <w:rFonts w:eastAsia="Times New Roman" w:cstheme="minorHAnsi"/>
                <w:lang w:val="en-US"/>
              </w:rPr>
            </w:pPr>
            <w:proofErr w:type="spellStart"/>
            <w:r>
              <w:rPr>
                <w:rFonts w:eastAsia="Times New Roman" w:cstheme="minorHAnsi"/>
                <w:lang w:val="en-US"/>
              </w:rPr>
              <w:t>Anaemia</w:t>
            </w:r>
            <w:proofErr w:type="spellEnd"/>
          </w:p>
        </w:tc>
        <w:tc>
          <w:tcPr>
            <w:tcW w:w="880" w:type="pct"/>
            <w:tcBorders>
              <w:top w:val="single" w:sz="6" w:space="0" w:color="000000"/>
              <w:left w:val="single" w:sz="6" w:space="0" w:color="000000"/>
              <w:bottom w:val="single" w:sz="6" w:space="0" w:color="000000"/>
              <w:right w:val="single" w:sz="6" w:space="0" w:color="000000"/>
            </w:tcBorders>
          </w:tcPr>
          <w:p w:rsidR="00530DB6" w:rsidRPr="00A47F4F" w:rsidRDefault="00530DB6" w:rsidP="003D48A2">
            <w:pPr>
              <w:spacing w:after="0" w:line="240" w:lineRule="auto"/>
              <w:jc w:val="center"/>
              <w:rPr>
                <w:rFonts w:eastAsia="Times New Roman" w:cstheme="minorHAnsi"/>
                <w:lang w:val="en-US"/>
              </w:rPr>
            </w:pPr>
            <w:r>
              <w:rPr>
                <w:rFonts w:eastAsia="Times New Roman" w:cstheme="minorHAnsi"/>
                <w:lang w:val="en-US"/>
              </w:rPr>
              <w:t>1</w:t>
            </w:r>
          </w:p>
        </w:tc>
        <w:tc>
          <w:tcPr>
            <w:tcW w:w="906" w:type="pct"/>
            <w:tcBorders>
              <w:top w:val="single" w:sz="6" w:space="0" w:color="000000"/>
              <w:left w:val="single" w:sz="6" w:space="0" w:color="000000"/>
              <w:bottom w:val="single" w:sz="6" w:space="0" w:color="000000"/>
              <w:right w:val="single" w:sz="6" w:space="0" w:color="000000"/>
            </w:tcBorders>
          </w:tcPr>
          <w:p w:rsidR="00530DB6" w:rsidRPr="00A47F4F" w:rsidDel="00D35376" w:rsidRDefault="00530DB6" w:rsidP="003D48A2">
            <w:pPr>
              <w:spacing w:after="0" w:line="240" w:lineRule="auto"/>
              <w:jc w:val="center"/>
              <w:rPr>
                <w:rFonts w:eastAsia="Times New Roman" w:cstheme="minorHAnsi"/>
                <w:lang w:val="en-US"/>
              </w:rPr>
            </w:pPr>
            <w:r>
              <w:rPr>
                <w:rFonts w:eastAsia="Times New Roman" w:cstheme="minorHAnsi"/>
                <w:lang w:val="en-US"/>
              </w:rPr>
              <w:t>0</w:t>
            </w:r>
          </w:p>
        </w:tc>
        <w:tc>
          <w:tcPr>
            <w:tcW w:w="906" w:type="pct"/>
            <w:tcBorders>
              <w:top w:val="single" w:sz="6" w:space="0" w:color="000000"/>
              <w:left w:val="single" w:sz="6" w:space="0" w:color="000000"/>
              <w:bottom w:val="single" w:sz="6" w:space="0" w:color="000000"/>
              <w:right w:val="single" w:sz="6" w:space="0" w:color="000000"/>
            </w:tcBorders>
          </w:tcPr>
          <w:p w:rsidR="00530DB6" w:rsidRDefault="00530DB6" w:rsidP="003D48A2">
            <w:pPr>
              <w:spacing w:after="0" w:line="240" w:lineRule="auto"/>
              <w:jc w:val="center"/>
            </w:pPr>
            <w:r>
              <w:t>15</w:t>
            </w:r>
          </w:p>
        </w:tc>
        <w:tc>
          <w:tcPr>
            <w:tcW w:w="905" w:type="pct"/>
            <w:tcBorders>
              <w:top w:val="single" w:sz="6" w:space="0" w:color="000000"/>
              <w:left w:val="single" w:sz="6" w:space="0" w:color="000000"/>
              <w:bottom w:val="single" w:sz="6" w:space="0" w:color="000000"/>
              <w:right w:val="single" w:sz="6" w:space="0" w:color="000000"/>
            </w:tcBorders>
          </w:tcPr>
          <w:p w:rsidR="00530DB6" w:rsidRDefault="00530DB6" w:rsidP="003D48A2">
            <w:pPr>
              <w:spacing w:after="0" w:line="240" w:lineRule="auto"/>
              <w:jc w:val="center"/>
            </w:pPr>
            <w:r w:rsidRPr="006E6B16">
              <w:rPr>
                <w:rFonts w:cstheme="minorHAnsi"/>
              </w:rPr>
              <w:t>8</w:t>
            </w:r>
          </w:p>
        </w:tc>
        <w:tc>
          <w:tcPr>
            <w:tcW w:w="905" w:type="pct"/>
            <w:tcBorders>
              <w:top w:val="single" w:sz="6" w:space="0" w:color="000000"/>
              <w:left w:val="single" w:sz="6" w:space="0" w:color="000000"/>
              <w:bottom w:val="single" w:sz="6" w:space="0" w:color="000000"/>
              <w:right w:val="single" w:sz="6" w:space="0" w:color="000000"/>
            </w:tcBorders>
          </w:tcPr>
          <w:p w:rsidR="00530DB6" w:rsidRDefault="00530DB6" w:rsidP="003D48A2">
            <w:pPr>
              <w:spacing w:after="0" w:line="240" w:lineRule="auto"/>
              <w:jc w:val="center"/>
            </w:pPr>
            <w:r w:rsidRPr="006E6B16">
              <w:rPr>
                <w:rFonts w:cstheme="minorHAnsi"/>
              </w:rPr>
              <w:t>6</w:t>
            </w:r>
          </w:p>
        </w:tc>
      </w:tr>
      <w:tr w:rsidR="00297F96" w:rsidRPr="00A47F4F" w:rsidTr="00297F96">
        <w:trPr>
          <w:trHeight w:val="276"/>
          <w:jc w:val="center"/>
        </w:trPr>
        <w:tc>
          <w:tcPr>
            <w:tcW w:w="5000" w:type="pct"/>
            <w:gridSpan w:val="6"/>
            <w:tcBorders>
              <w:top w:val="single" w:sz="6" w:space="0" w:color="000000"/>
              <w:left w:val="single" w:sz="6" w:space="0" w:color="000000"/>
              <w:bottom w:val="single" w:sz="6" w:space="0" w:color="000000"/>
              <w:right w:val="single" w:sz="6" w:space="0" w:color="000000"/>
            </w:tcBorders>
          </w:tcPr>
          <w:p w:rsidR="00297F96" w:rsidRDefault="00297F96" w:rsidP="003D48A2">
            <w:pPr>
              <w:spacing w:after="0" w:line="240" w:lineRule="auto"/>
              <w:rPr>
                <w:rFonts w:cstheme="minorHAnsi"/>
              </w:rPr>
            </w:pPr>
            <w:r>
              <w:rPr>
                <w:rFonts w:cstheme="minorHAnsi"/>
              </w:rPr>
              <w:t>* Not calculated.</w:t>
            </w:r>
          </w:p>
          <w:p w:rsidR="00297F96" w:rsidRDefault="00297F96" w:rsidP="00996583">
            <w:pPr>
              <w:spacing w:after="0" w:line="240" w:lineRule="auto"/>
              <w:rPr>
                <w:lang w:val="en-GB"/>
              </w:rPr>
            </w:pPr>
            <w:r>
              <w:rPr>
                <w:rFonts w:cstheme="minorHAnsi"/>
              </w:rPr>
              <w:t xml:space="preserve">a. </w:t>
            </w:r>
            <w:r>
              <w:rPr>
                <w:lang w:val="en-GB"/>
              </w:rPr>
              <w:t xml:space="preserve">Administered as separate </w:t>
            </w:r>
            <w:proofErr w:type="spellStart"/>
            <w:r>
              <w:rPr>
                <w:lang w:val="en-GB"/>
              </w:rPr>
              <w:t>paritaprevir</w:t>
            </w:r>
            <w:proofErr w:type="spellEnd"/>
            <w:r>
              <w:rPr>
                <w:lang w:val="en-GB"/>
              </w:rPr>
              <w:t xml:space="preserve"> tablets, ritonavir capsules and </w:t>
            </w:r>
            <w:proofErr w:type="spellStart"/>
            <w:r>
              <w:rPr>
                <w:lang w:val="en-GB"/>
              </w:rPr>
              <w:t>o</w:t>
            </w:r>
            <w:r>
              <w:rPr>
                <w:rFonts w:eastAsia="TimesNewRoman"/>
                <w:lang w:val="en-GB"/>
              </w:rPr>
              <w:t>mbitasvir</w:t>
            </w:r>
            <w:proofErr w:type="spellEnd"/>
            <w:r>
              <w:rPr>
                <w:rFonts w:eastAsia="TimesNewRoman"/>
                <w:lang w:val="en-GB"/>
              </w:rPr>
              <w:t xml:space="preserve"> tablets.</w:t>
            </w:r>
          </w:p>
          <w:p w:rsidR="00297F96" w:rsidRPr="00996583" w:rsidRDefault="00297F96" w:rsidP="00996583">
            <w:pPr>
              <w:spacing w:after="0" w:line="240" w:lineRule="auto"/>
              <w:rPr>
                <w:rFonts w:cstheme="minorHAnsi"/>
              </w:rPr>
            </w:pPr>
            <w:r>
              <w:rPr>
                <w:lang w:val="en-GB"/>
              </w:rPr>
              <w:t>b. Administered as co</w:t>
            </w:r>
            <w:r w:rsidR="00DF690A">
              <w:rPr>
                <w:lang w:val="en-GB"/>
              </w:rPr>
              <w:t>-</w:t>
            </w:r>
            <w:r>
              <w:rPr>
                <w:lang w:val="en-GB"/>
              </w:rPr>
              <w:t xml:space="preserve">formulated tablets. </w:t>
            </w:r>
          </w:p>
          <w:p w:rsidR="00297F96" w:rsidRPr="00996583" w:rsidRDefault="00297F96" w:rsidP="003D48A2">
            <w:pPr>
              <w:spacing w:after="0" w:line="240" w:lineRule="auto"/>
              <w:rPr>
                <w:rFonts w:eastAsia="Times New Roman" w:cstheme="minorHAnsi"/>
                <w:color w:val="000000"/>
              </w:rPr>
            </w:pPr>
            <w:r>
              <w:rPr>
                <w:rFonts w:eastAsia="Times New Roman" w:cstheme="minorHAnsi"/>
                <w:color w:val="000000"/>
              </w:rPr>
              <w:t>c. Grouped term ‘pruritus’ includes the preferred terms pruritus and pruritus generalized.</w:t>
            </w:r>
          </w:p>
          <w:p w:rsidR="00297F96" w:rsidRPr="00A47F4F" w:rsidRDefault="00297F96" w:rsidP="003D48A2">
            <w:pPr>
              <w:autoSpaceDE w:val="0"/>
              <w:autoSpaceDN w:val="0"/>
              <w:adjustRightInd w:val="0"/>
              <w:spacing w:after="0" w:line="240" w:lineRule="auto"/>
              <w:rPr>
                <w:rFonts w:eastAsia="Times New Roman" w:cstheme="minorHAnsi"/>
                <w:lang w:val="en-US"/>
              </w:rPr>
            </w:pPr>
            <w:r w:rsidRPr="00996583">
              <w:rPr>
                <w:rFonts w:eastAsia="Times New Roman" w:cstheme="minorHAnsi"/>
                <w:color w:val="000000"/>
                <w:lang w:val="en-US"/>
              </w:rPr>
              <w:t xml:space="preserve">d. </w:t>
            </w:r>
            <w:r w:rsidRPr="00A47F4F">
              <w:rPr>
                <w:rFonts w:eastAsia="Times New Roman" w:cstheme="minorHAnsi"/>
                <w:color w:val="000000"/>
                <w:lang w:val="en-US"/>
              </w:rPr>
              <w:t>Grouped term ‘skin reactions’ includes the preferred terms</w:t>
            </w:r>
            <w:r w:rsidRPr="00A47F4F">
              <w:rPr>
                <w:rFonts w:eastAsia="Times New Roman" w:cstheme="minorHAnsi"/>
                <w:lang w:val="en-US"/>
              </w:rPr>
              <w:t xml:space="preserve"> rash, erythema, eczema, rash </w:t>
            </w:r>
            <w:proofErr w:type="spellStart"/>
            <w:r w:rsidRPr="00A47F4F">
              <w:rPr>
                <w:rFonts w:eastAsia="Times New Roman" w:cstheme="minorHAnsi"/>
                <w:lang w:val="en-US"/>
              </w:rPr>
              <w:t>maculo-papular</w:t>
            </w:r>
            <w:proofErr w:type="spellEnd"/>
            <w:r w:rsidRPr="00A47F4F">
              <w:rPr>
                <w:rFonts w:eastAsia="Times New Roman" w:cstheme="minorHAnsi"/>
                <w:lang w:val="en-US"/>
              </w:rPr>
              <w:t xml:space="preserve">, rash macular, dermatitis, rash </w:t>
            </w:r>
            <w:proofErr w:type="spellStart"/>
            <w:r w:rsidRPr="00A47F4F">
              <w:rPr>
                <w:rFonts w:eastAsia="Times New Roman" w:cstheme="minorHAnsi"/>
                <w:lang w:val="en-US"/>
              </w:rPr>
              <w:t>papular</w:t>
            </w:r>
            <w:proofErr w:type="spellEnd"/>
            <w:r w:rsidRPr="00A47F4F">
              <w:rPr>
                <w:rFonts w:eastAsia="Times New Roman" w:cstheme="minorHAnsi"/>
                <w:lang w:val="en-US"/>
              </w:rPr>
              <w:t xml:space="preserve">, skin exfoliation, rash pruritic, rash erythematous, rash generalized, dermatitis allergic, dermatitis contact, exfoliative rash, photosensitivity reaction, psoriasis, skin reaction, ulcer and </w:t>
            </w:r>
            <w:proofErr w:type="spellStart"/>
            <w:r w:rsidRPr="00A47F4F">
              <w:rPr>
                <w:rFonts w:eastAsia="Times New Roman" w:cstheme="minorHAnsi"/>
                <w:lang w:val="en-US"/>
              </w:rPr>
              <w:t>urticaria</w:t>
            </w:r>
            <w:proofErr w:type="spellEnd"/>
            <w:r w:rsidRPr="00A47F4F">
              <w:rPr>
                <w:rFonts w:eastAsia="Times New Roman" w:cstheme="minorHAnsi"/>
                <w:lang w:val="en-US"/>
              </w:rPr>
              <w:t>.</w:t>
            </w:r>
          </w:p>
          <w:p w:rsidR="00297F96" w:rsidRPr="00A47F4F" w:rsidRDefault="00297F96" w:rsidP="003D48A2">
            <w:pPr>
              <w:autoSpaceDE w:val="0"/>
              <w:autoSpaceDN w:val="0"/>
              <w:adjustRightInd w:val="0"/>
              <w:spacing w:after="0" w:line="240" w:lineRule="auto"/>
              <w:rPr>
                <w:rFonts w:eastAsia="Times New Roman" w:cstheme="minorHAnsi"/>
                <w:lang w:val="en-US"/>
              </w:rPr>
            </w:pPr>
            <w:r w:rsidRPr="00996583">
              <w:rPr>
                <w:rFonts w:eastAsia="Times New Roman" w:cstheme="minorHAnsi"/>
                <w:lang w:val="en-US"/>
              </w:rPr>
              <w:t xml:space="preserve">e. </w:t>
            </w:r>
            <w:r w:rsidRPr="00A47F4F">
              <w:rPr>
                <w:rFonts w:eastAsia="Times New Roman" w:cstheme="minorHAnsi"/>
                <w:lang w:val="en-US"/>
              </w:rPr>
              <w:t xml:space="preserve">The majority of events were graded as mild in severity. There were no serious events or severe cutaneous reactions, such as Stevens Johnson Syndrome (SJS), toxic epidermal necrolysis (TEN), erythema </w:t>
            </w:r>
            <w:proofErr w:type="spellStart"/>
            <w:r w:rsidRPr="00A47F4F">
              <w:rPr>
                <w:rFonts w:eastAsia="Times New Roman" w:cstheme="minorHAnsi"/>
                <w:lang w:val="en-US"/>
              </w:rPr>
              <w:t>multiforme</w:t>
            </w:r>
            <w:proofErr w:type="spellEnd"/>
            <w:r w:rsidRPr="00A47F4F">
              <w:rPr>
                <w:rFonts w:eastAsia="Times New Roman" w:cstheme="minorHAnsi"/>
                <w:lang w:val="en-US"/>
              </w:rPr>
              <w:t xml:space="preserve"> (EM) or drug rash with eosinophilia and systemic symptoms (DRESS).</w:t>
            </w:r>
          </w:p>
          <w:p w:rsidR="00297F96" w:rsidRPr="00A47F4F" w:rsidRDefault="00297F96" w:rsidP="003D48A2">
            <w:pPr>
              <w:spacing w:after="0" w:line="240" w:lineRule="auto"/>
              <w:rPr>
                <w:rFonts w:eastAsia="Times New Roman" w:cstheme="minorHAnsi"/>
                <w:color w:val="000000"/>
                <w:lang w:val="en-US"/>
              </w:rPr>
            </w:pPr>
          </w:p>
        </w:tc>
      </w:tr>
    </w:tbl>
    <w:p w:rsidR="003D48A2" w:rsidRPr="00A47F4F" w:rsidRDefault="003D48A2">
      <w:pPr>
        <w:spacing w:before="120" w:after="0" w:line="240" w:lineRule="auto"/>
        <w:jc w:val="center"/>
        <w:rPr>
          <w:rFonts w:eastAsia="Times New Roman" w:cstheme="minorHAnsi"/>
          <w:b/>
          <w:bCs/>
          <w:lang w:val="en-US"/>
        </w:rPr>
      </w:pPr>
    </w:p>
    <w:p w:rsidR="00085F33" w:rsidRPr="00A47F4F" w:rsidRDefault="0011309F">
      <w:pPr>
        <w:pStyle w:val="Heading2Unnumbered"/>
        <w:rPr>
          <w:b w:val="0"/>
          <w:sz w:val="22"/>
          <w:szCs w:val="22"/>
          <w:lang w:val="en-AU"/>
        </w:rPr>
      </w:pPr>
      <w:r w:rsidRPr="00A47F4F">
        <w:rPr>
          <w:rFonts w:asciiTheme="minorHAnsi" w:eastAsia="Times New Roman" w:hAnsiTheme="minorHAnsi" w:cstheme="minorHAnsi"/>
          <w:sz w:val="22"/>
          <w:szCs w:val="22"/>
        </w:rPr>
        <w:t> </w:t>
      </w:r>
      <w:bookmarkStart w:id="51" w:name="p95029291393274642"/>
      <w:bookmarkStart w:id="52" w:name="p952114291393274658"/>
      <w:bookmarkStart w:id="53" w:name="p43966291393274759"/>
      <w:bookmarkStart w:id="54" w:name="p3255014291395751462"/>
      <w:bookmarkStart w:id="55" w:name="p43894291393274815"/>
      <w:bookmarkStart w:id="56" w:name="p46093291393274699"/>
      <w:bookmarkStart w:id="57" w:name="p358530291395761018"/>
      <w:bookmarkStart w:id="58" w:name="p358544291395761055"/>
      <w:bookmarkStart w:id="59" w:name="l502248291396470358"/>
      <w:bookmarkStart w:id="60" w:name="p1178010291393357834"/>
      <w:bookmarkStart w:id="61" w:name="_Toc383787413"/>
      <w:bookmarkEnd w:id="51"/>
      <w:bookmarkEnd w:id="52"/>
      <w:bookmarkEnd w:id="53"/>
      <w:bookmarkEnd w:id="54"/>
      <w:bookmarkEnd w:id="55"/>
      <w:bookmarkEnd w:id="56"/>
      <w:bookmarkEnd w:id="57"/>
      <w:bookmarkEnd w:id="58"/>
      <w:bookmarkEnd w:id="59"/>
      <w:bookmarkEnd w:id="60"/>
      <w:r w:rsidRPr="00A47F4F">
        <w:rPr>
          <w:sz w:val="22"/>
          <w:szCs w:val="22"/>
          <w:lang w:val="en-AU"/>
        </w:rPr>
        <w:t>Post-Marketing Adverse Reactions</w:t>
      </w:r>
    </w:p>
    <w:p w:rsidR="00D644A3" w:rsidRDefault="00D644A3" w:rsidP="00D644A3">
      <w:pPr>
        <w:autoSpaceDE w:val="0"/>
        <w:autoSpaceDN w:val="0"/>
        <w:adjustRightInd w:val="0"/>
        <w:spacing w:line="240" w:lineRule="auto"/>
        <w:rPr>
          <w:rFonts w:cstheme="minorHAnsi"/>
          <w:lang w:val="en-NZ"/>
        </w:rPr>
      </w:pPr>
      <w:r w:rsidRPr="004069BA">
        <w:rPr>
          <w:rFonts w:cstheme="minorHAnsi"/>
          <w:lang w:val="en-NZ"/>
        </w:rPr>
        <w:t xml:space="preserve">The following adverse reactions have been identified during post approval use of </w:t>
      </w:r>
      <w:proofErr w:type="spellStart"/>
      <w:r w:rsidRPr="004069BA">
        <w:rPr>
          <w:rFonts w:cstheme="minorHAnsi"/>
          <w:lang w:val="en-NZ"/>
        </w:rPr>
        <w:t>paritaprevir</w:t>
      </w:r>
      <w:proofErr w:type="spellEnd"/>
      <w:r w:rsidRPr="004069BA">
        <w:rPr>
          <w:rFonts w:cstheme="minorHAnsi"/>
          <w:lang w:val="en-NZ"/>
        </w:rPr>
        <w:t>/ritonavir/</w:t>
      </w:r>
      <w:proofErr w:type="spellStart"/>
      <w:r w:rsidRPr="004069BA">
        <w:rPr>
          <w:rFonts w:cstheme="minorHAnsi"/>
          <w:lang w:val="en-NZ"/>
        </w:rPr>
        <w:t>ombitasvir</w:t>
      </w:r>
      <w:proofErr w:type="spellEnd"/>
      <w:r w:rsidRPr="004069BA">
        <w:rPr>
          <w:rFonts w:cstheme="minorHAnsi"/>
          <w:lang w:val="en-NZ"/>
        </w:rPr>
        <w:t xml:space="preserve"> with and without </w:t>
      </w:r>
      <w:proofErr w:type="spellStart"/>
      <w:r w:rsidRPr="004069BA">
        <w:rPr>
          <w:rFonts w:cstheme="minorHAnsi"/>
          <w:lang w:val="en-NZ"/>
        </w:rPr>
        <w:t>dasabuvir</w:t>
      </w:r>
      <w:proofErr w:type="spellEnd"/>
      <w:r w:rsidRPr="004069BA">
        <w:rPr>
          <w:rFonts w:cstheme="minorHAnsi"/>
          <w:lang w:val="en-NZ"/>
        </w:rPr>
        <w:t xml:space="preserve">. </w:t>
      </w:r>
      <w:r w:rsidR="002A1D90">
        <w:rPr>
          <w:rFonts w:cstheme="minorHAnsi"/>
          <w:lang w:val="en-NZ"/>
        </w:rPr>
        <w:t xml:space="preserve"> </w:t>
      </w:r>
      <w:r w:rsidRPr="004069BA">
        <w:rPr>
          <w:rFonts w:cstheme="minorHAnsi"/>
          <w:lang w:val="en-NZ"/>
        </w:rPr>
        <w:t>Because these reactions are reported voluntarily from a population of uncertain size, it is not always possible to reliably estimate their frequency or establish a causal relationship to drug exposure</w:t>
      </w:r>
      <w:r>
        <w:rPr>
          <w:rFonts w:cstheme="minorHAnsi"/>
          <w:lang w:val="en-NZ"/>
        </w:rPr>
        <w:t>.</w:t>
      </w:r>
    </w:p>
    <w:p w:rsidR="00085F33" w:rsidRDefault="00D644A3" w:rsidP="00D644A3">
      <w:pPr>
        <w:autoSpaceDE w:val="0"/>
        <w:autoSpaceDN w:val="0"/>
        <w:adjustRightInd w:val="0"/>
        <w:spacing w:line="240" w:lineRule="auto"/>
        <w:rPr>
          <w:rFonts w:eastAsia="TimesNewRoman" w:cstheme="minorHAnsi"/>
        </w:rPr>
      </w:pPr>
      <w:r>
        <w:rPr>
          <w:rFonts w:eastAsia="TimesNewRoman" w:cstheme="minorHAnsi"/>
          <w:u w:val="single"/>
        </w:rPr>
        <w:t xml:space="preserve">Immune System Disorders: </w:t>
      </w:r>
      <w:r w:rsidR="0011309F" w:rsidRPr="00A47F4F">
        <w:rPr>
          <w:rFonts w:eastAsia="TimesNewRoman" w:cstheme="minorHAnsi"/>
        </w:rPr>
        <w:t>Hypersensitivity reactions (including tongue and lip swelling) have been observed (see CONTRAINDICATIONS).</w:t>
      </w:r>
    </w:p>
    <w:p w:rsidR="00085F33" w:rsidRPr="00A47F4F" w:rsidRDefault="00D644A3" w:rsidP="00D644A3">
      <w:pPr>
        <w:autoSpaceDE w:val="0"/>
        <w:autoSpaceDN w:val="0"/>
        <w:adjustRightInd w:val="0"/>
        <w:spacing w:line="240" w:lineRule="auto"/>
        <w:rPr>
          <w:rFonts w:cstheme="minorHAnsi"/>
        </w:rPr>
      </w:pPr>
      <w:r w:rsidRPr="004069BA">
        <w:rPr>
          <w:rFonts w:cstheme="minorHAnsi"/>
          <w:u w:val="single"/>
          <w:lang w:val="en-NZ"/>
        </w:rPr>
        <w:t>Hepatobiliary Disorders</w:t>
      </w:r>
      <w:r w:rsidRPr="004069BA">
        <w:rPr>
          <w:rFonts w:cstheme="minorHAnsi"/>
          <w:lang w:val="en-NZ"/>
        </w:rPr>
        <w:t xml:space="preserve">: Hepatic decompensation and hepatic failure have been observed (see </w:t>
      </w:r>
      <w:r w:rsidRPr="004069BA">
        <w:rPr>
          <w:rFonts w:cstheme="minorHAnsi"/>
          <w:bCs/>
          <w:lang w:val="en-NZ"/>
        </w:rPr>
        <w:t>PRECAUTIONS</w:t>
      </w:r>
      <w:r w:rsidRPr="004069BA">
        <w:rPr>
          <w:rFonts w:cstheme="minorHAnsi"/>
          <w:lang w:val="en-NZ"/>
        </w:rPr>
        <w:t>)</w:t>
      </w:r>
      <w:r>
        <w:rPr>
          <w:rFonts w:cstheme="minorHAnsi"/>
          <w:lang w:val="en-NZ"/>
        </w:rPr>
        <w:t>.</w:t>
      </w:r>
    </w:p>
    <w:p w:rsidR="00085F33" w:rsidRPr="00A47F4F" w:rsidRDefault="0011309F">
      <w:pPr>
        <w:pStyle w:val="Heading1"/>
        <w:rPr>
          <w:sz w:val="22"/>
          <w:szCs w:val="22"/>
        </w:rPr>
      </w:pPr>
      <w:r w:rsidRPr="00A47F4F">
        <w:rPr>
          <w:sz w:val="22"/>
          <w:szCs w:val="22"/>
        </w:rPr>
        <w:lastRenderedPageBreak/>
        <w:t>Dosage and Administration</w:t>
      </w:r>
      <w:bookmarkEnd w:id="61"/>
    </w:p>
    <w:p w:rsidR="00085F33" w:rsidRPr="00A47F4F" w:rsidRDefault="0011309F">
      <w:pPr>
        <w:pStyle w:val="Heading2Unnumbered"/>
        <w:rPr>
          <w:b w:val="0"/>
          <w:sz w:val="22"/>
          <w:szCs w:val="22"/>
          <w:lang w:val="en-AU"/>
        </w:rPr>
      </w:pPr>
      <w:r w:rsidRPr="00A47F4F">
        <w:rPr>
          <w:sz w:val="22"/>
          <w:szCs w:val="22"/>
          <w:lang w:val="en-AU"/>
        </w:rPr>
        <w:t>Recommended Dose in Adults</w:t>
      </w:r>
    </w:p>
    <w:p w:rsidR="00085F33" w:rsidRPr="00A47F4F" w:rsidRDefault="0011309F">
      <w:pPr>
        <w:spacing w:line="240" w:lineRule="auto"/>
        <w:rPr>
          <w:rFonts w:eastAsia="TimesNewRoman" w:cs="Arial"/>
          <w:lang w:eastAsia="ja-JP"/>
        </w:rPr>
      </w:pPr>
      <w:r w:rsidRPr="00A47F4F">
        <w:rPr>
          <w:rFonts w:eastAsia="TimesNewRoman" w:cs="Arial"/>
          <w:lang w:eastAsia="ja-JP"/>
        </w:rPr>
        <w:t xml:space="preserve">The recommended oral dose of TECHNIVIE is two </w:t>
      </w:r>
      <w:proofErr w:type="spellStart"/>
      <w:r w:rsidRPr="00A47F4F">
        <w:rPr>
          <w:rFonts w:eastAsia="TimesNewRoman" w:cs="Arial"/>
          <w:lang w:eastAsia="ja-JP"/>
        </w:rPr>
        <w:t>paritaprevir</w:t>
      </w:r>
      <w:proofErr w:type="spellEnd"/>
      <w:r w:rsidRPr="00A47F4F">
        <w:rPr>
          <w:rFonts w:eastAsia="TimesNewRoman" w:cs="Arial"/>
          <w:lang w:eastAsia="ja-JP"/>
        </w:rPr>
        <w:t>/ritonavir/</w:t>
      </w:r>
      <w:proofErr w:type="spellStart"/>
      <w:r w:rsidRPr="00A47F4F">
        <w:rPr>
          <w:rFonts w:eastAsia="TimesNewRoman" w:cs="Arial"/>
          <w:lang w:eastAsia="ja-JP"/>
        </w:rPr>
        <w:t>ombitasvir</w:t>
      </w:r>
      <w:proofErr w:type="spellEnd"/>
      <w:r w:rsidRPr="00A47F4F">
        <w:rPr>
          <w:rFonts w:eastAsia="TimesNewRoman" w:cs="Arial"/>
          <w:lang w:eastAsia="ja-JP"/>
        </w:rPr>
        <w:t xml:space="preserve"> 75/50/12.5 mg tablets once daily (in the morning) with a meal without regard to fat or calorie content</w:t>
      </w:r>
      <w:r w:rsidRPr="00A47F4F">
        <w:rPr>
          <w:rFonts w:eastAsia="TimesNewRoman" w:cs="Arial"/>
          <w:i/>
          <w:lang w:eastAsia="ja-JP"/>
        </w:rPr>
        <w:t xml:space="preserve"> (see PHARMACOLOGY)</w:t>
      </w:r>
    </w:p>
    <w:p w:rsidR="00085F33" w:rsidRPr="00A47F4F" w:rsidRDefault="0011309F">
      <w:pPr>
        <w:spacing w:line="240" w:lineRule="auto"/>
        <w:jc w:val="both"/>
        <w:rPr>
          <w:rFonts w:eastAsia="TimesNewRoman" w:cs="Arial"/>
          <w:lang w:eastAsia="ja-JP"/>
        </w:rPr>
      </w:pPr>
      <w:r w:rsidRPr="00A47F4F">
        <w:rPr>
          <w:rFonts w:eastAsia="TimesNewRoman"/>
          <w:lang w:eastAsia="ja-JP"/>
        </w:rPr>
        <w:t>Patients should be instructed to swallow the tablets whole (i.e. patients should not chew, break or dissolve the tablets).</w:t>
      </w:r>
    </w:p>
    <w:p w:rsidR="00085F33" w:rsidRPr="00A47F4F" w:rsidRDefault="0011309F">
      <w:pPr>
        <w:spacing w:line="240" w:lineRule="auto"/>
        <w:jc w:val="both"/>
        <w:rPr>
          <w:rFonts w:cs="Arial"/>
          <w:lang w:val="en-US"/>
        </w:rPr>
      </w:pPr>
      <w:r w:rsidRPr="00A47F4F">
        <w:rPr>
          <w:rFonts w:cs="Arial"/>
          <w:lang w:val="en-US"/>
        </w:rPr>
        <w:t xml:space="preserve">TECHNIVIE is used in combination with ribavirin. </w:t>
      </w:r>
      <w:r w:rsidR="009B60A4">
        <w:rPr>
          <w:rFonts w:cs="Arial"/>
          <w:lang w:val="en-US"/>
        </w:rPr>
        <w:t xml:space="preserve"> </w:t>
      </w:r>
      <w:r w:rsidRPr="00A47F4F">
        <w:rPr>
          <w:rFonts w:cs="Arial"/>
          <w:lang w:val="en-US"/>
        </w:rPr>
        <w:t xml:space="preserve">When administered with TECHNIVIE, the recommended dosage of RBV is based on weight: 1000 mg per day for subjects less than 75 kg and 1200 mg per day for those weighing at least 75 kg, divided and administered twice-daily with food. </w:t>
      </w:r>
      <w:r w:rsidR="009B60A4">
        <w:rPr>
          <w:rFonts w:cs="Arial"/>
          <w:lang w:val="en-US"/>
        </w:rPr>
        <w:t xml:space="preserve"> </w:t>
      </w:r>
      <w:r w:rsidRPr="00A47F4F">
        <w:rPr>
          <w:rFonts w:cs="Arial"/>
          <w:lang w:val="en-US"/>
        </w:rPr>
        <w:t xml:space="preserve">For ribavirin dosage modifications, refer to the ribavirin prescribing information. </w:t>
      </w:r>
    </w:p>
    <w:p w:rsidR="00085F33" w:rsidRPr="00A47F4F" w:rsidRDefault="0011309F">
      <w:pPr>
        <w:spacing w:line="240" w:lineRule="auto"/>
        <w:jc w:val="both"/>
        <w:rPr>
          <w:rFonts w:cs="Arial"/>
        </w:rPr>
      </w:pPr>
      <w:bookmarkStart w:id="62" w:name="p2113291422983018"/>
      <w:bookmarkEnd w:id="62"/>
      <w:r w:rsidRPr="00A47F4F">
        <w:rPr>
          <w:rFonts w:cs="Arial"/>
        </w:rPr>
        <w:t xml:space="preserve">Table </w:t>
      </w:r>
      <w:r w:rsidR="0081426E">
        <w:rPr>
          <w:rFonts w:cs="Arial"/>
        </w:rPr>
        <w:t>7</w:t>
      </w:r>
      <w:r w:rsidR="002A1D90">
        <w:rPr>
          <w:rFonts w:cs="Arial"/>
        </w:rPr>
        <w:t xml:space="preserve"> </w:t>
      </w:r>
      <w:r w:rsidRPr="00A47F4F">
        <w:rPr>
          <w:rFonts w:cs="Arial"/>
        </w:rPr>
        <w:t>shows the recommended TECHNIVIE treatment regimen and duration for HCV genotype 4 patients.</w:t>
      </w:r>
    </w:p>
    <w:p w:rsidR="00085F33" w:rsidRPr="00A47F4F" w:rsidRDefault="0011309F">
      <w:pPr>
        <w:spacing w:line="240" w:lineRule="auto"/>
        <w:jc w:val="both"/>
        <w:rPr>
          <w:rFonts w:cs="Arial"/>
          <w:b/>
          <w:bCs/>
          <w:lang w:val="en-US"/>
        </w:rPr>
      </w:pPr>
      <w:proofErr w:type="gramStart"/>
      <w:r w:rsidRPr="00A47F4F">
        <w:rPr>
          <w:rFonts w:cs="Arial"/>
          <w:b/>
          <w:bCs/>
          <w:lang w:val="en-US"/>
        </w:rPr>
        <w:t xml:space="preserve">Table </w:t>
      </w:r>
      <w:r w:rsidR="0081426E">
        <w:rPr>
          <w:rFonts w:cs="Arial"/>
          <w:b/>
          <w:bCs/>
          <w:lang w:val="en-US"/>
        </w:rPr>
        <w:t>7</w:t>
      </w:r>
      <w:r w:rsidRPr="00A47F4F">
        <w:rPr>
          <w:rFonts w:cs="Arial"/>
          <w:b/>
          <w:bCs/>
          <w:lang w:val="en-US"/>
        </w:rPr>
        <w:t>.</w:t>
      </w:r>
      <w:proofErr w:type="gramEnd"/>
      <w:r w:rsidRPr="00A47F4F">
        <w:rPr>
          <w:rFonts w:cs="Arial"/>
          <w:b/>
          <w:bCs/>
          <w:lang w:val="en-US"/>
        </w:rPr>
        <w:t xml:space="preserve"> Treatment Regimen and Duration for Patients with HCV Genotype 4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4"/>
        <w:gridCol w:w="2836"/>
        <w:gridCol w:w="1426"/>
      </w:tblGrid>
      <w:tr w:rsidR="00F4008B" w:rsidRPr="00A47F4F">
        <w:tc>
          <w:tcPr>
            <w:tcW w:w="0" w:type="auto"/>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line="240" w:lineRule="auto"/>
              <w:jc w:val="both"/>
              <w:rPr>
                <w:rFonts w:cs="Arial"/>
              </w:rPr>
            </w:pPr>
            <w:r w:rsidRPr="00A47F4F">
              <w:rPr>
                <w:rFonts w:cs="Arial"/>
                <w:b/>
              </w:rPr>
              <w:t>Patient Population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line="240" w:lineRule="auto"/>
              <w:jc w:val="both"/>
              <w:rPr>
                <w:rFonts w:cs="Arial"/>
              </w:rPr>
            </w:pPr>
            <w:r w:rsidRPr="00A47F4F">
              <w:rPr>
                <w:rFonts w:cs="Arial"/>
                <w:b/>
              </w:rPr>
              <w:t>Treatment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line="240" w:lineRule="auto"/>
              <w:jc w:val="both"/>
              <w:rPr>
                <w:rFonts w:cs="Arial"/>
              </w:rPr>
            </w:pPr>
            <w:r w:rsidRPr="00A47F4F">
              <w:rPr>
                <w:rFonts w:cs="Arial"/>
                <w:b/>
              </w:rPr>
              <w:t>Duration</w:t>
            </w:r>
          </w:p>
        </w:tc>
      </w:tr>
      <w:tr w:rsidR="00F4008B" w:rsidRPr="00A47F4F">
        <w:tc>
          <w:tcPr>
            <w:tcW w:w="0" w:type="auto"/>
            <w:tcBorders>
              <w:top w:val="single" w:sz="6" w:space="0" w:color="000000"/>
              <w:left w:val="single" w:sz="6" w:space="0" w:color="000000"/>
              <w:bottom w:val="single" w:sz="6" w:space="0" w:color="000000"/>
              <w:right w:val="single" w:sz="6" w:space="0" w:color="000000"/>
            </w:tcBorders>
            <w:vAlign w:val="center"/>
            <w:hideMark/>
          </w:tcPr>
          <w:p w:rsidR="00F4008B" w:rsidRPr="00F4008B" w:rsidRDefault="0011309F" w:rsidP="002C3A44">
            <w:pPr>
              <w:spacing w:line="240" w:lineRule="auto"/>
              <w:rPr>
                <w:rFonts w:cs="Arial"/>
                <w:b/>
              </w:rPr>
            </w:pPr>
            <w:r w:rsidRPr="00A47F4F">
              <w:rPr>
                <w:rFonts w:cs="Arial"/>
                <w:b/>
              </w:rPr>
              <w:t xml:space="preserve">Genotype 4 </w:t>
            </w:r>
            <w:r w:rsidR="00F4008B">
              <w:rPr>
                <w:rFonts w:cs="Arial"/>
                <w:b/>
              </w:rPr>
              <w:t xml:space="preserve"> with</w:t>
            </w:r>
            <w:r w:rsidR="00D406FD">
              <w:rPr>
                <w:rFonts w:cs="Arial"/>
                <w:b/>
              </w:rPr>
              <w:t>out</w:t>
            </w:r>
            <w:r w:rsidR="00F4008B">
              <w:rPr>
                <w:rFonts w:cs="Arial"/>
                <w:b/>
              </w:rPr>
              <w:t xml:space="preserve"> cirrhosis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line="240" w:lineRule="auto"/>
              <w:jc w:val="both"/>
              <w:rPr>
                <w:rFonts w:cs="Arial"/>
              </w:rPr>
            </w:pPr>
            <w:r w:rsidRPr="00A47F4F">
              <w:rPr>
                <w:rFonts w:cs="Arial"/>
              </w:rPr>
              <w:t>TECHNIVIE + ribavirin*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line="240" w:lineRule="auto"/>
              <w:jc w:val="both"/>
              <w:rPr>
                <w:rFonts w:cs="Arial"/>
              </w:rPr>
            </w:pPr>
            <w:r w:rsidRPr="00A47F4F">
              <w:rPr>
                <w:rFonts w:cs="Arial"/>
              </w:rPr>
              <w:t>12 weeks</w:t>
            </w:r>
          </w:p>
        </w:tc>
      </w:tr>
      <w:tr w:rsidR="009B60A4" w:rsidRPr="00A47F4F" w:rsidTr="00D42372">
        <w:tc>
          <w:tcPr>
            <w:tcW w:w="0" w:type="auto"/>
            <w:tcBorders>
              <w:top w:val="single" w:sz="6" w:space="0" w:color="000000"/>
              <w:left w:val="single" w:sz="6" w:space="0" w:color="000000"/>
              <w:bottom w:val="single" w:sz="6" w:space="0" w:color="000000"/>
              <w:right w:val="single" w:sz="6" w:space="0" w:color="000000"/>
            </w:tcBorders>
            <w:vAlign w:val="center"/>
          </w:tcPr>
          <w:p w:rsidR="009B60A4" w:rsidRPr="00A47F4F" w:rsidRDefault="009B60A4" w:rsidP="00F4008B">
            <w:pPr>
              <w:spacing w:line="240" w:lineRule="auto"/>
              <w:rPr>
                <w:rFonts w:cs="Arial"/>
                <w:b/>
              </w:rPr>
            </w:pPr>
            <w:r w:rsidRPr="009B60A4">
              <w:rPr>
                <w:rFonts w:cs="Arial"/>
                <w:b/>
              </w:rPr>
              <w:t>Genotype 4</w:t>
            </w:r>
            <w:r>
              <w:rPr>
                <w:rFonts w:cs="Arial"/>
                <w:b/>
              </w:rPr>
              <w:t xml:space="preserve"> with compensated cirrhosis</w:t>
            </w:r>
          </w:p>
        </w:tc>
        <w:tc>
          <w:tcPr>
            <w:tcW w:w="0" w:type="auto"/>
            <w:tcBorders>
              <w:top w:val="single" w:sz="6" w:space="0" w:color="000000"/>
              <w:left w:val="single" w:sz="6" w:space="0" w:color="000000"/>
              <w:bottom w:val="single" w:sz="6" w:space="0" w:color="000000"/>
              <w:right w:val="single" w:sz="6" w:space="0" w:color="000000"/>
            </w:tcBorders>
          </w:tcPr>
          <w:p w:rsidR="009B60A4" w:rsidRPr="00A47F4F" w:rsidRDefault="009B60A4" w:rsidP="009B60A4">
            <w:pPr>
              <w:spacing w:line="240" w:lineRule="auto"/>
              <w:jc w:val="both"/>
              <w:rPr>
                <w:rFonts w:cs="Arial"/>
              </w:rPr>
            </w:pPr>
            <w:r w:rsidRPr="00A70F41">
              <w:t>TECHNIVIE + ribavirin</w:t>
            </w:r>
          </w:p>
        </w:tc>
        <w:tc>
          <w:tcPr>
            <w:tcW w:w="0" w:type="auto"/>
            <w:tcBorders>
              <w:top w:val="single" w:sz="6" w:space="0" w:color="000000"/>
              <w:left w:val="single" w:sz="6" w:space="0" w:color="000000"/>
              <w:bottom w:val="single" w:sz="6" w:space="0" w:color="000000"/>
              <w:right w:val="single" w:sz="6" w:space="0" w:color="000000"/>
            </w:tcBorders>
          </w:tcPr>
          <w:p w:rsidR="009B60A4" w:rsidRPr="00A47F4F" w:rsidRDefault="009B60A4">
            <w:pPr>
              <w:spacing w:line="240" w:lineRule="auto"/>
              <w:jc w:val="both"/>
              <w:rPr>
                <w:rFonts w:cs="Arial"/>
              </w:rPr>
            </w:pPr>
            <w:r w:rsidRPr="00A70F41">
              <w:t>12 weeks</w:t>
            </w:r>
          </w:p>
        </w:tc>
      </w:tr>
      <w:tr w:rsidR="00085F33" w:rsidRPr="00A47F4F">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085F33" w:rsidRPr="00A47F4F" w:rsidRDefault="0011309F">
            <w:pPr>
              <w:spacing w:line="240" w:lineRule="auto"/>
              <w:jc w:val="both"/>
              <w:rPr>
                <w:rFonts w:cs="Arial"/>
              </w:rPr>
            </w:pPr>
            <w:r w:rsidRPr="00A47F4F">
              <w:rPr>
                <w:rFonts w:cs="Arial"/>
              </w:rPr>
              <w:t>*TECHNIVIE administered without RBV for 12 weeks may be considered for treatment-naïve patients</w:t>
            </w:r>
            <w:r w:rsidR="00F4008B">
              <w:rPr>
                <w:rFonts w:cs="Arial"/>
              </w:rPr>
              <w:t xml:space="preserve"> without cirrhosis</w:t>
            </w:r>
            <w:r w:rsidRPr="00A47F4F">
              <w:rPr>
                <w:rFonts w:cs="Arial"/>
              </w:rPr>
              <w:t xml:space="preserve"> who cannot take or tolerate ribavirin (see CLINICAL TRIALS). </w:t>
            </w:r>
          </w:p>
        </w:tc>
      </w:tr>
    </w:tbl>
    <w:p w:rsidR="00085F33" w:rsidRPr="00A47F4F" w:rsidRDefault="0011309F">
      <w:pPr>
        <w:numPr>
          <w:ilvl w:val="0"/>
          <w:numId w:val="93"/>
        </w:numPr>
        <w:spacing w:line="240" w:lineRule="auto"/>
        <w:jc w:val="both"/>
        <w:rPr>
          <w:rFonts w:cs="Arial"/>
          <w:lang w:val="en-US"/>
        </w:rPr>
      </w:pPr>
      <w:r w:rsidRPr="00A47F4F">
        <w:rPr>
          <w:rFonts w:cs="Arial"/>
          <w:lang w:val="en-US"/>
        </w:rPr>
        <w:t> </w:t>
      </w:r>
    </w:p>
    <w:p w:rsidR="00085F33" w:rsidRPr="00A47F4F" w:rsidRDefault="0011309F">
      <w:pPr>
        <w:spacing w:line="240" w:lineRule="auto"/>
        <w:jc w:val="both"/>
        <w:rPr>
          <w:rFonts w:cs="Arial"/>
        </w:rPr>
      </w:pPr>
      <w:r w:rsidRPr="00A47F4F">
        <w:rPr>
          <w:rFonts w:eastAsia="TimesNewRoman" w:cs="Arial"/>
        </w:rPr>
        <w:t>TECHNIVIE</w:t>
      </w:r>
      <w:r w:rsidRPr="00A47F4F">
        <w:rPr>
          <w:rFonts w:cs="Arial"/>
        </w:rPr>
        <w:t xml:space="preserve"> should be taken as directed for the prescribed duration, without interruption. </w:t>
      </w:r>
    </w:p>
    <w:p w:rsidR="00085F33" w:rsidRPr="00A47F4F" w:rsidRDefault="0011309F">
      <w:pPr>
        <w:spacing w:line="240" w:lineRule="auto"/>
        <w:jc w:val="both"/>
        <w:rPr>
          <w:rFonts w:cs="Arial"/>
          <w:u w:val="single"/>
        </w:rPr>
      </w:pPr>
      <w:r w:rsidRPr="00A47F4F">
        <w:rPr>
          <w:rFonts w:cs="Arial"/>
          <w:u w:val="single"/>
        </w:rPr>
        <w:t>Missed Dose</w:t>
      </w:r>
    </w:p>
    <w:p w:rsidR="00085F33" w:rsidRPr="00A47F4F" w:rsidRDefault="0011309F">
      <w:pPr>
        <w:spacing w:line="240" w:lineRule="auto"/>
        <w:jc w:val="both"/>
        <w:rPr>
          <w:rFonts w:cstheme="minorHAnsi"/>
        </w:rPr>
      </w:pPr>
      <w:r w:rsidRPr="00A47F4F">
        <w:rPr>
          <w:rFonts w:cstheme="minorHAnsi"/>
        </w:rPr>
        <w:t xml:space="preserve">Inform patients that in case a dose of </w:t>
      </w:r>
      <w:proofErr w:type="spellStart"/>
      <w:r w:rsidRPr="00A47F4F">
        <w:rPr>
          <w:rFonts w:cstheme="minorHAnsi"/>
        </w:rPr>
        <w:t>paritaprevir</w:t>
      </w:r>
      <w:proofErr w:type="spellEnd"/>
      <w:r w:rsidRPr="00A47F4F">
        <w:rPr>
          <w:rFonts w:cstheme="minorHAnsi"/>
        </w:rPr>
        <w:t xml:space="preserve">, ritonavir, </w:t>
      </w:r>
      <w:proofErr w:type="spellStart"/>
      <w:r w:rsidRPr="00A47F4F">
        <w:rPr>
          <w:rFonts w:cstheme="minorHAnsi"/>
        </w:rPr>
        <w:t>ombitasvir</w:t>
      </w:r>
      <w:proofErr w:type="spellEnd"/>
      <w:r w:rsidRPr="00A47F4F">
        <w:rPr>
          <w:rFonts w:cstheme="minorHAnsi"/>
        </w:rPr>
        <w:t xml:space="preserve"> is missed, the prescribed dose can be taken within 12 hours.</w:t>
      </w:r>
    </w:p>
    <w:p w:rsidR="00BF7C61" w:rsidRPr="00A47F4F" w:rsidRDefault="0011309F">
      <w:pPr>
        <w:spacing w:line="240" w:lineRule="auto"/>
        <w:jc w:val="both"/>
        <w:rPr>
          <w:rFonts w:cstheme="minorHAnsi"/>
        </w:rPr>
      </w:pPr>
      <w:r w:rsidRPr="00A47F4F">
        <w:rPr>
          <w:rFonts w:cstheme="minorHAnsi"/>
        </w:rPr>
        <w:t xml:space="preserve">If more than 12 hours has passed since </w:t>
      </w:r>
      <w:proofErr w:type="spellStart"/>
      <w:r w:rsidR="00F655FA" w:rsidRPr="00A47F4F">
        <w:rPr>
          <w:rFonts w:cstheme="minorHAnsi"/>
        </w:rPr>
        <w:t>paritaprevir</w:t>
      </w:r>
      <w:proofErr w:type="spellEnd"/>
      <w:r w:rsidR="00F655FA" w:rsidRPr="00A47F4F">
        <w:rPr>
          <w:rFonts w:cstheme="minorHAnsi"/>
        </w:rPr>
        <w:t xml:space="preserve">, ritonavir, </w:t>
      </w:r>
      <w:proofErr w:type="spellStart"/>
      <w:r w:rsidR="00F655FA" w:rsidRPr="00A47F4F">
        <w:rPr>
          <w:rFonts w:cstheme="minorHAnsi"/>
        </w:rPr>
        <w:t>ombitasvir</w:t>
      </w:r>
      <w:proofErr w:type="spellEnd"/>
      <w:r w:rsidR="00F655FA" w:rsidRPr="00A47F4F">
        <w:rPr>
          <w:rFonts w:cstheme="minorHAnsi"/>
        </w:rPr>
        <w:t xml:space="preserve"> </w:t>
      </w:r>
      <w:r w:rsidRPr="00A47F4F">
        <w:rPr>
          <w:rFonts w:cstheme="minorHAnsi"/>
        </w:rPr>
        <w:t>is usually taken</w:t>
      </w:r>
      <w:r w:rsidR="009B60A4">
        <w:rPr>
          <w:rFonts w:cstheme="minorHAnsi"/>
        </w:rPr>
        <w:t>,</w:t>
      </w:r>
      <w:r w:rsidRPr="00A47F4F">
        <w:rPr>
          <w:rFonts w:cstheme="minorHAnsi"/>
        </w:rPr>
        <w:t xml:space="preserve"> the missed dose should NOT be taken and the patient should take the next dose as per the usual dosing schedule.</w:t>
      </w:r>
    </w:p>
    <w:p w:rsidR="00085F33" w:rsidRPr="00A47F4F" w:rsidRDefault="0011309F">
      <w:pPr>
        <w:pStyle w:val="Heading2Unnumbered"/>
        <w:rPr>
          <w:b w:val="0"/>
          <w:bCs w:val="0"/>
          <w:w w:val="103"/>
          <w:sz w:val="22"/>
          <w:szCs w:val="22"/>
          <w:lang w:val="en-AU"/>
        </w:rPr>
      </w:pPr>
      <w:r w:rsidRPr="00A47F4F">
        <w:rPr>
          <w:sz w:val="22"/>
          <w:szCs w:val="22"/>
          <w:lang w:val="en-AU"/>
        </w:rPr>
        <w:t>Use</w:t>
      </w:r>
      <w:r w:rsidRPr="00A47F4F">
        <w:rPr>
          <w:spacing w:val="10"/>
          <w:sz w:val="22"/>
          <w:szCs w:val="22"/>
          <w:lang w:val="en-AU"/>
        </w:rPr>
        <w:t xml:space="preserve"> </w:t>
      </w:r>
      <w:r w:rsidRPr="00A47F4F">
        <w:rPr>
          <w:sz w:val="22"/>
          <w:szCs w:val="22"/>
          <w:lang w:val="en-AU"/>
        </w:rPr>
        <w:t>in</w:t>
      </w:r>
      <w:r w:rsidRPr="00A47F4F">
        <w:rPr>
          <w:spacing w:val="7"/>
          <w:sz w:val="22"/>
          <w:szCs w:val="22"/>
          <w:lang w:val="en-AU"/>
        </w:rPr>
        <w:t xml:space="preserve"> </w:t>
      </w:r>
      <w:r w:rsidRPr="00A47F4F">
        <w:rPr>
          <w:sz w:val="22"/>
          <w:szCs w:val="22"/>
          <w:lang w:val="en-AU"/>
        </w:rPr>
        <w:t>Special</w:t>
      </w:r>
      <w:r w:rsidRPr="00A47F4F">
        <w:rPr>
          <w:spacing w:val="20"/>
          <w:sz w:val="22"/>
          <w:szCs w:val="22"/>
          <w:lang w:val="en-AU"/>
        </w:rPr>
        <w:t xml:space="preserve"> </w:t>
      </w:r>
      <w:r w:rsidRPr="00A47F4F">
        <w:rPr>
          <w:w w:val="103"/>
          <w:sz w:val="22"/>
          <w:szCs w:val="22"/>
          <w:lang w:val="en-AU"/>
        </w:rPr>
        <w:t>Populations</w:t>
      </w:r>
    </w:p>
    <w:p w:rsidR="00085F33" w:rsidRPr="00A47F4F" w:rsidRDefault="0011309F">
      <w:pPr>
        <w:widowControl w:val="0"/>
        <w:autoSpaceDE w:val="0"/>
        <w:autoSpaceDN w:val="0"/>
        <w:adjustRightInd w:val="0"/>
        <w:spacing w:line="240" w:lineRule="auto"/>
        <w:ind w:right="157"/>
        <w:rPr>
          <w:rFonts w:cs="Arial"/>
          <w:u w:val="single"/>
        </w:rPr>
      </w:pPr>
      <w:r w:rsidRPr="00A47F4F">
        <w:rPr>
          <w:rFonts w:cs="Arial"/>
          <w:u w:val="single"/>
        </w:rPr>
        <w:t>Hepatic Impairment</w:t>
      </w:r>
    </w:p>
    <w:p w:rsidR="00BF7C61" w:rsidRPr="00297F96" w:rsidRDefault="0011309F" w:rsidP="00297F96">
      <w:pPr>
        <w:spacing w:line="240" w:lineRule="auto"/>
        <w:jc w:val="both"/>
        <w:rPr>
          <w:rFonts w:cs="Arial"/>
        </w:rPr>
      </w:pPr>
      <w:r w:rsidRPr="00A47F4F">
        <w:rPr>
          <w:rFonts w:cs="Arial"/>
        </w:rPr>
        <w:t xml:space="preserve">No dose adjustment of TECHNIVIE is required in patients with mild hepatic impairment (Child-Pugh A). </w:t>
      </w:r>
      <w:r w:rsidR="009B60A4">
        <w:rPr>
          <w:rFonts w:cs="Arial"/>
        </w:rPr>
        <w:t xml:space="preserve"> </w:t>
      </w:r>
      <w:r w:rsidR="00297F96">
        <w:rPr>
          <w:rFonts w:cstheme="minorHAnsi"/>
          <w:color w:val="000000"/>
          <w:lang w:val="en-NZ"/>
        </w:rPr>
        <w:t>TECHNIVIE</w:t>
      </w:r>
      <w:r w:rsidR="00594BB0" w:rsidRPr="004219A0">
        <w:rPr>
          <w:rFonts w:cstheme="minorHAnsi"/>
          <w:color w:val="000000"/>
          <w:lang w:val="en-NZ"/>
        </w:rPr>
        <w:t xml:space="preserve"> is not recommended in patients with moderate hepatic impairment (Child-Pugh B). </w:t>
      </w:r>
      <w:r w:rsidR="002A1D90">
        <w:rPr>
          <w:rFonts w:cstheme="minorHAnsi"/>
          <w:color w:val="000000"/>
          <w:lang w:val="en-NZ"/>
        </w:rPr>
        <w:t xml:space="preserve"> </w:t>
      </w:r>
      <w:r w:rsidR="00594BB0" w:rsidRPr="004219A0">
        <w:rPr>
          <w:rFonts w:cstheme="minorHAnsi"/>
          <w:color w:val="000000"/>
          <w:lang w:val="en-NZ"/>
        </w:rPr>
        <w:t xml:space="preserve">A decision to initiate treatment in patients with Child-Pugh B should be guided by assessment of the potential benefits and risks for the individual. </w:t>
      </w:r>
      <w:r w:rsidR="002A1D90">
        <w:rPr>
          <w:rFonts w:cstheme="minorHAnsi"/>
          <w:color w:val="000000"/>
          <w:lang w:val="en-NZ"/>
        </w:rPr>
        <w:t xml:space="preserve"> </w:t>
      </w:r>
      <w:r w:rsidRPr="00A47F4F">
        <w:rPr>
          <w:rFonts w:cs="Arial"/>
        </w:rPr>
        <w:t>TECHNIVIE is contraindicated in patients with severe hepatic impairment (Child-Pugh C)</w:t>
      </w:r>
      <w:r w:rsidR="00594BB0">
        <w:rPr>
          <w:rFonts w:cs="Arial"/>
        </w:rPr>
        <w:t xml:space="preserve"> (see CONTRAINDICATIONS and PRECAUTIONS)</w:t>
      </w:r>
      <w:r w:rsidRPr="00A47F4F">
        <w:rPr>
          <w:rFonts w:cs="Arial"/>
        </w:rPr>
        <w:t>.</w:t>
      </w:r>
    </w:p>
    <w:p w:rsidR="00085F33" w:rsidRPr="00A47F4F" w:rsidRDefault="0011309F">
      <w:pPr>
        <w:widowControl w:val="0"/>
        <w:autoSpaceDE w:val="0"/>
        <w:autoSpaceDN w:val="0"/>
        <w:adjustRightInd w:val="0"/>
        <w:spacing w:line="240" w:lineRule="auto"/>
        <w:ind w:right="175"/>
        <w:jc w:val="both"/>
        <w:rPr>
          <w:rFonts w:cs="Arial"/>
          <w:bCs/>
          <w:spacing w:val="29"/>
          <w:u w:val="single"/>
        </w:rPr>
      </w:pPr>
      <w:r w:rsidRPr="00A47F4F">
        <w:rPr>
          <w:rFonts w:cs="Arial"/>
          <w:bCs/>
          <w:u w:val="single"/>
        </w:rPr>
        <w:t>R</w:t>
      </w:r>
      <w:r w:rsidRPr="00A47F4F">
        <w:rPr>
          <w:rFonts w:cs="Arial"/>
          <w:bCs/>
          <w:spacing w:val="1"/>
          <w:u w:val="single"/>
        </w:rPr>
        <w:t>e</w:t>
      </w:r>
      <w:r w:rsidRPr="00A47F4F">
        <w:rPr>
          <w:rFonts w:cs="Arial"/>
          <w:bCs/>
          <w:u w:val="single"/>
        </w:rPr>
        <w:t>nal</w:t>
      </w:r>
      <w:r w:rsidRPr="00A47F4F">
        <w:rPr>
          <w:rFonts w:cs="Arial"/>
          <w:bCs/>
          <w:spacing w:val="11"/>
          <w:u w:val="single"/>
        </w:rPr>
        <w:t xml:space="preserve"> </w:t>
      </w:r>
      <w:r w:rsidRPr="00A47F4F">
        <w:rPr>
          <w:rFonts w:cs="Arial"/>
          <w:bCs/>
          <w:u w:val="single"/>
        </w:rPr>
        <w:t>Imp</w:t>
      </w:r>
      <w:r w:rsidRPr="00A47F4F">
        <w:rPr>
          <w:rFonts w:cs="Arial"/>
          <w:bCs/>
          <w:spacing w:val="1"/>
          <w:u w:val="single"/>
        </w:rPr>
        <w:t>a</w:t>
      </w:r>
      <w:r w:rsidRPr="00A47F4F">
        <w:rPr>
          <w:rFonts w:cs="Arial"/>
          <w:bCs/>
          <w:u w:val="single"/>
        </w:rPr>
        <w:t>irmen</w:t>
      </w:r>
      <w:r w:rsidRPr="00A47F4F">
        <w:rPr>
          <w:rFonts w:cs="Arial"/>
          <w:bCs/>
          <w:spacing w:val="1"/>
          <w:u w:val="single"/>
        </w:rPr>
        <w:t>t</w:t>
      </w:r>
    </w:p>
    <w:p w:rsidR="00085F33" w:rsidRPr="00A47F4F" w:rsidRDefault="0011309F">
      <w:pPr>
        <w:spacing w:line="240" w:lineRule="auto"/>
        <w:jc w:val="both"/>
        <w:rPr>
          <w:rFonts w:cs="Arial"/>
        </w:rPr>
      </w:pPr>
      <w:r w:rsidRPr="00A47F4F">
        <w:t xml:space="preserve">Based on the pharmacokinetic data in HCV uninfected subjects (n=24), no dose adjustment of TECHNIVIE is recommended in subjects with mild, moderate or severe renal impairment. </w:t>
      </w:r>
      <w:r w:rsidR="009B60A4">
        <w:t xml:space="preserve"> </w:t>
      </w:r>
      <w:r w:rsidRPr="00A47F4F">
        <w:t xml:space="preserve">The </w:t>
      </w:r>
      <w:r w:rsidRPr="00A47F4F">
        <w:lastRenderedPageBreak/>
        <w:t xml:space="preserve">efficacy and safety of TECHNIVIE have not been evaluated in HCV-infected subjects with moderate or severe renal impairment. </w:t>
      </w:r>
      <w:r w:rsidR="009B60A4">
        <w:t xml:space="preserve"> </w:t>
      </w:r>
      <w:r w:rsidRPr="00A47F4F">
        <w:rPr>
          <w:rFonts w:cs="Arial"/>
        </w:rPr>
        <w:t>TECHNIVIE has not been studied in patients on dialysis.</w:t>
      </w:r>
    </w:p>
    <w:p w:rsidR="00085F33" w:rsidRPr="00A47F4F" w:rsidRDefault="0011309F">
      <w:pPr>
        <w:pStyle w:val="Heading1"/>
        <w:rPr>
          <w:sz w:val="22"/>
          <w:szCs w:val="22"/>
        </w:rPr>
      </w:pPr>
      <w:bookmarkStart w:id="63" w:name="_Toc383787414"/>
      <w:r w:rsidRPr="00A47F4F">
        <w:rPr>
          <w:sz w:val="22"/>
          <w:szCs w:val="22"/>
        </w:rPr>
        <w:t>Overdosage</w:t>
      </w:r>
      <w:bookmarkEnd w:id="63"/>
    </w:p>
    <w:p w:rsidR="00085F33" w:rsidRPr="00A47F4F" w:rsidRDefault="0011309F">
      <w:pPr>
        <w:spacing w:line="240" w:lineRule="auto"/>
        <w:jc w:val="both"/>
        <w:rPr>
          <w:rFonts w:cs="Arial"/>
        </w:rPr>
      </w:pPr>
      <w:r w:rsidRPr="00A47F4F">
        <w:rPr>
          <w:rFonts w:cs="Arial"/>
        </w:rPr>
        <w:t xml:space="preserve">The highest documented single dose administered to healthy volunteers was 400 mg for </w:t>
      </w:r>
      <w:proofErr w:type="spellStart"/>
      <w:r w:rsidRPr="00A47F4F">
        <w:rPr>
          <w:rFonts w:cs="Arial"/>
        </w:rPr>
        <w:t>paritaprevir</w:t>
      </w:r>
      <w:proofErr w:type="spellEnd"/>
      <w:r w:rsidRPr="00A47F4F">
        <w:rPr>
          <w:rFonts w:cs="Arial"/>
        </w:rPr>
        <w:t xml:space="preserve"> (with 100 mg ritonavir), 200 mg for ritonavir (with 100 mg </w:t>
      </w:r>
      <w:proofErr w:type="spellStart"/>
      <w:r w:rsidRPr="00A47F4F">
        <w:rPr>
          <w:rFonts w:cs="Arial"/>
        </w:rPr>
        <w:t>paritaprevir</w:t>
      </w:r>
      <w:proofErr w:type="spellEnd"/>
      <w:r w:rsidRPr="00A47F4F">
        <w:rPr>
          <w:rFonts w:cs="Arial"/>
        </w:rPr>
        <w:t xml:space="preserve">) and 350 mg for </w:t>
      </w:r>
      <w:proofErr w:type="spellStart"/>
      <w:r w:rsidRPr="00A47F4F">
        <w:rPr>
          <w:rFonts w:cs="Arial"/>
        </w:rPr>
        <w:t>ombitasvir</w:t>
      </w:r>
      <w:proofErr w:type="spellEnd"/>
      <w:r w:rsidRPr="00A47F4F">
        <w:rPr>
          <w:rFonts w:cs="Arial"/>
        </w:rPr>
        <w:t xml:space="preserve">. </w:t>
      </w:r>
      <w:r w:rsidR="009B60A4">
        <w:rPr>
          <w:rFonts w:cs="Arial"/>
        </w:rPr>
        <w:t xml:space="preserve"> </w:t>
      </w:r>
      <w:r w:rsidRPr="00A47F4F">
        <w:rPr>
          <w:rFonts w:cs="Arial"/>
        </w:rPr>
        <w:t>In case of overdose, it is recommended that the patient be monitored for any signs or symptoms of adverse reactions and appropriate symptomatic treatment instituted immediately.</w:t>
      </w:r>
    </w:p>
    <w:p w:rsidR="00085F33" w:rsidRPr="00A47F4F" w:rsidRDefault="0011309F">
      <w:pPr>
        <w:spacing w:line="240" w:lineRule="auto"/>
        <w:rPr>
          <w:rFonts w:cs="Arial"/>
        </w:rPr>
      </w:pPr>
      <w:r w:rsidRPr="00A47F4F">
        <w:rPr>
          <w:rFonts w:cs="Arial"/>
        </w:rPr>
        <w:t>For information on the management of overdose in Australia contact the Poison Information Centre on 131126 and in New Zealand call 0800 764 766.</w:t>
      </w:r>
    </w:p>
    <w:p w:rsidR="00085F33" w:rsidRPr="00A47F4F" w:rsidRDefault="0011309F">
      <w:pPr>
        <w:pStyle w:val="Heading1"/>
        <w:rPr>
          <w:sz w:val="22"/>
          <w:szCs w:val="22"/>
        </w:rPr>
      </w:pPr>
      <w:bookmarkStart w:id="64" w:name="_Toc383787415"/>
      <w:r w:rsidRPr="00A47F4F">
        <w:rPr>
          <w:sz w:val="22"/>
          <w:szCs w:val="22"/>
        </w:rPr>
        <w:t>Presentation and Storage Conditions</w:t>
      </w:r>
      <w:bookmarkEnd w:id="64"/>
    </w:p>
    <w:p w:rsidR="00085F33" w:rsidRPr="00A47F4F" w:rsidRDefault="0011309F">
      <w:pPr>
        <w:pStyle w:val="Heading2Unnumbered"/>
        <w:rPr>
          <w:sz w:val="22"/>
          <w:szCs w:val="22"/>
          <w:lang w:val="en-AU"/>
        </w:rPr>
      </w:pPr>
      <w:r w:rsidRPr="00A47F4F">
        <w:rPr>
          <w:sz w:val="22"/>
          <w:szCs w:val="22"/>
          <w:lang w:val="en-AU"/>
        </w:rPr>
        <w:t>Presentation</w:t>
      </w:r>
    </w:p>
    <w:p w:rsidR="00085F33" w:rsidRPr="00A47F4F" w:rsidRDefault="0011309F">
      <w:pPr>
        <w:spacing w:line="240" w:lineRule="auto"/>
        <w:jc w:val="both"/>
        <w:rPr>
          <w:rFonts w:cs="Arial"/>
        </w:rPr>
      </w:pPr>
      <w:proofErr w:type="spellStart"/>
      <w:r w:rsidRPr="00A47F4F">
        <w:rPr>
          <w:rFonts w:cs="Arial"/>
        </w:rPr>
        <w:t>Paritaprevir</w:t>
      </w:r>
      <w:proofErr w:type="spellEnd"/>
      <w:r w:rsidRPr="00A47F4F">
        <w:rPr>
          <w:rFonts w:cs="Arial"/>
        </w:rPr>
        <w:t>/ritonavir/</w:t>
      </w:r>
      <w:proofErr w:type="spellStart"/>
      <w:r w:rsidRPr="00A47F4F">
        <w:rPr>
          <w:rFonts w:cs="Arial"/>
        </w:rPr>
        <w:t>ombitasvir</w:t>
      </w:r>
      <w:proofErr w:type="spellEnd"/>
      <w:r w:rsidRPr="00A47F4F">
        <w:rPr>
          <w:rFonts w:cs="Arial"/>
        </w:rPr>
        <w:t xml:space="preserve"> 75/50/12.5 mg tablets are pink-coloured, film-coated, oblong biconvex shaped, debossed with “AV1” on one side. </w:t>
      </w:r>
    </w:p>
    <w:p w:rsidR="00085F33" w:rsidRPr="00A47F4F" w:rsidRDefault="0011309F">
      <w:pPr>
        <w:spacing w:line="240" w:lineRule="auto"/>
        <w:jc w:val="both"/>
        <w:rPr>
          <w:rFonts w:cs="Arial"/>
        </w:rPr>
      </w:pPr>
      <w:r w:rsidRPr="00A47F4F">
        <w:rPr>
          <w:rFonts w:cs="Arial"/>
        </w:rPr>
        <w:t xml:space="preserve">TECHNIVIE is dispensed in a monthly carton for a total of 28 days of therapy.  Each monthly carton contains four weekly cartons.  Each weekly carton contains seven daily dose packs.  Each daily dose pack contains two 75 mg/50 mg/12.5 mg </w:t>
      </w:r>
      <w:proofErr w:type="spellStart"/>
      <w:r w:rsidRPr="00A47F4F">
        <w:rPr>
          <w:rFonts w:cs="Arial"/>
        </w:rPr>
        <w:t>paritaprevir</w:t>
      </w:r>
      <w:proofErr w:type="spellEnd"/>
      <w:r w:rsidRPr="00A47F4F">
        <w:rPr>
          <w:rFonts w:cs="Arial"/>
        </w:rPr>
        <w:t>/ritonavir/</w:t>
      </w:r>
      <w:proofErr w:type="spellStart"/>
      <w:r w:rsidRPr="00A47F4F">
        <w:rPr>
          <w:rFonts w:cs="Arial"/>
        </w:rPr>
        <w:t>ombitasvir</w:t>
      </w:r>
      <w:proofErr w:type="spellEnd"/>
      <w:r w:rsidRPr="00A47F4F">
        <w:rPr>
          <w:rFonts w:cs="Arial"/>
        </w:rPr>
        <w:t xml:space="preserve"> tablets.  </w:t>
      </w:r>
    </w:p>
    <w:p w:rsidR="00085F33" w:rsidRPr="00A47F4F" w:rsidRDefault="0011309F">
      <w:pPr>
        <w:pStyle w:val="Heading2Unnumbered"/>
        <w:rPr>
          <w:sz w:val="22"/>
          <w:szCs w:val="22"/>
          <w:lang w:val="en-AU"/>
        </w:rPr>
      </w:pPr>
      <w:r w:rsidRPr="00A47F4F">
        <w:rPr>
          <w:sz w:val="22"/>
          <w:szCs w:val="22"/>
          <w:lang w:val="en-AU"/>
        </w:rPr>
        <w:t>Storage Conditions</w:t>
      </w:r>
    </w:p>
    <w:p w:rsidR="00085F33" w:rsidRPr="00A47F4F" w:rsidRDefault="0011309F">
      <w:pPr>
        <w:spacing w:line="240" w:lineRule="auto"/>
        <w:jc w:val="both"/>
        <w:rPr>
          <w:rFonts w:cs="Arial"/>
        </w:rPr>
      </w:pPr>
      <w:proofErr w:type="gramStart"/>
      <w:r w:rsidRPr="00A47F4F">
        <w:rPr>
          <w:rFonts w:cs="Arial"/>
        </w:rPr>
        <w:t xml:space="preserve">Store below </w:t>
      </w:r>
      <w:r w:rsidR="00BB6FB3">
        <w:rPr>
          <w:rFonts w:cs="Arial"/>
        </w:rPr>
        <w:t>30</w:t>
      </w:r>
      <w:r w:rsidRPr="00A47F4F">
        <w:rPr>
          <w:rFonts w:cs="Arial"/>
        </w:rPr>
        <w:t>°C in a dry place.</w:t>
      </w:r>
      <w:proofErr w:type="gramEnd"/>
    </w:p>
    <w:p w:rsidR="00085F33" w:rsidRPr="00A47F4F" w:rsidRDefault="0011309F">
      <w:pPr>
        <w:pStyle w:val="Heading1"/>
        <w:rPr>
          <w:sz w:val="22"/>
          <w:szCs w:val="22"/>
        </w:rPr>
      </w:pPr>
      <w:bookmarkStart w:id="65" w:name="_Toc383787416"/>
      <w:r w:rsidRPr="00A47F4F">
        <w:rPr>
          <w:sz w:val="22"/>
          <w:szCs w:val="22"/>
        </w:rPr>
        <w:t>Name and Address of the Sponsor</w:t>
      </w:r>
      <w:bookmarkEnd w:id="65"/>
    </w:p>
    <w:p w:rsidR="00085F33" w:rsidRPr="00A47F4F" w:rsidRDefault="0011309F">
      <w:pPr>
        <w:spacing w:after="0" w:line="240" w:lineRule="auto"/>
        <w:rPr>
          <w:rFonts w:cs="Arial"/>
        </w:rPr>
      </w:pPr>
      <w:r w:rsidRPr="00A47F4F">
        <w:rPr>
          <w:rFonts w:cs="Arial"/>
        </w:rPr>
        <w:t>AbbVie Pty Ltd</w:t>
      </w:r>
    </w:p>
    <w:p w:rsidR="00085F33" w:rsidRPr="00A47F4F" w:rsidRDefault="0011309F">
      <w:pPr>
        <w:spacing w:after="0" w:line="240" w:lineRule="auto"/>
        <w:rPr>
          <w:rFonts w:cs="Arial"/>
        </w:rPr>
      </w:pPr>
      <w:r w:rsidRPr="00A47F4F">
        <w:rPr>
          <w:rFonts w:cs="Arial"/>
        </w:rPr>
        <w:t xml:space="preserve">Level 7, 241 </w:t>
      </w:r>
      <w:proofErr w:type="spellStart"/>
      <w:r w:rsidRPr="00A47F4F">
        <w:rPr>
          <w:rFonts w:cs="Arial"/>
        </w:rPr>
        <w:t>O’Riordan</w:t>
      </w:r>
      <w:proofErr w:type="spellEnd"/>
      <w:r w:rsidRPr="00A47F4F">
        <w:rPr>
          <w:rFonts w:cs="Arial"/>
        </w:rPr>
        <w:t xml:space="preserve"> Street</w:t>
      </w:r>
    </w:p>
    <w:p w:rsidR="00085F33" w:rsidRPr="00A47F4F" w:rsidRDefault="0011309F">
      <w:pPr>
        <w:spacing w:after="0" w:line="240" w:lineRule="auto"/>
        <w:rPr>
          <w:rFonts w:cs="Arial"/>
        </w:rPr>
      </w:pPr>
      <w:r w:rsidRPr="00A47F4F">
        <w:rPr>
          <w:rFonts w:cs="Arial"/>
        </w:rPr>
        <w:t>Mascot NSW 2020</w:t>
      </w:r>
    </w:p>
    <w:p w:rsidR="00085F33" w:rsidRPr="00A47F4F" w:rsidRDefault="0011309F">
      <w:pPr>
        <w:spacing w:after="0" w:line="240" w:lineRule="auto"/>
        <w:rPr>
          <w:rFonts w:cs="Arial"/>
        </w:rPr>
      </w:pPr>
      <w:r w:rsidRPr="00A47F4F">
        <w:rPr>
          <w:rFonts w:cs="Arial"/>
        </w:rPr>
        <w:t>Australia</w:t>
      </w:r>
    </w:p>
    <w:p w:rsidR="00085F33" w:rsidRPr="00A47F4F" w:rsidRDefault="00085F33">
      <w:pPr>
        <w:spacing w:after="0" w:line="240" w:lineRule="auto"/>
        <w:rPr>
          <w:rFonts w:cs="Arial"/>
        </w:rPr>
      </w:pPr>
    </w:p>
    <w:p w:rsidR="00085F33" w:rsidRPr="00A47F4F" w:rsidRDefault="0011309F">
      <w:pPr>
        <w:spacing w:after="0" w:line="240" w:lineRule="auto"/>
        <w:rPr>
          <w:rFonts w:cs="Arial"/>
        </w:rPr>
      </w:pPr>
      <w:r w:rsidRPr="00A47F4F">
        <w:rPr>
          <w:rFonts w:cs="Arial"/>
        </w:rPr>
        <w:t>AbbVie Limited</w:t>
      </w:r>
    </w:p>
    <w:p w:rsidR="00085F33" w:rsidRPr="00A47F4F" w:rsidRDefault="0011309F">
      <w:pPr>
        <w:spacing w:after="0" w:line="240" w:lineRule="auto"/>
        <w:rPr>
          <w:rFonts w:cs="Arial"/>
        </w:rPr>
      </w:pPr>
      <w:r w:rsidRPr="00A47F4F">
        <w:rPr>
          <w:rFonts w:cs="Arial"/>
        </w:rPr>
        <w:t>6</w:t>
      </w:r>
      <w:r w:rsidRPr="00A47F4F">
        <w:rPr>
          <w:rFonts w:cs="Arial"/>
          <w:vertAlign w:val="superscript"/>
        </w:rPr>
        <w:t>th</w:t>
      </w:r>
      <w:r w:rsidRPr="00A47F4F">
        <w:rPr>
          <w:rFonts w:cs="Arial"/>
        </w:rPr>
        <w:t xml:space="preserve"> Floor, 156-158 Victoria St</w:t>
      </w:r>
    </w:p>
    <w:p w:rsidR="00085F33" w:rsidRPr="00A47F4F" w:rsidRDefault="0011309F">
      <w:pPr>
        <w:spacing w:after="0" w:line="240" w:lineRule="auto"/>
        <w:rPr>
          <w:rFonts w:cs="Arial"/>
        </w:rPr>
      </w:pPr>
      <w:r w:rsidRPr="00A47F4F">
        <w:rPr>
          <w:rFonts w:cs="Arial"/>
        </w:rPr>
        <w:t>Wellington, 6011</w:t>
      </w:r>
    </w:p>
    <w:p w:rsidR="00085F33" w:rsidRPr="00A47F4F" w:rsidRDefault="0011309F">
      <w:pPr>
        <w:spacing w:after="0" w:line="240" w:lineRule="auto"/>
        <w:rPr>
          <w:rFonts w:cs="Arial"/>
        </w:rPr>
      </w:pPr>
      <w:r w:rsidRPr="00A47F4F">
        <w:rPr>
          <w:rFonts w:cs="Arial"/>
        </w:rPr>
        <w:t>New Zealand</w:t>
      </w:r>
    </w:p>
    <w:p w:rsidR="00085F33" w:rsidRPr="00A47F4F" w:rsidRDefault="0011309F">
      <w:pPr>
        <w:pStyle w:val="Heading1"/>
        <w:rPr>
          <w:sz w:val="22"/>
          <w:szCs w:val="22"/>
        </w:rPr>
      </w:pPr>
      <w:bookmarkStart w:id="66" w:name="_Toc383787417"/>
      <w:r w:rsidRPr="00A47F4F">
        <w:rPr>
          <w:sz w:val="22"/>
          <w:szCs w:val="22"/>
        </w:rPr>
        <w:t>Poison Schedule of the Medicine</w:t>
      </w:r>
      <w:bookmarkEnd w:id="66"/>
    </w:p>
    <w:p w:rsidR="00085F33" w:rsidRPr="00A47F4F" w:rsidRDefault="0011309F">
      <w:pPr>
        <w:spacing w:line="240" w:lineRule="auto"/>
        <w:rPr>
          <w:rFonts w:cs="Arial"/>
        </w:rPr>
      </w:pPr>
      <w:r w:rsidRPr="00A47F4F">
        <w:rPr>
          <w:rFonts w:cs="Arial"/>
        </w:rPr>
        <w:t xml:space="preserve">Prescription Only Medicine </w:t>
      </w:r>
    </w:p>
    <w:p w:rsidR="00085F33" w:rsidRPr="00A47F4F" w:rsidRDefault="0011309F">
      <w:pPr>
        <w:spacing w:line="240" w:lineRule="auto"/>
        <w:rPr>
          <w:rFonts w:cs="Arial"/>
        </w:rPr>
      </w:pPr>
      <w:r w:rsidRPr="00A47F4F">
        <w:rPr>
          <w:rFonts w:cs="Arial"/>
        </w:rPr>
        <w:t>Schedule 4</w:t>
      </w:r>
    </w:p>
    <w:p w:rsidR="00085F33" w:rsidRPr="00A47F4F" w:rsidRDefault="0011309F">
      <w:pPr>
        <w:pStyle w:val="Heading1"/>
        <w:rPr>
          <w:sz w:val="22"/>
          <w:szCs w:val="22"/>
        </w:rPr>
      </w:pPr>
      <w:bookmarkStart w:id="67" w:name="_Toc383787418"/>
      <w:r w:rsidRPr="00A47F4F">
        <w:rPr>
          <w:sz w:val="22"/>
          <w:szCs w:val="22"/>
        </w:rPr>
        <w:t>Date of first inclusion in the ARTG</w:t>
      </w:r>
      <w:bookmarkEnd w:id="67"/>
    </w:p>
    <w:p w:rsidR="00085F33" w:rsidRPr="00A47F4F" w:rsidRDefault="006727FE">
      <w:pPr>
        <w:spacing w:line="240" w:lineRule="auto"/>
        <w:rPr>
          <w:rFonts w:cs="Arial"/>
        </w:rPr>
      </w:pPr>
      <w:r>
        <w:rPr>
          <w:rFonts w:cs="Arial"/>
        </w:rPr>
        <w:t>30 November 2016</w:t>
      </w:r>
    </w:p>
    <w:p w:rsidR="00085F33" w:rsidRPr="00A47F4F" w:rsidRDefault="00085F33">
      <w:pPr>
        <w:pStyle w:val="Heading1"/>
        <w:rPr>
          <w:sz w:val="22"/>
          <w:szCs w:val="22"/>
        </w:rPr>
      </w:pPr>
    </w:p>
    <w:p w:rsidR="00085F33" w:rsidRPr="00A47F4F" w:rsidRDefault="00085F33">
      <w:pPr>
        <w:spacing w:line="240" w:lineRule="auto"/>
        <w:rPr>
          <w:rFonts w:cs="Arial"/>
        </w:rPr>
      </w:pPr>
    </w:p>
    <w:sectPr w:rsidR="00085F33" w:rsidRPr="00A47F4F">
      <w:headerReference w:type="default" r:id="rId18"/>
      <w:footerReference w:type="default" r:id="rId19"/>
      <w:pgSz w:w="11906" w:h="16838"/>
      <w:pgMar w:top="1440" w:right="1440" w:bottom="1134" w:left="1440"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61A" w:rsidRDefault="0084261A">
      <w:pPr>
        <w:spacing w:after="0" w:line="240" w:lineRule="auto"/>
      </w:pPr>
      <w:r>
        <w:separator/>
      </w:r>
    </w:p>
  </w:endnote>
  <w:endnote w:type="continuationSeparator" w:id="0">
    <w:p w:rsidR="0084261A" w:rsidRDefault="0084261A">
      <w:pPr>
        <w:spacing w:after="0" w:line="240" w:lineRule="auto"/>
      </w:pPr>
      <w:r>
        <w:continuationSeparator/>
      </w:r>
    </w:p>
  </w:endnote>
  <w:endnote w:type="continuationNotice" w:id="1">
    <w:p w:rsidR="0084261A" w:rsidRDefault="00842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84261A" w:rsidRPr="009F4372">
      <w:tc>
        <w:tcPr>
          <w:tcW w:w="3080" w:type="dxa"/>
        </w:tcPr>
        <w:p w:rsidR="0084261A" w:rsidRDefault="0084261A">
          <w:pPr>
            <w:pStyle w:val="Footer"/>
            <w:rPr>
              <w:rFonts w:asciiTheme="minorHAnsi" w:hAnsiTheme="minorHAnsi" w:cstheme="minorHAnsi"/>
              <w:sz w:val="18"/>
              <w:szCs w:val="18"/>
            </w:rPr>
          </w:pPr>
          <w:proofErr w:type="spellStart"/>
          <w:r>
            <w:rPr>
              <w:rFonts w:asciiTheme="minorHAnsi" w:hAnsiTheme="minorHAnsi" w:cstheme="minorHAnsi"/>
              <w:sz w:val="18"/>
              <w:szCs w:val="18"/>
            </w:rPr>
            <w:t>Technivie</w:t>
          </w:r>
          <w:proofErr w:type="spellEnd"/>
        </w:p>
        <w:p w:rsidR="0084261A" w:rsidRDefault="0084261A" w:rsidP="006727FE">
          <w:pPr>
            <w:pStyle w:val="Footer"/>
            <w:rPr>
              <w:rFonts w:asciiTheme="minorHAnsi" w:hAnsiTheme="minorHAnsi" w:cstheme="minorHAnsi"/>
              <w:sz w:val="18"/>
              <w:szCs w:val="18"/>
            </w:rPr>
          </w:pPr>
          <w:r>
            <w:rPr>
              <w:rFonts w:asciiTheme="minorHAnsi" w:hAnsiTheme="minorHAnsi" w:cstheme="minorHAnsi"/>
              <w:sz w:val="18"/>
              <w:szCs w:val="18"/>
            </w:rPr>
            <w:t>Version 01</w:t>
          </w:r>
        </w:p>
      </w:tc>
      <w:tc>
        <w:tcPr>
          <w:tcW w:w="3081" w:type="dxa"/>
        </w:tcPr>
        <w:p w:rsidR="0084261A" w:rsidRDefault="006727FE" w:rsidP="006727FE">
          <w:pPr>
            <w:pStyle w:val="Footer"/>
            <w:jc w:val="center"/>
            <w:rPr>
              <w:rFonts w:asciiTheme="minorHAnsi" w:hAnsiTheme="minorHAnsi" w:cstheme="minorHAnsi"/>
              <w:sz w:val="18"/>
              <w:szCs w:val="18"/>
            </w:rPr>
          </w:pPr>
          <w:r>
            <w:rPr>
              <w:rFonts w:asciiTheme="minorHAnsi" w:hAnsiTheme="minorHAnsi" w:cstheme="minorHAnsi"/>
              <w:sz w:val="18"/>
              <w:szCs w:val="18"/>
            </w:rPr>
            <w:t>30</w:t>
          </w:r>
          <w:r w:rsidR="0084261A">
            <w:rPr>
              <w:rFonts w:asciiTheme="minorHAnsi" w:hAnsiTheme="minorHAnsi" w:cstheme="minorHAnsi"/>
              <w:sz w:val="18"/>
              <w:szCs w:val="18"/>
            </w:rPr>
            <w:t xml:space="preserve"> November 2016</w:t>
          </w:r>
        </w:p>
      </w:tc>
      <w:tc>
        <w:tcPr>
          <w:tcW w:w="3081" w:type="dxa"/>
        </w:tcPr>
        <w:sdt>
          <w:sdtPr>
            <w:rPr>
              <w:sz w:val="18"/>
              <w:szCs w:val="18"/>
            </w:rPr>
            <w:id w:val="98381352"/>
            <w:docPartObj>
              <w:docPartGallery w:val="Page Numbers (Top of Page)"/>
              <w:docPartUnique/>
            </w:docPartObj>
          </w:sdtPr>
          <w:sdtEndPr>
            <w:rPr>
              <w:rFonts w:cstheme="minorHAnsi"/>
            </w:rPr>
          </w:sdtEndPr>
          <w:sdtContent>
            <w:p w:rsidR="0084261A" w:rsidRPr="009F4372" w:rsidRDefault="0084261A" w:rsidP="009F4372">
              <w:pPr>
                <w:pStyle w:val="Footer"/>
                <w:jc w:val="right"/>
                <w:rPr>
                  <w:rFonts w:asciiTheme="minorHAnsi" w:hAnsiTheme="minorHAnsi" w:cstheme="minorHAnsi"/>
                  <w:sz w:val="18"/>
                  <w:szCs w:val="18"/>
                </w:rPr>
              </w:pPr>
              <w:r w:rsidRPr="009F4372">
                <w:rPr>
                  <w:rFonts w:asciiTheme="minorHAnsi" w:hAnsiTheme="minorHAnsi" w:cstheme="minorHAnsi"/>
                  <w:sz w:val="18"/>
                  <w:szCs w:val="18"/>
                </w:rPr>
                <w:t xml:space="preserve">Page </w:t>
              </w:r>
              <w:r w:rsidRPr="009F4372">
                <w:rPr>
                  <w:rFonts w:cstheme="minorHAnsi"/>
                  <w:b/>
                  <w:bCs/>
                  <w:sz w:val="18"/>
                  <w:szCs w:val="18"/>
                </w:rPr>
                <w:fldChar w:fldCharType="begin"/>
              </w:r>
              <w:r w:rsidRPr="009F4372">
                <w:rPr>
                  <w:rFonts w:asciiTheme="minorHAnsi" w:hAnsiTheme="minorHAnsi" w:cstheme="minorHAnsi"/>
                  <w:b/>
                  <w:bCs/>
                  <w:sz w:val="18"/>
                  <w:szCs w:val="18"/>
                </w:rPr>
                <w:instrText xml:space="preserve"> PAGE </w:instrText>
              </w:r>
              <w:r w:rsidRPr="009F4372">
                <w:rPr>
                  <w:rFonts w:cstheme="minorHAnsi"/>
                  <w:b/>
                  <w:bCs/>
                  <w:sz w:val="18"/>
                  <w:szCs w:val="18"/>
                </w:rPr>
                <w:fldChar w:fldCharType="separate"/>
              </w:r>
              <w:r w:rsidR="00AD58F7">
                <w:rPr>
                  <w:rFonts w:asciiTheme="minorHAnsi" w:hAnsiTheme="minorHAnsi" w:cstheme="minorHAnsi"/>
                  <w:b/>
                  <w:bCs/>
                  <w:noProof/>
                  <w:sz w:val="18"/>
                  <w:szCs w:val="18"/>
                </w:rPr>
                <w:t>1</w:t>
              </w:r>
              <w:r w:rsidRPr="009F4372">
                <w:rPr>
                  <w:rFonts w:cstheme="minorHAnsi"/>
                  <w:b/>
                  <w:bCs/>
                  <w:sz w:val="18"/>
                  <w:szCs w:val="18"/>
                </w:rPr>
                <w:fldChar w:fldCharType="end"/>
              </w:r>
              <w:r w:rsidRPr="009F4372">
                <w:rPr>
                  <w:rFonts w:asciiTheme="minorHAnsi" w:hAnsiTheme="minorHAnsi" w:cstheme="minorHAnsi"/>
                  <w:sz w:val="18"/>
                  <w:szCs w:val="18"/>
                </w:rPr>
                <w:t xml:space="preserve"> of </w:t>
              </w:r>
              <w:r w:rsidRPr="009F4372">
                <w:rPr>
                  <w:rFonts w:cstheme="minorHAnsi"/>
                  <w:b/>
                  <w:bCs/>
                  <w:sz w:val="18"/>
                  <w:szCs w:val="18"/>
                </w:rPr>
                <w:fldChar w:fldCharType="begin"/>
              </w:r>
              <w:r w:rsidRPr="009F4372">
                <w:rPr>
                  <w:rFonts w:asciiTheme="minorHAnsi" w:hAnsiTheme="minorHAnsi" w:cstheme="minorHAnsi"/>
                  <w:b/>
                  <w:bCs/>
                  <w:sz w:val="18"/>
                  <w:szCs w:val="18"/>
                </w:rPr>
                <w:instrText xml:space="preserve"> NUMPAGES  </w:instrText>
              </w:r>
              <w:r w:rsidRPr="009F4372">
                <w:rPr>
                  <w:rFonts w:cstheme="minorHAnsi"/>
                  <w:b/>
                  <w:bCs/>
                  <w:sz w:val="18"/>
                  <w:szCs w:val="18"/>
                </w:rPr>
                <w:fldChar w:fldCharType="separate"/>
              </w:r>
              <w:r w:rsidR="00AD58F7">
                <w:rPr>
                  <w:rFonts w:asciiTheme="minorHAnsi" w:hAnsiTheme="minorHAnsi" w:cstheme="minorHAnsi"/>
                  <w:b/>
                  <w:bCs/>
                  <w:noProof/>
                  <w:sz w:val="18"/>
                  <w:szCs w:val="18"/>
                </w:rPr>
                <w:t>32</w:t>
              </w:r>
              <w:r w:rsidRPr="009F4372">
                <w:rPr>
                  <w:rFonts w:cstheme="minorHAnsi"/>
                  <w:b/>
                  <w:bCs/>
                  <w:sz w:val="18"/>
                  <w:szCs w:val="18"/>
                </w:rPr>
                <w:fldChar w:fldCharType="end"/>
              </w:r>
            </w:p>
          </w:sdtContent>
        </w:sdt>
        <w:p w:rsidR="0084261A" w:rsidRPr="009F4372" w:rsidRDefault="0084261A">
          <w:pPr>
            <w:pStyle w:val="Footer"/>
            <w:jc w:val="right"/>
            <w:rPr>
              <w:rFonts w:asciiTheme="minorHAnsi" w:hAnsiTheme="minorHAnsi" w:cstheme="minorHAnsi"/>
              <w:sz w:val="18"/>
              <w:szCs w:val="18"/>
            </w:rPr>
          </w:pPr>
        </w:p>
      </w:tc>
    </w:tr>
  </w:tbl>
  <w:p w:rsidR="0084261A" w:rsidRDefault="00842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61A" w:rsidRDefault="0084261A">
      <w:pPr>
        <w:spacing w:after="0" w:line="240" w:lineRule="auto"/>
      </w:pPr>
      <w:r>
        <w:separator/>
      </w:r>
    </w:p>
  </w:footnote>
  <w:footnote w:type="continuationSeparator" w:id="0">
    <w:p w:rsidR="0084261A" w:rsidRDefault="0084261A">
      <w:pPr>
        <w:spacing w:after="0" w:line="240" w:lineRule="auto"/>
      </w:pPr>
      <w:r>
        <w:continuationSeparator/>
      </w:r>
    </w:p>
  </w:footnote>
  <w:footnote w:type="continuationNotice" w:id="1">
    <w:p w:rsidR="0084261A" w:rsidRDefault="0084261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7D3CBF" w:rsidRPr="006C3A1E" w:rsidTr="00A7414F">
      <w:tc>
        <w:tcPr>
          <w:tcW w:w="8720" w:type="dxa"/>
          <w:shd w:val="clear" w:color="auto" w:fill="E4F2E0"/>
        </w:tcPr>
        <w:p w:rsidR="007D3CBF" w:rsidRPr="006C3A1E" w:rsidRDefault="007D3CBF" w:rsidP="00AD58F7">
          <w:pPr>
            <w:spacing w:before="40" w:after="40"/>
            <w:rPr>
              <w:b/>
            </w:rPr>
          </w:pPr>
          <w:r w:rsidRPr="004A2ECE">
            <w:rPr>
              <w:b/>
            </w:rPr>
            <w:t xml:space="preserve">AusPAR </w:t>
          </w:r>
          <w:proofErr w:type="spellStart"/>
          <w:r w:rsidRPr="004A2ECE">
            <w:rPr>
              <w:b/>
            </w:rPr>
            <w:t>Technivie</w:t>
          </w:r>
          <w:proofErr w:type="spellEnd"/>
          <w:r w:rsidRPr="004A2ECE">
            <w:rPr>
              <w:b/>
            </w:rPr>
            <w:t xml:space="preserve"> </w:t>
          </w:r>
          <w:proofErr w:type="spellStart"/>
          <w:r w:rsidRPr="00E518BB">
            <w:rPr>
              <w:b/>
            </w:rPr>
            <w:t>Paritaprevir</w:t>
          </w:r>
          <w:proofErr w:type="spellEnd"/>
          <w:r w:rsidRPr="00E518BB">
            <w:rPr>
              <w:b/>
            </w:rPr>
            <w:t xml:space="preserve"> / </w:t>
          </w:r>
          <w:r w:rsidR="00AD58F7">
            <w:rPr>
              <w:b/>
            </w:rPr>
            <w:t>R</w:t>
          </w:r>
          <w:r w:rsidRPr="00E518BB">
            <w:rPr>
              <w:b/>
            </w:rPr>
            <w:t xml:space="preserve">itonavir / </w:t>
          </w:r>
          <w:proofErr w:type="spellStart"/>
          <w:r w:rsidR="00AD58F7">
            <w:rPr>
              <w:b/>
            </w:rPr>
            <w:t>O</w:t>
          </w:r>
          <w:r w:rsidRPr="00E518BB">
            <w:rPr>
              <w:b/>
            </w:rPr>
            <w:t>mbitasvir</w:t>
          </w:r>
          <w:proofErr w:type="spellEnd"/>
          <w:r w:rsidRPr="004A2ECE">
            <w:rPr>
              <w:b/>
            </w:rPr>
            <w:t xml:space="preserve"> AbbVie Pty Ltd PM-2015-03141-1-2</w:t>
          </w:r>
          <w:r>
            <w:rPr>
              <w:b/>
            </w:rPr>
            <w:t xml:space="preserve"> </w:t>
          </w:r>
          <w:r w:rsidRPr="004A2ECE">
            <w:rPr>
              <w:b/>
            </w:rPr>
            <w:t>Final 5 October 2017</w:t>
          </w:r>
        </w:p>
      </w:tc>
    </w:tr>
  </w:tbl>
  <w:p w:rsidR="007D3CBF" w:rsidRDefault="007D3C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C57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3D220BC"/>
    <w:lvl w:ilvl="0">
      <w:start w:val="1"/>
      <w:numFmt w:val="decimal"/>
      <w:pStyle w:val="ListNumber4"/>
      <w:lvlText w:val="%1."/>
      <w:lvlJc w:val="left"/>
      <w:pPr>
        <w:tabs>
          <w:tab w:val="num" w:pos="1440"/>
        </w:tabs>
        <w:ind w:left="1440" w:hanging="360"/>
      </w:pPr>
    </w:lvl>
  </w:abstractNum>
  <w:abstractNum w:abstractNumId="2">
    <w:nsid w:val="FFFFFF80"/>
    <w:multiLevelType w:val="singleLevel"/>
    <w:tmpl w:val="D51045B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FFFFFF81"/>
    <w:multiLevelType w:val="singleLevel"/>
    <w:tmpl w:val="1480E68A"/>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8BA24148"/>
    <w:lvl w:ilvl="0">
      <w:start w:val="1"/>
      <w:numFmt w:val="bullet"/>
      <w:lvlText w:val=""/>
      <w:lvlJc w:val="left"/>
      <w:pPr>
        <w:tabs>
          <w:tab w:val="num" w:pos="926"/>
        </w:tabs>
        <w:ind w:left="926" w:hanging="360"/>
      </w:pPr>
      <w:rPr>
        <w:rFonts w:ascii="Symbol" w:hAnsi="Symbol" w:hint="default"/>
      </w:rPr>
    </w:lvl>
  </w:abstractNum>
  <w:abstractNum w:abstractNumId="5">
    <w:nsid w:val="FFFFFF89"/>
    <w:multiLevelType w:val="singleLevel"/>
    <w:tmpl w:val="4C466B7A"/>
    <w:lvl w:ilvl="0">
      <w:start w:val="1"/>
      <w:numFmt w:val="bullet"/>
      <w:pStyle w:val="ListBullet"/>
      <w:lvlText w:val=""/>
      <w:lvlJc w:val="left"/>
      <w:pPr>
        <w:tabs>
          <w:tab w:val="num" w:pos="360"/>
        </w:tabs>
        <w:ind w:left="340" w:hanging="340"/>
      </w:pPr>
      <w:rPr>
        <w:rFonts w:ascii="Symbol" w:hAnsi="Symbol" w:hint="default"/>
      </w:rPr>
    </w:lvl>
  </w:abstractNum>
  <w:abstractNum w:abstractNumId="6">
    <w:nsid w:val="01566958"/>
    <w:multiLevelType w:val="hybridMultilevel"/>
    <w:tmpl w:val="F174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A2C4E"/>
    <w:multiLevelType w:val="singleLevel"/>
    <w:tmpl w:val="A52E7380"/>
    <w:name w:val="ABLL1"/>
    <w:lvl w:ilvl="0">
      <w:start w:val="1"/>
      <w:numFmt w:val="lowerLetter"/>
      <w:pStyle w:val="ListLetter"/>
      <w:lvlText w:val="%1."/>
      <w:lvlJc w:val="left"/>
      <w:pPr>
        <w:tabs>
          <w:tab w:val="num" w:pos="720"/>
        </w:tabs>
        <w:ind w:left="720" w:hanging="360"/>
      </w:pPr>
      <w:rPr>
        <w:rFonts w:ascii="Times New Roman" w:eastAsia="MS Mincho" w:hAnsi="Times New Roman" w:cs="Times New Roman" w:hint="eastAsia"/>
        <w:b w:val="0"/>
        <w:i w:val="0"/>
        <w:caps w:val="0"/>
        <w:sz w:val="24"/>
        <w:u w:val="none"/>
        <w:vertAlign w:val="baseline"/>
      </w:rPr>
    </w:lvl>
  </w:abstractNum>
  <w:abstractNum w:abstractNumId="8">
    <w:nsid w:val="020E0EA1"/>
    <w:multiLevelType w:val="singleLevel"/>
    <w:tmpl w:val="BFB2C1BC"/>
    <w:name w:val="ABLB3"/>
    <w:lvl w:ilvl="0">
      <w:start w:val="1"/>
      <w:numFmt w:val="bullet"/>
      <w:pStyle w:val="ListBullet3"/>
      <w:lvlText w:val="●"/>
      <w:lvlJc w:val="left"/>
      <w:pPr>
        <w:tabs>
          <w:tab w:val="num" w:pos="1800"/>
        </w:tabs>
        <w:ind w:left="1800" w:hanging="360"/>
      </w:pPr>
      <w:rPr>
        <w:rFonts w:ascii="Times New Roman" w:hAnsi="Times New Roman" w:cs="Times New Roman"/>
        <w:b w:val="0"/>
        <w:i w:val="0"/>
        <w:caps w:val="0"/>
        <w:sz w:val="24"/>
        <w:u w:val="none"/>
        <w:vertAlign w:val="baseline"/>
      </w:rPr>
    </w:lvl>
  </w:abstractNum>
  <w:abstractNum w:abstractNumId="9">
    <w:nsid w:val="02406E5D"/>
    <w:multiLevelType w:val="hybridMultilevel"/>
    <w:tmpl w:val="D3AE5822"/>
    <w:lvl w:ilvl="0" w:tplc="E604B088">
      <w:start w:val="1"/>
      <w:numFmt w:val="lowerLetter"/>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25D4742"/>
    <w:multiLevelType w:val="hybridMultilevel"/>
    <w:tmpl w:val="5A3E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5F709B9"/>
    <w:multiLevelType w:val="hybridMultilevel"/>
    <w:tmpl w:val="64B84EB4"/>
    <w:lvl w:ilvl="0" w:tplc="0C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69667C0"/>
    <w:multiLevelType w:val="hybridMultilevel"/>
    <w:tmpl w:val="1F76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55009C"/>
    <w:multiLevelType w:val="hybridMultilevel"/>
    <w:tmpl w:val="D0A86C18"/>
    <w:lvl w:ilvl="0" w:tplc="72300A8A">
      <w:start w:val="19"/>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8A970A9"/>
    <w:multiLevelType w:val="singleLevel"/>
    <w:tmpl w:val="460A83CC"/>
    <w:name w:val="ABLB2"/>
    <w:lvl w:ilvl="0">
      <w:start w:val="1"/>
      <w:numFmt w:val="bullet"/>
      <w:pStyle w:val="ListBullet2"/>
      <w:lvlText w:val="○"/>
      <w:lvlJc w:val="left"/>
      <w:pPr>
        <w:tabs>
          <w:tab w:val="num" w:pos="1440"/>
        </w:tabs>
        <w:ind w:left="1440" w:hanging="360"/>
      </w:pPr>
      <w:rPr>
        <w:rFonts w:ascii="Times New Roman" w:hAnsi="Times New Roman" w:cs="Times New Roman"/>
        <w:b w:val="0"/>
        <w:i w:val="0"/>
        <w:caps w:val="0"/>
        <w:sz w:val="24"/>
        <w:u w:val="none"/>
        <w:vertAlign w:val="baseline"/>
      </w:rPr>
    </w:lvl>
  </w:abstractNum>
  <w:abstractNum w:abstractNumId="15">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0BC81CB2"/>
    <w:multiLevelType w:val="hybridMultilevel"/>
    <w:tmpl w:val="73727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0F82A22"/>
    <w:multiLevelType w:val="hybridMultilevel"/>
    <w:tmpl w:val="430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CE4F7D"/>
    <w:multiLevelType w:val="hybridMultilevel"/>
    <w:tmpl w:val="530C5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176325"/>
    <w:multiLevelType w:val="hybridMultilevel"/>
    <w:tmpl w:val="7FAEDB5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A6594A"/>
    <w:multiLevelType w:val="hybridMultilevel"/>
    <w:tmpl w:val="95D6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4C9267B"/>
    <w:multiLevelType w:val="hybridMultilevel"/>
    <w:tmpl w:val="2304D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7780D95"/>
    <w:multiLevelType w:val="singleLevel"/>
    <w:tmpl w:val="FCCCA8FC"/>
    <w:name w:val="ABTF"/>
    <w:lvl w:ilvl="0">
      <w:start w:val="1"/>
      <w:numFmt w:val="decimal"/>
      <w:pStyle w:val="TableFootnote"/>
      <w:lvlText w:val="%1"/>
      <w:lvlJc w:val="left"/>
      <w:pPr>
        <w:tabs>
          <w:tab w:val="num" w:pos="360"/>
        </w:tabs>
        <w:ind w:left="360" w:hanging="360"/>
      </w:pPr>
      <w:rPr>
        <w:rFonts w:ascii="Times New Roman" w:hAnsi="Times New Roman" w:cs="Times New Roman"/>
        <w:b w:val="0"/>
        <w:i w:val="0"/>
        <w:caps w:val="0"/>
        <w:sz w:val="18"/>
        <w:u w:val="none"/>
        <w:vertAlign w:val="baseline"/>
      </w:rPr>
    </w:lvl>
  </w:abstractNum>
  <w:abstractNum w:abstractNumId="23">
    <w:nsid w:val="1DB14154"/>
    <w:multiLevelType w:val="hybridMultilevel"/>
    <w:tmpl w:val="12A4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FC16FB8"/>
    <w:multiLevelType w:val="hybridMultilevel"/>
    <w:tmpl w:val="7B803C54"/>
    <w:lvl w:ilvl="0" w:tplc="84BA724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062406"/>
    <w:multiLevelType w:val="hybridMultilevel"/>
    <w:tmpl w:val="545E034C"/>
    <w:lvl w:ilvl="0" w:tplc="240C2F16">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22EA216B"/>
    <w:multiLevelType w:val="hybridMultilevel"/>
    <w:tmpl w:val="6B784E78"/>
    <w:lvl w:ilvl="0" w:tplc="307A0CB8">
      <w:start w:val="1"/>
      <w:numFmt w:val="bullet"/>
      <w:lvlText w:val="o"/>
      <w:lvlJc w:val="left"/>
      <w:pPr>
        <w:tabs>
          <w:tab w:val="num" w:pos="360"/>
        </w:tabs>
        <w:ind w:left="360" w:hanging="360"/>
      </w:pPr>
      <w:rPr>
        <w:rFonts w:ascii="Courier New" w:hAnsi="Courier New" w:hint="default"/>
        <w:sz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23F82793"/>
    <w:multiLevelType w:val="hybridMultilevel"/>
    <w:tmpl w:val="F3BA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FF1643"/>
    <w:multiLevelType w:val="hybridMultilevel"/>
    <w:tmpl w:val="9A1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4771114"/>
    <w:multiLevelType w:val="hybridMultilevel"/>
    <w:tmpl w:val="BB6CBD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4895136"/>
    <w:multiLevelType w:val="hybridMultilevel"/>
    <w:tmpl w:val="9DC07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48D752B"/>
    <w:multiLevelType w:val="hybridMultilevel"/>
    <w:tmpl w:val="933E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4B01C5D"/>
    <w:multiLevelType w:val="hybridMultilevel"/>
    <w:tmpl w:val="C088A946"/>
    <w:lvl w:ilvl="0" w:tplc="6E3A405E">
      <w:start w:val="1"/>
      <w:numFmt w:val="bullet"/>
      <w:lvlText w:val="•"/>
      <w:lvlJc w:val="left"/>
      <w:pPr>
        <w:tabs>
          <w:tab w:val="num" w:pos="720"/>
        </w:tabs>
        <w:ind w:left="720" w:hanging="360"/>
      </w:pPr>
      <w:rPr>
        <w:rFonts w:ascii="Arial" w:hAnsi="Arial" w:hint="default"/>
      </w:rPr>
    </w:lvl>
    <w:lvl w:ilvl="1" w:tplc="D4429D12" w:tentative="1">
      <w:start w:val="1"/>
      <w:numFmt w:val="bullet"/>
      <w:lvlText w:val="•"/>
      <w:lvlJc w:val="left"/>
      <w:pPr>
        <w:tabs>
          <w:tab w:val="num" w:pos="1440"/>
        </w:tabs>
        <w:ind w:left="1440" w:hanging="360"/>
      </w:pPr>
      <w:rPr>
        <w:rFonts w:ascii="Arial" w:hAnsi="Arial" w:hint="default"/>
      </w:rPr>
    </w:lvl>
    <w:lvl w:ilvl="2" w:tplc="3EE8DC1E" w:tentative="1">
      <w:start w:val="1"/>
      <w:numFmt w:val="bullet"/>
      <w:lvlText w:val="•"/>
      <w:lvlJc w:val="left"/>
      <w:pPr>
        <w:tabs>
          <w:tab w:val="num" w:pos="2160"/>
        </w:tabs>
        <w:ind w:left="2160" w:hanging="360"/>
      </w:pPr>
      <w:rPr>
        <w:rFonts w:ascii="Arial" w:hAnsi="Arial" w:hint="default"/>
      </w:rPr>
    </w:lvl>
    <w:lvl w:ilvl="3" w:tplc="EA4C0B1A" w:tentative="1">
      <w:start w:val="1"/>
      <w:numFmt w:val="bullet"/>
      <w:lvlText w:val="•"/>
      <w:lvlJc w:val="left"/>
      <w:pPr>
        <w:tabs>
          <w:tab w:val="num" w:pos="2880"/>
        </w:tabs>
        <w:ind w:left="2880" w:hanging="360"/>
      </w:pPr>
      <w:rPr>
        <w:rFonts w:ascii="Arial" w:hAnsi="Arial" w:hint="default"/>
      </w:rPr>
    </w:lvl>
    <w:lvl w:ilvl="4" w:tplc="1FDCBDEA" w:tentative="1">
      <w:start w:val="1"/>
      <w:numFmt w:val="bullet"/>
      <w:lvlText w:val="•"/>
      <w:lvlJc w:val="left"/>
      <w:pPr>
        <w:tabs>
          <w:tab w:val="num" w:pos="3600"/>
        </w:tabs>
        <w:ind w:left="3600" w:hanging="360"/>
      </w:pPr>
      <w:rPr>
        <w:rFonts w:ascii="Arial" w:hAnsi="Arial" w:hint="default"/>
      </w:rPr>
    </w:lvl>
    <w:lvl w:ilvl="5" w:tplc="5FD4B604" w:tentative="1">
      <w:start w:val="1"/>
      <w:numFmt w:val="bullet"/>
      <w:lvlText w:val="•"/>
      <w:lvlJc w:val="left"/>
      <w:pPr>
        <w:tabs>
          <w:tab w:val="num" w:pos="4320"/>
        </w:tabs>
        <w:ind w:left="4320" w:hanging="360"/>
      </w:pPr>
      <w:rPr>
        <w:rFonts w:ascii="Arial" w:hAnsi="Arial" w:hint="default"/>
      </w:rPr>
    </w:lvl>
    <w:lvl w:ilvl="6" w:tplc="6A024D12" w:tentative="1">
      <w:start w:val="1"/>
      <w:numFmt w:val="bullet"/>
      <w:lvlText w:val="•"/>
      <w:lvlJc w:val="left"/>
      <w:pPr>
        <w:tabs>
          <w:tab w:val="num" w:pos="5040"/>
        </w:tabs>
        <w:ind w:left="5040" w:hanging="360"/>
      </w:pPr>
      <w:rPr>
        <w:rFonts w:ascii="Arial" w:hAnsi="Arial" w:hint="default"/>
      </w:rPr>
    </w:lvl>
    <w:lvl w:ilvl="7" w:tplc="1226A14E" w:tentative="1">
      <w:start w:val="1"/>
      <w:numFmt w:val="bullet"/>
      <w:lvlText w:val="•"/>
      <w:lvlJc w:val="left"/>
      <w:pPr>
        <w:tabs>
          <w:tab w:val="num" w:pos="5760"/>
        </w:tabs>
        <w:ind w:left="5760" w:hanging="360"/>
      </w:pPr>
      <w:rPr>
        <w:rFonts w:ascii="Arial" w:hAnsi="Arial" w:hint="default"/>
      </w:rPr>
    </w:lvl>
    <w:lvl w:ilvl="8" w:tplc="CA5C9F94" w:tentative="1">
      <w:start w:val="1"/>
      <w:numFmt w:val="bullet"/>
      <w:lvlText w:val="•"/>
      <w:lvlJc w:val="left"/>
      <w:pPr>
        <w:tabs>
          <w:tab w:val="num" w:pos="6480"/>
        </w:tabs>
        <w:ind w:left="6480" w:hanging="360"/>
      </w:pPr>
      <w:rPr>
        <w:rFonts w:ascii="Arial" w:hAnsi="Arial" w:hint="default"/>
      </w:rPr>
    </w:lvl>
  </w:abstractNum>
  <w:abstractNum w:abstractNumId="33">
    <w:nsid w:val="24E17AEB"/>
    <w:multiLevelType w:val="hybridMultilevel"/>
    <w:tmpl w:val="C13A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68C7565"/>
    <w:multiLevelType w:val="hybridMultilevel"/>
    <w:tmpl w:val="01B2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7157A89"/>
    <w:multiLevelType w:val="hybridMultilevel"/>
    <w:tmpl w:val="2C60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801782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292642CA"/>
    <w:multiLevelType w:val="hybridMultilevel"/>
    <w:tmpl w:val="0F42A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A07376"/>
    <w:multiLevelType w:val="hybridMultilevel"/>
    <w:tmpl w:val="383C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AA662F3"/>
    <w:multiLevelType w:val="hybridMultilevel"/>
    <w:tmpl w:val="95A461C0"/>
    <w:lvl w:ilvl="0" w:tplc="240C2F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BAE7BF1"/>
    <w:multiLevelType w:val="singleLevel"/>
    <w:tmpl w:val="BFF22482"/>
    <w:name w:val="ABAP"/>
    <w:lvl w:ilvl="0">
      <w:start w:val="1"/>
      <w:numFmt w:val="upperLetter"/>
      <w:pStyle w:val="Appendix"/>
      <w:lvlText w:val="Appendix %1."/>
      <w:lvlJc w:val="left"/>
      <w:pPr>
        <w:tabs>
          <w:tab w:val="num" w:pos="1728"/>
        </w:tabs>
        <w:ind w:left="1728" w:hanging="1728"/>
      </w:pPr>
      <w:rPr>
        <w:rFonts w:ascii="Times New Roman" w:hAnsi="Times New Roman" w:cs="Times New Roman"/>
        <w:b/>
        <w:i w:val="0"/>
        <w:caps w:val="0"/>
        <w:sz w:val="24"/>
        <w:u w:val="none"/>
        <w:vertAlign w:val="baseline"/>
      </w:rPr>
    </w:lvl>
  </w:abstractNum>
  <w:abstractNum w:abstractNumId="41">
    <w:nsid w:val="2C1673BB"/>
    <w:multiLevelType w:val="singleLevel"/>
    <w:tmpl w:val="41EC6502"/>
    <w:name w:val="ABLB1"/>
    <w:lvl w:ilvl="0">
      <w:start w:val="1"/>
      <w:numFmt w:val="bullet"/>
      <w:lvlText w:val="●"/>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42">
    <w:nsid w:val="2EBC23E9"/>
    <w:multiLevelType w:val="hybridMultilevel"/>
    <w:tmpl w:val="971ED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nsid w:val="30723EF3"/>
    <w:multiLevelType w:val="multilevel"/>
    <w:tmpl w:val="5F8E5B3E"/>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44">
    <w:nsid w:val="30B12A0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319148B4"/>
    <w:multiLevelType w:val="multilevel"/>
    <w:tmpl w:val="D04CA7E6"/>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46">
    <w:nsid w:val="32786611"/>
    <w:multiLevelType w:val="multilevel"/>
    <w:tmpl w:val="EDD82A00"/>
    <w:lvl w:ilvl="0">
      <w:start w:val="1"/>
      <w:numFmt w:val="decimal"/>
      <w:lvlText w:val=""/>
      <w:lvlJc w:val="left"/>
      <w:pPr>
        <w:ind w:left="0" w:hanging="360"/>
      </w:pPr>
    </w:lvl>
    <w:lvl w:ilvl="1">
      <w:start w:val="1"/>
      <w:numFmt w:val="decimal"/>
      <w:lvlText w:val=""/>
      <w:lvlJc w:val="left"/>
      <w:pPr>
        <w:ind w:left="0" w:hanging="360"/>
      </w:pPr>
    </w:lvl>
    <w:lvl w:ilvl="2">
      <w:start w:val="1"/>
      <w:numFmt w:val="decimal"/>
      <w:lvlText w:val=""/>
      <w:lvlJc w:val="left"/>
      <w:pPr>
        <w:ind w:left="0" w:hanging="360"/>
      </w:pPr>
    </w:lvl>
    <w:lvl w:ilvl="3">
      <w:start w:val="1"/>
      <w:numFmt w:val="decimal"/>
      <w:lvlText w:val=""/>
      <w:lvlJc w:val="left"/>
      <w:pPr>
        <w:ind w:left="0" w:hanging="360"/>
      </w:pPr>
    </w:lvl>
    <w:lvl w:ilvl="4">
      <w:start w:val="1"/>
      <w:numFmt w:val="decimal"/>
      <w:lvlText w:val=""/>
      <w:lvlJc w:val="left"/>
      <w:pPr>
        <w:ind w:left="0" w:hanging="360"/>
      </w:pPr>
    </w:lvl>
    <w:lvl w:ilvl="5">
      <w:start w:val="1"/>
      <w:numFmt w:val="decimal"/>
      <w:lvlText w:val=""/>
      <w:lvlJc w:val="left"/>
      <w:pPr>
        <w:ind w:left="0" w:hanging="360"/>
      </w:pPr>
    </w:lvl>
    <w:lvl w:ilvl="6">
      <w:start w:val="1"/>
      <w:numFmt w:val="decimal"/>
      <w:lvlText w:val=""/>
      <w:lvlJc w:val="left"/>
      <w:pPr>
        <w:ind w:left="0" w:hanging="360"/>
      </w:pPr>
    </w:lvl>
    <w:lvl w:ilvl="7">
      <w:start w:val="1"/>
      <w:numFmt w:val="decimal"/>
      <w:lvlText w:val=""/>
      <w:lvlJc w:val="left"/>
      <w:pPr>
        <w:ind w:left="0" w:hanging="360"/>
      </w:pPr>
    </w:lvl>
    <w:lvl w:ilvl="8">
      <w:start w:val="1"/>
      <w:numFmt w:val="decimal"/>
      <w:lvlText w:val=""/>
      <w:lvlJc w:val="left"/>
      <w:pPr>
        <w:ind w:left="0" w:hanging="360"/>
      </w:pPr>
    </w:lvl>
  </w:abstractNum>
  <w:abstractNum w:abstractNumId="47">
    <w:nsid w:val="331620BF"/>
    <w:multiLevelType w:val="hybridMultilevel"/>
    <w:tmpl w:val="07A6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3C71DEC"/>
    <w:multiLevelType w:val="hybridMultilevel"/>
    <w:tmpl w:val="CA2692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nsid w:val="3457223B"/>
    <w:multiLevelType w:val="hybridMultilevel"/>
    <w:tmpl w:val="F2068DEC"/>
    <w:lvl w:ilvl="0" w:tplc="7124F35A">
      <w:start w:val="4"/>
      <w:numFmt w:val="bullet"/>
      <w:lvlText w:val="-"/>
      <w:lvlJc w:val="left"/>
      <w:pPr>
        <w:ind w:left="720" w:hanging="360"/>
      </w:pPr>
      <w:rPr>
        <w:rFonts w:ascii="Times New Roman" w:eastAsia="TimesNew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nsid w:val="35CC21DE"/>
    <w:multiLevelType w:val="multilevel"/>
    <w:tmpl w:val="DD22223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51">
    <w:nsid w:val="36BF7729"/>
    <w:multiLevelType w:val="hybridMultilevel"/>
    <w:tmpl w:val="CCA8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887621D"/>
    <w:multiLevelType w:val="hybridMultilevel"/>
    <w:tmpl w:val="CA64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8AF452F"/>
    <w:multiLevelType w:val="hybridMultilevel"/>
    <w:tmpl w:val="C6AEAD86"/>
    <w:lvl w:ilvl="0" w:tplc="240C2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8E031D2"/>
    <w:multiLevelType w:val="hybridMultilevel"/>
    <w:tmpl w:val="FE3E5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9220220"/>
    <w:multiLevelType w:val="singleLevel"/>
    <w:tmpl w:val="B59E1D16"/>
    <w:name w:val="ABLL2"/>
    <w:lvl w:ilvl="0">
      <w:start w:val="1"/>
      <w:numFmt w:val="lowerLetter"/>
      <w:pStyle w:val="ListLetter2"/>
      <w:lvlText w:val="%1."/>
      <w:lvlJc w:val="left"/>
      <w:pPr>
        <w:tabs>
          <w:tab w:val="num" w:pos="1440"/>
        </w:tabs>
        <w:ind w:left="1440" w:hanging="360"/>
      </w:pPr>
      <w:rPr>
        <w:rFonts w:ascii="Times New Roman" w:eastAsia="MS Mincho" w:hAnsi="Times New Roman" w:cs="Times New Roman" w:hint="eastAsia"/>
        <w:b w:val="0"/>
        <w:i w:val="0"/>
        <w:caps w:val="0"/>
        <w:sz w:val="24"/>
        <w:u w:val="none"/>
        <w:vertAlign w:val="baseline"/>
      </w:rPr>
    </w:lvl>
  </w:abstractNum>
  <w:abstractNum w:abstractNumId="56">
    <w:nsid w:val="3A3709D8"/>
    <w:multiLevelType w:val="hybridMultilevel"/>
    <w:tmpl w:val="BF663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3BBD0D83"/>
    <w:multiLevelType w:val="hybridMultilevel"/>
    <w:tmpl w:val="FDE6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10B0450"/>
    <w:multiLevelType w:val="singleLevel"/>
    <w:tmpl w:val="17B86FA6"/>
    <w:name w:val="ABRE"/>
    <w:lvl w:ilvl="0">
      <w:start w:val="1"/>
      <w:numFmt w:val="decimal"/>
      <w:pStyle w:val="References"/>
      <w:lvlText w:val="%1."/>
      <w:lvlJc w:val="right"/>
      <w:pPr>
        <w:tabs>
          <w:tab w:val="num" w:pos="648"/>
        </w:tabs>
        <w:ind w:left="648" w:hanging="360"/>
      </w:pPr>
      <w:rPr>
        <w:rFonts w:ascii="Times New Roman" w:hAnsi="Times New Roman" w:cs="Times New Roman"/>
        <w:b w:val="0"/>
        <w:i w:val="0"/>
        <w:caps w:val="0"/>
        <w:sz w:val="24"/>
        <w:u w:val="none"/>
        <w:vertAlign w:val="baseline"/>
      </w:rPr>
    </w:lvl>
  </w:abstractNum>
  <w:abstractNum w:abstractNumId="59">
    <w:nsid w:val="42FD22C2"/>
    <w:multiLevelType w:val="multilevel"/>
    <w:tmpl w:val="3F0409D8"/>
    <w:lvl w:ilvl="0">
      <w:start w:val="1"/>
      <w:numFmt w:val="decimal"/>
      <w:lvlText w:val=""/>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0">
    <w:nsid w:val="45BA20CC"/>
    <w:multiLevelType w:val="multilevel"/>
    <w:tmpl w:val="CAEAEE14"/>
    <w:lvl w:ilvl="0">
      <w:start w:val="1"/>
      <w:numFmt w:val="decimal"/>
      <w:lvlText w:val=""/>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1">
    <w:nsid w:val="48F10360"/>
    <w:multiLevelType w:val="hybridMultilevel"/>
    <w:tmpl w:val="8CCE3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BCB7CE4"/>
    <w:multiLevelType w:val="hybridMultilevel"/>
    <w:tmpl w:val="24A41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nsid w:val="4E6405D1"/>
    <w:multiLevelType w:val="hybridMultilevel"/>
    <w:tmpl w:val="4CCE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07F67A6"/>
    <w:multiLevelType w:val="multilevel"/>
    <w:tmpl w:val="1A6E53D0"/>
    <w:lvl w:ilvl="0">
      <w:start w:val="1"/>
      <w:numFmt w:val="decimal"/>
      <w:lvlText w:val=""/>
      <w:lvlJc w:val="left"/>
      <w:pPr>
        <w:ind w:left="0" w:hanging="360"/>
      </w:pPr>
    </w:lvl>
    <w:lvl w:ilvl="1">
      <w:start w:val="1"/>
      <w:numFmt w:val="decimal"/>
      <w:lvlText w:val=""/>
      <w:lvlJc w:val="left"/>
      <w:pPr>
        <w:ind w:left="0" w:hanging="360"/>
      </w:pPr>
    </w:lvl>
    <w:lvl w:ilvl="2">
      <w:start w:val="1"/>
      <w:numFmt w:val="decimal"/>
      <w:lvlText w:val=""/>
      <w:lvlJc w:val="left"/>
      <w:pPr>
        <w:ind w:left="0" w:hanging="360"/>
      </w:pPr>
    </w:lvl>
    <w:lvl w:ilvl="3">
      <w:start w:val="1"/>
      <w:numFmt w:val="decimal"/>
      <w:lvlText w:val=""/>
      <w:lvlJc w:val="left"/>
      <w:pPr>
        <w:ind w:left="0" w:hanging="360"/>
      </w:pPr>
    </w:lvl>
    <w:lvl w:ilvl="4">
      <w:start w:val="1"/>
      <w:numFmt w:val="decimal"/>
      <w:lvlText w:val=""/>
      <w:lvlJc w:val="left"/>
      <w:pPr>
        <w:ind w:left="0" w:hanging="360"/>
      </w:pPr>
    </w:lvl>
    <w:lvl w:ilvl="5">
      <w:start w:val="1"/>
      <w:numFmt w:val="decimal"/>
      <w:lvlText w:val=""/>
      <w:lvlJc w:val="left"/>
      <w:pPr>
        <w:ind w:left="0" w:hanging="360"/>
      </w:pPr>
    </w:lvl>
    <w:lvl w:ilvl="6">
      <w:start w:val="1"/>
      <w:numFmt w:val="decimal"/>
      <w:lvlText w:val=""/>
      <w:lvlJc w:val="left"/>
      <w:pPr>
        <w:ind w:left="0" w:hanging="360"/>
      </w:pPr>
    </w:lvl>
    <w:lvl w:ilvl="7">
      <w:start w:val="1"/>
      <w:numFmt w:val="decimal"/>
      <w:lvlText w:val=""/>
      <w:lvlJc w:val="left"/>
      <w:pPr>
        <w:ind w:left="0" w:hanging="360"/>
      </w:pPr>
    </w:lvl>
    <w:lvl w:ilvl="8">
      <w:start w:val="1"/>
      <w:numFmt w:val="decimal"/>
      <w:lvlText w:val=""/>
      <w:lvlJc w:val="left"/>
      <w:pPr>
        <w:ind w:left="0" w:hanging="360"/>
      </w:pPr>
    </w:lvl>
  </w:abstractNum>
  <w:abstractNum w:abstractNumId="65">
    <w:nsid w:val="516F5CDD"/>
    <w:multiLevelType w:val="hybridMultilevel"/>
    <w:tmpl w:val="B6765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524970C6"/>
    <w:multiLevelType w:val="hybridMultilevel"/>
    <w:tmpl w:val="A9E06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4C26A1F"/>
    <w:multiLevelType w:val="multilevel"/>
    <w:tmpl w:val="FBB2A870"/>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68">
    <w:nsid w:val="56D27EC7"/>
    <w:multiLevelType w:val="multilevel"/>
    <w:tmpl w:val="E5E2A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9">
    <w:nsid w:val="583D7421"/>
    <w:multiLevelType w:val="hybridMultilevel"/>
    <w:tmpl w:val="DF683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5B296D7B"/>
    <w:multiLevelType w:val="hybridMultilevel"/>
    <w:tmpl w:val="CA2692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1">
    <w:nsid w:val="5BA1040B"/>
    <w:multiLevelType w:val="hybridMultilevel"/>
    <w:tmpl w:val="914A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EA073F2"/>
    <w:multiLevelType w:val="multilevel"/>
    <w:tmpl w:val="DD92CF1C"/>
    <w:lvl w:ilvl="0">
      <w:start w:val="1"/>
      <w:numFmt w:val="decimal"/>
      <w:lvlText w:val=""/>
      <w:lvlJc w:val="left"/>
      <w:pPr>
        <w:ind w:left="0" w:hanging="360"/>
      </w:pPr>
    </w:lvl>
    <w:lvl w:ilvl="1">
      <w:start w:val="1"/>
      <w:numFmt w:val="decimal"/>
      <w:lvlText w:val=""/>
      <w:lvlJc w:val="left"/>
      <w:pPr>
        <w:ind w:left="0" w:hanging="360"/>
      </w:pPr>
    </w:lvl>
    <w:lvl w:ilvl="2">
      <w:start w:val="1"/>
      <w:numFmt w:val="decimal"/>
      <w:lvlText w:val=""/>
      <w:lvlJc w:val="left"/>
      <w:pPr>
        <w:ind w:left="0" w:hanging="360"/>
      </w:pPr>
    </w:lvl>
    <w:lvl w:ilvl="3">
      <w:start w:val="1"/>
      <w:numFmt w:val="decimal"/>
      <w:lvlText w:val=""/>
      <w:lvlJc w:val="left"/>
      <w:pPr>
        <w:ind w:left="0" w:hanging="360"/>
      </w:pPr>
    </w:lvl>
    <w:lvl w:ilvl="4">
      <w:start w:val="1"/>
      <w:numFmt w:val="decimal"/>
      <w:lvlText w:val=""/>
      <w:lvlJc w:val="left"/>
      <w:pPr>
        <w:ind w:left="0" w:hanging="360"/>
      </w:pPr>
    </w:lvl>
    <w:lvl w:ilvl="5">
      <w:start w:val="1"/>
      <w:numFmt w:val="decimal"/>
      <w:lvlText w:val=""/>
      <w:lvlJc w:val="left"/>
      <w:pPr>
        <w:ind w:left="0" w:hanging="360"/>
      </w:pPr>
    </w:lvl>
    <w:lvl w:ilvl="6">
      <w:start w:val="1"/>
      <w:numFmt w:val="decimal"/>
      <w:lvlText w:val=""/>
      <w:lvlJc w:val="left"/>
      <w:pPr>
        <w:ind w:left="0" w:hanging="360"/>
      </w:pPr>
    </w:lvl>
    <w:lvl w:ilvl="7">
      <w:start w:val="1"/>
      <w:numFmt w:val="decimal"/>
      <w:lvlText w:val=""/>
      <w:lvlJc w:val="left"/>
      <w:pPr>
        <w:ind w:left="0" w:hanging="360"/>
      </w:pPr>
    </w:lvl>
    <w:lvl w:ilvl="8">
      <w:start w:val="1"/>
      <w:numFmt w:val="decimal"/>
      <w:lvlText w:val=""/>
      <w:lvlJc w:val="left"/>
      <w:pPr>
        <w:ind w:left="0" w:hanging="360"/>
      </w:pPr>
    </w:lvl>
  </w:abstractNum>
  <w:abstractNum w:abstractNumId="73">
    <w:nsid w:val="5EA249EB"/>
    <w:multiLevelType w:val="hybridMultilevel"/>
    <w:tmpl w:val="120C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1B947C3"/>
    <w:multiLevelType w:val="hybridMultilevel"/>
    <w:tmpl w:val="7FC42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63BB38D7"/>
    <w:multiLevelType w:val="hybridMultilevel"/>
    <w:tmpl w:val="C4765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63D945E2"/>
    <w:multiLevelType w:val="hybridMultilevel"/>
    <w:tmpl w:val="B342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55779C1"/>
    <w:multiLevelType w:val="hybridMultilevel"/>
    <w:tmpl w:val="D3AE5822"/>
    <w:lvl w:ilvl="0" w:tplc="E604B088">
      <w:start w:val="1"/>
      <w:numFmt w:val="lowerLetter"/>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665F061D"/>
    <w:multiLevelType w:val="hybridMultilevel"/>
    <w:tmpl w:val="8D7E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6727CC9"/>
    <w:multiLevelType w:val="singleLevel"/>
    <w:tmpl w:val="097C5A86"/>
    <w:name w:val="ABLN2"/>
    <w:lvl w:ilvl="0">
      <w:start w:val="1"/>
      <w:numFmt w:val="lowerLetter"/>
      <w:pStyle w:val="ListNumber2"/>
      <w:lvlText w:val="%1."/>
      <w:lvlJc w:val="right"/>
      <w:pPr>
        <w:tabs>
          <w:tab w:val="num" w:pos="1440"/>
        </w:tabs>
        <w:ind w:left="1440" w:hanging="360"/>
      </w:pPr>
      <w:rPr>
        <w:rFonts w:ascii="Times New Roman" w:eastAsia="MS Mincho" w:hAnsi="Times New Roman" w:cs="Times New Roman" w:hint="eastAsia"/>
        <w:b w:val="0"/>
        <w:i w:val="0"/>
        <w:caps w:val="0"/>
        <w:sz w:val="24"/>
        <w:u w:val="none"/>
        <w:vertAlign w:val="baseline"/>
      </w:rPr>
    </w:lvl>
  </w:abstractNum>
  <w:abstractNum w:abstractNumId="80">
    <w:nsid w:val="671F5245"/>
    <w:multiLevelType w:val="multilevel"/>
    <w:tmpl w:val="D8EEDB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1">
    <w:nsid w:val="6AF16CFA"/>
    <w:multiLevelType w:val="hybridMultilevel"/>
    <w:tmpl w:val="A9E0661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2">
    <w:nsid w:val="6B34669B"/>
    <w:multiLevelType w:val="hybridMultilevel"/>
    <w:tmpl w:val="7A64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BB30D55"/>
    <w:multiLevelType w:val="hybridMultilevel"/>
    <w:tmpl w:val="5C36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6DAC27CD"/>
    <w:multiLevelType w:val="hybridMultilevel"/>
    <w:tmpl w:val="1640D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F543F69"/>
    <w:multiLevelType w:val="hybridMultilevel"/>
    <w:tmpl w:val="C940108C"/>
    <w:lvl w:ilvl="0" w:tplc="A6F6DCFA">
      <w:start w:val="1"/>
      <w:numFmt w:val="bullet"/>
      <w:lvlText w:val="o"/>
      <w:lvlJc w:val="left"/>
      <w:pPr>
        <w:tabs>
          <w:tab w:val="num" w:pos="360"/>
        </w:tabs>
        <w:ind w:left="360" w:hanging="360"/>
      </w:pPr>
      <w:rPr>
        <w:rFonts w:ascii="Courier New" w:hAnsi="Courier New"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0356B8D"/>
    <w:multiLevelType w:val="hybridMultilevel"/>
    <w:tmpl w:val="5F8A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70787DD8"/>
    <w:multiLevelType w:val="singleLevel"/>
    <w:tmpl w:val="D1D093F6"/>
    <w:name w:val="ABLN1"/>
    <w:lvl w:ilvl="0">
      <w:start w:val="1"/>
      <w:numFmt w:val="decimal"/>
      <w:pStyle w:val="ListNumber"/>
      <w:lvlText w:val="%1."/>
      <w:lvlJc w:val="right"/>
      <w:pPr>
        <w:tabs>
          <w:tab w:val="num" w:pos="648"/>
        </w:tabs>
        <w:ind w:left="648" w:hanging="360"/>
      </w:pPr>
      <w:rPr>
        <w:rFonts w:ascii="Times New Roman" w:eastAsia="MS Mincho" w:hAnsi="Times New Roman" w:cs="Times New Roman" w:hint="eastAsia"/>
        <w:b w:val="0"/>
        <w:i w:val="0"/>
        <w:caps w:val="0"/>
        <w:sz w:val="24"/>
        <w:u w:val="none"/>
        <w:vertAlign w:val="baseline"/>
      </w:rPr>
    </w:lvl>
  </w:abstractNum>
  <w:abstractNum w:abstractNumId="89">
    <w:nsid w:val="709A0604"/>
    <w:multiLevelType w:val="hybridMultilevel"/>
    <w:tmpl w:val="FCF4D3C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nsid w:val="7237032D"/>
    <w:multiLevelType w:val="hybridMultilevel"/>
    <w:tmpl w:val="A5BEF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2DC43A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2">
    <w:nsid w:val="737B0BE8"/>
    <w:multiLevelType w:val="singleLevel"/>
    <w:tmpl w:val="AA4C9E6C"/>
    <w:name w:val="ABTFL"/>
    <w:lvl w:ilvl="0">
      <w:start w:val="1"/>
      <w:numFmt w:val="lowerLetter"/>
      <w:pStyle w:val="TableFootnoteLetter"/>
      <w:lvlText w:val="%1"/>
      <w:lvlJc w:val="left"/>
      <w:pPr>
        <w:tabs>
          <w:tab w:val="num" w:pos="360"/>
        </w:tabs>
        <w:ind w:left="360" w:hanging="360"/>
      </w:pPr>
      <w:rPr>
        <w:rFonts w:ascii="Times New Roman" w:hAnsi="Times New Roman" w:cs="Times New Roman"/>
        <w:b w:val="0"/>
        <w:i w:val="0"/>
        <w:caps w:val="0"/>
        <w:sz w:val="18"/>
        <w:u w:val="none"/>
        <w:vertAlign w:val="baseline"/>
      </w:rPr>
    </w:lvl>
  </w:abstractNum>
  <w:abstractNum w:abstractNumId="93">
    <w:nsid w:val="75B02D23"/>
    <w:multiLevelType w:val="multilevel"/>
    <w:tmpl w:val="99BC67D6"/>
    <w:lvl w:ilvl="0">
      <w:start w:val="1"/>
      <w:numFmt w:val="decimal"/>
      <w:lvlText w:val=""/>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94">
    <w:nsid w:val="7A711277"/>
    <w:multiLevelType w:val="multilevel"/>
    <w:tmpl w:val="AA0E75B2"/>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7B6351D2"/>
    <w:multiLevelType w:val="singleLevel"/>
    <w:tmpl w:val="A5703126"/>
    <w:name w:val="ABLL3"/>
    <w:lvl w:ilvl="0">
      <w:start w:val="1"/>
      <w:numFmt w:val="lowerLetter"/>
      <w:pStyle w:val="ListLetter3"/>
      <w:lvlText w:val="%1."/>
      <w:lvlJc w:val="left"/>
      <w:pPr>
        <w:tabs>
          <w:tab w:val="num" w:pos="2160"/>
        </w:tabs>
        <w:ind w:left="2160" w:hanging="360"/>
      </w:pPr>
      <w:rPr>
        <w:rFonts w:ascii="Times New Roman" w:eastAsia="MS Mincho" w:hAnsi="Times New Roman" w:cs="Times New Roman" w:hint="eastAsia"/>
        <w:b w:val="0"/>
        <w:i w:val="0"/>
        <w:caps w:val="0"/>
        <w:sz w:val="24"/>
        <w:u w:val="none"/>
        <w:vertAlign w:val="baseline"/>
      </w:rPr>
    </w:lvl>
  </w:abstractNum>
  <w:abstractNum w:abstractNumId="96">
    <w:nsid w:val="7F9B2093"/>
    <w:multiLevelType w:val="singleLevel"/>
    <w:tmpl w:val="C07868B2"/>
    <w:name w:val="ABLN3"/>
    <w:lvl w:ilvl="0">
      <w:start w:val="1"/>
      <w:numFmt w:val="lowerRoman"/>
      <w:pStyle w:val="ListNumber3"/>
      <w:lvlText w:val="%1."/>
      <w:lvlJc w:val="right"/>
      <w:pPr>
        <w:tabs>
          <w:tab w:val="num" w:pos="2160"/>
        </w:tabs>
        <w:ind w:left="2160" w:hanging="180"/>
      </w:pPr>
      <w:rPr>
        <w:rFonts w:ascii="Times New Roman" w:eastAsia="MS Mincho" w:hAnsi="Times New Roman" w:cs="Times New Roman" w:hint="eastAsia"/>
        <w:b w:val="0"/>
        <w:i w:val="0"/>
        <w:caps w:val="0"/>
        <w:sz w:val="24"/>
        <w:u w:val="none"/>
        <w:vertAlign w:val="baseline"/>
      </w:rPr>
    </w:lvl>
  </w:abstractNum>
  <w:num w:numId="1">
    <w:abstractNumId w:val="61"/>
  </w:num>
  <w:num w:numId="2">
    <w:abstractNumId w:val="90"/>
  </w:num>
  <w:num w:numId="3">
    <w:abstractNumId w:val="62"/>
  </w:num>
  <w:num w:numId="4">
    <w:abstractNumId w:val="9"/>
  </w:num>
  <w:num w:numId="5">
    <w:abstractNumId w:val="5"/>
  </w:num>
  <w:num w:numId="6">
    <w:abstractNumId w:val="74"/>
  </w:num>
  <w:num w:numId="7">
    <w:abstractNumId w:val="69"/>
  </w:num>
  <w:num w:numId="8">
    <w:abstractNumId w:val="76"/>
  </w:num>
  <w:num w:numId="9">
    <w:abstractNumId w:val="60"/>
  </w:num>
  <w:num w:numId="10">
    <w:abstractNumId w:val="89"/>
  </w:num>
  <w:num w:numId="11">
    <w:abstractNumId w:val="46"/>
  </w:num>
  <w:num w:numId="12">
    <w:abstractNumId w:val="68"/>
  </w:num>
  <w:num w:numId="13">
    <w:abstractNumId w:val="93"/>
  </w:num>
  <w:num w:numId="14">
    <w:abstractNumId w:val="51"/>
  </w:num>
  <w:num w:numId="15">
    <w:abstractNumId w:val="65"/>
  </w:num>
  <w:num w:numId="16">
    <w:abstractNumId w:val="88"/>
  </w:num>
  <w:num w:numId="17">
    <w:abstractNumId w:val="14"/>
  </w:num>
  <w:num w:numId="18">
    <w:abstractNumId w:val="8"/>
  </w:num>
  <w:num w:numId="19">
    <w:abstractNumId w:val="79"/>
  </w:num>
  <w:num w:numId="20">
    <w:abstractNumId w:val="96"/>
  </w:num>
  <w:num w:numId="21">
    <w:abstractNumId w:val="7"/>
  </w:num>
  <w:num w:numId="22">
    <w:abstractNumId w:val="55"/>
  </w:num>
  <w:num w:numId="23">
    <w:abstractNumId w:val="95"/>
  </w:num>
  <w:num w:numId="24">
    <w:abstractNumId w:val="40"/>
  </w:num>
  <w:num w:numId="25">
    <w:abstractNumId w:val="58"/>
  </w:num>
  <w:num w:numId="26">
    <w:abstractNumId w:val="22"/>
  </w:num>
  <w:num w:numId="27">
    <w:abstractNumId w:val="92"/>
  </w:num>
  <w:num w:numId="28">
    <w:abstractNumId w:val="3"/>
  </w:num>
  <w:num w:numId="29">
    <w:abstractNumId w:val="2"/>
  </w:num>
  <w:num w:numId="30">
    <w:abstractNumId w:val="1"/>
  </w:num>
  <w:num w:numId="31">
    <w:abstractNumId w:val="0"/>
  </w:num>
  <w:num w:numId="32">
    <w:abstractNumId w:val="36"/>
  </w:num>
  <w:num w:numId="33">
    <w:abstractNumId w:val="44"/>
  </w:num>
  <w:num w:numId="34">
    <w:abstractNumId w:val="91"/>
  </w:num>
  <w:num w:numId="35">
    <w:abstractNumId w:val="81"/>
  </w:num>
  <w:num w:numId="36">
    <w:abstractNumId w:val="50"/>
  </w:num>
  <w:num w:numId="37">
    <w:abstractNumId w:val="43"/>
  </w:num>
  <w:num w:numId="38">
    <w:abstractNumId w:val="18"/>
  </w:num>
  <w:num w:numId="39">
    <w:abstractNumId w:val="13"/>
  </w:num>
  <w:num w:numId="40">
    <w:abstractNumId w:val="77"/>
  </w:num>
  <w:num w:numId="41">
    <w:abstractNumId w:val="6"/>
  </w:num>
  <w:num w:numId="42">
    <w:abstractNumId w:val="47"/>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30"/>
  </w:num>
  <w:num w:numId="46">
    <w:abstractNumId w:val="15"/>
  </w:num>
  <w:num w:numId="47">
    <w:abstractNumId w:val="86"/>
  </w:num>
  <w:num w:numId="48">
    <w:abstractNumId w:val="41"/>
  </w:num>
  <w:num w:numId="49">
    <w:abstractNumId w:val="94"/>
  </w:num>
  <w:num w:numId="50">
    <w:abstractNumId w:val="54"/>
  </w:num>
  <w:num w:numId="51">
    <w:abstractNumId w:val="52"/>
  </w:num>
  <w:num w:numId="52">
    <w:abstractNumId w:val="84"/>
  </w:num>
  <w:num w:numId="53">
    <w:abstractNumId w:val="31"/>
  </w:num>
  <w:num w:numId="54">
    <w:abstractNumId w:val="42"/>
  </w:num>
  <w:num w:numId="55">
    <w:abstractNumId w:val="17"/>
  </w:num>
  <w:num w:numId="56">
    <w:abstractNumId w:val="73"/>
  </w:num>
  <w:num w:numId="57">
    <w:abstractNumId w:val="21"/>
  </w:num>
  <w:num w:numId="58">
    <w:abstractNumId w:val="28"/>
  </w:num>
  <w:num w:numId="59">
    <w:abstractNumId w:val="32"/>
  </w:num>
  <w:num w:numId="60">
    <w:abstractNumId w:val="24"/>
  </w:num>
  <w:num w:numId="61">
    <w:abstractNumId w:val="33"/>
  </w:num>
  <w:num w:numId="62">
    <w:abstractNumId w:val="39"/>
  </w:num>
  <w:num w:numId="63">
    <w:abstractNumId w:val="53"/>
  </w:num>
  <w:num w:numId="64">
    <w:abstractNumId w:val="16"/>
  </w:num>
  <w:num w:numId="65">
    <w:abstractNumId w:val="34"/>
  </w:num>
  <w:num w:numId="66">
    <w:abstractNumId w:val="78"/>
  </w:num>
  <w:num w:numId="67">
    <w:abstractNumId w:val="12"/>
  </w:num>
  <w:num w:numId="68">
    <w:abstractNumId w:val="63"/>
  </w:num>
  <w:num w:numId="69">
    <w:abstractNumId w:val="20"/>
  </w:num>
  <w:num w:numId="70">
    <w:abstractNumId w:val="35"/>
  </w:num>
  <w:num w:numId="71">
    <w:abstractNumId w:val="10"/>
  </w:num>
  <w:num w:numId="72">
    <w:abstractNumId w:val="23"/>
  </w:num>
  <w:num w:numId="73">
    <w:abstractNumId w:val="71"/>
  </w:num>
  <w:num w:numId="74">
    <w:abstractNumId w:val="82"/>
  </w:num>
  <w:num w:numId="75">
    <w:abstractNumId w:val="59"/>
  </w:num>
  <w:num w:numId="76">
    <w:abstractNumId w:val="27"/>
  </w:num>
  <w:num w:numId="77">
    <w:abstractNumId w:val="80"/>
  </w:num>
  <w:num w:numId="78">
    <w:abstractNumId w:val="83"/>
  </w:num>
  <w:num w:numId="79">
    <w:abstractNumId w:val="75"/>
  </w:num>
  <w:num w:numId="80">
    <w:abstractNumId w:val="25"/>
  </w:num>
  <w:num w:numId="81">
    <w:abstractNumId w:val="49"/>
  </w:num>
  <w:num w:numId="82">
    <w:abstractNumId w:val="4"/>
  </w:num>
  <w:num w:numId="83">
    <w:abstractNumId w:val="38"/>
  </w:num>
  <w:num w:numId="84">
    <w:abstractNumId w:val="37"/>
  </w:num>
  <w:num w:numId="85">
    <w:abstractNumId w:val="66"/>
  </w:num>
  <w:num w:numId="86">
    <w:abstractNumId w:val="19"/>
  </w:num>
  <w:num w:numId="87">
    <w:abstractNumId w:val="11"/>
  </w:num>
  <w:num w:numId="88">
    <w:abstractNumId w:val="26"/>
  </w:num>
  <w:num w:numId="89">
    <w:abstractNumId w:val="85"/>
  </w:num>
  <w:num w:numId="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7"/>
  </w:num>
  <w:num w:numId="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2"/>
  </w:num>
  <w:num w:numId="94">
    <w:abstractNumId w:val="67"/>
  </w:num>
  <w:num w:numId="95">
    <w:abstractNumId w:val="45"/>
  </w:num>
  <w:num w:numId="96">
    <w:abstractNumId w:val="64"/>
  </w:num>
  <w:num w:numId="97">
    <w:abstractNumId w:val="8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F33"/>
    <w:rsid w:val="00013ED9"/>
    <w:rsid w:val="00016D59"/>
    <w:rsid w:val="000230E0"/>
    <w:rsid w:val="00027FE5"/>
    <w:rsid w:val="00035A4F"/>
    <w:rsid w:val="00045A24"/>
    <w:rsid w:val="000506B0"/>
    <w:rsid w:val="000562CA"/>
    <w:rsid w:val="00063A90"/>
    <w:rsid w:val="000742AC"/>
    <w:rsid w:val="00074DE4"/>
    <w:rsid w:val="000779F0"/>
    <w:rsid w:val="0008418F"/>
    <w:rsid w:val="00085F33"/>
    <w:rsid w:val="00091350"/>
    <w:rsid w:val="000A2E97"/>
    <w:rsid w:val="000A4AD1"/>
    <w:rsid w:val="000B5B60"/>
    <w:rsid w:val="000D4A1F"/>
    <w:rsid w:val="000F312C"/>
    <w:rsid w:val="00103782"/>
    <w:rsid w:val="0011309F"/>
    <w:rsid w:val="00117E17"/>
    <w:rsid w:val="00122555"/>
    <w:rsid w:val="00130A5E"/>
    <w:rsid w:val="0013718F"/>
    <w:rsid w:val="00153B2A"/>
    <w:rsid w:val="0016780E"/>
    <w:rsid w:val="00196094"/>
    <w:rsid w:val="001A4F5E"/>
    <w:rsid w:val="001E0E8A"/>
    <w:rsid w:val="00225917"/>
    <w:rsid w:val="00230711"/>
    <w:rsid w:val="002346C4"/>
    <w:rsid w:val="00235700"/>
    <w:rsid w:val="002466EC"/>
    <w:rsid w:val="00275688"/>
    <w:rsid w:val="002822A4"/>
    <w:rsid w:val="00295663"/>
    <w:rsid w:val="00297F96"/>
    <w:rsid w:val="002A1D90"/>
    <w:rsid w:val="002A7345"/>
    <w:rsid w:val="002A790B"/>
    <w:rsid w:val="002C3A44"/>
    <w:rsid w:val="002C7C17"/>
    <w:rsid w:val="002E68F7"/>
    <w:rsid w:val="002F5D98"/>
    <w:rsid w:val="00311C3F"/>
    <w:rsid w:val="00324854"/>
    <w:rsid w:val="00360E15"/>
    <w:rsid w:val="00367885"/>
    <w:rsid w:val="00390B3A"/>
    <w:rsid w:val="003A11C0"/>
    <w:rsid w:val="003A240F"/>
    <w:rsid w:val="003A7FA0"/>
    <w:rsid w:val="003B02C0"/>
    <w:rsid w:val="003B0FD7"/>
    <w:rsid w:val="003C174C"/>
    <w:rsid w:val="003D1FC7"/>
    <w:rsid w:val="003D3C3F"/>
    <w:rsid w:val="003D48A2"/>
    <w:rsid w:val="003F6122"/>
    <w:rsid w:val="00404512"/>
    <w:rsid w:val="00406F37"/>
    <w:rsid w:val="00411753"/>
    <w:rsid w:val="00420F65"/>
    <w:rsid w:val="004265BE"/>
    <w:rsid w:val="00434C08"/>
    <w:rsid w:val="004556D2"/>
    <w:rsid w:val="00462C9E"/>
    <w:rsid w:val="0047306D"/>
    <w:rsid w:val="00473B2A"/>
    <w:rsid w:val="004747CF"/>
    <w:rsid w:val="004843D4"/>
    <w:rsid w:val="004877B1"/>
    <w:rsid w:val="0049407C"/>
    <w:rsid w:val="00497BFE"/>
    <w:rsid w:val="004A763C"/>
    <w:rsid w:val="004E14C8"/>
    <w:rsid w:val="004E163F"/>
    <w:rsid w:val="004E3797"/>
    <w:rsid w:val="004E4A1D"/>
    <w:rsid w:val="004F2E4F"/>
    <w:rsid w:val="004F589B"/>
    <w:rsid w:val="005045C8"/>
    <w:rsid w:val="00515E7C"/>
    <w:rsid w:val="00517E1B"/>
    <w:rsid w:val="00521476"/>
    <w:rsid w:val="00530DB6"/>
    <w:rsid w:val="00547090"/>
    <w:rsid w:val="00552F34"/>
    <w:rsid w:val="00554C6A"/>
    <w:rsid w:val="0058074B"/>
    <w:rsid w:val="00594A8F"/>
    <w:rsid w:val="00594BB0"/>
    <w:rsid w:val="005A2122"/>
    <w:rsid w:val="005A385E"/>
    <w:rsid w:val="005E4B61"/>
    <w:rsid w:val="005F304F"/>
    <w:rsid w:val="005F3DF9"/>
    <w:rsid w:val="00600E18"/>
    <w:rsid w:val="00614B23"/>
    <w:rsid w:val="00617279"/>
    <w:rsid w:val="006727FE"/>
    <w:rsid w:val="00693A92"/>
    <w:rsid w:val="006A6263"/>
    <w:rsid w:val="006B3E69"/>
    <w:rsid w:val="006C2EF6"/>
    <w:rsid w:val="006C466F"/>
    <w:rsid w:val="006F784C"/>
    <w:rsid w:val="00702C1A"/>
    <w:rsid w:val="007237BE"/>
    <w:rsid w:val="00731A19"/>
    <w:rsid w:val="007457ED"/>
    <w:rsid w:val="007807C9"/>
    <w:rsid w:val="0078245F"/>
    <w:rsid w:val="007852BB"/>
    <w:rsid w:val="00797E01"/>
    <w:rsid w:val="007A2946"/>
    <w:rsid w:val="007D1338"/>
    <w:rsid w:val="007D3CBF"/>
    <w:rsid w:val="007D5CF0"/>
    <w:rsid w:val="007F7625"/>
    <w:rsid w:val="00804D82"/>
    <w:rsid w:val="0081426E"/>
    <w:rsid w:val="0081592B"/>
    <w:rsid w:val="008311D9"/>
    <w:rsid w:val="0084261A"/>
    <w:rsid w:val="0084631A"/>
    <w:rsid w:val="008502A7"/>
    <w:rsid w:val="00872FA5"/>
    <w:rsid w:val="008906E7"/>
    <w:rsid w:val="008929A6"/>
    <w:rsid w:val="008B10B3"/>
    <w:rsid w:val="008B6AA7"/>
    <w:rsid w:val="008C74D3"/>
    <w:rsid w:val="008F388C"/>
    <w:rsid w:val="009430AA"/>
    <w:rsid w:val="00964732"/>
    <w:rsid w:val="00967675"/>
    <w:rsid w:val="009851B9"/>
    <w:rsid w:val="00990475"/>
    <w:rsid w:val="009941CB"/>
    <w:rsid w:val="00996583"/>
    <w:rsid w:val="00997601"/>
    <w:rsid w:val="009A77CE"/>
    <w:rsid w:val="009B60A4"/>
    <w:rsid w:val="009D468C"/>
    <w:rsid w:val="009E1A60"/>
    <w:rsid w:val="009F4372"/>
    <w:rsid w:val="00A02327"/>
    <w:rsid w:val="00A248D8"/>
    <w:rsid w:val="00A33AC5"/>
    <w:rsid w:val="00A358AA"/>
    <w:rsid w:val="00A47F4F"/>
    <w:rsid w:val="00A5458B"/>
    <w:rsid w:val="00A54BC9"/>
    <w:rsid w:val="00A77B18"/>
    <w:rsid w:val="00A877CD"/>
    <w:rsid w:val="00AB0135"/>
    <w:rsid w:val="00AB7E62"/>
    <w:rsid w:val="00AC0FF8"/>
    <w:rsid w:val="00AD58F7"/>
    <w:rsid w:val="00AE4FB2"/>
    <w:rsid w:val="00AE6349"/>
    <w:rsid w:val="00AF3FFD"/>
    <w:rsid w:val="00AF77F3"/>
    <w:rsid w:val="00B050D8"/>
    <w:rsid w:val="00B268F9"/>
    <w:rsid w:val="00B314B5"/>
    <w:rsid w:val="00B3377C"/>
    <w:rsid w:val="00B370FC"/>
    <w:rsid w:val="00B52000"/>
    <w:rsid w:val="00B54C47"/>
    <w:rsid w:val="00B649FB"/>
    <w:rsid w:val="00B801AE"/>
    <w:rsid w:val="00B846D9"/>
    <w:rsid w:val="00B94C5A"/>
    <w:rsid w:val="00B95199"/>
    <w:rsid w:val="00BA0AA6"/>
    <w:rsid w:val="00BA2CE7"/>
    <w:rsid w:val="00BA41B3"/>
    <w:rsid w:val="00BA5070"/>
    <w:rsid w:val="00BB6FB3"/>
    <w:rsid w:val="00BC7758"/>
    <w:rsid w:val="00BE0765"/>
    <w:rsid w:val="00BE3F52"/>
    <w:rsid w:val="00BE51AA"/>
    <w:rsid w:val="00BF7C61"/>
    <w:rsid w:val="00C051DE"/>
    <w:rsid w:val="00C6076C"/>
    <w:rsid w:val="00C674CD"/>
    <w:rsid w:val="00C72CA7"/>
    <w:rsid w:val="00C75598"/>
    <w:rsid w:val="00C91B73"/>
    <w:rsid w:val="00C95C12"/>
    <w:rsid w:val="00CB334D"/>
    <w:rsid w:val="00CC7307"/>
    <w:rsid w:val="00CD0353"/>
    <w:rsid w:val="00CD249A"/>
    <w:rsid w:val="00CE193E"/>
    <w:rsid w:val="00CE1DCF"/>
    <w:rsid w:val="00CF3637"/>
    <w:rsid w:val="00CF48C0"/>
    <w:rsid w:val="00CF67E1"/>
    <w:rsid w:val="00CF78E4"/>
    <w:rsid w:val="00D16FF9"/>
    <w:rsid w:val="00D35376"/>
    <w:rsid w:val="00D406FD"/>
    <w:rsid w:val="00D42372"/>
    <w:rsid w:val="00D469BB"/>
    <w:rsid w:val="00D55B18"/>
    <w:rsid w:val="00D644A3"/>
    <w:rsid w:val="00D70E42"/>
    <w:rsid w:val="00D80C10"/>
    <w:rsid w:val="00DA11D2"/>
    <w:rsid w:val="00DA17F6"/>
    <w:rsid w:val="00DB43B5"/>
    <w:rsid w:val="00DC2529"/>
    <w:rsid w:val="00DE06E8"/>
    <w:rsid w:val="00DE53ED"/>
    <w:rsid w:val="00DF6087"/>
    <w:rsid w:val="00DF690A"/>
    <w:rsid w:val="00E0215F"/>
    <w:rsid w:val="00E137C3"/>
    <w:rsid w:val="00E17515"/>
    <w:rsid w:val="00E201B8"/>
    <w:rsid w:val="00E2146C"/>
    <w:rsid w:val="00E230A6"/>
    <w:rsid w:val="00E231F1"/>
    <w:rsid w:val="00E43337"/>
    <w:rsid w:val="00E47C2A"/>
    <w:rsid w:val="00E47D65"/>
    <w:rsid w:val="00E51374"/>
    <w:rsid w:val="00E5634B"/>
    <w:rsid w:val="00E860D8"/>
    <w:rsid w:val="00E907EF"/>
    <w:rsid w:val="00E925E3"/>
    <w:rsid w:val="00E97DF9"/>
    <w:rsid w:val="00EB43C0"/>
    <w:rsid w:val="00EC1990"/>
    <w:rsid w:val="00ED3483"/>
    <w:rsid w:val="00ED6C5E"/>
    <w:rsid w:val="00EE3DB1"/>
    <w:rsid w:val="00EF1B8F"/>
    <w:rsid w:val="00EF5221"/>
    <w:rsid w:val="00F173F0"/>
    <w:rsid w:val="00F17847"/>
    <w:rsid w:val="00F23E00"/>
    <w:rsid w:val="00F4008B"/>
    <w:rsid w:val="00F45542"/>
    <w:rsid w:val="00F655FA"/>
    <w:rsid w:val="00F749DC"/>
    <w:rsid w:val="00F811C4"/>
    <w:rsid w:val="00F935CB"/>
    <w:rsid w:val="00FA00D4"/>
    <w:rsid w:val="00FA6322"/>
    <w:rsid w:val="00FB5B3F"/>
    <w:rsid w:val="00FC2163"/>
    <w:rsid w:val="00FE0DC9"/>
    <w:rsid w:val="00FE3F9C"/>
    <w:rsid w:val="00FE748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60" w:line="240" w:lineRule="auto"/>
      <w:jc w:val="both"/>
      <w:outlineLvl w:val="0"/>
    </w:pPr>
    <w:rPr>
      <w:rFonts w:ascii="Arial" w:eastAsia="Times New Roman" w:hAnsi="Arial" w:cs="Times New Roman"/>
      <w:b/>
      <w:caps/>
      <w:sz w:val="24"/>
      <w:szCs w:val="20"/>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tabs>
        <w:tab w:val="left" w:pos="567"/>
        <w:tab w:val="num" w:pos="1440"/>
      </w:tabs>
      <w:spacing w:before="240" w:after="60" w:line="240" w:lineRule="auto"/>
      <w:ind w:left="720" w:hanging="432"/>
      <w:outlineLvl w:val="2"/>
    </w:pPr>
    <w:rPr>
      <w:rFonts w:ascii="Arial" w:eastAsia="Times New Roman" w:hAnsi="Arial" w:cs="Arial"/>
      <w:b/>
      <w:bCs/>
      <w:sz w:val="26"/>
      <w:szCs w:val="26"/>
      <w:lang w:val="en-GB"/>
    </w:rPr>
  </w:style>
  <w:style w:type="paragraph" w:styleId="Heading4">
    <w:name w:val="heading 4"/>
    <w:basedOn w:val="Normal"/>
    <w:link w:val="Heading4Char"/>
    <w:qFormat/>
    <w:pPr>
      <w:tabs>
        <w:tab w:val="num" w:pos="1440"/>
      </w:tabs>
      <w:spacing w:before="100" w:beforeAutospacing="1" w:after="100" w:afterAutospacing="1" w:line="240" w:lineRule="auto"/>
      <w:ind w:left="864" w:hanging="144"/>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qFormat/>
    <w:pPr>
      <w:tabs>
        <w:tab w:val="num" w:pos="1800"/>
      </w:tabs>
      <w:spacing w:before="240" w:beforeAutospacing="1" w:after="60" w:afterAutospacing="1" w:line="240" w:lineRule="auto"/>
      <w:ind w:left="1008" w:hanging="432"/>
      <w:outlineLvl w:val="4"/>
    </w:pPr>
    <w:rPr>
      <w:rFonts w:ascii="Times New Roman" w:eastAsia="Times New Roman" w:hAnsi="Times New Roman" w:cs="Times New Roman"/>
      <w:b/>
      <w:bCs/>
      <w:i/>
      <w:iCs/>
      <w:sz w:val="26"/>
      <w:szCs w:val="26"/>
      <w:lang w:val="en-US"/>
    </w:rPr>
  </w:style>
  <w:style w:type="paragraph" w:styleId="Heading6">
    <w:name w:val="heading 6"/>
    <w:next w:val="Paragraph"/>
    <w:link w:val="Heading6Char"/>
    <w:qFormat/>
    <w:pPr>
      <w:keepNext/>
      <w:keepLines/>
      <w:tabs>
        <w:tab w:val="num" w:pos="2160"/>
      </w:tabs>
      <w:spacing w:before="120" w:after="240" w:line="240" w:lineRule="auto"/>
      <w:ind w:left="1152" w:hanging="432"/>
      <w:outlineLvl w:val="5"/>
    </w:pPr>
    <w:rPr>
      <w:rFonts w:ascii="Arial" w:eastAsia="MS Gothic" w:hAnsi="Arial" w:cs="Arial"/>
      <w:b/>
      <w:bCs/>
      <w:szCs w:val="24"/>
      <w:lang w:val="en-US" w:eastAsia="ja-JP"/>
    </w:rPr>
  </w:style>
  <w:style w:type="paragraph" w:styleId="Heading7">
    <w:name w:val="heading 7"/>
    <w:basedOn w:val="Normal"/>
    <w:next w:val="Normal"/>
    <w:link w:val="Heading7Char"/>
    <w:qFormat/>
    <w:pPr>
      <w:tabs>
        <w:tab w:val="num" w:pos="2520"/>
      </w:tabs>
      <w:spacing w:before="240" w:after="60" w:line="240" w:lineRule="auto"/>
      <w:ind w:left="1296" w:hanging="288"/>
      <w:outlineLvl w:val="6"/>
    </w:pPr>
    <w:rPr>
      <w:rFonts w:ascii="Times New Roman" w:eastAsia="Times New Roman" w:hAnsi="Times New Roman" w:cs="Times New Roman"/>
      <w:sz w:val="24"/>
      <w:szCs w:val="24"/>
      <w:lang w:val="en-GB"/>
    </w:rPr>
  </w:style>
  <w:style w:type="paragraph" w:styleId="Heading8">
    <w:name w:val="heading 8"/>
    <w:next w:val="Paragraph"/>
    <w:link w:val="Heading8Char"/>
    <w:qFormat/>
    <w:pPr>
      <w:keepNext/>
      <w:keepLines/>
      <w:tabs>
        <w:tab w:val="num" w:pos="2880"/>
      </w:tabs>
      <w:spacing w:before="120" w:after="240" w:line="240" w:lineRule="auto"/>
      <w:ind w:left="1440" w:hanging="432"/>
      <w:outlineLvl w:val="7"/>
    </w:pPr>
    <w:rPr>
      <w:rFonts w:ascii="Arial" w:eastAsia="MS Gothic" w:hAnsi="Arial" w:cs="Arial"/>
      <w:bCs/>
      <w:i/>
      <w:szCs w:val="24"/>
      <w:lang w:val="en-US" w:eastAsia="ja-JP"/>
    </w:rPr>
  </w:style>
  <w:style w:type="paragraph" w:styleId="Heading9">
    <w:name w:val="heading 9"/>
    <w:next w:val="Paragraph"/>
    <w:link w:val="Heading9Char"/>
    <w:qFormat/>
    <w:pPr>
      <w:keepNext/>
      <w:keepLines/>
      <w:tabs>
        <w:tab w:val="num" w:pos="3240"/>
      </w:tabs>
      <w:spacing w:before="120" w:after="240" w:line="240" w:lineRule="auto"/>
      <w:ind w:left="1584" w:hanging="144"/>
      <w:outlineLvl w:val="8"/>
    </w:pPr>
    <w:rPr>
      <w:rFonts w:ascii="Arial" w:eastAsia="MS Gothic" w:hAnsi="Arial" w:cs="Arial"/>
      <w:bCs/>
      <w:i/>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240" w:after="60" w:line="240" w:lineRule="auto"/>
      <w:jc w:val="center"/>
      <w:outlineLvl w:val="0"/>
    </w:pPr>
    <w:rPr>
      <w:rFonts w:ascii="Arial" w:eastAsia="Times New Roman" w:hAnsi="Arial" w:cs="Arial"/>
      <w:b/>
      <w:bCs/>
      <w:caps/>
      <w:kern w:val="28"/>
      <w:sz w:val="28"/>
      <w:szCs w:val="32"/>
    </w:rPr>
  </w:style>
  <w:style w:type="character" w:customStyle="1" w:styleId="TitleChar">
    <w:name w:val="Title Char"/>
    <w:basedOn w:val="DefaultParagraphFont"/>
    <w:link w:val="Title"/>
    <w:rPr>
      <w:rFonts w:ascii="Arial" w:eastAsia="Times New Roman" w:hAnsi="Arial" w:cs="Arial"/>
      <w:b/>
      <w:bCs/>
      <w:caps/>
      <w:kern w:val="28"/>
      <w:sz w:val="28"/>
      <w:szCs w:val="32"/>
    </w:rPr>
  </w:style>
  <w:style w:type="paragraph" w:styleId="Subtitle">
    <w:name w:val="Subtitle"/>
    <w:basedOn w:val="Normal"/>
    <w:link w:val="SubtitleChar"/>
    <w:qFormat/>
    <w:pPr>
      <w:spacing w:after="60" w:line="240" w:lineRule="auto"/>
      <w:jc w:val="center"/>
      <w:outlineLvl w:val="1"/>
    </w:pPr>
    <w:rPr>
      <w:rFonts w:ascii="Arial" w:eastAsia="Times New Roman" w:hAnsi="Arial" w:cs="Arial"/>
      <w:b/>
      <w:caps/>
      <w:sz w:val="24"/>
      <w:szCs w:val="24"/>
    </w:rPr>
  </w:style>
  <w:style w:type="character" w:customStyle="1" w:styleId="SubtitleChar">
    <w:name w:val="Subtitle Char"/>
    <w:basedOn w:val="DefaultParagraphFont"/>
    <w:link w:val="Subtitle"/>
    <w:rPr>
      <w:rFonts w:ascii="Arial" w:eastAsia="Times New Roman" w:hAnsi="Arial" w:cs="Arial"/>
      <w:b/>
      <w:caps/>
      <w:sz w:val="24"/>
      <w:szCs w:val="24"/>
    </w:rPr>
  </w:style>
  <w:style w:type="character" w:customStyle="1" w:styleId="Heading1Char">
    <w:name w:val="Heading 1 Char"/>
    <w:basedOn w:val="DefaultParagraphFont"/>
    <w:link w:val="Heading1"/>
    <w:rPr>
      <w:rFonts w:ascii="Arial" w:eastAsia="Times New Roman" w:hAnsi="Arial" w:cs="Times New Roman"/>
      <w:b/>
      <w:caps/>
      <w:sz w:val="24"/>
      <w:szCs w:val="20"/>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gtcitalic10">
    <w:name w:val="gtcitalic10"/>
    <w:rPr>
      <w:i/>
      <w:iCs/>
    </w:rPr>
  </w:style>
  <w:style w:type="character" w:customStyle="1" w:styleId="gtcsubscript">
    <w:name w:val="gtcsubscript"/>
    <w:basedOn w:val="DefaultParagraphFont"/>
  </w:style>
  <w:style w:type="character" w:customStyle="1" w:styleId="gtcbold2">
    <w:name w:val="gtcbold2"/>
    <w:rPr>
      <w:b/>
      <w:bCs/>
    </w:rPr>
  </w:style>
  <w:style w:type="character" w:styleId="Hyperlink">
    <w:name w:val="Hyperlink"/>
    <w:unhideWhenUsed/>
    <w:rPr>
      <w:color w:val="0000FF"/>
      <w:u w:val="single"/>
    </w:rPr>
  </w:style>
  <w:style w:type="character" w:styleId="CommentReference">
    <w:name w:val="annotation reference"/>
    <w:uiPriority w:val="99"/>
    <w:rPr>
      <w:sz w:val="16"/>
      <w:szCs w:val="16"/>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Symbol">
    <w:name w:val="Table Footnote Symbol"/>
    <w:pPr>
      <w:keepLines/>
      <w:tabs>
        <w:tab w:val="left" w:pos="360"/>
      </w:tabs>
      <w:spacing w:before="40" w:after="0" w:line="240" w:lineRule="exact"/>
      <w:ind w:left="360" w:hanging="360"/>
    </w:pPr>
    <w:rPr>
      <w:rFonts w:ascii="Times New Roman" w:eastAsia="MS Mincho" w:hAnsi="Times New Roman" w:cs="Times New Roman"/>
      <w:sz w:val="18"/>
      <w:szCs w:val="18"/>
      <w:lang w:val="en-US" w:eastAsia="ja-JP"/>
    </w:rPr>
  </w:style>
  <w:style w:type="paragraph" w:customStyle="1" w:styleId="GTCBodyText">
    <w:name w:val="GTC Body Text"/>
    <w:basedOn w:val="Normal"/>
    <w:pPr>
      <w:spacing w:before="240" w:after="240" w:line="216" w:lineRule="auto"/>
      <w:jc w:val="both"/>
    </w:pPr>
    <w:rPr>
      <w:rFonts w:ascii="Times New Roman" w:eastAsia="Times New Roman" w:hAnsi="Times New Roman" w:cs="Times New Roman"/>
      <w:sz w:val="24"/>
      <w:szCs w:val="24"/>
      <w:lang w:val="en-US"/>
    </w:rPr>
  </w:style>
  <w:style w:type="paragraph" w:customStyle="1" w:styleId="TableLeft">
    <w:name w:val="Table Left"/>
    <w:link w:val="TableLeftChar"/>
    <w:uiPriority w:val="99"/>
    <w:pPr>
      <w:keepNext/>
      <w:keepLines/>
      <w:tabs>
        <w:tab w:val="left" w:pos="360"/>
      </w:tabs>
      <w:spacing w:before="40" w:after="40" w:line="240" w:lineRule="exact"/>
    </w:pPr>
    <w:rPr>
      <w:rFonts w:ascii="Times New Roman" w:eastAsia="MS Mincho" w:hAnsi="Times New Roman" w:cs="Times New Roman"/>
      <w:sz w:val="20"/>
      <w:szCs w:val="20"/>
      <w:lang w:val="en-US" w:eastAsia="ja-JP"/>
    </w:rPr>
  </w:style>
  <w:style w:type="character" w:customStyle="1" w:styleId="TableLeftChar">
    <w:name w:val="Table Left Char"/>
    <w:link w:val="TableLeft"/>
    <w:uiPriority w:val="99"/>
    <w:rPr>
      <w:rFonts w:ascii="Times New Roman" w:eastAsia="MS Mincho" w:hAnsi="Times New Roman" w:cs="Times New Roman"/>
      <w:sz w:val="20"/>
      <w:szCs w:val="20"/>
      <w:lang w:val="en-US" w:eastAsia="ja-JP"/>
    </w:rPr>
  </w:style>
  <w:style w:type="paragraph" w:customStyle="1" w:styleId="TableLeft9">
    <w:name w:val="Table Left 9"/>
    <w:pPr>
      <w:keepNext/>
      <w:keepLines/>
      <w:tabs>
        <w:tab w:val="left" w:pos="360"/>
      </w:tabs>
      <w:spacing w:before="40" w:after="40" w:line="220" w:lineRule="exact"/>
    </w:pPr>
    <w:rPr>
      <w:rFonts w:ascii="Times New Roman" w:eastAsia="MS Mincho" w:hAnsi="Times New Roman" w:cs="Times New Roman"/>
      <w:sz w:val="18"/>
      <w:szCs w:val="18"/>
      <w:lang w:val="en-US" w:eastAsia="ja-JP"/>
    </w:rPr>
  </w:style>
  <w:style w:type="paragraph" w:customStyle="1" w:styleId="Paragraph">
    <w:name w:val="Paragraph"/>
    <w:link w:val="ParagraphChar"/>
    <w:uiPriority w:val="99"/>
    <w:pPr>
      <w:spacing w:after="240" w:line="360" w:lineRule="exact"/>
    </w:pPr>
    <w:rPr>
      <w:rFonts w:ascii="Times New Roman" w:eastAsia="MS Mincho" w:hAnsi="Times New Roman" w:cs="Times New Roman"/>
      <w:sz w:val="24"/>
      <w:szCs w:val="24"/>
      <w:lang w:val="en-US" w:eastAsia="ja-JP"/>
    </w:rPr>
  </w:style>
  <w:style w:type="character" w:customStyle="1" w:styleId="ParagraphChar">
    <w:name w:val="Paragraph Char"/>
    <w:link w:val="Paragraph"/>
    <w:uiPriority w:val="99"/>
    <w:rPr>
      <w:rFonts w:ascii="Times New Roman" w:eastAsia="MS Mincho" w:hAnsi="Times New Roman" w:cs="Times New Roman"/>
      <w:sz w:val="24"/>
      <w:szCs w:val="24"/>
      <w:lang w:val="en-US" w:eastAsia="ja-JP"/>
    </w:rPr>
  </w:style>
  <w:style w:type="paragraph" w:styleId="CommentText">
    <w:name w:val="annotation text"/>
    <w:aliases w:val="Annotationtext"/>
    <w:basedOn w:val="Normal"/>
    <w:link w:val="CommentTextChar1"/>
    <w:uiPriority w:val="99"/>
    <w:pPr>
      <w:spacing w:before="100" w:beforeAutospacing="1" w:after="100" w:afterAutospacing="1"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Pr>
      <w:sz w:val="20"/>
      <w:szCs w:val="20"/>
    </w:rPr>
  </w:style>
  <w:style w:type="character" w:customStyle="1" w:styleId="CommentTextChar1">
    <w:name w:val="Comment Text Char1"/>
    <w:aliases w:val="Annotationtext Char"/>
    <w:link w:val="CommentText"/>
    <w:uiPriority w:val="99"/>
    <w:locked/>
    <w:rPr>
      <w:rFonts w:ascii="Times New Roman" w:eastAsia="Times New Roman" w:hAnsi="Times New Roman" w:cs="Times New Roman"/>
      <w:sz w:val="20"/>
      <w:szCs w:val="20"/>
      <w:lang w:val="en-US"/>
    </w:rPr>
  </w:style>
  <w:style w:type="paragraph" w:styleId="ListParagraph">
    <w:name w:val="List Paragraph"/>
    <w:basedOn w:val="Normal"/>
    <w:uiPriority w:val="34"/>
    <w:qFormat/>
    <w:pPr>
      <w:ind w:left="720"/>
      <w:contextualSpacing/>
    </w:pPr>
  </w:style>
  <w:style w:type="paragraph" w:styleId="ListBullet">
    <w:name w:val="List Bullet"/>
    <w:basedOn w:val="Normal"/>
    <w:autoRedefine/>
    <w:uiPriority w:val="99"/>
    <w:pPr>
      <w:numPr>
        <w:numId w:val="5"/>
      </w:numPr>
      <w:spacing w:after="60" w:line="240" w:lineRule="auto"/>
      <w:jc w:val="both"/>
    </w:pPr>
    <w:rPr>
      <w:rFonts w:ascii="Arial" w:eastAsia="Times New Roman" w:hAnsi="Arial" w:cs="Times New Roman"/>
      <w:szCs w:val="20"/>
    </w:rPr>
  </w:style>
  <w:style w:type="character" w:customStyle="1" w:styleId="gtcitalic2">
    <w:name w:val="gtcitalic2"/>
    <w:rPr>
      <w:i/>
      <w:iCs/>
    </w:rPr>
  </w:style>
  <w:style w:type="paragraph" w:customStyle="1" w:styleId="TableCenter">
    <w:name w:val="Table Center"/>
    <w:uiPriority w:val="99"/>
    <w:pPr>
      <w:keepNext/>
      <w:keepLines/>
      <w:spacing w:before="40" w:after="40" w:line="240" w:lineRule="exact"/>
      <w:jc w:val="center"/>
    </w:pPr>
    <w:rPr>
      <w:rFonts w:ascii="Times New Roman" w:eastAsia="MS Mincho" w:hAnsi="Times New Roman" w:cs="Times New Roman"/>
      <w:sz w:val="20"/>
      <w:szCs w:val="20"/>
      <w:lang w:val="en-US" w:eastAsia="ja-JP"/>
    </w:rPr>
  </w:style>
  <w:style w:type="paragraph" w:customStyle="1" w:styleId="GTCTableText">
    <w:name w:val="GTC Table Text"/>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M6">
    <w:name w:val="CM6"/>
    <w:basedOn w:val="Default"/>
    <w:next w:val="Default"/>
    <w:pPr>
      <w:spacing w:line="183" w:lineRule="atLeast"/>
    </w:pPr>
    <w:rPr>
      <w:color w:val="auto"/>
    </w:rPr>
  </w:style>
  <w:style w:type="paragraph" w:customStyle="1" w:styleId="gtcbodytext0">
    <w:name w:val="gtcbodytext"/>
    <w:basedOn w:val="Normal"/>
    <w:pPr>
      <w:spacing w:before="240" w:after="240" w:line="300" w:lineRule="auto"/>
    </w:pPr>
    <w:rPr>
      <w:rFonts w:ascii="Times New Roman" w:eastAsia="Times New Roman" w:hAnsi="Times New Roman" w:cs="Times New Roman"/>
      <w:sz w:val="24"/>
      <w:szCs w:val="24"/>
      <w:lang w:val="en-US"/>
    </w:rPr>
  </w:style>
  <w:style w:type="character" w:customStyle="1" w:styleId="gtclinktext12">
    <w:name w:val="gtclinktext12"/>
    <w:rPr>
      <w:strike w:val="0"/>
      <w:dstrike w:val="0"/>
      <w:u w:val="none"/>
      <w:effect w:val="none"/>
    </w:rPr>
  </w:style>
  <w:style w:type="paragraph" w:customStyle="1" w:styleId="gtctabletitleotherwise">
    <w:name w:val="gtctabletitleotherwise"/>
    <w:basedOn w:val="Normal"/>
    <w:pPr>
      <w:spacing w:after="0" w:line="240" w:lineRule="auto"/>
      <w:jc w:val="center"/>
    </w:pPr>
    <w:rPr>
      <w:rFonts w:ascii="Times New Roman" w:eastAsia="Times New Roman" w:hAnsi="Times New Roman" w:cs="Times New Roman"/>
      <w:b/>
      <w:bCs/>
      <w:sz w:val="24"/>
      <w:szCs w:val="24"/>
      <w:lang w:val="en-US"/>
    </w:rPr>
  </w:style>
  <w:style w:type="paragraph" w:customStyle="1" w:styleId="GTCBodyTextAlignLeft">
    <w:name w:val="GTC Body Text Align Left"/>
    <w:basedOn w:val="Normal"/>
    <w:pPr>
      <w:spacing w:before="240" w:after="240" w:line="300" w:lineRule="auto"/>
    </w:pPr>
    <w:rPr>
      <w:rFonts w:ascii="Times New Roman" w:eastAsia="Times New Roman" w:hAnsi="Times New Roman" w:cs="Times New Roman"/>
      <w:sz w:val="24"/>
      <w:szCs w:val="24"/>
      <w:lang w:val="en-US"/>
    </w:rPr>
  </w:style>
  <w:style w:type="character" w:customStyle="1" w:styleId="gtcitalic5">
    <w:name w:val="gtcitalic5"/>
    <w:basedOn w:val="DefaultParagraphFont"/>
    <w:rPr>
      <w:i/>
      <w:i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CommentSubject">
    <w:name w:val="annotation subject"/>
    <w:basedOn w:val="CommentText"/>
    <w:next w:val="CommentText"/>
    <w:link w:val="CommentSubjectChar"/>
    <w:uiPriority w:val="99"/>
    <w:unhideWhenUsed/>
    <w:pPr>
      <w:spacing w:before="0" w:beforeAutospacing="0" w:after="200" w:afterAutospacing="0"/>
    </w:pPr>
    <w:rPr>
      <w:rFonts w:asciiTheme="minorHAnsi" w:eastAsiaTheme="minorHAnsi" w:hAnsiTheme="minorHAnsi" w:cstheme="minorBidi"/>
      <w:b/>
      <w:bCs/>
      <w:lang w:val="en-AU"/>
    </w:rPr>
  </w:style>
  <w:style w:type="character" w:customStyle="1" w:styleId="CommentSubjectChar">
    <w:name w:val="Comment Subject Char"/>
    <w:basedOn w:val="CommentTextChar1"/>
    <w:link w:val="CommentSubject"/>
    <w:uiPriority w:val="99"/>
    <w:rPr>
      <w:rFonts w:ascii="Times New Roman" w:eastAsia="Times New Roman" w:hAnsi="Times New Roman" w:cs="Times New Roman"/>
      <w:b/>
      <w:bCs/>
      <w:sz w:val="20"/>
      <w:szCs w:val="20"/>
      <w:lang w:val="en-US"/>
    </w:rPr>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rPr>
      <w:rFonts w:ascii="Arial" w:eastAsia="Times New Roman" w:hAnsi="Arial" w:cs="Arial"/>
      <w:b/>
      <w:bCs/>
      <w:sz w:val="26"/>
      <w:szCs w:val="26"/>
      <w:lang w:val="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Pr>
      <w:rFonts w:ascii="Arial" w:eastAsia="MS Gothic" w:hAnsi="Arial" w:cs="Arial"/>
      <w:b/>
      <w:bCs/>
      <w:szCs w:val="24"/>
      <w:lang w:val="en-US" w:eastAsia="ja-JP"/>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Pr>
      <w:rFonts w:ascii="Arial" w:eastAsia="MS Gothic" w:hAnsi="Arial" w:cs="Arial"/>
      <w:bCs/>
      <w:i/>
      <w:szCs w:val="24"/>
      <w:lang w:val="en-US" w:eastAsia="ja-JP"/>
    </w:rPr>
  </w:style>
  <w:style w:type="character" w:customStyle="1" w:styleId="Heading9Char">
    <w:name w:val="Heading 9 Char"/>
    <w:basedOn w:val="DefaultParagraphFont"/>
    <w:link w:val="Heading9"/>
    <w:rPr>
      <w:rFonts w:ascii="Arial" w:eastAsia="MS Gothic" w:hAnsi="Arial" w:cs="Arial"/>
      <w:bCs/>
      <w:i/>
      <w:szCs w:val="24"/>
      <w:lang w:val="en-US" w:eastAsia="ja-JP"/>
    </w:rPr>
  </w:style>
  <w:style w:type="paragraph" w:customStyle="1" w:styleId="gtcunderline">
    <w:name w:val="gtcunderline"/>
    <w:basedOn w:val="Normal"/>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MemoHeaderStyle">
    <w:name w:val="MemoHeaderStyle"/>
    <w:basedOn w:val="Normal"/>
    <w:next w:val="Normal"/>
    <w:pPr>
      <w:tabs>
        <w:tab w:val="left" w:pos="567"/>
      </w:tabs>
      <w:spacing w:after="0" w:line="120" w:lineRule="atLeast"/>
      <w:ind w:left="1418"/>
      <w:jc w:val="both"/>
    </w:pPr>
    <w:rPr>
      <w:rFonts w:ascii="Arial" w:eastAsia="Times New Roman" w:hAnsi="Arial" w:cs="Times New Roman"/>
      <w:b/>
      <w:smallCaps/>
      <w:szCs w:val="20"/>
      <w:lang w:val="en-GB"/>
    </w:rPr>
  </w:style>
  <w:style w:type="character" w:styleId="PageNumber">
    <w:name w:val="page number"/>
    <w:basedOn w:val="DefaultParagraphFont"/>
  </w:style>
  <w:style w:type="paragraph" w:styleId="BodyText">
    <w:name w:val="Body Text"/>
    <w:basedOn w:val="Normal"/>
    <w:link w:val="BodyTextChar"/>
    <w:pPr>
      <w:spacing w:after="0" w:line="240" w:lineRule="auto"/>
    </w:pPr>
    <w:rPr>
      <w:rFonts w:ascii="Times New Roman" w:eastAsia="Times New Roman" w:hAnsi="Times New Roman" w:cs="Times New Roman"/>
      <w:i/>
      <w:color w:val="008000"/>
      <w:szCs w:val="20"/>
      <w:lang w:val="en-GB"/>
    </w:rPr>
  </w:style>
  <w:style w:type="character" w:customStyle="1" w:styleId="BodyTextChar">
    <w:name w:val="Body Text Char"/>
    <w:basedOn w:val="DefaultParagraphFont"/>
    <w:link w:val="BodyText"/>
    <w:rPr>
      <w:rFonts w:ascii="Times New Roman" w:eastAsia="Times New Roman" w:hAnsi="Times New Roman" w:cs="Times New Roman"/>
      <w:i/>
      <w:color w:val="008000"/>
      <w:szCs w:val="20"/>
      <w:lang w:val="en-GB"/>
    </w:rPr>
  </w:style>
  <w:style w:type="paragraph" w:customStyle="1" w:styleId="EMEAEnBodyText">
    <w:name w:val="EMEA En Body Text"/>
    <w:basedOn w:val="Normal"/>
    <w:pPr>
      <w:spacing w:before="120" w:after="120" w:line="240" w:lineRule="auto"/>
      <w:jc w:val="both"/>
    </w:pPr>
    <w:rPr>
      <w:rFonts w:ascii="Times New Roman" w:eastAsia="Times New Roman" w:hAnsi="Times New Roman" w:cs="Times New Roman"/>
      <w:szCs w:val="20"/>
      <w:lang w:val="en-US"/>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cs="Times New Roman"/>
      <w:i/>
      <w:color w:val="339966"/>
      <w:szCs w:val="18"/>
      <w:lang w:val="en-GB" w:eastAsia="en-GB"/>
    </w:rPr>
  </w:style>
  <w:style w:type="character" w:customStyle="1" w:styleId="DraftingNotesAgencyChar">
    <w:name w:val="Drafting Notes (Agency) Char"/>
    <w:link w:val="DraftingNotesAgency"/>
    <w:rPr>
      <w:rFonts w:ascii="Courier New" w:eastAsia="Verdana" w:hAnsi="Courier New" w:cs="Times New Roman"/>
      <w:i/>
      <w:color w:val="339966"/>
      <w:szCs w:val="18"/>
      <w:lang w:val="en-GB" w:eastAsia="en-GB"/>
    </w:rPr>
  </w:style>
  <w:style w:type="paragraph" w:customStyle="1" w:styleId="NormalAgency">
    <w:name w:val="Normal (Agency)"/>
    <w:link w:val="NormalAgencyChar"/>
    <w:pPr>
      <w:spacing w:after="0" w:line="240" w:lineRule="auto"/>
    </w:pPr>
    <w:rPr>
      <w:rFonts w:ascii="Verdana" w:eastAsia="Verdana" w:hAnsi="Verdana" w:cs="Verdana"/>
      <w:sz w:val="18"/>
      <w:szCs w:val="18"/>
      <w:lang w:val="en-GB" w:eastAsia="en-GB"/>
    </w:rPr>
  </w:style>
  <w:style w:type="character" w:customStyle="1" w:styleId="NormalAgencyChar">
    <w:name w:val="Normal (Agency) Char"/>
    <w:link w:val="NormalAgency"/>
    <w:rPr>
      <w:rFonts w:ascii="Verdana" w:eastAsia="Verdana" w:hAnsi="Verdana" w:cs="Verdana"/>
      <w:sz w:val="18"/>
      <w:szCs w:val="18"/>
      <w:lang w:val="en-GB" w:eastAsia="en-GB"/>
    </w:r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spacing w:after="0" w:line="280" w:lineRule="exact"/>
    </w:pPr>
    <w:rPr>
      <w:rFonts w:ascii="Verdana" w:eastAsia="Times New Roman" w:hAnsi="Verdana" w:cs="Verdana"/>
      <w:sz w:val="18"/>
      <w:szCs w:val="18"/>
      <w:lang w:val="en-GB" w:eastAsia="zh-CN"/>
    </w:rPr>
  </w:style>
  <w:style w:type="character" w:customStyle="1" w:styleId="gtcitalic4">
    <w:name w:val="gtcitalic4"/>
    <w:rPr>
      <w:i/>
      <w:iCs/>
    </w:rPr>
  </w:style>
  <w:style w:type="character" w:customStyle="1" w:styleId="GTCLinkText27">
    <w:name w:val="GTC Link Text27"/>
    <w:rPr>
      <w:strike w:val="0"/>
      <w:dstrike w:val="0"/>
      <w:u w:val="none"/>
      <w:effect w:val="none"/>
    </w:rPr>
  </w:style>
  <w:style w:type="paragraph" w:customStyle="1" w:styleId="msolistparagraph0">
    <w:name w:val="msolistparagraph"/>
    <w:basedOn w:val="Normal"/>
    <w:pPr>
      <w:spacing w:after="0" w:line="240" w:lineRule="auto"/>
      <w:ind w:left="720"/>
    </w:pPr>
    <w:rPr>
      <w:rFonts w:ascii="Calibri" w:eastAsia="Calibri" w:hAnsi="Calibri" w:cs="Times New Roman"/>
      <w:lang w:val="en-US" w:eastAsia="ja-JP"/>
    </w:rPr>
  </w:style>
  <w:style w:type="paragraph" w:customStyle="1" w:styleId="EMEANormal">
    <w:name w:val="EMEA Normal"/>
    <w:link w:val="EMEANormalChar"/>
    <w:pPr>
      <w:tabs>
        <w:tab w:val="left" w:pos="562"/>
      </w:tabs>
      <w:suppressAutoHyphens/>
      <w:spacing w:after="0" w:line="240" w:lineRule="auto"/>
    </w:pPr>
    <w:rPr>
      <w:rFonts w:ascii="Times New Roman" w:eastAsia="Times New Roman" w:hAnsi="Times New Roman" w:cs="Times New Roman"/>
      <w:szCs w:val="20"/>
      <w:lang w:val="en-US"/>
    </w:rPr>
  </w:style>
  <w:style w:type="character" w:customStyle="1" w:styleId="EMEANormalChar">
    <w:name w:val="EMEA Normal Char"/>
    <w:link w:val="EMEANormal"/>
    <w:rPr>
      <w:rFonts w:ascii="Times New Roman" w:eastAsia="Times New Roman" w:hAnsi="Times New Roman" w:cs="Times New Roman"/>
      <w:szCs w:val="20"/>
      <w:lang w:val="en-US"/>
    </w:rPr>
  </w:style>
  <w:style w:type="character" w:customStyle="1" w:styleId="bold2">
    <w:name w:val="bold2"/>
    <w:rPr>
      <w:b/>
      <w:bCs/>
    </w:rPr>
  </w:style>
  <w:style w:type="table" w:customStyle="1" w:styleId="TablegridAgencyblack">
    <w:name w:val="Table grid (Agency) black"/>
    <w:basedOn w:val="TableNormal"/>
    <w:semiHidden/>
    <w:pPr>
      <w:spacing w:after="0" w:line="240" w:lineRule="auto"/>
    </w:pPr>
    <w:rPr>
      <w:rFonts w:ascii="Verdana" w:eastAsia="SimSun" w:hAnsi="Verdana" w:cs="Times New Roman"/>
      <w:sz w:val="18"/>
      <w:szCs w:val="20"/>
      <w:lang w:val="en-GB" w:eastAsia="en-A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mbria Math" w:hAnsi="Cambria Math"/>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character" w:styleId="FollowedHyperlink">
    <w:name w:val="FollowedHyperlink"/>
    <w:rPr>
      <w:color w:val="800080"/>
      <w:u w:val="single"/>
    </w:rPr>
  </w:style>
  <w:style w:type="paragraph" w:customStyle="1" w:styleId="atictinsert">
    <w:name w:val="atictinsert"/>
    <w:basedOn w:val="Normal"/>
    <w:pPr>
      <w:spacing w:before="100" w:beforeAutospacing="1" w:after="100" w:afterAutospacing="1" w:line="240" w:lineRule="auto"/>
    </w:pPr>
    <w:rPr>
      <w:rFonts w:ascii="Times New Roman" w:eastAsia="Times New Roman" w:hAnsi="Times New Roman" w:cs="Times New Roman"/>
      <w:color w:val="FF0000"/>
      <w:sz w:val="24"/>
      <w:szCs w:val="24"/>
      <w:u w:val="double"/>
      <w:lang w:val="en-US"/>
    </w:rPr>
  </w:style>
  <w:style w:type="paragraph" w:customStyle="1" w:styleId="gtcgreyshadedtext">
    <w:name w:val="gtcgreyshadedtext"/>
    <w:basedOn w:val="Normal"/>
    <w:pPr>
      <w:shd w:val="clear" w:color="auto" w:fill="C0C0C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Head">
    <w:name w:val="Table Head"/>
    <w:pPr>
      <w:keepNext/>
      <w:keepLines/>
      <w:tabs>
        <w:tab w:val="left" w:pos="360"/>
      </w:tabs>
      <w:spacing w:before="40" w:after="40" w:line="240" w:lineRule="exact"/>
    </w:pPr>
    <w:rPr>
      <w:rFonts w:ascii="Times New Roman" w:eastAsia="MS Mincho" w:hAnsi="Times New Roman" w:cs="Times New Roman"/>
      <w:b/>
      <w:bCs/>
      <w:sz w:val="20"/>
      <w:szCs w:val="20"/>
      <w:lang w:val="en-US" w:eastAsia="ja-JP"/>
    </w:rPr>
  </w:style>
  <w:style w:type="paragraph" w:customStyle="1" w:styleId="gtcbodytextalignleft0">
    <w:name w:val="gtcbodytextalignleft"/>
    <w:basedOn w:val="Normal"/>
    <w:pPr>
      <w:spacing w:before="240" w:after="240" w:line="300" w:lineRule="auto"/>
    </w:pPr>
    <w:rPr>
      <w:rFonts w:ascii="Times New Roman" w:eastAsia="Times New Roman" w:hAnsi="Times New Roman" w:cs="Times New Roman"/>
      <w:sz w:val="24"/>
      <w:szCs w:val="24"/>
      <w:lang w:val="en-US"/>
    </w:rPr>
  </w:style>
  <w:style w:type="paragraph" w:customStyle="1" w:styleId="gtcbodytextalignright">
    <w:name w:val="gtcbodytextalignright"/>
    <w:basedOn w:val="Normal"/>
    <w:pPr>
      <w:spacing w:before="240" w:after="240" w:line="300" w:lineRule="auto"/>
      <w:jc w:val="right"/>
    </w:pPr>
    <w:rPr>
      <w:rFonts w:ascii="Times New Roman" w:eastAsia="Times New Roman" w:hAnsi="Times New Roman" w:cs="Times New Roman"/>
      <w:sz w:val="24"/>
      <w:szCs w:val="24"/>
      <w:lang w:val="en-US"/>
    </w:rPr>
  </w:style>
  <w:style w:type="paragraph" w:customStyle="1" w:styleId="gtcbodytextaligncenter">
    <w:name w:val="gtcbodytextaligncenter"/>
    <w:basedOn w:val="Normal"/>
    <w:pPr>
      <w:spacing w:before="240" w:after="240" w:line="300" w:lineRule="auto"/>
      <w:jc w:val="center"/>
    </w:pPr>
    <w:rPr>
      <w:rFonts w:ascii="Times New Roman" w:eastAsia="Times New Roman" w:hAnsi="Times New Roman" w:cs="Times New Roman"/>
      <w:sz w:val="24"/>
      <w:szCs w:val="24"/>
      <w:lang w:val="en-US"/>
    </w:rPr>
  </w:style>
  <w:style w:type="paragraph" w:customStyle="1" w:styleId="gtcbodytextalignjustify">
    <w:name w:val="gtcbodytextalignjustify"/>
    <w:basedOn w:val="Normal"/>
    <w:pPr>
      <w:spacing w:before="240" w:after="240" w:line="300" w:lineRule="auto"/>
      <w:jc w:val="both"/>
    </w:pPr>
    <w:rPr>
      <w:rFonts w:ascii="Times New Roman" w:eastAsia="Times New Roman" w:hAnsi="Times New Roman" w:cs="Times New Roman"/>
      <w:sz w:val="24"/>
      <w:szCs w:val="24"/>
      <w:lang w:val="en-US"/>
    </w:rPr>
  </w:style>
  <w:style w:type="paragraph" w:customStyle="1" w:styleId="gtcbodytextalignindent">
    <w:name w:val="gtcbodytextalignindent"/>
    <w:basedOn w:val="Normal"/>
    <w:pPr>
      <w:spacing w:before="240" w:after="240" w:line="300" w:lineRule="auto"/>
      <w:jc w:val="both"/>
    </w:pPr>
    <w:rPr>
      <w:rFonts w:ascii="Times New Roman" w:eastAsia="Times New Roman" w:hAnsi="Times New Roman" w:cs="Times New Roman"/>
      <w:sz w:val="24"/>
      <w:szCs w:val="24"/>
      <w:lang w:val="en-US"/>
    </w:rPr>
  </w:style>
  <w:style w:type="paragraph" w:customStyle="1" w:styleId="gtcgreyshadedinparagraph">
    <w:name w:val="gtcgreyshadedinparagraph"/>
    <w:basedOn w:val="Normal"/>
    <w:pPr>
      <w:shd w:val="clear" w:color="auto" w:fill="C0C0C0"/>
      <w:spacing w:before="240" w:after="240" w:line="300" w:lineRule="auto"/>
    </w:pPr>
    <w:rPr>
      <w:rFonts w:ascii="Times New Roman" w:eastAsia="Times New Roman" w:hAnsi="Times New Roman" w:cs="Times New Roman"/>
      <w:sz w:val="24"/>
      <w:szCs w:val="24"/>
      <w:lang w:val="en-US"/>
    </w:rPr>
  </w:style>
  <w:style w:type="paragraph" w:customStyle="1" w:styleId="gtcheadingcentered">
    <w:name w:val="gtcheadingcentered"/>
    <w:basedOn w:val="Normal"/>
    <w:pPr>
      <w:keepNext/>
      <w:spacing w:before="240" w:after="240" w:line="240" w:lineRule="auto"/>
      <w:jc w:val="center"/>
    </w:pPr>
    <w:rPr>
      <w:rFonts w:ascii="Times New Roman" w:eastAsia="Times New Roman" w:hAnsi="Times New Roman" w:cs="Times New Roman"/>
      <w:b/>
      <w:bCs/>
      <w:caps/>
      <w:sz w:val="24"/>
      <w:szCs w:val="24"/>
      <w:lang w:val="en-US"/>
    </w:rPr>
  </w:style>
  <w:style w:type="paragraph" w:customStyle="1" w:styleId="gtcplrtitle">
    <w:name w:val="gtcplrtitle"/>
    <w:basedOn w:val="Normal"/>
    <w:pPr>
      <w:spacing w:before="60" w:after="60" w:line="240" w:lineRule="auto"/>
    </w:pPr>
    <w:rPr>
      <w:rFonts w:ascii="Times New Roman" w:eastAsia="Times New Roman" w:hAnsi="Times New Roman" w:cs="Times New Roman"/>
      <w:b/>
      <w:bCs/>
      <w:sz w:val="18"/>
      <w:szCs w:val="18"/>
      <w:lang w:val="en-US"/>
    </w:rPr>
  </w:style>
  <w:style w:type="paragraph" w:customStyle="1" w:styleId="gtcfigurecaption">
    <w:name w:val="gtcfigurecaption"/>
    <w:basedOn w:val="Normal"/>
    <w:pPr>
      <w:spacing w:before="120" w:after="120" w:line="240" w:lineRule="auto"/>
    </w:pPr>
    <w:rPr>
      <w:rFonts w:ascii="Times New Roman" w:eastAsia="Times New Roman" w:hAnsi="Times New Roman" w:cs="Times New Roman"/>
      <w:b/>
      <w:bCs/>
      <w:sz w:val="24"/>
      <w:szCs w:val="24"/>
      <w:lang w:val="en-US"/>
    </w:rPr>
  </w:style>
  <w:style w:type="paragraph" w:customStyle="1" w:styleId="gtcfigurecaptionleft">
    <w:name w:val="gtcfigurecaptionleft"/>
    <w:basedOn w:val="Normal"/>
    <w:pPr>
      <w:spacing w:before="120" w:after="120" w:line="240" w:lineRule="auto"/>
    </w:pPr>
    <w:rPr>
      <w:rFonts w:ascii="Times New Roman" w:eastAsia="Times New Roman" w:hAnsi="Times New Roman" w:cs="Times New Roman"/>
      <w:b/>
      <w:bCs/>
      <w:sz w:val="24"/>
      <w:szCs w:val="24"/>
      <w:lang w:val="en-US"/>
    </w:rPr>
  </w:style>
  <w:style w:type="paragraph" w:customStyle="1" w:styleId="gtcannotation">
    <w:name w:val="gtcannotation"/>
    <w:basedOn w:val="Normal"/>
    <w:pPr>
      <w:spacing w:before="60" w:after="60" w:line="240" w:lineRule="auto"/>
    </w:pPr>
    <w:rPr>
      <w:rFonts w:ascii="Times New Roman" w:eastAsia="Times New Roman" w:hAnsi="Times New Roman" w:cs="Times New Roman"/>
      <w:color w:val="006633"/>
      <w:sz w:val="20"/>
      <w:szCs w:val="20"/>
      <w:lang w:val="en-US"/>
    </w:rPr>
  </w:style>
  <w:style w:type="paragraph" w:customStyle="1" w:styleId="gtcannotationhl">
    <w:name w:val="gtcannotationhl"/>
    <w:basedOn w:val="Normal"/>
    <w:pPr>
      <w:spacing w:before="100" w:beforeAutospacing="1" w:after="100" w:afterAutospacing="1" w:line="240" w:lineRule="auto"/>
    </w:pPr>
    <w:rPr>
      <w:rFonts w:ascii="Times New Roman" w:eastAsia="Times New Roman" w:hAnsi="Times New Roman" w:cs="Times New Roman"/>
      <w:color w:val="006633"/>
      <w:sz w:val="16"/>
      <w:szCs w:val="16"/>
      <w:lang w:val="en-US"/>
    </w:rPr>
  </w:style>
  <w:style w:type="paragraph" w:customStyle="1" w:styleId="gtchighlighttextboxedwarnings">
    <w:name w:val="gtchighlighttextboxedwarnings"/>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highlighttext">
    <w:name w:val="gtchighlighttext"/>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bold">
    <w:name w:val="gtcbold"/>
    <w:basedOn w:val="Normal"/>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gtcitalic">
    <w:name w:val="gtcitalic"/>
    <w:basedOn w:val="Normal"/>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gtcstrikethrough">
    <w:name w:val="gtcstrikethrough"/>
    <w:basedOn w:val="Normal"/>
    <w:pPr>
      <w:spacing w:before="100" w:beforeAutospacing="1" w:after="100" w:afterAutospacing="1" w:line="240" w:lineRule="auto"/>
    </w:pPr>
    <w:rPr>
      <w:rFonts w:ascii="Times New Roman" w:eastAsia="Times New Roman" w:hAnsi="Times New Roman" w:cs="Times New Roman"/>
      <w:strike/>
      <w:sz w:val="24"/>
      <w:szCs w:val="24"/>
      <w:lang w:val="en-US"/>
    </w:rPr>
  </w:style>
  <w:style w:type="paragraph" w:customStyle="1" w:styleId="gtcsmallcaps">
    <w:name w:val="gtcsmallcaps"/>
    <w:basedOn w:val="Normal"/>
    <w:pPr>
      <w:spacing w:before="100" w:beforeAutospacing="1" w:after="100" w:afterAutospacing="1" w:line="240" w:lineRule="auto"/>
    </w:pPr>
    <w:rPr>
      <w:rFonts w:ascii="Times New Roman" w:eastAsia="Times New Roman" w:hAnsi="Times New Roman" w:cs="Times New Roman"/>
      <w:smallCaps/>
      <w:sz w:val="24"/>
      <w:szCs w:val="24"/>
      <w:lang w:val="en-US"/>
    </w:rPr>
  </w:style>
  <w:style w:type="paragraph" w:customStyle="1" w:styleId="atictdelete">
    <w:name w:val="atictdelete"/>
    <w:basedOn w:val="Normal"/>
    <w:pPr>
      <w:spacing w:before="100" w:beforeAutospacing="1" w:after="100" w:afterAutospacing="1" w:line="240" w:lineRule="auto"/>
    </w:pPr>
    <w:rPr>
      <w:rFonts w:ascii="Times New Roman" w:eastAsia="Times New Roman" w:hAnsi="Times New Roman" w:cs="Times New Roman"/>
      <w:strike/>
      <w:color w:val="0000FF"/>
      <w:sz w:val="24"/>
      <w:szCs w:val="24"/>
      <w:lang w:val="en-US"/>
    </w:rPr>
  </w:style>
  <w:style w:type="paragraph" w:customStyle="1" w:styleId="atictchange">
    <w:name w:val="atictchange"/>
    <w:basedOn w:val="Normal"/>
    <w:pPr>
      <w:spacing w:before="100" w:beforeAutospacing="1" w:after="100" w:afterAutospacing="1" w:line="240" w:lineRule="auto"/>
    </w:pPr>
    <w:rPr>
      <w:rFonts w:ascii="Times New Roman" w:eastAsia="Times New Roman" w:hAnsi="Times New Roman" w:cs="Times New Roman"/>
      <w:strike/>
      <w:color w:val="0000FF"/>
      <w:sz w:val="24"/>
      <w:szCs w:val="24"/>
      <w:lang w:val="en-US"/>
    </w:rPr>
  </w:style>
  <w:style w:type="paragraph" w:customStyle="1" w:styleId="gtclinkunderlined">
    <w:name w:val="gtclinkunderlined"/>
    <w:basedOn w:val="Normal"/>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gtclinktext">
    <w:name w:val="gtclinktext"/>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imageinsert">
    <w:name w:val="gtcimageinsert"/>
    <w:basedOn w:val="Normal"/>
    <w:pPr>
      <w:pBdr>
        <w:top w:val="single" w:sz="48" w:space="0" w:color="008000"/>
        <w:left w:val="single" w:sz="48" w:space="0" w:color="008000"/>
        <w:bottom w:val="single" w:sz="48" w:space="0" w:color="008000"/>
        <w:right w:val="single" w:sz="48" w:space="0" w:color="008000"/>
      </w:pBdr>
      <w:spacing w:before="100" w:beforeAutospacing="1" w:after="100" w:afterAutospacing="1" w:line="240" w:lineRule="auto"/>
    </w:pPr>
    <w:rPr>
      <w:rFonts w:ascii="Times New Roman" w:eastAsia="Times New Roman" w:hAnsi="Times New Roman" w:cs="Times New Roman"/>
      <w:color w:val="FF0000"/>
      <w:sz w:val="24"/>
      <w:szCs w:val="24"/>
      <w:u w:val="double"/>
      <w:lang w:val="en-US"/>
    </w:rPr>
  </w:style>
  <w:style w:type="paragraph" w:customStyle="1" w:styleId="gtcimagedelete">
    <w:name w:val="gtcimagedelete"/>
    <w:basedOn w:val="Normal"/>
    <w:pPr>
      <w:pBdr>
        <w:top w:val="single" w:sz="48" w:space="0" w:color="0000FF"/>
        <w:left w:val="single" w:sz="48" w:space="0" w:color="0000FF"/>
        <w:bottom w:val="single" w:sz="48" w:space="0" w:color="0000FF"/>
        <w:right w:val="single" w:sz="48" w:space="0" w:color="0000FF"/>
      </w:pBdr>
      <w:spacing w:before="100" w:beforeAutospacing="1" w:after="100" w:afterAutospacing="1" w:line="240" w:lineRule="auto"/>
    </w:pPr>
    <w:rPr>
      <w:rFonts w:ascii="Times New Roman" w:eastAsia="Times New Roman" w:hAnsi="Times New Roman" w:cs="Times New Roman"/>
      <w:strike/>
      <w:color w:val="FF0000"/>
      <w:sz w:val="24"/>
      <w:szCs w:val="24"/>
      <w:lang w:val="en-US"/>
    </w:rPr>
  </w:style>
  <w:style w:type="paragraph" w:customStyle="1" w:styleId="gtcimage">
    <w:name w:val="gtcimage"/>
    <w:basedOn w:val="Normal"/>
    <w:pPr>
      <w:pBdr>
        <w:top w:val="single" w:sz="48" w:space="0" w:color="FFFFFF"/>
        <w:left w:val="single" w:sz="48" w:space="0" w:color="FFFFFF"/>
        <w:bottom w:val="single" w:sz="48" w:space="0" w:color="FFFFFF"/>
        <w:right w:val="single" w:sz="48" w:space="0" w:color="FFFFFF"/>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
    <w:name w:val="gtclist"/>
    <w:basedOn w:val="Normal"/>
    <w:pPr>
      <w:spacing w:before="40" w:after="40" w:line="240" w:lineRule="auto"/>
    </w:pPr>
    <w:rPr>
      <w:rFonts w:ascii="Times New Roman" w:eastAsia="Times New Roman" w:hAnsi="Times New Roman" w:cs="Times New Roman"/>
      <w:sz w:val="24"/>
      <w:szCs w:val="24"/>
      <w:lang w:val="en-US"/>
    </w:rPr>
  </w:style>
  <w:style w:type="paragraph" w:customStyle="1" w:styleId="gtcliststylenone">
    <w:name w:val="gtcliststylenone"/>
    <w:basedOn w:val="Normal"/>
    <w:pPr>
      <w:tabs>
        <w:tab w:val="num" w:pos="922"/>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circle">
    <w:name w:val="gtcliststylecircle"/>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disc">
    <w:name w:val="gtcliststyledisc"/>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square">
    <w:name w:val="gtcliststylesquare"/>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littleroman">
    <w:name w:val="gtcliststylelittleroman"/>
    <w:basedOn w:val="Normal"/>
    <w:pPr>
      <w:tabs>
        <w:tab w:val="num" w:pos="922"/>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bigroman">
    <w:name w:val="gtcliststylebigroman"/>
    <w:basedOn w:val="Normal"/>
    <w:pPr>
      <w:tabs>
        <w:tab w:val="num" w:pos="922"/>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littlealpha">
    <w:name w:val="gtcliststylelittlealpha"/>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bigalpha">
    <w:name w:val="gtcliststylebigalpha"/>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arabic">
    <w:name w:val="gtcliststylearabic"/>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text">
    <w:name w:val="gtclisttext"/>
    <w:basedOn w:val="Normal"/>
    <w:pPr>
      <w:spacing w:before="120" w:after="120" w:line="300" w:lineRule="auto"/>
    </w:pPr>
    <w:rPr>
      <w:rFonts w:ascii="Times New Roman" w:eastAsia="Times New Roman" w:hAnsi="Times New Roman" w:cs="Times New Roman"/>
      <w:sz w:val="24"/>
      <w:szCs w:val="24"/>
      <w:lang w:val="en-US"/>
    </w:rPr>
  </w:style>
  <w:style w:type="paragraph" w:customStyle="1" w:styleId="gtclisttextinserted">
    <w:name w:val="gtclisttextinserted"/>
    <w:basedOn w:val="Normal"/>
    <w:pPr>
      <w:spacing w:before="120" w:after="120" w:line="300" w:lineRule="auto"/>
    </w:pPr>
    <w:rPr>
      <w:rFonts w:ascii="Times New Roman" w:eastAsia="Times New Roman" w:hAnsi="Times New Roman" w:cs="Times New Roman"/>
      <w:color w:val="FF0000"/>
      <w:sz w:val="24"/>
      <w:szCs w:val="24"/>
      <w:u w:val="double"/>
      <w:lang w:val="en-US"/>
    </w:rPr>
  </w:style>
  <w:style w:type="paragraph" w:customStyle="1" w:styleId="gtclisttextdeleted">
    <w:name w:val="gtclisttextdeleted"/>
    <w:basedOn w:val="Normal"/>
    <w:pPr>
      <w:spacing w:before="120" w:after="120" w:line="300" w:lineRule="auto"/>
    </w:pPr>
    <w:rPr>
      <w:rFonts w:ascii="Times New Roman" w:eastAsia="Times New Roman" w:hAnsi="Times New Roman" w:cs="Times New Roman"/>
      <w:strike/>
      <w:color w:val="FF0000"/>
      <w:sz w:val="24"/>
      <w:szCs w:val="24"/>
      <w:lang w:val="en-US"/>
    </w:rPr>
  </w:style>
  <w:style w:type="paragraph" w:customStyle="1" w:styleId="gtclisttextleft">
    <w:name w:val="gtclisttextleft"/>
    <w:basedOn w:val="Normal"/>
    <w:pPr>
      <w:spacing w:before="120" w:after="120" w:line="300" w:lineRule="auto"/>
    </w:pPr>
    <w:rPr>
      <w:rFonts w:ascii="Times New Roman" w:eastAsia="Times New Roman" w:hAnsi="Times New Roman" w:cs="Times New Roman"/>
      <w:sz w:val="24"/>
      <w:szCs w:val="24"/>
      <w:lang w:val="en-US"/>
    </w:rPr>
  </w:style>
  <w:style w:type="paragraph" w:customStyle="1" w:styleId="gtclisttextstylenone">
    <w:name w:val="gtclisttextstylenone"/>
    <w:basedOn w:val="Normal"/>
    <w:pPr>
      <w:spacing w:before="120" w:after="120" w:line="300" w:lineRule="auto"/>
    </w:pPr>
    <w:rPr>
      <w:rFonts w:ascii="Times New Roman" w:eastAsia="Times New Roman" w:hAnsi="Times New Roman" w:cs="Times New Roman"/>
      <w:sz w:val="24"/>
      <w:szCs w:val="24"/>
      <w:lang w:val="en-US"/>
    </w:rPr>
  </w:style>
  <w:style w:type="paragraph" w:customStyle="1" w:styleId="gtchighlightparagraph">
    <w:name w:val="gtchighlightparagraph"/>
    <w:basedOn w:val="Normal"/>
    <w:pPr>
      <w:spacing w:before="120" w:after="0" w:line="240" w:lineRule="auto"/>
    </w:pPr>
    <w:rPr>
      <w:rFonts w:ascii="Times New Roman" w:eastAsia="Times New Roman" w:hAnsi="Times New Roman" w:cs="Times New Roman"/>
      <w:sz w:val="16"/>
      <w:szCs w:val="16"/>
      <w:lang w:val="en-US"/>
    </w:rPr>
  </w:style>
  <w:style w:type="paragraph" w:customStyle="1" w:styleId="gtchighlightboxedwarningtable">
    <w:name w:val="gtchighlightboxedwarningtable"/>
    <w:basedOn w:val="Normal"/>
    <w:pPr>
      <w:pBdr>
        <w:top w:val="single" w:sz="2" w:space="2" w:color="000000"/>
        <w:left w:val="single" w:sz="2" w:space="2" w:color="000000"/>
        <w:bottom w:val="single" w:sz="2" w:space="2" w:color="000000"/>
        <w:right w:val="single" w:sz="2" w:space="2" w:color="000000"/>
      </w:pBd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gtchighlighttextbold">
    <w:name w:val="gtchighlighttextbold"/>
    <w:basedOn w:val="Normal"/>
    <w:pPr>
      <w:spacing w:before="60" w:after="60" w:line="240" w:lineRule="auto"/>
    </w:pPr>
    <w:rPr>
      <w:rFonts w:ascii="Times New Roman" w:eastAsia="Times New Roman" w:hAnsi="Times New Roman" w:cs="Times New Roman"/>
      <w:b/>
      <w:bCs/>
      <w:sz w:val="16"/>
      <w:szCs w:val="16"/>
      <w:lang w:val="en-US"/>
    </w:rPr>
  </w:style>
  <w:style w:type="paragraph" w:customStyle="1" w:styleId="gtcparagraphlefthl">
    <w:name w:val="gtcparagraphlefthl"/>
    <w:basedOn w:val="Normal"/>
    <w:pPr>
      <w:spacing w:after="0" w:line="240" w:lineRule="auto"/>
    </w:pPr>
    <w:rPr>
      <w:rFonts w:ascii="Times New Roman" w:eastAsia="Times New Roman" w:hAnsi="Times New Roman" w:cs="Times New Roman"/>
      <w:sz w:val="16"/>
      <w:szCs w:val="16"/>
      <w:lang w:val="en-US"/>
    </w:rPr>
  </w:style>
  <w:style w:type="paragraph" w:customStyle="1" w:styleId="gtcparagraphrighthl">
    <w:name w:val="gtcparagraphrighthl"/>
    <w:basedOn w:val="Normal"/>
    <w:pPr>
      <w:spacing w:after="0" w:line="240" w:lineRule="auto"/>
      <w:jc w:val="right"/>
    </w:pPr>
    <w:rPr>
      <w:rFonts w:ascii="Times New Roman" w:eastAsia="Times New Roman" w:hAnsi="Times New Roman" w:cs="Times New Roman"/>
      <w:sz w:val="16"/>
      <w:szCs w:val="16"/>
      <w:lang w:val="en-US"/>
    </w:rPr>
  </w:style>
  <w:style w:type="paragraph" w:customStyle="1" w:styleId="gtcparagraphcenterhl">
    <w:name w:val="gtcparagraphcenterhl"/>
    <w:basedOn w:val="Normal"/>
    <w:pPr>
      <w:spacing w:after="0" w:line="240" w:lineRule="auto"/>
      <w:jc w:val="center"/>
    </w:pPr>
    <w:rPr>
      <w:rFonts w:ascii="Times New Roman" w:eastAsia="Times New Roman" w:hAnsi="Times New Roman" w:cs="Times New Roman"/>
      <w:sz w:val="16"/>
      <w:szCs w:val="16"/>
      <w:lang w:val="en-US"/>
    </w:rPr>
  </w:style>
  <w:style w:type="paragraph" w:customStyle="1" w:styleId="gtcparagraphjustifyhl">
    <w:name w:val="gtcparagraphjustifyhl"/>
    <w:basedOn w:val="Normal"/>
    <w:pPr>
      <w:spacing w:after="0" w:line="240" w:lineRule="auto"/>
      <w:jc w:val="both"/>
    </w:pPr>
    <w:rPr>
      <w:rFonts w:ascii="Times New Roman" w:eastAsia="Times New Roman" w:hAnsi="Times New Roman" w:cs="Times New Roman"/>
      <w:sz w:val="16"/>
      <w:szCs w:val="16"/>
      <w:lang w:val="en-US"/>
    </w:rPr>
  </w:style>
  <w:style w:type="paragraph" w:customStyle="1" w:styleId="gtclistcirclehl-bw">
    <w:name w:val="gtclistcirclehl-bw"/>
    <w:basedOn w:val="Normal"/>
    <w:pPr>
      <w:tabs>
        <w:tab w:val="num" w:pos="0"/>
        <w:tab w:val="left" w:pos="432"/>
      </w:tabs>
      <w:spacing w:after="0" w:line="240" w:lineRule="auto"/>
    </w:pPr>
    <w:rPr>
      <w:rFonts w:ascii="Times New Roman" w:eastAsia="Times New Roman" w:hAnsi="Times New Roman" w:cs="Times New Roman"/>
      <w:sz w:val="16"/>
      <w:szCs w:val="16"/>
      <w:lang w:val="en-US"/>
    </w:rPr>
  </w:style>
  <w:style w:type="paragraph" w:customStyle="1" w:styleId="gtclistcirclehl">
    <w:name w:val="gtclistcirclehl"/>
    <w:basedOn w:val="Normal"/>
    <w:pPr>
      <w:tabs>
        <w:tab w:val="num" w:pos="72"/>
        <w:tab w:val="left" w:pos="432"/>
      </w:tabs>
      <w:spacing w:after="0" w:line="240" w:lineRule="auto"/>
      <w:ind w:hanging="360"/>
    </w:pPr>
    <w:rPr>
      <w:rFonts w:ascii="Times New Roman" w:eastAsia="Times New Roman" w:hAnsi="Times New Roman" w:cs="Times New Roman"/>
      <w:sz w:val="16"/>
      <w:szCs w:val="16"/>
      <w:lang w:val="en-US"/>
    </w:rPr>
  </w:style>
  <w:style w:type="paragraph" w:customStyle="1" w:styleId="gtclistdischl-bw">
    <w:name w:val="gtclistdischl-bw"/>
    <w:basedOn w:val="Normal"/>
    <w:pPr>
      <w:tabs>
        <w:tab w:val="num" w:pos="0"/>
        <w:tab w:val="left" w:pos="432"/>
      </w:tabs>
      <w:spacing w:after="0" w:line="240" w:lineRule="auto"/>
    </w:pPr>
    <w:rPr>
      <w:rFonts w:ascii="Times New Roman" w:eastAsia="Times New Roman" w:hAnsi="Times New Roman" w:cs="Times New Roman"/>
      <w:sz w:val="16"/>
      <w:szCs w:val="16"/>
      <w:lang w:val="en-US"/>
    </w:rPr>
  </w:style>
  <w:style w:type="paragraph" w:customStyle="1" w:styleId="gtclistdischl">
    <w:name w:val="gtclistdischl"/>
    <w:basedOn w:val="Normal"/>
    <w:pPr>
      <w:tabs>
        <w:tab w:val="num" w:pos="0"/>
        <w:tab w:val="left" w:pos="432"/>
      </w:tabs>
      <w:spacing w:after="0" w:line="240" w:lineRule="auto"/>
      <w:ind w:hanging="360"/>
    </w:pPr>
    <w:rPr>
      <w:rFonts w:ascii="Times New Roman" w:eastAsia="Times New Roman" w:hAnsi="Times New Roman" w:cs="Times New Roman"/>
      <w:sz w:val="16"/>
      <w:szCs w:val="16"/>
      <w:lang w:val="en-US"/>
    </w:rPr>
  </w:style>
  <w:style w:type="paragraph" w:customStyle="1" w:styleId="gtclistsquarehl-bw">
    <w:name w:val="gtclistsquarehl-bw"/>
    <w:basedOn w:val="Normal"/>
    <w:pPr>
      <w:tabs>
        <w:tab w:val="num" w:pos="72"/>
        <w:tab w:val="left" w:pos="360"/>
      </w:tabs>
      <w:spacing w:after="0" w:line="240" w:lineRule="auto"/>
      <w:ind w:hanging="360"/>
    </w:pPr>
    <w:rPr>
      <w:rFonts w:ascii="Times New Roman" w:eastAsia="Times New Roman" w:hAnsi="Times New Roman" w:cs="Times New Roman"/>
      <w:sz w:val="16"/>
      <w:szCs w:val="16"/>
      <w:lang w:val="en-US"/>
    </w:rPr>
  </w:style>
  <w:style w:type="paragraph" w:customStyle="1" w:styleId="gtclistsquarehl">
    <w:name w:val="gtclistsquarehl"/>
    <w:basedOn w:val="Normal"/>
    <w:pPr>
      <w:tabs>
        <w:tab w:val="num" w:pos="72"/>
        <w:tab w:val="left" w:pos="432"/>
      </w:tabs>
      <w:spacing w:after="0" w:line="240" w:lineRule="auto"/>
      <w:ind w:hanging="360"/>
    </w:pPr>
    <w:rPr>
      <w:rFonts w:ascii="Times New Roman" w:eastAsia="Times New Roman" w:hAnsi="Times New Roman" w:cs="Times New Roman"/>
      <w:sz w:val="16"/>
      <w:szCs w:val="16"/>
      <w:lang w:val="en-US"/>
    </w:rPr>
  </w:style>
  <w:style w:type="paragraph" w:customStyle="1" w:styleId="gtclistlittleromanhl-bw">
    <w:name w:val="gtclistlittleromanhl-bw"/>
    <w:basedOn w:val="Normal"/>
    <w:pPr>
      <w:tabs>
        <w:tab w:val="left" w:pos="360"/>
        <w:tab w:val="num" w:pos="1008"/>
      </w:tabs>
      <w:spacing w:after="0" w:line="240" w:lineRule="auto"/>
      <w:ind w:hanging="360"/>
    </w:pPr>
    <w:rPr>
      <w:rFonts w:ascii="Times New Roman" w:eastAsia="Times New Roman" w:hAnsi="Times New Roman" w:cs="Times New Roman"/>
      <w:sz w:val="16"/>
      <w:szCs w:val="16"/>
      <w:lang w:val="en-US"/>
    </w:rPr>
  </w:style>
  <w:style w:type="paragraph" w:customStyle="1" w:styleId="gtclistlittleromanhl">
    <w:name w:val="gtclistlittleromanhl"/>
    <w:basedOn w:val="Normal"/>
    <w:pPr>
      <w:tabs>
        <w:tab w:val="left" w:pos="432"/>
        <w:tab w:val="num" w:pos="1008"/>
      </w:tabs>
      <w:spacing w:after="0" w:line="240" w:lineRule="auto"/>
      <w:ind w:hanging="360"/>
    </w:pPr>
    <w:rPr>
      <w:rFonts w:ascii="Times New Roman" w:eastAsia="Times New Roman" w:hAnsi="Times New Roman" w:cs="Times New Roman"/>
      <w:sz w:val="16"/>
      <w:szCs w:val="16"/>
      <w:lang w:val="en-US"/>
    </w:rPr>
  </w:style>
  <w:style w:type="paragraph" w:customStyle="1" w:styleId="gtclistbigromanhl-bw">
    <w:name w:val="gtclistbigromanhl-bw"/>
    <w:basedOn w:val="Normal"/>
    <w:pPr>
      <w:tabs>
        <w:tab w:val="left" w:pos="360"/>
        <w:tab w:val="num" w:pos="1008"/>
      </w:tabs>
      <w:spacing w:after="0" w:line="240" w:lineRule="auto"/>
      <w:ind w:hanging="360"/>
    </w:pPr>
    <w:rPr>
      <w:rFonts w:ascii="Times New Roman" w:eastAsia="Times New Roman" w:hAnsi="Times New Roman" w:cs="Times New Roman"/>
      <w:sz w:val="16"/>
      <w:szCs w:val="16"/>
      <w:lang w:val="en-US"/>
    </w:rPr>
  </w:style>
  <w:style w:type="paragraph" w:customStyle="1" w:styleId="gtclistbigromanhl">
    <w:name w:val="gtclistbigromanhl"/>
    <w:basedOn w:val="Normal"/>
    <w:pPr>
      <w:tabs>
        <w:tab w:val="left" w:pos="432"/>
        <w:tab w:val="num" w:pos="1008"/>
      </w:tabs>
      <w:spacing w:after="0" w:line="240" w:lineRule="auto"/>
      <w:ind w:hanging="360"/>
    </w:pPr>
    <w:rPr>
      <w:rFonts w:ascii="Times New Roman" w:eastAsia="Times New Roman" w:hAnsi="Times New Roman" w:cs="Times New Roman"/>
      <w:sz w:val="16"/>
      <w:szCs w:val="16"/>
      <w:lang w:val="en-US"/>
    </w:rPr>
  </w:style>
  <w:style w:type="paragraph" w:customStyle="1" w:styleId="gtclistlittlealphahl-bw">
    <w:name w:val="gtclistlittlealphahl-bw"/>
    <w:basedOn w:val="Normal"/>
    <w:pPr>
      <w:tabs>
        <w:tab w:val="left" w:pos="360"/>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littlealphahl">
    <w:name w:val="gtclistlittlealphahl"/>
    <w:basedOn w:val="Normal"/>
    <w:pPr>
      <w:tabs>
        <w:tab w:val="left" w:pos="432"/>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ctlistbigalphahl-bw">
    <w:name w:val="gctlistbigalphahl-bw"/>
    <w:basedOn w:val="Normal"/>
    <w:pPr>
      <w:tabs>
        <w:tab w:val="left" w:pos="360"/>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bigalphahl">
    <w:name w:val="gtclistbigalphahl"/>
    <w:basedOn w:val="Normal"/>
    <w:pPr>
      <w:tabs>
        <w:tab w:val="left" w:pos="432"/>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arabichl-bw">
    <w:name w:val="gtclistarabichl-bw"/>
    <w:basedOn w:val="Normal"/>
    <w:pPr>
      <w:tabs>
        <w:tab w:val="left" w:pos="360"/>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arabichl">
    <w:name w:val="gtclistarabichl"/>
    <w:basedOn w:val="Normal"/>
    <w:pPr>
      <w:tabs>
        <w:tab w:val="left" w:pos="432"/>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texthl">
    <w:name w:val="gtclisttexthl"/>
    <w:basedOn w:val="Normal"/>
    <w:pPr>
      <w:spacing w:after="0" w:line="240" w:lineRule="auto"/>
    </w:pPr>
    <w:rPr>
      <w:rFonts w:ascii="Times New Roman" w:eastAsia="Times New Roman" w:hAnsi="Times New Roman" w:cs="Times New Roman"/>
      <w:sz w:val="16"/>
      <w:szCs w:val="16"/>
      <w:lang w:val="en-US"/>
    </w:rPr>
  </w:style>
  <w:style w:type="paragraph" w:customStyle="1" w:styleId="gtclisttexthlinserted">
    <w:name w:val="gtclisttexthlinserted"/>
    <w:basedOn w:val="Normal"/>
    <w:pPr>
      <w:spacing w:after="0" w:line="240" w:lineRule="auto"/>
    </w:pPr>
    <w:rPr>
      <w:rFonts w:ascii="Times New Roman" w:eastAsia="Times New Roman" w:hAnsi="Times New Roman" w:cs="Times New Roman"/>
      <w:color w:val="FF0000"/>
      <w:sz w:val="16"/>
      <w:szCs w:val="16"/>
      <w:u w:val="double"/>
      <w:lang w:val="en-US"/>
    </w:rPr>
  </w:style>
  <w:style w:type="paragraph" w:customStyle="1" w:styleId="gtclisttexthldeleted">
    <w:name w:val="gtclisttexthldeleted"/>
    <w:basedOn w:val="Normal"/>
    <w:pPr>
      <w:spacing w:after="0" w:line="240" w:lineRule="auto"/>
    </w:pPr>
    <w:rPr>
      <w:rFonts w:ascii="Times New Roman" w:eastAsia="Times New Roman" w:hAnsi="Times New Roman" w:cs="Times New Roman"/>
      <w:strike/>
      <w:color w:val="0000FF"/>
      <w:sz w:val="16"/>
      <w:szCs w:val="16"/>
      <w:lang w:val="en-US"/>
    </w:rPr>
  </w:style>
  <w:style w:type="paragraph" w:customStyle="1" w:styleId="gtctabletitlealignlefthl">
    <w:name w:val="gtctabletitlealignlefthl"/>
    <w:basedOn w:val="Normal"/>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gtctabletitlealignrighthl">
    <w:name w:val="gtctabletitlealignrighthl"/>
    <w:basedOn w:val="Normal"/>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gtctabletitleotherwisehl">
    <w:name w:val="gtctabletitleotherwisehl"/>
    <w:basedOn w:val="Normal"/>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gtctabletitleinsertmarkuphl">
    <w:name w:val="gtctabletitleinsertmarkuphl"/>
    <w:basedOn w:val="Normal"/>
    <w:pPr>
      <w:spacing w:before="100" w:beforeAutospacing="1" w:after="100" w:afterAutospacing="1" w:line="240" w:lineRule="auto"/>
    </w:pPr>
    <w:rPr>
      <w:rFonts w:ascii="Times New Roman" w:eastAsia="Times New Roman" w:hAnsi="Times New Roman" w:cs="Times New Roman"/>
      <w:color w:val="FF0000"/>
      <w:sz w:val="16"/>
      <w:szCs w:val="16"/>
      <w:u w:val="double"/>
      <w:lang w:val="en-US"/>
    </w:rPr>
  </w:style>
  <w:style w:type="paragraph" w:customStyle="1" w:styleId="gtctabletitledeletemarkuphl">
    <w:name w:val="gtctabletitledeletemarkuphl"/>
    <w:basedOn w:val="Normal"/>
    <w:pPr>
      <w:spacing w:before="100" w:beforeAutospacing="1" w:after="100" w:afterAutospacing="1" w:line="240" w:lineRule="auto"/>
    </w:pPr>
    <w:rPr>
      <w:rFonts w:ascii="Times New Roman" w:eastAsia="Times New Roman" w:hAnsi="Times New Roman" w:cs="Times New Roman"/>
      <w:strike/>
      <w:color w:val="0000FF"/>
      <w:sz w:val="16"/>
      <w:szCs w:val="16"/>
      <w:lang w:val="en-US"/>
    </w:rPr>
  </w:style>
  <w:style w:type="paragraph" w:customStyle="1" w:styleId="gtcproductprofile">
    <w:name w:val="gtcproductprofile"/>
    <w:basedOn w:val="Normal"/>
    <w:pPr>
      <w:shd w:val="clear" w:color="auto" w:fill="FFFF99"/>
      <w:spacing w:before="240" w:after="240" w:line="240" w:lineRule="auto"/>
    </w:pPr>
    <w:rPr>
      <w:rFonts w:ascii="Times New Roman" w:eastAsia="Times New Roman" w:hAnsi="Times New Roman" w:cs="Times New Roman"/>
      <w:sz w:val="24"/>
      <w:szCs w:val="24"/>
      <w:lang w:val="en-US"/>
    </w:rPr>
  </w:style>
  <w:style w:type="paragraph" w:customStyle="1" w:styleId="gtcprofileinfo">
    <w:name w:val="gtcprofileinfo"/>
    <w:basedOn w:val="Normal"/>
    <w:pPr>
      <w:spacing w:after="0" w:line="240" w:lineRule="auto"/>
    </w:pPr>
    <w:rPr>
      <w:rFonts w:ascii="Times New Roman" w:eastAsia="Times New Roman" w:hAnsi="Times New Roman" w:cs="Times New Roman"/>
      <w:color w:val="808080"/>
      <w:sz w:val="24"/>
      <w:szCs w:val="24"/>
      <w:lang w:val="en-US"/>
    </w:rPr>
  </w:style>
  <w:style w:type="paragraph" w:customStyle="1" w:styleId="gtcgenericlabeldiv">
    <w:name w:val="gtcgenericlabeldiv"/>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genericlabel">
    <w:name w:val="gtcgenericlabel"/>
    <w:basedOn w:val="Normal"/>
    <w:pPr>
      <w:spacing w:before="120" w:after="0" w:line="240" w:lineRule="auto"/>
    </w:pPr>
    <w:rPr>
      <w:rFonts w:ascii="Times New Roman" w:eastAsia="Times New Roman" w:hAnsi="Times New Roman" w:cs="Times New Roman"/>
      <w:sz w:val="16"/>
      <w:szCs w:val="16"/>
      <w:lang w:val="en-US"/>
    </w:rPr>
  </w:style>
  <w:style w:type="paragraph" w:customStyle="1" w:styleId="gtcgenericlabeltoc">
    <w:name w:val="gtcgenericlabeltoc"/>
    <w:basedOn w:val="Normal"/>
    <w:pPr>
      <w:spacing w:before="120" w:after="0" w:line="240" w:lineRule="auto"/>
    </w:pPr>
    <w:rPr>
      <w:rFonts w:ascii="Times New Roman" w:eastAsia="Times New Roman" w:hAnsi="Times New Roman" w:cs="Times New Roman"/>
      <w:sz w:val="16"/>
      <w:szCs w:val="16"/>
      <w:lang w:val="en-US"/>
    </w:rPr>
  </w:style>
  <w:style w:type="paragraph" w:customStyle="1" w:styleId="gtcsectionbreak">
    <w:name w:val="gtcsectionbreak"/>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pagebreak">
    <w:name w:val="gtcpagebreak"/>
    <w:basedOn w:val="Normal"/>
    <w:pPr>
      <w:pageBreakBefore/>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pagesectionbreak">
    <w:name w:val="gtcpagesectionbreak"/>
    <w:basedOn w:val="Normal"/>
    <w:pPr>
      <w:pageBreakBefore/>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titleleft">
    <w:name w:val="gtctitleleft"/>
    <w:basedOn w:val="Normal"/>
    <w:pPr>
      <w:spacing w:before="120" w:after="120" w:line="240" w:lineRule="auto"/>
    </w:pPr>
    <w:rPr>
      <w:rFonts w:ascii="Times New Roman" w:eastAsia="Times New Roman" w:hAnsi="Times New Roman" w:cs="Times New Roman"/>
      <w:b/>
      <w:bCs/>
      <w:sz w:val="28"/>
      <w:szCs w:val="28"/>
      <w:lang w:val="en-US"/>
    </w:rPr>
  </w:style>
  <w:style w:type="paragraph" w:customStyle="1" w:styleId="gtctitleright">
    <w:name w:val="gtctitleright"/>
    <w:basedOn w:val="Normal"/>
    <w:pPr>
      <w:spacing w:before="120" w:after="120" w:line="240" w:lineRule="auto"/>
      <w:jc w:val="right"/>
    </w:pPr>
    <w:rPr>
      <w:rFonts w:ascii="Times New Roman" w:eastAsia="Times New Roman" w:hAnsi="Times New Roman" w:cs="Times New Roman"/>
      <w:b/>
      <w:bCs/>
      <w:sz w:val="28"/>
      <w:szCs w:val="28"/>
      <w:lang w:val="en-US"/>
    </w:rPr>
  </w:style>
  <w:style w:type="paragraph" w:customStyle="1" w:styleId="gtctitlecenter">
    <w:name w:val="gtctitlecenter"/>
    <w:basedOn w:val="Normal"/>
    <w:pPr>
      <w:spacing w:before="120" w:after="120" w:line="240" w:lineRule="auto"/>
      <w:jc w:val="center"/>
    </w:pPr>
    <w:rPr>
      <w:rFonts w:ascii="Times New Roman" w:eastAsia="Times New Roman" w:hAnsi="Times New Roman" w:cs="Times New Roman"/>
      <w:b/>
      <w:bCs/>
      <w:sz w:val="28"/>
      <w:szCs w:val="28"/>
      <w:lang w:val="en-US"/>
    </w:rPr>
  </w:style>
  <w:style w:type="paragraph" w:customStyle="1" w:styleId="gtctitlejustify">
    <w:name w:val="gtctitlejustify"/>
    <w:basedOn w:val="Normal"/>
    <w:pPr>
      <w:spacing w:before="120" w:after="120" w:line="240" w:lineRule="auto"/>
      <w:jc w:val="both"/>
    </w:pPr>
    <w:rPr>
      <w:rFonts w:ascii="Times New Roman" w:eastAsia="Times New Roman" w:hAnsi="Times New Roman" w:cs="Times New Roman"/>
      <w:b/>
      <w:bCs/>
      <w:sz w:val="28"/>
      <w:szCs w:val="28"/>
      <w:lang w:val="en-US"/>
    </w:rPr>
  </w:style>
  <w:style w:type="paragraph" w:customStyle="1" w:styleId="gtcheading1">
    <w:name w:val="gtcheading1"/>
    <w:basedOn w:val="Normal"/>
    <w:pPr>
      <w:keepNext/>
      <w:spacing w:before="240" w:after="240" w:line="240" w:lineRule="auto"/>
    </w:pPr>
    <w:rPr>
      <w:rFonts w:ascii="Times New Roman" w:eastAsia="Times New Roman" w:hAnsi="Times New Roman" w:cs="Times New Roman"/>
      <w:b/>
      <w:bCs/>
      <w:caps/>
      <w:sz w:val="24"/>
      <w:szCs w:val="24"/>
      <w:lang w:val="en-US"/>
    </w:rPr>
  </w:style>
  <w:style w:type="paragraph" w:customStyle="1" w:styleId="gtcheading1d">
    <w:name w:val="gtcheading1d"/>
    <w:basedOn w:val="Normal"/>
    <w:pPr>
      <w:keepNext/>
      <w:spacing w:before="240" w:after="240" w:line="240" w:lineRule="auto"/>
    </w:pPr>
    <w:rPr>
      <w:rFonts w:ascii="Times New Roman" w:eastAsia="Times New Roman" w:hAnsi="Times New Roman" w:cs="Times New Roman"/>
      <w:b/>
      <w:bCs/>
      <w:caps/>
      <w:strike/>
      <w:color w:val="FF0000"/>
      <w:sz w:val="24"/>
      <w:szCs w:val="24"/>
      <w:lang w:val="en-US"/>
    </w:rPr>
  </w:style>
  <w:style w:type="paragraph" w:customStyle="1" w:styleId="gtcheading1i">
    <w:name w:val="gtcheading1i"/>
    <w:basedOn w:val="Normal"/>
    <w:pPr>
      <w:keepNext/>
      <w:spacing w:before="240" w:after="240" w:line="240" w:lineRule="auto"/>
    </w:pPr>
    <w:rPr>
      <w:rFonts w:ascii="Times New Roman" w:eastAsia="Times New Roman" w:hAnsi="Times New Roman" w:cs="Times New Roman"/>
      <w:b/>
      <w:bCs/>
      <w:caps/>
      <w:color w:val="FF0000"/>
      <w:sz w:val="24"/>
      <w:szCs w:val="24"/>
      <w:lang w:val="en-US"/>
    </w:rPr>
  </w:style>
  <w:style w:type="paragraph" w:customStyle="1" w:styleId="gtcheading2">
    <w:name w:val="gtcheading2"/>
    <w:basedOn w:val="Normal"/>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heading2d">
    <w:name w:val="gtcheading2d"/>
    <w:basedOn w:val="Normal"/>
    <w:pPr>
      <w:keepNext/>
      <w:spacing w:before="240" w:after="240" w:line="240" w:lineRule="auto"/>
    </w:pPr>
    <w:rPr>
      <w:rFonts w:ascii="Times New Roman" w:eastAsia="Times New Roman" w:hAnsi="Times New Roman" w:cs="Times New Roman"/>
      <w:b/>
      <w:bCs/>
      <w:strike/>
      <w:color w:val="FF0000"/>
      <w:sz w:val="24"/>
      <w:szCs w:val="24"/>
      <w:lang w:val="en-US"/>
    </w:rPr>
  </w:style>
  <w:style w:type="paragraph" w:customStyle="1" w:styleId="gtcheading2i">
    <w:name w:val="gtcheading2i"/>
    <w:basedOn w:val="Normal"/>
    <w:pPr>
      <w:keepNext/>
      <w:spacing w:before="240" w:after="240" w:line="240" w:lineRule="auto"/>
    </w:pPr>
    <w:rPr>
      <w:rFonts w:ascii="Times New Roman" w:eastAsia="Times New Roman" w:hAnsi="Times New Roman" w:cs="Times New Roman"/>
      <w:b/>
      <w:bCs/>
      <w:color w:val="FF0000"/>
      <w:sz w:val="24"/>
      <w:szCs w:val="24"/>
      <w:lang w:val="en-US"/>
    </w:rPr>
  </w:style>
  <w:style w:type="paragraph" w:customStyle="1" w:styleId="gtcheading3">
    <w:name w:val="gtcheading3"/>
    <w:basedOn w:val="Normal"/>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heading3d">
    <w:name w:val="gtcheading3d"/>
    <w:basedOn w:val="Normal"/>
    <w:pPr>
      <w:keepNext/>
      <w:spacing w:before="240" w:after="240" w:line="240" w:lineRule="auto"/>
    </w:pPr>
    <w:rPr>
      <w:rFonts w:ascii="Times New Roman" w:eastAsia="Times New Roman" w:hAnsi="Times New Roman" w:cs="Times New Roman"/>
      <w:b/>
      <w:bCs/>
      <w:strike/>
      <w:color w:val="FF0000"/>
      <w:sz w:val="24"/>
      <w:szCs w:val="24"/>
      <w:lang w:val="en-US"/>
    </w:rPr>
  </w:style>
  <w:style w:type="paragraph" w:customStyle="1" w:styleId="gtcheading3i">
    <w:name w:val="gtcheading3i"/>
    <w:basedOn w:val="Normal"/>
    <w:pPr>
      <w:keepNext/>
      <w:spacing w:before="240" w:after="240" w:line="240" w:lineRule="auto"/>
    </w:pPr>
    <w:rPr>
      <w:rFonts w:ascii="Times New Roman" w:eastAsia="Times New Roman" w:hAnsi="Times New Roman" w:cs="Times New Roman"/>
      <w:color w:val="FF0000"/>
      <w:sz w:val="24"/>
      <w:szCs w:val="24"/>
      <w:lang w:val="en-US"/>
    </w:rPr>
  </w:style>
  <w:style w:type="paragraph" w:customStyle="1" w:styleId="gtcheading4">
    <w:name w:val="gtcheading4"/>
    <w:basedOn w:val="Normal"/>
    <w:pPr>
      <w:keepNext/>
      <w:spacing w:before="240" w:after="240" w:line="240" w:lineRule="auto"/>
    </w:pPr>
    <w:rPr>
      <w:rFonts w:ascii="Times New Roman" w:eastAsia="Times New Roman" w:hAnsi="Times New Roman" w:cs="Times New Roman"/>
      <w:i/>
      <w:iCs/>
      <w:sz w:val="24"/>
      <w:szCs w:val="24"/>
      <w:lang w:val="en-US"/>
    </w:rPr>
  </w:style>
  <w:style w:type="paragraph" w:customStyle="1" w:styleId="gtcheading4d">
    <w:name w:val="gtcheading4d"/>
    <w:basedOn w:val="Normal"/>
    <w:pPr>
      <w:keepNext/>
      <w:spacing w:before="240" w:after="240" w:line="240" w:lineRule="auto"/>
    </w:pPr>
    <w:rPr>
      <w:rFonts w:ascii="Times New Roman" w:eastAsia="Times New Roman" w:hAnsi="Times New Roman" w:cs="Times New Roman"/>
      <w:i/>
      <w:iCs/>
      <w:strike/>
      <w:color w:val="FF0000"/>
      <w:sz w:val="24"/>
      <w:szCs w:val="24"/>
      <w:lang w:val="en-US"/>
    </w:rPr>
  </w:style>
  <w:style w:type="paragraph" w:customStyle="1" w:styleId="gtcheading4i">
    <w:name w:val="gtcheading4i"/>
    <w:basedOn w:val="Normal"/>
    <w:pPr>
      <w:keepNext/>
      <w:spacing w:before="240" w:after="240" w:line="240" w:lineRule="auto"/>
    </w:pPr>
    <w:rPr>
      <w:rFonts w:ascii="Times New Roman" w:eastAsia="Times New Roman" w:hAnsi="Times New Roman" w:cs="Times New Roman"/>
      <w:i/>
      <w:iCs/>
      <w:color w:val="FF0000"/>
      <w:sz w:val="24"/>
      <w:szCs w:val="24"/>
      <w:lang w:val="en-US"/>
    </w:rPr>
  </w:style>
  <w:style w:type="paragraph" w:customStyle="1" w:styleId="gtctextsectiondepth1">
    <w:name w:val="gtctextsectiondepth1"/>
    <w:basedOn w:val="Normal"/>
    <w:pPr>
      <w:keepNext/>
      <w:spacing w:before="240" w:after="240" w:line="240" w:lineRule="auto"/>
    </w:pPr>
    <w:rPr>
      <w:rFonts w:ascii="Times New Roman" w:eastAsia="Times New Roman" w:hAnsi="Times New Roman" w:cs="Times New Roman"/>
      <w:b/>
      <w:bCs/>
      <w:caps/>
      <w:sz w:val="24"/>
      <w:szCs w:val="24"/>
      <w:lang w:val="en-US"/>
    </w:rPr>
  </w:style>
  <w:style w:type="paragraph" w:customStyle="1" w:styleId="gtctextsectiondepth2">
    <w:name w:val="gtctextsectiondepth2"/>
    <w:basedOn w:val="Normal"/>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3">
    <w:name w:val="gtctextsectiondepth3"/>
    <w:basedOn w:val="Normal"/>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4">
    <w:name w:val="gtctextsectiondepth4"/>
    <w:basedOn w:val="Normal"/>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5">
    <w:name w:val="gtctextsectiondepth5"/>
    <w:basedOn w:val="Normal"/>
    <w:pPr>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6">
    <w:name w:val="gtctextsectiondepth6"/>
    <w:basedOn w:val="Normal"/>
    <w:pPr>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7">
    <w:name w:val="gtctextsectiondepth7"/>
    <w:basedOn w:val="Normal"/>
    <w:pPr>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8">
    <w:name w:val="gtctextsectiondepth8"/>
    <w:basedOn w:val="Normal"/>
    <w:pPr>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9">
    <w:name w:val="gtctextsectiondepth9"/>
    <w:basedOn w:val="Normal"/>
    <w:pPr>
      <w:spacing w:before="240" w:after="240" w:line="240" w:lineRule="auto"/>
    </w:pPr>
    <w:rPr>
      <w:rFonts w:ascii="Times New Roman" w:eastAsia="Times New Roman" w:hAnsi="Times New Roman" w:cs="Times New Roman"/>
      <w:b/>
      <w:bCs/>
      <w:sz w:val="24"/>
      <w:szCs w:val="24"/>
      <w:lang w:val="en-US"/>
    </w:rPr>
  </w:style>
  <w:style w:type="paragraph" w:customStyle="1" w:styleId="gtcstandardtext">
    <w:name w:val="gtcstandardtext"/>
    <w:basedOn w:val="Normal"/>
    <w:pPr>
      <w:spacing w:before="240" w:after="240" w:line="240" w:lineRule="auto"/>
    </w:pPr>
    <w:rPr>
      <w:rFonts w:ascii="Times New Roman" w:eastAsia="Times New Roman" w:hAnsi="Times New Roman" w:cs="Times New Roman"/>
      <w:color w:val="0000FF"/>
      <w:sz w:val="24"/>
      <w:szCs w:val="24"/>
      <w:lang w:val="en-US"/>
    </w:rPr>
  </w:style>
  <w:style w:type="paragraph" w:customStyle="1" w:styleId="gtccaption">
    <w:name w:val="gtccaption"/>
    <w:basedOn w:val="Normal"/>
    <w:pPr>
      <w:spacing w:before="240" w:after="240" w:line="240" w:lineRule="auto"/>
    </w:pPr>
    <w:rPr>
      <w:rFonts w:ascii="Times New Roman" w:eastAsia="Times New Roman" w:hAnsi="Times New Roman" w:cs="Times New Roman"/>
      <w:caps/>
      <w:sz w:val="24"/>
      <w:szCs w:val="24"/>
      <w:lang w:val="en-US"/>
    </w:rPr>
  </w:style>
  <w:style w:type="paragraph" w:customStyle="1" w:styleId="gtclist-bw">
    <w:name w:val="gtclist-bw"/>
    <w:basedOn w:val="Normal"/>
    <w:pPr>
      <w:spacing w:before="40" w:after="40" w:line="240" w:lineRule="auto"/>
    </w:pPr>
    <w:rPr>
      <w:rFonts w:ascii="Times New Roman" w:eastAsia="Times New Roman" w:hAnsi="Times New Roman" w:cs="Times New Roman"/>
      <w:sz w:val="24"/>
      <w:szCs w:val="24"/>
      <w:lang w:val="en-US"/>
    </w:rPr>
  </w:style>
  <w:style w:type="paragraph" w:customStyle="1" w:styleId="gtctabletitlealignleft">
    <w:name w:val="gtctabletitlealignleft"/>
    <w:basedOn w:val="Normal"/>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gtctabletitlealignright">
    <w:name w:val="gtctabletitlealignright"/>
    <w:basedOn w:val="Normal"/>
    <w:pP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gtctabletitleinsertmarkup">
    <w:name w:val="gtctabletitleinsertmarkup"/>
    <w:basedOn w:val="Normal"/>
    <w:pPr>
      <w:spacing w:before="100" w:beforeAutospacing="1" w:after="100" w:afterAutospacing="1" w:line="240" w:lineRule="auto"/>
    </w:pPr>
    <w:rPr>
      <w:rFonts w:ascii="Times New Roman" w:eastAsia="Times New Roman" w:hAnsi="Times New Roman" w:cs="Times New Roman"/>
      <w:color w:val="FF0000"/>
      <w:sz w:val="20"/>
      <w:szCs w:val="20"/>
      <w:u w:val="double"/>
      <w:lang w:val="en-US"/>
    </w:rPr>
  </w:style>
  <w:style w:type="paragraph" w:customStyle="1" w:styleId="gtctabletitledeletemarkup">
    <w:name w:val="gtctabletitledeletemarkup"/>
    <w:basedOn w:val="Normal"/>
    <w:pPr>
      <w:spacing w:before="100" w:beforeAutospacing="1" w:after="100" w:afterAutospacing="1" w:line="240" w:lineRule="auto"/>
    </w:pPr>
    <w:rPr>
      <w:rFonts w:ascii="Times New Roman" w:eastAsia="Times New Roman" w:hAnsi="Times New Roman" w:cs="Times New Roman"/>
      <w:strike/>
      <w:color w:val="FF0000"/>
      <w:sz w:val="20"/>
      <w:szCs w:val="20"/>
      <w:lang w:val="en-US"/>
    </w:rPr>
  </w:style>
  <w:style w:type="paragraph" w:customStyle="1" w:styleId="gtctableheadertextleftrule">
    <w:name w:val="gtctableheadertextleftrule"/>
    <w:basedOn w:val="Normal"/>
    <w:pPr>
      <w:pBdr>
        <w:lef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rightrule">
    <w:name w:val="gtctableheadertextrightrule"/>
    <w:basedOn w:val="Normal"/>
    <w:pPr>
      <w:pBdr>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toprule">
    <w:name w:val="gtctableheadertexttoprule"/>
    <w:basedOn w:val="Normal"/>
    <w:pPr>
      <w:pBdr>
        <w:top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bottomrule">
    <w:name w:val="gtctableheadertextbottomrule"/>
    <w:basedOn w:val="Normal"/>
    <w:pPr>
      <w:pBdr>
        <w:bottom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rightrule">
    <w:name w:val="gtctableheadertextleftrightrule"/>
    <w:basedOn w:val="Normal"/>
    <w:pPr>
      <w:pBdr>
        <w:left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toprule">
    <w:name w:val="gtctableheadertextlefttoprule"/>
    <w:basedOn w:val="Normal"/>
    <w:pPr>
      <w:pBdr>
        <w:top w:val="single" w:sz="6" w:space="0" w:color="000000"/>
        <w:lef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bottomrule">
    <w:name w:val="gtctableheadertextleftbottomrule"/>
    <w:basedOn w:val="Normal"/>
    <w:pPr>
      <w:pBdr>
        <w:left w:val="single" w:sz="6" w:space="0" w:color="000000"/>
        <w:bottom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righttoprule">
    <w:name w:val="gtctableheadertextrighttoprule"/>
    <w:basedOn w:val="Normal"/>
    <w:pPr>
      <w:pBdr>
        <w:top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rightbottomrule">
    <w:name w:val="gtctableheadertextrightbottomrule"/>
    <w:basedOn w:val="Normal"/>
    <w:pPr>
      <w:pBdr>
        <w:bottom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righttoprule">
    <w:name w:val="gtctableheadertextleftrighttoprule"/>
    <w:basedOn w:val="Normal"/>
    <w:pPr>
      <w:pBdr>
        <w:top w:val="single" w:sz="6" w:space="0" w:color="000000"/>
        <w:left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rightbottomrule">
    <w:name w:val="gtctableheadertextleftrightbottomrule"/>
    <w:basedOn w:val="Normal"/>
    <w:pPr>
      <w:pBdr>
        <w:left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righttopbottomrule">
    <w:name w:val="gtctableheadertextrighttopbottomrule"/>
    <w:basedOn w:val="Normal"/>
    <w:pPr>
      <w:pBdr>
        <w:top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righttopbottomrule">
    <w:name w:val="gtctableheadertextleftrighttopbottomrule"/>
    <w:basedOn w:val="Normal"/>
    <w:pPr>
      <w:pBdr>
        <w:top w:val="single" w:sz="6" w:space="0" w:color="000000"/>
        <w:left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norule">
    <w:name w:val="gtctableheadertextnorule"/>
    <w:basedOn w:val="Normal"/>
    <w:pP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datatextleftrule">
    <w:name w:val="gtctabledatatextleftrule"/>
    <w:basedOn w:val="Normal"/>
    <w:pPr>
      <w:pBdr>
        <w:lef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rightrule">
    <w:name w:val="gtctabledatatextrightrule"/>
    <w:basedOn w:val="Normal"/>
    <w:pPr>
      <w:pBdr>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toprule">
    <w:name w:val="gtctabledatatexttoprule"/>
    <w:basedOn w:val="Normal"/>
    <w:pPr>
      <w:pBdr>
        <w:top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bottomrule">
    <w:name w:val="gtctabledatatextbottomrule"/>
    <w:basedOn w:val="Normal"/>
    <w:pPr>
      <w:pBdr>
        <w:bottom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rightrule">
    <w:name w:val="gtctabledatatextleftrightrule"/>
    <w:basedOn w:val="Normal"/>
    <w:pPr>
      <w:pBdr>
        <w:left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toprule">
    <w:name w:val="gtctabledatatextlefttoprule"/>
    <w:basedOn w:val="Normal"/>
    <w:pPr>
      <w:pBdr>
        <w:top w:val="single" w:sz="6" w:space="0" w:color="000000"/>
        <w:lef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bottomrule">
    <w:name w:val="gtctabledatatextleftbottomrule"/>
    <w:basedOn w:val="Normal"/>
    <w:pPr>
      <w:pBdr>
        <w:left w:val="single" w:sz="6" w:space="0" w:color="000000"/>
        <w:bottom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righttoprule">
    <w:name w:val="gtctabledatatextrighttoprule"/>
    <w:basedOn w:val="Normal"/>
    <w:pPr>
      <w:pBdr>
        <w:top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rightbottomrule">
    <w:name w:val="gtctabledatatextrightbottomrule"/>
    <w:basedOn w:val="Normal"/>
    <w:pPr>
      <w:pBdr>
        <w:bottom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righttoprule">
    <w:name w:val="gtctabledatatextleftrighttoprule"/>
    <w:basedOn w:val="Normal"/>
    <w:pPr>
      <w:pBdr>
        <w:top w:val="single" w:sz="6" w:space="0" w:color="000000"/>
        <w:left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rightbottomrule">
    <w:name w:val="gtctabledatatextleftrightbottomrule"/>
    <w:basedOn w:val="Normal"/>
    <w:pPr>
      <w:pBdr>
        <w:left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righttopbottomrule">
    <w:name w:val="gtctabledatatextrighttopbottomrule"/>
    <w:basedOn w:val="Normal"/>
    <w:pPr>
      <w:pBdr>
        <w:top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righttopbottomrule">
    <w:name w:val="gtctabledatatextleftrighttopbottomrule"/>
    <w:basedOn w:val="Normal"/>
    <w:pPr>
      <w:pBdr>
        <w:top w:val="single" w:sz="6" w:space="0" w:color="000000"/>
        <w:left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norule">
    <w:name w:val="gtctabledatatextnorule"/>
    <w:basedOn w:val="Normal"/>
    <w:pPr>
      <w:spacing w:before="60" w:after="60" w:line="300" w:lineRule="auto"/>
      <w:jc w:val="center"/>
    </w:pPr>
    <w:rPr>
      <w:rFonts w:ascii="Times New Roman" w:eastAsia="Times New Roman" w:hAnsi="Times New Roman" w:cs="Times New Roman"/>
      <w:sz w:val="20"/>
      <w:szCs w:val="20"/>
      <w:lang w:val="en-US"/>
    </w:rPr>
  </w:style>
  <w:style w:type="paragraph" w:customStyle="1" w:styleId="gtcsuperscripthl">
    <w:name w:val="gtcsuperscripthl"/>
    <w:basedOn w:val="Normal"/>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gtcsubscripthl">
    <w:name w:val="gtcsubscripthl"/>
    <w:basedOn w:val="Normal"/>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inserted">
    <w:name w:val="inserted"/>
    <w:basedOn w:val="Normal"/>
    <w:pPr>
      <w:spacing w:before="100" w:beforeAutospacing="1" w:after="100" w:afterAutospacing="1" w:line="240" w:lineRule="auto"/>
    </w:pPr>
    <w:rPr>
      <w:rFonts w:ascii="Times New Roman" w:eastAsia="Times New Roman" w:hAnsi="Times New Roman" w:cs="Times New Roman"/>
      <w:color w:val="FF0000"/>
      <w:sz w:val="24"/>
      <w:szCs w:val="24"/>
      <w:u w:val="double"/>
      <w:lang w:val="en-US"/>
    </w:rPr>
  </w:style>
  <w:style w:type="paragraph" w:customStyle="1" w:styleId="deleted">
    <w:name w:val="deleted"/>
    <w:basedOn w:val="Normal"/>
    <w:pPr>
      <w:spacing w:before="100" w:beforeAutospacing="1" w:after="100" w:afterAutospacing="1" w:line="240" w:lineRule="auto"/>
    </w:pPr>
    <w:rPr>
      <w:rFonts w:ascii="Times New Roman" w:eastAsia="Times New Roman" w:hAnsi="Times New Roman" w:cs="Times New Roman"/>
      <w:strike/>
      <w:color w:val="0000FF"/>
      <w:sz w:val="24"/>
      <w:szCs w:val="24"/>
      <w:lang w:val="en-US"/>
    </w:rPr>
  </w:style>
  <w:style w:type="paragraph" w:customStyle="1" w:styleId="gtcreason">
    <w:name w:val="gtcreason"/>
    <w:basedOn w:val="Normal"/>
    <w:pPr>
      <w:spacing w:before="100" w:beforeAutospacing="1" w:after="100" w:afterAutospacing="1" w:line="240" w:lineRule="auto"/>
    </w:pPr>
    <w:rPr>
      <w:rFonts w:ascii="Times New Roman" w:eastAsia="Times New Roman" w:hAnsi="Times New Roman" w:cs="Times New Roman"/>
      <w:color w:val="008000"/>
      <w:sz w:val="24"/>
      <w:szCs w:val="24"/>
      <w:lang w:val="en-US"/>
    </w:rPr>
  </w:style>
  <w:style w:type="paragraph" w:customStyle="1" w:styleId="gtcalternatetext">
    <w:name w:val="gtcalternatetext"/>
    <w:basedOn w:val="Normal"/>
    <w:pPr>
      <w:spacing w:before="100" w:beforeAutospacing="1" w:after="100" w:afterAutospacing="1" w:line="240" w:lineRule="auto"/>
    </w:pPr>
    <w:rPr>
      <w:rFonts w:ascii="Times New Roman" w:eastAsia="Times New Roman" w:hAnsi="Times New Roman" w:cs="Times New Roman"/>
      <w:color w:val="0000FF"/>
      <w:sz w:val="24"/>
      <w:szCs w:val="24"/>
      <w:lang w:val="en-US"/>
    </w:rPr>
  </w:style>
  <w:style w:type="paragraph" w:customStyle="1" w:styleId="gtchacomment">
    <w:name w:val="gtchacomment"/>
    <w:basedOn w:val="Normal"/>
    <w:pPr>
      <w:shd w:val="clear" w:color="auto" w:fill="CCFF6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originaltext">
    <w:name w:val="gtcoriginaltext"/>
    <w:basedOn w:val="Normal"/>
    <w:pPr>
      <w:shd w:val="clear" w:color="auto" w:fill="FFFF0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internalcommenttext">
    <w:name w:val="gtcinternalcommenttext"/>
    <w:basedOn w:val="Normal"/>
    <w:pPr>
      <w:shd w:val="clear" w:color="auto" w:fill="FFC0CB"/>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internalcomment">
    <w:name w:val="gtcinternalcomment"/>
    <w:basedOn w:val="Normal"/>
    <w:pPr>
      <w:shd w:val="clear" w:color="auto" w:fill="FFC0CB"/>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cngeneral">
    <w:name w:val="cn_general"/>
    <w:basedOn w:val="Normal"/>
    <w:pPr>
      <w:spacing w:before="100" w:beforeAutospacing="1" w:after="100" w:afterAutospacing="1" w:line="240" w:lineRule="auto"/>
    </w:pPr>
    <w:rPr>
      <w:rFonts w:ascii="Times New Roman" w:eastAsia="Times New Roman" w:hAnsi="Times New Roman" w:cs="Times New Roman"/>
      <w:lang w:val="en-US"/>
    </w:rPr>
  </w:style>
  <w:style w:type="paragraph" w:customStyle="1" w:styleId="cncomprow">
    <w:name w:val="cn_comprow"/>
    <w:basedOn w:val="Normal"/>
    <w:pPr>
      <w:pBdr>
        <w:top w:val="single" w:sz="4" w:space="4" w:color="000000"/>
        <w:left w:val="single" w:sz="4" w:space="6" w:color="000000"/>
        <w:bottom w:val="single" w:sz="4" w:space="4" w:color="000000"/>
        <w:right w:val="single" w:sz="4" w:space="6"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ncompheaderrow">
    <w:name w:val="cn_compheaderrow"/>
    <w:basedOn w:val="Normal"/>
    <w:pPr>
      <w:pBdr>
        <w:top w:val="single" w:sz="4" w:space="4" w:color="000000"/>
        <w:left w:val="single" w:sz="4" w:space="6" w:color="000000"/>
        <w:bottom w:val="single" w:sz="4" w:space="4" w:color="000000"/>
        <w:right w:val="single" w:sz="4" w:space="6"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outerhl-bw">
    <w:name w:val="gtclistouterhl-bw"/>
    <w:basedOn w:val="Normal"/>
    <w:pPr>
      <w:spacing w:before="100" w:beforeAutospacing="1" w:after="100" w:afterAutospacing="1" w:line="240" w:lineRule="auto"/>
      <w:ind w:left="540"/>
    </w:pPr>
    <w:rPr>
      <w:rFonts w:ascii="Times New Roman" w:eastAsia="Times New Roman" w:hAnsi="Times New Roman" w:cs="Times New Roman"/>
      <w:sz w:val="24"/>
      <w:szCs w:val="24"/>
      <w:lang w:val="en-US"/>
    </w:rPr>
  </w:style>
  <w:style w:type="paragraph" w:customStyle="1" w:styleId="gtclistouterhl">
    <w:name w:val="gtclistouterhl"/>
    <w:basedOn w:val="Normal"/>
    <w:pPr>
      <w:spacing w:before="100" w:beforeAutospacing="1" w:after="100" w:afterAutospacing="1" w:line="240" w:lineRule="auto"/>
      <w:ind w:left="360"/>
    </w:pPr>
    <w:rPr>
      <w:rFonts w:ascii="Times New Roman" w:eastAsia="Times New Roman" w:hAnsi="Times New Roman" w:cs="Times New Roman"/>
      <w:sz w:val="24"/>
      <w:szCs w:val="24"/>
      <w:lang w:val="en-US"/>
    </w:rPr>
  </w:style>
  <w:style w:type="paragraph" w:customStyle="1" w:styleId="gtclistouter">
    <w:name w:val="gtclistouter"/>
    <w:basedOn w:val="Normal"/>
    <w:pPr>
      <w:spacing w:before="100" w:beforeAutospacing="1" w:after="100" w:afterAutospacing="1" w:line="240" w:lineRule="auto"/>
      <w:ind w:left="360"/>
    </w:pPr>
    <w:rPr>
      <w:rFonts w:ascii="Times New Roman" w:eastAsia="Times New Roman" w:hAnsi="Times New Roman" w:cs="Times New Roman"/>
      <w:sz w:val="24"/>
      <w:szCs w:val="24"/>
      <w:lang w:val="en-US"/>
    </w:rPr>
  </w:style>
  <w:style w:type="paragraph" w:customStyle="1" w:styleId="gtclistinnerhl">
    <w:name w:val="gtclistinnerhl"/>
    <w:basedOn w:val="Normal"/>
    <w:pPr>
      <w:spacing w:after="0" w:line="240" w:lineRule="auto"/>
      <w:ind w:left="-360"/>
    </w:pPr>
    <w:rPr>
      <w:rFonts w:ascii="Times New Roman" w:eastAsia="Times New Roman" w:hAnsi="Times New Roman" w:cs="Times New Roman"/>
      <w:sz w:val="24"/>
      <w:szCs w:val="24"/>
      <w:lang w:val="en-US"/>
    </w:rPr>
  </w:style>
  <w:style w:type="paragraph" w:customStyle="1" w:styleId="gtclistinner">
    <w:name w:val="gtclistinner"/>
    <w:basedOn w:val="Normal"/>
    <w:pPr>
      <w:spacing w:after="0" w:line="240" w:lineRule="auto"/>
      <w:ind w:left="-360"/>
    </w:pPr>
    <w:rPr>
      <w:rFonts w:ascii="Times New Roman" w:eastAsia="Times New Roman" w:hAnsi="Times New Roman" w:cs="Times New Roman"/>
      <w:sz w:val="24"/>
      <w:szCs w:val="24"/>
      <w:lang w:val="en-US"/>
    </w:rPr>
  </w:style>
  <w:style w:type="paragraph" w:customStyle="1" w:styleId="gtcleftalign">
    <w:name w:val="gtcleftalign"/>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centeralign">
    <w:name w:val="gtccenteralign"/>
    <w:basedOn w:val="Normal"/>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centred">
    <w:name w:val="centred"/>
    <w:basedOn w:val="Normal"/>
    <w:pPr>
      <w:suppressAutoHyphens/>
      <w:spacing w:after="0" w:line="240" w:lineRule="auto"/>
      <w:jc w:val="center"/>
    </w:pPr>
    <w:rPr>
      <w:rFonts w:ascii="Times New Roman" w:eastAsia="Times New Roman" w:hAnsi="Times New Roman" w:cs="Times New Roman"/>
      <w:b/>
      <w:szCs w:val="24"/>
      <w:lang w:val="en-GB"/>
    </w:rPr>
  </w:style>
  <w:style w:type="paragraph" w:customStyle="1" w:styleId="leftaligned">
    <w:name w:val="leftaligned"/>
    <w:basedOn w:val="Normal"/>
    <w:pPr>
      <w:tabs>
        <w:tab w:val="left" w:pos="562"/>
      </w:tabs>
      <w:suppressAutoHyphens/>
      <w:spacing w:after="0" w:line="240" w:lineRule="auto"/>
      <w:ind w:left="550" w:hanging="550"/>
    </w:pPr>
    <w:rPr>
      <w:rFonts w:ascii="Times New Roman" w:eastAsia="Times New Roman" w:hAnsi="Times New Roman" w:cs="Times New Roman"/>
      <w:b/>
      <w:szCs w:val="24"/>
      <w:lang w:val="en-GB"/>
    </w:rPr>
  </w:style>
  <w:style w:type="paragraph" w:customStyle="1" w:styleId="BMCENTRED">
    <w:name w:val="BM CENTRED"/>
    <w:basedOn w:val="Normal"/>
    <w:pPr>
      <w:suppressAutoHyphens/>
      <w:spacing w:after="0" w:line="240" w:lineRule="auto"/>
      <w:jc w:val="center"/>
    </w:pPr>
    <w:rPr>
      <w:rFonts w:ascii="Times New Roman" w:eastAsia="Times New Roman" w:hAnsi="Times New Roman" w:cs="Times New Roman"/>
      <w:b/>
      <w:szCs w:val="24"/>
      <w:lang w:val="en-GB"/>
    </w:rPr>
  </w:style>
  <w:style w:type="paragraph" w:customStyle="1" w:styleId="bmleftaligned">
    <w:name w:val="bmleftaligned"/>
    <w:basedOn w:val="Normal"/>
    <w:pPr>
      <w:tabs>
        <w:tab w:val="left" w:pos="562"/>
      </w:tabs>
      <w:suppressAutoHyphens/>
      <w:spacing w:after="0" w:line="240" w:lineRule="auto"/>
      <w:ind w:left="550" w:hanging="550"/>
    </w:pPr>
    <w:rPr>
      <w:rFonts w:ascii="Times New Roman" w:eastAsia="Times New Roman" w:hAnsi="Times New Roman" w:cs="Times New Roman"/>
      <w:b/>
      <w:szCs w:val="24"/>
      <w:lang w:val="en-GB"/>
    </w:rPr>
  </w:style>
  <w:style w:type="character" w:customStyle="1" w:styleId="gtcgreyshadedtext1">
    <w:name w:val="gtcgreyshadedtext1"/>
    <w:rPr>
      <w:rFonts w:ascii="Times New Roman" w:hAnsi="Times New Roman" w:cs="Times New Roman" w:hint="default"/>
      <w:b w:val="0"/>
      <w:bCs w:val="0"/>
      <w:i w:val="0"/>
      <w:iCs w:val="0"/>
      <w:caps w:val="0"/>
      <w:sz w:val="24"/>
      <w:szCs w:val="24"/>
      <w:shd w:val="clear" w:color="auto" w:fill="C0C0C0"/>
    </w:rPr>
  </w:style>
  <w:style w:type="character" w:customStyle="1" w:styleId="gtcannotation1">
    <w:name w:val="gtcannotation1"/>
    <w:rPr>
      <w:color w:val="006633"/>
      <w:sz w:val="20"/>
      <w:szCs w:val="20"/>
    </w:rPr>
  </w:style>
  <w:style w:type="character" w:customStyle="1" w:styleId="gtcannotationhl1">
    <w:name w:val="gtcannotationhl1"/>
    <w:rPr>
      <w:color w:val="006633"/>
      <w:sz w:val="16"/>
      <w:szCs w:val="16"/>
    </w:rPr>
  </w:style>
  <w:style w:type="paragraph" w:customStyle="1" w:styleId="gtchighlighttextboxedwarnings1">
    <w:name w:val="gtchighlighttextboxedwarnings1"/>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
    <w:name w:val="gtchighlighttext1"/>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2">
    <w:name w:val="gtcgreyshadedtext2"/>
    <w:rPr>
      <w:rFonts w:ascii="Times New Roman" w:hAnsi="Times New Roman" w:cs="Times New Roman" w:hint="default"/>
      <w:b w:val="0"/>
      <w:bCs w:val="0"/>
      <w:i w:val="0"/>
      <w:iCs w:val="0"/>
      <w:caps w:val="0"/>
      <w:sz w:val="24"/>
      <w:szCs w:val="24"/>
      <w:shd w:val="clear" w:color="auto" w:fill="C0C0C0"/>
    </w:rPr>
  </w:style>
  <w:style w:type="character" w:customStyle="1" w:styleId="gtcannotation2">
    <w:name w:val="gtcannotation2"/>
    <w:rPr>
      <w:color w:val="006633"/>
      <w:sz w:val="20"/>
      <w:szCs w:val="20"/>
    </w:rPr>
  </w:style>
  <w:style w:type="character" w:customStyle="1" w:styleId="gtcannotationhl2">
    <w:name w:val="gtcannotationhl2"/>
    <w:rPr>
      <w:color w:val="006633"/>
      <w:sz w:val="16"/>
      <w:szCs w:val="16"/>
    </w:rPr>
  </w:style>
  <w:style w:type="paragraph" w:customStyle="1" w:styleId="gtchighlighttextboxedwarnings2">
    <w:name w:val="gtchighlighttextboxedwarnings2"/>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
    <w:name w:val="gtchighlighttext2"/>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italic1">
    <w:name w:val="gtcitalic1"/>
    <w:rPr>
      <w:i/>
      <w:iCs/>
    </w:rPr>
  </w:style>
  <w:style w:type="character" w:customStyle="1" w:styleId="gtcgreyshadedtext3">
    <w:name w:val="gtcgreyshadedtext3"/>
    <w:rPr>
      <w:rFonts w:ascii="Times New Roman" w:hAnsi="Times New Roman" w:cs="Times New Roman" w:hint="default"/>
      <w:b w:val="0"/>
      <w:bCs w:val="0"/>
      <w:i w:val="0"/>
      <w:iCs w:val="0"/>
      <w:caps w:val="0"/>
      <w:sz w:val="24"/>
      <w:szCs w:val="24"/>
      <w:shd w:val="clear" w:color="auto" w:fill="C0C0C0"/>
    </w:rPr>
  </w:style>
  <w:style w:type="character" w:customStyle="1" w:styleId="gtcannotation3">
    <w:name w:val="gtcannotation3"/>
    <w:rPr>
      <w:color w:val="006633"/>
      <w:sz w:val="20"/>
      <w:szCs w:val="20"/>
    </w:rPr>
  </w:style>
  <w:style w:type="character" w:customStyle="1" w:styleId="gtcannotationhl3">
    <w:name w:val="gtcannotationhl3"/>
    <w:rPr>
      <w:color w:val="006633"/>
      <w:sz w:val="16"/>
      <w:szCs w:val="16"/>
    </w:rPr>
  </w:style>
  <w:style w:type="paragraph" w:customStyle="1" w:styleId="gtchighlighttextboxedwarnings3">
    <w:name w:val="gtchighlighttextboxedwarnings3"/>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
    <w:name w:val="gtchighlighttext3"/>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highlightparagraph1">
    <w:name w:val="gtchighlightparagraph1"/>
    <w:rPr>
      <w:sz w:val="16"/>
      <w:szCs w:val="16"/>
    </w:rPr>
  </w:style>
  <w:style w:type="character" w:customStyle="1" w:styleId="gtcgreyshadedtext4">
    <w:name w:val="gtcgreyshadedtext4"/>
    <w:rPr>
      <w:rFonts w:ascii="Times New Roman" w:hAnsi="Times New Roman" w:cs="Times New Roman" w:hint="default"/>
      <w:b w:val="0"/>
      <w:bCs w:val="0"/>
      <w:i w:val="0"/>
      <w:iCs w:val="0"/>
      <w:caps w:val="0"/>
      <w:sz w:val="24"/>
      <w:szCs w:val="24"/>
      <w:shd w:val="clear" w:color="auto" w:fill="C0C0C0"/>
    </w:rPr>
  </w:style>
  <w:style w:type="character" w:customStyle="1" w:styleId="gtcannotation4">
    <w:name w:val="gtcannotation4"/>
    <w:rPr>
      <w:color w:val="006633"/>
      <w:sz w:val="20"/>
      <w:szCs w:val="20"/>
    </w:rPr>
  </w:style>
  <w:style w:type="character" w:customStyle="1" w:styleId="gtcannotationhl4">
    <w:name w:val="gtcannotationhl4"/>
    <w:rPr>
      <w:color w:val="006633"/>
      <w:sz w:val="16"/>
      <w:szCs w:val="16"/>
    </w:rPr>
  </w:style>
  <w:style w:type="paragraph" w:customStyle="1" w:styleId="gtchighlighttextboxedwarnings4">
    <w:name w:val="gtchighlighttextboxedwarnings4"/>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4">
    <w:name w:val="gtchighlighttext4"/>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highlightparagraph2">
    <w:name w:val="gtchighlightparagraph2"/>
    <w:rPr>
      <w:sz w:val="16"/>
      <w:szCs w:val="16"/>
    </w:rPr>
  </w:style>
  <w:style w:type="paragraph" w:customStyle="1" w:styleId="gtchighlighttextregular">
    <w:name w:val="gtchighlighttextregular"/>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tcgreyshadedtext5">
    <w:name w:val="gtcgreyshadedtext5"/>
    <w:rPr>
      <w:rFonts w:ascii="Times New Roman" w:hAnsi="Times New Roman" w:cs="Times New Roman" w:hint="default"/>
      <w:b w:val="0"/>
      <w:bCs w:val="0"/>
      <w:i w:val="0"/>
      <w:iCs w:val="0"/>
      <w:caps w:val="0"/>
      <w:sz w:val="24"/>
      <w:szCs w:val="24"/>
      <w:shd w:val="clear" w:color="auto" w:fill="C0C0C0"/>
    </w:rPr>
  </w:style>
  <w:style w:type="character" w:customStyle="1" w:styleId="gtcannotation5">
    <w:name w:val="gtcannotation5"/>
    <w:rPr>
      <w:color w:val="006633"/>
      <w:sz w:val="20"/>
      <w:szCs w:val="20"/>
    </w:rPr>
  </w:style>
  <w:style w:type="character" w:customStyle="1" w:styleId="gtcannotationhl5">
    <w:name w:val="gtcannotationhl5"/>
    <w:rPr>
      <w:color w:val="006633"/>
      <w:sz w:val="16"/>
      <w:szCs w:val="16"/>
    </w:rPr>
  </w:style>
  <w:style w:type="paragraph" w:customStyle="1" w:styleId="gtchighlighttextboxedwarnings5">
    <w:name w:val="gtchighlighttextboxedwarnings5"/>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5">
    <w:name w:val="gtchighlighttext5"/>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6">
    <w:name w:val="gtcgreyshadedtext6"/>
    <w:rPr>
      <w:rFonts w:ascii="Times New Roman" w:hAnsi="Times New Roman" w:cs="Times New Roman" w:hint="default"/>
      <w:b w:val="0"/>
      <w:bCs w:val="0"/>
      <w:i w:val="0"/>
      <w:iCs w:val="0"/>
      <w:caps w:val="0"/>
      <w:sz w:val="24"/>
      <w:szCs w:val="24"/>
      <w:shd w:val="clear" w:color="auto" w:fill="C0C0C0"/>
    </w:rPr>
  </w:style>
  <w:style w:type="character" w:customStyle="1" w:styleId="gtcannotation6">
    <w:name w:val="gtcannotation6"/>
    <w:rPr>
      <w:color w:val="006633"/>
      <w:sz w:val="20"/>
      <w:szCs w:val="20"/>
    </w:rPr>
  </w:style>
  <w:style w:type="character" w:customStyle="1" w:styleId="gtcannotationhl6">
    <w:name w:val="gtcannotationhl6"/>
    <w:rPr>
      <w:color w:val="006633"/>
      <w:sz w:val="16"/>
      <w:szCs w:val="16"/>
    </w:rPr>
  </w:style>
  <w:style w:type="paragraph" w:customStyle="1" w:styleId="gtchighlighttextboxedwarnings6">
    <w:name w:val="gtchighlighttextboxedwarnings6"/>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6">
    <w:name w:val="gtchighlighttext6"/>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7">
    <w:name w:val="gtcgreyshadedtext7"/>
    <w:rPr>
      <w:rFonts w:ascii="Times New Roman" w:hAnsi="Times New Roman" w:cs="Times New Roman" w:hint="default"/>
      <w:b w:val="0"/>
      <w:bCs w:val="0"/>
      <w:i w:val="0"/>
      <w:iCs w:val="0"/>
      <w:caps w:val="0"/>
      <w:sz w:val="24"/>
      <w:szCs w:val="24"/>
      <w:shd w:val="clear" w:color="auto" w:fill="C0C0C0"/>
    </w:rPr>
  </w:style>
  <w:style w:type="character" w:customStyle="1" w:styleId="gtcannotation7">
    <w:name w:val="gtcannotation7"/>
    <w:rPr>
      <w:color w:val="006633"/>
      <w:sz w:val="20"/>
      <w:szCs w:val="20"/>
    </w:rPr>
  </w:style>
  <w:style w:type="character" w:customStyle="1" w:styleId="gtcannotationhl7">
    <w:name w:val="gtcannotationhl7"/>
    <w:rPr>
      <w:color w:val="006633"/>
      <w:sz w:val="16"/>
      <w:szCs w:val="16"/>
    </w:rPr>
  </w:style>
  <w:style w:type="paragraph" w:customStyle="1" w:styleId="gtchighlighttextboxedwarnings7">
    <w:name w:val="gtchighlighttextboxedwarnings7"/>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7">
    <w:name w:val="gtchighlighttext7"/>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8">
    <w:name w:val="gtcgreyshadedtext8"/>
    <w:rPr>
      <w:rFonts w:ascii="Times New Roman" w:hAnsi="Times New Roman" w:cs="Times New Roman" w:hint="default"/>
      <w:b w:val="0"/>
      <w:bCs w:val="0"/>
      <w:i w:val="0"/>
      <w:iCs w:val="0"/>
      <w:caps w:val="0"/>
      <w:sz w:val="24"/>
      <w:szCs w:val="24"/>
      <w:shd w:val="clear" w:color="auto" w:fill="C0C0C0"/>
    </w:rPr>
  </w:style>
  <w:style w:type="character" w:customStyle="1" w:styleId="gtcannotation8">
    <w:name w:val="gtcannotation8"/>
    <w:rPr>
      <w:color w:val="006633"/>
      <w:sz w:val="20"/>
      <w:szCs w:val="20"/>
    </w:rPr>
  </w:style>
  <w:style w:type="character" w:customStyle="1" w:styleId="gtcannotationhl8">
    <w:name w:val="gtcannotationhl8"/>
    <w:rPr>
      <w:color w:val="006633"/>
      <w:sz w:val="16"/>
      <w:szCs w:val="16"/>
    </w:rPr>
  </w:style>
  <w:style w:type="paragraph" w:customStyle="1" w:styleId="gtchighlighttextboxedwarnings8">
    <w:name w:val="gtchighlighttextboxedwarnings8"/>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8">
    <w:name w:val="gtchighlighttext8"/>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bold1">
    <w:name w:val="gtcbold1"/>
    <w:rPr>
      <w:b/>
      <w:bCs/>
    </w:rPr>
  </w:style>
  <w:style w:type="character" w:customStyle="1" w:styleId="gtclinktext1">
    <w:name w:val="gtclinktext1"/>
    <w:rPr>
      <w:strike w:val="0"/>
      <w:dstrike w:val="0"/>
      <w:u w:val="none"/>
      <w:effect w:val="none"/>
    </w:rPr>
  </w:style>
  <w:style w:type="character" w:customStyle="1" w:styleId="gtcgreyshadedtext9">
    <w:name w:val="gtcgreyshadedtext9"/>
    <w:rPr>
      <w:rFonts w:ascii="Times New Roman" w:hAnsi="Times New Roman" w:cs="Times New Roman" w:hint="default"/>
      <w:b w:val="0"/>
      <w:bCs w:val="0"/>
      <w:i w:val="0"/>
      <w:iCs w:val="0"/>
      <w:caps w:val="0"/>
      <w:sz w:val="24"/>
      <w:szCs w:val="24"/>
      <w:shd w:val="clear" w:color="auto" w:fill="C0C0C0"/>
    </w:rPr>
  </w:style>
  <w:style w:type="character" w:customStyle="1" w:styleId="gtcannotation9">
    <w:name w:val="gtcannotation9"/>
    <w:rPr>
      <w:color w:val="006633"/>
      <w:sz w:val="20"/>
      <w:szCs w:val="20"/>
    </w:rPr>
  </w:style>
  <w:style w:type="character" w:customStyle="1" w:styleId="gtcannotationhl9">
    <w:name w:val="gtcannotationhl9"/>
    <w:rPr>
      <w:color w:val="006633"/>
      <w:sz w:val="16"/>
      <w:szCs w:val="16"/>
    </w:rPr>
  </w:style>
  <w:style w:type="paragraph" w:customStyle="1" w:styleId="gtchighlighttextboxedwarnings9">
    <w:name w:val="gtchighlighttextboxedwarnings9"/>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9">
    <w:name w:val="gtchighlighttext9"/>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10">
    <w:name w:val="gtcgreyshadedtext10"/>
    <w:rPr>
      <w:rFonts w:ascii="Times New Roman" w:hAnsi="Times New Roman" w:cs="Times New Roman" w:hint="default"/>
      <w:b w:val="0"/>
      <w:bCs w:val="0"/>
      <w:i w:val="0"/>
      <w:iCs w:val="0"/>
      <w:caps w:val="0"/>
      <w:sz w:val="24"/>
      <w:szCs w:val="24"/>
      <w:shd w:val="clear" w:color="auto" w:fill="C0C0C0"/>
    </w:rPr>
  </w:style>
  <w:style w:type="character" w:customStyle="1" w:styleId="gtcannotation10">
    <w:name w:val="gtcannotation10"/>
    <w:rPr>
      <w:color w:val="006633"/>
      <w:sz w:val="20"/>
      <w:szCs w:val="20"/>
    </w:rPr>
  </w:style>
  <w:style w:type="character" w:customStyle="1" w:styleId="gtcannotationhl10">
    <w:name w:val="gtcannotationhl10"/>
    <w:rPr>
      <w:color w:val="006633"/>
      <w:sz w:val="16"/>
      <w:szCs w:val="16"/>
    </w:rPr>
  </w:style>
  <w:style w:type="paragraph" w:customStyle="1" w:styleId="gtchighlighttextboxedwarnings10">
    <w:name w:val="gtchighlighttextboxedwarnings10"/>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0">
    <w:name w:val="gtchighlighttext10"/>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11">
    <w:name w:val="gtcgreyshadedtext11"/>
    <w:rPr>
      <w:rFonts w:ascii="Times New Roman" w:hAnsi="Times New Roman" w:cs="Times New Roman" w:hint="default"/>
      <w:b w:val="0"/>
      <w:bCs w:val="0"/>
      <w:i w:val="0"/>
      <w:iCs w:val="0"/>
      <w:caps w:val="0"/>
      <w:sz w:val="24"/>
      <w:szCs w:val="24"/>
      <w:shd w:val="clear" w:color="auto" w:fill="C0C0C0"/>
    </w:rPr>
  </w:style>
  <w:style w:type="character" w:customStyle="1" w:styleId="gtcannotation11">
    <w:name w:val="gtcannotation11"/>
    <w:rPr>
      <w:color w:val="006633"/>
      <w:sz w:val="20"/>
      <w:szCs w:val="20"/>
    </w:rPr>
  </w:style>
  <w:style w:type="character" w:customStyle="1" w:styleId="gtcannotationhl11">
    <w:name w:val="gtcannotationhl11"/>
    <w:rPr>
      <w:color w:val="006633"/>
      <w:sz w:val="16"/>
      <w:szCs w:val="16"/>
    </w:rPr>
  </w:style>
  <w:style w:type="paragraph" w:customStyle="1" w:styleId="gtchighlighttextboxedwarnings11">
    <w:name w:val="gtchighlighttextboxedwarnings11"/>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1">
    <w:name w:val="gtchighlighttext11"/>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linktext2">
    <w:name w:val="gtclinktext2"/>
    <w:rPr>
      <w:strike w:val="0"/>
      <w:dstrike w:val="0"/>
      <w:u w:val="none"/>
      <w:effect w:val="none"/>
    </w:rPr>
  </w:style>
  <w:style w:type="character" w:customStyle="1" w:styleId="gtcgreyshadedtext12">
    <w:name w:val="gtcgreyshadedtext12"/>
    <w:rPr>
      <w:rFonts w:ascii="Times New Roman" w:hAnsi="Times New Roman" w:cs="Times New Roman" w:hint="default"/>
      <w:b w:val="0"/>
      <w:bCs w:val="0"/>
      <w:i w:val="0"/>
      <w:iCs w:val="0"/>
      <w:caps w:val="0"/>
      <w:sz w:val="24"/>
      <w:szCs w:val="24"/>
      <w:shd w:val="clear" w:color="auto" w:fill="C0C0C0"/>
    </w:rPr>
  </w:style>
  <w:style w:type="character" w:customStyle="1" w:styleId="gtcannotation12">
    <w:name w:val="gtcannotation12"/>
    <w:rPr>
      <w:color w:val="006633"/>
      <w:sz w:val="20"/>
      <w:szCs w:val="20"/>
    </w:rPr>
  </w:style>
  <w:style w:type="character" w:customStyle="1" w:styleId="gtcannotationhl12">
    <w:name w:val="gtcannotationhl12"/>
    <w:rPr>
      <w:color w:val="006633"/>
      <w:sz w:val="16"/>
      <w:szCs w:val="16"/>
    </w:rPr>
  </w:style>
  <w:style w:type="paragraph" w:customStyle="1" w:styleId="gtchighlighttextboxedwarnings12">
    <w:name w:val="gtchighlighttextboxedwarnings12"/>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2">
    <w:name w:val="gtchighlighttext12"/>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13">
    <w:name w:val="gtcgreyshadedtext13"/>
    <w:rPr>
      <w:rFonts w:ascii="Times New Roman" w:hAnsi="Times New Roman" w:cs="Times New Roman" w:hint="default"/>
      <w:b w:val="0"/>
      <w:bCs w:val="0"/>
      <w:i w:val="0"/>
      <w:iCs w:val="0"/>
      <w:caps w:val="0"/>
      <w:sz w:val="24"/>
      <w:szCs w:val="24"/>
      <w:shd w:val="clear" w:color="auto" w:fill="C0C0C0"/>
    </w:rPr>
  </w:style>
  <w:style w:type="character" w:customStyle="1" w:styleId="gtcannotation13">
    <w:name w:val="gtcannotation13"/>
    <w:rPr>
      <w:color w:val="006633"/>
      <w:sz w:val="20"/>
      <w:szCs w:val="20"/>
    </w:rPr>
  </w:style>
  <w:style w:type="character" w:customStyle="1" w:styleId="gtcannotationhl13">
    <w:name w:val="gtcannotationhl13"/>
    <w:rPr>
      <w:color w:val="006633"/>
      <w:sz w:val="16"/>
      <w:szCs w:val="16"/>
    </w:rPr>
  </w:style>
  <w:style w:type="paragraph" w:customStyle="1" w:styleId="gtchighlighttextboxedwarnings13">
    <w:name w:val="gtchighlighttextboxedwarnings13"/>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3">
    <w:name w:val="gtchighlighttext13"/>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14">
    <w:name w:val="gtcgreyshadedtext14"/>
    <w:rPr>
      <w:rFonts w:ascii="Times New Roman" w:hAnsi="Times New Roman" w:cs="Times New Roman" w:hint="default"/>
      <w:b w:val="0"/>
      <w:bCs w:val="0"/>
      <w:i w:val="0"/>
      <w:iCs w:val="0"/>
      <w:caps w:val="0"/>
      <w:sz w:val="24"/>
      <w:szCs w:val="24"/>
      <w:shd w:val="clear" w:color="auto" w:fill="C0C0C0"/>
    </w:rPr>
  </w:style>
  <w:style w:type="character" w:customStyle="1" w:styleId="gtcannotation14">
    <w:name w:val="gtcannotation14"/>
    <w:rPr>
      <w:color w:val="006633"/>
      <w:sz w:val="20"/>
      <w:szCs w:val="20"/>
    </w:rPr>
  </w:style>
  <w:style w:type="character" w:customStyle="1" w:styleId="gtcannotationhl14">
    <w:name w:val="gtcannotationhl14"/>
    <w:rPr>
      <w:color w:val="006633"/>
      <w:sz w:val="16"/>
      <w:szCs w:val="16"/>
    </w:rPr>
  </w:style>
  <w:style w:type="paragraph" w:customStyle="1" w:styleId="gtchighlighttextboxedwarnings14">
    <w:name w:val="gtchighlighttextboxedwarnings14"/>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4">
    <w:name w:val="gtchighlighttext14"/>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15">
    <w:name w:val="gtcgreyshadedtext15"/>
    <w:rPr>
      <w:rFonts w:ascii="Times New Roman" w:hAnsi="Times New Roman" w:cs="Times New Roman" w:hint="default"/>
      <w:b w:val="0"/>
      <w:bCs w:val="0"/>
      <w:i w:val="0"/>
      <w:iCs w:val="0"/>
      <w:caps w:val="0"/>
      <w:sz w:val="24"/>
      <w:szCs w:val="24"/>
      <w:shd w:val="clear" w:color="auto" w:fill="C0C0C0"/>
    </w:rPr>
  </w:style>
  <w:style w:type="character" w:customStyle="1" w:styleId="gtcannotation15">
    <w:name w:val="gtcannotation15"/>
    <w:rPr>
      <w:color w:val="006633"/>
      <w:sz w:val="20"/>
      <w:szCs w:val="20"/>
    </w:rPr>
  </w:style>
  <w:style w:type="character" w:customStyle="1" w:styleId="gtcannotationhl15">
    <w:name w:val="gtcannotationhl15"/>
    <w:rPr>
      <w:color w:val="006633"/>
      <w:sz w:val="16"/>
      <w:szCs w:val="16"/>
    </w:rPr>
  </w:style>
  <w:style w:type="paragraph" w:customStyle="1" w:styleId="gtchighlighttextboxedwarnings15">
    <w:name w:val="gtchighlighttextboxedwarnings15"/>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5">
    <w:name w:val="gtchighlighttext15"/>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bold3">
    <w:name w:val="gtcbold3"/>
    <w:rPr>
      <w:b/>
      <w:bCs/>
    </w:rPr>
  </w:style>
  <w:style w:type="character" w:customStyle="1" w:styleId="gtclinktext3">
    <w:name w:val="gtclinktext3"/>
    <w:rPr>
      <w:strike w:val="0"/>
      <w:dstrike w:val="0"/>
      <w:u w:val="none"/>
      <w:effect w:val="none"/>
    </w:rPr>
  </w:style>
  <w:style w:type="character" w:customStyle="1" w:styleId="gtcitalic3">
    <w:name w:val="gtcitalic3"/>
    <w:rPr>
      <w:i/>
      <w:iCs/>
    </w:rPr>
  </w:style>
  <w:style w:type="character" w:customStyle="1" w:styleId="gtcgreyshadedtext16">
    <w:name w:val="gtcgreyshadedtext16"/>
    <w:rPr>
      <w:rFonts w:ascii="Times New Roman" w:hAnsi="Times New Roman" w:cs="Times New Roman" w:hint="default"/>
      <w:b w:val="0"/>
      <w:bCs w:val="0"/>
      <w:i w:val="0"/>
      <w:iCs w:val="0"/>
      <w:caps w:val="0"/>
      <w:sz w:val="24"/>
      <w:szCs w:val="24"/>
      <w:shd w:val="clear" w:color="auto" w:fill="C0C0C0"/>
    </w:rPr>
  </w:style>
  <w:style w:type="character" w:customStyle="1" w:styleId="gtcannotation16">
    <w:name w:val="gtcannotation16"/>
    <w:rPr>
      <w:color w:val="006633"/>
      <w:sz w:val="20"/>
      <w:szCs w:val="20"/>
    </w:rPr>
  </w:style>
  <w:style w:type="character" w:customStyle="1" w:styleId="gtcannotationhl16">
    <w:name w:val="gtcannotationhl16"/>
    <w:rPr>
      <w:color w:val="006633"/>
      <w:sz w:val="16"/>
      <w:szCs w:val="16"/>
    </w:rPr>
  </w:style>
  <w:style w:type="paragraph" w:customStyle="1" w:styleId="gtchighlighttextboxedwarnings16">
    <w:name w:val="gtchighlighttextboxedwarnings16"/>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6">
    <w:name w:val="gtchighlighttext16"/>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17">
    <w:name w:val="gtcgreyshadedtext17"/>
    <w:rPr>
      <w:rFonts w:ascii="Times New Roman" w:hAnsi="Times New Roman" w:cs="Times New Roman" w:hint="default"/>
      <w:b w:val="0"/>
      <w:bCs w:val="0"/>
      <w:i w:val="0"/>
      <w:iCs w:val="0"/>
      <w:caps w:val="0"/>
      <w:sz w:val="24"/>
      <w:szCs w:val="24"/>
      <w:shd w:val="clear" w:color="auto" w:fill="C0C0C0"/>
    </w:rPr>
  </w:style>
  <w:style w:type="character" w:customStyle="1" w:styleId="gtcannotation17">
    <w:name w:val="gtcannotation17"/>
    <w:rPr>
      <w:color w:val="006633"/>
      <w:sz w:val="20"/>
      <w:szCs w:val="20"/>
    </w:rPr>
  </w:style>
  <w:style w:type="character" w:customStyle="1" w:styleId="gtcannotationhl17">
    <w:name w:val="gtcannotationhl17"/>
    <w:rPr>
      <w:color w:val="006633"/>
      <w:sz w:val="16"/>
      <w:szCs w:val="16"/>
    </w:rPr>
  </w:style>
  <w:style w:type="paragraph" w:customStyle="1" w:styleId="gtchighlighttextboxedwarnings17">
    <w:name w:val="gtchighlighttextboxedwarnings17"/>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7">
    <w:name w:val="gtchighlighttext17"/>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bold4">
    <w:name w:val="gtcbold4"/>
    <w:rPr>
      <w:b/>
      <w:bCs/>
    </w:rPr>
  </w:style>
  <w:style w:type="character" w:customStyle="1" w:styleId="gtclinktext4">
    <w:name w:val="gtclinktext4"/>
    <w:rPr>
      <w:strike w:val="0"/>
      <w:dstrike w:val="0"/>
      <w:u w:val="none"/>
      <w:effect w:val="none"/>
    </w:rPr>
  </w:style>
  <w:style w:type="character" w:customStyle="1" w:styleId="gtcgreyshadedtext18">
    <w:name w:val="gtcgreyshadedtext18"/>
    <w:rPr>
      <w:rFonts w:ascii="Times New Roman" w:hAnsi="Times New Roman" w:cs="Times New Roman" w:hint="default"/>
      <w:b w:val="0"/>
      <w:bCs w:val="0"/>
      <w:i w:val="0"/>
      <w:iCs w:val="0"/>
      <w:caps w:val="0"/>
      <w:sz w:val="24"/>
      <w:szCs w:val="24"/>
      <w:shd w:val="clear" w:color="auto" w:fill="C0C0C0"/>
    </w:rPr>
  </w:style>
  <w:style w:type="character" w:customStyle="1" w:styleId="gtcannotation18">
    <w:name w:val="gtcannotation18"/>
    <w:rPr>
      <w:color w:val="006633"/>
      <w:sz w:val="20"/>
      <w:szCs w:val="20"/>
    </w:rPr>
  </w:style>
  <w:style w:type="character" w:customStyle="1" w:styleId="gtcannotationhl18">
    <w:name w:val="gtcannotationhl18"/>
    <w:rPr>
      <w:color w:val="006633"/>
      <w:sz w:val="16"/>
      <w:szCs w:val="16"/>
    </w:rPr>
  </w:style>
  <w:style w:type="paragraph" w:customStyle="1" w:styleId="gtchighlighttextboxedwarnings18">
    <w:name w:val="gtchighlighttextboxedwarnings18"/>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8">
    <w:name w:val="gtchighlighttext18"/>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19">
    <w:name w:val="gtcgreyshadedtext19"/>
    <w:rPr>
      <w:rFonts w:ascii="Times New Roman" w:hAnsi="Times New Roman" w:cs="Times New Roman" w:hint="default"/>
      <w:b w:val="0"/>
      <w:bCs w:val="0"/>
      <w:i w:val="0"/>
      <w:iCs w:val="0"/>
      <w:caps w:val="0"/>
      <w:sz w:val="24"/>
      <w:szCs w:val="24"/>
      <w:shd w:val="clear" w:color="auto" w:fill="C0C0C0"/>
    </w:rPr>
  </w:style>
  <w:style w:type="character" w:customStyle="1" w:styleId="gtcannotation19">
    <w:name w:val="gtcannotation19"/>
    <w:rPr>
      <w:color w:val="006633"/>
      <w:sz w:val="20"/>
      <w:szCs w:val="20"/>
    </w:rPr>
  </w:style>
  <w:style w:type="character" w:customStyle="1" w:styleId="gtcannotationhl19">
    <w:name w:val="gtcannotationhl19"/>
    <w:rPr>
      <w:color w:val="006633"/>
      <w:sz w:val="16"/>
      <w:szCs w:val="16"/>
    </w:rPr>
  </w:style>
  <w:style w:type="paragraph" w:customStyle="1" w:styleId="gtchighlighttextboxedwarnings19">
    <w:name w:val="gtchighlighttextboxedwarnings19"/>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9">
    <w:name w:val="gtchighlighttext19"/>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bold5">
    <w:name w:val="gtcbold5"/>
    <w:rPr>
      <w:b/>
      <w:bCs/>
    </w:rPr>
  </w:style>
  <w:style w:type="character" w:customStyle="1" w:styleId="gtcgreyshadedtext20">
    <w:name w:val="gtcgreyshadedtext20"/>
    <w:rPr>
      <w:rFonts w:ascii="Times New Roman" w:hAnsi="Times New Roman" w:cs="Times New Roman" w:hint="default"/>
      <w:b w:val="0"/>
      <w:bCs w:val="0"/>
      <w:i w:val="0"/>
      <w:iCs w:val="0"/>
      <w:caps w:val="0"/>
      <w:sz w:val="24"/>
      <w:szCs w:val="24"/>
      <w:shd w:val="clear" w:color="auto" w:fill="C0C0C0"/>
    </w:rPr>
  </w:style>
  <w:style w:type="character" w:customStyle="1" w:styleId="gtcannotation20">
    <w:name w:val="gtcannotation20"/>
    <w:rPr>
      <w:color w:val="006633"/>
      <w:sz w:val="20"/>
      <w:szCs w:val="20"/>
    </w:rPr>
  </w:style>
  <w:style w:type="character" w:customStyle="1" w:styleId="gtcannotationhl20">
    <w:name w:val="gtcannotationhl20"/>
    <w:rPr>
      <w:color w:val="006633"/>
      <w:sz w:val="16"/>
      <w:szCs w:val="16"/>
    </w:rPr>
  </w:style>
  <w:style w:type="paragraph" w:customStyle="1" w:styleId="gtchighlighttextboxedwarnings20">
    <w:name w:val="gtchighlighttextboxedwarnings20"/>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0">
    <w:name w:val="gtchighlighttext20"/>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21">
    <w:name w:val="gtcgreyshadedtext21"/>
    <w:rPr>
      <w:rFonts w:ascii="Times New Roman" w:hAnsi="Times New Roman" w:cs="Times New Roman" w:hint="default"/>
      <w:b w:val="0"/>
      <w:bCs w:val="0"/>
      <w:i w:val="0"/>
      <w:iCs w:val="0"/>
      <w:caps w:val="0"/>
      <w:sz w:val="24"/>
      <w:szCs w:val="24"/>
      <w:shd w:val="clear" w:color="auto" w:fill="C0C0C0"/>
    </w:rPr>
  </w:style>
  <w:style w:type="character" w:customStyle="1" w:styleId="gtcannotation21">
    <w:name w:val="gtcannotation21"/>
    <w:rPr>
      <w:color w:val="006633"/>
      <w:sz w:val="20"/>
      <w:szCs w:val="20"/>
    </w:rPr>
  </w:style>
  <w:style w:type="character" w:customStyle="1" w:styleId="gtcannotationhl21">
    <w:name w:val="gtcannotationhl21"/>
    <w:rPr>
      <w:color w:val="006633"/>
      <w:sz w:val="16"/>
      <w:szCs w:val="16"/>
    </w:rPr>
  </w:style>
  <w:style w:type="paragraph" w:customStyle="1" w:styleId="gtchighlighttextboxedwarnings21">
    <w:name w:val="gtchighlighttextboxedwarnings21"/>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1">
    <w:name w:val="gtchighlighttext21"/>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bold6">
    <w:name w:val="gtcbold6"/>
    <w:rPr>
      <w:b/>
      <w:bCs/>
    </w:rPr>
  </w:style>
  <w:style w:type="character" w:customStyle="1" w:styleId="gtcgreyshadedtext22">
    <w:name w:val="gtcgreyshadedtext22"/>
    <w:rPr>
      <w:rFonts w:ascii="Times New Roman" w:hAnsi="Times New Roman" w:cs="Times New Roman" w:hint="default"/>
      <w:b w:val="0"/>
      <w:bCs w:val="0"/>
      <w:i w:val="0"/>
      <w:iCs w:val="0"/>
      <w:caps w:val="0"/>
      <w:sz w:val="24"/>
      <w:szCs w:val="24"/>
      <w:shd w:val="clear" w:color="auto" w:fill="C0C0C0"/>
    </w:rPr>
  </w:style>
  <w:style w:type="character" w:customStyle="1" w:styleId="gtcannotation22">
    <w:name w:val="gtcannotation22"/>
    <w:rPr>
      <w:color w:val="006633"/>
      <w:sz w:val="20"/>
      <w:szCs w:val="20"/>
    </w:rPr>
  </w:style>
  <w:style w:type="character" w:customStyle="1" w:styleId="gtcannotationhl22">
    <w:name w:val="gtcannotationhl22"/>
    <w:rPr>
      <w:color w:val="006633"/>
      <w:sz w:val="16"/>
      <w:szCs w:val="16"/>
    </w:rPr>
  </w:style>
  <w:style w:type="paragraph" w:customStyle="1" w:styleId="gtchighlighttextboxedwarnings22">
    <w:name w:val="gtchighlighttextboxedwarnings22"/>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2">
    <w:name w:val="gtchighlighttext22"/>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23">
    <w:name w:val="gtcgreyshadedtext23"/>
    <w:rPr>
      <w:rFonts w:ascii="Times New Roman" w:hAnsi="Times New Roman" w:cs="Times New Roman" w:hint="default"/>
      <w:b w:val="0"/>
      <w:bCs w:val="0"/>
      <w:i w:val="0"/>
      <w:iCs w:val="0"/>
      <w:caps w:val="0"/>
      <w:sz w:val="24"/>
      <w:szCs w:val="24"/>
      <w:shd w:val="clear" w:color="auto" w:fill="C0C0C0"/>
    </w:rPr>
  </w:style>
  <w:style w:type="character" w:customStyle="1" w:styleId="gtcannotation23">
    <w:name w:val="gtcannotation23"/>
    <w:rPr>
      <w:color w:val="006633"/>
      <w:sz w:val="20"/>
      <w:szCs w:val="20"/>
    </w:rPr>
  </w:style>
  <w:style w:type="character" w:customStyle="1" w:styleId="gtcannotationhl23">
    <w:name w:val="gtcannotationhl23"/>
    <w:rPr>
      <w:color w:val="006633"/>
      <w:sz w:val="16"/>
      <w:szCs w:val="16"/>
    </w:rPr>
  </w:style>
  <w:style w:type="paragraph" w:customStyle="1" w:styleId="gtchighlighttextboxedwarnings23">
    <w:name w:val="gtchighlighttextboxedwarnings23"/>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3">
    <w:name w:val="gtchighlighttext23"/>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24">
    <w:name w:val="gtcgreyshadedtext24"/>
    <w:rPr>
      <w:rFonts w:ascii="Times New Roman" w:hAnsi="Times New Roman" w:cs="Times New Roman" w:hint="default"/>
      <w:b w:val="0"/>
      <w:bCs w:val="0"/>
      <w:i w:val="0"/>
      <w:iCs w:val="0"/>
      <w:caps w:val="0"/>
      <w:sz w:val="24"/>
      <w:szCs w:val="24"/>
      <w:shd w:val="clear" w:color="auto" w:fill="C0C0C0"/>
    </w:rPr>
  </w:style>
  <w:style w:type="character" w:customStyle="1" w:styleId="gtcannotation24">
    <w:name w:val="gtcannotation24"/>
    <w:rPr>
      <w:color w:val="006633"/>
      <w:sz w:val="20"/>
      <w:szCs w:val="20"/>
    </w:rPr>
  </w:style>
  <w:style w:type="character" w:customStyle="1" w:styleId="gtcannotationhl24">
    <w:name w:val="gtcannotationhl24"/>
    <w:rPr>
      <w:color w:val="006633"/>
      <w:sz w:val="16"/>
      <w:szCs w:val="16"/>
    </w:rPr>
  </w:style>
  <w:style w:type="paragraph" w:customStyle="1" w:styleId="gtchighlighttextboxedwarnings24">
    <w:name w:val="gtchighlighttextboxedwarnings24"/>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4">
    <w:name w:val="gtchighlighttext24"/>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25">
    <w:name w:val="gtcgreyshadedtext25"/>
    <w:rPr>
      <w:rFonts w:ascii="Times New Roman" w:hAnsi="Times New Roman" w:cs="Times New Roman" w:hint="default"/>
      <w:b w:val="0"/>
      <w:bCs w:val="0"/>
      <w:i w:val="0"/>
      <w:iCs w:val="0"/>
      <w:caps w:val="0"/>
      <w:sz w:val="24"/>
      <w:szCs w:val="24"/>
      <w:shd w:val="clear" w:color="auto" w:fill="C0C0C0"/>
    </w:rPr>
  </w:style>
  <w:style w:type="character" w:customStyle="1" w:styleId="gtcannotation25">
    <w:name w:val="gtcannotation25"/>
    <w:rPr>
      <w:color w:val="006633"/>
      <w:sz w:val="20"/>
      <w:szCs w:val="20"/>
    </w:rPr>
  </w:style>
  <w:style w:type="character" w:customStyle="1" w:styleId="gtcannotationhl25">
    <w:name w:val="gtcannotationhl25"/>
    <w:rPr>
      <w:color w:val="006633"/>
      <w:sz w:val="16"/>
      <w:szCs w:val="16"/>
    </w:rPr>
  </w:style>
  <w:style w:type="paragraph" w:customStyle="1" w:styleId="gtchighlighttextboxedwarnings25">
    <w:name w:val="gtchighlighttextboxedwarnings25"/>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5">
    <w:name w:val="gtchighlighttext25"/>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italic6">
    <w:name w:val="gtcitalic6"/>
    <w:rPr>
      <w:i/>
      <w:iCs/>
    </w:rPr>
  </w:style>
  <w:style w:type="character" w:customStyle="1" w:styleId="gtcgreyshadedtext26">
    <w:name w:val="gtcgreyshadedtext26"/>
    <w:rPr>
      <w:rFonts w:ascii="Times New Roman" w:hAnsi="Times New Roman" w:cs="Times New Roman" w:hint="default"/>
      <w:b w:val="0"/>
      <w:bCs w:val="0"/>
      <w:i w:val="0"/>
      <w:iCs w:val="0"/>
      <w:caps w:val="0"/>
      <w:sz w:val="24"/>
      <w:szCs w:val="24"/>
      <w:shd w:val="clear" w:color="auto" w:fill="C0C0C0"/>
    </w:rPr>
  </w:style>
  <w:style w:type="character" w:customStyle="1" w:styleId="gtcannotation26">
    <w:name w:val="gtcannotation26"/>
    <w:rPr>
      <w:color w:val="006633"/>
      <w:sz w:val="20"/>
      <w:szCs w:val="20"/>
    </w:rPr>
  </w:style>
  <w:style w:type="character" w:customStyle="1" w:styleId="gtcannotationhl26">
    <w:name w:val="gtcannotationhl26"/>
    <w:rPr>
      <w:color w:val="006633"/>
      <w:sz w:val="16"/>
      <w:szCs w:val="16"/>
    </w:rPr>
  </w:style>
  <w:style w:type="paragraph" w:customStyle="1" w:styleId="gtchighlighttextboxedwarnings26">
    <w:name w:val="gtchighlighttextboxedwarnings26"/>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6">
    <w:name w:val="gtchighlighttext26"/>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27">
    <w:name w:val="gtcgreyshadedtext27"/>
    <w:rPr>
      <w:rFonts w:ascii="Times New Roman" w:hAnsi="Times New Roman" w:cs="Times New Roman" w:hint="default"/>
      <w:b w:val="0"/>
      <w:bCs w:val="0"/>
      <w:i w:val="0"/>
      <w:iCs w:val="0"/>
      <w:caps w:val="0"/>
      <w:sz w:val="24"/>
      <w:szCs w:val="24"/>
      <w:shd w:val="clear" w:color="auto" w:fill="C0C0C0"/>
    </w:rPr>
  </w:style>
  <w:style w:type="character" w:customStyle="1" w:styleId="gtcannotation27">
    <w:name w:val="gtcannotation27"/>
    <w:rPr>
      <w:color w:val="006633"/>
      <w:sz w:val="20"/>
      <w:szCs w:val="20"/>
    </w:rPr>
  </w:style>
  <w:style w:type="character" w:customStyle="1" w:styleId="gtcannotationhl27">
    <w:name w:val="gtcannotationhl27"/>
    <w:rPr>
      <w:color w:val="006633"/>
      <w:sz w:val="16"/>
      <w:szCs w:val="16"/>
    </w:rPr>
  </w:style>
  <w:style w:type="paragraph" w:customStyle="1" w:styleId="gtchighlighttextboxedwarnings27">
    <w:name w:val="gtchighlighttextboxedwarnings27"/>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7">
    <w:name w:val="gtchighlighttext27"/>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28">
    <w:name w:val="gtcgreyshadedtext28"/>
    <w:rPr>
      <w:rFonts w:ascii="Times New Roman" w:hAnsi="Times New Roman" w:cs="Times New Roman" w:hint="default"/>
      <w:b w:val="0"/>
      <w:bCs w:val="0"/>
      <w:i w:val="0"/>
      <w:iCs w:val="0"/>
      <w:caps w:val="0"/>
      <w:sz w:val="24"/>
      <w:szCs w:val="24"/>
      <w:shd w:val="clear" w:color="auto" w:fill="C0C0C0"/>
    </w:rPr>
  </w:style>
  <w:style w:type="character" w:customStyle="1" w:styleId="gtcannotation28">
    <w:name w:val="gtcannotation28"/>
    <w:rPr>
      <w:color w:val="006633"/>
      <w:sz w:val="20"/>
      <w:szCs w:val="20"/>
    </w:rPr>
  </w:style>
  <w:style w:type="character" w:customStyle="1" w:styleId="gtcannotationhl28">
    <w:name w:val="gtcannotationhl28"/>
    <w:rPr>
      <w:color w:val="006633"/>
      <w:sz w:val="16"/>
      <w:szCs w:val="16"/>
    </w:rPr>
  </w:style>
  <w:style w:type="paragraph" w:customStyle="1" w:styleId="gtchighlighttextboxedwarnings28">
    <w:name w:val="gtchighlighttextboxedwarnings28"/>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8">
    <w:name w:val="gtchighlighttext28"/>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29">
    <w:name w:val="gtcgreyshadedtext29"/>
    <w:rPr>
      <w:rFonts w:ascii="Times New Roman" w:hAnsi="Times New Roman" w:cs="Times New Roman" w:hint="default"/>
      <w:b w:val="0"/>
      <w:bCs w:val="0"/>
      <w:i w:val="0"/>
      <w:iCs w:val="0"/>
      <w:caps w:val="0"/>
      <w:sz w:val="24"/>
      <w:szCs w:val="24"/>
      <w:shd w:val="clear" w:color="auto" w:fill="C0C0C0"/>
    </w:rPr>
  </w:style>
  <w:style w:type="character" w:customStyle="1" w:styleId="gtcannotation29">
    <w:name w:val="gtcannotation29"/>
    <w:rPr>
      <w:color w:val="006633"/>
      <w:sz w:val="20"/>
      <w:szCs w:val="20"/>
    </w:rPr>
  </w:style>
  <w:style w:type="character" w:customStyle="1" w:styleId="gtcannotationhl29">
    <w:name w:val="gtcannotationhl29"/>
    <w:rPr>
      <w:color w:val="006633"/>
      <w:sz w:val="16"/>
      <w:szCs w:val="16"/>
    </w:rPr>
  </w:style>
  <w:style w:type="paragraph" w:customStyle="1" w:styleId="gtchighlighttextboxedwarnings29">
    <w:name w:val="gtchighlighttextboxedwarnings29"/>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9">
    <w:name w:val="gtchighlighttext29"/>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0">
    <w:name w:val="gtcgreyshadedtext30"/>
    <w:rPr>
      <w:rFonts w:ascii="Times New Roman" w:hAnsi="Times New Roman" w:cs="Times New Roman" w:hint="default"/>
      <w:b w:val="0"/>
      <w:bCs w:val="0"/>
      <w:i w:val="0"/>
      <w:iCs w:val="0"/>
      <w:caps w:val="0"/>
      <w:sz w:val="24"/>
      <w:szCs w:val="24"/>
      <w:shd w:val="clear" w:color="auto" w:fill="C0C0C0"/>
    </w:rPr>
  </w:style>
  <w:style w:type="character" w:customStyle="1" w:styleId="gtcannotation30">
    <w:name w:val="gtcannotation30"/>
    <w:rPr>
      <w:color w:val="006633"/>
      <w:sz w:val="20"/>
      <w:szCs w:val="20"/>
    </w:rPr>
  </w:style>
  <w:style w:type="character" w:customStyle="1" w:styleId="gtcannotationhl30">
    <w:name w:val="gtcannotationhl30"/>
    <w:rPr>
      <w:color w:val="006633"/>
      <w:sz w:val="16"/>
      <w:szCs w:val="16"/>
    </w:rPr>
  </w:style>
  <w:style w:type="paragraph" w:customStyle="1" w:styleId="gtchighlighttextboxedwarnings30">
    <w:name w:val="gtchighlighttextboxedwarnings30"/>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0">
    <w:name w:val="gtchighlighttext30"/>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1">
    <w:name w:val="gtcgreyshadedtext31"/>
    <w:rPr>
      <w:rFonts w:ascii="Times New Roman" w:hAnsi="Times New Roman" w:cs="Times New Roman" w:hint="default"/>
      <w:b w:val="0"/>
      <w:bCs w:val="0"/>
      <w:i w:val="0"/>
      <w:iCs w:val="0"/>
      <w:caps w:val="0"/>
      <w:sz w:val="24"/>
      <w:szCs w:val="24"/>
      <w:shd w:val="clear" w:color="auto" w:fill="C0C0C0"/>
    </w:rPr>
  </w:style>
  <w:style w:type="character" w:customStyle="1" w:styleId="gtcannotation31">
    <w:name w:val="gtcannotation31"/>
    <w:rPr>
      <w:color w:val="006633"/>
      <w:sz w:val="20"/>
      <w:szCs w:val="20"/>
    </w:rPr>
  </w:style>
  <w:style w:type="character" w:customStyle="1" w:styleId="gtcannotationhl31">
    <w:name w:val="gtcannotationhl31"/>
    <w:rPr>
      <w:color w:val="006633"/>
      <w:sz w:val="16"/>
      <w:szCs w:val="16"/>
    </w:rPr>
  </w:style>
  <w:style w:type="paragraph" w:customStyle="1" w:styleId="gtchighlighttextboxedwarnings31">
    <w:name w:val="gtchighlighttextboxedwarnings31"/>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1">
    <w:name w:val="gtchighlighttext31"/>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italic7">
    <w:name w:val="gtcitalic7"/>
    <w:rPr>
      <w:i/>
      <w:iCs/>
    </w:rPr>
  </w:style>
  <w:style w:type="character" w:customStyle="1" w:styleId="gtcgreyshadedtext32">
    <w:name w:val="gtcgreyshadedtext32"/>
    <w:rPr>
      <w:rFonts w:ascii="Times New Roman" w:hAnsi="Times New Roman" w:cs="Times New Roman" w:hint="default"/>
      <w:b w:val="0"/>
      <w:bCs w:val="0"/>
      <w:i w:val="0"/>
      <w:iCs w:val="0"/>
      <w:caps w:val="0"/>
      <w:sz w:val="24"/>
      <w:szCs w:val="24"/>
      <w:shd w:val="clear" w:color="auto" w:fill="C0C0C0"/>
    </w:rPr>
  </w:style>
  <w:style w:type="character" w:customStyle="1" w:styleId="gtcannotation32">
    <w:name w:val="gtcannotation32"/>
    <w:rPr>
      <w:color w:val="006633"/>
      <w:sz w:val="20"/>
      <w:szCs w:val="20"/>
    </w:rPr>
  </w:style>
  <w:style w:type="character" w:customStyle="1" w:styleId="gtcannotationhl32">
    <w:name w:val="gtcannotationhl32"/>
    <w:rPr>
      <w:color w:val="006633"/>
      <w:sz w:val="16"/>
      <w:szCs w:val="16"/>
    </w:rPr>
  </w:style>
  <w:style w:type="paragraph" w:customStyle="1" w:styleId="gtchighlighttextboxedwarnings32">
    <w:name w:val="gtchighlighttextboxedwarnings32"/>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2">
    <w:name w:val="gtchighlighttext32"/>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3">
    <w:name w:val="gtcgreyshadedtext33"/>
    <w:rPr>
      <w:rFonts w:ascii="Times New Roman" w:hAnsi="Times New Roman" w:cs="Times New Roman" w:hint="default"/>
      <w:b w:val="0"/>
      <w:bCs w:val="0"/>
      <w:i w:val="0"/>
      <w:iCs w:val="0"/>
      <w:caps w:val="0"/>
      <w:sz w:val="24"/>
      <w:szCs w:val="24"/>
      <w:shd w:val="clear" w:color="auto" w:fill="C0C0C0"/>
    </w:rPr>
  </w:style>
  <w:style w:type="character" w:customStyle="1" w:styleId="gtcannotation33">
    <w:name w:val="gtcannotation33"/>
    <w:rPr>
      <w:color w:val="006633"/>
      <w:sz w:val="20"/>
      <w:szCs w:val="20"/>
    </w:rPr>
  </w:style>
  <w:style w:type="character" w:customStyle="1" w:styleId="gtcannotationhl33">
    <w:name w:val="gtcannotationhl33"/>
    <w:rPr>
      <w:color w:val="006633"/>
      <w:sz w:val="16"/>
      <w:szCs w:val="16"/>
    </w:rPr>
  </w:style>
  <w:style w:type="paragraph" w:customStyle="1" w:styleId="gtchighlighttextboxedwarnings33">
    <w:name w:val="gtchighlighttextboxedwarnings33"/>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3">
    <w:name w:val="gtchighlighttext33"/>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4">
    <w:name w:val="gtcgreyshadedtext34"/>
    <w:rPr>
      <w:rFonts w:ascii="Times New Roman" w:hAnsi="Times New Roman" w:cs="Times New Roman" w:hint="default"/>
      <w:b w:val="0"/>
      <w:bCs w:val="0"/>
      <w:i w:val="0"/>
      <w:iCs w:val="0"/>
      <w:caps w:val="0"/>
      <w:sz w:val="24"/>
      <w:szCs w:val="24"/>
      <w:shd w:val="clear" w:color="auto" w:fill="C0C0C0"/>
    </w:rPr>
  </w:style>
  <w:style w:type="character" w:customStyle="1" w:styleId="gtcannotation34">
    <w:name w:val="gtcannotation34"/>
    <w:rPr>
      <w:color w:val="006633"/>
      <w:sz w:val="20"/>
      <w:szCs w:val="20"/>
    </w:rPr>
  </w:style>
  <w:style w:type="character" w:customStyle="1" w:styleId="gtcannotationhl34">
    <w:name w:val="gtcannotationhl34"/>
    <w:rPr>
      <w:color w:val="006633"/>
      <w:sz w:val="16"/>
      <w:szCs w:val="16"/>
    </w:rPr>
  </w:style>
  <w:style w:type="paragraph" w:customStyle="1" w:styleId="gtchighlighttextboxedwarnings34">
    <w:name w:val="gtchighlighttextboxedwarnings34"/>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4">
    <w:name w:val="gtchighlighttext34"/>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5">
    <w:name w:val="gtcgreyshadedtext35"/>
    <w:rPr>
      <w:rFonts w:ascii="Times New Roman" w:hAnsi="Times New Roman" w:cs="Times New Roman" w:hint="default"/>
      <w:b w:val="0"/>
      <w:bCs w:val="0"/>
      <w:i w:val="0"/>
      <w:iCs w:val="0"/>
      <w:caps w:val="0"/>
      <w:sz w:val="24"/>
      <w:szCs w:val="24"/>
      <w:shd w:val="clear" w:color="auto" w:fill="C0C0C0"/>
    </w:rPr>
  </w:style>
  <w:style w:type="character" w:customStyle="1" w:styleId="gtcannotation35">
    <w:name w:val="gtcannotation35"/>
    <w:rPr>
      <w:color w:val="006633"/>
      <w:sz w:val="20"/>
      <w:szCs w:val="20"/>
    </w:rPr>
  </w:style>
  <w:style w:type="character" w:customStyle="1" w:styleId="gtcannotationhl35">
    <w:name w:val="gtcannotationhl35"/>
    <w:rPr>
      <w:color w:val="006633"/>
      <w:sz w:val="16"/>
      <w:szCs w:val="16"/>
    </w:rPr>
  </w:style>
  <w:style w:type="paragraph" w:customStyle="1" w:styleId="gtchighlighttextboxedwarnings35">
    <w:name w:val="gtchighlighttextboxedwarnings35"/>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5">
    <w:name w:val="gtchighlighttext35"/>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6">
    <w:name w:val="gtcgreyshadedtext36"/>
    <w:rPr>
      <w:rFonts w:ascii="Times New Roman" w:hAnsi="Times New Roman" w:cs="Times New Roman" w:hint="default"/>
      <w:b w:val="0"/>
      <w:bCs w:val="0"/>
      <w:i w:val="0"/>
      <w:iCs w:val="0"/>
      <w:caps w:val="0"/>
      <w:sz w:val="24"/>
      <w:szCs w:val="24"/>
      <w:shd w:val="clear" w:color="auto" w:fill="C0C0C0"/>
    </w:rPr>
  </w:style>
  <w:style w:type="character" w:customStyle="1" w:styleId="gtcannotation36">
    <w:name w:val="gtcannotation36"/>
    <w:rPr>
      <w:color w:val="006633"/>
      <w:sz w:val="20"/>
      <w:szCs w:val="20"/>
    </w:rPr>
  </w:style>
  <w:style w:type="character" w:customStyle="1" w:styleId="gtcannotationhl36">
    <w:name w:val="gtcannotationhl36"/>
    <w:rPr>
      <w:color w:val="006633"/>
      <w:sz w:val="16"/>
      <w:szCs w:val="16"/>
    </w:rPr>
  </w:style>
  <w:style w:type="paragraph" w:customStyle="1" w:styleId="gtchighlighttextboxedwarnings36">
    <w:name w:val="gtchighlighttextboxedwarnings36"/>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6">
    <w:name w:val="gtchighlighttext36"/>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7">
    <w:name w:val="gtcgreyshadedtext37"/>
    <w:rPr>
      <w:rFonts w:ascii="Times New Roman" w:hAnsi="Times New Roman" w:cs="Times New Roman" w:hint="default"/>
      <w:b w:val="0"/>
      <w:bCs w:val="0"/>
      <w:i w:val="0"/>
      <w:iCs w:val="0"/>
      <w:caps w:val="0"/>
      <w:sz w:val="24"/>
      <w:szCs w:val="24"/>
      <w:shd w:val="clear" w:color="auto" w:fill="C0C0C0"/>
    </w:rPr>
  </w:style>
  <w:style w:type="character" w:customStyle="1" w:styleId="gtcannotation37">
    <w:name w:val="gtcannotation37"/>
    <w:rPr>
      <w:color w:val="006633"/>
      <w:sz w:val="20"/>
      <w:szCs w:val="20"/>
    </w:rPr>
  </w:style>
  <w:style w:type="character" w:customStyle="1" w:styleId="gtcannotationhl37">
    <w:name w:val="gtcannotationhl37"/>
    <w:rPr>
      <w:color w:val="006633"/>
      <w:sz w:val="16"/>
      <w:szCs w:val="16"/>
    </w:rPr>
  </w:style>
  <w:style w:type="paragraph" w:customStyle="1" w:styleId="gtchighlighttextboxedwarnings37">
    <w:name w:val="gtchighlighttextboxedwarnings37"/>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7">
    <w:name w:val="gtchighlighttext37"/>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8">
    <w:name w:val="gtcgreyshadedtext38"/>
    <w:rPr>
      <w:rFonts w:ascii="Times New Roman" w:hAnsi="Times New Roman" w:cs="Times New Roman" w:hint="default"/>
      <w:b w:val="0"/>
      <w:bCs w:val="0"/>
      <w:i w:val="0"/>
      <w:iCs w:val="0"/>
      <w:caps w:val="0"/>
      <w:sz w:val="24"/>
      <w:szCs w:val="24"/>
      <w:shd w:val="clear" w:color="auto" w:fill="C0C0C0"/>
    </w:rPr>
  </w:style>
  <w:style w:type="character" w:customStyle="1" w:styleId="gtcannotation38">
    <w:name w:val="gtcannotation38"/>
    <w:rPr>
      <w:color w:val="006633"/>
      <w:sz w:val="20"/>
      <w:szCs w:val="20"/>
    </w:rPr>
  </w:style>
  <w:style w:type="character" w:customStyle="1" w:styleId="gtcannotationhl38">
    <w:name w:val="gtcannotationhl38"/>
    <w:rPr>
      <w:color w:val="006633"/>
      <w:sz w:val="16"/>
      <w:szCs w:val="16"/>
    </w:rPr>
  </w:style>
  <w:style w:type="paragraph" w:customStyle="1" w:styleId="gtchighlighttextboxedwarnings38">
    <w:name w:val="gtchighlighttextboxedwarnings38"/>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8">
    <w:name w:val="gtchighlighttext38"/>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9">
    <w:name w:val="gtcgreyshadedtext39"/>
    <w:rPr>
      <w:rFonts w:ascii="Times New Roman" w:hAnsi="Times New Roman" w:cs="Times New Roman" w:hint="default"/>
      <w:b w:val="0"/>
      <w:bCs w:val="0"/>
      <w:i w:val="0"/>
      <w:iCs w:val="0"/>
      <w:caps w:val="0"/>
      <w:sz w:val="24"/>
      <w:szCs w:val="24"/>
      <w:shd w:val="clear" w:color="auto" w:fill="C0C0C0"/>
    </w:rPr>
  </w:style>
  <w:style w:type="character" w:customStyle="1" w:styleId="gtcannotation39">
    <w:name w:val="gtcannotation39"/>
    <w:rPr>
      <w:color w:val="006633"/>
      <w:sz w:val="20"/>
      <w:szCs w:val="20"/>
    </w:rPr>
  </w:style>
  <w:style w:type="character" w:customStyle="1" w:styleId="gtcannotationhl39">
    <w:name w:val="gtcannotationhl39"/>
    <w:rPr>
      <w:color w:val="006633"/>
      <w:sz w:val="16"/>
      <w:szCs w:val="16"/>
    </w:rPr>
  </w:style>
  <w:style w:type="paragraph" w:customStyle="1" w:styleId="gtchighlighttextboxedwarnings39">
    <w:name w:val="gtchighlighttextboxedwarnings39"/>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9">
    <w:name w:val="gtchighlighttext39"/>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40">
    <w:name w:val="gtcgreyshadedtext40"/>
    <w:rPr>
      <w:rFonts w:ascii="Times New Roman" w:hAnsi="Times New Roman" w:cs="Times New Roman" w:hint="default"/>
      <w:b w:val="0"/>
      <w:bCs w:val="0"/>
      <w:i w:val="0"/>
      <w:iCs w:val="0"/>
      <w:caps w:val="0"/>
      <w:sz w:val="24"/>
      <w:szCs w:val="24"/>
      <w:shd w:val="clear" w:color="auto" w:fill="C0C0C0"/>
    </w:rPr>
  </w:style>
  <w:style w:type="character" w:customStyle="1" w:styleId="gtcannotation40">
    <w:name w:val="gtcannotation40"/>
    <w:rPr>
      <w:color w:val="006633"/>
      <w:sz w:val="20"/>
      <w:szCs w:val="20"/>
    </w:rPr>
  </w:style>
  <w:style w:type="character" w:customStyle="1" w:styleId="gtcannotationhl40">
    <w:name w:val="gtcannotationhl40"/>
    <w:rPr>
      <w:color w:val="006633"/>
      <w:sz w:val="16"/>
      <w:szCs w:val="16"/>
    </w:rPr>
  </w:style>
  <w:style w:type="paragraph" w:customStyle="1" w:styleId="gtchighlighttextboxedwarnings40">
    <w:name w:val="gtchighlighttextboxedwarnings40"/>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40">
    <w:name w:val="gtchighlighttext40"/>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41">
    <w:name w:val="gtcgreyshadedtext41"/>
    <w:rPr>
      <w:rFonts w:ascii="Times New Roman" w:hAnsi="Times New Roman" w:cs="Times New Roman" w:hint="default"/>
      <w:b w:val="0"/>
      <w:bCs w:val="0"/>
      <w:i w:val="0"/>
      <w:iCs w:val="0"/>
      <w:caps w:val="0"/>
      <w:sz w:val="24"/>
      <w:szCs w:val="24"/>
      <w:shd w:val="clear" w:color="auto" w:fill="C0C0C0"/>
    </w:rPr>
  </w:style>
  <w:style w:type="character" w:customStyle="1" w:styleId="gtcannotation41">
    <w:name w:val="gtcannotation41"/>
    <w:rPr>
      <w:color w:val="006633"/>
      <w:sz w:val="20"/>
      <w:szCs w:val="20"/>
    </w:rPr>
  </w:style>
  <w:style w:type="character" w:customStyle="1" w:styleId="gtcannotationhl41">
    <w:name w:val="gtcannotationhl41"/>
    <w:rPr>
      <w:color w:val="006633"/>
      <w:sz w:val="16"/>
      <w:szCs w:val="16"/>
    </w:rPr>
  </w:style>
  <w:style w:type="paragraph" w:customStyle="1" w:styleId="gtchighlighttextboxedwarnings41">
    <w:name w:val="gtchighlighttextboxedwarnings41"/>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41">
    <w:name w:val="gtchighlighttext41"/>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42">
    <w:name w:val="gtcgreyshadedtext42"/>
    <w:rPr>
      <w:rFonts w:ascii="Times New Roman" w:hAnsi="Times New Roman" w:cs="Times New Roman" w:hint="default"/>
      <w:b w:val="0"/>
      <w:bCs w:val="0"/>
      <w:i w:val="0"/>
      <w:iCs w:val="0"/>
      <w:caps w:val="0"/>
      <w:sz w:val="24"/>
      <w:szCs w:val="24"/>
      <w:shd w:val="clear" w:color="auto" w:fill="C0C0C0"/>
    </w:rPr>
  </w:style>
  <w:style w:type="character" w:customStyle="1" w:styleId="gtcannotation42">
    <w:name w:val="gtcannotation42"/>
    <w:rPr>
      <w:color w:val="006633"/>
      <w:sz w:val="20"/>
      <w:szCs w:val="20"/>
    </w:rPr>
  </w:style>
  <w:style w:type="character" w:customStyle="1" w:styleId="gtcannotationhl42">
    <w:name w:val="gtcannotationhl42"/>
    <w:rPr>
      <w:color w:val="006633"/>
      <w:sz w:val="16"/>
      <w:szCs w:val="16"/>
    </w:rPr>
  </w:style>
  <w:style w:type="paragraph" w:customStyle="1" w:styleId="gtchighlighttextboxedwarnings42">
    <w:name w:val="gtchighlighttextboxedwarnings42"/>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42">
    <w:name w:val="gtchighlighttext42"/>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43">
    <w:name w:val="gtcgreyshadedtext43"/>
    <w:rPr>
      <w:rFonts w:ascii="Times New Roman" w:hAnsi="Times New Roman" w:cs="Times New Roman" w:hint="default"/>
      <w:b w:val="0"/>
      <w:bCs w:val="0"/>
      <w:i w:val="0"/>
      <w:iCs w:val="0"/>
      <w:caps w:val="0"/>
      <w:sz w:val="24"/>
      <w:szCs w:val="24"/>
      <w:shd w:val="clear" w:color="auto" w:fill="C0C0C0"/>
    </w:rPr>
  </w:style>
  <w:style w:type="character" w:customStyle="1" w:styleId="gtcannotation43">
    <w:name w:val="gtcannotation43"/>
    <w:rPr>
      <w:color w:val="006633"/>
      <w:sz w:val="20"/>
      <w:szCs w:val="20"/>
    </w:rPr>
  </w:style>
  <w:style w:type="character" w:customStyle="1" w:styleId="gtcannotationhl43">
    <w:name w:val="gtcannotationhl43"/>
    <w:rPr>
      <w:color w:val="006633"/>
      <w:sz w:val="16"/>
      <w:szCs w:val="16"/>
    </w:rPr>
  </w:style>
  <w:style w:type="paragraph" w:customStyle="1" w:styleId="gtchighlighttextboxedwarnings43">
    <w:name w:val="gtchighlighttextboxedwarnings43"/>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43">
    <w:name w:val="gtchighlighttext43"/>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LinkText19">
    <w:name w:val="GTC Link Text19"/>
    <w:rPr>
      <w:strike w:val="0"/>
      <w:dstrike w:val="0"/>
      <w:u w:val="none"/>
      <w:effect w:val="none"/>
    </w:rPr>
  </w:style>
  <w:style w:type="character" w:customStyle="1" w:styleId="GTCLinkText21">
    <w:name w:val="GTC Link Text21"/>
    <w:rPr>
      <w:strike w:val="0"/>
      <w:dstrike w:val="0"/>
      <w:u w:val="none"/>
      <w:effect w:val="none"/>
    </w:rPr>
  </w:style>
  <w:style w:type="character" w:customStyle="1" w:styleId="gtcsuperscript">
    <w:name w:val="gtcsuperscript"/>
  </w:style>
  <w:style w:type="paragraph" w:customStyle="1" w:styleId="GTCHeadingAppendix">
    <w:name w:val="GTC Heading Appendix"/>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HeadingCentered0">
    <w:name w:val="GTC Heading Centered"/>
    <w:basedOn w:val="Normal"/>
    <w:pPr>
      <w:keepNext/>
      <w:spacing w:before="240" w:after="240" w:line="240" w:lineRule="auto"/>
      <w:jc w:val="center"/>
    </w:pPr>
    <w:rPr>
      <w:rFonts w:ascii="Times New Roman" w:eastAsia="Times New Roman" w:hAnsi="Times New Roman" w:cs="Times New Roman"/>
      <w:b/>
      <w:bCs/>
      <w:caps/>
      <w:sz w:val="24"/>
      <w:szCs w:val="24"/>
      <w:lang w:val="en-US"/>
    </w:rPr>
  </w:style>
  <w:style w:type="paragraph" w:customStyle="1" w:styleId="GTCBWHeadingLeft">
    <w:name w:val="GTC BW Heading Left"/>
    <w:basedOn w:val="Normal"/>
    <w:pPr>
      <w:spacing w:before="240" w:after="240" w:line="240" w:lineRule="auto"/>
    </w:pPr>
    <w:rPr>
      <w:rFonts w:ascii="Times New Roman" w:eastAsia="Times New Roman" w:hAnsi="Times New Roman" w:cs="Times New Roman"/>
      <w:b/>
      <w:bCs/>
      <w:caps/>
      <w:sz w:val="24"/>
      <w:szCs w:val="24"/>
      <w:lang w:val="en-US"/>
    </w:rPr>
  </w:style>
  <w:style w:type="paragraph" w:customStyle="1" w:styleId="GTCPLRTitle0">
    <w:name w:val="GTC PLR Title"/>
    <w:basedOn w:val="Normal"/>
    <w:pPr>
      <w:spacing w:before="60" w:after="60" w:line="240" w:lineRule="auto"/>
    </w:pPr>
    <w:rPr>
      <w:rFonts w:ascii="Times New Roman" w:eastAsia="Times New Roman" w:hAnsi="Times New Roman" w:cs="Times New Roman"/>
      <w:b/>
      <w:bCs/>
      <w:sz w:val="18"/>
      <w:szCs w:val="18"/>
      <w:lang w:val="en-US"/>
    </w:rPr>
  </w:style>
  <w:style w:type="paragraph" w:customStyle="1" w:styleId="GTCLink">
    <w:name w:val="GTC Link"/>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TableHeader">
    <w:name w:val="GTC Table Header"/>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BodyTextAlignRight0">
    <w:name w:val="GTC Body Text Align Right"/>
    <w:basedOn w:val="Normal"/>
    <w:pPr>
      <w:spacing w:before="240" w:after="240" w:line="300" w:lineRule="auto"/>
      <w:jc w:val="right"/>
    </w:pPr>
    <w:rPr>
      <w:rFonts w:ascii="Times New Roman" w:eastAsia="Times New Roman" w:hAnsi="Times New Roman" w:cs="Times New Roman"/>
      <w:sz w:val="24"/>
      <w:szCs w:val="24"/>
      <w:lang w:val="en-US"/>
    </w:rPr>
  </w:style>
  <w:style w:type="paragraph" w:customStyle="1" w:styleId="GTCBodyTextAlignCenter0">
    <w:name w:val="GTC Body Text Align Center"/>
    <w:basedOn w:val="Normal"/>
    <w:pPr>
      <w:spacing w:before="240" w:after="240" w:line="300" w:lineRule="auto"/>
      <w:jc w:val="center"/>
    </w:pPr>
    <w:rPr>
      <w:rFonts w:ascii="Times New Roman" w:eastAsia="Times New Roman" w:hAnsi="Times New Roman" w:cs="Times New Roman"/>
      <w:sz w:val="24"/>
      <w:szCs w:val="24"/>
      <w:lang w:val="en-US"/>
    </w:rPr>
  </w:style>
  <w:style w:type="paragraph" w:customStyle="1" w:styleId="GTCBodyTextAlignJustify0">
    <w:name w:val="GTC Body Text Align Justify"/>
    <w:basedOn w:val="Normal"/>
    <w:pPr>
      <w:spacing w:before="240" w:after="240" w:line="300" w:lineRule="auto"/>
      <w:jc w:val="both"/>
    </w:pPr>
    <w:rPr>
      <w:rFonts w:ascii="Times New Roman" w:eastAsia="Times New Roman" w:hAnsi="Times New Roman" w:cs="Times New Roman"/>
      <w:sz w:val="24"/>
      <w:szCs w:val="24"/>
      <w:lang w:val="en-US"/>
    </w:rPr>
  </w:style>
  <w:style w:type="paragraph" w:customStyle="1" w:styleId="GTCBodyTextAlignIndent0">
    <w:name w:val="GTC Body Text Align Indent"/>
    <w:basedOn w:val="Normal"/>
    <w:pPr>
      <w:spacing w:before="240" w:after="240" w:line="300" w:lineRule="auto"/>
      <w:jc w:val="both"/>
    </w:pPr>
    <w:rPr>
      <w:rFonts w:ascii="Times New Roman" w:eastAsia="Times New Roman" w:hAnsi="Times New Roman" w:cs="Times New Roman"/>
      <w:sz w:val="24"/>
      <w:szCs w:val="24"/>
      <w:lang w:val="en-US"/>
    </w:rPr>
  </w:style>
  <w:style w:type="paragraph" w:customStyle="1" w:styleId="GTCGreyShadedInParagraph0">
    <w:name w:val="GTC Grey Shaded In Paragraph"/>
    <w:basedOn w:val="Normal"/>
    <w:pPr>
      <w:shd w:val="clear" w:color="auto" w:fill="C0C0C0"/>
      <w:spacing w:before="240" w:after="240" w:line="300" w:lineRule="auto"/>
      <w:jc w:val="both"/>
    </w:pPr>
    <w:rPr>
      <w:rFonts w:ascii="Times New Roman" w:eastAsia="Times New Roman" w:hAnsi="Times New Roman" w:cs="Times New Roman"/>
      <w:sz w:val="24"/>
      <w:szCs w:val="24"/>
      <w:lang w:val="en-US"/>
    </w:rPr>
  </w:style>
  <w:style w:type="paragraph" w:customStyle="1" w:styleId="GTCFooter">
    <w:name w:val="GTC Footer"/>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FootnoteText">
    <w:name w:val="GTC Footnote Text"/>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Annotation0">
    <w:name w:val="GTCAnnotation"/>
    <w:basedOn w:val="Normal"/>
    <w:pPr>
      <w:spacing w:before="60" w:after="60" w:line="240" w:lineRule="auto"/>
      <w:ind w:left="576" w:hanging="576"/>
    </w:pPr>
    <w:rPr>
      <w:rFonts w:ascii="Times New Roman" w:eastAsia="Times New Roman" w:hAnsi="Times New Roman" w:cs="Times New Roman"/>
      <w:sz w:val="20"/>
      <w:szCs w:val="20"/>
      <w:lang w:val="en-US"/>
    </w:rPr>
  </w:style>
  <w:style w:type="paragraph" w:customStyle="1" w:styleId="GTCTitle">
    <w:name w:val="GTC Title"/>
    <w:basedOn w:val="Normal"/>
    <w:pPr>
      <w:spacing w:before="120" w:after="120" w:line="240" w:lineRule="auto"/>
      <w:jc w:val="both"/>
    </w:pPr>
    <w:rPr>
      <w:rFonts w:ascii="Times New Roman" w:eastAsia="Times New Roman" w:hAnsi="Times New Roman" w:cs="Times New Roman"/>
      <w:b/>
      <w:bCs/>
      <w:sz w:val="36"/>
      <w:szCs w:val="36"/>
      <w:lang w:val="en-US"/>
    </w:rPr>
  </w:style>
  <w:style w:type="paragraph" w:customStyle="1" w:styleId="GTCHeading10">
    <w:name w:val="GTC Heading 1"/>
    <w:next w:val="GTCBodyText"/>
    <w:pPr>
      <w:keepNext/>
      <w:spacing w:before="240" w:after="240" w:line="240" w:lineRule="auto"/>
    </w:pPr>
    <w:rPr>
      <w:rFonts w:ascii="Times New Roman" w:eastAsia="Times New Roman" w:hAnsi="Times New Roman" w:cs="Times New Roman"/>
      <w:b/>
      <w:bCs/>
      <w:caps/>
      <w:sz w:val="24"/>
      <w:szCs w:val="24"/>
      <w:lang w:val="en-US"/>
    </w:rPr>
  </w:style>
  <w:style w:type="paragraph" w:customStyle="1" w:styleId="GTCHeading20">
    <w:name w:val="GTC Heading 2"/>
    <w:basedOn w:val="Normal"/>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Heading30">
    <w:name w:val="GTC Heading 3"/>
    <w:basedOn w:val="Normal"/>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Heading40">
    <w:name w:val="GTC Heading 4"/>
    <w:basedOn w:val="Normal"/>
    <w:pPr>
      <w:keepNext/>
      <w:spacing w:before="240" w:after="240" w:line="240" w:lineRule="auto"/>
    </w:pPr>
    <w:rPr>
      <w:rFonts w:ascii="Times New Roman" w:eastAsia="Times New Roman" w:hAnsi="Times New Roman" w:cs="Times New Roman"/>
      <w:b/>
      <w:bCs/>
      <w:i/>
      <w:iCs/>
      <w:sz w:val="24"/>
      <w:szCs w:val="24"/>
      <w:lang w:val="en-US"/>
    </w:rPr>
  </w:style>
  <w:style w:type="paragraph" w:customStyle="1" w:styleId="GTCLinkText0">
    <w:name w:val="GTC Link Text"/>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Text0">
    <w:name w:val="GTC List Text"/>
    <w:basedOn w:val="GTCBodyText"/>
    <w:pPr>
      <w:spacing w:before="120" w:after="120" w:line="300" w:lineRule="auto"/>
      <w:jc w:val="left"/>
    </w:pPr>
  </w:style>
  <w:style w:type="paragraph" w:customStyle="1" w:styleId="GTCTableListText">
    <w:name w:val="GTC Table List Text"/>
    <w:basedOn w:val="GTCBodyText"/>
    <w:pPr>
      <w:spacing w:before="120" w:after="120" w:line="300" w:lineRule="auto"/>
      <w:jc w:val="left"/>
    </w:pPr>
    <w:rPr>
      <w:sz w:val="20"/>
      <w:szCs w:val="20"/>
    </w:rPr>
  </w:style>
  <w:style w:type="paragraph" w:customStyle="1" w:styleId="GTCListTextHighlights">
    <w:name w:val="GTC List Text Highlights"/>
    <w:basedOn w:val="Normal"/>
    <w:pPr>
      <w:spacing w:after="0" w:line="240" w:lineRule="auto"/>
    </w:pPr>
    <w:rPr>
      <w:rFonts w:ascii="Times New Roman" w:eastAsia="Times New Roman" w:hAnsi="Times New Roman" w:cs="Times New Roman"/>
      <w:sz w:val="16"/>
      <w:szCs w:val="16"/>
      <w:lang w:val="en-US"/>
    </w:rPr>
  </w:style>
  <w:style w:type="paragraph" w:customStyle="1" w:styleId="GTCListStyleNone0">
    <w:name w:val="GTC List Style None"/>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Circle0">
    <w:name w:val="GTC List Style Circle"/>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Disc0">
    <w:name w:val="GTC List Style Disc"/>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Square0">
    <w:name w:val="GTC List Style Square"/>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LittleRoman0">
    <w:name w:val="GTC List Style LittleRoman"/>
    <w:basedOn w:val="Normal"/>
    <w:pPr>
      <w:tabs>
        <w:tab w:val="num" w:pos="1008"/>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BigRoman0">
    <w:name w:val="GTC List Style BigRoman"/>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LittleAlpha0">
    <w:name w:val="GTC List Style LittleAlpha"/>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Arabic0">
    <w:name w:val="GTC List Style Arabic"/>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TableTitleOtherwise0">
    <w:name w:val="GTC Table Title Otherwise"/>
    <w:basedOn w:val="Normal"/>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GTCTableTitleInsert">
    <w:name w:val="GTC Table Title Insert"/>
    <w:basedOn w:val="Normal"/>
    <w:pPr>
      <w:spacing w:before="100" w:beforeAutospacing="1" w:after="100" w:afterAutospacing="1" w:line="240" w:lineRule="auto"/>
    </w:pPr>
    <w:rPr>
      <w:rFonts w:ascii="Times New Roman" w:eastAsia="Times New Roman" w:hAnsi="Times New Roman" w:cs="Times New Roman"/>
      <w:color w:val="FF0000"/>
      <w:sz w:val="20"/>
      <w:szCs w:val="20"/>
      <w:u w:val="double"/>
      <w:lang w:val="en-US"/>
    </w:rPr>
  </w:style>
  <w:style w:type="paragraph" w:customStyle="1" w:styleId="GTCTableTitleDelete">
    <w:name w:val="GTC Table Title Delete"/>
    <w:basedOn w:val="Normal"/>
    <w:pPr>
      <w:spacing w:before="100" w:beforeAutospacing="1" w:after="100" w:afterAutospacing="1" w:line="240" w:lineRule="auto"/>
    </w:pPr>
    <w:rPr>
      <w:rFonts w:ascii="Times New Roman" w:eastAsia="Times New Roman" w:hAnsi="Times New Roman" w:cs="Times New Roman"/>
      <w:strike/>
      <w:color w:val="FF0000"/>
      <w:sz w:val="20"/>
      <w:szCs w:val="20"/>
      <w:lang w:val="en-US"/>
    </w:rPr>
  </w:style>
  <w:style w:type="paragraph" w:customStyle="1" w:styleId="GTCOutlineNumbering">
    <w:name w:val="GTC Outline Numbering"/>
    <w:basedOn w:val="GTCListText0"/>
    <w:pPr>
      <w:spacing w:before="100" w:beforeAutospacing="1" w:after="100" w:afterAutospacing="1" w:line="240" w:lineRule="auto"/>
    </w:pPr>
  </w:style>
  <w:style w:type="paragraph" w:customStyle="1" w:styleId="GTCBullets">
    <w:name w:val="GTC Bullets"/>
    <w:basedOn w:val="GTCOutlineNumbering"/>
  </w:style>
  <w:style w:type="character" w:customStyle="1" w:styleId="GTCGreyShadedText0">
    <w:name w:val="GTC Grey Shaded Text"/>
    <w:rPr>
      <w:rFonts w:ascii="Times New Roman" w:hAnsi="Times New Roman" w:cs="Times New Roman" w:hint="default"/>
      <w:b w:val="0"/>
      <w:bCs w:val="0"/>
      <w:i w:val="0"/>
      <w:iCs w:val="0"/>
      <w:caps w:val="0"/>
      <w:sz w:val="24"/>
      <w:szCs w:val="24"/>
      <w:shd w:val="clear" w:color="auto" w:fill="C0C0C0"/>
    </w:rPr>
  </w:style>
  <w:style w:type="character" w:customStyle="1" w:styleId="GTCFootnoteText1">
    <w:name w:val="GTC Footnote Text1"/>
  </w:style>
  <w:style w:type="table" w:customStyle="1" w:styleId="GTCTitle1">
    <w:name w:val="GTC Title1"/>
    <w:basedOn w:val="TableNormal"/>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2">
    <w:name w:val="GTC Title2"/>
    <w:basedOn w:val="TableNormal"/>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3">
    <w:name w:val="GTC Title3"/>
    <w:basedOn w:val="TableNormal"/>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4">
    <w:name w:val="GTC Title4"/>
    <w:basedOn w:val="TableNormal"/>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1">
    <w:name w:val="GTC Heading 11"/>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1">
    <w:name w:val="GTC Heading 2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1">
    <w:name w:val="GTC Heading 3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1">
    <w:name w:val="GTC Heading 41"/>
    <w:basedOn w:val="TableNormal"/>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10">
    <w:name w:val="GTC Link Text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1">
    <w:name w:val="GTC List Text1"/>
    <w:basedOn w:val="TableNormal"/>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1">
    <w:name w:val="GTC Table List Text1"/>
    <w:basedOn w:val="TableNormal"/>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1">
    <w:name w:val="GTC List Text Highlights1"/>
    <w:basedOn w:val="TableNormal"/>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1">
    <w:name w:val="GTC List Style None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1">
    <w:name w:val="GTC List Style Circle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1">
    <w:name w:val="GTC List Style Disc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1">
    <w:name w:val="GTC List Style Square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1">
    <w:name w:val="GTC List Style LittleRoman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1">
    <w:name w:val="GTC List Style BigRoman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1">
    <w:name w:val="GTC List Style LittleAlpha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2">
    <w:name w:val="GTC List Style BigRoman2"/>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1">
    <w:name w:val="GTC List Style Arabic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1">
    <w:name w:val="GTC Table Title Otherwise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1">
    <w:name w:val="GTC Table Title Insert1"/>
    <w:basedOn w:val="TableNormal"/>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1">
    <w:name w:val="GTC Table Title Delete1"/>
    <w:basedOn w:val="TableNormal"/>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Annotationa">
    <w:name w:val="GTC Annotation"/>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OutlineNumbering1">
    <w:name w:val="GTC Outline Numbering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1">
    <w:name w:val="GTC Bullets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paragraph" w:customStyle="1" w:styleId="GTCHighlightTextBoxedWarnings0">
    <w:name w:val="GTC Highlight Text Boxed Warnings"/>
    <w:basedOn w:val="Normal"/>
    <w:pPr>
      <w:spacing w:before="40" w:after="40" w:line="192" w:lineRule="auto"/>
      <w:jc w:val="both"/>
    </w:pPr>
    <w:rPr>
      <w:rFonts w:ascii="Times New Roman" w:eastAsia="Times New Roman" w:hAnsi="Times New Roman" w:cs="Times New Roman"/>
      <w:sz w:val="16"/>
      <w:szCs w:val="16"/>
      <w:lang w:val="en-US"/>
    </w:rPr>
  </w:style>
  <w:style w:type="paragraph" w:customStyle="1" w:styleId="GTCHighlightText0">
    <w:name w:val="GTC Highlight Text"/>
    <w:basedOn w:val="Normal"/>
    <w:pPr>
      <w:spacing w:before="40" w:after="40" w:line="192" w:lineRule="auto"/>
      <w:jc w:val="both"/>
    </w:pPr>
    <w:rPr>
      <w:rFonts w:ascii="Times New Roman" w:eastAsia="Times New Roman" w:hAnsi="Times New Roman" w:cs="Times New Roman"/>
      <w:sz w:val="16"/>
      <w:szCs w:val="16"/>
      <w:lang w:val="en-US"/>
    </w:rPr>
  </w:style>
  <w:style w:type="paragraph" w:customStyle="1" w:styleId="Heading10">
    <w:name w:val="Heading1"/>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1">
    <w:name w:val="GTC Section Title 1"/>
    <w:basedOn w:val="TableNormal"/>
    <w:pPr>
      <w:spacing w:before="240" w:after="240" w:line="240" w:lineRule="auto"/>
    </w:pPr>
    <w:rPr>
      <w:rFonts w:ascii="Times New Roman" w:eastAsia="Times New Roman" w:hAnsi="Times New Roman" w:cs="Times New Roman"/>
      <w:b/>
      <w:bCs/>
      <w:caps/>
      <w:sz w:val="24"/>
      <w:szCs w:val="24"/>
      <w:lang w:eastAsia="en-AU"/>
    </w:rPr>
    <w:tblPr>
      <w:tblCellMar>
        <w:left w:w="0" w:type="dxa"/>
        <w:right w:w="0" w:type="dxa"/>
      </w:tblCellMar>
    </w:tblPr>
  </w:style>
  <w:style w:type="paragraph" w:customStyle="1" w:styleId="Heading20">
    <w:name w:val="Heading2"/>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2">
    <w:name w:val="GTC Section Title 2"/>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paragraph" w:customStyle="1" w:styleId="Heading30">
    <w:name w:val="Heading3"/>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3">
    <w:name w:val="GTC Section Title 3"/>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paragraph" w:customStyle="1" w:styleId="Heading40">
    <w:name w:val="Heading4"/>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4">
    <w:name w:val="GTC Section Title 4"/>
    <w:basedOn w:val="TableNormal"/>
    <w:pPr>
      <w:spacing w:before="240" w:after="240" w:line="240" w:lineRule="auto"/>
    </w:pPr>
    <w:rPr>
      <w:rFonts w:ascii="Times New Roman" w:eastAsia="Times New Roman" w:hAnsi="Times New Roman" w:cs="Times New Roman"/>
      <w:b/>
      <w:bCs/>
      <w:i/>
      <w:sz w:val="24"/>
      <w:szCs w:val="24"/>
      <w:lang w:eastAsia="en-AU"/>
    </w:rPr>
    <w:tblPr>
      <w:tblCellMar>
        <w:left w:w="0" w:type="dxa"/>
        <w:right w:w="0" w:type="dxa"/>
      </w:tblCellMar>
    </w:tblPr>
  </w:style>
  <w:style w:type="paragraph" w:customStyle="1" w:styleId="Heading50">
    <w:name w:val="Heading5"/>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5">
    <w:name w:val="GTC Section Title 5"/>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Heading60">
    <w:name w:val="Heading6"/>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6">
    <w:name w:val="GTC Section Title 6"/>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Heading70">
    <w:name w:val="Heading7"/>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7">
    <w:name w:val="GTC Section Title 7"/>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Heading80">
    <w:name w:val="Heading8"/>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8">
    <w:name w:val="GTC Section Title 8"/>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Heading90">
    <w:name w:val="Heading9"/>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9">
    <w:name w:val="GTC Section Title 9"/>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GTCTableTitle">
    <w:name w:val="GTC Table Title"/>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TableTitleData">
    <w:name w:val="GTC Table Title Data"/>
    <w:basedOn w:val="GTCTableTitle"/>
  </w:style>
  <w:style w:type="paragraph" w:customStyle="1" w:styleId="GTCFigureCaption0">
    <w:name w:val="GTC Figure Caption"/>
    <w:basedOn w:val="GTCTableTitle"/>
    <w:pPr>
      <w:spacing w:before="120" w:beforeAutospacing="0" w:after="120" w:afterAutospacing="0"/>
    </w:pPr>
    <w:rPr>
      <w:sz w:val="20"/>
      <w:szCs w:val="20"/>
    </w:rPr>
  </w:style>
  <w:style w:type="paragraph" w:customStyle="1" w:styleId="GTCSectionTitle11">
    <w:name w:val="GTC Section Title 11"/>
    <w:basedOn w:val="Heading10"/>
    <w:pPr>
      <w:keepNext/>
      <w:spacing w:before="240" w:beforeAutospacing="0" w:after="240" w:afterAutospacing="0"/>
    </w:pPr>
    <w:rPr>
      <w:b/>
      <w:bCs/>
      <w:caps/>
    </w:rPr>
  </w:style>
  <w:style w:type="paragraph" w:customStyle="1" w:styleId="GTCSectionTitle21">
    <w:name w:val="GTC Section Title 21"/>
    <w:basedOn w:val="Heading20"/>
    <w:pPr>
      <w:keepNext/>
      <w:spacing w:before="240" w:beforeAutospacing="0" w:after="240" w:afterAutospacing="0"/>
    </w:pPr>
    <w:rPr>
      <w:b/>
      <w:bCs/>
    </w:rPr>
  </w:style>
  <w:style w:type="paragraph" w:customStyle="1" w:styleId="GTCSectionTitle31">
    <w:name w:val="GTC Section Title 31"/>
    <w:basedOn w:val="Heading30"/>
    <w:pPr>
      <w:keepNext/>
      <w:spacing w:before="240" w:beforeAutospacing="0" w:after="240" w:afterAutospacing="0"/>
    </w:pPr>
    <w:rPr>
      <w:b/>
      <w:bCs/>
    </w:rPr>
  </w:style>
  <w:style w:type="paragraph" w:customStyle="1" w:styleId="GTCSectionTitle41">
    <w:name w:val="GTC Section Title 41"/>
    <w:basedOn w:val="Heading40"/>
    <w:pPr>
      <w:keepNext/>
      <w:spacing w:before="240" w:beforeAutospacing="0" w:after="240" w:afterAutospacing="0"/>
    </w:pPr>
    <w:rPr>
      <w:b/>
      <w:bCs/>
      <w:i/>
    </w:rPr>
  </w:style>
  <w:style w:type="paragraph" w:customStyle="1" w:styleId="GTCSectionTitle51">
    <w:name w:val="GTC Section Title 51"/>
    <w:basedOn w:val="Heading50"/>
    <w:pPr>
      <w:spacing w:before="240" w:beforeAutospacing="0" w:after="240" w:afterAutospacing="0"/>
    </w:pPr>
    <w:rPr>
      <w:b/>
      <w:bCs/>
    </w:rPr>
  </w:style>
  <w:style w:type="paragraph" w:customStyle="1" w:styleId="GTCSectionTitle61">
    <w:name w:val="GTC Section Title 61"/>
    <w:basedOn w:val="Heading60"/>
    <w:pPr>
      <w:spacing w:before="240" w:beforeAutospacing="0" w:after="240" w:afterAutospacing="0"/>
    </w:pPr>
    <w:rPr>
      <w:b/>
      <w:bCs/>
    </w:rPr>
  </w:style>
  <w:style w:type="paragraph" w:customStyle="1" w:styleId="GTCSectionTitle71">
    <w:name w:val="GTC Section Title 71"/>
    <w:basedOn w:val="Heading70"/>
    <w:pPr>
      <w:spacing w:before="240" w:beforeAutospacing="0" w:after="240" w:afterAutospacing="0"/>
    </w:pPr>
    <w:rPr>
      <w:b/>
      <w:bCs/>
    </w:rPr>
  </w:style>
  <w:style w:type="paragraph" w:customStyle="1" w:styleId="GTCSectionTitle81">
    <w:name w:val="GTC Section Title 81"/>
    <w:basedOn w:val="Heading80"/>
    <w:pPr>
      <w:spacing w:before="240" w:beforeAutospacing="0" w:after="240" w:afterAutospacing="0"/>
    </w:pPr>
    <w:rPr>
      <w:b/>
      <w:bCs/>
    </w:rPr>
  </w:style>
  <w:style w:type="paragraph" w:customStyle="1" w:styleId="GTCSectionTitle91">
    <w:name w:val="GTC Section Title 91"/>
    <w:basedOn w:val="Heading90"/>
    <w:pPr>
      <w:spacing w:before="240" w:beforeAutospacing="0" w:after="240" w:afterAutospacing="0"/>
    </w:pPr>
    <w:rPr>
      <w:b/>
      <w:bCs/>
    </w:rPr>
  </w:style>
  <w:style w:type="character" w:customStyle="1" w:styleId="GTCFootnoteText2">
    <w:name w:val="GTC Footnote Text2"/>
  </w:style>
  <w:style w:type="table" w:customStyle="1" w:styleId="GTCTitle5">
    <w:name w:val="GTC Title5"/>
    <w:basedOn w:val="TableNormal"/>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6">
    <w:name w:val="GTC Title6"/>
    <w:basedOn w:val="TableNormal"/>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7">
    <w:name w:val="GTC Title7"/>
    <w:basedOn w:val="TableNormal"/>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8">
    <w:name w:val="GTC Title8"/>
    <w:basedOn w:val="TableNormal"/>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2">
    <w:name w:val="GTC Heading 12"/>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2">
    <w:name w:val="GTC Heading 22"/>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2">
    <w:name w:val="GTC Heading 32"/>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2">
    <w:name w:val="GTC Heading 42"/>
    <w:basedOn w:val="TableNormal"/>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20">
    <w:name w:val="GTC Link Text2"/>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2">
    <w:name w:val="GTC List Text2"/>
    <w:basedOn w:val="TableNormal"/>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2">
    <w:name w:val="GTC Table List Text2"/>
    <w:basedOn w:val="TableNormal"/>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2">
    <w:name w:val="GTC List Text Highlights2"/>
    <w:basedOn w:val="TableNormal"/>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2">
    <w:name w:val="GTC List Style None2"/>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2">
    <w:name w:val="GTC List Style Circle2"/>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2">
    <w:name w:val="GTC List Style Disc2"/>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2">
    <w:name w:val="GTC List Style Square2"/>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2">
    <w:name w:val="GTC List Style LittleRoman2"/>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3">
    <w:name w:val="GTC List Style BigRoman3"/>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2">
    <w:name w:val="GTC List Style LittleAlpha2"/>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4">
    <w:name w:val="GTC List Style BigRoman4"/>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2">
    <w:name w:val="GTC List Style Arabic2"/>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2">
    <w:name w:val="GTC Table Title Otherwise2"/>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2">
    <w:name w:val="GTC Table Title Insert2"/>
    <w:basedOn w:val="TableNormal"/>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2">
    <w:name w:val="GTC Table Title Delete2"/>
    <w:basedOn w:val="TableNormal"/>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2">
    <w:name w:val="GTC Outline Numbering2"/>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2">
    <w:name w:val="GTC Bullets2"/>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paragraph" w:customStyle="1" w:styleId="GTCSectionTitle12">
    <w:name w:val="GTC Section Title 12"/>
    <w:basedOn w:val="Heading10"/>
    <w:pPr>
      <w:keepNext/>
      <w:spacing w:before="240" w:beforeAutospacing="0" w:after="240" w:afterAutospacing="0"/>
    </w:pPr>
    <w:rPr>
      <w:b/>
      <w:bCs/>
      <w:caps/>
    </w:rPr>
  </w:style>
  <w:style w:type="paragraph" w:customStyle="1" w:styleId="GTCSectionTitle22">
    <w:name w:val="GTC Section Title 22"/>
    <w:basedOn w:val="Heading20"/>
    <w:pPr>
      <w:keepNext/>
      <w:spacing w:before="240" w:beforeAutospacing="0" w:after="240" w:afterAutospacing="0"/>
    </w:pPr>
    <w:rPr>
      <w:b/>
      <w:bCs/>
    </w:rPr>
  </w:style>
  <w:style w:type="paragraph" w:customStyle="1" w:styleId="GTCSectionTitle32">
    <w:name w:val="GTC Section Title 32"/>
    <w:basedOn w:val="Heading30"/>
    <w:pPr>
      <w:keepNext/>
      <w:spacing w:before="240" w:beforeAutospacing="0" w:after="240" w:afterAutospacing="0"/>
    </w:pPr>
    <w:rPr>
      <w:b/>
      <w:bCs/>
    </w:rPr>
  </w:style>
  <w:style w:type="paragraph" w:customStyle="1" w:styleId="GTCSectionTitle42">
    <w:name w:val="GTC Section Title 42"/>
    <w:basedOn w:val="Heading40"/>
    <w:pPr>
      <w:keepNext/>
      <w:spacing w:before="240" w:beforeAutospacing="0" w:after="240" w:afterAutospacing="0"/>
    </w:pPr>
    <w:rPr>
      <w:b/>
      <w:bCs/>
      <w:i/>
    </w:rPr>
  </w:style>
  <w:style w:type="paragraph" w:customStyle="1" w:styleId="GTCSectionTitle52">
    <w:name w:val="GTC Section Title 52"/>
    <w:basedOn w:val="Heading50"/>
    <w:pPr>
      <w:spacing w:before="240" w:beforeAutospacing="0" w:after="240" w:afterAutospacing="0"/>
    </w:pPr>
    <w:rPr>
      <w:b/>
      <w:bCs/>
    </w:rPr>
  </w:style>
  <w:style w:type="paragraph" w:customStyle="1" w:styleId="GTCSectionTitle62">
    <w:name w:val="GTC Section Title 62"/>
    <w:basedOn w:val="Heading60"/>
    <w:pPr>
      <w:spacing w:before="240" w:beforeAutospacing="0" w:after="240" w:afterAutospacing="0"/>
    </w:pPr>
    <w:rPr>
      <w:b/>
      <w:bCs/>
    </w:rPr>
  </w:style>
  <w:style w:type="paragraph" w:customStyle="1" w:styleId="GTCSectionTitle72">
    <w:name w:val="GTC Section Title 72"/>
    <w:basedOn w:val="Heading70"/>
    <w:pPr>
      <w:spacing w:before="240" w:beforeAutospacing="0" w:after="240" w:afterAutospacing="0"/>
    </w:pPr>
    <w:rPr>
      <w:b/>
      <w:bCs/>
    </w:rPr>
  </w:style>
  <w:style w:type="paragraph" w:customStyle="1" w:styleId="GTCSectionTitle82">
    <w:name w:val="GTC Section Title 82"/>
    <w:basedOn w:val="Heading80"/>
    <w:pPr>
      <w:spacing w:before="240" w:beforeAutospacing="0" w:after="240" w:afterAutospacing="0"/>
    </w:pPr>
    <w:rPr>
      <w:b/>
      <w:bCs/>
    </w:rPr>
  </w:style>
  <w:style w:type="paragraph" w:customStyle="1" w:styleId="GTCSectionTitle92">
    <w:name w:val="GTC Section Title 92"/>
    <w:basedOn w:val="Heading90"/>
    <w:pPr>
      <w:spacing w:before="240" w:beforeAutospacing="0" w:after="240" w:afterAutospacing="0"/>
    </w:pPr>
    <w:rPr>
      <w:b/>
      <w:bCs/>
    </w:rPr>
  </w:style>
  <w:style w:type="character" w:customStyle="1" w:styleId="GTCFootnoteText3">
    <w:name w:val="GTC Footnote Text3"/>
  </w:style>
  <w:style w:type="table" w:customStyle="1" w:styleId="GTCTitle9">
    <w:name w:val="GTC Title9"/>
    <w:basedOn w:val="TableNormal"/>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0">
    <w:name w:val="GTC Title10"/>
    <w:basedOn w:val="TableNormal"/>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1">
    <w:name w:val="GTC Title11"/>
    <w:basedOn w:val="TableNormal"/>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2">
    <w:name w:val="GTC Title12"/>
    <w:basedOn w:val="TableNormal"/>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3">
    <w:name w:val="GTC Heading 13"/>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3">
    <w:name w:val="GTC Heading 23"/>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3">
    <w:name w:val="GTC Heading 33"/>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3">
    <w:name w:val="GTC Heading 43"/>
    <w:basedOn w:val="TableNormal"/>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30">
    <w:name w:val="GTC Link Text3"/>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3">
    <w:name w:val="GTC List Text3"/>
    <w:basedOn w:val="TableNormal"/>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3">
    <w:name w:val="GTC Table List Text3"/>
    <w:basedOn w:val="TableNormal"/>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3">
    <w:name w:val="GTC List Text Highlights3"/>
    <w:basedOn w:val="TableNormal"/>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3">
    <w:name w:val="GTC List Style None3"/>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3">
    <w:name w:val="GTC List Style Circle3"/>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3">
    <w:name w:val="GTC List Style Disc3"/>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3">
    <w:name w:val="GTC List Style Square3"/>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3">
    <w:name w:val="GTC List Style LittleRoman3"/>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5">
    <w:name w:val="GTC List Style BigRoman5"/>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3">
    <w:name w:val="GTC List Style LittleAlpha3"/>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6">
    <w:name w:val="GTC List Style BigRoman6"/>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3">
    <w:name w:val="GTC List Style Arabic3"/>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3">
    <w:name w:val="GTC Table Title Otherwise3"/>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3">
    <w:name w:val="GTC Table Title Insert3"/>
    <w:basedOn w:val="TableNormal"/>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3">
    <w:name w:val="GTC Table Title Delete3"/>
    <w:basedOn w:val="TableNormal"/>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3">
    <w:name w:val="GTC Outline Numbering3"/>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3">
    <w:name w:val="GTC Bullets3"/>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paragraph" w:customStyle="1" w:styleId="GTCSectionTitle13">
    <w:name w:val="GTC Section Title 13"/>
    <w:basedOn w:val="Heading10"/>
    <w:pPr>
      <w:keepNext/>
      <w:spacing w:before="240" w:beforeAutospacing="0" w:after="240" w:afterAutospacing="0"/>
    </w:pPr>
    <w:rPr>
      <w:b/>
      <w:bCs/>
      <w:caps/>
    </w:rPr>
  </w:style>
  <w:style w:type="paragraph" w:customStyle="1" w:styleId="GTCSectionTitle23">
    <w:name w:val="GTC Section Title 23"/>
    <w:basedOn w:val="Heading20"/>
    <w:pPr>
      <w:keepNext/>
      <w:spacing w:before="240" w:beforeAutospacing="0" w:after="240" w:afterAutospacing="0"/>
    </w:pPr>
    <w:rPr>
      <w:b/>
      <w:bCs/>
    </w:rPr>
  </w:style>
  <w:style w:type="paragraph" w:customStyle="1" w:styleId="GTCSectionTitle33">
    <w:name w:val="GTC Section Title 33"/>
    <w:basedOn w:val="Heading30"/>
    <w:pPr>
      <w:keepNext/>
      <w:spacing w:before="240" w:beforeAutospacing="0" w:after="240" w:afterAutospacing="0"/>
    </w:pPr>
    <w:rPr>
      <w:b/>
      <w:bCs/>
    </w:rPr>
  </w:style>
  <w:style w:type="paragraph" w:customStyle="1" w:styleId="GTCSectionTitle43">
    <w:name w:val="GTC Section Title 43"/>
    <w:basedOn w:val="Heading40"/>
    <w:pPr>
      <w:keepNext/>
      <w:spacing w:before="240" w:beforeAutospacing="0" w:after="240" w:afterAutospacing="0"/>
    </w:pPr>
    <w:rPr>
      <w:b/>
      <w:bCs/>
      <w:i/>
    </w:rPr>
  </w:style>
  <w:style w:type="paragraph" w:customStyle="1" w:styleId="GTCSectionTitle53">
    <w:name w:val="GTC Section Title 53"/>
    <w:basedOn w:val="Heading50"/>
    <w:pPr>
      <w:spacing w:before="240" w:beforeAutospacing="0" w:after="240" w:afterAutospacing="0"/>
    </w:pPr>
    <w:rPr>
      <w:b/>
      <w:bCs/>
    </w:rPr>
  </w:style>
  <w:style w:type="paragraph" w:customStyle="1" w:styleId="GTCSectionTitle63">
    <w:name w:val="GTC Section Title 63"/>
    <w:basedOn w:val="Heading60"/>
    <w:pPr>
      <w:spacing w:before="240" w:beforeAutospacing="0" w:after="240" w:afterAutospacing="0"/>
    </w:pPr>
    <w:rPr>
      <w:b/>
      <w:bCs/>
    </w:rPr>
  </w:style>
  <w:style w:type="paragraph" w:customStyle="1" w:styleId="GTCSectionTitle73">
    <w:name w:val="GTC Section Title 73"/>
    <w:basedOn w:val="Heading70"/>
    <w:pPr>
      <w:spacing w:before="240" w:beforeAutospacing="0" w:after="240" w:afterAutospacing="0"/>
    </w:pPr>
    <w:rPr>
      <w:b/>
      <w:bCs/>
    </w:rPr>
  </w:style>
  <w:style w:type="paragraph" w:customStyle="1" w:styleId="GTCSectionTitle83">
    <w:name w:val="GTC Section Title 83"/>
    <w:basedOn w:val="Heading80"/>
    <w:pPr>
      <w:spacing w:before="240" w:beforeAutospacing="0" w:after="240" w:afterAutospacing="0"/>
    </w:pPr>
    <w:rPr>
      <w:b/>
      <w:bCs/>
    </w:rPr>
  </w:style>
  <w:style w:type="paragraph" w:customStyle="1" w:styleId="GTCSectionTitle93">
    <w:name w:val="GTC Section Title 93"/>
    <w:basedOn w:val="Heading90"/>
    <w:pPr>
      <w:spacing w:before="240" w:beforeAutospacing="0" w:after="240" w:afterAutospacing="0"/>
    </w:pPr>
    <w:rPr>
      <w:b/>
      <w:bCs/>
    </w:rPr>
  </w:style>
  <w:style w:type="character" w:customStyle="1" w:styleId="GTCFootnoteText4">
    <w:name w:val="GTC Footnote Text4"/>
  </w:style>
  <w:style w:type="table" w:customStyle="1" w:styleId="GTCTitle13">
    <w:name w:val="GTC Title13"/>
    <w:basedOn w:val="TableNormal"/>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4">
    <w:name w:val="GTC Title14"/>
    <w:basedOn w:val="TableNormal"/>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5">
    <w:name w:val="GTC Title15"/>
    <w:basedOn w:val="TableNormal"/>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6">
    <w:name w:val="GTC Title16"/>
    <w:basedOn w:val="TableNormal"/>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4">
    <w:name w:val="GTC Heading 14"/>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4">
    <w:name w:val="GTC Heading 24"/>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4">
    <w:name w:val="GTC Heading 34"/>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4">
    <w:name w:val="GTC Heading 44"/>
    <w:basedOn w:val="TableNormal"/>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40">
    <w:name w:val="GTC Link Text4"/>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4">
    <w:name w:val="GTC List Text4"/>
    <w:basedOn w:val="TableNormal"/>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4">
    <w:name w:val="GTC Table List Text4"/>
    <w:basedOn w:val="TableNormal"/>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4">
    <w:name w:val="GTC List Text Highlights4"/>
    <w:basedOn w:val="TableNormal"/>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4">
    <w:name w:val="GTC List Style None4"/>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4">
    <w:name w:val="GTC List Style Circle4"/>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4">
    <w:name w:val="GTC List Style Disc4"/>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4">
    <w:name w:val="GTC List Style Square4"/>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4">
    <w:name w:val="GTC List Style LittleRoman4"/>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7">
    <w:name w:val="GTC List Style BigRoman7"/>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4">
    <w:name w:val="GTC List Style LittleAlpha4"/>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8">
    <w:name w:val="GTC List Style BigRoman8"/>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4">
    <w:name w:val="GTC List Style Arabic4"/>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4">
    <w:name w:val="GTC Table Title Otherwise4"/>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4">
    <w:name w:val="GTC Table Title Insert4"/>
    <w:basedOn w:val="TableNormal"/>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4">
    <w:name w:val="GTC Table Title Delete4"/>
    <w:basedOn w:val="TableNormal"/>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4">
    <w:name w:val="GTC Outline Numbering4"/>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4">
    <w:name w:val="GTC Bullets4"/>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paragraph" w:customStyle="1" w:styleId="first">
    <w:name w:val="first"/>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Left025">
    <w:name w:val="Normal + Left:  0.25&quot;"/>
    <w:basedOn w:val="Normal"/>
    <w:pPr>
      <w:spacing w:after="0" w:line="240" w:lineRule="auto"/>
      <w:ind w:left="360"/>
    </w:pPr>
    <w:rPr>
      <w:rFonts w:ascii="Times New Roman" w:eastAsia="Times New Roman" w:hAnsi="Times New Roman" w:cs="Times New Roman"/>
      <w:sz w:val="24"/>
      <w:szCs w:val="24"/>
      <w:lang w:val="en-US"/>
    </w:rPr>
  </w:style>
  <w:style w:type="paragraph" w:customStyle="1" w:styleId="CM49">
    <w:name w:val="CM49"/>
    <w:basedOn w:val="Default"/>
    <w:next w:val="Default"/>
    <w:rPr>
      <w:color w:val="auto"/>
    </w:rPr>
  </w:style>
  <w:style w:type="character" w:customStyle="1" w:styleId="sup2">
    <w:name w:val="sup2"/>
    <w:rPr>
      <w:sz w:val="19"/>
      <w:szCs w:val="19"/>
    </w:rPr>
  </w:style>
  <w:style w:type="character" w:customStyle="1" w:styleId="italics6">
    <w:name w:val="italics6"/>
    <w:rPr>
      <w:i/>
      <w:iCs/>
    </w:rPr>
  </w:style>
  <w:style w:type="character" w:customStyle="1" w:styleId="underline5">
    <w:name w:val="underline5"/>
    <w:rPr>
      <w:i w:val="0"/>
      <w:iCs w:val="0"/>
      <w:u w:val="single"/>
    </w:rPr>
  </w:style>
  <w:style w:type="paragraph" w:customStyle="1" w:styleId="CM11">
    <w:name w:val="CM11"/>
    <w:basedOn w:val="Default"/>
    <w:next w:val="Default"/>
    <w:pPr>
      <w:spacing w:line="231" w:lineRule="atLeast"/>
    </w:pPr>
    <w:rPr>
      <w:color w:val="auto"/>
      <w:lang w:eastAsia="ja-JP"/>
    </w:rPr>
  </w:style>
  <w:style w:type="character" w:customStyle="1" w:styleId="xmchange">
    <w:name w:val="xmchange"/>
  </w:style>
  <w:style w:type="character" w:customStyle="1" w:styleId="GTCLinkText31">
    <w:name w:val="GTC Link Text31"/>
    <w:rPr>
      <w:strike w:val="0"/>
      <w:dstrike w:val="0"/>
      <w:u w:val="none"/>
      <w:effect w:val="none"/>
    </w:rPr>
  </w:style>
  <w:style w:type="paragraph" w:customStyle="1" w:styleId="TableText">
    <w:name w:val="Table Text"/>
    <w:basedOn w:val="Default"/>
    <w:next w:val="Default"/>
    <w:rPr>
      <w:color w:val="auto"/>
    </w:rPr>
  </w:style>
  <w:style w:type="paragraph" w:customStyle="1" w:styleId="CM12">
    <w:name w:val="CM12"/>
    <w:basedOn w:val="Default"/>
    <w:next w:val="Default"/>
    <w:uiPriority w:val="99"/>
    <w:rPr>
      <w:color w:val="auto"/>
    </w:rPr>
  </w:style>
  <w:style w:type="paragraph" w:customStyle="1" w:styleId="CM14">
    <w:name w:val="CM14"/>
    <w:basedOn w:val="Default"/>
    <w:next w:val="Default"/>
    <w:uiPriority w:val="99"/>
    <w:pPr>
      <w:spacing w:line="183" w:lineRule="atLeast"/>
    </w:pPr>
    <w:rPr>
      <w:color w:val="auto"/>
    </w:rPr>
  </w:style>
  <w:style w:type="character" w:customStyle="1" w:styleId="GTCLinkText5">
    <w:name w:val="GTC Link Text5"/>
    <w:rPr>
      <w:strike w:val="0"/>
      <w:dstrike w:val="0"/>
      <w:u w:val="none"/>
      <w:effect w:val="none"/>
    </w:rPr>
  </w:style>
  <w:style w:type="character" w:customStyle="1" w:styleId="gtcunderline1">
    <w:name w:val="gtcunderline1"/>
    <w:rPr>
      <w:u w:val="single"/>
    </w:rPr>
  </w:style>
  <w:style w:type="character" w:customStyle="1" w:styleId="GTCLinkText7">
    <w:name w:val="GTC Link Text7"/>
    <w:rPr>
      <w:strike w:val="0"/>
      <w:dstrike w:val="0"/>
      <w:u w:val="none"/>
      <w:effect w:val="none"/>
    </w:rPr>
  </w:style>
  <w:style w:type="character" w:customStyle="1" w:styleId="gtcunderline2">
    <w:name w:val="gtcunderline2"/>
    <w:rPr>
      <w:u w:val="single"/>
    </w:rPr>
  </w:style>
  <w:style w:type="character" w:customStyle="1" w:styleId="GTCLinkText9">
    <w:name w:val="GTC Link Text9"/>
    <w:rPr>
      <w:strike w:val="0"/>
      <w:dstrike w:val="0"/>
      <w:u w:val="none"/>
      <w:effect w:val="none"/>
    </w:rPr>
  </w:style>
  <w:style w:type="character" w:customStyle="1" w:styleId="gtcunderline3">
    <w:name w:val="gtcunderline3"/>
    <w:rPr>
      <w:u w:val="single"/>
    </w:rPr>
  </w:style>
  <w:style w:type="character" w:customStyle="1" w:styleId="GTCLinkText11">
    <w:name w:val="GTC Link Text11"/>
    <w:rPr>
      <w:strike w:val="0"/>
      <w:dstrike w:val="0"/>
      <w:u w:val="none"/>
      <w:effect w:val="none"/>
    </w:rPr>
  </w:style>
  <w:style w:type="character" w:customStyle="1" w:styleId="GTCLinkText13">
    <w:name w:val="GTC Link Text13"/>
    <w:rPr>
      <w:strike w:val="0"/>
      <w:dstrike w:val="0"/>
      <w:u w:val="none"/>
      <w:effect w:val="none"/>
    </w:rPr>
  </w:style>
  <w:style w:type="character" w:customStyle="1" w:styleId="gtchighlightparagraph3">
    <w:name w:val="gtchighlightparagraph3"/>
    <w:rPr>
      <w:sz w:val="16"/>
      <w:szCs w:val="16"/>
    </w:rPr>
  </w:style>
  <w:style w:type="character" w:customStyle="1" w:styleId="GTCLinkText15">
    <w:name w:val="GTC Link Text15"/>
    <w:rPr>
      <w:strike w:val="0"/>
      <w:dstrike w:val="0"/>
      <w:u w:val="none"/>
      <w:effect w:val="none"/>
    </w:rPr>
  </w:style>
  <w:style w:type="character" w:customStyle="1" w:styleId="gtchighlightparagraph4">
    <w:name w:val="gtchighlightparagraph4"/>
    <w:rPr>
      <w:sz w:val="16"/>
      <w:szCs w:val="16"/>
    </w:rPr>
  </w:style>
  <w:style w:type="character" w:customStyle="1" w:styleId="GTCLinkText17">
    <w:name w:val="GTC Link Text17"/>
    <w:rPr>
      <w:strike w:val="0"/>
      <w:dstrike w:val="0"/>
      <w:u w:val="none"/>
      <w:effect w:val="none"/>
    </w:rPr>
  </w:style>
  <w:style w:type="character" w:customStyle="1" w:styleId="gtchighlightparagraph5">
    <w:name w:val="gtchighlightparagraph5"/>
    <w:rPr>
      <w:sz w:val="16"/>
      <w:szCs w:val="16"/>
    </w:rPr>
  </w:style>
  <w:style w:type="character" w:customStyle="1" w:styleId="apple-converted-space">
    <w:name w:val="apple-converted-space"/>
  </w:style>
  <w:style w:type="character" w:customStyle="1" w:styleId="gtcbold7">
    <w:name w:val="gtcbold7"/>
    <w:rPr>
      <w:b/>
      <w:bCs/>
    </w:rPr>
  </w:style>
  <w:style w:type="character" w:customStyle="1" w:styleId="gtcbold8">
    <w:name w:val="gtcbold8"/>
    <w:rPr>
      <w:b/>
      <w:bCs/>
    </w:rPr>
  </w:style>
  <w:style w:type="character" w:customStyle="1" w:styleId="gtcbold10">
    <w:name w:val="gtcbold10"/>
    <w:rPr>
      <w:b/>
      <w:bCs/>
    </w:rPr>
  </w:style>
  <w:style w:type="character" w:customStyle="1" w:styleId="gtcbold11">
    <w:name w:val="gtcbold11"/>
    <w:rPr>
      <w:b/>
      <w:bCs/>
    </w:rPr>
  </w:style>
  <w:style w:type="character" w:customStyle="1" w:styleId="gtcbold12">
    <w:name w:val="gtcbold12"/>
    <w:rPr>
      <w:b/>
      <w:bCs/>
    </w:rPr>
  </w:style>
  <w:style w:type="character" w:customStyle="1" w:styleId="gtcbold13">
    <w:name w:val="gtcbold13"/>
    <w:rPr>
      <w:b/>
      <w:bCs/>
    </w:rPr>
  </w:style>
  <w:style w:type="character" w:customStyle="1" w:styleId="gtcbold14">
    <w:name w:val="gtcbold14"/>
    <w:rPr>
      <w:b/>
      <w:bCs/>
    </w:rPr>
  </w:style>
  <w:style w:type="character" w:customStyle="1" w:styleId="gtcbold16">
    <w:name w:val="gtcbold16"/>
    <w:rPr>
      <w:b/>
      <w:bCs/>
    </w:rPr>
  </w:style>
  <w:style w:type="character" w:customStyle="1" w:styleId="gtcbold17">
    <w:name w:val="gtcbold17"/>
    <w:rPr>
      <w:b/>
      <w:bCs/>
    </w:rPr>
  </w:style>
  <w:style w:type="character" w:customStyle="1" w:styleId="gtcbold19">
    <w:name w:val="gtcbold19"/>
    <w:rPr>
      <w:b/>
      <w:bCs/>
    </w:rPr>
  </w:style>
  <w:style w:type="character" w:customStyle="1" w:styleId="gtcbold21">
    <w:name w:val="gtcbold21"/>
    <w:rPr>
      <w:b/>
      <w:bCs/>
    </w:rPr>
  </w:style>
  <w:style w:type="paragraph" w:customStyle="1" w:styleId="CM5">
    <w:name w:val="CM5"/>
    <w:basedOn w:val="Default"/>
    <w:next w:val="Default"/>
    <w:uiPriority w:val="99"/>
    <w:pPr>
      <w:spacing w:line="188" w:lineRule="atLeast"/>
    </w:pPr>
    <w:rPr>
      <w:color w:val="auto"/>
    </w:rPr>
  </w:style>
  <w:style w:type="table" w:customStyle="1" w:styleId="TableGrid1">
    <w:name w:val="Table Grid1"/>
    <w:basedOn w:val="TableNormal"/>
    <w:next w:val="TableGrid"/>
    <w:pPr>
      <w:spacing w:before="100" w:beforeAutospacing="1" w:after="100" w:afterAutospacing="1"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2-Accent2">
    <w:name w:val="Medium Shading 2 Accent 2"/>
    <w:basedOn w:val="TableNormal"/>
    <w:uiPriority w:val="6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List2-Accent3">
    <w:name w:val="Medium List 2 Accent 3"/>
    <w:basedOn w:val="TableNormal"/>
    <w:uiPriority w:val="66"/>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Shading2-Accent5">
    <w:name w:val="Medium Shading 2 Accent 5"/>
    <w:basedOn w:val="TableNormal"/>
    <w:uiPriority w:val="6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M51">
    <w:name w:val="CM51"/>
    <w:basedOn w:val="Default"/>
    <w:next w:val="Default"/>
    <w:uiPriority w:val="99"/>
    <w:rPr>
      <w:rFonts w:ascii="Verdana" w:hAnsi="Verdana"/>
      <w:color w:val="auto"/>
    </w:rPr>
  </w:style>
  <w:style w:type="paragraph" w:customStyle="1" w:styleId="EMEABullet">
    <w:name w:val="EMEA Bullet"/>
    <w:link w:val="EMEABulletChar"/>
    <w:pPr>
      <w:tabs>
        <w:tab w:val="num" w:pos="567"/>
      </w:tabs>
      <w:suppressAutoHyphens/>
      <w:spacing w:after="0" w:line="240" w:lineRule="auto"/>
      <w:ind w:left="567" w:hanging="567"/>
    </w:pPr>
    <w:rPr>
      <w:rFonts w:ascii="Times New Roman" w:eastAsia="Times New Roman" w:hAnsi="Times New Roman" w:cs="Times New Roman"/>
      <w:szCs w:val="20"/>
      <w:lang w:val="en-US"/>
    </w:rPr>
  </w:style>
  <w:style w:type="character" w:customStyle="1" w:styleId="EMEABulletChar">
    <w:name w:val="EMEA Bullet Char"/>
    <w:link w:val="EMEABullet"/>
    <w:rPr>
      <w:rFonts w:ascii="Times New Roman" w:eastAsia="Times New Roman" w:hAnsi="Times New Roman" w:cs="Times New Roman"/>
      <w:szCs w:val="20"/>
      <w:lang w:val="en-US"/>
    </w:rPr>
  </w:style>
  <w:style w:type="paragraph" w:customStyle="1" w:styleId="CM41">
    <w:name w:val="CM41"/>
    <w:basedOn w:val="Default"/>
    <w:next w:val="Default"/>
    <w:uiPriority w:val="99"/>
    <w:pPr>
      <w:spacing w:line="268" w:lineRule="atLeast"/>
    </w:pPr>
    <w:rPr>
      <w:rFonts w:ascii="Verdana" w:hAnsi="Verdana"/>
      <w:color w:val="auto"/>
    </w:rPr>
  </w:style>
  <w:style w:type="paragraph" w:customStyle="1" w:styleId="CM42">
    <w:name w:val="CM42"/>
    <w:basedOn w:val="Default"/>
    <w:next w:val="Default"/>
    <w:uiPriority w:val="99"/>
    <w:rPr>
      <w:rFonts w:ascii="Arial" w:hAnsi="Arial" w:cs="Arial"/>
      <w:color w:val="auto"/>
    </w:rPr>
  </w:style>
  <w:style w:type="paragraph" w:customStyle="1" w:styleId="CM24">
    <w:name w:val="CM24"/>
    <w:basedOn w:val="Default"/>
    <w:next w:val="Default"/>
    <w:uiPriority w:val="99"/>
    <w:rPr>
      <w:color w:val="auto"/>
    </w:rPr>
  </w:style>
  <w:style w:type="paragraph" w:customStyle="1" w:styleId="CM38">
    <w:name w:val="CM38"/>
    <w:basedOn w:val="Default"/>
    <w:next w:val="Default"/>
    <w:uiPriority w:val="99"/>
    <w:rPr>
      <w:rFonts w:ascii="Arial" w:hAnsi="Arial" w:cs="Arial"/>
      <w:color w:val="auto"/>
    </w:rPr>
  </w:style>
  <w:style w:type="paragraph" w:customStyle="1" w:styleId="CM16">
    <w:name w:val="CM16"/>
    <w:basedOn w:val="Default"/>
    <w:next w:val="Default"/>
    <w:uiPriority w:val="99"/>
    <w:pPr>
      <w:spacing w:line="186" w:lineRule="atLeast"/>
    </w:pPr>
    <w:rPr>
      <w:color w:val="auto"/>
    </w:rPr>
  </w:style>
  <w:style w:type="paragraph" w:styleId="ListNumber">
    <w:name w:val="List Number"/>
    <w:pPr>
      <w:numPr>
        <w:numId w:val="16"/>
      </w:numPr>
      <w:spacing w:before="120" w:after="120" w:line="360" w:lineRule="exact"/>
    </w:pPr>
    <w:rPr>
      <w:rFonts w:ascii="Times New Roman" w:eastAsia="MS Mincho" w:hAnsi="Times New Roman" w:cs="Times New Roman"/>
      <w:sz w:val="24"/>
      <w:szCs w:val="24"/>
      <w:lang w:val="en-US" w:eastAsia="ja-JP"/>
    </w:rPr>
  </w:style>
  <w:style w:type="paragraph" w:customStyle="1" w:styleId="TitleSideBoldUnderline">
    <w:name w:val="Title Side Bold Underline"/>
    <w:next w:val="Paragraph"/>
    <w:pPr>
      <w:keepNext/>
      <w:keepLines/>
      <w:spacing w:after="240" w:line="240" w:lineRule="auto"/>
    </w:pPr>
    <w:rPr>
      <w:rFonts w:ascii="Times New Roman" w:eastAsia="MS Mincho" w:hAnsi="Times New Roman" w:cs="Times New Roman"/>
      <w:b/>
      <w:bCs/>
      <w:sz w:val="24"/>
      <w:szCs w:val="24"/>
      <w:u w:val="single"/>
      <w:lang w:val="en-US" w:eastAsia="ja-JP"/>
    </w:rPr>
  </w:style>
  <w:style w:type="paragraph" w:customStyle="1" w:styleId="TableTitle">
    <w:name w:val="Table Title"/>
    <w:next w:val="TableLeft"/>
    <w:link w:val="TableTitleChar"/>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character" w:customStyle="1" w:styleId="TableTitleChar">
    <w:name w:val="Table Title Char"/>
    <w:link w:val="TableTitle"/>
    <w:locked/>
    <w:rPr>
      <w:rFonts w:ascii="Times New Roman" w:eastAsia="MS Mincho" w:hAnsi="Times New Roman" w:cs="Times New Roman"/>
      <w:b/>
      <w:bCs/>
      <w:sz w:val="24"/>
      <w:szCs w:val="24"/>
      <w:lang w:val="en-US" w:eastAsia="ja-JP"/>
    </w:rPr>
  </w:style>
  <w:style w:type="paragraph" w:customStyle="1" w:styleId="CM43">
    <w:name w:val="CM43"/>
    <w:basedOn w:val="Default"/>
    <w:next w:val="Default"/>
    <w:uiPriority w:val="99"/>
    <w:rPr>
      <w:color w:val="auto"/>
    </w:rPr>
  </w:style>
  <w:style w:type="paragraph" w:customStyle="1" w:styleId="CM39">
    <w:name w:val="CM39"/>
    <w:basedOn w:val="Default"/>
    <w:next w:val="Default"/>
    <w:uiPriority w:val="99"/>
    <w:rPr>
      <w:rFonts w:ascii="Arial" w:hAnsi="Arial" w:cs="Arial"/>
      <w:color w:val="auto"/>
    </w:rPr>
  </w:style>
  <w:style w:type="paragraph" w:customStyle="1" w:styleId="CM44">
    <w:name w:val="CM44"/>
    <w:basedOn w:val="Default"/>
    <w:next w:val="Default"/>
    <w:uiPriority w:val="99"/>
    <w:rPr>
      <w:rFonts w:ascii="Arial" w:hAnsi="Arial" w:cs="Arial"/>
      <w:color w:val="auto"/>
    </w:rPr>
  </w:style>
  <w:style w:type="paragraph" w:customStyle="1" w:styleId="CM8">
    <w:name w:val="CM8"/>
    <w:basedOn w:val="Default"/>
    <w:next w:val="Default"/>
    <w:uiPriority w:val="99"/>
    <w:pPr>
      <w:spacing w:line="186" w:lineRule="atLeast"/>
    </w:pPr>
    <w:rPr>
      <w:color w:val="auto"/>
    </w:rPr>
  </w:style>
  <w:style w:type="paragraph" w:customStyle="1" w:styleId="ListEnd">
    <w:name w:val="List End"/>
    <w:pPr>
      <w:spacing w:after="0" w:line="240" w:lineRule="auto"/>
    </w:pPr>
    <w:rPr>
      <w:rFonts w:ascii="Times New Roman" w:eastAsia="MS Mincho" w:hAnsi="Times New Roman" w:cs="Times New Roman"/>
      <w:sz w:val="24"/>
      <w:szCs w:val="24"/>
      <w:lang w:val="en-US" w:eastAsia="ja-JP"/>
    </w:rPr>
  </w:style>
  <w:style w:type="character" w:customStyle="1" w:styleId="GTCLinkText29">
    <w:name w:val="GTC Link Text29"/>
    <w:rPr>
      <w:strike w:val="0"/>
      <w:dstrike w:val="0"/>
      <w:u w:val="none"/>
      <w:effect w:val="none"/>
    </w:rPr>
  </w:style>
  <w:style w:type="paragraph" w:customStyle="1" w:styleId="HeaderText">
    <w:name w:val="HeaderText"/>
    <w:pPr>
      <w:keepLines/>
      <w:spacing w:after="0" w:line="240" w:lineRule="auto"/>
    </w:pPr>
    <w:rPr>
      <w:rFonts w:ascii="Times New Roman" w:eastAsia="MS Mincho" w:hAnsi="Times New Roman" w:cs="Times New Roman"/>
      <w:sz w:val="20"/>
      <w:szCs w:val="20"/>
      <w:lang w:val="en-US" w:eastAsia="ja-JP"/>
    </w:rPr>
  </w:style>
  <w:style w:type="paragraph" w:customStyle="1" w:styleId="ParagraphSingle">
    <w:name w:val="Paragraph Single"/>
    <w:next w:val="Paragraph"/>
    <w:pPr>
      <w:spacing w:after="240" w:line="240" w:lineRule="auto"/>
    </w:pPr>
    <w:rPr>
      <w:rFonts w:ascii="Times New Roman" w:eastAsia="MS Mincho" w:hAnsi="Times New Roman" w:cs="Times New Roman"/>
      <w:sz w:val="24"/>
      <w:szCs w:val="24"/>
      <w:lang w:val="en-US" w:eastAsia="ja-JP"/>
    </w:rPr>
  </w:style>
  <w:style w:type="paragraph" w:customStyle="1" w:styleId="Heading4Unnumbered">
    <w:name w:val="Heading 4 Unnumbered"/>
    <w:next w:val="Paragraph"/>
    <w:pPr>
      <w:keepNext/>
      <w:keepLines/>
      <w:tabs>
        <w:tab w:val="left" w:pos="1800"/>
      </w:tabs>
      <w:spacing w:before="120" w:after="240" w:line="240" w:lineRule="auto"/>
      <w:ind w:left="1800" w:hanging="1800"/>
      <w:outlineLvl w:val="3"/>
    </w:pPr>
    <w:rPr>
      <w:rFonts w:ascii="Arial" w:eastAsia="MS Gothic" w:hAnsi="Arial" w:cs="Arial"/>
      <w:b/>
      <w:bCs/>
      <w:sz w:val="24"/>
      <w:szCs w:val="24"/>
      <w:lang w:val="en-US" w:eastAsia="ja-JP"/>
    </w:rPr>
  </w:style>
  <w:style w:type="character" w:customStyle="1" w:styleId="Instructions">
    <w:name w:val="Instructions"/>
    <w:rPr>
      <w:b w:val="0"/>
      <w:i/>
      <w:vanish/>
      <w:color w:val="008000"/>
      <w:u w:val="none"/>
      <w:vertAlign w:val="baseline"/>
      <w:lang w:val="en-US" w:eastAsia="ja-JP"/>
    </w:rPr>
  </w:style>
  <w:style w:type="paragraph" w:customStyle="1" w:styleId="Heading1Unnumbered">
    <w:name w:val="Heading 1 Unnumbered"/>
    <w:next w:val="Paragraph"/>
    <w:pPr>
      <w:keepNext/>
      <w:keepLines/>
      <w:tabs>
        <w:tab w:val="left" w:pos="1800"/>
      </w:tabs>
      <w:spacing w:before="120" w:after="240" w:line="240" w:lineRule="auto"/>
      <w:ind w:left="1800" w:hanging="1800"/>
      <w:outlineLvl w:val="0"/>
    </w:pPr>
    <w:rPr>
      <w:rFonts w:ascii="Arial" w:eastAsia="MS Gothic" w:hAnsi="Arial" w:cs="Arial"/>
      <w:b/>
      <w:bCs/>
      <w:sz w:val="28"/>
      <w:szCs w:val="28"/>
      <w:lang w:val="en-US" w:eastAsia="ja-JP"/>
    </w:rPr>
  </w:style>
  <w:style w:type="paragraph" w:customStyle="1" w:styleId="Heading2Unnumbered">
    <w:name w:val="Heading 2 Unnumbered"/>
    <w:next w:val="Paragraph"/>
    <w:pPr>
      <w:keepNext/>
      <w:keepLines/>
      <w:tabs>
        <w:tab w:val="left" w:pos="1800"/>
      </w:tabs>
      <w:spacing w:before="120" w:after="240" w:line="240" w:lineRule="auto"/>
      <w:ind w:left="1800" w:hanging="1800"/>
      <w:outlineLvl w:val="1"/>
    </w:pPr>
    <w:rPr>
      <w:rFonts w:ascii="Arial" w:eastAsia="MS Gothic" w:hAnsi="Arial" w:cs="Arial"/>
      <w:b/>
      <w:bCs/>
      <w:sz w:val="24"/>
      <w:szCs w:val="24"/>
      <w:lang w:val="en-US" w:eastAsia="ja-JP"/>
    </w:rPr>
  </w:style>
  <w:style w:type="paragraph" w:customStyle="1" w:styleId="Heading3Unnumbered">
    <w:name w:val="Heading 3 Unnumbered"/>
    <w:next w:val="Paragraph"/>
    <w:pPr>
      <w:keepNext/>
      <w:keepLines/>
      <w:tabs>
        <w:tab w:val="left" w:pos="1800"/>
      </w:tabs>
      <w:spacing w:before="120" w:after="240" w:line="240" w:lineRule="auto"/>
      <w:ind w:left="1800" w:hanging="1800"/>
      <w:outlineLvl w:val="2"/>
    </w:pPr>
    <w:rPr>
      <w:rFonts w:ascii="Arial" w:eastAsia="MS Gothic" w:hAnsi="Arial" w:cs="Arial"/>
      <w:b/>
      <w:bCs/>
      <w:sz w:val="24"/>
      <w:szCs w:val="24"/>
      <w:lang w:val="en-US" w:eastAsia="ja-JP"/>
    </w:rPr>
  </w:style>
  <w:style w:type="paragraph" w:customStyle="1" w:styleId="Heading3NoTOC">
    <w:name w:val="Heading 3 No TOC"/>
    <w:next w:val="Paragraph"/>
    <w:pPr>
      <w:keepNext/>
      <w:keepLines/>
      <w:tabs>
        <w:tab w:val="left" w:pos="1800"/>
      </w:tabs>
      <w:spacing w:before="120" w:after="240" w:line="240" w:lineRule="auto"/>
    </w:pPr>
    <w:rPr>
      <w:rFonts w:ascii="Arial" w:eastAsia="MS Gothic" w:hAnsi="Arial" w:cs="Arial"/>
      <w:b/>
      <w:bCs/>
      <w:sz w:val="24"/>
      <w:szCs w:val="24"/>
      <w:lang w:val="en-US" w:eastAsia="ja-JP"/>
    </w:rPr>
  </w:style>
  <w:style w:type="paragraph" w:customStyle="1" w:styleId="HeaderLandscape">
    <w:name w:val="HeaderLandscape"/>
    <w:next w:val="Paragraph"/>
    <w:pPr>
      <w:keepLines/>
      <w:pBdr>
        <w:bottom w:val="single" w:sz="4" w:space="1" w:color="auto"/>
      </w:pBdr>
      <w:tabs>
        <w:tab w:val="center" w:pos="6480"/>
        <w:tab w:val="right" w:pos="12960"/>
      </w:tabs>
      <w:spacing w:after="40" w:line="240" w:lineRule="auto"/>
    </w:pPr>
    <w:rPr>
      <w:rFonts w:ascii="Times New Roman" w:eastAsia="MS Mincho" w:hAnsi="Times New Roman" w:cs="Times New Roman"/>
      <w:sz w:val="20"/>
      <w:szCs w:val="20"/>
      <w:lang w:val="en-US" w:eastAsia="ja-JP"/>
    </w:rPr>
  </w:style>
  <w:style w:type="paragraph" w:customStyle="1" w:styleId="CaptionContinued">
    <w:name w:val="Caption Continued"/>
    <w:next w:val="Paragraph"/>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numbering" w:customStyle="1" w:styleId="1111110">
    <w:name w:val="111111"/>
  </w:style>
  <w:style w:type="numbering" w:customStyle="1" w:styleId="1ai0">
    <w:name w:val="1ai"/>
  </w:style>
  <w:style w:type="numbering" w:customStyle="1" w:styleId="ArticleSection0">
    <w:name w:val="ArticleSection"/>
  </w:style>
  <w:style w:type="numbering" w:styleId="111111">
    <w:name w:val="Outline List 2"/>
    <w:basedOn w:val="NoList"/>
    <w:pPr>
      <w:numPr>
        <w:numId w:val="32"/>
      </w:numPr>
    </w:pPr>
  </w:style>
  <w:style w:type="numbering" w:styleId="1ai">
    <w:name w:val="Outline List 1"/>
    <w:basedOn w:val="NoList"/>
    <w:pPr>
      <w:numPr>
        <w:numId w:val="33"/>
      </w:numPr>
    </w:pPr>
  </w:style>
  <w:style w:type="numbering" w:styleId="ArticleSection">
    <w:name w:val="Outline List 3"/>
    <w:basedOn w:val="NoList"/>
    <w:pPr>
      <w:numPr>
        <w:numId w:val="34"/>
      </w:numPr>
    </w:pPr>
  </w:style>
  <w:style w:type="paragraph" w:styleId="BlockText">
    <w:name w:val="Block Text"/>
    <w:basedOn w:val="Normal"/>
    <w:pPr>
      <w:spacing w:after="120" w:line="240" w:lineRule="auto"/>
      <w:ind w:left="1440" w:right="1440"/>
    </w:pPr>
    <w:rPr>
      <w:rFonts w:ascii="Times New Roman" w:eastAsia="MS Mincho" w:hAnsi="Times New Roman" w:cs="Times New Roman"/>
      <w:sz w:val="24"/>
      <w:szCs w:val="24"/>
      <w:lang w:val="en-US" w:eastAsia="ja-JP"/>
    </w:rPr>
  </w:style>
  <w:style w:type="paragraph" w:styleId="BodyText2">
    <w:name w:val="Body Text 2"/>
    <w:basedOn w:val="Normal"/>
    <w:link w:val="BodyText2Char"/>
    <w:pPr>
      <w:spacing w:after="120" w:line="480" w:lineRule="auto"/>
    </w:pPr>
    <w:rPr>
      <w:rFonts w:ascii="Times New Roman" w:eastAsia="MS Mincho" w:hAnsi="Times New Roman" w:cs="Times New Roman"/>
      <w:sz w:val="24"/>
      <w:szCs w:val="24"/>
      <w:lang w:val="en-US" w:eastAsia="ja-JP"/>
    </w:rPr>
  </w:style>
  <w:style w:type="character" w:customStyle="1" w:styleId="BodyText2Char">
    <w:name w:val="Body Text 2 Char"/>
    <w:basedOn w:val="DefaultParagraphFont"/>
    <w:link w:val="BodyText2"/>
    <w:rPr>
      <w:rFonts w:ascii="Times New Roman" w:eastAsia="MS Mincho" w:hAnsi="Times New Roman" w:cs="Times New Roman"/>
      <w:sz w:val="24"/>
      <w:szCs w:val="24"/>
      <w:lang w:val="en-US" w:eastAsia="ja-JP"/>
    </w:rPr>
  </w:style>
  <w:style w:type="paragraph" w:styleId="BodyText3">
    <w:name w:val="Body Text 3"/>
    <w:basedOn w:val="Normal"/>
    <w:link w:val="BodyText3Char"/>
    <w:pPr>
      <w:spacing w:after="120" w:line="240" w:lineRule="auto"/>
    </w:pPr>
    <w:rPr>
      <w:rFonts w:ascii="Times New Roman" w:eastAsia="MS Mincho" w:hAnsi="Times New Roman" w:cs="Times New Roman"/>
      <w:sz w:val="16"/>
      <w:szCs w:val="16"/>
      <w:lang w:val="en-US" w:eastAsia="ja-JP"/>
    </w:rPr>
  </w:style>
  <w:style w:type="character" w:customStyle="1" w:styleId="BodyText3Char">
    <w:name w:val="Body Text 3 Char"/>
    <w:basedOn w:val="DefaultParagraphFont"/>
    <w:link w:val="BodyText3"/>
    <w:rPr>
      <w:rFonts w:ascii="Times New Roman" w:eastAsia="MS Mincho" w:hAnsi="Times New Roman" w:cs="Times New Roman"/>
      <w:sz w:val="16"/>
      <w:szCs w:val="16"/>
      <w:lang w:val="en-US" w:eastAsia="ja-JP"/>
    </w:rPr>
  </w:style>
  <w:style w:type="paragraph" w:styleId="BodyTextFirstIndent">
    <w:name w:val="Body Text First Indent"/>
    <w:basedOn w:val="BodyText"/>
    <w:link w:val="BodyTextFirstIndentChar"/>
    <w:pPr>
      <w:spacing w:after="120"/>
      <w:ind w:firstLine="210"/>
    </w:pPr>
    <w:rPr>
      <w:rFonts w:eastAsia="MS Mincho"/>
      <w:i w:val="0"/>
      <w:color w:val="auto"/>
      <w:sz w:val="24"/>
      <w:szCs w:val="24"/>
      <w:lang w:val="en-US" w:eastAsia="ja-JP"/>
    </w:rPr>
  </w:style>
  <w:style w:type="character" w:customStyle="1" w:styleId="BodyTextFirstIndentChar">
    <w:name w:val="Body Text First Indent Char"/>
    <w:basedOn w:val="BodyTextChar"/>
    <w:link w:val="BodyTextFirstIndent"/>
    <w:rPr>
      <w:rFonts w:ascii="Times New Roman" w:eastAsia="MS Mincho" w:hAnsi="Times New Roman" w:cs="Times New Roman"/>
      <w:i w:val="0"/>
      <w:color w:val="008000"/>
      <w:sz w:val="24"/>
      <w:szCs w:val="24"/>
      <w:lang w:val="en-US" w:eastAsia="ja-JP"/>
    </w:rPr>
  </w:style>
  <w:style w:type="paragraph" w:styleId="BodyTextIndent">
    <w:name w:val="Body Text Indent"/>
    <w:basedOn w:val="Normal"/>
    <w:link w:val="BodyTextIndentChar"/>
    <w:pPr>
      <w:spacing w:after="120" w:line="240" w:lineRule="auto"/>
      <w:ind w:left="360"/>
    </w:pPr>
    <w:rPr>
      <w:rFonts w:ascii="Times New Roman" w:eastAsia="MS Mincho" w:hAnsi="Times New Roman" w:cs="Times New Roman"/>
      <w:sz w:val="24"/>
      <w:szCs w:val="24"/>
      <w:lang w:val="en-US" w:eastAsia="ja-JP"/>
    </w:rPr>
  </w:style>
  <w:style w:type="character" w:customStyle="1" w:styleId="BodyTextIndentChar">
    <w:name w:val="Body Text Indent Char"/>
    <w:basedOn w:val="DefaultParagraphFont"/>
    <w:link w:val="BodyTextIndent"/>
    <w:rPr>
      <w:rFonts w:ascii="Times New Roman" w:eastAsia="MS Mincho" w:hAnsi="Times New Roman" w:cs="Times New Roman"/>
      <w:sz w:val="24"/>
      <w:szCs w:val="24"/>
      <w:lang w:val="en-US" w:eastAsia="ja-JP"/>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MS Mincho" w:hAnsi="Times New Roman" w:cs="Times New Roman"/>
      <w:sz w:val="24"/>
      <w:szCs w:val="24"/>
      <w:lang w:val="en-US" w:eastAsia="ja-JP"/>
    </w:rPr>
  </w:style>
  <w:style w:type="paragraph" w:styleId="BodyTextIndent2">
    <w:name w:val="Body Text Indent 2"/>
    <w:basedOn w:val="Normal"/>
    <w:link w:val="BodyTextIndent2Char"/>
    <w:pPr>
      <w:spacing w:after="120" w:line="480" w:lineRule="auto"/>
      <w:ind w:left="360"/>
    </w:pPr>
    <w:rPr>
      <w:rFonts w:ascii="Times New Roman" w:eastAsia="MS Mincho" w:hAnsi="Times New Roman" w:cs="Times New Roman"/>
      <w:sz w:val="24"/>
      <w:szCs w:val="24"/>
      <w:lang w:val="en-US" w:eastAsia="ja-JP"/>
    </w:rPr>
  </w:style>
  <w:style w:type="character" w:customStyle="1" w:styleId="BodyTextIndent2Char">
    <w:name w:val="Body Text Indent 2 Char"/>
    <w:basedOn w:val="DefaultParagraphFont"/>
    <w:link w:val="BodyTextIndent2"/>
    <w:rPr>
      <w:rFonts w:ascii="Times New Roman" w:eastAsia="MS Mincho" w:hAnsi="Times New Roman" w:cs="Times New Roman"/>
      <w:sz w:val="24"/>
      <w:szCs w:val="24"/>
      <w:lang w:val="en-US" w:eastAsia="ja-JP"/>
    </w:rPr>
  </w:style>
  <w:style w:type="paragraph" w:styleId="BodyTextIndent3">
    <w:name w:val="Body Text Indent 3"/>
    <w:basedOn w:val="Normal"/>
    <w:link w:val="BodyTextIndent3Char"/>
    <w:pPr>
      <w:spacing w:after="120" w:line="240" w:lineRule="auto"/>
      <w:ind w:left="360"/>
    </w:pPr>
    <w:rPr>
      <w:rFonts w:ascii="Times New Roman" w:eastAsia="MS Mincho" w:hAnsi="Times New Roman" w:cs="Times New Roman"/>
      <w:sz w:val="16"/>
      <w:szCs w:val="16"/>
      <w:lang w:val="en-US" w:eastAsia="ja-JP"/>
    </w:rPr>
  </w:style>
  <w:style w:type="character" w:customStyle="1" w:styleId="BodyTextIndent3Char">
    <w:name w:val="Body Text Indent 3 Char"/>
    <w:basedOn w:val="DefaultParagraphFont"/>
    <w:link w:val="BodyTextIndent3"/>
    <w:rPr>
      <w:rFonts w:ascii="Times New Roman" w:eastAsia="MS Mincho" w:hAnsi="Times New Roman" w:cs="Times New Roman"/>
      <w:sz w:val="16"/>
      <w:szCs w:val="16"/>
      <w:lang w:val="en-US" w:eastAsia="ja-JP"/>
    </w:rPr>
  </w:style>
  <w:style w:type="paragraph" w:styleId="Closing">
    <w:name w:val="Closing"/>
    <w:basedOn w:val="Normal"/>
    <w:link w:val="ClosingChar"/>
    <w:pPr>
      <w:spacing w:after="0" w:line="240" w:lineRule="auto"/>
      <w:ind w:left="4320"/>
    </w:pPr>
    <w:rPr>
      <w:rFonts w:ascii="Times New Roman" w:eastAsia="MS Mincho" w:hAnsi="Times New Roman" w:cs="Times New Roman"/>
      <w:sz w:val="24"/>
      <w:szCs w:val="24"/>
      <w:lang w:val="en-US" w:eastAsia="ja-JP"/>
    </w:rPr>
  </w:style>
  <w:style w:type="character" w:customStyle="1" w:styleId="ClosingChar">
    <w:name w:val="Closing Char"/>
    <w:basedOn w:val="DefaultParagraphFont"/>
    <w:link w:val="Closing"/>
    <w:rPr>
      <w:rFonts w:ascii="Times New Roman" w:eastAsia="MS Mincho" w:hAnsi="Times New Roman" w:cs="Times New Roman"/>
      <w:sz w:val="24"/>
      <w:szCs w:val="24"/>
      <w:lang w:val="en-US" w:eastAsia="ja-JP"/>
    </w:rPr>
  </w:style>
  <w:style w:type="paragraph" w:styleId="Date">
    <w:name w:val="Date"/>
    <w:basedOn w:val="Normal"/>
    <w:next w:val="Normal"/>
    <w:link w:val="DateChar"/>
    <w:pPr>
      <w:spacing w:after="0" w:line="240" w:lineRule="auto"/>
    </w:pPr>
    <w:rPr>
      <w:rFonts w:ascii="Times New Roman" w:eastAsia="MS Mincho" w:hAnsi="Times New Roman" w:cs="Times New Roman"/>
      <w:sz w:val="24"/>
      <w:szCs w:val="24"/>
      <w:lang w:val="en-US" w:eastAsia="ja-JP"/>
    </w:rPr>
  </w:style>
  <w:style w:type="character" w:customStyle="1" w:styleId="DateChar">
    <w:name w:val="Date Char"/>
    <w:basedOn w:val="DefaultParagraphFont"/>
    <w:link w:val="Date"/>
    <w:rPr>
      <w:rFonts w:ascii="Times New Roman" w:eastAsia="MS Mincho" w:hAnsi="Times New Roman" w:cs="Times New Roman"/>
      <w:sz w:val="24"/>
      <w:szCs w:val="24"/>
      <w:lang w:val="en-US" w:eastAsia="ja-JP"/>
    </w:rPr>
  </w:style>
  <w:style w:type="paragraph" w:styleId="E-mailSignature">
    <w:name w:val="E-mail Signature"/>
    <w:basedOn w:val="Normal"/>
    <w:link w:val="E-mailSignatureChar"/>
    <w:pPr>
      <w:spacing w:after="0" w:line="240" w:lineRule="auto"/>
    </w:pPr>
    <w:rPr>
      <w:rFonts w:ascii="Times New Roman" w:eastAsia="MS Mincho" w:hAnsi="Times New Roman" w:cs="Times New Roman"/>
      <w:sz w:val="24"/>
      <w:szCs w:val="24"/>
      <w:lang w:val="en-US" w:eastAsia="ja-JP"/>
    </w:rPr>
  </w:style>
  <w:style w:type="character" w:customStyle="1" w:styleId="E-mailSignatureChar">
    <w:name w:val="E-mail Signature Char"/>
    <w:basedOn w:val="DefaultParagraphFont"/>
    <w:link w:val="E-mailSignature"/>
    <w:rPr>
      <w:rFonts w:ascii="Times New Roman" w:eastAsia="MS Mincho" w:hAnsi="Times New Roman" w:cs="Times New Roman"/>
      <w:sz w:val="24"/>
      <w:szCs w:val="24"/>
      <w:lang w:val="en-US" w:eastAsia="ja-JP"/>
    </w:rPr>
  </w:style>
  <w:style w:type="character" w:styleId="Emphasis">
    <w:name w:val="Emphasis"/>
    <w:uiPriority w:val="20"/>
    <w:qFormat/>
    <w:rPr>
      <w:i/>
      <w:iCs/>
    </w:rPr>
  </w:style>
  <w:style w:type="character" w:styleId="EndnoteReference">
    <w:name w:val="endnote reference"/>
    <w:rPr>
      <w:b w:val="0"/>
      <w:i w:val="0"/>
      <w:color w:val="auto"/>
      <w:sz w:val="18"/>
      <w:szCs w:val="18"/>
      <w:u w:val="none"/>
      <w:vertAlign w:val="superscript"/>
      <w:lang w:val="en-US" w:eastAsia="ja-JP"/>
    </w:rPr>
  </w:style>
  <w:style w:type="paragraph" w:styleId="EndnoteText">
    <w:name w:val="endnote text"/>
    <w:link w:val="EndnoteTextChar"/>
    <w:pPr>
      <w:spacing w:after="0" w:line="240" w:lineRule="auto"/>
    </w:pPr>
    <w:rPr>
      <w:rFonts w:ascii="Times New Roman" w:eastAsia="MS Mincho" w:hAnsi="Times New Roman" w:cs="Times New Roman"/>
      <w:sz w:val="18"/>
      <w:szCs w:val="18"/>
      <w:lang w:val="en-US" w:eastAsia="ja-JP"/>
    </w:rPr>
  </w:style>
  <w:style w:type="character" w:customStyle="1" w:styleId="EndnoteTextChar">
    <w:name w:val="Endnote Text Char"/>
    <w:basedOn w:val="DefaultParagraphFont"/>
    <w:link w:val="EndnoteText"/>
    <w:rPr>
      <w:rFonts w:ascii="Times New Roman" w:eastAsia="MS Mincho" w:hAnsi="Times New Roman" w:cs="Times New Roman"/>
      <w:sz w:val="18"/>
      <w:szCs w:val="18"/>
      <w:lang w:val="en-US" w:eastAsia="ja-JP"/>
    </w:rPr>
  </w:style>
  <w:style w:type="paragraph" w:styleId="EnvelopeAddress">
    <w:name w:val="envelope address"/>
    <w:basedOn w:val="Normal"/>
    <w:pPr>
      <w:framePr w:w="7920" w:h="1980" w:hRule="exact" w:hSpace="180" w:wrap="auto" w:hAnchor="page" w:xAlign="center" w:yAlign="bottom"/>
      <w:spacing w:after="0" w:line="240" w:lineRule="auto"/>
      <w:ind w:left="2880"/>
    </w:pPr>
    <w:rPr>
      <w:rFonts w:ascii="Arial" w:eastAsia="MS Mincho" w:hAnsi="Arial" w:cs="Arial"/>
      <w:sz w:val="24"/>
      <w:szCs w:val="24"/>
      <w:lang w:val="en-US" w:eastAsia="ja-JP"/>
    </w:rPr>
  </w:style>
  <w:style w:type="paragraph" w:styleId="EnvelopeReturn">
    <w:name w:val="envelope return"/>
    <w:basedOn w:val="Normal"/>
    <w:pPr>
      <w:spacing w:after="0" w:line="240" w:lineRule="auto"/>
    </w:pPr>
    <w:rPr>
      <w:rFonts w:ascii="Arial" w:eastAsia="MS Mincho" w:hAnsi="Arial" w:cs="Arial"/>
      <w:sz w:val="20"/>
      <w:szCs w:val="20"/>
      <w:lang w:val="en-US" w:eastAsia="ja-JP"/>
    </w:rPr>
  </w:style>
  <w:style w:type="character" w:styleId="FootnoteReference">
    <w:name w:val="footnote reference"/>
    <w:rPr>
      <w:b w:val="0"/>
      <w:i w:val="0"/>
      <w:color w:val="auto"/>
      <w:sz w:val="20"/>
      <w:szCs w:val="18"/>
      <w:u w:val="none"/>
      <w:vertAlign w:val="baseline"/>
      <w:lang w:val="en-US" w:eastAsia="ja-JP"/>
    </w:rPr>
  </w:style>
  <w:style w:type="paragraph" w:styleId="FootnoteText">
    <w:name w:val="footnote text"/>
    <w:link w:val="FootnoteTextChar"/>
    <w:pPr>
      <w:tabs>
        <w:tab w:val="left" w:pos="360"/>
      </w:tabs>
      <w:spacing w:after="0" w:line="240" w:lineRule="auto"/>
      <w:ind w:left="360" w:hanging="360"/>
    </w:pPr>
    <w:rPr>
      <w:rFonts w:ascii="Times New Roman" w:eastAsia="MS Mincho" w:hAnsi="Times New Roman" w:cs="Times New Roman"/>
      <w:sz w:val="18"/>
      <w:szCs w:val="18"/>
      <w:lang w:val="en-US" w:eastAsia="ja-JP"/>
    </w:rPr>
  </w:style>
  <w:style w:type="character" w:customStyle="1" w:styleId="FootnoteTextChar">
    <w:name w:val="Footnote Text Char"/>
    <w:basedOn w:val="DefaultParagraphFont"/>
    <w:link w:val="FootnoteText"/>
    <w:rPr>
      <w:rFonts w:ascii="Times New Roman" w:eastAsia="MS Mincho" w:hAnsi="Times New Roman" w:cs="Times New Roman"/>
      <w:sz w:val="18"/>
      <w:szCs w:val="18"/>
      <w:lang w:val="en-US" w:eastAsia="ja-JP"/>
    </w:rPr>
  </w:style>
  <w:style w:type="character" w:styleId="HTMLAcronym">
    <w:name w:val="HTML Acronym"/>
  </w:style>
  <w:style w:type="paragraph" w:styleId="HTMLAddress">
    <w:name w:val="HTML Address"/>
    <w:basedOn w:val="Normal"/>
    <w:link w:val="HTMLAddressChar"/>
    <w:pPr>
      <w:spacing w:after="0" w:line="240" w:lineRule="auto"/>
    </w:pPr>
    <w:rPr>
      <w:rFonts w:ascii="Times New Roman" w:eastAsia="MS Mincho" w:hAnsi="Times New Roman" w:cs="Times New Roman"/>
      <w:i/>
      <w:iCs/>
      <w:sz w:val="24"/>
      <w:szCs w:val="24"/>
      <w:lang w:val="en-US" w:eastAsia="ja-JP"/>
    </w:rPr>
  </w:style>
  <w:style w:type="character" w:customStyle="1" w:styleId="HTMLAddressChar">
    <w:name w:val="HTML Address Char"/>
    <w:basedOn w:val="DefaultParagraphFont"/>
    <w:link w:val="HTMLAddress"/>
    <w:rPr>
      <w:rFonts w:ascii="Times New Roman" w:eastAsia="MS Mincho" w:hAnsi="Times New Roman" w:cs="Times New Roman"/>
      <w:i/>
      <w:iCs/>
      <w:sz w:val="24"/>
      <w:szCs w:val="24"/>
      <w:lang w:val="en-US" w:eastAsia="ja-JP"/>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after="0" w:line="240" w:lineRule="auto"/>
    </w:pPr>
    <w:rPr>
      <w:rFonts w:ascii="Courier New" w:eastAsia="MS Mincho" w:hAnsi="Courier New" w:cs="Courier New"/>
      <w:sz w:val="20"/>
      <w:szCs w:val="20"/>
      <w:lang w:val="en-US" w:eastAsia="ja-JP"/>
    </w:rPr>
  </w:style>
  <w:style w:type="character" w:customStyle="1" w:styleId="HTMLPreformattedChar">
    <w:name w:val="HTML Preformatted Char"/>
    <w:basedOn w:val="DefaultParagraphFont"/>
    <w:link w:val="HTMLPreformatted"/>
    <w:rPr>
      <w:rFonts w:ascii="Courier New" w:eastAsia="MS Mincho" w:hAnsi="Courier New" w:cs="Courier New"/>
      <w:sz w:val="20"/>
      <w:szCs w:val="20"/>
      <w:lang w:val="en-US" w:eastAsia="ja-JP"/>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style>
  <w:style w:type="paragraph" w:styleId="List">
    <w:name w:val="List"/>
    <w:basedOn w:val="Normal"/>
    <w:pPr>
      <w:spacing w:after="0" w:line="240" w:lineRule="auto"/>
      <w:ind w:left="360" w:hanging="360"/>
    </w:pPr>
    <w:rPr>
      <w:rFonts w:ascii="Times New Roman" w:eastAsia="MS Mincho" w:hAnsi="Times New Roman" w:cs="Times New Roman"/>
      <w:sz w:val="24"/>
      <w:szCs w:val="24"/>
      <w:lang w:val="en-US" w:eastAsia="ja-JP"/>
    </w:rPr>
  </w:style>
  <w:style w:type="paragraph" w:styleId="List2">
    <w:name w:val="List 2"/>
    <w:basedOn w:val="Normal"/>
    <w:pPr>
      <w:spacing w:after="0" w:line="240" w:lineRule="auto"/>
      <w:ind w:left="720" w:hanging="360"/>
    </w:pPr>
    <w:rPr>
      <w:rFonts w:ascii="Times New Roman" w:eastAsia="MS Mincho" w:hAnsi="Times New Roman" w:cs="Times New Roman"/>
      <w:sz w:val="24"/>
      <w:szCs w:val="24"/>
      <w:lang w:val="en-US" w:eastAsia="ja-JP"/>
    </w:rPr>
  </w:style>
  <w:style w:type="paragraph" w:styleId="List3">
    <w:name w:val="List 3"/>
    <w:basedOn w:val="Normal"/>
    <w:pPr>
      <w:spacing w:after="0" w:line="240" w:lineRule="auto"/>
      <w:ind w:left="1080" w:hanging="360"/>
    </w:pPr>
    <w:rPr>
      <w:rFonts w:ascii="Times New Roman" w:eastAsia="MS Mincho" w:hAnsi="Times New Roman" w:cs="Times New Roman"/>
      <w:sz w:val="24"/>
      <w:szCs w:val="24"/>
      <w:lang w:val="en-US" w:eastAsia="ja-JP"/>
    </w:rPr>
  </w:style>
  <w:style w:type="paragraph" w:styleId="List4">
    <w:name w:val="List 4"/>
    <w:basedOn w:val="Normal"/>
    <w:pPr>
      <w:spacing w:after="0" w:line="240" w:lineRule="auto"/>
      <w:ind w:left="1440" w:hanging="360"/>
    </w:pPr>
    <w:rPr>
      <w:rFonts w:ascii="Times New Roman" w:eastAsia="MS Mincho" w:hAnsi="Times New Roman" w:cs="Times New Roman"/>
      <w:sz w:val="24"/>
      <w:szCs w:val="24"/>
      <w:lang w:val="en-US" w:eastAsia="ja-JP"/>
    </w:rPr>
  </w:style>
  <w:style w:type="paragraph" w:styleId="List5">
    <w:name w:val="List 5"/>
    <w:basedOn w:val="Normal"/>
    <w:pPr>
      <w:spacing w:after="0" w:line="240" w:lineRule="auto"/>
      <w:ind w:left="1800" w:hanging="360"/>
    </w:pPr>
    <w:rPr>
      <w:rFonts w:ascii="Times New Roman" w:eastAsia="MS Mincho" w:hAnsi="Times New Roman" w:cs="Times New Roman"/>
      <w:sz w:val="24"/>
      <w:szCs w:val="24"/>
      <w:lang w:val="en-US" w:eastAsia="ja-JP"/>
    </w:rPr>
  </w:style>
  <w:style w:type="paragraph" w:styleId="ListContinue">
    <w:name w:val="List Continue"/>
    <w:basedOn w:val="Normal"/>
    <w:pPr>
      <w:spacing w:after="120" w:line="240" w:lineRule="auto"/>
      <w:ind w:left="360"/>
    </w:pPr>
    <w:rPr>
      <w:rFonts w:ascii="Times New Roman" w:eastAsia="MS Mincho" w:hAnsi="Times New Roman" w:cs="Times New Roman"/>
      <w:sz w:val="24"/>
      <w:szCs w:val="24"/>
      <w:lang w:val="en-US" w:eastAsia="ja-JP"/>
    </w:rPr>
  </w:style>
  <w:style w:type="paragraph" w:styleId="ListContinue2">
    <w:name w:val="List Continue 2"/>
    <w:basedOn w:val="Normal"/>
    <w:pPr>
      <w:spacing w:after="120" w:line="240" w:lineRule="auto"/>
      <w:ind w:left="720"/>
    </w:pPr>
    <w:rPr>
      <w:rFonts w:ascii="Times New Roman" w:eastAsia="MS Mincho" w:hAnsi="Times New Roman" w:cs="Times New Roman"/>
      <w:sz w:val="24"/>
      <w:szCs w:val="24"/>
      <w:lang w:val="en-US" w:eastAsia="ja-JP"/>
    </w:rPr>
  </w:style>
  <w:style w:type="paragraph" w:styleId="ListContinue3">
    <w:name w:val="List Continue 3"/>
    <w:basedOn w:val="Normal"/>
    <w:pPr>
      <w:spacing w:after="120" w:line="240" w:lineRule="auto"/>
      <w:ind w:left="1080"/>
    </w:pPr>
    <w:rPr>
      <w:rFonts w:ascii="Times New Roman" w:eastAsia="MS Mincho" w:hAnsi="Times New Roman" w:cs="Times New Roman"/>
      <w:sz w:val="24"/>
      <w:szCs w:val="24"/>
      <w:lang w:val="en-US" w:eastAsia="ja-JP"/>
    </w:rPr>
  </w:style>
  <w:style w:type="paragraph" w:styleId="ListContinue4">
    <w:name w:val="List Continue 4"/>
    <w:basedOn w:val="Normal"/>
    <w:pPr>
      <w:spacing w:after="120" w:line="240" w:lineRule="auto"/>
      <w:ind w:left="1440"/>
    </w:pPr>
    <w:rPr>
      <w:rFonts w:ascii="Times New Roman" w:eastAsia="MS Mincho" w:hAnsi="Times New Roman" w:cs="Times New Roman"/>
      <w:sz w:val="24"/>
      <w:szCs w:val="24"/>
      <w:lang w:val="en-US" w:eastAsia="ja-JP"/>
    </w:rPr>
  </w:style>
  <w:style w:type="paragraph" w:styleId="ListContinue5">
    <w:name w:val="List Continue 5"/>
    <w:basedOn w:val="Normal"/>
    <w:pPr>
      <w:spacing w:after="120" w:line="240" w:lineRule="auto"/>
      <w:ind w:left="1800"/>
    </w:pPr>
    <w:rPr>
      <w:rFonts w:ascii="Times New Roman" w:eastAsia="MS Mincho" w:hAnsi="Times New Roman" w:cs="Times New Roman"/>
      <w:sz w:val="24"/>
      <w:szCs w:val="24"/>
      <w:lang w:val="en-US" w:eastAsia="ja-JP"/>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MS Mincho" w:hAnsi="Arial" w:cs="Arial"/>
      <w:sz w:val="24"/>
      <w:szCs w:val="24"/>
      <w:lang w:val="en-US" w:eastAsia="ja-JP"/>
    </w:rPr>
  </w:style>
  <w:style w:type="character" w:customStyle="1" w:styleId="MessageHeaderChar">
    <w:name w:val="Message Header Char"/>
    <w:basedOn w:val="DefaultParagraphFont"/>
    <w:link w:val="MessageHeader"/>
    <w:rPr>
      <w:rFonts w:ascii="Arial" w:eastAsia="MS Mincho" w:hAnsi="Arial" w:cs="Arial"/>
      <w:sz w:val="24"/>
      <w:szCs w:val="24"/>
      <w:shd w:val="pct20" w:color="auto" w:fill="auto"/>
      <w:lang w:val="en-US" w:eastAsia="ja-JP"/>
    </w:rPr>
  </w:style>
  <w:style w:type="paragraph" w:styleId="NormalIndent">
    <w:name w:val="Normal Indent"/>
    <w:basedOn w:val="Normal"/>
    <w:pPr>
      <w:spacing w:after="0" w:line="240" w:lineRule="auto"/>
      <w:ind w:left="720"/>
    </w:pPr>
    <w:rPr>
      <w:rFonts w:ascii="Times New Roman" w:eastAsia="MS Mincho" w:hAnsi="Times New Roman" w:cs="Times New Roman"/>
      <w:sz w:val="24"/>
      <w:szCs w:val="24"/>
      <w:lang w:val="en-US" w:eastAsia="ja-JP"/>
    </w:rPr>
  </w:style>
  <w:style w:type="paragraph" w:styleId="NoteHeading">
    <w:name w:val="Note Heading"/>
    <w:basedOn w:val="Normal"/>
    <w:next w:val="Normal"/>
    <w:link w:val="NoteHeadingChar"/>
    <w:pPr>
      <w:spacing w:after="0" w:line="240" w:lineRule="auto"/>
    </w:pPr>
    <w:rPr>
      <w:rFonts w:ascii="Times New Roman" w:eastAsia="MS Mincho" w:hAnsi="Times New Roman" w:cs="Times New Roman"/>
      <w:sz w:val="24"/>
      <w:szCs w:val="24"/>
      <w:lang w:val="en-US" w:eastAsia="ja-JP"/>
    </w:rPr>
  </w:style>
  <w:style w:type="character" w:customStyle="1" w:styleId="NoteHeadingChar">
    <w:name w:val="Note Heading Char"/>
    <w:basedOn w:val="DefaultParagraphFont"/>
    <w:link w:val="NoteHeading"/>
    <w:rPr>
      <w:rFonts w:ascii="Times New Roman" w:eastAsia="MS Mincho" w:hAnsi="Times New Roman" w:cs="Times New Roman"/>
      <w:sz w:val="24"/>
      <w:szCs w:val="24"/>
      <w:lang w:val="en-US" w:eastAsia="ja-JP"/>
    </w:rPr>
  </w:style>
  <w:style w:type="paragraph" w:styleId="PlainText">
    <w:name w:val="Plain Text"/>
    <w:basedOn w:val="Normal"/>
    <w:link w:val="PlainTextChar"/>
    <w:pPr>
      <w:spacing w:after="0" w:line="240" w:lineRule="auto"/>
    </w:pPr>
    <w:rPr>
      <w:rFonts w:ascii="Courier New" w:eastAsia="MS Mincho" w:hAnsi="Courier New" w:cs="Courier New"/>
      <w:sz w:val="20"/>
      <w:szCs w:val="20"/>
      <w:lang w:val="en-US" w:eastAsia="ja-JP"/>
    </w:rPr>
  </w:style>
  <w:style w:type="character" w:customStyle="1" w:styleId="PlainTextChar">
    <w:name w:val="Plain Text Char"/>
    <w:basedOn w:val="DefaultParagraphFont"/>
    <w:link w:val="PlainText"/>
    <w:rPr>
      <w:rFonts w:ascii="Courier New" w:eastAsia="MS Mincho" w:hAnsi="Courier New" w:cs="Courier New"/>
      <w:sz w:val="20"/>
      <w:szCs w:val="20"/>
      <w:lang w:val="en-US" w:eastAsia="ja-JP"/>
    </w:rPr>
  </w:style>
  <w:style w:type="paragraph" w:styleId="Salutation">
    <w:name w:val="Salutation"/>
    <w:basedOn w:val="Normal"/>
    <w:next w:val="Normal"/>
    <w:link w:val="SalutationChar"/>
    <w:pPr>
      <w:spacing w:after="0" w:line="240" w:lineRule="auto"/>
    </w:pPr>
    <w:rPr>
      <w:rFonts w:ascii="Times New Roman" w:eastAsia="MS Mincho" w:hAnsi="Times New Roman" w:cs="Times New Roman"/>
      <w:sz w:val="24"/>
      <w:szCs w:val="24"/>
      <w:lang w:val="en-US" w:eastAsia="ja-JP"/>
    </w:rPr>
  </w:style>
  <w:style w:type="character" w:customStyle="1" w:styleId="SalutationChar">
    <w:name w:val="Salutation Char"/>
    <w:basedOn w:val="DefaultParagraphFont"/>
    <w:link w:val="Salutation"/>
    <w:rPr>
      <w:rFonts w:ascii="Times New Roman" w:eastAsia="MS Mincho" w:hAnsi="Times New Roman" w:cs="Times New Roman"/>
      <w:sz w:val="24"/>
      <w:szCs w:val="24"/>
      <w:lang w:val="en-US" w:eastAsia="ja-JP"/>
    </w:rPr>
  </w:style>
  <w:style w:type="paragraph" w:styleId="Signature">
    <w:name w:val="Signature"/>
    <w:basedOn w:val="Normal"/>
    <w:link w:val="SignatureChar"/>
    <w:pPr>
      <w:spacing w:after="0" w:line="240" w:lineRule="auto"/>
      <w:ind w:left="4320"/>
    </w:pPr>
    <w:rPr>
      <w:rFonts w:ascii="Times New Roman" w:eastAsia="MS Mincho" w:hAnsi="Times New Roman" w:cs="Times New Roman"/>
      <w:sz w:val="24"/>
      <w:szCs w:val="24"/>
      <w:lang w:val="en-US" w:eastAsia="ja-JP"/>
    </w:rPr>
  </w:style>
  <w:style w:type="character" w:customStyle="1" w:styleId="SignatureChar">
    <w:name w:val="Signature Char"/>
    <w:basedOn w:val="DefaultParagraphFont"/>
    <w:link w:val="Signature"/>
    <w:rPr>
      <w:rFonts w:ascii="Times New Roman" w:eastAsia="MS Mincho" w:hAnsi="Times New Roman" w:cs="Times New Roman"/>
      <w:sz w:val="24"/>
      <w:szCs w:val="24"/>
      <w:lang w:val="en-US" w:eastAsia="ja-JP"/>
    </w:rPr>
  </w:style>
  <w:style w:type="character" w:styleId="Strong">
    <w:name w:val="Strong"/>
    <w:qFormat/>
    <w:rPr>
      <w:b/>
      <w:bCs/>
    </w:rPr>
  </w:style>
  <w:style w:type="table" w:styleId="Table3Deffects1">
    <w:name w:val="Table 3D effects 1"/>
    <w:basedOn w:val="TableNormal"/>
    <w:pPr>
      <w:spacing w:after="0" w:line="240" w:lineRule="auto"/>
    </w:pPr>
    <w:rPr>
      <w:rFonts w:ascii="Times New Roman" w:eastAsia="MS Mincho"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0" w:line="240" w:lineRule="auto"/>
    </w:pPr>
    <w:rPr>
      <w:rFonts w:ascii="Times New Roman" w:eastAsia="MS Mincho"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0" w:line="240" w:lineRule="auto"/>
    </w:pPr>
    <w:rPr>
      <w:rFonts w:ascii="Times New Roman" w:eastAsia="MS Mincho"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0" w:line="240" w:lineRule="auto"/>
    </w:pPr>
    <w:rPr>
      <w:rFonts w:ascii="Times New Roman" w:eastAsia="MS Mincho"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0" w:line="240" w:lineRule="auto"/>
    </w:pPr>
    <w:rPr>
      <w:rFonts w:ascii="Times New Roman" w:eastAsia="MS Mincho"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0" w:line="240" w:lineRule="auto"/>
    </w:pPr>
    <w:rPr>
      <w:rFonts w:ascii="Times New Roman" w:eastAsia="MS Mincho"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0" w:line="240" w:lineRule="auto"/>
    </w:pPr>
    <w:rPr>
      <w:rFonts w:ascii="Times New Roman" w:eastAsia="MS Mincho"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0" w:line="240" w:lineRule="auto"/>
    </w:pPr>
    <w:rPr>
      <w:rFonts w:ascii="Times New Roman" w:eastAsia="MS Mincho"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0" w:line="240" w:lineRule="auto"/>
    </w:pPr>
    <w:rPr>
      <w:rFonts w:ascii="Times New Roman" w:eastAsia="MS Mincho"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0" w:line="240" w:lineRule="auto"/>
    </w:pPr>
    <w:rPr>
      <w:rFonts w:ascii="Times New Roman" w:eastAsia="MS Mincho"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0" w:line="240" w:lineRule="auto"/>
    </w:pPr>
    <w:rPr>
      <w:rFonts w:ascii="Times New Roman" w:eastAsia="MS Mincho"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0" w:line="240" w:lineRule="auto"/>
    </w:pPr>
    <w:rPr>
      <w:rFonts w:ascii="Times New Roman" w:eastAsia="MS Mincho"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0" w:line="240" w:lineRule="auto"/>
    </w:pPr>
    <w:rPr>
      <w:rFonts w:ascii="Times New Roman" w:eastAsia="MS Mincho"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0" w:line="240" w:lineRule="auto"/>
    </w:pPr>
    <w:rPr>
      <w:rFonts w:ascii="Times New Roman" w:eastAsia="MS Mincho"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0" w:line="240" w:lineRule="auto"/>
    </w:pPr>
    <w:rPr>
      <w:rFonts w:ascii="Times New Roman" w:eastAsia="MS Mincho"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0" w:line="240" w:lineRule="auto"/>
    </w:pPr>
    <w:rPr>
      <w:rFonts w:ascii="Times New Roman" w:eastAsia="MS Mincho"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0" w:line="240" w:lineRule="auto"/>
    </w:pPr>
    <w:rPr>
      <w:rFonts w:ascii="Times New Roman" w:eastAsia="MS Mincho"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0" w:line="240" w:lineRule="auto"/>
    </w:pPr>
    <w:rPr>
      <w:rFonts w:ascii="Times New Roman" w:eastAsia="MS Mincho"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0" w:line="240" w:lineRule="auto"/>
    </w:pPr>
    <w:rPr>
      <w:rFonts w:ascii="Times New Roman" w:eastAsia="MS Mincho"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0" w:line="240" w:lineRule="auto"/>
    </w:pPr>
    <w:rPr>
      <w:rFonts w:ascii="Times New Roman" w:eastAsia="MS Mincho"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0" w:line="240" w:lineRule="auto"/>
    </w:pPr>
    <w:rPr>
      <w:rFonts w:ascii="Times New Roman" w:eastAsia="MS Mincho"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0" w:line="240" w:lineRule="auto"/>
    </w:pPr>
    <w:rPr>
      <w:rFonts w:ascii="Times New Roman" w:eastAsia="MS Mincho"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0" w:line="240" w:lineRule="auto"/>
    </w:pPr>
    <w:rPr>
      <w:rFonts w:ascii="Times New Roman" w:eastAsia="MS Mincho"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0" w:line="240" w:lineRule="auto"/>
    </w:pPr>
    <w:rPr>
      <w:rFonts w:ascii="Times New Roman" w:eastAsia="MS Mincho"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0" w:line="240" w:lineRule="auto"/>
    </w:pPr>
    <w:rPr>
      <w:rFonts w:ascii="Times New Roman" w:eastAsia="MS Mincho"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table" w:styleId="TableProfessional">
    <w:name w:val="Table Professional"/>
    <w:basedOn w:val="TableNormal"/>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0" w:line="240" w:lineRule="auto"/>
    </w:pPr>
    <w:rPr>
      <w:rFonts w:ascii="Times New Roman" w:eastAsia="MS Mincho"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0" w:line="240" w:lineRule="auto"/>
    </w:pPr>
    <w:rPr>
      <w:rFonts w:ascii="Times New Roman" w:eastAsia="MS Mincho"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0" w:line="240" w:lineRule="auto"/>
    </w:pPr>
    <w:rPr>
      <w:rFonts w:ascii="Times New Roman" w:eastAsia="MS Mincho"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0" w:line="240" w:lineRule="auto"/>
    </w:pPr>
    <w:rPr>
      <w:rFonts w:ascii="Times New Roman" w:eastAsia="MS Mincho"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0" w:line="240" w:lineRule="auto"/>
    </w:pPr>
    <w:rPr>
      <w:rFonts w:ascii="Times New Roman" w:eastAsia="MS Mincho"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0" w:line="240" w:lineRule="auto"/>
    </w:pPr>
    <w:rPr>
      <w:rFonts w:ascii="Times New Roman" w:eastAsia="MS Mincho"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0" w:line="240" w:lineRule="auto"/>
    </w:pPr>
    <w:rPr>
      <w:rFonts w:ascii="Times New Roman" w:eastAsia="MS Mincho"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0" w:line="240" w:lineRule="auto"/>
    </w:pPr>
    <w:rPr>
      <w:rFonts w:ascii="Times New Roman" w:eastAsia="MS Mincho"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next w:val="Paragraph"/>
    <w:uiPriority w:val="39"/>
    <w:pPr>
      <w:keepLines/>
      <w:tabs>
        <w:tab w:val="left" w:pos="1584"/>
        <w:tab w:val="right" w:leader="dot" w:pos="8698"/>
      </w:tabs>
      <w:spacing w:before="60" w:after="60" w:line="280" w:lineRule="exact"/>
      <w:ind w:left="1584" w:right="720" w:hanging="1584"/>
    </w:pPr>
    <w:rPr>
      <w:rFonts w:ascii="Times New Roman" w:eastAsia="MS Mincho" w:hAnsi="Times New Roman" w:cs="Times New Roman"/>
      <w:b/>
      <w:sz w:val="28"/>
      <w:szCs w:val="24"/>
      <w:lang w:val="en-US" w:eastAsia="ja-JP"/>
    </w:rPr>
  </w:style>
  <w:style w:type="paragraph" w:styleId="TOC2">
    <w:name w:val="toc 2"/>
    <w:next w:val="Paragraph"/>
    <w:uiPriority w:val="39"/>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paragraph" w:styleId="TOC3">
    <w:name w:val="toc 3"/>
    <w:next w:val="Paragraph"/>
    <w:uiPriority w:val="39"/>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paragraph" w:styleId="TOC4">
    <w:name w:val="toc 4"/>
    <w:next w:val="Paragraph"/>
    <w:uiPriority w:val="39"/>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paragraph" w:styleId="TOC5">
    <w:name w:val="toc 5"/>
    <w:next w:val="Paragraph"/>
    <w:uiPriority w:val="39"/>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paragraph" w:styleId="TOC6">
    <w:name w:val="toc 6"/>
    <w:next w:val="Paragraph"/>
    <w:pPr>
      <w:keepLines/>
      <w:tabs>
        <w:tab w:val="right" w:leader="dot" w:pos="9000"/>
      </w:tabs>
      <w:spacing w:before="60" w:after="60" w:line="280" w:lineRule="exact"/>
      <w:ind w:left="1440" w:right="360"/>
    </w:pPr>
    <w:rPr>
      <w:rFonts w:ascii="Times New Roman" w:eastAsia="MS Mincho" w:hAnsi="Times New Roman" w:cs="Times New Roman"/>
      <w:sz w:val="24"/>
      <w:szCs w:val="24"/>
      <w:lang w:val="en-US" w:eastAsia="ja-JP"/>
    </w:rPr>
  </w:style>
  <w:style w:type="paragraph" w:styleId="TOC7">
    <w:name w:val="toc 7"/>
    <w:next w:val="Paragraph"/>
    <w:pPr>
      <w:keepLines/>
      <w:tabs>
        <w:tab w:val="right" w:leader="dot" w:pos="9000"/>
      </w:tabs>
      <w:spacing w:before="60" w:after="60" w:line="280" w:lineRule="exact"/>
      <w:ind w:left="1680" w:right="360"/>
    </w:pPr>
    <w:rPr>
      <w:rFonts w:ascii="Times New Roman" w:eastAsia="MS Mincho" w:hAnsi="Times New Roman" w:cs="Times New Roman"/>
      <w:sz w:val="24"/>
      <w:szCs w:val="24"/>
      <w:lang w:val="en-US" w:eastAsia="ja-JP"/>
    </w:rPr>
  </w:style>
  <w:style w:type="paragraph" w:styleId="TOC8">
    <w:name w:val="toc 8"/>
    <w:next w:val="Paragraph"/>
    <w:pPr>
      <w:keepLines/>
      <w:tabs>
        <w:tab w:val="right" w:leader="dot" w:pos="9000"/>
      </w:tabs>
      <w:spacing w:before="60" w:after="60" w:line="280" w:lineRule="exact"/>
      <w:ind w:left="1920" w:right="360"/>
    </w:pPr>
    <w:rPr>
      <w:rFonts w:ascii="Times New Roman" w:eastAsia="MS Mincho" w:hAnsi="Times New Roman" w:cs="Times New Roman"/>
      <w:sz w:val="24"/>
      <w:szCs w:val="24"/>
      <w:lang w:val="en-US" w:eastAsia="ja-JP"/>
    </w:rPr>
  </w:style>
  <w:style w:type="paragraph" w:styleId="TOC9">
    <w:name w:val="toc 9"/>
    <w:next w:val="Paragraph"/>
    <w:pPr>
      <w:keepLines/>
      <w:tabs>
        <w:tab w:val="right" w:leader="dot" w:pos="9000"/>
      </w:tabs>
      <w:spacing w:before="60" w:after="60" w:line="280" w:lineRule="exact"/>
      <w:ind w:left="2160" w:right="360"/>
    </w:pPr>
    <w:rPr>
      <w:rFonts w:ascii="Times New Roman" w:eastAsia="MS Mincho" w:hAnsi="Times New Roman" w:cs="Times New Roman"/>
      <w:sz w:val="24"/>
      <w:szCs w:val="24"/>
      <w:lang w:val="en-US" w:eastAsia="ja-JP"/>
    </w:rPr>
  </w:style>
  <w:style w:type="paragraph" w:customStyle="1" w:styleId="FooterLandscape">
    <w:name w:val="FooterLandscape"/>
    <w:next w:val="Paragraph"/>
    <w:pPr>
      <w:keepLines/>
      <w:pBdr>
        <w:top w:val="single" w:sz="4" w:space="1" w:color="auto"/>
      </w:pBdr>
      <w:spacing w:before="120" w:after="140" w:line="240" w:lineRule="auto"/>
      <w:jc w:val="right"/>
    </w:pPr>
    <w:rPr>
      <w:rFonts w:ascii="Times New Roman" w:eastAsia="MS Mincho" w:hAnsi="Times New Roman" w:cs="Times New Roman"/>
      <w:sz w:val="20"/>
      <w:szCs w:val="20"/>
      <w:lang w:val="en-US" w:eastAsia="ja-JP"/>
    </w:rPr>
  </w:style>
  <w:style w:type="paragraph" w:styleId="ListBullet2">
    <w:name w:val="List Bullet 2"/>
    <w:pPr>
      <w:numPr>
        <w:numId w:val="17"/>
      </w:numPr>
      <w:spacing w:before="60" w:after="60" w:line="320" w:lineRule="exact"/>
    </w:pPr>
    <w:rPr>
      <w:rFonts w:ascii="Times New Roman" w:eastAsia="MS Mincho" w:hAnsi="Times New Roman" w:cs="Times New Roman"/>
      <w:sz w:val="24"/>
      <w:szCs w:val="24"/>
      <w:lang w:val="en-US" w:eastAsia="ja-JP"/>
    </w:rPr>
  </w:style>
  <w:style w:type="paragraph" w:styleId="ListBullet3">
    <w:name w:val="List Bullet 3"/>
    <w:pPr>
      <w:numPr>
        <w:numId w:val="18"/>
      </w:numPr>
      <w:spacing w:before="60" w:after="60" w:line="320" w:lineRule="exact"/>
    </w:pPr>
    <w:rPr>
      <w:rFonts w:ascii="Times New Roman" w:eastAsia="MS Mincho" w:hAnsi="Times New Roman" w:cs="Times New Roman"/>
      <w:sz w:val="24"/>
      <w:szCs w:val="24"/>
      <w:lang w:val="en-US" w:eastAsia="ja-JP"/>
    </w:rPr>
  </w:style>
  <w:style w:type="paragraph" w:styleId="ListBullet4">
    <w:name w:val="List Bullet 4"/>
    <w:basedOn w:val="Normal"/>
    <w:pPr>
      <w:numPr>
        <w:numId w:val="28"/>
      </w:numPr>
      <w:spacing w:after="0" w:line="240" w:lineRule="auto"/>
      <w:contextualSpacing/>
    </w:pPr>
    <w:rPr>
      <w:rFonts w:ascii="Times New Roman" w:eastAsia="MS Mincho" w:hAnsi="Times New Roman" w:cs="Times New Roman"/>
      <w:sz w:val="24"/>
      <w:szCs w:val="24"/>
      <w:lang w:val="en-US" w:eastAsia="ja-JP"/>
    </w:rPr>
  </w:style>
  <w:style w:type="paragraph" w:styleId="ListBullet5">
    <w:name w:val="List Bullet 5"/>
    <w:basedOn w:val="Normal"/>
    <w:pPr>
      <w:numPr>
        <w:numId w:val="29"/>
      </w:numPr>
      <w:spacing w:after="0" w:line="240" w:lineRule="auto"/>
      <w:contextualSpacing/>
    </w:pPr>
    <w:rPr>
      <w:rFonts w:ascii="Times New Roman" w:eastAsia="MS Mincho" w:hAnsi="Times New Roman" w:cs="Times New Roman"/>
      <w:sz w:val="24"/>
      <w:szCs w:val="24"/>
      <w:lang w:val="en-US" w:eastAsia="ja-JP"/>
    </w:rPr>
  </w:style>
  <w:style w:type="paragraph" w:styleId="ListNumber4">
    <w:name w:val="List Number 4"/>
    <w:basedOn w:val="Normal"/>
    <w:pPr>
      <w:numPr>
        <w:numId w:val="30"/>
      </w:numPr>
      <w:spacing w:after="0" w:line="240" w:lineRule="auto"/>
      <w:contextualSpacing/>
    </w:pPr>
    <w:rPr>
      <w:rFonts w:ascii="Times New Roman" w:eastAsia="MS Mincho" w:hAnsi="Times New Roman" w:cs="Times New Roman"/>
      <w:sz w:val="24"/>
      <w:szCs w:val="24"/>
      <w:lang w:val="en-US" w:eastAsia="ja-JP"/>
    </w:rPr>
  </w:style>
  <w:style w:type="paragraph" w:styleId="ListNumber5">
    <w:name w:val="List Number 5"/>
    <w:basedOn w:val="Normal"/>
    <w:pPr>
      <w:numPr>
        <w:numId w:val="31"/>
      </w:numPr>
      <w:spacing w:after="0" w:line="240" w:lineRule="auto"/>
      <w:contextualSpacing/>
    </w:pPr>
    <w:rPr>
      <w:rFonts w:ascii="Times New Roman" w:eastAsia="MS Mincho" w:hAnsi="Times New Roman" w:cs="Times New Roman"/>
      <w:sz w:val="24"/>
      <w:szCs w:val="24"/>
      <w:lang w:val="en-US" w:eastAsia="ja-JP"/>
    </w:rPr>
  </w:style>
  <w:style w:type="paragraph" w:styleId="ListNumber2">
    <w:name w:val="List Number 2"/>
    <w:pPr>
      <w:numPr>
        <w:numId w:val="19"/>
      </w:numPr>
      <w:spacing w:before="120" w:after="120" w:line="360" w:lineRule="exact"/>
    </w:pPr>
    <w:rPr>
      <w:rFonts w:ascii="Times New Roman" w:eastAsia="MS Mincho" w:hAnsi="Times New Roman" w:cs="Times New Roman"/>
      <w:sz w:val="24"/>
      <w:szCs w:val="24"/>
      <w:lang w:val="en-US" w:eastAsia="ja-JP"/>
    </w:rPr>
  </w:style>
  <w:style w:type="paragraph" w:styleId="ListNumber3">
    <w:name w:val="List Number 3"/>
    <w:pPr>
      <w:numPr>
        <w:numId w:val="20"/>
      </w:numPr>
      <w:spacing w:before="120" w:after="120" w:line="360" w:lineRule="exact"/>
    </w:pPr>
    <w:rPr>
      <w:rFonts w:ascii="Times New Roman" w:eastAsia="MS Mincho" w:hAnsi="Times New Roman" w:cs="Times New Roman"/>
      <w:sz w:val="24"/>
      <w:szCs w:val="24"/>
      <w:lang w:val="en-US" w:eastAsia="ja-JP"/>
    </w:rPr>
  </w:style>
  <w:style w:type="paragraph" w:customStyle="1" w:styleId="ListLetter">
    <w:name w:val="List Letter"/>
    <w:pPr>
      <w:numPr>
        <w:numId w:val="21"/>
      </w:numPr>
      <w:spacing w:before="60" w:after="60" w:line="360" w:lineRule="exact"/>
    </w:pPr>
    <w:rPr>
      <w:rFonts w:ascii="Times New Roman" w:eastAsia="MS Mincho" w:hAnsi="Times New Roman" w:cs="Times New Roman"/>
      <w:sz w:val="24"/>
      <w:szCs w:val="24"/>
      <w:lang w:val="en-US" w:eastAsia="ja-JP"/>
    </w:rPr>
  </w:style>
  <w:style w:type="paragraph" w:customStyle="1" w:styleId="ListLetter2">
    <w:name w:val="List Letter 2"/>
    <w:pPr>
      <w:numPr>
        <w:numId w:val="22"/>
      </w:numPr>
      <w:spacing w:before="60" w:after="60" w:line="360" w:lineRule="exact"/>
    </w:pPr>
    <w:rPr>
      <w:rFonts w:ascii="Times New Roman" w:eastAsia="MS Mincho" w:hAnsi="Times New Roman" w:cs="Times New Roman"/>
      <w:sz w:val="24"/>
      <w:szCs w:val="24"/>
      <w:lang w:val="en-US" w:eastAsia="ja-JP"/>
    </w:rPr>
  </w:style>
  <w:style w:type="paragraph" w:customStyle="1" w:styleId="ListLetter3">
    <w:name w:val="List Letter 3"/>
    <w:pPr>
      <w:numPr>
        <w:numId w:val="23"/>
      </w:numPr>
      <w:spacing w:before="60" w:after="60" w:line="360" w:lineRule="exact"/>
    </w:pPr>
    <w:rPr>
      <w:rFonts w:ascii="Times New Roman" w:eastAsia="MS Mincho" w:hAnsi="Times New Roman" w:cs="Times New Roman"/>
      <w:sz w:val="24"/>
      <w:szCs w:val="24"/>
      <w:lang w:val="en-US" w:eastAsia="ja-JP"/>
    </w:rPr>
  </w:style>
  <w:style w:type="character" w:customStyle="1" w:styleId="UserTips">
    <w:name w:val="User Tips"/>
    <w:rPr>
      <w:b w:val="0"/>
      <w:i/>
      <w:vanish/>
      <w:color w:val="FF6600"/>
      <w:u w:val="none"/>
      <w:vertAlign w:val="baseline"/>
      <w:lang w:val="en-US" w:eastAsia="ja-JP"/>
    </w:rPr>
  </w:style>
  <w:style w:type="paragraph" w:customStyle="1" w:styleId="Appendix">
    <w:name w:val="Appendix"/>
    <w:next w:val="Paragraph"/>
    <w:pPr>
      <w:keepNext/>
      <w:keepLines/>
      <w:pageBreakBefore/>
      <w:numPr>
        <w:numId w:val="24"/>
      </w:numPr>
      <w:spacing w:after="240" w:line="280" w:lineRule="exact"/>
    </w:pPr>
    <w:rPr>
      <w:rFonts w:ascii="Times New Roman" w:eastAsia="MS Mincho" w:hAnsi="Times New Roman" w:cs="Times New Roman"/>
      <w:b/>
      <w:bCs/>
      <w:sz w:val="24"/>
      <w:szCs w:val="24"/>
      <w:lang w:val="en-US" w:eastAsia="ja-JP"/>
    </w:rPr>
  </w:style>
  <w:style w:type="paragraph" w:customStyle="1" w:styleId="References">
    <w:name w:val="References"/>
    <w:pPr>
      <w:numPr>
        <w:numId w:val="25"/>
      </w:numPr>
      <w:spacing w:before="60" w:after="60" w:line="360" w:lineRule="exact"/>
    </w:pPr>
    <w:rPr>
      <w:rFonts w:ascii="Times New Roman" w:eastAsia="MS Mincho" w:hAnsi="Times New Roman" w:cs="Times New Roman"/>
      <w:sz w:val="24"/>
      <w:szCs w:val="24"/>
      <w:lang w:val="en-US" w:eastAsia="ja-JP"/>
    </w:rPr>
  </w:style>
  <w:style w:type="paragraph" w:customStyle="1" w:styleId="TableFootnote">
    <w:name w:val="Table Footnote"/>
    <w:pPr>
      <w:keepLines/>
      <w:numPr>
        <w:numId w:val="26"/>
      </w:numPr>
      <w:spacing w:before="40" w:after="0" w:line="240" w:lineRule="exact"/>
    </w:pPr>
    <w:rPr>
      <w:rFonts w:ascii="Times New Roman" w:eastAsia="MS Mincho" w:hAnsi="Times New Roman" w:cs="Times New Roman"/>
      <w:sz w:val="18"/>
      <w:szCs w:val="18"/>
      <w:lang w:val="en-US" w:eastAsia="ja-JP"/>
    </w:rPr>
  </w:style>
  <w:style w:type="paragraph" w:customStyle="1" w:styleId="TableFootnoteLetter">
    <w:name w:val="Table Footnote Letter"/>
    <w:pPr>
      <w:keepLines/>
      <w:numPr>
        <w:numId w:val="27"/>
      </w:numPr>
      <w:spacing w:before="40" w:after="0" w:line="240" w:lineRule="exact"/>
    </w:pPr>
    <w:rPr>
      <w:rFonts w:ascii="Times New Roman" w:eastAsia="MS Mincho" w:hAnsi="Times New Roman" w:cs="Times New Roman"/>
      <w:sz w:val="18"/>
      <w:szCs w:val="18"/>
      <w:lang w:val="en-US" w:eastAsia="ja-JP"/>
    </w:rPr>
  </w:style>
  <w:style w:type="paragraph" w:customStyle="1" w:styleId="Address">
    <w:name w:val="Address"/>
    <w:next w:val="Paragraph"/>
    <w:pPr>
      <w:keepLines/>
      <w:spacing w:before="120" w:after="120" w:line="240" w:lineRule="auto"/>
      <w:ind w:left="864"/>
    </w:pPr>
    <w:rPr>
      <w:rFonts w:ascii="Times New Roman" w:eastAsia="MS Mincho" w:hAnsi="Times New Roman" w:cs="Times New Roman"/>
      <w:sz w:val="24"/>
      <w:szCs w:val="24"/>
      <w:lang w:val="en-US" w:eastAsia="ja-JP"/>
    </w:rPr>
  </w:style>
  <w:style w:type="paragraph" w:styleId="Caption">
    <w:name w:val="caption"/>
    <w:basedOn w:val="Normal"/>
    <w:next w:val="Normal"/>
    <w:qFormat/>
    <w:pPr>
      <w:spacing w:before="120" w:after="120" w:line="240" w:lineRule="auto"/>
    </w:pPr>
    <w:rPr>
      <w:rFonts w:ascii="Times New Roman" w:eastAsia="MS Mincho" w:hAnsi="Times New Roman" w:cs="Times New Roman"/>
      <w:b/>
      <w:bCs/>
      <w:sz w:val="20"/>
      <w:szCs w:val="20"/>
      <w:lang w:val="en-US" w:eastAsia="ja-JP"/>
    </w:rPr>
  </w:style>
  <w:style w:type="paragraph" w:customStyle="1" w:styleId="TOCSection">
    <w:name w:val="TOC Section"/>
    <w:next w:val="TableofFigures"/>
    <w:pPr>
      <w:keepNext/>
      <w:keepLines/>
      <w:spacing w:after="240" w:line="360" w:lineRule="exact"/>
    </w:pPr>
    <w:rPr>
      <w:rFonts w:ascii="Times New Roman" w:eastAsia="MS Mincho" w:hAnsi="Times New Roman" w:cs="Times New Roman"/>
      <w:b/>
      <w:bCs/>
      <w:sz w:val="30"/>
      <w:szCs w:val="30"/>
      <w:lang w:val="en-US" w:eastAsia="ja-JP"/>
    </w:rPr>
  </w:style>
  <w:style w:type="paragraph" w:customStyle="1" w:styleId="TOCTitle">
    <w:name w:val="TOC Title"/>
    <w:next w:val="TOC1"/>
    <w:pPr>
      <w:keepNext/>
      <w:keepLines/>
      <w:spacing w:after="240" w:line="360" w:lineRule="exact"/>
    </w:pPr>
    <w:rPr>
      <w:rFonts w:ascii="Times New Roman" w:eastAsia="MS Mincho" w:hAnsi="Times New Roman" w:cs="Times New Roman"/>
      <w:b/>
      <w:bCs/>
      <w:sz w:val="30"/>
      <w:szCs w:val="30"/>
      <w:lang w:val="en-US" w:eastAsia="ja-JP"/>
    </w:rPr>
  </w:style>
  <w:style w:type="paragraph" w:customStyle="1" w:styleId="Figure">
    <w:name w:val="Figure"/>
    <w:next w:val="Paragraph"/>
    <w:pPr>
      <w:spacing w:after="240" w:line="240" w:lineRule="auto"/>
      <w:jc w:val="center"/>
    </w:pPr>
    <w:rPr>
      <w:rFonts w:ascii="Times New Roman" w:eastAsia="MS Mincho" w:hAnsi="Times New Roman" w:cs="Times New Roman"/>
      <w:sz w:val="24"/>
      <w:szCs w:val="24"/>
      <w:lang w:val="en-US" w:eastAsia="ja-JP"/>
    </w:rPr>
  </w:style>
  <w:style w:type="paragraph" w:customStyle="1" w:styleId="EquationTitle">
    <w:name w:val="Equation Title"/>
    <w:next w:val="Equation"/>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FigureTitle">
    <w:name w:val="Figure Title"/>
    <w:next w:val="Figur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FigureEndofTextTitle">
    <w:name w:val="Figure End of Text Title"/>
    <w:next w:val="Figur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TableEndofTextTitle">
    <w:name w:val="Table End of Text Title"/>
    <w:next w:val="Paragraph"/>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TableTitleContinued">
    <w:name w:val="Table Title Continued"/>
    <w:next w:val="TableLeft"/>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TableTitleCenter">
    <w:name w:val="Table Title Center"/>
    <w:next w:val="Paragraph"/>
    <w:pPr>
      <w:keepNext/>
      <w:keepLines/>
      <w:spacing w:after="240" w:line="240" w:lineRule="auto"/>
      <w:jc w:val="center"/>
    </w:pPr>
    <w:rPr>
      <w:rFonts w:ascii="Times New Roman" w:eastAsia="MS Mincho" w:hAnsi="Times New Roman" w:cs="Times New Roman"/>
      <w:b/>
      <w:bCs/>
      <w:sz w:val="24"/>
      <w:szCs w:val="24"/>
      <w:lang w:val="en-US" w:eastAsia="ja-JP"/>
    </w:rPr>
  </w:style>
  <w:style w:type="character" w:customStyle="1" w:styleId="Citation">
    <w:name w:val="Citation"/>
    <w:rPr>
      <w:color w:val="auto"/>
      <w:vertAlign w:val="superscript"/>
      <w:lang w:val="en-US" w:eastAsia="ja-JP"/>
    </w:rPr>
  </w:style>
  <w:style w:type="paragraph" w:customStyle="1" w:styleId="Heading1NoTOC">
    <w:name w:val="Heading 1 No TOC"/>
    <w:next w:val="Paragraph"/>
    <w:pPr>
      <w:keepNext/>
      <w:keepLines/>
      <w:tabs>
        <w:tab w:val="left" w:pos="1800"/>
      </w:tabs>
      <w:spacing w:before="120" w:after="240" w:line="240" w:lineRule="auto"/>
    </w:pPr>
    <w:rPr>
      <w:rFonts w:ascii="Arial" w:eastAsia="MS Gothic" w:hAnsi="Arial" w:cs="Arial"/>
      <w:b/>
      <w:bCs/>
      <w:sz w:val="28"/>
      <w:szCs w:val="28"/>
      <w:lang w:val="en-US" w:eastAsia="ja-JP"/>
    </w:rPr>
  </w:style>
  <w:style w:type="paragraph" w:customStyle="1" w:styleId="Heading2NoTOC">
    <w:name w:val="Heading 2 No TOC"/>
    <w:next w:val="Paragraph"/>
    <w:pPr>
      <w:keepNext/>
      <w:keepLines/>
      <w:tabs>
        <w:tab w:val="left" w:pos="1800"/>
      </w:tabs>
      <w:spacing w:before="120" w:after="240" w:line="240" w:lineRule="auto"/>
    </w:pPr>
    <w:rPr>
      <w:rFonts w:ascii="Arial" w:eastAsia="MS Gothic" w:hAnsi="Arial" w:cs="Arial"/>
      <w:b/>
      <w:bCs/>
      <w:sz w:val="24"/>
      <w:szCs w:val="24"/>
      <w:lang w:val="en-US" w:eastAsia="ja-JP"/>
    </w:rPr>
  </w:style>
  <w:style w:type="paragraph" w:styleId="DocumentMap">
    <w:name w:val="Document Map"/>
    <w:basedOn w:val="Normal"/>
    <w:link w:val="DocumentMapChar"/>
    <w:pPr>
      <w:shd w:val="clear" w:color="auto" w:fill="000080"/>
      <w:spacing w:after="0" w:line="240" w:lineRule="auto"/>
    </w:pPr>
    <w:rPr>
      <w:rFonts w:ascii="Tahoma" w:eastAsia="MS Mincho" w:hAnsi="Tahoma" w:cs="Tahoma"/>
      <w:sz w:val="20"/>
      <w:szCs w:val="20"/>
      <w:lang w:val="en-US" w:eastAsia="ja-JP"/>
    </w:rPr>
  </w:style>
  <w:style w:type="character" w:customStyle="1" w:styleId="DocumentMapChar">
    <w:name w:val="Document Map Char"/>
    <w:basedOn w:val="DefaultParagraphFont"/>
    <w:link w:val="DocumentMap"/>
    <w:rPr>
      <w:rFonts w:ascii="Tahoma" w:eastAsia="MS Mincho" w:hAnsi="Tahoma" w:cs="Tahoma"/>
      <w:sz w:val="20"/>
      <w:szCs w:val="20"/>
      <w:shd w:val="clear" w:color="auto" w:fill="000080"/>
      <w:lang w:val="en-US" w:eastAsia="ja-JP"/>
    </w:rPr>
  </w:style>
  <w:style w:type="paragraph" w:styleId="Index1">
    <w:name w:val="index 1"/>
    <w:basedOn w:val="Normal"/>
    <w:next w:val="Normal"/>
    <w:pPr>
      <w:spacing w:after="0" w:line="240" w:lineRule="auto"/>
      <w:ind w:left="240" w:hanging="240"/>
    </w:pPr>
    <w:rPr>
      <w:rFonts w:ascii="Times New Roman" w:eastAsia="MS Mincho" w:hAnsi="Times New Roman" w:cs="Times New Roman"/>
      <w:sz w:val="24"/>
      <w:szCs w:val="24"/>
      <w:lang w:val="en-US" w:eastAsia="ja-JP"/>
    </w:rPr>
  </w:style>
  <w:style w:type="paragraph" w:styleId="Index2">
    <w:name w:val="index 2"/>
    <w:basedOn w:val="Normal"/>
    <w:next w:val="Normal"/>
    <w:pPr>
      <w:spacing w:after="0" w:line="240" w:lineRule="auto"/>
      <w:ind w:left="480" w:hanging="240"/>
    </w:pPr>
    <w:rPr>
      <w:rFonts w:ascii="Times New Roman" w:eastAsia="MS Mincho" w:hAnsi="Times New Roman" w:cs="Times New Roman"/>
      <w:sz w:val="24"/>
      <w:szCs w:val="24"/>
      <w:lang w:val="en-US" w:eastAsia="ja-JP"/>
    </w:rPr>
  </w:style>
  <w:style w:type="paragraph" w:styleId="Index3">
    <w:name w:val="index 3"/>
    <w:basedOn w:val="Normal"/>
    <w:next w:val="Normal"/>
    <w:pPr>
      <w:spacing w:after="0" w:line="240" w:lineRule="auto"/>
      <w:ind w:left="720" w:hanging="240"/>
    </w:pPr>
    <w:rPr>
      <w:rFonts w:ascii="Times New Roman" w:eastAsia="MS Mincho" w:hAnsi="Times New Roman" w:cs="Times New Roman"/>
      <w:sz w:val="24"/>
      <w:szCs w:val="24"/>
      <w:lang w:val="en-US" w:eastAsia="ja-JP"/>
    </w:rPr>
  </w:style>
  <w:style w:type="paragraph" w:styleId="Index4">
    <w:name w:val="index 4"/>
    <w:basedOn w:val="Normal"/>
    <w:next w:val="Normal"/>
    <w:pPr>
      <w:spacing w:after="0" w:line="240" w:lineRule="auto"/>
      <w:ind w:left="960" w:hanging="240"/>
    </w:pPr>
    <w:rPr>
      <w:rFonts w:ascii="Times New Roman" w:eastAsia="MS Mincho" w:hAnsi="Times New Roman" w:cs="Times New Roman"/>
      <w:sz w:val="24"/>
      <w:szCs w:val="24"/>
      <w:lang w:val="en-US" w:eastAsia="ja-JP"/>
    </w:rPr>
  </w:style>
  <w:style w:type="paragraph" w:styleId="Index5">
    <w:name w:val="index 5"/>
    <w:basedOn w:val="Normal"/>
    <w:next w:val="Normal"/>
    <w:pPr>
      <w:spacing w:after="0" w:line="240" w:lineRule="auto"/>
      <w:ind w:left="1200" w:hanging="240"/>
    </w:pPr>
    <w:rPr>
      <w:rFonts w:ascii="Times New Roman" w:eastAsia="MS Mincho" w:hAnsi="Times New Roman" w:cs="Times New Roman"/>
      <w:sz w:val="24"/>
      <w:szCs w:val="24"/>
      <w:lang w:val="en-US" w:eastAsia="ja-JP"/>
    </w:rPr>
  </w:style>
  <w:style w:type="paragraph" w:styleId="Index6">
    <w:name w:val="index 6"/>
    <w:basedOn w:val="Normal"/>
    <w:next w:val="Normal"/>
    <w:pPr>
      <w:spacing w:after="0" w:line="240" w:lineRule="auto"/>
      <w:ind w:left="1440" w:hanging="240"/>
    </w:pPr>
    <w:rPr>
      <w:rFonts w:ascii="Times New Roman" w:eastAsia="MS Mincho" w:hAnsi="Times New Roman" w:cs="Times New Roman"/>
      <w:sz w:val="24"/>
      <w:szCs w:val="24"/>
      <w:lang w:val="en-US" w:eastAsia="ja-JP"/>
    </w:rPr>
  </w:style>
  <w:style w:type="paragraph" w:styleId="Index7">
    <w:name w:val="index 7"/>
    <w:basedOn w:val="Normal"/>
    <w:next w:val="Normal"/>
    <w:pPr>
      <w:spacing w:after="0" w:line="240" w:lineRule="auto"/>
      <w:ind w:left="1680" w:hanging="240"/>
    </w:pPr>
    <w:rPr>
      <w:rFonts w:ascii="Times New Roman" w:eastAsia="MS Mincho" w:hAnsi="Times New Roman" w:cs="Times New Roman"/>
      <w:sz w:val="24"/>
      <w:szCs w:val="24"/>
      <w:lang w:val="en-US" w:eastAsia="ja-JP"/>
    </w:rPr>
  </w:style>
  <w:style w:type="paragraph" w:styleId="Index8">
    <w:name w:val="index 8"/>
    <w:basedOn w:val="Normal"/>
    <w:next w:val="Normal"/>
    <w:pPr>
      <w:spacing w:after="0" w:line="240" w:lineRule="auto"/>
      <w:ind w:left="1920" w:hanging="240"/>
    </w:pPr>
    <w:rPr>
      <w:rFonts w:ascii="Times New Roman" w:eastAsia="MS Mincho" w:hAnsi="Times New Roman" w:cs="Times New Roman"/>
      <w:sz w:val="24"/>
      <w:szCs w:val="24"/>
      <w:lang w:val="en-US" w:eastAsia="ja-JP"/>
    </w:rPr>
  </w:style>
  <w:style w:type="paragraph" w:styleId="Index9">
    <w:name w:val="index 9"/>
    <w:basedOn w:val="Normal"/>
    <w:next w:val="Normal"/>
    <w:pPr>
      <w:spacing w:after="0" w:line="240" w:lineRule="auto"/>
      <w:ind w:left="2160" w:hanging="240"/>
    </w:pPr>
    <w:rPr>
      <w:rFonts w:ascii="Times New Roman" w:eastAsia="MS Mincho" w:hAnsi="Times New Roman" w:cs="Times New Roman"/>
      <w:sz w:val="24"/>
      <w:szCs w:val="24"/>
      <w:lang w:val="en-US" w:eastAsia="ja-JP"/>
    </w:rPr>
  </w:style>
  <w:style w:type="paragraph" w:styleId="IndexHeading">
    <w:name w:val="index heading"/>
    <w:basedOn w:val="Normal"/>
    <w:next w:val="Index1"/>
    <w:pPr>
      <w:spacing w:after="0" w:line="240" w:lineRule="auto"/>
    </w:pPr>
    <w:rPr>
      <w:rFonts w:ascii="Arial" w:eastAsia="MS Mincho" w:hAnsi="Arial" w:cs="Arial"/>
      <w:b/>
      <w:bCs/>
      <w:sz w:val="24"/>
      <w:szCs w:val="24"/>
      <w:lang w:val="en-US" w:eastAsia="ja-JP"/>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US" w:eastAsia="ja-JP"/>
    </w:rPr>
  </w:style>
  <w:style w:type="character" w:customStyle="1" w:styleId="MacroTextChar">
    <w:name w:val="Macro Text Char"/>
    <w:basedOn w:val="DefaultParagraphFont"/>
    <w:link w:val="MacroText"/>
    <w:rPr>
      <w:rFonts w:ascii="Courier New" w:eastAsia="MS Mincho" w:hAnsi="Courier New" w:cs="Courier New"/>
      <w:sz w:val="20"/>
      <w:szCs w:val="20"/>
      <w:lang w:val="en-US" w:eastAsia="ja-JP"/>
    </w:rPr>
  </w:style>
  <w:style w:type="paragraph" w:styleId="TableofAuthorities">
    <w:name w:val="table of authorities"/>
    <w:basedOn w:val="Normal"/>
    <w:next w:val="Normal"/>
    <w:pPr>
      <w:spacing w:after="0" w:line="240" w:lineRule="auto"/>
      <w:ind w:left="240" w:hanging="240"/>
    </w:pPr>
    <w:rPr>
      <w:rFonts w:ascii="Times New Roman" w:eastAsia="MS Mincho" w:hAnsi="Times New Roman" w:cs="Times New Roman"/>
      <w:sz w:val="24"/>
      <w:szCs w:val="24"/>
      <w:lang w:val="en-US" w:eastAsia="ja-JP"/>
    </w:rPr>
  </w:style>
  <w:style w:type="paragraph" w:styleId="TOAHeading">
    <w:name w:val="toa heading"/>
    <w:basedOn w:val="Normal"/>
    <w:next w:val="Normal"/>
    <w:pPr>
      <w:spacing w:before="120" w:after="0" w:line="240" w:lineRule="auto"/>
    </w:pPr>
    <w:rPr>
      <w:rFonts w:ascii="Arial" w:eastAsia="MS Mincho" w:hAnsi="Arial" w:cs="Arial"/>
      <w:b/>
      <w:bCs/>
      <w:sz w:val="24"/>
      <w:szCs w:val="24"/>
      <w:lang w:val="en-US" w:eastAsia="ja-JP"/>
    </w:rPr>
  </w:style>
  <w:style w:type="paragraph" w:customStyle="1" w:styleId="Heading5Unnumbered">
    <w:name w:val="Heading 5 Unnumbered"/>
    <w:next w:val="Paragraph"/>
    <w:pPr>
      <w:keepNext/>
      <w:keepLines/>
      <w:tabs>
        <w:tab w:val="left" w:pos="1800"/>
      </w:tabs>
      <w:spacing w:before="120" w:after="240" w:line="240" w:lineRule="auto"/>
      <w:ind w:left="1800" w:hanging="1800"/>
      <w:outlineLvl w:val="4"/>
    </w:pPr>
    <w:rPr>
      <w:rFonts w:ascii="Arial" w:eastAsia="MS Gothic" w:hAnsi="Arial" w:cs="Arial"/>
      <w:b/>
      <w:sz w:val="24"/>
      <w:szCs w:val="30"/>
      <w:lang w:val="en-US" w:eastAsia="ja-JP"/>
    </w:rPr>
  </w:style>
  <w:style w:type="paragraph" w:customStyle="1" w:styleId="Equation">
    <w:name w:val="Equation"/>
    <w:next w:val="Paragraph"/>
    <w:pPr>
      <w:keepLines/>
      <w:spacing w:after="120" w:line="240" w:lineRule="auto"/>
      <w:jc w:val="center"/>
    </w:pPr>
    <w:rPr>
      <w:rFonts w:ascii="Times New Roman" w:eastAsia="Times New Roman" w:hAnsi="Times New Roman" w:cs="Arial"/>
      <w:sz w:val="24"/>
      <w:szCs w:val="24"/>
      <w:lang w:val="en-US"/>
    </w:rPr>
  </w:style>
  <w:style w:type="paragraph" w:customStyle="1" w:styleId="EMEABodyText">
    <w:name w:val="EMEA Body Text"/>
    <w:basedOn w:val="Normal"/>
    <w:link w:val="EMEABodyTextChar"/>
    <w:pPr>
      <w:spacing w:after="0" w:line="240" w:lineRule="auto"/>
    </w:pPr>
    <w:rPr>
      <w:rFonts w:ascii="Times New Roman" w:eastAsia="Times New Roman" w:hAnsi="Times New Roman" w:cs="Times New Roman"/>
      <w:szCs w:val="20"/>
      <w:lang w:val="x-none"/>
    </w:rPr>
  </w:style>
  <w:style w:type="character" w:customStyle="1" w:styleId="EMEABodyTextChar">
    <w:name w:val="EMEA Body Text Char"/>
    <w:link w:val="EMEABodyText"/>
    <w:rPr>
      <w:rFonts w:ascii="Times New Roman" w:eastAsia="Times New Roman" w:hAnsi="Times New Roman" w:cs="Times New Roman"/>
      <w:szCs w:val="20"/>
      <w:lang w:val="x-none"/>
    </w:rPr>
  </w:style>
  <w:style w:type="paragraph" w:customStyle="1" w:styleId="Liststycke">
    <w:name w:val="Liststycke"/>
    <w:basedOn w:val="Normal"/>
    <w:uiPriority w:val="34"/>
    <w:qFormat/>
    <w:pPr>
      <w:tabs>
        <w:tab w:val="left" w:pos="567"/>
      </w:tabs>
      <w:spacing w:after="0" w:line="240" w:lineRule="auto"/>
      <w:ind w:left="720"/>
      <w:contextualSpacing/>
    </w:pPr>
    <w:rPr>
      <w:rFonts w:ascii="Times New Roman" w:eastAsia="Times New Roman" w:hAnsi="Times New Roman" w:cs="Times New Roman"/>
      <w:szCs w:val="20"/>
      <w:lang w:val="en-GB"/>
    </w:rPr>
  </w:style>
  <w:style w:type="table" w:customStyle="1" w:styleId="Ljusskuggning-dekorfrg1">
    <w:name w:val="Ljus skuggning - dekorfärg 1"/>
    <w:basedOn w:val="TableNormal"/>
    <w:uiPriority w:val="60"/>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jusskuggning">
    <w:name w:val="Ljus skuggning"/>
    <w:basedOn w:val="TableNormal"/>
    <w:uiPriority w:val="60"/>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3">
    <w:name w:val="Ljus skuggning - dekorfärg 3"/>
    <w:basedOn w:val="TableNormal"/>
    <w:uiPriority w:val="60"/>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llanmrkskuggning2-dekorfrg2">
    <w:name w:val="Mellanmörk skuggning 2 - dekorfärg 2"/>
    <w:basedOn w:val="TableNormal"/>
    <w:uiPriority w:val="6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Frgatrutnt-dekorfrg3">
    <w:name w:val="Färgat rutnät - dekorfärg 3"/>
    <w:basedOn w:val="TableNormal"/>
    <w:uiPriority w:val="73"/>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llanmrklista2-dekorfrg3">
    <w:name w:val="Mellanmörk lista 2 - dekorfärg 3"/>
    <w:basedOn w:val="TableNormal"/>
    <w:uiPriority w:val="66"/>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llanmrkskuggning2-dekorfrg5">
    <w:name w:val="Mellanmörk skuggning 2 - dekorfärg 5"/>
    <w:basedOn w:val="TableNormal"/>
    <w:uiPriority w:val="6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3-dekorfrg5">
    <w:name w:val="Mellanmörkt rutnät 3 - dekorfärg 5"/>
    <w:basedOn w:val="TableNormal"/>
    <w:uiPriority w:val="6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ListBullet7">
    <w:name w:val="List Bullet 7"/>
    <w:pPr>
      <w:tabs>
        <w:tab w:val="num" w:pos="3240"/>
      </w:tabs>
      <w:spacing w:before="60" w:after="60" w:line="320" w:lineRule="exact"/>
      <w:ind w:left="3240" w:hanging="360"/>
    </w:pPr>
    <w:rPr>
      <w:rFonts w:ascii="Times New Roman" w:eastAsia="MS Mincho" w:hAnsi="Times New Roman" w:cs="Times New Roman"/>
      <w:sz w:val="24"/>
      <w:szCs w:val="24"/>
      <w:lang w:val="en-US" w:eastAsia="ja-JP"/>
    </w:rPr>
  </w:style>
  <w:style w:type="character" w:customStyle="1" w:styleId="cit">
    <w:name w:val="cit"/>
  </w:style>
  <w:style w:type="paragraph" w:customStyle="1" w:styleId="CM2">
    <w:name w:val="CM2"/>
    <w:basedOn w:val="Default"/>
    <w:next w:val="Default"/>
    <w:uiPriority w:val="99"/>
    <w:pPr>
      <w:spacing w:line="268" w:lineRule="atLeast"/>
    </w:pPr>
    <w:rPr>
      <w:color w:val="auto"/>
    </w:rPr>
  </w:style>
  <w:style w:type="character" w:customStyle="1" w:styleId="slug-pub-date3">
    <w:name w:val="slug-pub-date3"/>
    <w:rPr>
      <w:b/>
      <w:bCs/>
    </w:rPr>
  </w:style>
  <w:style w:type="character" w:customStyle="1" w:styleId="slug-vol">
    <w:name w:val="slug-vol"/>
  </w:style>
  <w:style w:type="character" w:customStyle="1" w:styleId="slug-issue">
    <w:name w:val="slug-issue"/>
  </w:style>
  <w:style w:type="character" w:customStyle="1" w:styleId="slug-pages3">
    <w:name w:val="slug-pages3"/>
    <w:rPr>
      <w:b/>
      <w:bCs/>
    </w:rPr>
  </w:style>
  <w:style w:type="character" w:customStyle="1" w:styleId="maintitle">
    <w:name w:val="maintitle"/>
  </w:style>
  <w:style w:type="character" w:customStyle="1" w:styleId="name2">
    <w:name w:val="name2"/>
  </w:style>
  <w:style w:type="character" w:customStyle="1" w:styleId="xref-sep2">
    <w:name w:val="xref-sep2"/>
  </w:style>
  <w:style w:type="paragraph" w:styleId="Bibliography">
    <w:name w:val="Bibliography"/>
    <w:basedOn w:val="Normal"/>
    <w:next w:val="Normal"/>
    <w:uiPriority w:val="37"/>
    <w:semiHidden/>
    <w:unhideWhenUsed/>
    <w:pPr>
      <w:tabs>
        <w:tab w:val="left" w:pos="567"/>
      </w:tabs>
      <w:spacing w:after="0" w:line="240" w:lineRule="auto"/>
    </w:pPr>
    <w:rPr>
      <w:rFonts w:ascii="Times New Roman" w:eastAsia="Times New Roman" w:hAnsi="Times New Roman" w:cs="Times New Roman"/>
      <w:szCs w:val="20"/>
      <w:lang w:val="en-GB"/>
    </w:rPr>
  </w:style>
  <w:style w:type="paragraph" w:styleId="IntenseQuote">
    <w:name w:val="Intense Quote"/>
    <w:basedOn w:val="Normal"/>
    <w:next w:val="Normal"/>
    <w:link w:val="IntenseQuoteChar"/>
    <w:uiPriority w:val="30"/>
    <w:qFormat/>
    <w:pPr>
      <w:pBdr>
        <w:bottom w:val="single" w:sz="4" w:space="4" w:color="4F81BD"/>
      </w:pBdr>
      <w:tabs>
        <w:tab w:val="left" w:pos="567"/>
      </w:tabs>
      <w:spacing w:before="200" w:after="280" w:line="240" w:lineRule="auto"/>
      <w:ind w:left="936" w:right="936"/>
    </w:pPr>
    <w:rPr>
      <w:rFonts w:ascii="Times New Roman" w:eastAsia="Times New Roman" w:hAnsi="Times New Roman" w:cs="Times New Roman"/>
      <w:b/>
      <w:bCs/>
      <w:i/>
      <w:iCs/>
      <w:color w:val="4F81BD"/>
      <w:szCs w:val="20"/>
      <w:lang w:val="en-GB"/>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b/>
      <w:bCs/>
      <w:i/>
      <w:iCs/>
      <w:color w:val="4F81BD"/>
      <w:szCs w:val="20"/>
      <w:lang w:val="en-GB"/>
    </w:rPr>
  </w:style>
  <w:style w:type="paragraph" w:styleId="NoSpacing">
    <w:name w:val="No Spacing"/>
    <w:uiPriority w:val="1"/>
    <w:qFormat/>
    <w:pPr>
      <w:tabs>
        <w:tab w:val="left" w:pos="567"/>
      </w:tabs>
      <w:spacing w:after="0" w:line="240" w:lineRule="auto"/>
    </w:pPr>
    <w:rPr>
      <w:rFonts w:ascii="Times New Roman" w:eastAsia="Times New Roman" w:hAnsi="Times New Roman" w:cs="Times New Roman"/>
      <w:szCs w:val="20"/>
      <w:lang w:val="en-GB"/>
    </w:rPr>
  </w:style>
  <w:style w:type="paragraph" w:styleId="Quote">
    <w:name w:val="Quote"/>
    <w:basedOn w:val="Normal"/>
    <w:next w:val="Normal"/>
    <w:link w:val="QuoteChar"/>
    <w:uiPriority w:val="29"/>
    <w:qFormat/>
    <w:pPr>
      <w:tabs>
        <w:tab w:val="left" w:pos="567"/>
      </w:tabs>
      <w:spacing w:after="0" w:line="240" w:lineRule="auto"/>
    </w:pPr>
    <w:rPr>
      <w:rFonts w:ascii="Times New Roman" w:eastAsia="Times New Roman" w:hAnsi="Times New Roman" w:cs="Times New Roman"/>
      <w:i/>
      <w:iCs/>
      <w:color w:val="000000"/>
      <w:szCs w:val="20"/>
      <w:lang w:val="en-GB"/>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Cs w:val="20"/>
      <w:lang w:val="en-GB"/>
    </w:rPr>
  </w:style>
  <w:style w:type="paragraph" w:styleId="TOCHeading">
    <w:name w:val="TOC Heading"/>
    <w:basedOn w:val="Heading1"/>
    <w:next w:val="Normal"/>
    <w:uiPriority w:val="39"/>
    <w:qFormat/>
    <w:pPr>
      <w:tabs>
        <w:tab w:val="left" w:pos="567"/>
      </w:tabs>
      <w:jc w:val="left"/>
      <w:outlineLvl w:val="9"/>
    </w:pPr>
    <w:rPr>
      <w:rFonts w:ascii="Cambria" w:hAnsi="Cambria"/>
      <w:bCs/>
      <w:caps w:val="0"/>
      <w:kern w:val="32"/>
      <w:sz w:val="32"/>
      <w:szCs w:val="32"/>
      <w:lang w:val="en-GB"/>
    </w:rPr>
  </w:style>
  <w:style w:type="character" w:styleId="SubtleEmphasis">
    <w:name w:val="Subtle Emphasis"/>
    <w:basedOn w:val="DefaultParagraphFont"/>
    <w:uiPriority w:val="19"/>
    <w:qFormat/>
    <w:rPr>
      <w:i/>
      <w:iCs/>
      <w:color w:val="808080" w:themeColor="text1" w:themeTint="7F"/>
    </w:rPr>
  </w:style>
  <w:style w:type="numbering" w:customStyle="1" w:styleId="NoList1">
    <w:name w:val="No List1"/>
    <w:next w:val="NoList"/>
    <w:uiPriority w:val="99"/>
    <w:semiHidden/>
    <w:unhideWhenUsed/>
  </w:style>
  <w:style w:type="table" w:customStyle="1" w:styleId="TableGrid20">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table" w:customStyle="1" w:styleId="TableGrid30">
    <w:name w:val="Table Grid3"/>
    <w:basedOn w:val="TableNormal"/>
    <w:next w:val="TableGrid"/>
    <w:uiPriority w:val="5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Agencyblack1">
    <w:name w:val="Table grid (Agency) black1"/>
    <w:basedOn w:val="TableNormal"/>
    <w:semiHidden/>
    <w:pPr>
      <w:spacing w:after="0" w:line="240" w:lineRule="auto"/>
    </w:pPr>
    <w:rPr>
      <w:rFonts w:ascii="Verdana" w:eastAsia="SimSun" w:hAnsi="Verdana" w:cs="Times New Roman"/>
      <w:sz w:val="18"/>
      <w:szCs w:val="20"/>
      <w:lang w:val="en-GB" w:eastAsia="en-A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mbria Math" w:hAnsi="Cambria Math"/>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GTCTitle17">
    <w:name w:val="GTC Title17"/>
    <w:basedOn w:val="TableNormal"/>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21">
    <w:name w:val="GTC Title21"/>
    <w:basedOn w:val="TableNormal"/>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31">
    <w:name w:val="GTC Title31"/>
    <w:basedOn w:val="TableNormal"/>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41">
    <w:name w:val="GTC Title41"/>
    <w:basedOn w:val="TableNormal"/>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11">
    <w:name w:val="GTC Heading 111"/>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11">
    <w:name w:val="GTC Heading 21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11">
    <w:name w:val="GTC Heading 31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11">
    <w:name w:val="GTC Heading 411"/>
    <w:basedOn w:val="TableNormal"/>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120">
    <w:name w:val="GTC Link Text12"/>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11">
    <w:name w:val="GTC List Text11"/>
    <w:basedOn w:val="TableNormal"/>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11">
    <w:name w:val="GTC Table List Text11"/>
    <w:basedOn w:val="TableNormal"/>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11">
    <w:name w:val="GTC List Text Highlights11"/>
    <w:basedOn w:val="TableNormal"/>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11">
    <w:name w:val="GTC List Style None1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11">
    <w:name w:val="GTC List Style Circle1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11">
    <w:name w:val="GTC List Style Disc1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11">
    <w:name w:val="GTC List Style Square1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11">
    <w:name w:val="GTC List Style LittleRoman1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11">
    <w:name w:val="GTC List Style BigRoman1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11">
    <w:name w:val="GTC List Style LittleAlpha1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21">
    <w:name w:val="GTC List Style BigRoman2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11">
    <w:name w:val="GTC List Style Arabic1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11">
    <w:name w:val="GTC Table Title Otherwise1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11">
    <w:name w:val="GTC Table Title Insert11"/>
    <w:basedOn w:val="TableNormal"/>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11">
    <w:name w:val="GTC Table Title Delete11"/>
    <w:basedOn w:val="TableNormal"/>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Annotation1a">
    <w:name w:val="GTC Annotation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OutlineNumbering11">
    <w:name w:val="GTC Outline Numbering1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11">
    <w:name w:val="GTC Bullets1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SectionTitle14">
    <w:name w:val="GTC Section Title 14"/>
    <w:basedOn w:val="TableNormal"/>
    <w:pPr>
      <w:spacing w:before="240" w:after="240" w:line="240" w:lineRule="auto"/>
    </w:pPr>
    <w:rPr>
      <w:rFonts w:ascii="Times New Roman" w:eastAsia="Times New Roman" w:hAnsi="Times New Roman" w:cs="Times New Roman"/>
      <w:b/>
      <w:bCs/>
      <w:caps/>
      <w:sz w:val="24"/>
      <w:szCs w:val="24"/>
      <w:lang w:eastAsia="en-AU"/>
    </w:rPr>
    <w:tblPr>
      <w:tblCellMar>
        <w:left w:w="0" w:type="dxa"/>
        <w:right w:w="0" w:type="dxa"/>
      </w:tblCellMar>
    </w:tblPr>
  </w:style>
  <w:style w:type="table" w:customStyle="1" w:styleId="GTCSectionTitle24">
    <w:name w:val="GTC Section Title 24"/>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SectionTitle34">
    <w:name w:val="GTC Section Title 34"/>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SectionTitle44">
    <w:name w:val="GTC Section Title 44"/>
    <w:basedOn w:val="TableNormal"/>
    <w:pPr>
      <w:spacing w:before="240" w:after="240" w:line="240" w:lineRule="auto"/>
    </w:pPr>
    <w:rPr>
      <w:rFonts w:ascii="Times New Roman" w:eastAsia="Times New Roman" w:hAnsi="Times New Roman" w:cs="Times New Roman"/>
      <w:b/>
      <w:bCs/>
      <w:i/>
      <w:sz w:val="24"/>
      <w:szCs w:val="24"/>
      <w:lang w:eastAsia="en-AU"/>
    </w:rPr>
    <w:tblPr>
      <w:tblCellMar>
        <w:left w:w="0" w:type="dxa"/>
        <w:right w:w="0" w:type="dxa"/>
      </w:tblCellMar>
    </w:tblPr>
  </w:style>
  <w:style w:type="table" w:customStyle="1" w:styleId="GTCSectionTitle54">
    <w:name w:val="GTC Section Title 54"/>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table" w:customStyle="1" w:styleId="GTCSectionTitle64">
    <w:name w:val="GTC Section Title 64"/>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table" w:customStyle="1" w:styleId="GTCSectionTitle74">
    <w:name w:val="GTC Section Title 74"/>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table" w:customStyle="1" w:styleId="GTCSectionTitle84">
    <w:name w:val="GTC Section Title 84"/>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table" w:customStyle="1" w:styleId="GTCSectionTitle94">
    <w:name w:val="GTC Section Title 94"/>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table" w:customStyle="1" w:styleId="GTCTitle51">
    <w:name w:val="GTC Title51"/>
    <w:basedOn w:val="TableNormal"/>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61">
    <w:name w:val="GTC Title61"/>
    <w:basedOn w:val="TableNormal"/>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71">
    <w:name w:val="GTC Title71"/>
    <w:basedOn w:val="TableNormal"/>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81">
    <w:name w:val="GTC Title81"/>
    <w:basedOn w:val="TableNormal"/>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21">
    <w:name w:val="GTC Heading 121"/>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21">
    <w:name w:val="GTC Heading 22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21">
    <w:name w:val="GTC Heading 32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21">
    <w:name w:val="GTC Heading 421"/>
    <w:basedOn w:val="TableNormal"/>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22">
    <w:name w:val="GTC Link Text22"/>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21">
    <w:name w:val="GTC List Text21"/>
    <w:basedOn w:val="TableNormal"/>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21">
    <w:name w:val="GTC Table List Text21"/>
    <w:basedOn w:val="TableNormal"/>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21">
    <w:name w:val="GTC List Text Highlights21"/>
    <w:basedOn w:val="TableNormal"/>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21">
    <w:name w:val="GTC List Style None2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21">
    <w:name w:val="GTC List Style Circle2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21">
    <w:name w:val="GTC List Style Disc2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21">
    <w:name w:val="GTC List Style Square2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21">
    <w:name w:val="GTC List Style LittleRoman2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31">
    <w:name w:val="GTC List Style BigRoman3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21">
    <w:name w:val="GTC List Style LittleAlpha2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41">
    <w:name w:val="GTC List Style BigRoman4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21">
    <w:name w:val="GTC List Style Arabic2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21">
    <w:name w:val="GTC Table Title Otherwise2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21">
    <w:name w:val="GTC Table Title Insert21"/>
    <w:basedOn w:val="TableNormal"/>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21">
    <w:name w:val="GTC Table Title Delete21"/>
    <w:basedOn w:val="TableNormal"/>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21">
    <w:name w:val="GTC Outline Numbering2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21">
    <w:name w:val="GTC Bullets2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itle91">
    <w:name w:val="GTC Title91"/>
    <w:basedOn w:val="TableNormal"/>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01">
    <w:name w:val="GTC Title101"/>
    <w:basedOn w:val="TableNormal"/>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11">
    <w:name w:val="GTC Title111"/>
    <w:basedOn w:val="TableNormal"/>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21">
    <w:name w:val="GTC Title121"/>
    <w:basedOn w:val="TableNormal"/>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31">
    <w:name w:val="GTC Heading 131"/>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31">
    <w:name w:val="GTC Heading 23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31">
    <w:name w:val="GTC Heading 33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31">
    <w:name w:val="GTC Heading 431"/>
    <w:basedOn w:val="TableNormal"/>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32">
    <w:name w:val="GTC Link Text32"/>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31">
    <w:name w:val="GTC List Text31"/>
    <w:basedOn w:val="TableNormal"/>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31">
    <w:name w:val="GTC Table List Text31"/>
    <w:basedOn w:val="TableNormal"/>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31">
    <w:name w:val="GTC List Text Highlights31"/>
    <w:basedOn w:val="TableNormal"/>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31">
    <w:name w:val="GTC List Style None3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31">
    <w:name w:val="GTC List Style Circle3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31">
    <w:name w:val="GTC List Style Disc3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31">
    <w:name w:val="GTC List Style Square3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31">
    <w:name w:val="GTC List Style LittleRoman3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51">
    <w:name w:val="GTC List Style BigRoman5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31">
    <w:name w:val="GTC List Style LittleAlpha3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61">
    <w:name w:val="GTC List Style BigRoman6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31">
    <w:name w:val="GTC List Style Arabic3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31">
    <w:name w:val="GTC Table Title Otherwise3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31">
    <w:name w:val="GTC Table Title Insert31"/>
    <w:basedOn w:val="TableNormal"/>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31">
    <w:name w:val="GTC Table Title Delete31"/>
    <w:basedOn w:val="TableNormal"/>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31">
    <w:name w:val="GTC Outline Numbering3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31">
    <w:name w:val="GTC Bullets3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itle131">
    <w:name w:val="GTC Title131"/>
    <w:basedOn w:val="TableNormal"/>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41">
    <w:name w:val="GTC Title141"/>
    <w:basedOn w:val="TableNormal"/>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51">
    <w:name w:val="GTC Title151"/>
    <w:basedOn w:val="TableNormal"/>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61">
    <w:name w:val="GTC Title161"/>
    <w:basedOn w:val="TableNormal"/>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41">
    <w:name w:val="GTC Heading 141"/>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41">
    <w:name w:val="GTC Heading 24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41">
    <w:name w:val="GTC Heading 34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41">
    <w:name w:val="GTC Heading 441"/>
    <w:basedOn w:val="TableNormal"/>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41">
    <w:name w:val="GTC Link Text4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41">
    <w:name w:val="GTC List Text41"/>
    <w:basedOn w:val="TableNormal"/>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41">
    <w:name w:val="GTC Table List Text41"/>
    <w:basedOn w:val="TableNormal"/>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41">
    <w:name w:val="GTC List Text Highlights41"/>
    <w:basedOn w:val="TableNormal"/>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41">
    <w:name w:val="GTC List Style None4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41">
    <w:name w:val="GTC List Style Circle4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41">
    <w:name w:val="GTC List Style Disc4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41">
    <w:name w:val="GTC List Style Square4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41">
    <w:name w:val="GTC List Style LittleRoman4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71">
    <w:name w:val="GTC List Style BigRoman7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41">
    <w:name w:val="GTC List Style LittleAlpha4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81">
    <w:name w:val="GTC List Style BigRoman8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41">
    <w:name w:val="GTC List Style Arabic4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41">
    <w:name w:val="GTC Table Title Otherwise4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41">
    <w:name w:val="GTC Table Title Insert41"/>
    <w:basedOn w:val="TableNormal"/>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41">
    <w:name w:val="GTC Table Title Delete41"/>
    <w:basedOn w:val="TableNormal"/>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41">
    <w:name w:val="GTC Outline Numbering4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41">
    <w:name w:val="GTC Bullets4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TableGrid11">
    <w:name w:val="Table Grid11"/>
    <w:basedOn w:val="TableNormal"/>
    <w:next w:val="TableGrid"/>
    <w:pPr>
      <w:spacing w:before="100" w:beforeAutospacing="1" w:after="100" w:afterAutospacing="1"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next w:val="LightShading-Accent1"/>
    <w:uiPriority w:val="60"/>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next w:val="LightShading"/>
    <w:uiPriority w:val="60"/>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
    <w:name w:val="Light Shading - Accent 31"/>
    <w:basedOn w:val="TableNormal"/>
    <w:next w:val="LightShading-Accent3"/>
    <w:uiPriority w:val="60"/>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2-Accent21">
    <w:name w:val="Medium Shading 2 - Accent 21"/>
    <w:basedOn w:val="TableNormal"/>
    <w:next w:val="MediumShading2-Accent2"/>
    <w:uiPriority w:val="6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31">
    <w:name w:val="Colorful Grid - Accent 31"/>
    <w:basedOn w:val="TableNormal"/>
    <w:next w:val="ColorfulGrid-Accent3"/>
    <w:uiPriority w:val="73"/>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diumList2-Accent31">
    <w:name w:val="Medium List 2 - Accent 31"/>
    <w:basedOn w:val="TableNormal"/>
    <w:next w:val="MediumList2-Accent3"/>
    <w:uiPriority w:val="66"/>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Shading2-Accent51">
    <w:name w:val="Medium Shading 2 - Accent 51"/>
    <w:basedOn w:val="TableNormal"/>
    <w:next w:val="MediumShading2-Accent5"/>
    <w:uiPriority w:val="6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
    <w:name w:val="Medium Grid 3 - Accent 51"/>
    <w:basedOn w:val="TableNormal"/>
    <w:next w:val="MediumGrid3-Accent5"/>
    <w:uiPriority w:val="6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1111111">
    <w:name w:val="1111111"/>
  </w:style>
  <w:style w:type="numbering" w:customStyle="1" w:styleId="1ai1">
    <w:name w:val="1ai1"/>
  </w:style>
  <w:style w:type="numbering" w:customStyle="1" w:styleId="ArticleSection1">
    <w:name w:val="ArticleSection1"/>
  </w:style>
  <w:style w:type="numbering" w:customStyle="1" w:styleId="11111110">
    <w:name w:val="1 / 1.1 / 1.1.11"/>
    <w:basedOn w:val="NoList"/>
    <w:next w:val="111111"/>
  </w:style>
  <w:style w:type="numbering" w:customStyle="1" w:styleId="1ai10">
    <w:name w:val="1 / a / i1"/>
    <w:basedOn w:val="NoList"/>
    <w:next w:val="1ai"/>
  </w:style>
  <w:style w:type="numbering" w:customStyle="1" w:styleId="ArticleSection10">
    <w:name w:val="Article / Section1"/>
    <w:basedOn w:val="NoList"/>
    <w:next w:val="ArticleSection"/>
  </w:style>
  <w:style w:type="table" w:customStyle="1" w:styleId="Table3Deffects11">
    <w:name w:val="Table 3D effects 11"/>
    <w:basedOn w:val="TableNormal"/>
    <w:next w:val="Table3Deffects1"/>
    <w:pPr>
      <w:spacing w:after="0" w:line="240" w:lineRule="auto"/>
    </w:pPr>
    <w:rPr>
      <w:rFonts w:ascii="Times New Roman" w:eastAsia="MS Mincho"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after="0" w:line="240" w:lineRule="auto"/>
    </w:pPr>
    <w:rPr>
      <w:rFonts w:ascii="Times New Roman" w:eastAsia="MS Mincho"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after="0" w:line="240" w:lineRule="auto"/>
    </w:pPr>
    <w:rPr>
      <w:rFonts w:ascii="Times New Roman" w:eastAsia="MS Mincho"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after="0" w:line="240" w:lineRule="auto"/>
    </w:pPr>
    <w:rPr>
      <w:rFonts w:ascii="Times New Roman" w:eastAsia="MS Mincho"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after="0" w:line="240" w:lineRule="auto"/>
    </w:pPr>
    <w:rPr>
      <w:rFonts w:ascii="Times New Roman" w:eastAsia="MS Mincho"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after="0" w:line="240" w:lineRule="auto"/>
    </w:pPr>
    <w:rPr>
      <w:rFonts w:ascii="Times New Roman" w:eastAsia="MS Mincho"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after="0" w:line="240" w:lineRule="auto"/>
    </w:pPr>
    <w:rPr>
      <w:rFonts w:ascii="Times New Roman" w:eastAsia="MS Mincho"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after="0" w:line="240" w:lineRule="auto"/>
    </w:pPr>
    <w:rPr>
      <w:rFonts w:ascii="Times New Roman" w:eastAsia="MS Mincho"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after="0" w:line="240" w:lineRule="auto"/>
    </w:pPr>
    <w:rPr>
      <w:rFonts w:ascii="Times New Roman" w:eastAsia="MS Mincho"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after="0" w:line="240" w:lineRule="auto"/>
    </w:pPr>
    <w:rPr>
      <w:rFonts w:ascii="Times New Roman" w:eastAsia="MS Mincho"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after="0" w:line="240" w:lineRule="auto"/>
    </w:pPr>
    <w:rPr>
      <w:rFonts w:ascii="Times New Roman" w:eastAsia="MS Mincho"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after="0" w:line="240" w:lineRule="auto"/>
    </w:pPr>
    <w:rPr>
      <w:rFonts w:ascii="Times New Roman" w:eastAsia="MS Mincho"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pPr>
      <w:spacing w:after="0" w:line="240" w:lineRule="auto"/>
    </w:pPr>
    <w:rPr>
      <w:rFonts w:ascii="Times New Roman" w:eastAsia="MS Mincho"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pPr>
      <w:spacing w:after="0" w:line="240" w:lineRule="auto"/>
    </w:pPr>
    <w:rPr>
      <w:rFonts w:ascii="Times New Roman" w:eastAsia="MS Mincho"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after="0" w:line="240" w:lineRule="auto"/>
    </w:pPr>
    <w:rPr>
      <w:rFonts w:ascii="Times New Roman" w:eastAsia="MS Mincho"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after="0" w:line="240" w:lineRule="auto"/>
    </w:pPr>
    <w:rPr>
      <w:rFonts w:ascii="Times New Roman" w:eastAsia="MS Mincho"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after="0" w:line="240" w:lineRule="auto"/>
    </w:pPr>
    <w:rPr>
      <w:rFonts w:ascii="Times New Roman" w:eastAsia="MS Mincho"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after="0" w:line="240" w:lineRule="auto"/>
    </w:pPr>
    <w:rPr>
      <w:rFonts w:ascii="Times New Roman" w:eastAsia="MS Mincho"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after="0" w:line="240" w:lineRule="auto"/>
    </w:pPr>
    <w:rPr>
      <w:rFonts w:ascii="Times New Roman" w:eastAsia="MS Mincho"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after="0" w:line="240" w:lineRule="auto"/>
    </w:pPr>
    <w:rPr>
      <w:rFonts w:ascii="Times New Roman" w:eastAsia="MS Mincho"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after="0" w:line="240" w:lineRule="auto"/>
    </w:pPr>
    <w:rPr>
      <w:rFonts w:ascii="Times New Roman" w:eastAsia="MS Mincho"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after="0" w:line="240" w:lineRule="auto"/>
    </w:pPr>
    <w:rPr>
      <w:rFonts w:ascii="Times New Roman" w:eastAsia="MS Mincho"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after="0" w:line="240" w:lineRule="auto"/>
    </w:pPr>
    <w:rPr>
      <w:rFonts w:ascii="Times New Roman" w:eastAsia="MS Mincho"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after="0" w:line="240" w:lineRule="auto"/>
    </w:pPr>
    <w:rPr>
      <w:rFonts w:ascii="Times New Roman" w:eastAsia="MS Mincho"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after="0" w:line="240" w:lineRule="auto"/>
    </w:pPr>
    <w:rPr>
      <w:rFonts w:ascii="Times New Roman" w:eastAsia="MS Mincho"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after="0" w:line="240" w:lineRule="auto"/>
    </w:pPr>
    <w:rPr>
      <w:rFonts w:ascii="Times New Roman" w:eastAsia="MS Mincho"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after="0" w:line="240" w:lineRule="auto"/>
    </w:pPr>
    <w:rPr>
      <w:rFonts w:ascii="Times New Roman" w:eastAsia="MS Mincho"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after="0" w:line="240" w:lineRule="auto"/>
    </w:pPr>
    <w:rPr>
      <w:rFonts w:ascii="Times New Roman" w:eastAsia="MS Mincho"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after="0" w:line="240" w:lineRule="auto"/>
    </w:pPr>
    <w:rPr>
      <w:rFonts w:ascii="Times New Roman" w:eastAsia="MS Mincho"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after="0" w:line="240" w:lineRule="auto"/>
    </w:pPr>
    <w:rPr>
      <w:rFonts w:ascii="Times New Roman" w:eastAsia="MS Mincho"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after="0" w:line="240" w:lineRule="auto"/>
    </w:pPr>
    <w:rPr>
      <w:rFonts w:ascii="Times New Roman" w:eastAsia="MS Mincho"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after="0" w:line="240" w:lineRule="auto"/>
    </w:pPr>
    <w:rPr>
      <w:rFonts w:ascii="Times New Roman" w:eastAsia="MS Mincho"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after="0" w:line="240" w:lineRule="auto"/>
    </w:pPr>
    <w:rPr>
      <w:rFonts w:ascii="Times New Roman" w:eastAsia="MS Mincho"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jusskuggning-dekorfrg11">
    <w:name w:val="Ljus skuggning - dekorfärg 11"/>
    <w:basedOn w:val="TableNormal"/>
    <w:uiPriority w:val="60"/>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jusskuggning1">
    <w:name w:val="Ljus skuggning1"/>
    <w:basedOn w:val="TableNormal"/>
    <w:uiPriority w:val="60"/>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31">
    <w:name w:val="Ljus skuggning - dekorfärg 31"/>
    <w:basedOn w:val="TableNormal"/>
    <w:uiPriority w:val="60"/>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llanmrkskuggning2-dekorfrg21">
    <w:name w:val="Mellanmörk skuggning 2 - dekorfärg 21"/>
    <w:basedOn w:val="TableNormal"/>
    <w:uiPriority w:val="6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Frgatrutnt-dekorfrg31">
    <w:name w:val="Färgat rutnät - dekorfärg 31"/>
    <w:basedOn w:val="TableNormal"/>
    <w:uiPriority w:val="73"/>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llanmrklista2-dekorfrg31">
    <w:name w:val="Mellanmörk lista 2 - dekorfärg 31"/>
    <w:basedOn w:val="TableNormal"/>
    <w:uiPriority w:val="66"/>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llanmrkskuggning2-dekorfrg51">
    <w:name w:val="Mellanmörk skuggning 2 - dekorfärg 51"/>
    <w:basedOn w:val="TableNormal"/>
    <w:uiPriority w:val="6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3-dekorfrg51">
    <w:name w:val="Mellanmörkt rutnät 3 - dekorfärg 51"/>
    <w:basedOn w:val="TableNormal"/>
    <w:uiPriority w:val="6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NoList11">
    <w:name w:val="No List11"/>
    <w:next w:val="NoList"/>
    <w:uiPriority w:val="99"/>
    <w:semiHidden/>
    <w:unhideWhenUsed/>
  </w:style>
  <w:style w:type="table" w:customStyle="1" w:styleId="TableGrid210">
    <w:name w:val="Table Grid2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cblankline">
    <w:name w:val="gtcblankline"/>
    <w:basedOn w:val="Normal"/>
    <w:pPr>
      <w:spacing w:after="0" w:line="240" w:lineRule="auto"/>
    </w:pPr>
    <w:rPr>
      <w:rFonts w:ascii="Times New Roman" w:eastAsia="Times New Roman" w:hAnsi="Times New Roman" w:cs="Times New Roman"/>
      <w:sz w:val="24"/>
      <w:szCs w:val="24"/>
      <w:lang w:val="en-US"/>
    </w:rPr>
  </w:style>
  <w:style w:type="character" w:customStyle="1" w:styleId="gtclinktext6">
    <w:name w:val="gtclinktext6"/>
    <w:rPr>
      <w:strike w:val="0"/>
      <w:dstrike w:val="0"/>
      <w:u w:val="none"/>
      <w:effect w:val="none"/>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60" w:line="240" w:lineRule="auto"/>
      <w:jc w:val="both"/>
      <w:outlineLvl w:val="0"/>
    </w:pPr>
    <w:rPr>
      <w:rFonts w:ascii="Arial" w:eastAsia="Times New Roman" w:hAnsi="Arial" w:cs="Times New Roman"/>
      <w:b/>
      <w:caps/>
      <w:sz w:val="24"/>
      <w:szCs w:val="20"/>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tabs>
        <w:tab w:val="left" w:pos="567"/>
        <w:tab w:val="num" w:pos="1440"/>
      </w:tabs>
      <w:spacing w:before="240" w:after="60" w:line="240" w:lineRule="auto"/>
      <w:ind w:left="720" w:hanging="432"/>
      <w:outlineLvl w:val="2"/>
    </w:pPr>
    <w:rPr>
      <w:rFonts w:ascii="Arial" w:eastAsia="Times New Roman" w:hAnsi="Arial" w:cs="Arial"/>
      <w:b/>
      <w:bCs/>
      <w:sz w:val="26"/>
      <w:szCs w:val="26"/>
      <w:lang w:val="en-GB"/>
    </w:rPr>
  </w:style>
  <w:style w:type="paragraph" w:styleId="Heading4">
    <w:name w:val="heading 4"/>
    <w:basedOn w:val="Normal"/>
    <w:link w:val="Heading4Char"/>
    <w:qFormat/>
    <w:pPr>
      <w:tabs>
        <w:tab w:val="num" w:pos="1440"/>
      </w:tabs>
      <w:spacing w:before="100" w:beforeAutospacing="1" w:after="100" w:afterAutospacing="1" w:line="240" w:lineRule="auto"/>
      <w:ind w:left="864" w:hanging="144"/>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qFormat/>
    <w:pPr>
      <w:tabs>
        <w:tab w:val="num" w:pos="1800"/>
      </w:tabs>
      <w:spacing w:before="240" w:beforeAutospacing="1" w:after="60" w:afterAutospacing="1" w:line="240" w:lineRule="auto"/>
      <w:ind w:left="1008" w:hanging="432"/>
      <w:outlineLvl w:val="4"/>
    </w:pPr>
    <w:rPr>
      <w:rFonts w:ascii="Times New Roman" w:eastAsia="Times New Roman" w:hAnsi="Times New Roman" w:cs="Times New Roman"/>
      <w:b/>
      <w:bCs/>
      <w:i/>
      <w:iCs/>
      <w:sz w:val="26"/>
      <w:szCs w:val="26"/>
      <w:lang w:val="en-US"/>
    </w:rPr>
  </w:style>
  <w:style w:type="paragraph" w:styleId="Heading6">
    <w:name w:val="heading 6"/>
    <w:next w:val="Paragraph"/>
    <w:link w:val="Heading6Char"/>
    <w:qFormat/>
    <w:pPr>
      <w:keepNext/>
      <w:keepLines/>
      <w:tabs>
        <w:tab w:val="num" w:pos="2160"/>
      </w:tabs>
      <w:spacing w:before="120" w:after="240" w:line="240" w:lineRule="auto"/>
      <w:ind w:left="1152" w:hanging="432"/>
      <w:outlineLvl w:val="5"/>
    </w:pPr>
    <w:rPr>
      <w:rFonts w:ascii="Arial" w:eastAsia="MS Gothic" w:hAnsi="Arial" w:cs="Arial"/>
      <w:b/>
      <w:bCs/>
      <w:szCs w:val="24"/>
      <w:lang w:val="en-US" w:eastAsia="ja-JP"/>
    </w:rPr>
  </w:style>
  <w:style w:type="paragraph" w:styleId="Heading7">
    <w:name w:val="heading 7"/>
    <w:basedOn w:val="Normal"/>
    <w:next w:val="Normal"/>
    <w:link w:val="Heading7Char"/>
    <w:qFormat/>
    <w:pPr>
      <w:tabs>
        <w:tab w:val="num" w:pos="2520"/>
      </w:tabs>
      <w:spacing w:before="240" w:after="60" w:line="240" w:lineRule="auto"/>
      <w:ind w:left="1296" w:hanging="288"/>
      <w:outlineLvl w:val="6"/>
    </w:pPr>
    <w:rPr>
      <w:rFonts w:ascii="Times New Roman" w:eastAsia="Times New Roman" w:hAnsi="Times New Roman" w:cs="Times New Roman"/>
      <w:sz w:val="24"/>
      <w:szCs w:val="24"/>
      <w:lang w:val="en-GB"/>
    </w:rPr>
  </w:style>
  <w:style w:type="paragraph" w:styleId="Heading8">
    <w:name w:val="heading 8"/>
    <w:next w:val="Paragraph"/>
    <w:link w:val="Heading8Char"/>
    <w:qFormat/>
    <w:pPr>
      <w:keepNext/>
      <w:keepLines/>
      <w:tabs>
        <w:tab w:val="num" w:pos="2880"/>
      </w:tabs>
      <w:spacing w:before="120" w:after="240" w:line="240" w:lineRule="auto"/>
      <w:ind w:left="1440" w:hanging="432"/>
      <w:outlineLvl w:val="7"/>
    </w:pPr>
    <w:rPr>
      <w:rFonts w:ascii="Arial" w:eastAsia="MS Gothic" w:hAnsi="Arial" w:cs="Arial"/>
      <w:bCs/>
      <w:i/>
      <w:szCs w:val="24"/>
      <w:lang w:val="en-US" w:eastAsia="ja-JP"/>
    </w:rPr>
  </w:style>
  <w:style w:type="paragraph" w:styleId="Heading9">
    <w:name w:val="heading 9"/>
    <w:next w:val="Paragraph"/>
    <w:link w:val="Heading9Char"/>
    <w:qFormat/>
    <w:pPr>
      <w:keepNext/>
      <w:keepLines/>
      <w:tabs>
        <w:tab w:val="num" w:pos="3240"/>
      </w:tabs>
      <w:spacing w:before="120" w:after="240" w:line="240" w:lineRule="auto"/>
      <w:ind w:left="1584" w:hanging="144"/>
      <w:outlineLvl w:val="8"/>
    </w:pPr>
    <w:rPr>
      <w:rFonts w:ascii="Arial" w:eastAsia="MS Gothic" w:hAnsi="Arial" w:cs="Arial"/>
      <w:bCs/>
      <w:i/>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240" w:after="60" w:line="240" w:lineRule="auto"/>
      <w:jc w:val="center"/>
      <w:outlineLvl w:val="0"/>
    </w:pPr>
    <w:rPr>
      <w:rFonts w:ascii="Arial" w:eastAsia="Times New Roman" w:hAnsi="Arial" w:cs="Arial"/>
      <w:b/>
      <w:bCs/>
      <w:caps/>
      <w:kern w:val="28"/>
      <w:sz w:val="28"/>
      <w:szCs w:val="32"/>
    </w:rPr>
  </w:style>
  <w:style w:type="character" w:customStyle="1" w:styleId="TitleChar">
    <w:name w:val="Title Char"/>
    <w:basedOn w:val="DefaultParagraphFont"/>
    <w:link w:val="Title"/>
    <w:rPr>
      <w:rFonts w:ascii="Arial" w:eastAsia="Times New Roman" w:hAnsi="Arial" w:cs="Arial"/>
      <w:b/>
      <w:bCs/>
      <w:caps/>
      <w:kern w:val="28"/>
      <w:sz w:val="28"/>
      <w:szCs w:val="32"/>
    </w:rPr>
  </w:style>
  <w:style w:type="paragraph" w:styleId="Subtitle">
    <w:name w:val="Subtitle"/>
    <w:basedOn w:val="Normal"/>
    <w:link w:val="SubtitleChar"/>
    <w:qFormat/>
    <w:pPr>
      <w:spacing w:after="60" w:line="240" w:lineRule="auto"/>
      <w:jc w:val="center"/>
      <w:outlineLvl w:val="1"/>
    </w:pPr>
    <w:rPr>
      <w:rFonts w:ascii="Arial" w:eastAsia="Times New Roman" w:hAnsi="Arial" w:cs="Arial"/>
      <w:b/>
      <w:caps/>
      <w:sz w:val="24"/>
      <w:szCs w:val="24"/>
    </w:rPr>
  </w:style>
  <w:style w:type="character" w:customStyle="1" w:styleId="SubtitleChar">
    <w:name w:val="Subtitle Char"/>
    <w:basedOn w:val="DefaultParagraphFont"/>
    <w:link w:val="Subtitle"/>
    <w:rPr>
      <w:rFonts w:ascii="Arial" w:eastAsia="Times New Roman" w:hAnsi="Arial" w:cs="Arial"/>
      <w:b/>
      <w:caps/>
      <w:sz w:val="24"/>
      <w:szCs w:val="24"/>
    </w:rPr>
  </w:style>
  <w:style w:type="character" w:customStyle="1" w:styleId="Heading1Char">
    <w:name w:val="Heading 1 Char"/>
    <w:basedOn w:val="DefaultParagraphFont"/>
    <w:link w:val="Heading1"/>
    <w:rPr>
      <w:rFonts w:ascii="Arial" w:eastAsia="Times New Roman" w:hAnsi="Arial" w:cs="Times New Roman"/>
      <w:b/>
      <w:caps/>
      <w:sz w:val="24"/>
      <w:szCs w:val="20"/>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gtcitalic10">
    <w:name w:val="gtcitalic10"/>
    <w:rPr>
      <w:i/>
      <w:iCs/>
    </w:rPr>
  </w:style>
  <w:style w:type="character" w:customStyle="1" w:styleId="gtcsubscript">
    <w:name w:val="gtcsubscript"/>
    <w:basedOn w:val="DefaultParagraphFont"/>
  </w:style>
  <w:style w:type="character" w:customStyle="1" w:styleId="gtcbold2">
    <w:name w:val="gtcbold2"/>
    <w:rPr>
      <w:b/>
      <w:bCs/>
    </w:rPr>
  </w:style>
  <w:style w:type="character" w:styleId="Hyperlink">
    <w:name w:val="Hyperlink"/>
    <w:unhideWhenUsed/>
    <w:rPr>
      <w:color w:val="0000FF"/>
      <w:u w:val="single"/>
    </w:rPr>
  </w:style>
  <w:style w:type="character" w:styleId="CommentReference">
    <w:name w:val="annotation reference"/>
    <w:uiPriority w:val="99"/>
    <w:rPr>
      <w:sz w:val="16"/>
      <w:szCs w:val="16"/>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Symbol">
    <w:name w:val="Table Footnote Symbol"/>
    <w:pPr>
      <w:keepLines/>
      <w:tabs>
        <w:tab w:val="left" w:pos="360"/>
      </w:tabs>
      <w:spacing w:before="40" w:after="0" w:line="240" w:lineRule="exact"/>
      <w:ind w:left="360" w:hanging="360"/>
    </w:pPr>
    <w:rPr>
      <w:rFonts w:ascii="Times New Roman" w:eastAsia="MS Mincho" w:hAnsi="Times New Roman" w:cs="Times New Roman"/>
      <w:sz w:val="18"/>
      <w:szCs w:val="18"/>
      <w:lang w:val="en-US" w:eastAsia="ja-JP"/>
    </w:rPr>
  </w:style>
  <w:style w:type="paragraph" w:customStyle="1" w:styleId="GTCBodyText">
    <w:name w:val="GTC Body Text"/>
    <w:basedOn w:val="Normal"/>
    <w:pPr>
      <w:spacing w:before="240" w:after="240" w:line="216" w:lineRule="auto"/>
      <w:jc w:val="both"/>
    </w:pPr>
    <w:rPr>
      <w:rFonts w:ascii="Times New Roman" w:eastAsia="Times New Roman" w:hAnsi="Times New Roman" w:cs="Times New Roman"/>
      <w:sz w:val="24"/>
      <w:szCs w:val="24"/>
      <w:lang w:val="en-US"/>
    </w:rPr>
  </w:style>
  <w:style w:type="paragraph" w:customStyle="1" w:styleId="TableLeft">
    <w:name w:val="Table Left"/>
    <w:link w:val="TableLeftChar"/>
    <w:uiPriority w:val="99"/>
    <w:pPr>
      <w:keepNext/>
      <w:keepLines/>
      <w:tabs>
        <w:tab w:val="left" w:pos="360"/>
      </w:tabs>
      <w:spacing w:before="40" w:after="40" w:line="240" w:lineRule="exact"/>
    </w:pPr>
    <w:rPr>
      <w:rFonts w:ascii="Times New Roman" w:eastAsia="MS Mincho" w:hAnsi="Times New Roman" w:cs="Times New Roman"/>
      <w:sz w:val="20"/>
      <w:szCs w:val="20"/>
      <w:lang w:val="en-US" w:eastAsia="ja-JP"/>
    </w:rPr>
  </w:style>
  <w:style w:type="character" w:customStyle="1" w:styleId="TableLeftChar">
    <w:name w:val="Table Left Char"/>
    <w:link w:val="TableLeft"/>
    <w:uiPriority w:val="99"/>
    <w:rPr>
      <w:rFonts w:ascii="Times New Roman" w:eastAsia="MS Mincho" w:hAnsi="Times New Roman" w:cs="Times New Roman"/>
      <w:sz w:val="20"/>
      <w:szCs w:val="20"/>
      <w:lang w:val="en-US" w:eastAsia="ja-JP"/>
    </w:rPr>
  </w:style>
  <w:style w:type="paragraph" w:customStyle="1" w:styleId="TableLeft9">
    <w:name w:val="Table Left 9"/>
    <w:pPr>
      <w:keepNext/>
      <w:keepLines/>
      <w:tabs>
        <w:tab w:val="left" w:pos="360"/>
      </w:tabs>
      <w:spacing w:before="40" w:after="40" w:line="220" w:lineRule="exact"/>
    </w:pPr>
    <w:rPr>
      <w:rFonts w:ascii="Times New Roman" w:eastAsia="MS Mincho" w:hAnsi="Times New Roman" w:cs="Times New Roman"/>
      <w:sz w:val="18"/>
      <w:szCs w:val="18"/>
      <w:lang w:val="en-US" w:eastAsia="ja-JP"/>
    </w:rPr>
  </w:style>
  <w:style w:type="paragraph" w:customStyle="1" w:styleId="Paragraph">
    <w:name w:val="Paragraph"/>
    <w:link w:val="ParagraphChar"/>
    <w:uiPriority w:val="99"/>
    <w:pPr>
      <w:spacing w:after="240" w:line="360" w:lineRule="exact"/>
    </w:pPr>
    <w:rPr>
      <w:rFonts w:ascii="Times New Roman" w:eastAsia="MS Mincho" w:hAnsi="Times New Roman" w:cs="Times New Roman"/>
      <w:sz w:val="24"/>
      <w:szCs w:val="24"/>
      <w:lang w:val="en-US" w:eastAsia="ja-JP"/>
    </w:rPr>
  </w:style>
  <w:style w:type="character" w:customStyle="1" w:styleId="ParagraphChar">
    <w:name w:val="Paragraph Char"/>
    <w:link w:val="Paragraph"/>
    <w:uiPriority w:val="99"/>
    <w:rPr>
      <w:rFonts w:ascii="Times New Roman" w:eastAsia="MS Mincho" w:hAnsi="Times New Roman" w:cs="Times New Roman"/>
      <w:sz w:val="24"/>
      <w:szCs w:val="24"/>
      <w:lang w:val="en-US" w:eastAsia="ja-JP"/>
    </w:rPr>
  </w:style>
  <w:style w:type="paragraph" w:styleId="CommentText">
    <w:name w:val="annotation text"/>
    <w:aliases w:val="Annotationtext"/>
    <w:basedOn w:val="Normal"/>
    <w:link w:val="CommentTextChar1"/>
    <w:uiPriority w:val="99"/>
    <w:pPr>
      <w:spacing w:before="100" w:beforeAutospacing="1" w:after="100" w:afterAutospacing="1"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Pr>
      <w:sz w:val="20"/>
      <w:szCs w:val="20"/>
    </w:rPr>
  </w:style>
  <w:style w:type="character" w:customStyle="1" w:styleId="CommentTextChar1">
    <w:name w:val="Comment Text Char1"/>
    <w:aliases w:val="Annotationtext Char"/>
    <w:link w:val="CommentText"/>
    <w:uiPriority w:val="99"/>
    <w:locked/>
    <w:rPr>
      <w:rFonts w:ascii="Times New Roman" w:eastAsia="Times New Roman" w:hAnsi="Times New Roman" w:cs="Times New Roman"/>
      <w:sz w:val="20"/>
      <w:szCs w:val="20"/>
      <w:lang w:val="en-US"/>
    </w:rPr>
  </w:style>
  <w:style w:type="paragraph" w:styleId="ListParagraph">
    <w:name w:val="List Paragraph"/>
    <w:basedOn w:val="Normal"/>
    <w:uiPriority w:val="34"/>
    <w:qFormat/>
    <w:pPr>
      <w:ind w:left="720"/>
      <w:contextualSpacing/>
    </w:pPr>
  </w:style>
  <w:style w:type="paragraph" w:styleId="ListBullet">
    <w:name w:val="List Bullet"/>
    <w:basedOn w:val="Normal"/>
    <w:autoRedefine/>
    <w:uiPriority w:val="99"/>
    <w:pPr>
      <w:numPr>
        <w:numId w:val="5"/>
      </w:numPr>
      <w:spacing w:after="60" w:line="240" w:lineRule="auto"/>
      <w:jc w:val="both"/>
    </w:pPr>
    <w:rPr>
      <w:rFonts w:ascii="Arial" w:eastAsia="Times New Roman" w:hAnsi="Arial" w:cs="Times New Roman"/>
      <w:szCs w:val="20"/>
    </w:rPr>
  </w:style>
  <w:style w:type="character" w:customStyle="1" w:styleId="gtcitalic2">
    <w:name w:val="gtcitalic2"/>
    <w:rPr>
      <w:i/>
      <w:iCs/>
    </w:rPr>
  </w:style>
  <w:style w:type="paragraph" w:customStyle="1" w:styleId="TableCenter">
    <w:name w:val="Table Center"/>
    <w:uiPriority w:val="99"/>
    <w:pPr>
      <w:keepNext/>
      <w:keepLines/>
      <w:spacing w:before="40" w:after="40" w:line="240" w:lineRule="exact"/>
      <w:jc w:val="center"/>
    </w:pPr>
    <w:rPr>
      <w:rFonts w:ascii="Times New Roman" w:eastAsia="MS Mincho" w:hAnsi="Times New Roman" w:cs="Times New Roman"/>
      <w:sz w:val="20"/>
      <w:szCs w:val="20"/>
      <w:lang w:val="en-US" w:eastAsia="ja-JP"/>
    </w:rPr>
  </w:style>
  <w:style w:type="paragraph" w:customStyle="1" w:styleId="GTCTableText">
    <w:name w:val="GTC Table Text"/>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M6">
    <w:name w:val="CM6"/>
    <w:basedOn w:val="Default"/>
    <w:next w:val="Default"/>
    <w:pPr>
      <w:spacing w:line="183" w:lineRule="atLeast"/>
    </w:pPr>
    <w:rPr>
      <w:color w:val="auto"/>
    </w:rPr>
  </w:style>
  <w:style w:type="paragraph" w:customStyle="1" w:styleId="gtcbodytext0">
    <w:name w:val="gtcbodytext"/>
    <w:basedOn w:val="Normal"/>
    <w:pPr>
      <w:spacing w:before="240" w:after="240" w:line="300" w:lineRule="auto"/>
    </w:pPr>
    <w:rPr>
      <w:rFonts w:ascii="Times New Roman" w:eastAsia="Times New Roman" w:hAnsi="Times New Roman" w:cs="Times New Roman"/>
      <w:sz w:val="24"/>
      <w:szCs w:val="24"/>
      <w:lang w:val="en-US"/>
    </w:rPr>
  </w:style>
  <w:style w:type="character" w:customStyle="1" w:styleId="gtclinktext12">
    <w:name w:val="gtclinktext12"/>
    <w:rPr>
      <w:strike w:val="0"/>
      <w:dstrike w:val="0"/>
      <w:u w:val="none"/>
      <w:effect w:val="none"/>
    </w:rPr>
  </w:style>
  <w:style w:type="paragraph" w:customStyle="1" w:styleId="gtctabletitleotherwise">
    <w:name w:val="gtctabletitleotherwise"/>
    <w:basedOn w:val="Normal"/>
    <w:pPr>
      <w:spacing w:after="0" w:line="240" w:lineRule="auto"/>
      <w:jc w:val="center"/>
    </w:pPr>
    <w:rPr>
      <w:rFonts w:ascii="Times New Roman" w:eastAsia="Times New Roman" w:hAnsi="Times New Roman" w:cs="Times New Roman"/>
      <w:b/>
      <w:bCs/>
      <w:sz w:val="24"/>
      <w:szCs w:val="24"/>
      <w:lang w:val="en-US"/>
    </w:rPr>
  </w:style>
  <w:style w:type="paragraph" w:customStyle="1" w:styleId="GTCBodyTextAlignLeft">
    <w:name w:val="GTC Body Text Align Left"/>
    <w:basedOn w:val="Normal"/>
    <w:pPr>
      <w:spacing w:before="240" w:after="240" w:line="300" w:lineRule="auto"/>
    </w:pPr>
    <w:rPr>
      <w:rFonts w:ascii="Times New Roman" w:eastAsia="Times New Roman" w:hAnsi="Times New Roman" w:cs="Times New Roman"/>
      <w:sz w:val="24"/>
      <w:szCs w:val="24"/>
      <w:lang w:val="en-US"/>
    </w:rPr>
  </w:style>
  <w:style w:type="character" w:customStyle="1" w:styleId="gtcitalic5">
    <w:name w:val="gtcitalic5"/>
    <w:basedOn w:val="DefaultParagraphFont"/>
    <w:rPr>
      <w:i/>
      <w:i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CommentSubject">
    <w:name w:val="annotation subject"/>
    <w:basedOn w:val="CommentText"/>
    <w:next w:val="CommentText"/>
    <w:link w:val="CommentSubjectChar"/>
    <w:uiPriority w:val="99"/>
    <w:unhideWhenUsed/>
    <w:pPr>
      <w:spacing w:before="0" w:beforeAutospacing="0" w:after="200" w:afterAutospacing="0"/>
    </w:pPr>
    <w:rPr>
      <w:rFonts w:asciiTheme="minorHAnsi" w:eastAsiaTheme="minorHAnsi" w:hAnsiTheme="minorHAnsi" w:cstheme="minorBidi"/>
      <w:b/>
      <w:bCs/>
      <w:lang w:val="en-AU"/>
    </w:rPr>
  </w:style>
  <w:style w:type="character" w:customStyle="1" w:styleId="CommentSubjectChar">
    <w:name w:val="Comment Subject Char"/>
    <w:basedOn w:val="CommentTextChar1"/>
    <w:link w:val="CommentSubject"/>
    <w:uiPriority w:val="99"/>
    <w:rPr>
      <w:rFonts w:ascii="Times New Roman" w:eastAsia="Times New Roman" w:hAnsi="Times New Roman" w:cs="Times New Roman"/>
      <w:b/>
      <w:bCs/>
      <w:sz w:val="20"/>
      <w:szCs w:val="20"/>
      <w:lang w:val="en-US"/>
    </w:rPr>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rPr>
      <w:rFonts w:ascii="Arial" w:eastAsia="Times New Roman" w:hAnsi="Arial" w:cs="Arial"/>
      <w:b/>
      <w:bCs/>
      <w:sz w:val="26"/>
      <w:szCs w:val="26"/>
      <w:lang w:val="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Pr>
      <w:rFonts w:ascii="Arial" w:eastAsia="MS Gothic" w:hAnsi="Arial" w:cs="Arial"/>
      <w:b/>
      <w:bCs/>
      <w:szCs w:val="24"/>
      <w:lang w:val="en-US" w:eastAsia="ja-JP"/>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Pr>
      <w:rFonts w:ascii="Arial" w:eastAsia="MS Gothic" w:hAnsi="Arial" w:cs="Arial"/>
      <w:bCs/>
      <w:i/>
      <w:szCs w:val="24"/>
      <w:lang w:val="en-US" w:eastAsia="ja-JP"/>
    </w:rPr>
  </w:style>
  <w:style w:type="character" w:customStyle="1" w:styleId="Heading9Char">
    <w:name w:val="Heading 9 Char"/>
    <w:basedOn w:val="DefaultParagraphFont"/>
    <w:link w:val="Heading9"/>
    <w:rPr>
      <w:rFonts w:ascii="Arial" w:eastAsia="MS Gothic" w:hAnsi="Arial" w:cs="Arial"/>
      <w:bCs/>
      <w:i/>
      <w:szCs w:val="24"/>
      <w:lang w:val="en-US" w:eastAsia="ja-JP"/>
    </w:rPr>
  </w:style>
  <w:style w:type="paragraph" w:customStyle="1" w:styleId="gtcunderline">
    <w:name w:val="gtcunderline"/>
    <w:basedOn w:val="Normal"/>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MemoHeaderStyle">
    <w:name w:val="MemoHeaderStyle"/>
    <w:basedOn w:val="Normal"/>
    <w:next w:val="Normal"/>
    <w:pPr>
      <w:tabs>
        <w:tab w:val="left" w:pos="567"/>
      </w:tabs>
      <w:spacing w:after="0" w:line="120" w:lineRule="atLeast"/>
      <w:ind w:left="1418"/>
      <w:jc w:val="both"/>
    </w:pPr>
    <w:rPr>
      <w:rFonts w:ascii="Arial" w:eastAsia="Times New Roman" w:hAnsi="Arial" w:cs="Times New Roman"/>
      <w:b/>
      <w:smallCaps/>
      <w:szCs w:val="20"/>
      <w:lang w:val="en-GB"/>
    </w:rPr>
  </w:style>
  <w:style w:type="character" w:styleId="PageNumber">
    <w:name w:val="page number"/>
    <w:basedOn w:val="DefaultParagraphFont"/>
  </w:style>
  <w:style w:type="paragraph" w:styleId="BodyText">
    <w:name w:val="Body Text"/>
    <w:basedOn w:val="Normal"/>
    <w:link w:val="BodyTextChar"/>
    <w:pPr>
      <w:spacing w:after="0" w:line="240" w:lineRule="auto"/>
    </w:pPr>
    <w:rPr>
      <w:rFonts w:ascii="Times New Roman" w:eastAsia="Times New Roman" w:hAnsi="Times New Roman" w:cs="Times New Roman"/>
      <w:i/>
      <w:color w:val="008000"/>
      <w:szCs w:val="20"/>
      <w:lang w:val="en-GB"/>
    </w:rPr>
  </w:style>
  <w:style w:type="character" w:customStyle="1" w:styleId="BodyTextChar">
    <w:name w:val="Body Text Char"/>
    <w:basedOn w:val="DefaultParagraphFont"/>
    <w:link w:val="BodyText"/>
    <w:rPr>
      <w:rFonts w:ascii="Times New Roman" w:eastAsia="Times New Roman" w:hAnsi="Times New Roman" w:cs="Times New Roman"/>
      <w:i/>
      <w:color w:val="008000"/>
      <w:szCs w:val="20"/>
      <w:lang w:val="en-GB"/>
    </w:rPr>
  </w:style>
  <w:style w:type="paragraph" w:customStyle="1" w:styleId="EMEAEnBodyText">
    <w:name w:val="EMEA En Body Text"/>
    <w:basedOn w:val="Normal"/>
    <w:pPr>
      <w:spacing w:before="120" w:after="120" w:line="240" w:lineRule="auto"/>
      <w:jc w:val="both"/>
    </w:pPr>
    <w:rPr>
      <w:rFonts w:ascii="Times New Roman" w:eastAsia="Times New Roman" w:hAnsi="Times New Roman" w:cs="Times New Roman"/>
      <w:szCs w:val="20"/>
      <w:lang w:val="en-US"/>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cs="Times New Roman"/>
      <w:i/>
      <w:color w:val="339966"/>
      <w:szCs w:val="18"/>
      <w:lang w:val="en-GB" w:eastAsia="en-GB"/>
    </w:rPr>
  </w:style>
  <w:style w:type="character" w:customStyle="1" w:styleId="DraftingNotesAgencyChar">
    <w:name w:val="Drafting Notes (Agency) Char"/>
    <w:link w:val="DraftingNotesAgency"/>
    <w:rPr>
      <w:rFonts w:ascii="Courier New" w:eastAsia="Verdana" w:hAnsi="Courier New" w:cs="Times New Roman"/>
      <w:i/>
      <w:color w:val="339966"/>
      <w:szCs w:val="18"/>
      <w:lang w:val="en-GB" w:eastAsia="en-GB"/>
    </w:rPr>
  </w:style>
  <w:style w:type="paragraph" w:customStyle="1" w:styleId="NormalAgency">
    <w:name w:val="Normal (Agency)"/>
    <w:link w:val="NormalAgencyChar"/>
    <w:pPr>
      <w:spacing w:after="0" w:line="240" w:lineRule="auto"/>
    </w:pPr>
    <w:rPr>
      <w:rFonts w:ascii="Verdana" w:eastAsia="Verdana" w:hAnsi="Verdana" w:cs="Verdana"/>
      <w:sz w:val="18"/>
      <w:szCs w:val="18"/>
      <w:lang w:val="en-GB" w:eastAsia="en-GB"/>
    </w:rPr>
  </w:style>
  <w:style w:type="character" w:customStyle="1" w:styleId="NormalAgencyChar">
    <w:name w:val="Normal (Agency) Char"/>
    <w:link w:val="NormalAgency"/>
    <w:rPr>
      <w:rFonts w:ascii="Verdana" w:eastAsia="Verdana" w:hAnsi="Verdana" w:cs="Verdana"/>
      <w:sz w:val="18"/>
      <w:szCs w:val="18"/>
      <w:lang w:val="en-GB" w:eastAsia="en-GB"/>
    </w:r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spacing w:after="0" w:line="280" w:lineRule="exact"/>
    </w:pPr>
    <w:rPr>
      <w:rFonts w:ascii="Verdana" w:eastAsia="Times New Roman" w:hAnsi="Verdana" w:cs="Verdana"/>
      <w:sz w:val="18"/>
      <w:szCs w:val="18"/>
      <w:lang w:val="en-GB" w:eastAsia="zh-CN"/>
    </w:rPr>
  </w:style>
  <w:style w:type="character" w:customStyle="1" w:styleId="gtcitalic4">
    <w:name w:val="gtcitalic4"/>
    <w:rPr>
      <w:i/>
      <w:iCs/>
    </w:rPr>
  </w:style>
  <w:style w:type="character" w:customStyle="1" w:styleId="GTCLinkText27">
    <w:name w:val="GTC Link Text27"/>
    <w:rPr>
      <w:strike w:val="0"/>
      <w:dstrike w:val="0"/>
      <w:u w:val="none"/>
      <w:effect w:val="none"/>
    </w:rPr>
  </w:style>
  <w:style w:type="paragraph" w:customStyle="1" w:styleId="msolistparagraph0">
    <w:name w:val="msolistparagraph"/>
    <w:basedOn w:val="Normal"/>
    <w:pPr>
      <w:spacing w:after="0" w:line="240" w:lineRule="auto"/>
      <w:ind w:left="720"/>
    </w:pPr>
    <w:rPr>
      <w:rFonts w:ascii="Calibri" w:eastAsia="Calibri" w:hAnsi="Calibri" w:cs="Times New Roman"/>
      <w:lang w:val="en-US" w:eastAsia="ja-JP"/>
    </w:rPr>
  </w:style>
  <w:style w:type="paragraph" w:customStyle="1" w:styleId="EMEANormal">
    <w:name w:val="EMEA Normal"/>
    <w:link w:val="EMEANormalChar"/>
    <w:pPr>
      <w:tabs>
        <w:tab w:val="left" w:pos="562"/>
      </w:tabs>
      <w:suppressAutoHyphens/>
      <w:spacing w:after="0" w:line="240" w:lineRule="auto"/>
    </w:pPr>
    <w:rPr>
      <w:rFonts w:ascii="Times New Roman" w:eastAsia="Times New Roman" w:hAnsi="Times New Roman" w:cs="Times New Roman"/>
      <w:szCs w:val="20"/>
      <w:lang w:val="en-US"/>
    </w:rPr>
  </w:style>
  <w:style w:type="character" w:customStyle="1" w:styleId="EMEANormalChar">
    <w:name w:val="EMEA Normal Char"/>
    <w:link w:val="EMEANormal"/>
    <w:rPr>
      <w:rFonts w:ascii="Times New Roman" w:eastAsia="Times New Roman" w:hAnsi="Times New Roman" w:cs="Times New Roman"/>
      <w:szCs w:val="20"/>
      <w:lang w:val="en-US"/>
    </w:rPr>
  </w:style>
  <w:style w:type="character" w:customStyle="1" w:styleId="bold2">
    <w:name w:val="bold2"/>
    <w:rPr>
      <w:b/>
      <w:bCs/>
    </w:rPr>
  </w:style>
  <w:style w:type="table" w:customStyle="1" w:styleId="TablegridAgencyblack">
    <w:name w:val="Table grid (Agency) black"/>
    <w:basedOn w:val="TableNormal"/>
    <w:semiHidden/>
    <w:pPr>
      <w:spacing w:after="0" w:line="240" w:lineRule="auto"/>
    </w:pPr>
    <w:rPr>
      <w:rFonts w:ascii="Verdana" w:eastAsia="SimSun" w:hAnsi="Verdana" w:cs="Times New Roman"/>
      <w:sz w:val="18"/>
      <w:szCs w:val="20"/>
      <w:lang w:val="en-GB" w:eastAsia="en-A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mbria Math" w:hAnsi="Cambria Math"/>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character" w:styleId="FollowedHyperlink">
    <w:name w:val="FollowedHyperlink"/>
    <w:rPr>
      <w:color w:val="800080"/>
      <w:u w:val="single"/>
    </w:rPr>
  </w:style>
  <w:style w:type="paragraph" w:customStyle="1" w:styleId="atictinsert">
    <w:name w:val="atictinsert"/>
    <w:basedOn w:val="Normal"/>
    <w:pPr>
      <w:spacing w:before="100" w:beforeAutospacing="1" w:after="100" w:afterAutospacing="1" w:line="240" w:lineRule="auto"/>
    </w:pPr>
    <w:rPr>
      <w:rFonts w:ascii="Times New Roman" w:eastAsia="Times New Roman" w:hAnsi="Times New Roman" w:cs="Times New Roman"/>
      <w:color w:val="FF0000"/>
      <w:sz w:val="24"/>
      <w:szCs w:val="24"/>
      <w:u w:val="double"/>
      <w:lang w:val="en-US"/>
    </w:rPr>
  </w:style>
  <w:style w:type="paragraph" w:customStyle="1" w:styleId="gtcgreyshadedtext">
    <w:name w:val="gtcgreyshadedtext"/>
    <w:basedOn w:val="Normal"/>
    <w:pPr>
      <w:shd w:val="clear" w:color="auto" w:fill="C0C0C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Head">
    <w:name w:val="Table Head"/>
    <w:pPr>
      <w:keepNext/>
      <w:keepLines/>
      <w:tabs>
        <w:tab w:val="left" w:pos="360"/>
      </w:tabs>
      <w:spacing w:before="40" w:after="40" w:line="240" w:lineRule="exact"/>
    </w:pPr>
    <w:rPr>
      <w:rFonts w:ascii="Times New Roman" w:eastAsia="MS Mincho" w:hAnsi="Times New Roman" w:cs="Times New Roman"/>
      <w:b/>
      <w:bCs/>
      <w:sz w:val="20"/>
      <w:szCs w:val="20"/>
      <w:lang w:val="en-US" w:eastAsia="ja-JP"/>
    </w:rPr>
  </w:style>
  <w:style w:type="paragraph" w:customStyle="1" w:styleId="gtcbodytextalignleft0">
    <w:name w:val="gtcbodytextalignleft"/>
    <w:basedOn w:val="Normal"/>
    <w:pPr>
      <w:spacing w:before="240" w:after="240" w:line="300" w:lineRule="auto"/>
    </w:pPr>
    <w:rPr>
      <w:rFonts w:ascii="Times New Roman" w:eastAsia="Times New Roman" w:hAnsi="Times New Roman" w:cs="Times New Roman"/>
      <w:sz w:val="24"/>
      <w:szCs w:val="24"/>
      <w:lang w:val="en-US"/>
    </w:rPr>
  </w:style>
  <w:style w:type="paragraph" w:customStyle="1" w:styleId="gtcbodytextalignright">
    <w:name w:val="gtcbodytextalignright"/>
    <w:basedOn w:val="Normal"/>
    <w:pPr>
      <w:spacing w:before="240" w:after="240" w:line="300" w:lineRule="auto"/>
      <w:jc w:val="right"/>
    </w:pPr>
    <w:rPr>
      <w:rFonts w:ascii="Times New Roman" w:eastAsia="Times New Roman" w:hAnsi="Times New Roman" w:cs="Times New Roman"/>
      <w:sz w:val="24"/>
      <w:szCs w:val="24"/>
      <w:lang w:val="en-US"/>
    </w:rPr>
  </w:style>
  <w:style w:type="paragraph" w:customStyle="1" w:styleId="gtcbodytextaligncenter">
    <w:name w:val="gtcbodytextaligncenter"/>
    <w:basedOn w:val="Normal"/>
    <w:pPr>
      <w:spacing w:before="240" w:after="240" w:line="300" w:lineRule="auto"/>
      <w:jc w:val="center"/>
    </w:pPr>
    <w:rPr>
      <w:rFonts w:ascii="Times New Roman" w:eastAsia="Times New Roman" w:hAnsi="Times New Roman" w:cs="Times New Roman"/>
      <w:sz w:val="24"/>
      <w:szCs w:val="24"/>
      <w:lang w:val="en-US"/>
    </w:rPr>
  </w:style>
  <w:style w:type="paragraph" w:customStyle="1" w:styleId="gtcbodytextalignjustify">
    <w:name w:val="gtcbodytextalignjustify"/>
    <w:basedOn w:val="Normal"/>
    <w:pPr>
      <w:spacing w:before="240" w:after="240" w:line="300" w:lineRule="auto"/>
      <w:jc w:val="both"/>
    </w:pPr>
    <w:rPr>
      <w:rFonts w:ascii="Times New Roman" w:eastAsia="Times New Roman" w:hAnsi="Times New Roman" w:cs="Times New Roman"/>
      <w:sz w:val="24"/>
      <w:szCs w:val="24"/>
      <w:lang w:val="en-US"/>
    </w:rPr>
  </w:style>
  <w:style w:type="paragraph" w:customStyle="1" w:styleId="gtcbodytextalignindent">
    <w:name w:val="gtcbodytextalignindent"/>
    <w:basedOn w:val="Normal"/>
    <w:pPr>
      <w:spacing w:before="240" w:after="240" w:line="300" w:lineRule="auto"/>
      <w:jc w:val="both"/>
    </w:pPr>
    <w:rPr>
      <w:rFonts w:ascii="Times New Roman" w:eastAsia="Times New Roman" w:hAnsi="Times New Roman" w:cs="Times New Roman"/>
      <w:sz w:val="24"/>
      <w:szCs w:val="24"/>
      <w:lang w:val="en-US"/>
    </w:rPr>
  </w:style>
  <w:style w:type="paragraph" w:customStyle="1" w:styleId="gtcgreyshadedinparagraph">
    <w:name w:val="gtcgreyshadedinparagraph"/>
    <w:basedOn w:val="Normal"/>
    <w:pPr>
      <w:shd w:val="clear" w:color="auto" w:fill="C0C0C0"/>
      <w:spacing w:before="240" w:after="240" w:line="300" w:lineRule="auto"/>
    </w:pPr>
    <w:rPr>
      <w:rFonts w:ascii="Times New Roman" w:eastAsia="Times New Roman" w:hAnsi="Times New Roman" w:cs="Times New Roman"/>
      <w:sz w:val="24"/>
      <w:szCs w:val="24"/>
      <w:lang w:val="en-US"/>
    </w:rPr>
  </w:style>
  <w:style w:type="paragraph" w:customStyle="1" w:styleId="gtcheadingcentered">
    <w:name w:val="gtcheadingcentered"/>
    <w:basedOn w:val="Normal"/>
    <w:pPr>
      <w:keepNext/>
      <w:spacing w:before="240" w:after="240" w:line="240" w:lineRule="auto"/>
      <w:jc w:val="center"/>
    </w:pPr>
    <w:rPr>
      <w:rFonts w:ascii="Times New Roman" w:eastAsia="Times New Roman" w:hAnsi="Times New Roman" w:cs="Times New Roman"/>
      <w:b/>
      <w:bCs/>
      <w:caps/>
      <w:sz w:val="24"/>
      <w:szCs w:val="24"/>
      <w:lang w:val="en-US"/>
    </w:rPr>
  </w:style>
  <w:style w:type="paragraph" w:customStyle="1" w:styleId="gtcplrtitle">
    <w:name w:val="gtcplrtitle"/>
    <w:basedOn w:val="Normal"/>
    <w:pPr>
      <w:spacing w:before="60" w:after="60" w:line="240" w:lineRule="auto"/>
    </w:pPr>
    <w:rPr>
      <w:rFonts w:ascii="Times New Roman" w:eastAsia="Times New Roman" w:hAnsi="Times New Roman" w:cs="Times New Roman"/>
      <w:b/>
      <w:bCs/>
      <w:sz w:val="18"/>
      <w:szCs w:val="18"/>
      <w:lang w:val="en-US"/>
    </w:rPr>
  </w:style>
  <w:style w:type="paragraph" w:customStyle="1" w:styleId="gtcfigurecaption">
    <w:name w:val="gtcfigurecaption"/>
    <w:basedOn w:val="Normal"/>
    <w:pPr>
      <w:spacing w:before="120" w:after="120" w:line="240" w:lineRule="auto"/>
    </w:pPr>
    <w:rPr>
      <w:rFonts w:ascii="Times New Roman" w:eastAsia="Times New Roman" w:hAnsi="Times New Roman" w:cs="Times New Roman"/>
      <w:b/>
      <w:bCs/>
      <w:sz w:val="24"/>
      <w:szCs w:val="24"/>
      <w:lang w:val="en-US"/>
    </w:rPr>
  </w:style>
  <w:style w:type="paragraph" w:customStyle="1" w:styleId="gtcfigurecaptionleft">
    <w:name w:val="gtcfigurecaptionleft"/>
    <w:basedOn w:val="Normal"/>
    <w:pPr>
      <w:spacing w:before="120" w:after="120" w:line="240" w:lineRule="auto"/>
    </w:pPr>
    <w:rPr>
      <w:rFonts w:ascii="Times New Roman" w:eastAsia="Times New Roman" w:hAnsi="Times New Roman" w:cs="Times New Roman"/>
      <w:b/>
      <w:bCs/>
      <w:sz w:val="24"/>
      <w:szCs w:val="24"/>
      <w:lang w:val="en-US"/>
    </w:rPr>
  </w:style>
  <w:style w:type="paragraph" w:customStyle="1" w:styleId="gtcannotation">
    <w:name w:val="gtcannotation"/>
    <w:basedOn w:val="Normal"/>
    <w:pPr>
      <w:spacing w:before="60" w:after="60" w:line="240" w:lineRule="auto"/>
    </w:pPr>
    <w:rPr>
      <w:rFonts w:ascii="Times New Roman" w:eastAsia="Times New Roman" w:hAnsi="Times New Roman" w:cs="Times New Roman"/>
      <w:color w:val="006633"/>
      <w:sz w:val="20"/>
      <w:szCs w:val="20"/>
      <w:lang w:val="en-US"/>
    </w:rPr>
  </w:style>
  <w:style w:type="paragraph" w:customStyle="1" w:styleId="gtcannotationhl">
    <w:name w:val="gtcannotationhl"/>
    <w:basedOn w:val="Normal"/>
    <w:pPr>
      <w:spacing w:before="100" w:beforeAutospacing="1" w:after="100" w:afterAutospacing="1" w:line="240" w:lineRule="auto"/>
    </w:pPr>
    <w:rPr>
      <w:rFonts w:ascii="Times New Roman" w:eastAsia="Times New Roman" w:hAnsi="Times New Roman" w:cs="Times New Roman"/>
      <w:color w:val="006633"/>
      <w:sz w:val="16"/>
      <w:szCs w:val="16"/>
      <w:lang w:val="en-US"/>
    </w:rPr>
  </w:style>
  <w:style w:type="paragraph" w:customStyle="1" w:styleId="gtchighlighttextboxedwarnings">
    <w:name w:val="gtchighlighttextboxedwarnings"/>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highlighttext">
    <w:name w:val="gtchighlighttext"/>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bold">
    <w:name w:val="gtcbold"/>
    <w:basedOn w:val="Normal"/>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gtcitalic">
    <w:name w:val="gtcitalic"/>
    <w:basedOn w:val="Normal"/>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gtcstrikethrough">
    <w:name w:val="gtcstrikethrough"/>
    <w:basedOn w:val="Normal"/>
    <w:pPr>
      <w:spacing w:before="100" w:beforeAutospacing="1" w:after="100" w:afterAutospacing="1" w:line="240" w:lineRule="auto"/>
    </w:pPr>
    <w:rPr>
      <w:rFonts w:ascii="Times New Roman" w:eastAsia="Times New Roman" w:hAnsi="Times New Roman" w:cs="Times New Roman"/>
      <w:strike/>
      <w:sz w:val="24"/>
      <w:szCs w:val="24"/>
      <w:lang w:val="en-US"/>
    </w:rPr>
  </w:style>
  <w:style w:type="paragraph" w:customStyle="1" w:styleId="gtcsmallcaps">
    <w:name w:val="gtcsmallcaps"/>
    <w:basedOn w:val="Normal"/>
    <w:pPr>
      <w:spacing w:before="100" w:beforeAutospacing="1" w:after="100" w:afterAutospacing="1" w:line="240" w:lineRule="auto"/>
    </w:pPr>
    <w:rPr>
      <w:rFonts w:ascii="Times New Roman" w:eastAsia="Times New Roman" w:hAnsi="Times New Roman" w:cs="Times New Roman"/>
      <w:smallCaps/>
      <w:sz w:val="24"/>
      <w:szCs w:val="24"/>
      <w:lang w:val="en-US"/>
    </w:rPr>
  </w:style>
  <w:style w:type="paragraph" w:customStyle="1" w:styleId="atictdelete">
    <w:name w:val="atictdelete"/>
    <w:basedOn w:val="Normal"/>
    <w:pPr>
      <w:spacing w:before="100" w:beforeAutospacing="1" w:after="100" w:afterAutospacing="1" w:line="240" w:lineRule="auto"/>
    </w:pPr>
    <w:rPr>
      <w:rFonts w:ascii="Times New Roman" w:eastAsia="Times New Roman" w:hAnsi="Times New Roman" w:cs="Times New Roman"/>
      <w:strike/>
      <w:color w:val="0000FF"/>
      <w:sz w:val="24"/>
      <w:szCs w:val="24"/>
      <w:lang w:val="en-US"/>
    </w:rPr>
  </w:style>
  <w:style w:type="paragraph" w:customStyle="1" w:styleId="atictchange">
    <w:name w:val="atictchange"/>
    <w:basedOn w:val="Normal"/>
    <w:pPr>
      <w:spacing w:before="100" w:beforeAutospacing="1" w:after="100" w:afterAutospacing="1" w:line="240" w:lineRule="auto"/>
    </w:pPr>
    <w:rPr>
      <w:rFonts w:ascii="Times New Roman" w:eastAsia="Times New Roman" w:hAnsi="Times New Roman" w:cs="Times New Roman"/>
      <w:strike/>
      <w:color w:val="0000FF"/>
      <w:sz w:val="24"/>
      <w:szCs w:val="24"/>
      <w:lang w:val="en-US"/>
    </w:rPr>
  </w:style>
  <w:style w:type="paragraph" w:customStyle="1" w:styleId="gtclinkunderlined">
    <w:name w:val="gtclinkunderlined"/>
    <w:basedOn w:val="Normal"/>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gtclinktext">
    <w:name w:val="gtclinktext"/>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imageinsert">
    <w:name w:val="gtcimageinsert"/>
    <w:basedOn w:val="Normal"/>
    <w:pPr>
      <w:pBdr>
        <w:top w:val="single" w:sz="48" w:space="0" w:color="008000"/>
        <w:left w:val="single" w:sz="48" w:space="0" w:color="008000"/>
        <w:bottom w:val="single" w:sz="48" w:space="0" w:color="008000"/>
        <w:right w:val="single" w:sz="48" w:space="0" w:color="008000"/>
      </w:pBdr>
      <w:spacing w:before="100" w:beforeAutospacing="1" w:after="100" w:afterAutospacing="1" w:line="240" w:lineRule="auto"/>
    </w:pPr>
    <w:rPr>
      <w:rFonts w:ascii="Times New Roman" w:eastAsia="Times New Roman" w:hAnsi="Times New Roman" w:cs="Times New Roman"/>
      <w:color w:val="FF0000"/>
      <w:sz w:val="24"/>
      <w:szCs w:val="24"/>
      <w:u w:val="double"/>
      <w:lang w:val="en-US"/>
    </w:rPr>
  </w:style>
  <w:style w:type="paragraph" w:customStyle="1" w:styleId="gtcimagedelete">
    <w:name w:val="gtcimagedelete"/>
    <w:basedOn w:val="Normal"/>
    <w:pPr>
      <w:pBdr>
        <w:top w:val="single" w:sz="48" w:space="0" w:color="0000FF"/>
        <w:left w:val="single" w:sz="48" w:space="0" w:color="0000FF"/>
        <w:bottom w:val="single" w:sz="48" w:space="0" w:color="0000FF"/>
        <w:right w:val="single" w:sz="48" w:space="0" w:color="0000FF"/>
      </w:pBdr>
      <w:spacing w:before="100" w:beforeAutospacing="1" w:after="100" w:afterAutospacing="1" w:line="240" w:lineRule="auto"/>
    </w:pPr>
    <w:rPr>
      <w:rFonts w:ascii="Times New Roman" w:eastAsia="Times New Roman" w:hAnsi="Times New Roman" w:cs="Times New Roman"/>
      <w:strike/>
      <w:color w:val="FF0000"/>
      <w:sz w:val="24"/>
      <w:szCs w:val="24"/>
      <w:lang w:val="en-US"/>
    </w:rPr>
  </w:style>
  <w:style w:type="paragraph" w:customStyle="1" w:styleId="gtcimage">
    <w:name w:val="gtcimage"/>
    <w:basedOn w:val="Normal"/>
    <w:pPr>
      <w:pBdr>
        <w:top w:val="single" w:sz="48" w:space="0" w:color="FFFFFF"/>
        <w:left w:val="single" w:sz="48" w:space="0" w:color="FFFFFF"/>
        <w:bottom w:val="single" w:sz="48" w:space="0" w:color="FFFFFF"/>
        <w:right w:val="single" w:sz="48" w:space="0" w:color="FFFFFF"/>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
    <w:name w:val="gtclist"/>
    <w:basedOn w:val="Normal"/>
    <w:pPr>
      <w:spacing w:before="40" w:after="40" w:line="240" w:lineRule="auto"/>
    </w:pPr>
    <w:rPr>
      <w:rFonts w:ascii="Times New Roman" w:eastAsia="Times New Roman" w:hAnsi="Times New Roman" w:cs="Times New Roman"/>
      <w:sz w:val="24"/>
      <w:szCs w:val="24"/>
      <w:lang w:val="en-US"/>
    </w:rPr>
  </w:style>
  <w:style w:type="paragraph" w:customStyle="1" w:styleId="gtcliststylenone">
    <w:name w:val="gtcliststylenone"/>
    <w:basedOn w:val="Normal"/>
    <w:pPr>
      <w:tabs>
        <w:tab w:val="num" w:pos="922"/>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circle">
    <w:name w:val="gtcliststylecircle"/>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disc">
    <w:name w:val="gtcliststyledisc"/>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square">
    <w:name w:val="gtcliststylesquare"/>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littleroman">
    <w:name w:val="gtcliststylelittleroman"/>
    <w:basedOn w:val="Normal"/>
    <w:pPr>
      <w:tabs>
        <w:tab w:val="num" w:pos="922"/>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bigroman">
    <w:name w:val="gtcliststylebigroman"/>
    <w:basedOn w:val="Normal"/>
    <w:pPr>
      <w:tabs>
        <w:tab w:val="num" w:pos="922"/>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littlealpha">
    <w:name w:val="gtcliststylelittlealpha"/>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bigalpha">
    <w:name w:val="gtcliststylebigalpha"/>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arabic">
    <w:name w:val="gtcliststylearabic"/>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text">
    <w:name w:val="gtclisttext"/>
    <w:basedOn w:val="Normal"/>
    <w:pPr>
      <w:spacing w:before="120" w:after="120" w:line="300" w:lineRule="auto"/>
    </w:pPr>
    <w:rPr>
      <w:rFonts w:ascii="Times New Roman" w:eastAsia="Times New Roman" w:hAnsi="Times New Roman" w:cs="Times New Roman"/>
      <w:sz w:val="24"/>
      <w:szCs w:val="24"/>
      <w:lang w:val="en-US"/>
    </w:rPr>
  </w:style>
  <w:style w:type="paragraph" w:customStyle="1" w:styleId="gtclisttextinserted">
    <w:name w:val="gtclisttextinserted"/>
    <w:basedOn w:val="Normal"/>
    <w:pPr>
      <w:spacing w:before="120" w:after="120" w:line="300" w:lineRule="auto"/>
    </w:pPr>
    <w:rPr>
      <w:rFonts w:ascii="Times New Roman" w:eastAsia="Times New Roman" w:hAnsi="Times New Roman" w:cs="Times New Roman"/>
      <w:color w:val="FF0000"/>
      <w:sz w:val="24"/>
      <w:szCs w:val="24"/>
      <w:u w:val="double"/>
      <w:lang w:val="en-US"/>
    </w:rPr>
  </w:style>
  <w:style w:type="paragraph" w:customStyle="1" w:styleId="gtclisttextdeleted">
    <w:name w:val="gtclisttextdeleted"/>
    <w:basedOn w:val="Normal"/>
    <w:pPr>
      <w:spacing w:before="120" w:after="120" w:line="300" w:lineRule="auto"/>
    </w:pPr>
    <w:rPr>
      <w:rFonts w:ascii="Times New Roman" w:eastAsia="Times New Roman" w:hAnsi="Times New Roman" w:cs="Times New Roman"/>
      <w:strike/>
      <w:color w:val="FF0000"/>
      <w:sz w:val="24"/>
      <w:szCs w:val="24"/>
      <w:lang w:val="en-US"/>
    </w:rPr>
  </w:style>
  <w:style w:type="paragraph" w:customStyle="1" w:styleId="gtclisttextleft">
    <w:name w:val="gtclisttextleft"/>
    <w:basedOn w:val="Normal"/>
    <w:pPr>
      <w:spacing w:before="120" w:after="120" w:line="300" w:lineRule="auto"/>
    </w:pPr>
    <w:rPr>
      <w:rFonts w:ascii="Times New Roman" w:eastAsia="Times New Roman" w:hAnsi="Times New Roman" w:cs="Times New Roman"/>
      <w:sz w:val="24"/>
      <w:szCs w:val="24"/>
      <w:lang w:val="en-US"/>
    </w:rPr>
  </w:style>
  <w:style w:type="paragraph" w:customStyle="1" w:styleId="gtclisttextstylenone">
    <w:name w:val="gtclisttextstylenone"/>
    <w:basedOn w:val="Normal"/>
    <w:pPr>
      <w:spacing w:before="120" w:after="120" w:line="300" w:lineRule="auto"/>
    </w:pPr>
    <w:rPr>
      <w:rFonts w:ascii="Times New Roman" w:eastAsia="Times New Roman" w:hAnsi="Times New Roman" w:cs="Times New Roman"/>
      <w:sz w:val="24"/>
      <w:szCs w:val="24"/>
      <w:lang w:val="en-US"/>
    </w:rPr>
  </w:style>
  <w:style w:type="paragraph" w:customStyle="1" w:styleId="gtchighlightparagraph">
    <w:name w:val="gtchighlightparagraph"/>
    <w:basedOn w:val="Normal"/>
    <w:pPr>
      <w:spacing w:before="120" w:after="0" w:line="240" w:lineRule="auto"/>
    </w:pPr>
    <w:rPr>
      <w:rFonts w:ascii="Times New Roman" w:eastAsia="Times New Roman" w:hAnsi="Times New Roman" w:cs="Times New Roman"/>
      <w:sz w:val="16"/>
      <w:szCs w:val="16"/>
      <w:lang w:val="en-US"/>
    </w:rPr>
  </w:style>
  <w:style w:type="paragraph" w:customStyle="1" w:styleId="gtchighlightboxedwarningtable">
    <w:name w:val="gtchighlightboxedwarningtable"/>
    <w:basedOn w:val="Normal"/>
    <w:pPr>
      <w:pBdr>
        <w:top w:val="single" w:sz="2" w:space="2" w:color="000000"/>
        <w:left w:val="single" w:sz="2" w:space="2" w:color="000000"/>
        <w:bottom w:val="single" w:sz="2" w:space="2" w:color="000000"/>
        <w:right w:val="single" w:sz="2" w:space="2" w:color="000000"/>
      </w:pBd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gtchighlighttextbold">
    <w:name w:val="gtchighlighttextbold"/>
    <w:basedOn w:val="Normal"/>
    <w:pPr>
      <w:spacing w:before="60" w:after="60" w:line="240" w:lineRule="auto"/>
    </w:pPr>
    <w:rPr>
      <w:rFonts w:ascii="Times New Roman" w:eastAsia="Times New Roman" w:hAnsi="Times New Roman" w:cs="Times New Roman"/>
      <w:b/>
      <w:bCs/>
      <w:sz w:val="16"/>
      <w:szCs w:val="16"/>
      <w:lang w:val="en-US"/>
    </w:rPr>
  </w:style>
  <w:style w:type="paragraph" w:customStyle="1" w:styleId="gtcparagraphlefthl">
    <w:name w:val="gtcparagraphlefthl"/>
    <w:basedOn w:val="Normal"/>
    <w:pPr>
      <w:spacing w:after="0" w:line="240" w:lineRule="auto"/>
    </w:pPr>
    <w:rPr>
      <w:rFonts w:ascii="Times New Roman" w:eastAsia="Times New Roman" w:hAnsi="Times New Roman" w:cs="Times New Roman"/>
      <w:sz w:val="16"/>
      <w:szCs w:val="16"/>
      <w:lang w:val="en-US"/>
    </w:rPr>
  </w:style>
  <w:style w:type="paragraph" w:customStyle="1" w:styleId="gtcparagraphrighthl">
    <w:name w:val="gtcparagraphrighthl"/>
    <w:basedOn w:val="Normal"/>
    <w:pPr>
      <w:spacing w:after="0" w:line="240" w:lineRule="auto"/>
      <w:jc w:val="right"/>
    </w:pPr>
    <w:rPr>
      <w:rFonts w:ascii="Times New Roman" w:eastAsia="Times New Roman" w:hAnsi="Times New Roman" w:cs="Times New Roman"/>
      <w:sz w:val="16"/>
      <w:szCs w:val="16"/>
      <w:lang w:val="en-US"/>
    </w:rPr>
  </w:style>
  <w:style w:type="paragraph" w:customStyle="1" w:styleId="gtcparagraphcenterhl">
    <w:name w:val="gtcparagraphcenterhl"/>
    <w:basedOn w:val="Normal"/>
    <w:pPr>
      <w:spacing w:after="0" w:line="240" w:lineRule="auto"/>
      <w:jc w:val="center"/>
    </w:pPr>
    <w:rPr>
      <w:rFonts w:ascii="Times New Roman" w:eastAsia="Times New Roman" w:hAnsi="Times New Roman" w:cs="Times New Roman"/>
      <w:sz w:val="16"/>
      <w:szCs w:val="16"/>
      <w:lang w:val="en-US"/>
    </w:rPr>
  </w:style>
  <w:style w:type="paragraph" w:customStyle="1" w:styleId="gtcparagraphjustifyhl">
    <w:name w:val="gtcparagraphjustifyhl"/>
    <w:basedOn w:val="Normal"/>
    <w:pPr>
      <w:spacing w:after="0" w:line="240" w:lineRule="auto"/>
      <w:jc w:val="both"/>
    </w:pPr>
    <w:rPr>
      <w:rFonts w:ascii="Times New Roman" w:eastAsia="Times New Roman" w:hAnsi="Times New Roman" w:cs="Times New Roman"/>
      <w:sz w:val="16"/>
      <w:szCs w:val="16"/>
      <w:lang w:val="en-US"/>
    </w:rPr>
  </w:style>
  <w:style w:type="paragraph" w:customStyle="1" w:styleId="gtclistcirclehl-bw">
    <w:name w:val="gtclistcirclehl-bw"/>
    <w:basedOn w:val="Normal"/>
    <w:pPr>
      <w:tabs>
        <w:tab w:val="num" w:pos="0"/>
        <w:tab w:val="left" w:pos="432"/>
      </w:tabs>
      <w:spacing w:after="0" w:line="240" w:lineRule="auto"/>
    </w:pPr>
    <w:rPr>
      <w:rFonts w:ascii="Times New Roman" w:eastAsia="Times New Roman" w:hAnsi="Times New Roman" w:cs="Times New Roman"/>
      <w:sz w:val="16"/>
      <w:szCs w:val="16"/>
      <w:lang w:val="en-US"/>
    </w:rPr>
  </w:style>
  <w:style w:type="paragraph" w:customStyle="1" w:styleId="gtclistcirclehl">
    <w:name w:val="gtclistcirclehl"/>
    <w:basedOn w:val="Normal"/>
    <w:pPr>
      <w:tabs>
        <w:tab w:val="num" w:pos="72"/>
        <w:tab w:val="left" w:pos="432"/>
      </w:tabs>
      <w:spacing w:after="0" w:line="240" w:lineRule="auto"/>
      <w:ind w:hanging="360"/>
    </w:pPr>
    <w:rPr>
      <w:rFonts w:ascii="Times New Roman" w:eastAsia="Times New Roman" w:hAnsi="Times New Roman" w:cs="Times New Roman"/>
      <w:sz w:val="16"/>
      <w:szCs w:val="16"/>
      <w:lang w:val="en-US"/>
    </w:rPr>
  </w:style>
  <w:style w:type="paragraph" w:customStyle="1" w:styleId="gtclistdischl-bw">
    <w:name w:val="gtclistdischl-bw"/>
    <w:basedOn w:val="Normal"/>
    <w:pPr>
      <w:tabs>
        <w:tab w:val="num" w:pos="0"/>
        <w:tab w:val="left" w:pos="432"/>
      </w:tabs>
      <w:spacing w:after="0" w:line="240" w:lineRule="auto"/>
    </w:pPr>
    <w:rPr>
      <w:rFonts w:ascii="Times New Roman" w:eastAsia="Times New Roman" w:hAnsi="Times New Roman" w:cs="Times New Roman"/>
      <w:sz w:val="16"/>
      <w:szCs w:val="16"/>
      <w:lang w:val="en-US"/>
    </w:rPr>
  </w:style>
  <w:style w:type="paragraph" w:customStyle="1" w:styleId="gtclistdischl">
    <w:name w:val="gtclistdischl"/>
    <w:basedOn w:val="Normal"/>
    <w:pPr>
      <w:tabs>
        <w:tab w:val="num" w:pos="0"/>
        <w:tab w:val="left" w:pos="432"/>
      </w:tabs>
      <w:spacing w:after="0" w:line="240" w:lineRule="auto"/>
      <w:ind w:hanging="360"/>
    </w:pPr>
    <w:rPr>
      <w:rFonts w:ascii="Times New Roman" w:eastAsia="Times New Roman" w:hAnsi="Times New Roman" w:cs="Times New Roman"/>
      <w:sz w:val="16"/>
      <w:szCs w:val="16"/>
      <w:lang w:val="en-US"/>
    </w:rPr>
  </w:style>
  <w:style w:type="paragraph" w:customStyle="1" w:styleId="gtclistsquarehl-bw">
    <w:name w:val="gtclistsquarehl-bw"/>
    <w:basedOn w:val="Normal"/>
    <w:pPr>
      <w:tabs>
        <w:tab w:val="num" w:pos="72"/>
        <w:tab w:val="left" w:pos="360"/>
      </w:tabs>
      <w:spacing w:after="0" w:line="240" w:lineRule="auto"/>
      <w:ind w:hanging="360"/>
    </w:pPr>
    <w:rPr>
      <w:rFonts w:ascii="Times New Roman" w:eastAsia="Times New Roman" w:hAnsi="Times New Roman" w:cs="Times New Roman"/>
      <w:sz w:val="16"/>
      <w:szCs w:val="16"/>
      <w:lang w:val="en-US"/>
    </w:rPr>
  </w:style>
  <w:style w:type="paragraph" w:customStyle="1" w:styleId="gtclistsquarehl">
    <w:name w:val="gtclistsquarehl"/>
    <w:basedOn w:val="Normal"/>
    <w:pPr>
      <w:tabs>
        <w:tab w:val="num" w:pos="72"/>
        <w:tab w:val="left" w:pos="432"/>
      </w:tabs>
      <w:spacing w:after="0" w:line="240" w:lineRule="auto"/>
      <w:ind w:hanging="360"/>
    </w:pPr>
    <w:rPr>
      <w:rFonts w:ascii="Times New Roman" w:eastAsia="Times New Roman" w:hAnsi="Times New Roman" w:cs="Times New Roman"/>
      <w:sz w:val="16"/>
      <w:szCs w:val="16"/>
      <w:lang w:val="en-US"/>
    </w:rPr>
  </w:style>
  <w:style w:type="paragraph" w:customStyle="1" w:styleId="gtclistlittleromanhl-bw">
    <w:name w:val="gtclistlittleromanhl-bw"/>
    <w:basedOn w:val="Normal"/>
    <w:pPr>
      <w:tabs>
        <w:tab w:val="left" w:pos="360"/>
        <w:tab w:val="num" w:pos="1008"/>
      </w:tabs>
      <w:spacing w:after="0" w:line="240" w:lineRule="auto"/>
      <w:ind w:hanging="360"/>
    </w:pPr>
    <w:rPr>
      <w:rFonts w:ascii="Times New Roman" w:eastAsia="Times New Roman" w:hAnsi="Times New Roman" w:cs="Times New Roman"/>
      <w:sz w:val="16"/>
      <w:szCs w:val="16"/>
      <w:lang w:val="en-US"/>
    </w:rPr>
  </w:style>
  <w:style w:type="paragraph" w:customStyle="1" w:styleId="gtclistlittleromanhl">
    <w:name w:val="gtclistlittleromanhl"/>
    <w:basedOn w:val="Normal"/>
    <w:pPr>
      <w:tabs>
        <w:tab w:val="left" w:pos="432"/>
        <w:tab w:val="num" w:pos="1008"/>
      </w:tabs>
      <w:spacing w:after="0" w:line="240" w:lineRule="auto"/>
      <w:ind w:hanging="360"/>
    </w:pPr>
    <w:rPr>
      <w:rFonts w:ascii="Times New Roman" w:eastAsia="Times New Roman" w:hAnsi="Times New Roman" w:cs="Times New Roman"/>
      <w:sz w:val="16"/>
      <w:szCs w:val="16"/>
      <w:lang w:val="en-US"/>
    </w:rPr>
  </w:style>
  <w:style w:type="paragraph" w:customStyle="1" w:styleId="gtclistbigromanhl-bw">
    <w:name w:val="gtclistbigromanhl-bw"/>
    <w:basedOn w:val="Normal"/>
    <w:pPr>
      <w:tabs>
        <w:tab w:val="left" w:pos="360"/>
        <w:tab w:val="num" w:pos="1008"/>
      </w:tabs>
      <w:spacing w:after="0" w:line="240" w:lineRule="auto"/>
      <w:ind w:hanging="360"/>
    </w:pPr>
    <w:rPr>
      <w:rFonts w:ascii="Times New Roman" w:eastAsia="Times New Roman" w:hAnsi="Times New Roman" w:cs="Times New Roman"/>
      <w:sz w:val="16"/>
      <w:szCs w:val="16"/>
      <w:lang w:val="en-US"/>
    </w:rPr>
  </w:style>
  <w:style w:type="paragraph" w:customStyle="1" w:styleId="gtclistbigromanhl">
    <w:name w:val="gtclistbigromanhl"/>
    <w:basedOn w:val="Normal"/>
    <w:pPr>
      <w:tabs>
        <w:tab w:val="left" w:pos="432"/>
        <w:tab w:val="num" w:pos="1008"/>
      </w:tabs>
      <w:spacing w:after="0" w:line="240" w:lineRule="auto"/>
      <w:ind w:hanging="360"/>
    </w:pPr>
    <w:rPr>
      <w:rFonts w:ascii="Times New Roman" w:eastAsia="Times New Roman" w:hAnsi="Times New Roman" w:cs="Times New Roman"/>
      <w:sz w:val="16"/>
      <w:szCs w:val="16"/>
      <w:lang w:val="en-US"/>
    </w:rPr>
  </w:style>
  <w:style w:type="paragraph" w:customStyle="1" w:styleId="gtclistlittlealphahl-bw">
    <w:name w:val="gtclistlittlealphahl-bw"/>
    <w:basedOn w:val="Normal"/>
    <w:pPr>
      <w:tabs>
        <w:tab w:val="left" w:pos="360"/>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littlealphahl">
    <w:name w:val="gtclistlittlealphahl"/>
    <w:basedOn w:val="Normal"/>
    <w:pPr>
      <w:tabs>
        <w:tab w:val="left" w:pos="432"/>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ctlistbigalphahl-bw">
    <w:name w:val="gctlistbigalphahl-bw"/>
    <w:basedOn w:val="Normal"/>
    <w:pPr>
      <w:tabs>
        <w:tab w:val="left" w:pos="360"/>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bigalphahl">
    <w:name w:val="gtclistbigalphahl"/>
    <w:basedOn w:val="Normal"/>
    <w:pPr>
      <w:tabs>
        <w:tab w:val="left" w:pos="432"/>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arabichl-bw">
    <w:name w:val="gtclistarabichl-bw"/>
    <w:basedOn w:val="Normal"/>
    <w:pPr>
      <w:tabs>
        <w:tab w:val="left" w:pos="360"/>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arabichl">
    <w:name w:val="gtclistarabichl"/>
    <w:basedOn w:val="Normal"/>
    <w:pPr>
      <w:tabs>
        <w:tab w:val="left" w:pos="432"/>
        <w:tab w:val="num" w:pos="720"/>
      </w:tabs>
      <w:spacing w:after="0" w:line="240" w:lineRule="auto"/>
      <w:ind w:hanging="360"/>
    </w:pPr>
    <w:rPr>
      <w:rFonts w:ascii="Times New Roman" w:eastAsia="Times New Roman" w:hAnsi="Times New Roman" w:cs="Times New Roman"/>
      <w:sz w:val="16"/>
      <w:szCs w:val="16"/>
      <w:lang w:val="en-US"/>
    </w:rPr>
  </w:style>
  <w:style w:type="paragraph" w:customStyle="1" w:styleId="gtclisttexthl">
    <w:name w:val="gtclisttexthl"/>
    <w:basedOn w:val="Normal"/>
    <w:pPr>
      <w:spacing w:after="0" w:line="240" w:lineRule="auto"/>
    </w:pPr>
    <w:rPr>
      <w:rFonts w:ascii="Times New Roman" w:eastAsia="Times New Roman" w:hAnsi="Times New Roman" w:cs="Times New Roman"/>
      <w:sz w:val="16"/>
      <w:szCs w:val="16"/>
      <w:lang w:val="en-US"/>
    </w:rPr>
  </w:style>
  <w:style w:type="paragraph" w:customStyle="1" w:styleId="gtclisttexthlinserted">
    <w:name w:val="gtclisttexthlinserted"/>
    <w:basedOn w:val="Normal"/>
    <w:pPr>
      <w:spacing w:after="0" w:line="240" w:lineRule="auto"/>
    </w:pPr>
    <w:rPr>
      <w:rFonts w:ascii="Times New Roman" w:eastAsia="Times New Roman" w:hAnsi="Times New Roman" w:cs="Times New Roman"/>
      <w:color w:val="FF0000"/>
      <w:sz w:val="16"/>
      <w:szCs w:val="16"/>
      <w:u w:val="double"/>
      <w:lang w:val="en-US"/>
    </w:rPr>
  </w:style>
  <w:style w:type="paragraph" w:customStyle="1" w:styleId="gtclisttexthldeleted">
    <w:name w:val="gtclisttexthldeleted"/>
    <w:basedOn w:val="Normal"/>
    <w:pPr>
      <w:spacing w:after="0" w:line="240" w:lineRule="auto"/>
    </w:pPr>
    <w:rPr>
      <w:rFonts w:ascii="Times New Roman" w:eastAsia="Times New Roman" w:hAnsi="Times New Roman" w:cs="Times New Roman"/>
      <w:strike/>
      <w:color w:val="0000FF"/>
      <w:sz w:val="16"/>
      <w:szCs w:val="16"/>
      <w:lang w:val="en-US"/>
    </w:rPr>
  </w:style>
  <w:style w:type="paragraph" w:customStyle="1" w:styleId="gtctabletitlealignlefthl">
    <w:name w:val="gtctabletitlealignlefthl"/>
    <w:basedOn w:val="Normal"/>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gtctabletitlealignrighthl">
    <w:name w:val="gtctabletitlealignrighthl"/>
    <w:basedOn w:val="Normal"/>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gtctabletitleotherwisehl">
    <w:name w:val="gtctabletitleotherwisehl"/>
    <w:basedOn w:val="Normal"/>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gtctabletitleinsertmarkuphl">
    <w:name w:val="gtctabletitleinsertmarkuphl"/>
    <w:basedOn w:val="Normal"/>
    <w:pPr>
      <w:spacing w:before="100" w:beforeAutospacing="1" w:after="100" w:afterAutospacing="1" w:line="240" w:lineRule="auto"/>
    </w:pPr>
    <w:rPr>
      <w:rFonts w:ascii="Times New Roman" w:eastAsia="Times New Roman" w:hAnsi="Times New Roman" w:cs="Times New Roman"/>
      <w:color w:val="FF0000"/>
      <w:sz w:val="16"/>
      <w:szCs w:val="16"/>
      <w:u w:val="double"/>
      <w:lang w:val="en-US"/>
    </w:rPr>
  </w:style>
  <w:style w:type="paragraph" w:customStyle="1" w:styleId="gtctabletitledeletemarkuphl">
    <w:name w:val="gtctabletitledeletemarkuphl"/>
    <w:basedOn w:val="Normal"/>
    <w:pPr>
      <w:spacing w:before="100" w:beforeAutospacing="1" w:after="100" w:afterAutospacing="1" w:line="240" w:lineRule="auto"/>
    </w:pPr>
    <w:rPr>
      <w:rFonts w:ascii="Times New Roman" w:eastAsia="Times New Roman" w:hAnsi="Times New Roman" w:cs="Times New Roman"/>
      <w:strike/>
      <w:color w:val="0000FF"/>
      <w:sz w:val="16"/>
      <w:szCs w:val="16"/>
      <w:lang w:val="en-US"/>
    </w:rPr>
  </w:style>
  <w:style w:type="paragraph" w:customStyle="1" w:styleId="gtcproductprofile">
    <w:name w:val="gtcproductprofile"/>
    <w:basedOn w:val="Normal"/>
    <w:pPr>
      <w:shd w:val="clear" w:color="auto" w:fill="FFFF99"/>
      <w:spacing w:before="240" w:after="240" w:line="240" w:lineRule="auto"/>
    </w:pPr>
    <w:rPr>
      <w:rFonts w:ascii="Times New Roman" w:eastAsia="Times New Roman" w:hAnsi="Times New Roman" w:cs="Times New Roman"/>
      <w:sz w:val="24"/>
      <w:szCs w:val="24"/>
      <w:lang w:val="en-US"/>
    </w:rPr>
  </w:style>
  <w:style w:type="paragraph" w:customStyle="1" w:styleId="gtcprofileinfo">
    <w:name w:val="gtcprofileinfo"/>
    <w:basedOn w:val="Normal"/>
    <w:pPr>
      <w:spacing w:after="0" w:line="240" w:lineRule="auto"/>
    </w:pPr>
    <w:rPr>
      <w:rFonts w:ascii="Times New Roman" w:eastAsia="Times New Roman" w:hAnsi="Times New Roman" w:cs="Times New Roman"/>
      <w:color w:val="808080"/>
      <w:sz w:val="24"/>
      <w:szCs w:val="24"/>
      <w:lang w:val="en-US"/>
    </w:rPr>
  </w:style>
  <w:style w:type="paragraph" w:customStyle="1" w:styleId="gtcgenericlabeldiv">
    <w:name w:val="gtcgenericlabeldiv"/>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genericlabel">
    <w:name w:val="gtcgenericlabel"/>
    <w:basedOn w:val="Normal"/>
    <w:pPr>
      <w:spacing w:before="120" w:after="0" w:line="240" w:lineRule="auto"/>
    </w:pPr>
    <w:rPr>
      <w:rFonts w:ascii="Times New Roman" w:eastAsia="Times New Roman" w:hAnsi="Times New Roman" w:cs="Times New Roman"/>
      <w:sz w:val="16"/>
      <w:szCs w:val="16"/>
      <w:lang w:val="en-US"/>
    </w:rPr>
  </w:style>
  <w:style w:type="paragraph" w:customStyle="1" w:styleId="gtcgenericlabeltoc">
    <w:name w:val="gtcgenericlabeltoc"/>
    <w:basedOn w:val="Normal"/>
    <w:pPr>
      <w:spacing w:before="120" w:after="0" w:line="240" w:lineRule="auto"/>
    </w:pPr>
    <w:rPr>
      <w:rFonts w:ascii="Times New Roman" w:eastAsia="Times New Roman" w:hAnsi="Times New Roman" w:cs="Times New Roman"/>
      <w:sz w:val="16"/>
      <w:szCs w:val="16"/>
      <w:lang w:val="en-US"/>
    </w:rPr>
  </w:style>
  <w:style w:type="paragraph" w:customStyle="1" w:styleId="gtcsectionbreak">
    <w:name w:val="gtcsectionbreak"/>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pagebreak">
    <w:name w:val="gtcpagebreak"/>
    <w:basedOn w:val="Normal"/>
    <w:pPr>
      <w:pageBreakBefore/>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pagesectionbreak">
    <w:name w:val="gtcpagesectionbreak"/>
    <w:basedOn w:val="Normal"/>
    <w:pPr>
      <w:pageBreakBefore/>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titleleft">
    <w:name w:val="gtctitleleft"/>
    <w:basedOn w:val="Normal"/>
    <w:pPr>
      <w:spacing w:before="120" w:after="120" w:line="240" w:lineRule="auto"/>
    </w:pPr>
    <w:rPr>
      <w:rFonts w:ascii="Times New Roman" w:eastAsia="Times New Roman" w:hAnsi="Times New Roman" w:cs="Times New Roman"/>
      <w:b/>
      <w:bCs/>
      <w:sz w:val="28"/>
      <w:szCs w:val="28"/>
      <w:lang w:val="en-US"/>
    </w:rPr>
  </w:style>
  <w:style w:type="paragraph" w:customStyle="1" w:styleId="gtctitleright">
    <w:name w:val="gtctitleright"/>
    <w:basedOn w:val="Normal"/>
    <w:pPr>
      <w:spacing w:before="120" w:after="120" w:line="240" w:lineRule="auto"/>
      <w:jc w:val="right"/>
    </w:pPr>
    <w:rPr>
      <w:rFonts w:ascii="Times New Roman" w:eastAsia="Times New Roman" w:hAnsi="Times New Roman" w:cs="Times New Roman"/>
      <w:b/>
      <w:bCs/>
      <w:sz w:val="28"/>
      <w:szCs w:val="28"/>
      <w:lang w:val="en-US"/>
    </w:rPr>
  </w:style>
  <w:style w:type="paragraph" w:customStyle="1" w:styleId="gtctitlecenter">
    <w:name w:val="gtctitlecenter"/>
    <w:basedOn w:val="Normal"/>
    <w:pPr>
      <w:spacing w:before="120" w:after="120" w:line="240" w:lineRule="auto"/>
      <w:jc w:val="center"/>
    </w:pPr>
    <w:rPr>
      <w:rFonts w:ascii="Times New Roman" w:eastAsia="Times New Roman" w:hAnsi="Times New Roman" w:cs="Times New Roman"/>
      <w:b/>
      <w:bCs/>
      <w:sz w:val="28"/>
      <w:szCs w:val="28"/>
      <w:lang w:val="en-US"/>
    </w:rPr>
  </w:style>
  <w:style w:type="paragraph" w:customStyle="1" w:styleId="gtctitlejustify">
    <w:name w:val="gtctitlejustify"/>
    <w:basedOn w:val="Normal"/>
    <w:pPr>
      <w:spacing w:before="120" w:after="120" w:line="240" w:lineRule="auto"/>
      <w:jc w:val="both"/>
    </w:pPr>
    <w:rPr>
      <w:rFonts w:ascii="Times New Roman" w:eastAsia="Times New Roman" w:hAnsi="Times New Roman" w:cs="Times New Roman"/>
      <w:b/>
      <w:bCs/>
      <w:sz w:val="28"/>
      <w:szCs w:val="28"/>
      <w:lang w:val="en-US"/>
    </w:rPr>
  </w:style>
  <w:style w:type="paragraph" w:customStyle="1" w:styleId="gtcheading1">
    <w:name w:val="gtcheading1"/>
    <w:basedOn w:val="Normal"/>
    <w:pPr>
      <w:keepNext/>
      <w:spacing w:before="240" w:after="240" w:line="240" w:lineRule="auto"/>
    </w:pPr>
    <w:rPr>
      <w:rFonts w:ascii="Times New Roman" w:eastAsia="Times New Roman" w:hAnsi="Times New Roman" w:cs="Times New Roman"/>
      <w:b/>
      <w:bCs/>
      <w:caps/>
      <w:sz w:val="24"/>
      <w:szCs w:val="24"/>
      <w:lang w:val="en-US"/>
    </w:rPr>
  </w:style>
  <w:style w:type="paragraph" w:customStyle="1" w:styleId="gtcheading1d">
    <w:name w:val="gtcheading1d"/>
    <w:basedOn w:val="Normal"/>
    <w:pPr>
      <w:keepNext/>
      <w:spacing w:before="240" w:after="240" w:line="240" w:lineRule="auto"/>
    </w:pPr>
    <w:rPr>
      <w:rFonts w:ascii="Times New Roman" w:eastAsia="Times New Roman" w:hAnsi="Times New Roman" w:cs="Times New Roman"/>
      <w:b/>
      <w:bCs/>
      <w:caps/>
      <w:strike/>
      <w:color w:val="FF0000"/>
      <w:sz w:val="24"/>
      <w:szCs w:val="24"/>
      <w:lang w:val="en-US"/>
    </w:rPr>
  </w:style>
  <w:style w:type="paragraph" w:customStyle="1" w:styleId="gtcheading1i">
    <w:name w:val="gtcheading1i"/>
    <w:basedOn w:val="Normal"/>
    <w:pPr>
      <w:keepNext/>
      <w:spacing w:before="240" w:after="240" w:line="240" w:lineRule="auto"/>
    </w:pPr>
    <w:rPr>
      <w:rFonts w:ascii="Times New Roman" w:eastAsia="Times New Roman" w:hAnsi="Times New Roman" w:cs="Times New Roman"/>
      <w:b/>
      <w:bCs/>
      <w:caps/>
      <w:color w:val="FF0000"/>
      <w:sz w:val="24"/>
      <w:szCs w:val="24"/>
      <w:lang w:val="en-US"/>
    </w:rPr>
  </w:style>
  <w:style w:type="paragraph" w:customStyle="1" w:styleId="gtcheading2">
    <w:name w:val="gtcheading2"/>
    <w:basedOn w:val="Normal"/>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heading2d">
    <w:name w:val="gtcheading2d"/>
    <w:basedOn w:val="Normal"/>
    <w:pPr>
      <w:keepNext/>
      <w:spacing w:before="240" w:after="240" w:line="240" w:lineRule="auto"/>
    </w:pPr>
    <w:rPr>
      <w:rFonts w:ascii="Times New Roman" w:eastAsia="Times New Roman" w:hAnsi="Times New Roman" w:cs="Times New Roman"/>
      <w:b/>
      <w:bCs/>
      <w:strike/>
      <w:color w:val="FF0000"/>
      <w:sz w:val="24"/>
      <w:szCs w:val="24"/>
      <w:lang w:val="en-US"/>
    </w:rPr>
  </w:style>
  <w:style w:type="paragraph" w:customStyle="1" w:styleId="gtcheading2i">
    <w:name w:val="gtcheading2i"/>
    <w:basedOn w:val="Normal"/>
    <w:pPr>
      <w:keepNext/>
      <w:spacing w:before="240" w:after="240" w:line="240" w:lineRule="auto"/>
    </w:pPr>
    <w:rPr>
      <w:rFonts w:ascii="Times New Roman" w:eastAsia="Times New Roman" w:hAnsi="Times New Roman" w:cs="Times New Roman"/>
      <w:b/>
      <w:bCs/>
      <w:color w:val="FF0000"/>
      <w:sz w:val="24"/>
      <w:szCs w:val="24"/>
      <w:lang w:val="en-US"/>
    </w:rPr>
  </w:style>
  <w:style w:type="paragraph" w:customStyle="1" w:styleId="gtcheading3">
    <w:name w:val="gtcheading3"/>
    <w:basedOn w:val="Normal"/>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heading3d">
    <w:name w:val="gtcheading3d"/>
    <w:basedOn w:val="Normal"/>
    <w:pPr>
      <w:keepNext/>
      <w:spacing w:before="240" w:after="240" w:line="240" w:lineRule="auto"/>
    </w:pPr>
    <w:rPr>
      <w:rFonts w:ascii="Times New Roman" w:eastAsia="Times New Roman" w:hAnsi="Times New Roman" w:cs="Times New Roman"/>
      <w:b/>
      <w:bCs/>
      <w:strike/>
      <w:color w:val="FF0000"/>
      <w:sz w:val="24"/>
      <w:szCs w:val="24"/>
      <w:lang w:val="en-US"/>
    </w:rPr>
  </w:style>
  <w:style w:type="paragraph" w:customStyle="1" w:styleId="gtcheading3i">
    <w:name w:val="gtcheading3i"/>
    <w:basedOn w:val="Normal"/>
    <w:pPr>
      <w:keepNext/>
      <w:spacing w:before="240" w:after="240" w:line="240" w:lineRule="auto"/>
    </w:pPr>
    <w:rPr>
      <w:rFonts w:ascii="Times New Roman" w:eastAsia="Times New Roman" w:hAnsi="Times New Roman" w:cs="Times New Roman"/>
      <w:color w:val="FF0000"/>
      <w:sz w:val="24"/>
      <w:szCs w:val="24"/>
      <w:lang w:val="en-US"/>
    </w:rPr>
  </w:style>
  <w:style w:type="paragraph" w:customStyle="1" w:styleId="gtcheading4">
    <w:name w:val="gtcheading4"/>
    <w:basedOn w:val="Normal"/>
    <w:pPr>
      <w:keepNext/>
      <w:spacing w:before="240" w:after="240" w:line="240" w:lineRule="auto"/>
    </w:pPr>
    <w:rPr>
      <w:rFonts w:ascii="Times New Roman" w:eastAsia="Times New Roman" w:hAnsi="Times New Roman" w:cs="Times New Roman"/>
      <w:i/>
      <w:iCs/>
      <w:sz w:val="24"/>
      <w:szCs w:val="24"/>
      <w:lang w:val="en-US"/>
    </w:rPr>
  </w:style>
  <w:style w:type="paragraph" w:customStyle="1" w:styleId="gtcheading4d">
    <w:name w:val="gtcheading4d"/>
    <w:basedOn w:val="Normal"/>
    <w:pPr>
      <w:keepNext/>
      <w:spacing w:before="240" w:after="240" w:line="240" w:lineRule="auto"/>
    </w:pPr>
    <w:rPr>
      <w:rFonts w:ascii="Times New Roman" w:eastAsia="Times New Roman" w:hAnsi="Times New Roman" w:cs="Times New Roman"/>
      <w:i/>
      <w:iCs/>
      <w:strike/>
      <w:color w:val="FF0000"/>
      <w:sz w:val="24"/>
      <w:szCs w:val="24"/>
      <w:lang w:val="en-US"/>
    </w:rPr>
  </w:style>
  <w:style w:type="paragraph" w:customStyle="1" w:styleId="gtcheading4i">
    <w:name w:val="gtcheading4i"/>
    <w:basedOn w:val="Normal"/>
    <w:pPr>
      <w:keepNext/>
      <w:spacing w:before="240" w:after="240" w:line="240" w:lineRule="auto"/>
    </w:pPr>
    <w:rPr>
      <w:rFonts w:ascii="Times New Roman" w:eastAsia="Times New Roman" w:hAnsi="Times New Roman" w:cs="Times New Roman"/>
      <w:i/>
      <w:iCs/>
      <w:color w:val="FF0000"/>
      <w:sz w:val="24"/>
      <w:szCs w:val="24"/>
      <w:lang w:val="en-US"/>
    </w:rPr>
  </w:style>
  <w:style w:type="paragraph" w:customStyle="1" w:styleId="gtctextsectiondepth1">
    <w:name w:val="gtctextsectiondepth1"/>
    <w:basedOn w:val="Normal"/>
    <w:pPr>
      <w:keepNext/>
      <w:spacing w:before="240" w:after="240" w:line="240" w:lineRule="auto"/>
    </w:pPr>
    <w:rPr>
      <w:rFonts w:ascii="Times New Roman" w:eastAsia="Times New Roman" w:hAnsi="Times New Roman" w:cs="Times New Roman"/>
      <w:b/>
      <w:bCs/>
      <w:caps/>
      <w:sz w:val="24"/>
      <w:szCs w:val="24"/>
      <w:lang w:val="en-US"/>
    </w:rPr>
  </w:style>
  <w:style w:type="paragraph" w:customStyle="1" w:styleId="gtctextsectiondepth2">
    <w:name w:val="gtctextsectiondepth2"/>
    <w:basedOn w:val="Normal"/>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3">
    <w:name w:val="gtctextsectiondepth3"/>
    <w:basedOn w:val="Normal"/>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4">
    <w:name w:val="gtctextsectiondepth4"/>
    <w:basedOn w:val="Normal"/>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5">
    <w:name w:val="gtctextsectiondepth5"/>
    <w:basedOn w:val="Normal"/>
    <w:pPr>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6">
    <w:name w:val="gtctextsectiondepth6"/>
    <w:basedOn w:val="Normal"/>
    <w:pPr>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7">
    <w:name w:val="gtctextsectiondepth7"/>
    <w:basedOn w:val="Normal"/>
    <w:pPr>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8">
    <w:name w:val="gtctextsectiondepth8"/>
    <w:basedOn w:val="Normal"/>
    <w:pPr>
      <w:spacing w:before="240" w:after="240" w:line="240" w:lineRule="auto"/>
    </w:pPr>
    <w:rPr>
      <w:rFonts w:ascii="Times New Roman" w:eastAsia="Times New Roman" w:hAnsi="Times New Roman" w:cs="Times New Roman"/>
      <w:b/>
      <w:bCs/>
      <w:sz w:val="24"/>
      <w:szCs w:val="24"/>
      <w:lang w:val="en-US"/>
    </w:rPr>
  </w:style>
  <w:style w:type="paragraph" w:customStyle="1" w:styleId="gtctextsectiondepth9">
    <w:name w:val="gtctextsectiondepth9"/>
    <w:basedOn w:val="Normal"/>
    <w:pPr>
      <w:spacing w:before="240" w:after="240" w:line="240" w:lineRule="auto"/>
    </w:pPr>
    <w:rPr>
      <w:rFonts w:ascii="Times New Roman" w:eastAsia="Times New Roman" w:hAnsi="Times New Roman" w:cs="Times New Roman"/>
      <w:b/>
      <w:bCs/>
      <w:sz w:val="24"/>
      <w:szCs w:val="24"/>
      <w:lang w:val="en-US"/>
    </w:rPr>
  </w:style>
  <w:style w:type="paragraph" w:customStyle="1" w:styleId="gtcstandardtext">
    <w:name w:val="gtcstandardtext"/>
    <w:basedOn w:val="Normal"/>
    <w:pPr>
      <w:spacing w:before="240" w:after="240" w:line="240" w:lineRule="auto"/>
    </w:pPr>
    <w:rPr>
      <w:rFonts w:ascii="Times New Roman" w:eastAsia="Times New Roman" w:hAnsi="Times New Roman" w:cs="Times New Roman"/>
      <w:color w:val="0000FF"/>
      <w:sz w:val="24"/>
      <w:szCs w:val="24"/>
      <w:lang w:val="en-US"/>
    </w:rPr>
  </w:style>
  <w:style w:type="paragraph" w:customStyle="1" w:styleId="gtccaption">
    <w:name w:val="gtccaption"/>
    <w:basedOn w:val="Normal"/>
    <w:pPr>
      <w:spacing w:before="240" w:after="240" w:line="240" w:lineRule="auto"/>
    </w:pPr>
    <w:rPr>
      <w:rFonts w:ascii="Times New Roman" w:eastAsia="Times New Roman" w:hAnsi="Times New Roman" w:cs="Times New Roman"/>
      <w:caps/>
      <w:sz w:val="24"/>
      <w:szCs w:val="24"/>
      <w:lang w:val="en-US"/>
    </w:rPr>
  </w:style>
  <w:style w:type="paragraph" w:customStyle="1" w:styleId="gtclist-bw">
    <w:name w:val="gtclist-bw"/>
    <w:basedOn w:val="Normal"/>
    <w:pPr>
      <w:spacing w:before="40" w:after="40" w:line="240" w:lineRule="auto"/>
    </w:pPr>
    <w:rPr>
      <w:rFonts w:ascii="Times New Roman" w:eastAsia="Times New Roman" w:hAnsi="Times New Roman" w:cs="Times New Roman"/>
      <w:sz w:val="24"/>
      <w:szCs w:val="24"/>
      <w:lang w:val="en-US"/>
    </w:rPr>
  </w:style>
  <w:style w:type="paragraph" w:customStyle="1" w:styleId="gtctabletitlealignleft">
    <w:name w:val="gtctabletitlealignleft"/>
    <w:basedOn w:val="Normal"/>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gtctabletitlealignright">
    <w:name w:val="gtctabletitlealignright"/>
    <w:basedOn w:val="Normal"/>
    <w:pP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gtctabletitleinsertmarkup">
    <w:name w:val="gtctabletitleinsertmarkup"/>
    <w:basedOn w:val="Normal"/>
    <w:pPr>
      <w:spacing w:before="100" w:beforeAutospacing="1" w:after="100" w:afterAutospacing="1" w:line="240" w:lineRule="auto"/>
    </w:pPr>
    <w:rPr>
      <w:rFonts w:ascii="Times New Roman" w:eastAsia="Times New Roman" w:hAnsi="Times New Roman" w:cs="Times New Roman"/>
      <w:color w:val="FF0000"/>
      <w:sz w:val="20"/>
      <w:szCs w:val="20"/>
      <w:u w:val="double"/>
      <w:lang w:val="en-US"/>
    </w:rPr>
  </w:style>
  <w:style w:type="paragraph" w:customStyle="1" w:styleId="gtctabletitledeletemarkup">
    <w:name w:val="gtctabletitledeletemarkup"/>
    <w:basedOn w:val="Normal"/>
    <w:pPr>
      <w:spacing w:before="100" w:beforeAutospacing="1" w:after="100" w:afterAutospacing="1" w:line="240" w:lineRule="auto"/>
    </w:pPr>
    <w:rPr>
      <w:rFonts w:ascii="Times New Roman" w:eastAsia="Times New Roman" w:hAnsi="Times New Roman" w:cs="Times New Roman"/>
      <w:strike/>
      <w:color w:val="FF0000"/>
      <w:sz w:val="20"/>
      <w:szCs w:val="20"/>
      <w:lang w:val="en-US"/>
    </w:rPr>
  </w:style>
  <w:style w:type="paragraph" w:customStyle="1" w:styleId="gtctableheadertextleftrule">
    <w:name w:val="gtctableheadertextleftrule"/>
    <w:basedOn w:val="Normal"/>
    <w:pPr>
      <w:pBdr>
        <w:lef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rightrule">
    <w:name w:val="gtctableheadertextrightrule"/>
    <w:basedOn w:val="Normal"/>
    <w:pPr>
      <w:pBdr>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toprule">
    <w:name w:val="gtctableheadertexttoprule"/>
    <w:basedOn w:val="Normal"/>
    <w:pPr>
      <w:pBdr>
        <w:top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bottomrule">
    <w:name w:val="gtctableheadertextbottomrule"/>
    <w:basedOn w:val="Normal"/>
    <w:pPr>
      <w:pBdr>
        <w:bottom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rightrule">
    <w:name w:val="gtctableheadertextleftrightrule"/>
    <w:basedOn w:val="Normal"/>
    <w:pPr>
      <w:pBdr>
        <w:left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toprule">
    <w:name w:val="gtctableheadertextlefttoprule"/>
    <w:basedOn w:val="Normal"/>
    <w:pPr>
      <w:pBdr>
        <w:top w:val="single" w:sz="6" w:space="0" w:color="000000"/>
        <w:lef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bottomrule">
    <w:name w:val="gtctableheadertextleftbottomrule"/>
    <w:basedOn w:val="Normal"/>
    <w:pPr>
      <w:pBdr>
        <w:left w:val="single" w:sz="6" w:space="0" w:color="000000"/>
        <w:bottom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righttoprule">
    <w:name w:val="gtctableheadertextrighttoprule"/>
    <w:basedOn w:val="Normal"/>
    <w:pPr>
      <w:pBdr>
        <w:top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rightbottomrule">
    <w:name w:val="gtctableheadertextrightbottomrule"/>
    <w:basedOn w:val="Normal"/>
    <w:pPr>
      <w:pBdr>
        <w:bottom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righttoprule">
    <w:name w:val="gtctableheadertextleftrighttoprule"/>
    <w:basedOn w:val="Normal"/>
    <w:pPr>
      <w:pBdr>
        <w:top w:val="single" w:sz="6" w:space="0" w:color="000000"/>
        <w:left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rightbottomrule">
    <w:name w:val="gtctableheadertextleftrightbottomrule"/>
    <w:basedOn w:val="Normal"/>
    <w:pPr>
      <w:pBdr>
        <w:left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righttopbottomrule">
    <w:name w:val="gtctableheadertextrighttopbottomrule"/>
    <w:basedOn w:val="Normal"/>
    <w:pPr>
      <w:pBdr>
        <w:top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leftrighttopbottomrule">
    <w:name w:val="gtctableheadertextleftrighttopbottomrule"/>
    <w:basedOn w:val="Normal"/>
    <w:pPr>
      <w:pBdr>
        <w:top w:val="single" w:sz="6" w:space="0" w:color="000000"/>
        <w:left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headertextnorule">
    <w:name w:val="gtctableheadertextnorule"/>
    <w:basedOn w:val="Normal"/>
    <w:pPr>
      <w:spacing w:before="60" w:after="60" w:line="300" w:lineRule="auto"/>
      <w:jc w:val="center"/>
    </w:pPr>
    <w:rPr>
      <w:rFonts w:ascii="Times New Roman" w:eastAsia="Times New Roman" w:hAnsi="Times New Roman" w:cs="Times New Roman"/>
      <w:b/>
      <w:bCs/>
      <w:sz w:val="20"/>
      <w:szCs w:val="20"/>
      <w:lang w:val="en-US"/>
    </w:rPr>
  </w:style>
  <w:style w:type="paragraph" w:customStyle="1" w:styleId="gtctabledatatextleftrule">
    <w:name w:val="gtctabledatatextleftrule"/>
    <w:basedOn w:val="Normal"/>
    <w:pPr>
      <w:pBdr>
        <w:lef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rightrule">
    <w:name w:val="gtctabledatatextrightrule"/>
    <w:basedOn w:val="Normal"/>
    <w:pPr>
      <w:pBdr>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toprule">
    <w:name w:val="gtctabledatatexttoprule"/>
    <w:basedOn w:val="Normal"/>
    <w:pPr>
      <w:pBdr>
        <w:top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bottomrule">
    <w:name w:val="gtctabledatatextbottomrule"/>
    <w:basedOn w:val="Normal"/>
    <w:pPr>
      <w:pBdr>
        <w:bottom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rightrule">
    <w:name w:val="gtctabledatatextleftrightrule"/>
    <w:basedOn w:val="Normal"/>
    <w:pPr>
      <w:pBdr>
        <w:left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toprule">
    <w:name w:val="gtctabledatatextlefttoprule"/>
    <w:basedOn w:val="Normal"/>
    <w:pPr>
      <w:pBdr>
        <w:top w:val="single" w:sz="6" w:space="0" w:color="000000"/>
        <w:lef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bottomrule">
    <w:name w:val="gtctabledatatextleftbottomrule"/>
    <w:basedOn w:val="Normal"/>
    <w:pPr>
      <w:pBdr>
        <w:left w:val="single" w:sz="6" w:space="0" w:color="000000"/>
        <w:bottom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righttoprule">
    <w:name w:val="gtctabledatatextrighttoprule"/>
    <w:basedOn w:val="Normal"/>
    <w:pPr>
      <w:pBdr>
        <w:top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rightbottomrule">
    <w:name w:val="gtctabledatatextrightbottomrule"/>
    <w:basedOn w:val="Normal"/>
    <w:pPr>
      <w:pBdr>
        <w:bottom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righttoprule">
    <w:name w:val="gtctabledatatextleftrighttoprule"/>
    <w:basedOn w:val="Normal"/>
    <w:pPr>
      <w:pBdr>
        <w:top w:val="single" w:sz="6" w:space="0" w:color="000000"/>
        <w:left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rightbottomrule">
    <w:name w:val="gtctabledatatextleftrightbottomrule"/>
    <w:basedOn w:val="Normal"/>
    <w:pPr>
      <w:pBdr>
        <w:left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righttopbottomrule">
    <w:name w:val="gtctabledatatextrighttopbottomrule"/>
    <w:basedOn w:val="Normal"/>
    <w:pPr>
      <w:pBdr>
        <w:top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leftrighttopbottomrule">
    <w:name w:val="gtctabledatatextleftrighttopbottomrule"/>
    <w:basedOn w:val="Normal"/>
    <w:pPr>
      <w:pBdr>
        <w:top w:val="single" w:sz="6" w:space="0" w:color="000000"/>
        <w:left w:val="single" w:sz="6" w:space="0" w:color="000000"/>
        <w:bottom w:val="single" w:sz="6" w:space="0" w:color="000000"/>
        <w:right w:val="single" w:sz="6" w:space="0" w:color="000000"/>
      </w:pBdr>
      <w:spacing w:before="60" w:after="60" w:line="300" w:lineRule="auto"/>
      <w:jc w:val="center"/>
    </w:pPr>
    <w:rPr>
      <w:rFonts w:ascii="Times New Roman" w:eastAsia="Times New Roman" w:hAnsi="Times New Roman" w:cs="Times New Roman"/>
      <w:sz w:val="20"/>
      <w:szCs w:val="20"/>
      <w:lang w:val="en-US"/>
    </w:rPr>
  </w:style>
  <w:style w:type="paragraph" w:customStyle="1" w:styleId="gtctabledatatextnorule">
    <w:name w:val="gtctabledatatextnorule"/>
    <w:basedOn w:val="Normal"/>
    <w:pPr>
      <w:spacing w:before="60" w:after="60" w:line="300" w:lineRule="auto"/>
      <w:jc w:val="center"/>
    </w:pPr>
    <w:rPr>
      <w:rFonts w:ascii="Times New Roman" w:eastAsia="Times New Roman" w:hAnsi="Times New Roman" w:cs="Times New Roman"/>
      <w:sz w:val="20"/>
      <w:szCs w:val="20"/>
      <w:lang w:val="en-US"/>
    </w:rPr>
  </w:style>
  <w:style w:type="paragraph" w:customStyle="1" w:styleId="gtcsuperscripthl">
    <w:name w:val="gtcsuperscripthl"/>
    <w:basedOn w:val="Normal"/>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gtcsubscripthl">
    <w:name w:val="gtcsubscripthl"/>
    <w:basedOn w:val="Normal"/>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inserted">
    <w:name w:val="inserted"/>
    <w:basedOn w:val="Normal"/>
    <w:pPr>
      <w:spacing w:before="100" w:beforeAutospacing="1" w:after="100" w:afterAutospacing="1" w:line="240" w:lineRule="auto"/>
    </w:pPr>
    <w:rPr>
      <w:rFonts w:ascii="Times New Roman" w:eastAsia="Times New Roman" w:hAnsi="Times New Roman" w:cs="Times New Roman"/>
      <w:color w:val="FF0000"/>
      <w:sz w:val="24"/>
      <w:szCs w:val="24"/>
      <w:u w:val="double"/>
      <w:lang w:val="en-US"/>
    </w:rPr>
  </w:style>
  <w:style w:type="paragraph" w:customStyle="1" w:styleId="deleted">
    <w:name w:val="deleted"/>
    <w:basedOn w:val="Normal"/>
    <w:pPr>
      <w:spacing w:before="100" w:beforeAutospacing="1" w:after="100" w:afterAutospacing="1" w:line="240" w:lineRule="auto"/>
    </w:pPr>
    <w:rPr>
      <w:rFonts w:ascii="Times New Roman" w:eastAsia="Times New Roman" w:hAnsi="Times New Roman" w:cs="Times New Roman"/>
      <w:strike/>
      <w:color w:val="0000FF"/>
      <w:sz w:val="24"/>
      <w:szCs w:val="24"/>
      <w:lang w:val="en-US"/>
    </w:rPr>
  </w:style>
  <w:style w:type="paragraph" w:customStyle="1" w:styleId="gtcreason">
    <w:name w:val="gtcreason"/>
    <w:basedOn w:val="Normal"/>
    <w:pPr>
      <w:spacing w:before="100" w:beforeAutospacing="1" w:after="100" w:afterAutospacing="1" w:line="240" w:lineRule="auto"/>
    </w:pPr>
    <w:rPr>
      <w:rFonts w:ascii="Times New Roman" w:eastAsia="Times New Roman" w:hAnsi="Times New Roman" w:cs="Times New Roman"/>
      <w:color w:val="008000"/>
      <w:sz w:val="24"/>
      <w:szCs w:val="24"/>
      <w:lang w:val="en-US"/>
    </w:rPr>
  </w:style>
  <w:style w:type="paragraph" w:customStyle="1" w:styleId="gtcalternatetext">
    <w:name w:val="gtcalternatetext"/>
    <w:basedOn w:val="Normal"/>
    <w:pPr>
      <w:spacing w:before="100" w:beforeAutospacing="1" w:after="100" w:afterAutospacing="1" w:line="240" w:lineRule="auto"/>
    </w:pPr>
    <w:rPr>
      <w:rFonts w:ascii="Times New Roman" w:eastAsia="Times New Roman" w:hAnsi="Times New Roman" w:cs="Times New Roman"/>
      <w:color w:val="0000FF"/>
      <w:sz w:val="24"/>
      <w:szCs w:val="24"/>
      <w:lang w:val="en-US"/>
    </w:rPr>
  </w:style>
  <w:style w:type="paragraph" w:customStyle="1" w:styleId="gtchacomment">
    <w:name w:val="gtchacomment"/>
    <w:basedOn w:val="Normal"/>
    <w:pPr>
      <w:shd w:val="clear" w:color="auto" w:fill="CCFF6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originaltext">
    <w:name w:val="gtcoriginaltext"/>
    <w:basedOn w:val="Normal"/>
    <w:pPr>
      <w:shd w:val="clear" w:color="auto" w:fill="FFFF0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internalcommenttext">
    <w:name w:val="gtcinternalcommenttext"/>
    <w:basedOn w:val="Normal"/>
    <w:pPr>
      <w:shd w:val="clear" w:color="auto" w:fill="FFC0CB"/>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internalcomment">
    <w:name w:val="gtcinternalcomment"/>
    <w:basedOn w:val="Normal"/>
    <w:pPr>
      <w:shd w:val="clear" w:color="auto" w:fill="FFC0CB"/>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cngeneral">
    <w:name w:val="cn_general"/>
    <w:basedOn w:val="Normal"/>
    <w:pPr>
      <w:spacing w:before="100" w:beforeAutospacing="1" w:after="100" w:afterAutospacing="1" w:line="240" w:lineRule="auto"/>
    </w:pPr>
    <w:rPr>
      <w:rFonts w:ascii="Times New Roman" w:eastAsia="Times New Roman" w:hAnsi="Times New Roman" w:cs="Times New Roman"/>
      <w:lang w:val="en-US"/>
    </w:rPr>
  </w:style>
  <w:style w:type="paragraph" w:customStyle="1" w:styleId="cncomprow">
    <w:name w:val="cn_comprow"/>
    <w:basedOn w:val="Normal"/>
    <w:pPr>
      <w:pBdr>
        <w:top w:val="single" w:sz="4" w:space="4" w:color="000000"/>
        <w:left w:val="single" w:sz="4" w:space="6" w:color="000000"/>
        <w:bottom w:val="single" w:sz="4" w:space="4" w:color="000000"/>
        <w:right w:val="single" w:sz="4" w:space="6"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ncompheaderrow">
    <w:name w:val="cn_compheaderrow"/>
    <w:basedOn w:val="Normal"/>
    <w:pPr>
      <w:pBdr>
        <w:top w:val="single" w:sz="4" w:space="4" w:color="000000"/>
        <w:left w:val="single" w:sz="4" w:space="6" w:color="000000"/>
        <w:bottom w:val="single" w:sz="4" w:space="4" w:color="000000"/>
        <w:right w:val="single" w:sz="4" w:space="6"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outerhl-bw">
    <w:name w:val="gtclistouterhl-bw"/>
    <w:basedOn w:val="Normal"/>
    <w:pPr>
      <w:spacing w:before="100" w:beforeAutospacing="1" w:after="100" w:afterAutospacing="1" w:line="240" w:lineRule="auto"/>
      <w:ind w:left="540"/>
    </w:pPr>
    <w:rPr>
      <w:rFonts w:ascii="Times New Roman" w:eastAsia="Times New Roman" w:hAnsi="Times New Roman" w:cs="Times New Roman"/>
      <w:sz w:val="24"/>
      <w:szCs w:val="24"/>
      <w:lang w:val="en-US"/>
    </w:rPr>
  </w:style>
  <w:style w:type="paragraph" w:customStyle="1" w:styleId="gtclistouterhl">
    <w:name w:val="gtclistouterhl"/>
    <w:basedOn w:val="Normal"/>
    <w:pPr>
      <w:spacing w:before="100" w:beforeAutospacing="1" w:after="100" w:afterAutospacing="1" w:line="240" w:lineRule="auto"/>
      <w:ind w:left="360"/>
    </w:pPr>
    <w:rPr>
      <w:rFonts w:ascii="Times New Roman" w:eastAsia="Times New Roman" w:hAnsi="Times New Roman" w:cs="Times New Roman"/>
      <w:sz w:val="24"/>
      <w:szCs w:val="24"/>
      <w:lang w:val="en-US"/>
    </w:rPr>
  </w:style>
  <w:style w:type="paragraph" w:customStyle="1" w:styleId="gtclistouter">
    <w:name w:val="gtclistouter"/>
    <w:basedOn w:val="Normal"/>
    <w:pPr>
      <w:spacing w:before="100" w:beforeAutospacing="1" w:after="100" w:afterAutospacing="1" w:line="240" w:lineRule="auto"/>
      <w:ind w:left="360"/>
    </w:pPr>
    <w:rPr>
      <w:rFonts w:ascii="Times New Roman" w:eastAsia="Times New Roman" w:hAnsi="Times New Roman" w:cs="Times New Roman"/>
      <w:sz w:val="24"/>
      <w:szCs w:val="24"/>
      <w:lang w:val="en-US"/>
    </w:rPr>
  </w:style>
  <w:style w:type="paragraph" w:customStyle="1" w:styleId="gtclistinnerhl">
    <w:name w:val="gtclistinnerhl"/>
    <w:basedOn w:val="Normal"/>
    <w:pPr>
      <w:spacing w:after="0" w:line="240" w:lineRule="auto"/>
      <w:ind w:left="-360"/>
    </w:pPr>
    <w:rPr>
      <w:rFonts w:ascii="Times New Roman" w:eastAsia="Times New Roman" w:hAnsi="Times New Roman" w:cs="Times New Roman"/>
      <w:sz w:val="24"/>
      <w:szCs w:val="24"/>
      <w:lang w:val="en-US"/>
    </w:rPr>
  </w:style>
  <w:style w:type="paragraph" w:customStyle="1" w:styleId="gtclistinner">
    <w:name w:val="gtclistinner"/>
    <w:basedOn w:val="Normal"/>
    <w:pPr>
      <w:spacing w:after="0" w:line="240" w:lineRule="auto"/>
      <w:ind w:left="-360"/>
    </w:pPr>
    <w:rPr>
      <w:rFonts w:ascii="Times New Roman" w:eastAsia="Times New Roman" w:hAnsi="Times New Roman" w:cs="Times New Roman"/>
      <w:sz w:val="24"/>
      <w:szCs w:val="24"/>
      <w:lang w:val="en-US"/>
    </w:rPr>
  </w:style>
  <w:style w:type="paragraph" w:customStyle="1" w:styleId="gtcleftalign">
    <w:name w:val="gtcleftalign"/>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centeralign">
    <w:name w:val="gtccenteralign"/>
    <w:basedOn w:val="Normal"/>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centred">
    <w:name w:val="centred"/>
    <w:basedOn w:val="Normal"/>
    <w:pPr>
      <w:suppressAutoHyphens/>
      <w:spacing w:after="0" w:line="240" w:lineRule="auto"/>
      <w:jc w:val="center"/>
    </w:pPr>
    <w:rPr>
      <w:rFonts w:ascii="Times New Roman" w:eastAsia="Times New Roman" w:hAnsi="Times New Roman" w:cs="Times New Roman"/>
      <w:b/>
      <w:szCs w:val="24"/>
      <w:lang w:val="en-GB"/>
    </w:rPr>
  </w:style>
  <w:style w:type="paragraph" w:customStyle="1" w:styleId="leftaligned">
    <w:name w:val="leftaligned"/>
    <w:basedOn w:val="Normal"/>
    <w:pPr>
      <w:tabs>
        <w:tab w:val="left" w:pos="562"/>
      </w:tabs>
      <w:suppressAutoHyphens/>
      <w:spacing w:after="0" w:line="240" w:lineRule="auto"/>
      <w:ind w:left="550" w:hanging="550"/>
    </w:pPr>
    <w:rPr>
      <w:rFonts w:ascii="Times New Roman" w:eastAsia="Times New Roman" w:hAnsi="Times New Roman" w:cs="Times New Roman"/>
      <w:b/>
      <w:szCs w:val="24"/>
      <w:lang w:val="en-GB"/>
    </w:rPr>
  </w:style>
  <w:style w:type="paragraph" w:customStyle="1" w:styleId="BMCENTRED">
    <w:name w:val="BM CENTRED"/>
    <w:basedOn w:val="Normal"/>
    <w:pPr>
      <w:suppressAutoHyphens/>
      <w:spacing w:after="0" w:line="240" w:lineRule="auto"/>
      <w:jc w:val="center"/>
    </w:pPr>
    <w:rPr>
      <w:rFonts w:ascii="Times New Roman" w:eastAsia="Times New Roman" w:hAnsi="Times New Roman" w:cs="Times New Roman"/>
      <w:b/>
      <w:szCs w:val="24"/>
      <w:lang w:val="en-GB"/>
    </w:rPr>
  </w:style>
  <w:style w:type="paragraph" w:customStyle="1" w:styleId="bmleftaligned">
    <w:name w:val="bmleftaligned"/>
    <w:basedOn w:val="Normal"/>
    <w:pPr>
      <w:tabs>
        <w:tab w:val="left" w:pos="562"/>
      </w:tabs>
      <w:suppressAutoHyphens/>
      <w:spacing w:after="0" w:line="240" w:lineRule="auto"/>
      <w:ind w:left="550" w:hanging="550"/>
    </w:pPr>
    <w:rPr>
      <w:rFonts w:ascii="Times New Roman" w:eastAsia="Times New Roman" w:hAnsi="Times New Roman" w:cs="Times New Roman"/>
      <w:b/>
      <w:szCs w:val="24"/>
      <w:lang w:val="en-GB"/>
    </w:rPr>
  </w:style>
  <w:style w:type="character" w:customStyle="1" w:styleId="gtcgreyshadedtext1">
    <w:name w:val="gtcgreyshadedtext1"/>
    <w:rPr>
      <w:rFonts w:ascii="Times New Roman" w:hAnsi="Times New Roman" w:cs="Times New Roman" w:hint="default"/>
      <w:b w:val="0"/>
      <w:bCs w:val="0"/>
      <w:i w:val="0"/>
      <w:iCs w:val="0"/>
      <w:caps w:val="0"/>
      <w:sz w:val="24"/>
      <w:szCs w:val="24"/>
      <w:shd w:val="clear" w:color="auto" w:fill="C0C0C0"/>
    </w:rPr>
  </w:style>
  <w:style w:type="character" w:customStyle="1" w:styleId="gtcannotation1">
    <w:name w:val="gtcannotation1"/>
    <w:rPr>
      <w:color w:val="006633"/>
      <w:sz w:val="20"/>
      <w:szCs w:val="20"/>
    </w:rPr>
  </w:style>
  <w:style w:type="character" w:customStyle="1" w:styleId="gtcannotationhl1">
    <w:name w:val="gtcannotationhl1"/>
    <w:rPr>
      <w:color w:val="006633"/>
      <w:sz w:val="16"/>
      <w:szCs w:val="16"/>
    </w:rPr>
  </w:style>
  <w:style w:type="paragraph" w:customStyle="1" w:styleId="gtchighlighttextboxedwarnings1">
    <w:name w:val="gtchighlighttextboxedwarnings1"/>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
    <w:name w:val="gtchighlighttext1"/>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2">
    <w:name w:val="gtcgreyshadedtext2"/>
    <w:rPr>
      <w:rFonts w:ascii="Times New Roman" w:hAnsi="Times New Roman" w:cs="Times New Roman" w:hint="default"/>
      <w:b w:val="0"/>
      <w:bCs w:val="0"/>
      <w:i w:val="0"/>
      <w:iCs w:val="0"/>
      <w:caps w:val="0"/>
      <w:sz w:val="24"/>
      <w:szCs w:val="24"/>
      <w:shd w:val="clear" w:color="auto" w:fill="C0C0C0"/>
    </w:rPr>
  </w:style>
  <w:style w:type="character" w:customStyle="1" w:styleId="gtcannotation2">
    <w:name w:val="gtcannotation2"/>
    <w:rPr>
      <w:color w:val="006633"/>
      <w:sz w:val="20"/>
      <w:szCs w:val="20"/>
    </w:rPr>
  </w:style>
  <w:style w:type="character" w:customStyle="1" w:styleId="gtcannotationhl2">
    <w:name w:val="gtcannotationhl2"/>
    <w:rPr>
      <w:color w:val="006633"/>
      <w:sz w:val="16"/>
      <w:szCs w:val="16"/>
    </w:rPr>
  </w:style>
  <w:style w:type="paragraph" w:customStyle="1" w:styleId="gtchighlighttextboxedwarnings2">
    <w:name w:val="gtchighlighttextboxedwarnings2"/>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
    <w:name w:val="gtchighlighttext2"/>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italic1">
    <w:name w:val="gtcitalic1"/>
    <w:rPr>
      <w:i/>
      <w:iCs/>
    </w:rPr>
  </w:style>
  <w:style w:type="character" w:customStyle="1" w:styleId="gtcgreyshadedtext3">
    <w:name w:val="gtcgreyshadedtext3"/>
    <w:rPr>
      <w:rFonts w:ascii="Times New Roman" w:hAnsi="Times New Roman" w:cs="Times New Roman" w:hint="default"/>
      <w:b w:val="0"/>
      <w:bCs w:val="0"/>
      <w:i w:val="0"/>
      <w:iCs w:val="0"/>
      <w:caps w:val="0"/>
      <w:sz w:val="24"/>
      <w:szCs w:val="24"/>
      <w:shd w:val="clear" w:color="auto" w:fill="C0C0C0"/>
    </w:rPr>
  </w:style>
  <w:style w:type="character" w:customStyle="1" w:styleId="gtcannotation3">
    <w:name w:val="gtcannotation3"/>
    <w:rPr>
      <w:color w:val="006633"/>
      <w:sz w:val="20"/>
      <w:szCs w:val="20"/>
    </w:rPr>
  </w:style>
  <w:style w:type="character" w:customStyle="1" w:styleId="gtcannotationhl3">
    <w:name w:val="gtcannotationhl3"/>
    <w:rPr>
      <w:color w:val="006633"/>
      <w:sz w:val="16"/>
      <w:szCs w:val="16"/>
    </w:rPr>
  </w:style>
  <w:style w:type="paragraph" w:customStyle="1" w:styleId="gtchighlighttextboxedwarnings3">
    <w:name w:val="gtchighlighttextboxedwarnings3"/>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
    <w:name w:val="gtchighlighttext3"/>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highlightparagraph1">
    <w:name w:val="gtchighlightparagraph1"/>
    <w:rPr>
      <w:sz w:val="16"/>
      <w:szCs w:val="16"/>
    </w:rPr>
  </w:style>
  <w:style w:type="character" w:customStyle="1" w:styleId="gtcgreyshadedtext4">
    <w:name w:val="gtcgreyshadedtext4"/>
    <w:rPr>
      <w:rFonts w:ascii="Times New Roman" w:hAnsi="Times New Roman" w:cs="Times New Roman" w:hint="default"/>
      <w:b w:val="0"/>
      <w:bCs w:val="0"/>
      <w:i w:val="0"/>
      <w:iCs w:val="0"/>
      <w:caps w:val="0"/>
      <w:sz w:val="24"/>
      <w:szCs w:val="24"/>
      <w:shd w:val="clear" w:color="auto" w:fill="C0C0C0"/>
    </w:rPr>
  </w:style>
  <w:style w:type="character" w:customStyle="1" w:styleId="gtcannotation4">
    <w:name w:val="gtcannotation4"/>
    <w:rPr>
      <w:color w:val="006633"/>
      <w:sz w:val="20"/>
      <w:szCs w:val="20"/>
    </w:rPr>
  </w:style>
  <w:style w:type="character" w:customStyle="1" w:styleId="gtcannotationhl4">
    <w:name w:val="gtcannotationhl4"/>
    <w:rPr>
      <w:color w:val="006633"/>
      <w:sz w:val="16"/>
      <w:szCs w:val="16"/>
    </w:rPr>
  </w:style>
  <w:style w:type="paragraph" w:customStyle="1" w:styleId="gtchighlighttextboxedwarnings4">
    <w:name w:val="gtchighlighttextboxedwarnings4"/>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4">
    <w:name w:val="gtchighlighttext4"/>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highlightparagraph2">
    <w:name w:val="gtchighlightparagraph2"/>
    <w:rPr>
      <w:sz w:val="16"/>
      <w:szCs w:val="16"/>
    </w:rPr>
  </w:style>
  <w:style w:type="paragraph" w:customStyle="1" w:styleId="gtchighlighttextregular">
    <w:name w:val="gtchighlighttextregular"/>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tcgreyshadedtext5">
    <w:name w:val="gtcgreyshadedtext5"/>
    <w:rPr>
      <w:rFonts w:ascii="Times New Roman" w:hAnsi="Times New Roman" w:cs="Times New Roman" w:hint="default"/>
      <w:b w:val="0"/>
      <w:bCs w:val="0"/>
      <w:i w:val="0"/>
      <w:iCs w:val="0"/>
      <w:caps w:val="0"/>
      <w:sz w:val="24"/>
      <w:szCs w:val="24"/>
      <w:shd w:val="clear" w:color="auto" w:fill="C0C0C0"/>
    </w:rPr>
  </w:style>
  <w:style w:type="character" w:customStyle="1" w:styleId="gtcannotation5">
    <w:name w:val="gtcannotation5"/>
    <w:rPr>
      <w:color w:val="006633"/>
      <w:sz w:val="20"/>
      <w:szCs w:val="20"/>
    </w:rPr>
  </w:style>
  <w:style w:type="character" w:customStyle="1" w:styleId="gtcannotationhl5">
    <w:name w:val="gtcannotationhl5"/>
    <w:rPr>
      <w:color w:val="006633"/>
      <w:sz w:val="16"/>
      <w:szCs w:val="16"/>
    </w:rPr>
  </w:style>
  <w:style w:type="paragraph" w:customStyle="1" w:styleId="gtchighlighttextboxedwarnings5">
    <w:name w:val="gtchighlighttextboxedwarnings5"/>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5">
    <w:name w:val="gtchighlighttext5"/>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6">
    <w:name w:val="gtcgreyshadedtext6"/>
    <w:rPr>
      <w:rFonts w:ascii="Times New Roman" w:hAnsi="Times New Roman" w:cs="Times New Roman" w:hint="default"/>
      <w:b w:val="0"/>
      <w:bCs w:val="0"/>
      <w:i w:val="0"/>
      <w:iCs w:val="0"/>
      <w:caps w:val="0"/>
      <w:sz w:val="24"/>
      <w:szCs w:val="24"/>
      <w:shd w:val="clear" w:color="auto" w:fill="C0C0C0"/>
    </w:rPr>
  </w:style>
  <w:style w:type="character" w:customStyle="1" w:styleId="gtcannotation6">
    <w:name w:val="gtcannotation6"/>
    <w:rPr>
      <w:color w:val="006633"/>
      <w:sz w:val="20"/>
      <w:szCs w:val="20"/>
    </w:rPr>
  </w:style>
  <w:style w:type="character" w:customStyle="1" w:styleId="gtcannotationhl6">
    <w:name w:val="gtcannotationhl6"/>
    <w:rPr>
      <w:color w:val="006633"/>
      <w:sz w:val="16"/>
      <w:szCs w:val="16"/>
    </w:rPr>
  </w:style>
  <w:style w:type="paragraph" w:customStyle="1" w:styleId="gtchighlighttextboxedwarnings6">
    <w:name w:val="gtchighlighttextboxedwarnings6"/>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6">
    <w:name w:val="gtchighlighttext6"/>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7">
    <w:name w:val="gtcgreyshadedtext7"/>
    <w:rPr>
      <w:rFonts w:ascii="Times New Roman" w:hAnsi="Times New Roman" w:cs="Times New Roman" w:hint="default"/>
      <w:b w:val="0"/>
      <w:bCs w:val="0"/>
      <w:i w:val="0"/>
      <w:iCs w:val="0"/>
      <w:caps w:val="0"/>
      <w:sz w:val="24"/>
      <w:szCs w:val="24"/>
      <w:shd w:val="clear" w:color="auto" w:fill="C0C0C0"/>
    </w:rPr>
  </w:style>
  <w:style w:type="character" w:customStyle="1" w:styleId="gtcannotation7">
    <w:name w:val="gtcannotation7"/>
    <w:rPr>
      <w:color w:val="006633"/>
      <w:sz w:val="20"/>
      <w:szCs w:val="20"/>
    </w:rPr>
  </w:style>
  <w:style w:type="character" w:customStyle="1" w:styleId="gtcannotationhl7">
    <w:name w:val="gtcannotationhl7"/>
    <w:rPr>
      <w:color w:val="006633"/>
      <w:sz w:val="16"/>
      <w:szCs w:val="16"/>
    </w:rPr>
  </w:style>
  <w:style w:type="paragraph" w:customStyle="1" w:styleId="gtchighlighttextboxedwarnings7">
    <w:name w:val="gtchighlighttextboxedwarnings7"/>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7">
    <w:name w:val="gtchighlighttext7"/>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8">
    <w:name w:val="gtcgreyshadedtext8"/>
    <w:rPr>
      <w:rFonts w:ascii="Times New Roman" w:hAnsi="Times New Roman" w:cs="Times New Roman" w:hint="default"/>
      <w:b w:val="0"/>
      <w:bCs w:val="0"/>
      <w:i w:val="0"/>
      <w:iCs w:val="0"/>
      <w:caps w:val="0"/>
      <w:sz w:val="24"/>
      <w:szCs w:val="24"/>
      <w:shd w:val="clear" w:color="auto" w:fill="C0C0C0"/>
    </w:rPr>
  </w:style>
  <w:style w:type="character" w:customStyle="1" w:styleId="gtcannotation8">
    <w:name w:val="gtcannotation8"/>
    <w:rPr>
      <w:color w:val="006633"/>
      <w:sz w:val="20"/>
      <w:szCs w:val="20"/>
    </w:rPr>
  </w:style>
  <w:style w:type="character" w:customStyle="1" w:styleId="gtcannotationhl8">
    <w:name w:val="gtcannotationhl8"/>
    <w:rPr>
      <w:color w:val="006633"/>
      <w:sz w:val="16"/>
      <w:szCs w:val="16"/>
    </w:rPr>
  </w:style>
  <w:style w:type="paragraph" w:customStyle="1" w:styleId="gtchighlighttextboxedwarnings8">
    <w:name w:val="gtchighlighttextboxedwarnings8"/>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8">
    <w:name w:val="gtchighlighttext8"/>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bold1">
    <w:name w:val="gtcbold1"/>
    <w:rPr>
      <w:b/>
      <w:bCs/>
    </w:rPr>
  </w:style>
  <w:style w:type="character" w:customStyle="1" w:styleId="gtclinktext1">
    <w:name w:val="gtclinktext1"/>
    <w:rPr>
      <w:strike w:val="0"/>
      <w:dstrike w:val="0"/>
      <w:u w:val="none"/>
      <w:effect w:val="none"/>
    </w:rPr>
  </w:style>
  <w:style w:type="character" w:customStyle="1" w:styleId="gtcgreyshadedtext9">
    <w:name w:val="gtcgreyshadedtext9"/>
    <w:rPr>
      <w:rFonts w:ascii="Times New Roman" w:hAnsi="Times New Roman" w:cs="Times New Roman" w:hint="default"/>
      <w:b w:val="0"/>
      <w:bCs w:val="0"/>
      <w:i w:val="0"/>
      <w:iCs w:val="0"/>
      <w:caps w:val="0"/>
      <w:sz w:val="24"/>
      <w:szCs w:val="24"/>
      <w:shd w:val="clear" w:color="auto" w:fill="C0C0C0"/>
    </w:rPr>
  </w:style>
  <w:style w:type="character" w:customStyle="1" w:styleId="gtcannotation9">
    <w:name w:val="gtcannotation9"/>
    <w:rPr>
      <w:color w:val="006633"/>
      <w:sz w:val="20"/>
      <w:szCs w:val="20"/>
    </w:rPr>
  </w:style>
  <w:style w:type="character" w:customStyle="1" w:styleId="gtcannotationhl9">
    <w:name w:val="gtcannotationhl9"/>
    <w:rPr>
      <w:color w:val="006633"/>
      <w:sz w:val="16"/>
      <w:szCs w:val="16"/>
    </w:rPr>
  </w:style>
  <w:style w:type="paragraph" w:customStyle="1" w:styleId="gtchighlighttextboxedwarnings9">
    <w:name w:val="gtchighlighttextboxedwarnings9"/>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9">
    <w:name w:val="gtchighlighttext9"/>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10">
    <w:name w:val="gtcgreyshadedtext10"/>
    <w:rPr>
      <w:rFonts w:ascii="Times New Roman" w:hAnsi="Times New Roman" w:cs="Times New Roman" w:hint="default"/>
      <w:b w:val="0"/>
      <w:bCs w:val="0"/>
      <w:i w:val="0"/>
      <w:iCs w:val="0"/>
      <w:caps w:val="0"/>
      <w:sz w:val="24"/>
      <w:szCs w:val="24"/>
      <w:shd w:val="clear" w:color="auto" w:fill="C0C0C0"/>
    </w:rPr>
  </w:style>
  <w:style w:type="character" w:customStyle="1" w:styleId="gtcannotation10">
    <w:name w:val="gtcannotation10"/>
    <w:rPr>
      <w:color w:val="006633"/>
      <w:sz w:val="20"/>
      <w:szCs w:val="20"/>
    </w:rPr>
  </w:style>
  <w:style w:type="character" w:customStyle="1" w:styleId="gtcannotationhl10">
    <w:name w:val="gtcannotationhl10"/>
    <w:rPr>
      <w:color w:val="006633"/>
      <w:sz w:val="16"/>
      <w:szCs w:val="16"/>
    </w:rPr>
  </w:style>
  <w:style w:type="paragraph" w:customStyle="1" w:styleId="gtchighlighttextboxedwarnings10">
    <w:name w:val="gtchighlighttextboxedwarnings10"/>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0">
    <w:name w:val="gtchighlighttext10"/>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11">
    <w:name w:val="gtcgreyshadedtext11"/>
    <w:rPr>
      <w:rFonts w:ascii="Times New Roman" w:hAnsi="Times New Roman" w:cs="Times New Roman" w:hint="default"/>
      <w:b w:val="0"/>
      <w:bCs w:val="0"/>
      <w:i w:val="0"/>
      <w:iCs w:val="0"/>
      <w:caps w:val="0"/>
      <w:sz w:val="24"/>
      <w:szCs w:val="24"/>
      <w:shd w:val="clear" w:color="auto" w:fill="C0C0C0"/>
    </w:rPr>
  </w:style>
  <w:style w:type="character" w:customStyle="1" w:styleId="gtcannotation11">
    <w:name w:val="gtcannotation11"/>
    <w:rPr>
      <w:color w:val="006633"/>
      <w:sz w:val="20"/>
      <w:szCs w:val="20"/>
    </w:rPr>
  </w:style>
  <w:style w:type="character" w:customStyle="1" w:styleId="gtcannotationhl11">
    <w:name w:val="gtcannotationhl11"/>
    <w:rPr>
      <w:color w:val="006633"/>
      <w:sz w:val="16"/>
      <w:szCs w:val="16"/>
    </w:rPr>
  </w:style>
  <w:style w:type="paragraph" w:customStyle="1" w:styleId="gtchighlighttextboxedwarnings11">
    <w:name w:val="gtchighlighttextboxedwarnings11"/>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1">
    <w:name w:val="gtchighlighttext11"/>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linktext2">
    <w:name w:val="gtclinktext2"/>
    <w:rPr>
      <w:strike w:val="0"/>
      <w:dstrike w:val="0"/>
      <w:u w:val="none"/>
      <w:effect w:val="none"/>
    </w:rPr>
  </w:style>
  <w:style w:type="character" w:customStyle="1" w:styleId="gtcgreyshadedtext12">
    <w:name w:val="gtcgreyshadedtext12"/>
    <w:rPr>
      <w:rFonts w:ascii="Times New Roman" w:hAnsi="Times New Roman" w:cs="Times New Roman" w:hint="default"/>
      <w:b w:val="0"/>
      <w:bCs w:val="0"/>
      <w:i w:val="0"/>
      <w:iCs w:val="0"/>
      <w:caps w:val="0"/>
      <w:sz w:val="24"/>
      <w:szCs w:val="24"/>
      <w:shd w:val="clear" w:color="auto" w:fill="C0C0C0"/>
    </w:rPr>
  </w:style>
  <w:style w:type="character" w:customStyle="1" w:styleId="gtcannotation12">
    <w:name w:val="gtcannotation12"/>
    <w:rPr>
      <w:color w:val="006633"/>
      <w:sz w:val="20"/>
      <w:szCs w:val="20"/>
    </w:rPr>
  </w:style>
  <w:style w:type="character" w:customStyle="1" w:styleId="gtcannotationhl12">
    <w:name w:val="gtcannotationhl12"/>
    <w:rPr>
      <w:color w:val="006633"/>
      <w:sz w:val="16"/>
      <w:szCs w:val="16"/>
    </w:rPr>
  </w:style>
  <w:style w:type="paragraph" w:customStyle="1" w:styleId="gtchighlighttextboxedwarnings12">
    <w:name w:val="gtchighlighttextboxedwarnings12"/>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2">
    <w:name w:val="gtchighlighttext12"/>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13">
    <w:name w:val="gtcgreyshadedtext13"/>
    <w:rPr>
      <w:rFonts w:ascii="Times New Roman" w:hAnsi="Times New Roman" w:cs="Times New Roman" w:hint="default"/>
      <w:b w:val="0"/>
      <w:bCs w:val="0"/>
      <w:i w:val="0"/>
      <w:iCs w:val="0"/>
      <w:caps w:val="0"/>
      <w:sz w:val="24"/>
      <w:szCs w:val="24"/>
      <w:shd w:val="clear" w:color="auto" w:fill="C0C0C0"/>
    </w:rPr>
  </w:style>
  <w:style w:type="character" w:customStyle="1" w:styleId="gtcannotation13">
    <w:name w:val="gtcannotation13"/>
    <w:rPr>
      <w:color w:val="006633"/>
      <w:sz w:val="20"/>
      <w:szCs w:val="20"/>
    </w:rPr>
  </w:style>
  <w:style w:type="character" w:customStyle="1" w:styleId="gtcannotationhl13">
    <w:name w:val="gtcannotationhl13"/>
    <w:rPr>
      <w:color w:val="006633"/>
      <w:sz w:val="16"/>
      <w:szCs w:val="16"/>
    </w:rPr>
  </w:style>
  <w:style w:type="paragraph" w:customStyle="1" w:styleId="gtchighlighttextboxedwarnings13">
    <w:name w:val="gtchighlighttextboxedwarnings13"/>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3">
    <w:name w:val="gtchighlighttext13"/>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14">
    <w:name w:val="gtcgreyshadedtext14"/>
    <w:rPr>
      <w:rFonts w:ascii="Times New Roman" w:hAnsi="Times New Roman" w:cs="Times New Roman" w:hint="default"/>
      <w:b w:val="0"/>
      <w:bCs w:val="0"/>
      <w:i w:val="0"/>
      <w:iCs w:val="0"/>
      <w:caps w:val="0"/>
      <w:sz w:val="24"/>
      <w:szCs w:val="24"/>
      <w:shd w:val="clear" w:color="auto" w:fill="C0C0C0"/>
    </w:rPr>
  </w:style>
  <w:style w:type="character" w:customStyle="1" w:styleId="gtcannotation14">
    <w:name w:val="gtcannotation14"/>
    <w:rPr>
      <w:color w:val="006633"/>
      <w:sz w:val="20"/>
      <w:szCs w:val="20"/>
    </w:rPr>
  </w:style>
  <w:style w:type="character" w:customStyle="1" w:styleId="gtcannotationhl14">
    <w:name w:val="gtcannotationhl14"/>
    <w:rPr>
      <w:color w:val="006633"/>
      <w:sz w:val="16"/>
      <w:szCs w:val="16"/>
    </w:rPr>
  </w:style>
  <w:style w:type="paragraph" w:customStyle="1" w:styleId="gtchighlighttextboxedwarnings14">
    <w:name w:val="gtchighlighttextboxedwarnings14"/>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4">
    <w:name w:val="gtchighlighttext14"/>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15">
    <w:name w:val="gtcgreyshadedtext15"/>
    <w:rPr>
      <w:rFonts w:ascii="Times New Roman" w:hAnsi="Times New Roman" w:cs="Times New Roman" w:hint="default"/>
      <w:b w:val="0"/>
      <w:bCs w:val="0"/>
      <w:i w:val="0"/>
      <w:iCs w:val="0"/>
      <w:caps w:val="0"/>
      <w:sz w:val="24"/>
      <w:szCs w:val="24"/>
      <w:shd w:val="clear" w:color="auto" w:fill="C0C0C0"/>
    </w:rPr>
  </w:style>
  <w:style w:type="character" w:customStyle="1" w:styleId="gtcannotation15">
    <w:name w:val="gtcannotation15"/>
    <w:rPr>
      <w:color w:val="006633"/>
      <w:sz w:val="20"/>
      <w:szCs w:val="20"/>
    </w:rPr>
  </w:style>
  <w:style w:type="character" w:customStyle="1" w:styleId="gtcannotationhl15">
    <w:name w:val="gtcannotationhl15"/>
    <w:rPr>
      <w:color w:val="006633"/>
      <w:sz w:val="16"/>
      <w:szCs w:val="16"/>
    </w:rPr>
  </w:style>
  <w:style w:type="paragraph" w:customStyle="1" w:styleId="gtchighlighttextboxedwarnings15">
    <w:name w:val="gtchighlighttextboxedwarnings15"/>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5">
    <w:name w:val="gtchighlighttext15"/>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bold3">
    <w:name w:val="gtcbold3"/>
    <w:rPr>
      <w:b/>
      <w:bCs/>
    </w:rPr>
  </w:style>
  <w:style w:type="character" w:customStyle="1" w:styleId="gtclinktext3">
    <w:name w:val="gtclinktext3"/>
    <w:rPr>
      <w:strike w:val="0"/>
      <w:dstrike w:val="0"/>
      <w:u w:val="none"/>
      <w:effect w:val="none"/>
    </w:rPr>
  </w:style>
  <w:style w:type="character" w:customStyle="1" w:styleId="gtcitalic3">
    <w:name w:val="gtcitalic3"/>
    <w:rPr>
      <w:i/>
      <w:iCs/>
    </w:rPr>
  </w:style>
  <w:style w:type="character" w:customStyle="1" w:styleId="gtcgreyshadedtext16">
    <w:name w:val="gtcgreyshadedtext16"/>
    <w:rPr>
      <w:rFonts w:ascii="Times New Roman" w:hAnsi="Times New Roman" w:cs="Times New Roman" w:hint="default"/>
      <w:b w:val="0"/>
      <w:bCs w:val="0"/>
      <w:i w:val="0"/>
      <w:iCs w:val="0"/>
      <w:caps w:val="0"/>
      <w:sz w:val="24"/>
      <w:szCs w:val="24"/>
      <w:shd w:val="clear" w:color="auto" w:fill="C0C0C0"/>
    </w:rPr>
  </w:style>
  <w:style w:type="character" w:customStyle="1" w:styleId="gtcannotation16">
    <w:name w:val="gtcannotation16"/>
    <w:rPr>
      <w:color w:val="006633"/>
      <w:sz w:val="20"/>
      <w:szCs w:val="20"/>
    </w:rPr>
  </w:style>
  <w:style w:type="character" w:customStyle="1" w:styleId="gtcannotationhl16">
    <w:name w:val="gtcannotationhl16"/>
    <w:rPr>
      <w:color w:val="006633"/>
      <w:sz w:val="16"/>
      <w:szCs w:val="16"/>
    </w:rPr>
  </w:style>
  <w:style w:type="paragraph" w:customStyle="1" w:styleId="gtchighlighttextboxedwarnings16">
    <w:name w:val="gtchighlighttextboxedwarnings16"/>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6">
    <w:name w:val="gtchighlighttext16"/>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17">
    <w:name w:val="gtcgreyshadedtext17"/>
    <w:rPr>
      <w:rFonts w:ascii="Times New Roman" w:hAnsi="Times New Roman" w:cs="Times New Roman" w:hint="default"/>
      <w:b w:val="0"/>
      <w:bCs w:val="0"/>
      <w:i w:val="0"/>
      <w:iCs w:val="0"/>
      <w:caps w:val="0"/>
      <w:sz w:val="24"/>
      <w:szCs w:val="24"/>
      <w:shd w:val="clear" w:color="auto" w:fill="C0C0C0"/>
    </w:rPr>
  </w:style>
  <w:style w:type="character" w:customStyle="1" w:styleId="gtcannotation17">
    <w:name w:val="gtcannotation17"/>
    <w:rPr>
      <w:color w:val="006633"/>
      <w:sz w:val="20"/>
      <w:szCs w:val="20"/>
    </w:rPr>
  </w:style>
  <w:style w:type="character" w:customStyle="1" w:styleId="gtcannotationhl17">
    <w:name w:val="gtcannotationhl17"/>
    <w:rPr>
      <w:color w:val="006633"/>
      <w:sz w:val="16"/>
      <w:szCs w:val="16"/>
    </w:rPr>
  </w:style>
  <w:style w:type="paragraph" w:customStyle="1" w:styleId="gtchighlighttextboxedwarnings17">
    <w:name w:val="gtchighlighttextboxedwarnings17"/>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7">
    <w:name w:val="gtchighlighttext17"/>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bold4">
    <w:name w:val="gtcbold4"/>
    <w:rPr>
      <w:b/>
      <w:bCs/>
    </w:rPr>
  </w:style>
  <w:style w:type="character" w:customStyle="1" w:styleId="gtclinktext4">
    <w:name w:val="gtclinktext4"/>
    <w:rPr>
      <w:strike w:val="0"/>
      <w:dstrike w:val="0"/>
      <w:u w:val="none"/>
      <w:effect w:val="none"/>
    </w:rPr>
  </w:style>
  <w:style w:type="character" w:customStyle="1" w:styleId="gtcgreyshadedtext18">
    <w:name w:val="gtcgreyshadedtext18"/>
    <w:rPr>
      <w:rFonts w:ascii="Times New Roman" w:hAnsi="Times New Roman" w:cs="Times New Roman" w:hint="default"/>
      <w:b w:val="0"/>
      <w:bCs w:val="0"/>
      <w:i w:val="0"/>
      <w:iCs w:val="0"/>
      <w:caps w:val="0"/>
      <w:sz w:val="24"/>
      <w:szCs w:val="24"/>
      <w:shd w:val="clear" w:color="auto" w:fill="C0C0C0"/>
    </w:rPr>
  </w:style>
  <w:style w:type="character" w:customStyle="1" w:styleId="gtcannotation18">
    <w:name w:val="gtcannotation18"/>
    <w:rPr>
      <w:color w:val="006633"/>
      <w:sz w:val="20"/>
      <w:szCs w:val="20"/>
    </w:rPr>
  </w:style>
  <w:style w:type="character" w:customStyle="1" w:styleId="gtcannotationhl18">
    <w:name w:val="gtcannotationhl18"/>
    <w:rPr>
      <w:color w:val="006633"/>
      <w:sz w:val="16"/>
      <w:szCs w:val="16"/>
    </w:rPr>
  </w:style>
  <w:style w:type="paragraph" w:customStyle="1" w:styleId="gtchighlighttextboxedwarnings18">
    <w:name w:val="gtchighlighttextboxedwarnings18"/>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8">
    <w:name w:val="gtchighlighttext18"/>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19">
    <w:name w:val="gtcgreyshadedtext19"/>
    <w:rPr>
      <w:rFonts w:ascii="Times New Roman" w:hAnsi="Times New Roman" w:cs="Times New Roman" w:hint="default"/>
      <w:b w:val="0"/>
      <w:bCs w:val="0"/>
      <w:i w:val="0"/>
      <w:iCs w:val="0"/>
      <w:caps w:val="0"/>
      <w:sz w:val="24"/>
      <w:szCs w:val="24"/>
      <w:shd w:val="clear" w:color="auto" w:fill="C0C0C0"/>
    </w:rPr>
  </w:style>
  <w:style w:type="character" w:customStyle="1" w:styleId="gtcannotation19">
    <w:name w:val="gtcannotation19"/>
    <w:rPr>
      <w:color w:val="006633"/>
      <w:sz w:val="20"/>
      <w:szCs w:val="20"/>
    </w:rPr>
  </w:style>
  <w:style w:type="character" w:customStyle="1" w:styleId="gtcannotationhl19">
    <w:name w:val="gtcannotationhl19"/>
    <w:rPr>
      <w:color w:val="006633"/>
      <w:sz w:val="16"/>
      <w:szCs w:val="16"/>
    </w:rPr>
  </w:style>
  <w:style w:type="paragraph" w:customStyle="1" w:styleId="gtchighlighttextboxedwarnings19">
    <w:name w:val="gtchighlighttextboxedwarnings19"/>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19">
    <w:name w:val="gtchighlighttext19"/>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bold5">
    <w:name w:val="gtcbold5"/>
    <w:rPr>
      <w:b/>
      <w:bCs/>
    </w:rPr>
  </w:style>
  <w:style w:type="character" w:customStyle="1" w:styleId="gtcgreyshadedtext20">
    <w:name w:val="gtcgreyshadedtext20"/>
    <w:rPr>
      <w:rFonts w:ascii="Times New Roman" w:hAnsi="Times New Roman" w:cs="Times New Roman" w:hint="default"/>
      <w:b w:val="0"/>
      <w:bCs w:val="0"/>
      <w:i w:val="0"/>
      <w:iCs w:val="0"/>
      <w:caps w:val="0"/>
      <w:sz w:val="24"/>
      <w:szCs w:val="24"/>
      <w:shd w:val="clear" w:color="auto" w:fill="C0C0C0"/>
    </w:rPr>
  </w:style>
  <w:style w:type="character" w:customStyle="1" w:styleId="gtcannotation20">
    <w:name w:val="gtcannotation20"/>
    <w:rPr>
      <w:color w:val="006633"/>
      <w:sz w:val="20"/>
      <w:szCs w:val="20"/>
    </w:rPr>
  </w:style>
  <w:style w:type="character" w:customStyle="1" w:styleId="gtcannotationhl20">
    <w:name w:val="gtcannotationhl20"/>
    <w:rPr>
      <w:color w:val="006633"/>
      <w:sz w:val="16"/>
      <w:szCs w:val="16"/>
    </w:rPr>
  </w:style>
  <w:style w:type="paragraph" w:customStyle="1" w:styleId="gtchighlighttextboxedwarnings20">
    <w:name w:val="gtchighlighttextboxedwarnings20"/>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0">
    <w:name w:val="gtchighlighttext20"/>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21">
    <w:name w:val="gtcgreyshadedtext21"/>
    <w:rPr>
      <w:rFonts w:ascii="Times New Roman" w:hAnsi="Times New Roman" w:cs="Times New Roman" w:hint="default"/>
      <w:b w:val="0"/>
      <w:bCs w:val="0"/>
      <w:i w:val="0"/>
      <w:iCs w:val="0"/>
      <w:caps w:val="0"/>
      <w:sz w:val="24"/>
      <w:szCs w:val="24"/>
      <w:shd w:val="clear" w:color="auto" w:fill="C0C0C0"/>
    </w:rPr>
  </w:style>
  <w:style w:type="character" w:customStyle="1" w:styleId="gtcannotation21">
    <w:name w:val="gtcannotation21"/>
    <w:rPr>
      <w:color w:val="006633"/>
      <w:sz w:val="20"/>
      <w:szCs w:val="20"/>
    </w:rPr>
  </w:style>
  <w:style w:type="character" w:customStyle="1" w:styleId="gtcannotationhl21">
    <w:name w:val="gtcannotationhl21"/>
    <w:rPr>
      <w:color w:val="006633"/>
      <w:sz w:val="16"/>
      <w:szCs w:val="16"/>
    </w:rPr>
  </w:style>
  <w:style w:type="paragraph" w:customStyle="1" w:styleId="gtchighlighttextboxedwarnings21">
    <w:name w:val="gtchighlighttextboxedwarnings21"/>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1">
    <w:name w:val="gtchighlighttext21"/>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bold6">
    <w:name w:val="gtcbold6"/>
    <w:rPr>
      <w:b/>
      <w:bCs/>
    </w:rPr>
  </w:style>
  <w:style w:type="character" w:customStyle="1" w:styleId="gtcgreyshadedtext22">
    <w:name w:val="gtcgreyshadedtext22"/>
    <w:rPr>
      <w:rFonts w:ascii="Times New Roman" w:hAnsi="Times New Roman" w:cs="Times New Roman" w:hint="default"/>
      <w:b w:val="0"/>
      <w:bCs w:val="0"/>
      <w:i w:val="0"/>
      <w:iCs w:val="0"/>
      <w:caps w:val="0"/>
      <w:sz w:val="24"/>
      <w:szCs w:val="24"/>
      <w:shd w:val="clear" w:color="auto" w:fill="C0C0C0"/>
    </w:rPr>
  </w:style>
  <w:style w:type="character" w:customStyle="1" w:styleId="gtcannotation22">
    <w:name w:val="gtcannotation22"/>
    <w:rPr>
      <w:color w:val="006633"/>
      <w:sz w:val="20"/>
      <w:szCs w:val="20"/>
    </w:rPr>
  </w:style>
  <w:style w:type="character" w:customStyle="1" w:styleId="gtcannotationhl22">
    <w:name w:val="gtcannotationhl22"/>
    <w:rPr>
      <w:color w:val="006633"/>
      <w:sz w:val="16"/>
      <w:szCs w:val="16"/>
    </w:rPr>
  </w:style>
  <w:style w:type="paragraph" w:customStyle="1" w:styleId="gtchighlighttextboxedwarnings22">
    <w:name w:val="gtchighlighttextboxedwarnings22"/>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2">
    <w:name w:val="gtchighlighttext22"/>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23">
    <w:name w:val="gtcgreyshadedtext23"/>
    <w:rPr>
      <w:rFonts w:ascii="Times New Roman" w:hAnsi="Times New Roman" w:cs="Times New Roman" w:hint="default"/>
      <w:b w:val="0"/>
      <w:bCs w:val="0"/>
      <w:i w:val="0"/>
      <w:iCs w:val="0"/>
      <w:caps w:val="0"/>
      <w:sz w:val="24"/>
      <w:szCs w:val="24"/>
      <w:shd w:val="clear" w:color="auto" w:fill="C0C0C0"/>
    </w:rPr>
  </w:style>
  <w:style w:type="character" w:customStyle="1" w:styleId="gtcannotation23">
    <w:name w:val="gtcannotation23"/>
    <w:rPr>
      <w:color w:val="006633"/>
      <w:sz w:val="20"/>
      <w:szCs w:val="20"/>
    </w:rPr>
  </w:style>
  <w:style w:type="character" w:customStyle="1" w:styleId="gtcannotationhl23">
    <w:name w:val="gtcannotationhl23"/>
    <w:rPr>
      <w:color w:val="006633"/>
      <w:sz w:val="16"/>
      <w:szCs w:val="16"/>
    </w:rPr>
  </w:style>
  <w:style w:type="paragraph" w:customStyle="1" w:styleId="gtchighlighttextboxedwarnings23">
    <w:name w:val="gtchighlighttextboxedwarnings23"/>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3">
    <w:name w:val="gtchighlighttext23"/>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24">
    <w:name w:val="gtcgreyshadedtext24"/>
    <w:rPr>
      <w:rFonts w:ascii="Times New Roman" w:hAnsi="Times New Roman" w:cs="Times New Roman" w:hint="default"/>
      <w:b w:val="0"/>
      <w:bCs w:val="0"/>
      <w:i w:val="0"/>
      <w:iCs w:val="0"/>
      <w:caps w:val="0"/>
      <w:sz w:val="24"/>
      <w:szCs w:val="24"/>
      <w:shd w:val="clear" w:color="auto" w:fill="C0C0C0"/>
    </w:rPr>
  </w:style>
  <w:style w:type="character" w:customStyle="1" w:styleId="gtcannotation24">
    <w:name w:val="gtcannotation24"/>
    <w:rPr>
      <w:color w:val="006633"/>
      <w:sz w:val="20"/>
      <w:szCs w:val="20"/>
    </w:rPr>
  </w:style>
  <w:style w:type="character" w:customStyle="1" w:styleId="gtcannotationhl24">
    <w:name w:val="gtcannotationhl24"/>
    <w:rPr>
      <w:color w:val="006633"/>
      <w:sz w:val="16"/>
      <w:szCs w:val="16"/>
    </w:rPr>
  </w:style>
  <w:style w:type="paragraph" w:customStyle="1" w:styleId="gtchighlighttextboxedwarnings24">
    <w:name w:val="gtchighlighttextboxedwarnings24"/>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4">
    <w:name w:val="gtchighlighttext24"/>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25">
    <w:name w:val="gtcgreyshadedtext25"/>
    <w:rPr>
      <w:rFonts w:ascii="Times New Roman" w:hAnsi="Times New Roman" w:cs="Times New Roman" w:hint="default"/>
      <w:b w:val="0"/>
      <w:bCs w:val="0"/>
      <w:i w:val="0"/>
      <w:iCs w:val="0"/>
      <w:caps w:val="0"/>
      <w:sz w:val="24"/>
      <w:szCs w:val="24"/>
      <w:shd w:val="clear" w:color="auto" w:fill="C0C0C0"/>
    </w:rPr>
  </w:style>
  <w:style w:type="character" w:customStyle="1" w:styleId="gtcannotation25">
    <w:name w:val="gtcannotation25"/>
    <w:rPr>
      <w:color w:val="006633"/>
      <w:sz w:val="20"/>
      <w:szCs w:val="20"/>
    </w:rPr>
  </w:style>
  <w:style w:type="character" w:customStyle="1" w:styleId="gtcannotationhl25">
    <w:name w:val="gtcannotationhl25"/>
    <w:rPr>
      <w:color w:val="006633"/>
      <w:sz w:val="16"/>
      <w:szCs w:val="16"/>
    </w:rPr>
  </w:style>
  <w:style w:type="paragraph" w:customStyle="1" w:styleId="gtchighlighttextboxedwarnings25">
    <w:name w:val="gtchighlighttextboxedwarnings25"/>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5">
    <w:name w:val="gtchighlighttext25"/>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italic6">
    <w:name w:val="gtcitalic6"/>
    <w:rPr>
      <w:i/>
      <w:iCs/>
    </w:rPr>
  </w:style>
  <w:style w:type="character" w:customStyle="1" w:styleId="gtcgreyshadedtext26">
    <w:name w:val="gtcgreyshadedtext26"/>
    <w:rPr>
      <w:rFonts w:ascii="Times New Roman" w:hAnsi="Times New Roman" w:cs="Times New Roman" w:hint="default"/>
      <w:b w:val="0"/>
      <w:bCs w:val="0"/>
      <w:i w:val="0"/>
      <w:iCs w:val="0"/>
      <w:caps w:val="0"/>
      <w:sz w:val="24"/>
      <w:szCs w:val="24"/>
      <w:shd w:val="clear" w:color="auto" w:fill="C0C0C0"/>
    </w:rPr>
  </w:style>
  <w:style w:type="character" w:customStyle="1" w:styleId="gtcannotation26">
    <w:name w:val="gtcannotation26"/>
    <w:rPr>
      <w:color w:val="006633"/>
      <w:sz w:val="20"/>
      <w:szCs w:val="20"/>
    </w:rPr>
  </w:style>
  <w:style w:type="character" w:customStyle="1" w:styleId="gtcannotationhl26">
    <w:name w:val="gtcannotationhl26"/>
    <w:rPr>
      <w:color w:val="006633"/>
      <w:sz w:val="16"/>
      <w:szCs w:val="16"/>
    </w:rPr>
  </w:style>
  <w:style w:type="paragraph" w:customStyle="1" w:styleId="gtchighlighttextboxedwarnings26">
    <w:name w:val="gtchighlighttextboxedwarnings26"/>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6">
    <w:name w:val="gtchighlighttext26"/>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27">
    <w:name w:val="gtcgreyshadedtext27"/>
    <w:rPr>
      <w:rFonts w:ascii="Times New Roman" w:hAnsi="Times New Roman" w:cs="Times New Roman" w:hint="default"/>
      <w:b w:val="0"/>
      <w:bCs w:val="0"/>
      <w:i w:val="0"/>
      <w:iCs w:val="0"/>
      <w:caps w:val="0"/>
      <w:sz w:val="24"/>
      <w:szCs w:val="24"/>
      <w:shd w:val="clear" w:color="auto" w:fill="C0C0C0"/>
    </w:rPr>
  </w:style>
  <w:style w:type="character" w:customStyle="1" w:styleId="gtcannotation27">
    <w:name w:val="gtcannotation27"/>
    <w:rPr>
      <w:color w:val="006633"/>
      <w:sz w:val="20"/>
      <w:szCs w:val="20"/>
    </w:rPr>
  </w:style>
  <w:style w:type="character" w:customStyle="1" w:styleId="gtcannotationhl27">
    <w:name w:val="gtcannotationhl27"/>
    <w:rPr>
      <w:color w:val="006633"/>
      <w:sz w:val="16"/>
      <w:szCs w:val="16"/>
    </w:rPr>
  </w:style>
  <w:style w:type="paragraph" w:customStyle="1" w:styleId="gtchighlighttextboxedwarnings27">
    <w:name w:val="gtchighlighttextboxedwarnings27"/>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7">
    <w:name w:val="gtchighlighttext27"/>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28">
    <w:name w:val="gtcgreyshadedtext28"/>
    <w:rPr>
      <w:rFonts w:ascii="Times New Roman" w:hAnsi="Times New Roman" w:cs="Times New Roman" w:hint="default"/>
      <w:b w:val="0"/>
      <w:bCs w:val="0"/>
      <w:i w:val="0"/>
      <w:iCs w:val="0"/>
      <w:caps w:val="0"/>
      <w:sz w:val="24"/>
      <w:szCs w:val="24"/>
      <w:shd w:val="clear" w:color="auto" w:fill="C0C0C0"/>
    </w:rPr>
  </w:style>
  <w:style w:type="character" w:customStyle="1" w:styleId="gtcannotation28">
    <w:name w:val="gtcannotation28"/>
    <w:rPr>
      <w:color w:val="006633"/>
      <w:sz w:val="20"/>
      <w:szCs w:val="20"/>
    </w:rPr>
  </w:style>
  <w:style w:type="character" w:customStyle="1" w:styleId="gtcannotationhl28">
    <w:name w:val="gtcannotationhl28"/>
    <w:rPr>
      <w:color w:val="006633"/>
      <w:sz w:val="16"/>
      <w:szCs w:val="16"/>
    </w:rPr>
  </w:style>
  <w:style w:type="paragraph" w:customStyle="1" w:styleId="gtchighlighttextboxedwarnings28">
    <w:name w:val="gtchighlighttextboxedwarnings28"/>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8">
    <w:name w:val="gtchighlighttext28"/>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29">
    <w:name w:val="gtcgreyshadedtext29"/>
    <w:rPr>
      <w:rFonts w:ascii="Times New Roman" w:hAnsi="Times New Roman" w:cs="Times New Roman" w:hint="default"/>
      <w:b w:val="0"/>
      <w:bCs w:val="0"/>
      <w:i w:val="0"/>
      <w:iCs w:val="0"/>
      <w:caps w:val="0"/>
      <w:sz w:val="24"/>
      <w:szCs w:val="24"/>
      <w:shd w:val="clear" w:color="auto" w:fill="C0C0C0"/>
    </w:rPr>
  </w:style>
  <w:style w:type="character" w:customStyle="1" w:styleId="gtcannotation29">
    <w:name w:val="gtcannotation29"/>
    <w:rPr>
      <w:color w:val="006633"/>
      <w:sz w:val="20"/>
      <w:szCs w:val="20"/>
    </w:rPr>
  </w:style>
  <w:style w:type="character" w:customStyle="1" w:styleId="gtcannotationhl29">
    <w:name w:val="gtcannotationhl29"/>
    <w:rPr>
      <w:color w:val="006633"/>
      <w:sz w:val="16"/>
      <w:szCs w:val="16"/>
    </w:rPr>
  </w:style>
  <w:style w:type="paragraph" w:customStyle="1" w:styleId="gtchighlighttextboxedwarnings29">
    <w:name w:val="gtchighlighttextboxedwarnings29"/>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29">
    <w:name w:val="gtchighlighttext29"/>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0">
    <w:name w:val="gtcgreyshadedtext30"/>
    <w:rPr>
      <w:rFonts w:ascii="Times New Roman" w:hAnsi="Times New Roman" w:cs="Times New Roman" w:hint="default"/>
      <w:b w:val="0"/>
      <w:bCs w:val="0"/>
      <w:i w:val="0"/>
      <w:iCs w:val="0"/>
      <w:caps w:val="0"/>
      <w:sz w:val="24"/>
      <w:szCs w:val="24"/>
      <w:shd w:val="clear" w:color="auto" w:fill="C0C0C0"/>
    </w:rPr>
  </w:style>
  <w:style w:type="character" w:customStyle="1" w:styleId="gtcannotation30">
    <w:name w:val="gtcannotation30"/>
    <w:rPr>
      <w:color w:val="006633"/>
      <w:sz w:val="20"/>
      <w:szCs w:val="20"/>
    </w:rPr>
  </w:style>
  <w:style w:type="character" w:customStyle="1" w:styleId="gtcannotationhl30">
    <w:name w:val="gtcannotationhl30"/>
    <w:rPr>
      <w:color w:val="006633"/>
      <w:sz w:val="16"/>
      <w:szCs w:val="16"/>
    </w:rPr>
  </w:style>
  <w:style w:type="paragraph" w:customStyle="1" w:styleId="gtchighlighttextboxedwarnings30">
    <w:name w:val="gtchighlighttextboxedwarnings30"/>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0">
    <w:name w:val="gtchighlighttext30"/>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1">
    <w:name w:val="gtcgreyshadedtext31"/>
    <w:rPr>
      <w:rFonts w:ascii="Times New Roman" w:hAnsi="Times New Roman" w:cs="Times New Roman" w:hint="default"/>
      <w:b w:val="0"/>
      <w:bCs w:val="0"/>
      <w:i w:val="0"/>
      <w:iCs w:val="0"/>
      <w:caps w:val="0"/>
      <w:sz w:val="24"/>
      <w:szCs w:val="24"/>
      <w:shd w:val="clear" w:color="auto" w:fill="C0C0C0"/>
    </w:rPr>
  </w:style>
  <w:style w:type="character" w:customStyle="1" w:styleId="gtcannotation31">
    <w:name w:val="gtcannotation31"/>
    <w:rPr>
      <w:color w:val="006633"/>
      <w:sz w:val="20"/>
      <w:szCs w:val="20"/>
    </w:rPr>
  </w:style>
  <w:style w:type="character" w:customStyle="1" w:styleId="gtcannotationhl31">
    <w:name w:val="gtcannotationhl31"/>
    <w:rPr>
      <w:color w:val="006633"/>
      <w:sz w:val="16"/>
      <w:szCs w:val="16"/>
    </w:rPr>
  </w:style>
  <w:style w:type="paragraph" w:customStyle="1" w:styleId="gtchighlighttextboxedwarnings31">
    <w:name w:val="gtchighlighttextboxedwarnings31"/>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1">
    <w:name w:val="gtchighlighttext31"/>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italic7">
    <w:name w:val="gtcitalic7"/>
    <w:rPr>
      <w:i/>
      <w:iCs/>
    </w:rPr>
  </w:style>
  <w:style w:type="character" w:customStyle="1" w:styleId="gtcgreyshadedtext32">
    <w:name w:val="gtcgreyshadedtext32"/>
    <w:rPr>
      <w:rFonts w:ascii="Times New Roman" w:hAnsi="Times New Roman" w:cs="Times New Roman" w:hint="default"/>
      <w:b w:val="0"/>
      <w:bCs w:val="0"/>
      <w:i w:val="0"/>
      <w:iCs w:val="0"/>
      <w:caps w:val="0"/>
      <w:sz w:val="24"/>
      <w:szCs w:val="24"/>
      <w:shd w:val="clear" w:color="auto" w:fill="C0C0C0"/>
    </w:rPr>
  </w:style>
  <w:style w:type="character" w:customStyle="1" w:styleId="gtcannotation32">
    <w:name w:val="gtcannotation32"/>
    <w:rPr>
      <w:color w:val="006633"/>
      <w:sz w:val="20"/>
      <w:szCs w:val="20"/>
    </w:rPr>
  </w:style>
  <w:style w:type="character" w:customStyle="1" w:styleId="gtcannotationhl32">
    <w:name w:val="gtcannotationhl32"/>
    <w:rPr>
      <w:color w:val="006633"/>
      <w:sz w:val="16"/>
      <w:szCs w:val="16"/>
    </w:rPr>
  </w:style>
  <w:style w:type="paragraph" w:customStyle="1" w:styleId="gtchighlighttextboxedwarnings32">
    <w:name w:val="gtchighlighttextboxedwarnings32"/>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2">
    <w:name w:val="gtchighlighttext32"/>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3">
    <w:name w:val="gtcgreyshadedtext33"/>
    <w:rPr>
      <w:rFonts w:ascii="Times New Roman" w:hAnsi="Times New Roman" w:cs="Times New Roman" w:hint="default"/>
      <w:b w:val="0"/>
      <w:bCs w:val="0"/>
      <w:i w:val="0"/>
      <w:iCs w:val="0"/>
      <w:caps w:val="0"/>
      <w:sz w:val="24"/>
      <w:szCs w:val="24"/>
      <w:shd w:val="clear" w:color="auto" w:fill="C0C0C0"/>
    </w:rPr>
  </w:style>
  <w:style w:type="character" w:customStyle="1" w:styleId="gtcannotation33">
    <w:name w:val="gtcannotation33"/>
    <w:rPr>
      <w:color w:val="006633"/>
      <w:sz w:val="20"/>
      <w:szCs w:val="20"/>
    </w:rPr>
  </w:style>
  <w:style w:type="character" w:customStyle="1" w:styleId="gtcannotationhl33">
    <w:name w:val="gtcannotationhl33"/>
    <w:rPr>
      <w:color w:val="006633"/>
      <w:sz w:val="16"/>
      <w:szCs w:val="16"/>
    </w:rPr>
  </w:style>
  <w:style w:type="paragraph" w:customStyle="1" w:styleId="gtchighlighttextboxedwarnings33">
    <w:name w:val="gtchighlighttextboxedwarnings33"/>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3">
    <w:name w:val="gtchighlighttext33"/>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4">
    <w:name w:val="gtcgreyshadedtext34"/>
    <w:rPr>
      <w:rFonts w:ascii="Times New Roman" w:hAnsi="Times New Roman" w:cs="Times New Roman" w:hint="default"/>
      <w:b w:val="0"/>
      <w:bCs w:val="0"/>
      <w:i w:val="0"/>
      <w:iCs w:val="0"/>
      <w:caps w:val="0"/>
      <w:sz w:val="24"/>
      <w:szCs w:val="24"/>
      <w:shd w:val="clear" w:color="auto" w:fill="C0C0C0"/>
    </w:rPr>
  </w:style>
  <w:style w:type="character" w:customStyle="1" w:styleId="gtcannotation34">
    <w:name w:val="gtcannotation34"/>
    <w:rPr>
      <w:color w:val="006633"/>
      <w:sz w:val="20"/>
      <w:szCs w:val="20"/>
    </w:rPr>
  </w:style>
  <w:style w:type="character" w:customStyle="1" w:styleId="gtcannotationhl34">
    <w:name w:val="gtcannotationhl34"/>
    <w:rPr>
      <w:color w:val="006633"/>
      <w:sz w:val="16"/>
      <w:szCs w:val="16"/>
    </w:rPr>
  </w:style>
  <w:style w:type="paragraph" w:customStyle="1" w:styleId="gtchighlighttextboxedwarnings34">
    <w:name w:val="gtchighlighttextboxedwarnings34"/>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4">
    <w:name w:val="gtchighlighttext34"/>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5">
    <w:name w:val="gtcgreyshadedtext35"/>
    <w:rPr>
      <w:rFonts w:ascii="Times New Roman" w:hAnsi="Times New Roman" w:cs="Times New Roman" w:hint="default"/>
      <w:b w:val="0"/>
      <w:bCs w:val="0"/>
      <w:i w:val="0"/>
      <w:iCs w:val="0"/>
      <w:caps w:val="0"/>
      <w:sz w:val="24"/>
      <w:szCs w:val="24"/>
      <w:shd w:val="clear" w:color="auto" w:fill="C0C0C0"/>
    </w:rPr>
  </w:style>
  <w:style w:type="character" w:customStyle="1" w:styleId="gtcannotation35">
    <w:name w:val="gtcannotation35"/>
    <w:rPr>
      <w:color w:val="006633"/>
      <w:sz w:val="20"/>
      <w:szCs w:val="20"/>
    </w:rPr>
  </w:style>
  <w:style w:type="character" w:customStyle="1" w:styleId="gtcannotationhl35">
    <w:name w:val="gtcannotationhl35"/>
    <w:rPr>
      <w:color w:val="006633"/>
      <w:sz w:val="16"/>
      <w:szCs w:val="16"/>
    </w:rPr>
  </w:style>
  <w:style w:type="paragraph" w:customStyle="1" w:styleId="gtchighlighttextboxedwarnings35">
    <w:name w:val="gtchighlighttextboxedwarnings35"/>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5">
    <w:name w:val="gtchighlighttext35"/>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6">
    <w:name w:val="gtcgreyshadedtext36"/>
    <w:rPr>
      <w:rFonts w:ascii="Times New Roman" w:hAnsi="Times New Roman" w:cs="Times New Roman" w:hint="default"/>
      <w:b w:val="0"/>
      <w:bCs w:val="0"/>
      <w:i w:val="0"/>
      <w:iCs w:val="0"/>
      <w:caps w:val="0"/>
      <w:sz w:val="24"/>
      <w:szCs w:val="24"/>
      <w:shd w:val="clear" w:color="auto" w:fill="C0C0C0"/>
    </w:rPr>
  </w:style>
  <w:style w:type="character" w:customStyle="1" w:styleId="gtcannotation36">
    <w:name w:val="gtcannotation36"/>
    <w:rPr>
      <w:color w:val="006633"/>
      <w:sz w:val="20"/>
      <w:szCs w:val="20"/>
    </w:rPr>
  </w:style>
  <w:style w:type="character" w:customStyle="1" w:styleId="gtcannotationhl36">
    <w:name w:val="gtcannotationhl36"/>
    <w:rPr>
      <w:color w:val="006633"/>
      <w:sz w:val="16"/>
      <w:szCs w:val="16"/>
    </w:rPr>
  </w:style>
  <w:style w:type="paragraph" w:customStyle="1" w:styleId="gtchighlighttextboxedwarnings36">
    <w:name w:val="gtchighlighttextboxedwarnings36"/>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6">
    <w:name w:val="gtchighlighttext36"/>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7">
    <w:name w:val="gtcgreyshadedtext37"/>
    <w:rPr>
      <w:rFonts w:ascii="Times New Roman" w:hAnsi="Times New Roman" w:cs="Times New Roman" w:hint="default"/>
      <w:b w:val="0"/>
      <w:bCs w:val="0"/>
      <w:i w:val="0"/>
      <w:iCs w:val="0"/>
      <w:caps w:val="0"/>
      <w:sz w:val="24"/>
      <w:szCs w:val="24"/>
      <w:shd w:val="clear" w:color="auto" w:fill="C0C0C0"/>
    </w:rPr>
  </w:style>
  <w:style w:type="character" w:customStyle="1" w:styleId="gtcannotation37">
    <w:name w:val="gtcannotation37"/>
    <w:rPr>
      <w:color w:val="006633"/>
      <w:sz w:val="20"/>
      <w:szCs w:val="20"/>
    </w:rPr>
  </w:style>
  <w:style w:type="character" w:customStyle="1" w:styleId="gtcannotationhl37">
    <w:name w:val="gtcannotationhl37"/>
    <w:rPr>
      <w:color w:val="006633"/>
      <w:sz w:val="16"/>
      <w:szCs w:val="16"/>
    </w:rPr>
  </w:style>
  <w:style w:type="paragraph" w:customStyle="1" w:styleId="gtchighlighttextboxedwarnings37">
    <w:name w:val="gtchighlighttextboxedwarnings37"/>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7">
    <w:name w:val="gtchighlighttext37"/>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8">
    <w:name w:val="gtcgreyshadedtext38"/>
    <w:rPr>
      <w:rFonts w:ascii="Times New Roman" w:hAnsi="Times New Roman" w:cs="Times New Roman" w:hint="default"/>
      <w:b w:val="0"/>
      <w:bCs w:val="0"/>
      <w:i w:val="0"/>
      <w:iCs w:val="0"/>
      <w:caps w:val="0"/>
      <w:sz w:val="24"/>
      <w:szCs w:val="24"/>
      <w:shd w:val="clear" w:color="auto" w:fill="C0C0C0"/>
    </w:rPr>
  </w:style>
  <w:style w:type="character" w:customStyle="1" w:styleId="gtcannotation38">
    <w:name w:val="gtcannotation38"/>
    <w:rPr>
      <w:color w:val="006633"/>
      <w:sz w:val="20"/>
      <w:szCs w:val="20"/>
    </w:rPr>
  </w:style>
  <w:style w:type="character" w:customStyle="1" w:styleId="gtcannotationhl38">
    <w:name w:val="gtcannotationhl38"/>
    <w:rPr>
      <w:color w:val="006633"/>
      <w:sz w:val="16"/>
      <w:szCs w:val="16"/>
    </w:rPr>
  </w:style>
  <w:style w:type="paragraph" w:customStyle="1" w:styleId="gtchighlighttextboxedwarnings38">
    <w:name w:val="gtchighlighttextboxedwarnings38"/>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8">
    <w:name w:val="gtchighlighttext38"/>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39">
    <w:name w:val="gtcgreyshadedtext39"/>
    <w:rPr>
      <w:rFonts w:ascii="Times New Roman" w:hAnsi="Times New Roman" w:cs="Times New Roman" w:hint="default"/>
      <w:b w:val="0"/>
      <w:bCs w:val="0"/>
      <w:i w:val="0"/>
      <w:iCs w:val="0"/>
      <w:caps w:val="0"/>
      <w:sz w:val="24"/>
      <w:szCs w:val="24"/>
      <w:shd w:val="clear" w:color="auto" w:fill="C0C0C0"/>
    </w:rPr>
  </w:style>
  <w:style w:type="character" w:customStyle="1" w:styleId="gtcannotation39">
    <w:name w:val="gtcannotation39"/>
    <w:rPr>
      <w:color w:val="006633"/>
      <w:sz w:val="20"/>
      <w:szCs w:val="20"/>
    </w:rPr>
  </w:style>
  <w:style w:type="character" w:customStyle="1" w:styleId="gtcannotationhl39">
    <w:name w:val="gtcannotationhl39"/>
    <w:rPr>
      <w:color w:val="006633"/>
      <w:sz w:val="16"/>
      <w:szCs w:val="16"/>
    </w:rPr>
  </w:style>
  <w:style w:type="paragraph" w:customStyle="1" w:styleId="gtchighlighttextboxedwarnings39">
    <w:name w:val="gtchighlighttextboxedwarnings39"/>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39">
    <w:name w:val="gtchighlighttext39"/>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40">
    <w:name w:val="gtcgreyshadedtext40"/>
    <w:rPr>
      <w:rFonts w:ascii="Times New Roman" w:hAnsi="Times New Roman" w:cs="Times New Roman" w:hint="default"/>
      <w:b w:val="0"/>
      <w:bCs w:val="0"/>
      <w:i w:val="0"/>
      <w:iCs w:val="0"/>
      <w:caps w:val="0"/>
      <w:sz w:val="24"/>
      <w:szCs w:val="24"/>
      <w:shd w:val="clear" w:color="auto" w:fill="C0C0C0"/>
    </w:rPr>
  </w:style>
  <w:style w:type="character" w:customStyle="1" w:styleId="gtcannotation40">
    <w:name w:val="gtcannotation40"/>
    <w:rPr>
      <w:color w:val="006633"/>
      <w:sz w:val="20"/>
      <w:szCs w:val="20"/>
    </w:rPr>
  </w:style>
  <w:style w:type="character" w:customStyle="1" w:styleId="gtcannotationhl40">
    <w:name w:val="gtcannotationhl40"/>
    <w:rPr>
      <w:color w:val="006633"/>
      <w:sz w:val="16"/>
      <w:szCs w:val="16"/>
    </w:rPr>
  </w:style>
  <w:style w:type="paragraph" w:customStyle="1" w:styleId="gtchighlighttextboxedwarnings40">
    <w:name w:val="gtchighlighttextboxedwarnings40"/>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40">
    <w:name w:val="gtchighlighttext40"/>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41">
    <w:name w:val="gtcgreyshadedtext41"/>
    <w:rPr>
      <w:rFonts w:ascii="Times New Roman" w:hAnsi="Times New Roman" w:cs="Times New Roman" w:hint="default"/>
      <w:b w:val="0"/>
      <w:bCs w:val="0"/>
      <w:i w:val="0"/>
      <w:iCs w:val="0"/>
      <w:caps w:val="0"/>
      <w:sz w:val="24"/>
      <w:szCs w:val="24"/>
      <w:shd w:val="clear" w:color="auto" w:fill="C0C0C0"/>
    </w:rPr>
  </w:style>
  <w:style w:type="character" w:customStyle="1" w:styleId="gtcannotation41">
    <w:name w:val="gtcannotation41"/>
    <w:rPr>
      <w:color w:val="006633"/>
      <w:sz w:val="20"/>
      <w:szCs w:val="20"/>
    </w:rPr>
  </w:style>
  <w:style w:type="character" w:customStyle="1" w:styleId="gtcannotationhl41">
    <w:name w:val="gtcannotationhl41"/>
    <w:rPr>
      <w:color w:val="006633"/>
      <w:sz w:val="16"/>
      <w:szCs w:val="16"/>
    </w:rPr>
  </w:style>
  <w:style w:type="paragraph" w:customStyle="1" w:styleId="gtchighlighttextboxedwarnings41">
    <w:name w:val="gtchighlighttextboxedwarnings41"/>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41">
    <w:name w:val="gtchighlighttext41"/>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42">
    <w:name w:val="gtcgreyshadedtext42"/>
    <w:rPr>
      <w:rFonts w:ascii="Times New Roman" w:hAnsi="Times New Roman" w:cs="Times New Roman" w:hint="default"/>
      <w:b w:val="0"/>
      <w:bCs w:val="0"/>
      <w:i w:val="0"/>
      <w:iCs w:val="0"/>
      <w:caps w:val="0"/>
      <w:sz w:val="24"/>
      <w:szCs w:val="24"/>
      <w:shd w:val="clear" w:color="auto" w:fill="C0C0C0"/>
    </w:rPr>
  </w:style>
  <w:style w:type="character" w:customStyle="1" w:styleId="gtcannotation42">
    <w:name w:val="gtcannotation42"/>
    <w:rPr>
      <w:color w:val="006633"/>
      <w:sz w:val="20"/>
      <w:szCs w:val="20"/>
    </w:rPr>
  </w:style>
  <w:style w:type="character" w:customStyle="1" w:styleId="gtcannotationhl42">
    <w:name w:val="gtcannotationhl42"/>
    <w:rPr>
      <w:color w:val="006633"/>
      <w:sz w:val="16"/>
      <w:szCs w:val="16"/>
    </w:rPr>
  </w:style>
  <w:style w:type="paragraph" w:customStyle="1" w:styleId="gtchighlighttextboxedwarnings42">
    <w:name w:val="gtchighlighttextboxedwarnings42"/>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42">
    <w:name w:val="gtchighlighttext42"/>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greyshadedtext43">
    <w:name w:val="gtcgreyshadedtext43"/>
    <w:rPr>
      <w:rFonts w:ascii="Times New Roman" w:hAnsi="Times New Roman" w:cs="Times New Roman" w:hint="default"/>
      <w:b w:val="0"/>
      <w:bCs w:val="0"/>
      <w:i w:val="0"/>
      <w:iCs w:val="0"/>
      <w:caps w:val="0"/>
      <w:sz w:val="24"/>
      <w:szCs w:val="24"/>
      <w:shd w:val="clear" w:color="auto" w:fill="C0C0C0"/>
    </w:rPr>
  </w:style>
  <w:style w:type="character" w:customStyle="1" w:styleId="gtcannotation43">
    <w:name w:val="gtcannotation43"/>
    <w:rPr>
      <w:color w:val="006633"/>
      <w:sz w:val="20"/>
      <w:szCs w:val="20"/>
    </w:rPr>
  </w:style>
  <w:style w:type="character" w:customStyle="1" w:styleId="gtcannotationhl43">
    <w:name w:val="gtcannotationhl43"/>
    <w:rPr>
      <w:color w:val="006633"/>
      <w:sz w:val="16"/>
      <w:szCs w:val="16"/>
    </w:rPr>
  </w:style>
  <w:style w:type="paragraph" w:customStyle="1" w:styleId="gtchighlighttextboxedwarnings43">
    <w:name w:val="gtchighlighttextboxedwarnings43"/>
    <w:basedOn w:val="Normal"/>
    <w:pPr>
      <w:spacing w:before="40" w:after="40" w:line="192" w:lineRule="auto"/>
    </w:pPr>
    <w:rPr>
      <w:rFonts w:ascii="Times New Roman" w:eastAsia="Times New Roman" w:hAnsi="Times New Roman" w:cs="Times New Roman"/>
      <w:sz w:val="16"/>
      <w:szCs w:val="16"/>
      <w:lang w:val="en-US"/>
    </w:rPr>
  </w:style>
  <w:style w:type="paragraph" w:customStyle="1" w:styleId="gtchighlighttext43">
    <w:name w:val="gtchighlighttext43"/>
    <w:basedOn w:val="Normal"/>
    <w:pPr>
      <w:spacing w:before="40" w:after="40" w:line="192" w:lineRule="auto"/>
    </w:pPr>
    <w:rPr>
      <w:rFonts w:ascii="Times New Roman" w:eastAsia="Times New Roman" w:hAnsi="Times New Roman" w:cs="Times New Roman"/>
      <w:sz w:val="16"/>
      <w:szCs w:val="16"/>
      <w:lang w:val="en-US"/>
    </w:rPr>
  </w:style>
  <w:style w:type="character" w:customStyle="1" w:styleId="GTCLinkText19">
    <w:name w:val="GTC Link Text19"/>
    <w:rPr>
      <w:strike w:val="0"/>
      <w:dstrike w:val="0"/>
      <w:u w:val="none"/>
      <w:effect w:val="none"/>
    </w:rPr>
  </w:style>
  <w:style w:type="character" w:customStyle="1" w:styleId="GTCLinkText21">
    <w:name w:val="GTC Link Text21"/>
    <w:rPr>
      <w:strike w:val="0"/>
      <w:dstrike w:val="0"/>
      <w:u w:val="none"/>
      <w:effect w:val="none"/>
    </w:rPr>
  </w:style>
  <w:style w:type="character" w:customStyle="1" w:styleId="gtcsuperscript">
    <w:name w:val="gtcsuperscript"/>
  </w:style>
  <w:style w:type="paragraph" w:customStyle="1" w:styleId="GTCHeadingAppendix">
    <w:name w:val="GTC Heading Appendix"/>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HeadingCentered0">
    <w:name w:val="GTC Heading Centered"/>
    <w:basedOn w:val="Normal"/>
    <w:pPr>
      <w:keepNext/>
      <w:spacing w:before="240" w:after="240" w:line="240" w:lineRule="auto"/>
      <w:jc w:val="center"/>
    </w:pPr>
    <w:rPr>
      <w:rFonts w:ascii="Times New Roman" w:eastAsia="Times New Roman" w:hAnsi="Times New Roman" w:cs="Times New Roman"/>
      <w:b/>
      <w:bCs/>
      <w:caps/>
      <w:sz w:val="24"/>
      <w:szCs w:val="24"/>
      <w:lang w:val="en-US"/>
    </w:rPr>
  </w:style>
  <w:style w:type="paragraph" w:customStyle="1" w:styleId="GTCBWHeadingLeft">
    <w:name w:val="GTC BW Heading Left"/>
    <w:basedOn w:val="Normal"/>
    <w:pPr>
      <w:spacing w:before="240" w:after="240" w:line="240" w:lineRule="auto"/>
    </w:pPr>
    <w:rPr>
      <w:rFonts w:ascii="Times New Roman" w:eastAsia="Times New Roman" w:hAnsi="Times New Roman" w:cs="Times New Roman"/>
      <w:b/>
      <w:bCs/>
      <w:caps/>
      <w:sz w:val="24"/>
      <w:szCs w:val="24"/>
      <w:lang w:val="en-US"/>
    </w:rPr>
  </w:style>
  <w:style w:type="paragraph" w:customStyle="1" w:styleId="GTCPLRTitle0">
    <w:name w:val="GTC PLR Title"/>
    <w:basedOn w:val="Normal"/>
    <w:pPr>
      <w:spacing w:before="60" w:after="60" w:line="240" w:lineRule="auto"/>
    </w:pPr>
    <w:rPr>
      <w:rFonts w:ascii="Times New Roman" w:eastAsia="Times New Roman" w:hAnsi="Times New Roman" w:cs="Times New Roman"/>
      <w:b/>
      <w:bCs/>
      <w:sz w:val="18"/>
      <w:szCs w:val="18"/>
      <w:lang w:val="en-US"/>
    </w:rPr>
  </w:style>
  <w:style w:type="paragraph" w:customStyle="1" w:styleId="GTCLink">
    <w:name w:val="GTC Link"/>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TableHeader">
    <w:name w:val="GTC Table Header"/>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BodyTextAlignRight0">
    <w:name w:val="GTC Body Text Align Right"/>
    <w:basedOn w:val="Normal"/>
    <w:pPr>
      <w:spacing w:before="240" w:after="240" w:line="300" w:lineRule="auto"/>
      <w:jc w:val="right"/>
    </w:pPr>
    <w:rPr>
      <w:rFonts w:ascii="Times New Roman" w:eastAsia="Times New Roman" w:hAnsi="Times New Roman" w:cs="Times New Roman"/>
      <w:sz w:val="24"/>
      <w:szCs w:val="24"/>
      <w:lang w:val="en-US"/>
    </w:rPr>
  </w:style>
  <w:style w:type="paragraph" w:customStyle="1" w:styleId="GTCBodyTextAlignCenter0">
    <w:name w:val="GTC Body Text Align Center"/>
    <w:basedOn w:val="Normal"/>
    <w:pPr>
      <w:spacing w:before="240" w:after="240" w:line="300" w:lineRule="auto"/>
      <w:jc w:val="center"/>
    </w:pPr>
    <w:rPr>
      <w:rFonts w:ascii="Times New Roman" w:eastAsia="Times New Roman" w:hAnsi="Times New Roman" w:cs="Times New Roman"/>
      <w:sz w:val="24"/>
      <w:szCs w:val="24"/>
      <w:lang w:val="en-US"/>
    </w:rPr>
  </w:style>
  <w:style w:type="paragraph" w:customStyle="1" w:styleId="GTCBodyTextAlignJustify0">
    <w:name w:val="GTC Body Text Align Justify"/>
    <w:basedOn w:val="Normal"/>
    <w:pPr>
      <w:spacing w:before="240" w:after="240" w:line="300" w:lineRule="auto"/>
      <w:jc w:val="both"/>
    </w:pPr>
    <w:rPr>
      <w:rFonts w:ascii="Times New Roman" w:eastAsia="Times New Roman" w:hAnsi="Times New Roman" w:cs="Times New Roman"/>
      <w:sz w:val="24"/>
      <w:szCs w:val="24"/>
      <w:lang w:val="en-US"/>
    </w:rPr>
  </w:style>
  <w:style w:type="paragraph" w:customStyle="1" w:styleId="GTCBodyTextAlignIndent0">
    <w:name w:val="GTC Body Text Align Indent"/>
    <w:basedOn w:val="Normal"/>
    <w:pPr>
      <w:spacing w:before="240" w:after="240" w:line="300" w:lineRule="auto"/>
      <w:jc w:val="both"/>
    </w:pPr>
    <w:rPr>
      <w:rFonts w:ascii="Times New Roman" w:eastAsia="Times New Roman" w:hAnsi="Times New Roman" w:cs="Times New Roman"/>
      <w:sz w:val="24"/>
      <w:szCs w:val="24"/>
      <w:lang w:val="en-US"/>
    </w:rPr>
  </w:style>
  <w:style w:type="paragraph" w:customStyle="1" w:styleId="GTCGreyShadedInParagraph0">
    <w:name w:val="GTC Grey Shaded In Paragraph"/>
    <w:basedOn w:val="Normal"/>
    <w:pPr>
      <w:shd w:val="clear" w:color="auto" w:fill="C0C0C0"/>
      <w:spacing w:before="240" w:after="240" w:line="300" w:lineRule="auto"/>
      <w:jc w:val="both"/>
    </w:pPr>
    <w:rPr>
      <w:rFonts w:ascii="Times New Roman" w:eastAsia="Times New Roman" w:hAnsi="Times New Roman" w:cs="Times New Roman"/>
      <w:sz w:val="24"/>
      <w:szCs w:val="24"/>
      <w:lang w:val="en-US"/>
    </w:rPr>
  </w:style>
  <w:style w:type="paragraph" w:customStyle="1" w:styleId="GTCFooter">
    <w:name w:val="GTC Footer"/>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FootnoteText">
    <w:name w:val="GTC Footnote Text"/>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Annotation0">
    <w:name w:val="GTCAnnotation"/>
    <w:basedOn w:val="Normal"/>
    <w:pPr>
      <w:spacing w:before="60" w:after="60" w:line="240" w:lineRule="auto"/>
      <w:ind w:left="576" w:hanging="576"/>
    </w:pPr>
    <w:rPr>
      <w:rFonts w:ascii="Times New Roman" w:eastAsia="Times New Roman" w:hAnsi="Times New Roman" w:cs="Times New Roman"/>
      <w:sz w:val="20"/>
      <w:szCs w:val="20"/>
      <w:lang w:val="en-US"/>
    </w:rPr>
  </w:style>
  <w:style w:type="paragraph" w:customStyle="1" w:styleId="GTCTitle">
    <w:name w:val="GTC Title"/>
    <w:basedOn w:val="Normal"/>
    <w:pPr>
      <w:spacing w:before="120" w:after="120" w:line="240" w:lineRule="auto"/>
      <w:jc w:val="both"/>
    </w:pPr>
    <w:rPr>
      <w:rFonts w:ascii="Times New Roman" w:eastAsia="Times New Roman" w:hAnsi="Times New Roman" w:cs="Times New Roman"/>
      <w:b/>
      <w:bCs/>
      <w:sz w:val="36"/>
      <w:szCs w:val="36"/>
      <w:lang w:val="en-US"/>
    </w:rPr>
  </w:style>
  <w:style w:type="paragraph" w:customStyle="1" w:styleId="GTCHeading10">
    <w:name w:val="GTC Heading 1"/>
    <w:next w:val="GTCBodyText"/>
    <w:pPr>
      <w:keepNext/>
      <w:spacing w:before="240" w:after="240" w:line="240" w:lineRule="auto"/>
    </w:pPr>
    <w:rPr>
      <w:rFonts w:ascii="Times New Roman" w:eastAsia="Times New Roman" w:hAnsi="Times New Roman" w:cs="Times New Roman"/>
      <w:b/>
      <w:bCs/>
      <w:caps/>
      <w:sz w:val="24"/>
      <w:szCs w:val="24"/>
      <w:lang w:val="en-US"/>
    </w:rPr>
  </w:style>
  <w:style w:type="paragraph" w:customStyle="1" w:styleId="GTCHeading20">
    <w:name w:val="GTC Heading 2"/>
    <w:basedOn w:val="Normal"/>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Heading30">
    <w:name w:val="GTC Heading 3"/>
    <w:basedOn w:val="Normal"/>
    <w:pPr>
      <w:keepNext/>
      <w:spacing w:before="240" w:after="240" w:line="240" w:lineRule="auto"/>
    </w:pPr>
    <w:rPr>
      <w:rFonts w:ascii="Times New Roman" w:eastAsia="Times New Roman" w:hAnsi="Times New Roman" w:cs="Times New Roman"/>
      <w:b/>
      <w:bCs/>
      <w:sz w:val="24"/>
      <w:szCs w:val="24"/>
      <w:lang w:val="en-US"/>
    </w:rPr>
  </w:style>
  <w:style w:type="paragraph" w:customStyle="1" w:styleId="GTCHeading40">
    <w:name w:val="GTC Heading 4"/>
    <w:basedOn w:val="Normal"/>
    <w:pPr>
      <w:keepNext/>
      <w:spacing w:before="240" w:after="240" w:line="240" w:lineRule="auto"/>
    </w:pPr>
    <w:rPr>
      <w:rFonts w:ascii="Times New Roman" w:eastAsia="Times New Roman" w:hAnsi="Times New Roman" w:cs="Times New Roman"/>
      <w:b/>
      <w:bCs/>
      <w:i/>
      <w:iCs/>
      <w:sz w:val="24"/>
      <w:szCs w:val="24"/>
      <w:lang w:val="en-US"/>
    </w:rPr>
  </w:style>
  <w:style w:type="paragraph" w:customStyle="1" w:styleId="GTCLinkText0">
    <w:name w:val="GTC Link Text"/>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Text0">
    <w:name w:val="GTC List Text"/>
    <w:basedOn w:val="GTCBodyText"/>
    <w:pPr>
      <w:spacing w:before="120" w:after="120" w:line="300" w:lineRule="auto"/>
      <w:jc w:val="left"/>
    </w:pPr>
  </w:style>
  <w:style w:type="paragraph" w:customStyle="1" w:styleId="GTCTableListText">
    <w:name w:val="GTC Table List Text"/>
    <w:basedOn w:val="GTCBodyText"/>
    <w:pPr>
      <w:spacing w:before="120" w:after="120" w:line="300" w:lineRule="auto"/>
      <w:jc w:val="left"/>
    </w:pPr>
    <w:rPr>
      <w:sz w:val="20"/>
      <w:szCs w:val="20"/>
    </w:rPr>
  </w:style>
  <w:style w:type="paragraph" w:customStyle="1" w:styleId="GTCListTextHighlights">
    <w:name w:val="GTC List Text Highlights"/>
    <w:basedOn w:val="Normal"/>
    <w:pPr>
      <w:spacing w:after="0" w:line="240" w:lineRule="auto"/>
    </w:pPr>
    <w:rPr>
      <w:rFonts w:ascii="Times New Roman" w:eastAsia="Times New Roman" w:hAnsi="Times New Roman" w:cs="Times New Roman"/>
      <w:sz w:val="16"/>
      <w:szCs w:val="16"/>
      <w:lang w:val="en-US"/>
    </w:rPr>
  </w:style>
  <w:style w:type="paragraph" w:customStyle="1" w:styleId="GTCListStyleNone0">
    <w:name w:val="GTC List Style None"/>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Circle0">
    <w:name w:val="GTC List Style Circle"/>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Disc0">
    <w:name w:val="GTC List Style Disc"/>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Square0">
    <w:name w:val="GTC List Style Square"/>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LittleRoman0">
    <w:name w:val="GTC List Style LittleRoman"/>
    <w:basedOn w:val="Normal"/>
    <w:pPr>
      <w:tabs>
        <w:tab w:val="num" w:pos="1008"/>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BigRoman0">
    <w:name w:val="GTC List Style BigRoman"/>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LittleAlpha0">
    <w:name w:val="GTC List Style LittleAlpha"/>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ListStyleArabic0">
    <w:name w:val="GTC List Style Arabic"/>
    <w:basedOn w:val="Normal"/>
    <w:pPr>
      <w:tabs>
        <w:tab w:val="num" w:pos="72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TableTitleOtherwise0">
    <w:name w:val="GTC Table Title Otherwise"/>
    <w:basedOn w:val="Normal"/>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GTCTableTitleInsert">
    <w:name w:val="GTC Table Title Insert"/>
    <w:basedOn w:val="Normal"/>
    <w:pPr>
      <w:spacing w:before="100" w:beforeAutospacing="1" w:after="100" w:afterAutospacing="1" w:line="240" w:lineRule="auto"/>
    </w:pPr>
    <w:rPr>
      <w:rFonts w:ascii="Times New Roman" w:eastAsia="Times New Roman" w:hAnsi="Times New Roman" w:cs="Times New Roman"/>
      <w:color w:val="FF0000"/>
      <w:sz w:val="20"/>
      <w:szCs w:val="20"/>
      <w:u w:val="double"/>
      <w:lang w:val="en-US"/>
    </w:rPr>
  </w:style>
  <w:style w:type="paragraph" w:customStyle="1" w:styleId="GTCTableTitleDelete">
    <w:name w:val="GTC Table Title Delete"/>
    <w:basedOn w:val="Normal"/>
    <w:pPr>
      <w:spacing w:before="100" w:beforeAutospacing="1" w:after="100" w:afterAutospacing="1" w:line="240" w:lineRule="auto"/>
    </w:pPr>
    <w:rPr>
      <w:rFonts w:ascii="Times New Roman" w:eastAsia="Times New Roman" w:hAnsi="Times New Roman" w:cs="Times New Roman"/>
      <w:strike/>
      <w:color w:val="FF0000"/>
      <w:sz w:val="20"/>
      <w:szCs w:val="20"/>
      <w:lang w:val="en-US"/>
    </w:rPr>
  </w:style>
  <w:style w:type="paragraph" w:customStyle="1" w:styleId="GTCOutlineNumbering">
    <w:name w:val="GTC Outline Numbering"/>
    <w:basedOn w:val="GTCListText0"/>
    <w:pPr>
      <w:spacing w:before="100" w:beforeAutospacing="1" w:after="100" w:afterAutospacing="1" w:line="240" w:lineRule="auto"/>
    </w:pPr>
  </w:style>
  <w:style w:type="paragraph" w:customStyle="1" w:styleId="GTCBullets">
    <w:name w:val="GTC Bullets"/>
    <w:basedOn w:val="GTCOutlineNumbering"/>
  </w:style>
  <w:style w:type="character" w:customStyle="1" w:styleId="GTCGreyShadedText0">
    <w:name w:val="GTC Grey Shaded Text"/>
    <w:rPr>
      <w:rFonts w:ascii="Times New Roman" w:hAnsi="Times New Roman" w:cs="Times New Roman" w:hint="default"/>
      <w:b w:val="0"/>
      <w:bCs w:val="0"/>
      <w:i w:val="0"/>
      <w:iCs w:val="0"/>
      <w:caps w:val="0"/>
      <w:sz w:val="24"/>
      <w:szCs w:val="24"/>
      <w:shd w:val="clear" w:color="auto" w:fill="C0C0C0"/>
    </w:rPr>
  </w:style>
  <w:style w:type="character" w:customStyle="1" w:styleId="GTCFootnoteText1">
    <w:name w:val="GTC Footnote Text1"/>
  </w:style>
  <w:style w:type="table" w:customStyle="1" w:styleId="GTCTitle1">
    <w:name w:val="GTC Title1"/>
    <w:basedOn w:val="TableNormal"/>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2">
    <w:name w:val="GTC Title2"/>
    <w:basedOn w:val="TableNormal"/>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3">
    <w:name w:val="GTC Title3"/>
    <w:basedOn w:val="TableNormal"/>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4">
    <w:name w:val="GTC Title4"/>
    <w:basedOn w:val="TableNormal"/>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1">
    <w:name w:val="GTC Heading 11"/>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1">
    <w:name w:val="GTC Heading 2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1">
    <w:name w:val="GTC Heading 3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1">
    <w:name w:val="GTC Heading 41"/>
    <w:basedOn w:val="TableNormal"/>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10">
    <w:name w:val="GTC Link Text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1">
    <w:name w:val="GTC List Text1"/>
    <w:basedOn w:val="TableNormal"/>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1">
    <w:name w:val="GTC Table List Text1"/>
    <w:basedOn w:val="TableNormal"/>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1">
    <w:name w:val="GTC List Text Highlights1"/>
    <w:basedOn w:val="TableNormal"/>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1">
    <w:name w:val="GTC List Style None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1">
    <w:name w:val="GTC List Style Circle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1">
    <w:name w:val="GTC List Style Disc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1">
    <w:name w:val="GTC List Style Square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1">
    <w:name w:val="GTC List Style LittleRoman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1">
    <w:name w:val="GTC List Style BigRoman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1">
    <w:name w:val="GTC List Style LittleAlpha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2">
    <w:name w:val="GTC List Style BigRoman2"/>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1">
    <w:name w:val="GTC List Style Arabic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1">
    <w:name w:val="GTC Table Title Otherwise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1">
    <w:name w:val="GTC Table Title Insert1"/>
    <w:basedOn w:val="TableNormal"/>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1">
    <w:name w:val="GTC Table Title Delete1"/>
    <w:basedOn w:val="TableNormal"/>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Annotationa">
    <w:name w:val="GTC Annotation"/>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OutlineNumbering1">
    <w:name w:val="GTC Outline Numbering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1">
    <w:name w:val="GTC Bullets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paragraph" w:customStyle="1" w:styleId="GTCHighlightTextBoxedWarnings0">
    <w:name w:val="GTC Highlight Text Boxed Warnings"/>
    <w:basedOn w:val="Normal"/>
    <w:pPr>
      <w:spacing w:before="40" w:after="40" w:line="192" w:lineRule="auto"/>
      <w:jc w:val="both"/>
    </w:pPr>
    <w:rPr>
      <w:rFonts w:ascii="Times New Roman" w:eastAsia="Times New Roman" w:hAnsi="Times New Roman" w:cs="Times New Roman"/>
      <w:sz w:val="16"/>
      <w:szCs w:val="16"/>
      <w:lang w:val="en-US"/>
    </w:rPr>
  </w:style>
  <w:style w:type="paragraph" w:customStyle="1" w:styleId="GTCHighlightText0">
    <w:name w:val="GTC Highlight Text"/>
    <w:basedOn w:val="Normal"/>
    <w:pPr>
      <w:spacing w:before="40" w:after="40" w:line="192" w:lineRule="auto"/>
      <w:jc w:val="both"/>
    </w:pPr>
    <w:rPr>
      <w:rFonts w:ascii="Times New Roman" w:eastAsia="Times New Roman" w:hAnsi="Times New Roman" w:cs="Times New Roman"/>
      <w:sz w:val="16"/>
      <w:szCs w:val="16"/>
      <w:lang w:val="en-US"/>
    </w:rPr>
  </w:style>
  <w:style w:type="paragraph" w:customStyle="1" w:styleId="Heading10">
    <w:name w:val="Heading1"/>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1">
    <w:name w:val="GTC Section Title 1"/>
    <w:basedOn w:val="TableNormal"/>
    <w:pPr>
      <w:spacing w:before="240" w:after="240" w:line="240" w:lineRule="auto"/>
    </w:pPr>
    <w:rPr>
      <w:rFonts w:ascii="Times New Roman" w:eastAsia="Times New Roman" w:hAnsi="Times New Roman" w:cs="Times New Roman"/>
      <w:b/>
      <w:bCs/>
      <w:caps/>
      <w:sz w:val="24"/>
      <w:szCs w:val="24"/>
      <w:lang w:eastAsia="en-AU"/>
    </w:rPr>
    <w:tblPr>
      <w:tblCellMar>
        <w:left w:w="0" w:type="dxa"/>
        <w:right w:w="0" w:type="dxa"/>
      </w:tblCellMar>
    </w:tblPr>
  </w:style>
  <w:style w:type="paragraph" w:customStyle="1" w:styleId="Heading20">
    <w:name w:val="Heading2"/>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2">
    <w:name w:val="GTC Section Title 2"/>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paragraph" w:customStyle="1" w:styleId="Heading30">
    <w:name w:val="Heading3"/>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3">
    <w:name w:val="GTC Section Title 3"/>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paragraph" w:customStyle="1" w:styleId="Heading40">
    <w:name w:val="Heading4"/>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4">
    <w:name w:val="GTC Section Title 4"/>
    <w:basedOn w:val="TableNormal"/>
    <w:pPr>
      <w:spacing w:before="240" w:after="240" w:line="240" w:lineRule="auto"/>
    </w:pPr>
    <w:rPr>
      <w:rFonts w:ascii="Times New Roman" w:eastAsia="Times New Roman" w:hAnsi="Times New Roman" w:cs="Times New Roman"/>
      <w:b/>
      <w:bCs/>
      <w:i/>
      <w:sz w:val="24"/>
      <w:szCs w:val="24"/>
      <w:lang w:eastAsia="en-AU"/>
    </w:rPr>
    <w:tblPr>
      <w:tblCellMar>
        <w:left w:w="0" w:type="dxa"/>
        <w:right w:w="0" w:type="dxa"/>
      </w:tblCellMar>
    </w:tblPr>
  </w:style>
  <w:style w:type="paragraph" w:customStyle="1" w:styleId="Heading50">
    <w:name w:val="Heading5"/>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5">
    <w:name w:val="GTC Section Title 5"/>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Heading60">
    <w:name w:val="Heading6"/>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6">
    <w:name w:val="GTC Section Title 6"/>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Heading70">
    <w:name w:val="Heading7"/>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7">
    <w:name w:val="GTC Section Title 7"/>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Heading80">
    <w:name w:val="Heading8"/>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8">
    <w:name w:val="GTC Section Title 8"/>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Heading90">
    <w:name w:val="Heading9"/>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TCSectionTitle9">
    <w:name w:val="GTC Section Title 9"/>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paragraph" w:customStyle="1" w:styleId="GTCTableTitle">
    <w:name w:val="GTC Table Title"/>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TCTableTitleData">
    <w:name w:val="GTC Table Title Data"/>
    <w:basedOn w:val="GTCTableTitle"/>
  </w:style>
  <w:style w:type="paragraph" w:customStyle="1" w:styleId="GTCFigureCaption0">
    <w:name w:val="GTC Figure Caption"/>
    <w:basedOn w:val="GTCTableTitle"/>
    <w:pPr>
      <w:spacing w:before="120" w:beforeAutospacing="0" w:after="120" w:afterAutospacing="0"/>
    </w:pPr>
    <w:rPr>
      <w:sz w:val="20"/>
      <w:szCs w:val="20"/>
    </w:rPr>
  </w:style>
  <w:style w:type="paragraph" w:customStyle="1" w:styleId="GTCSectionTitle11">
    <w:name w:val="GTC Section Title 11"/>
    <w:basedOn w:val="Heading10"/>
    <w:pPr>
      <w:keepNext/>
      <w:spacing w:before="240" w:beforeAutospacing="0" w:after="240" w:afterAutospacing="0"/>
    </w:pPr>
    <w:rPr>
      <w:b/>
      <w:bCs/>
      <w:caps/>
    </w:rPr>
  </w:style>
  <w:style w:type="paragraph" w:customStyle="1" w:styleId="GTCSectionTitle21">
    <w:name w:val="GTC Section Title 21"/>
    <w:basedOn w:val="Heading20"/>
    <w:pPr>
      <w:keepNext/>
      <w:spacing w:before="240" w:beforeAutospacing="0" w:after="240" w:afterAutospacing="0"/>
    </w:pPr>
    <w:rPr>
      <w:b/>
      <w:bCs/>
    </w:rPr>
  </w:style>
  <w:style w:type="paragraph" w:customStyle="1" w:styleId="GTCSectionTitle31">
    <w:name w:val="GTC Section Title 31"/>
    <w:basedOn w:val="Heading30"/>
    <w:pPr>
      <w:keepNext/>
      <w:spacing w:before="240" w:beforeAutospacing="0" w:after="240" w:afterAutospacing="0"/>
    </w:pPr>
    <w:rPr>
      <w:b/>
      <w:bCs/>
    </w:rPr>
  </w:style>
  <w:style w:type="paragraph" w:customStyle="1" w:styleId="GTCSectionTitle41">
    <w:name w:val="GTC Section Title 41"/>
    <w:basedOn w:val="Heading40"/>
    <w:pPr>
      <w:keepNext/>
      <w:spacing w:before="240" w:beforeAutospacing="0" w:after="240" w:afterAutospacing="0"/>
    </w:pPr>
    <w:rPr>
      <w:b/>
      <w:bCs/>
      <w:i/>
    </w:rPr>
  </w:style>
  <w:style w:type="paragraph" w:customStyle="1" w:styleId="GTCSectionTitle51">
    <w:name w:val="GTC Section Title 51"/>
    <w:basedOn w:val="Heading50"/>
    <w:pPr>
      <w:spacing w:before="240" w:beforeAutospacing="0" w:after="240" w:afterAutospacing="0"/>
    </w:pPr>
    <w:rPr>
      <w:b/>
      <w:bCs/>
    </w:rPr>
  </w:style>
  <w:style w:type="paragraph" w:customStyle="1" w:styleId="GTCSectionTitle61">
    <w:name w:val="GTC Section Title 61"/>
    <w:basedOn w:val="Heading60"/>
    <w:pPr>
      <w:spacing w:before="240" w:beforeAutospacing="0" w:after="240" w:afterAutospacing="0"/>
    </w:pPr>
    <w:rPr>
      <w:b/>
      <w:bCs/>
    </w:rPr>
  </w:style>
  <w:style w:type="paragraph" w:customStyle="1" w:styleId="GTCSectionTitle71">
    <w:name w:val="GTC Section Title 71"/>
    <w:basedOn w:val="Heading70"/>
    <w:pPr>
      <w:spacing w:before="240" w:beforeAutospacing="0" w:after="240" w:afterAutospacing="0"/>
    </w:pPr>
    <w:rPr>
      <w:b/>
      <w:bCs/>
    </w:rPr>
  </w:style>
  <w:style w:type="paragraph" w:customStyle="1" w:styleId="GTCSectionTitle81">
    <w:name w:val="GTC Section Title 81"/>
    <w:basedOn w:val="Heading80"/>
    <w:pPr>
      <w:spacing w:before="240" w:beforeAutospacing="0" w:after="240" w:afterAutospacing="0"/>
    </w:pPr>
    <w:rPr>
      <w:b/>
      <w:bCs/>
    </w:rPr>
  </w:style>
  <w:style w:type="paragraph" w:customStyle="1" w:styleId="GTCSectionTitle91">
    <w:name w:val="GTC Section Title 91"/>
    <w:basedOn w:val="Heading90"/>
    <w:pPr>
      <w:spacing w:before="240" w:beforeAutospacing="0" w:after="240" w:afterAutospacing="0"/>
    </w:pPr>
    <w:rPr>
      <w:b/>
      <w:bCs/>
    </w:rPr>
  </w:style>
  <w:style w:type="character" w:customStyle="1" w:styleId="GTCFootnoteText2">
    <w:name w:val="GTC Footnote Text2"/>
  </w:style>
  <w:style w:type="table" w:customStyle="1" w:styleId="GTCTitle5">
    <w:name w:val="GTC Title5"/>
    <w:basedOn w:val="TableNormal"/>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6">
    <w:name w:val="GTC Title6"/>
    <w:basedOn w:val="TableNormal"/>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7">
    <w:name w:val="GTC Title7"/>
    <w:basedOn w:val="TableNormal"/>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8">
    <w:name w:val="GTC Title8"/>
    <w:basedOn w:val="TableNormal"/>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2">
    <w:name w:val="GTC Heading 12"/>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2">
    <w:name w:val="GTC Heading 22"/>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2">
    <w:name w:val="GTC Heading 32"/>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2">
    <w:name w:val="GTC Heading 42"/>
    <w:basedOn w:val="TableNormal"/>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20">
    <w:name w:val="GTC Link Text2"/>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2">
    <w:name w:val="GTC List Text2"/>
    <w:basedOn w:val="TableNormal"/>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2">
    <w:name w:val="GTC Table List Text2"/>
    <w:basedOn w:val="TableNormal"/>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2">
    <w:name w:val="GTC List Text Highlights2"/>
    <w:basedOn w:val="TableNormal"/>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2">
    <w:name w:val="GTC List Style None2"/>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2">
    <w:name w:val="GTC List Style Circle2"/>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2">
    <w:name w:val="GTC List Style Disc2"/>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2">
    <w:name w:val="GTC List Style Square2"/>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2">
    <w:name w:val="GTC List Style LittleRoman2"/>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3">
    <w:name w:val="GTC List Style BigRoman3"/>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2">
    <w:name w:val="GTC List Style LittleAlpha2"/>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4">
    <w:name w:val="GTC List Style BigRoman4"/>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2">
    <w:name w:val="GTC List Style Arabic2"/>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2">
    <w:name w:val="GTC Table Title Otherwise2"/>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2">
    <w:name w:val="GTC Table Title Insert2"/>
    <w:basedOn w:val="TableNormal"/>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2">
    <w:name w:val="GTC Table Title Delete2"/>
    <w:basedOn w:val="TableNormal"/>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2">
    <w:name w:val="GTC Outline Numbering2"/>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2">
    <w:name w:val="GTC Bullets2"/>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paragraph" w:customStyle="1" w:styleId="GTCSectionTitle12">
    <w:name w:val="GTC Section Title 12"/>
    <w:basedOn w:val="Heading10"/>
    <w:pPr>
      <w:keepNext/>
      <w:spacing w:before="240" w:beforeAutospacing="0" w:after="240" w:afterAutospacing="0"/>
    </w:pPr>
    <w:rPr>
      <w:b/>
      <w:bCs/>
      <w:caps/>
    </w:rPr>
  </w:style>
  <w:style w:type="paragraph" w:customStyle="1" w:styleId="GTCSectionTitle22">
    <w:name w:val="GTC Section Title 22"/>
    <w:basedOn w:val="Heading20"/>
    <w:pPr>
      <w:keepNext/>
      <w:spacing w:before="240" w:beforeAutospacing="0" w:after="240" w:afterAutospacing="0"/>
    </w:pPr>
    <w:rPr>
      <w:b/>
      <w:bCs/>
    </w:rPr>
  </w:style>
  <w:style w:type="paragraph" w:customStyle="1" w:styleId="GTCSectionTitle32">
    <w:name w:val="GTC Section Title 32"/>
    <w:basedOn w:val="Heading30"/>
    <w:pPr>
      <w:keepNext/>
      <w:spacing w:before="240" w:beforeAutospacing="0" w:after="240" w:afterAutospacing="0"/>
    </w:pPr>
    <w:rPr>
      <w:b/>
      <w:bCs/>
    </w:rPr>
  </w:style>
  <w:style w:type="paragraph" w:customStyle="1" w:styleId="GTCSectionTitle42">
    <w:name w:val="GTC Section Title 42"/>
    <w:basedOn w:val="Heading40"/>
    <w:pPr>
      <w:keepNext/>
      <w:spacing w:before="240" w:beforeAutospacing="0" w:after="240" w:afterAutospacing="0"/>
    </w:pPr>
    <w:rPr>
      <w:b/>
      <w:bCs/>
      <w:i/>
    </w:rPr>
  </w:style>
  <w:style w:type="paragraph" w:customStyle="1" w:styleId="GTCSectionTitle52">
    <w:name w:val="GTC Section Title 52"/>
    <w:basedOn w:val="Heading50"/>
    <w:pPr>
      <w:spacing w:before="240" w:beforeAutospacing="0" w:after="240" w:afterAutospacing="0"/>
    </w:pPr>
    <w:rPr>
      <w:b/>
      <w:bCs/>
    </w:rPr>
  </w:style>
  <w:style w:type="paragraph" w:customStyle="1" w:styleId="GTCSectionTitle62">
    <w:name w:val="GTC Section Title 62"/>
    <w:basedOn w:val="Heading60"/>
    <w:pPr>
      <w:spacing w:before="240" w:beforeAutospacing="0" w:after="240" w:afterAutospacing="0"/>
    </w:pPr>
    <w:rPr>
      <w:b/>
      <w:bCs/>
    </w:rPr>
  </w:style>
  <w:style w:type="paragraph" w:customStyle="1" w:styleId="GTCSectionTitle72">
    <w:name w:val="GTC Section Title 72"/>
    <w:basedOn w:val="Heading70"/>
    <w:pPr>
      <w:spacing w:before="240" w:beforeAutospacing="0" w:after="240" w:afterAutospacing="0"/>
    </w:pPr>
    <w:rPr>
      <w:b/>
      <w:bCs/>
    </w:rPr>
  </w:style>
  <w:style w:type="paragraph" w:customStyle="1" w:styleId="GTCSectionTitle82">
    <w:name w:val="GTC Section Title 82"/>
    <w:basedOn w:val="Heading80"/>
    <w:pPr>
      <w:spacing w:before="240" w:beforeAutospacing="0" w:after="240" w:afterAutospacing="0"/>
    </w:pPr>
    <w:rPr>
      <w:b/>
      <w:bCs/>
    </w:rPr>
  </w:style>
  <w:style w:type="paragraph" w:customStyle="1" w:styleId="GTCSectionTitle92">
    <w:name w:val="GTC Section Title 92"/>
    <w:basedOn w:val="Heading90"/>
    <w:pPr>
      <w:spacing w:before="240" w:beforeAutospacing="0" w:after="240" w:afterAutospacing="0"/>
    </w:pPr>
    <w:rPr>
      <w:b/>
      <w:bCs/>
    </w:rPr>
  </w:style>
  <w:style w:type="character" w:customStyle="1" w:styleId="GTCFootnoteText3">
    <w:name w:val="GTC Footnote Text3"/>
  </w:style>
  <w:style w:type="table" w:customStyle="1" w:styleId="GTCTitle9">
    <w:name w:val="GTC Title9"/>
    <w:basedOn w:val="TableNormal"/>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0">
    <w:name w:val="GTC Title10"/>
    <w:basedOn w:val="TableNormal"/>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1">
    <w:name w:val="GTC Title11"/>
    <w:basedOn w:val="TableNormal"/>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2">
    <w:name w:val="GTC Title12"/>
    <w:basedOn w:val="TableNormal"/>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3">
    <w:name w:val="GTC Heading 13"/>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3">
    <w:name w:val="GTC Heading 23"/>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3">
    <w:name w:val="GTC Heading 33"/>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3">
    <w:name w:val="GTC Heading 43"/>
    <w:basedOn w:val="TableNormal"/>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30">
    <w:name w:val="GTC Link Text3"/>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3">
    <w:name w:val="GTC List Text3"/>
    <w:basedOn w:val="TableNormal"/>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3">
    <w:name w:val="GTC Table List Text3"/>
    <w:basedOn w:val="TableNormal"/>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3">
    <w:name w:val="GTC List Text Highlights3"/>
    <w:basedOn w:val="TableNormal"/>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3">
    <w:name w:val="GTC List Style None3"/>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3">
    <w:name w:val="GTC List Style Circle3"/>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3">
    <w:name w:val="GTC List Style Disc3"/>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3">
    <w:name w:val="GTC List Style Square3"/>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3">
    <w:name w:val="GTC List Style LittleRoman3"/>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5">
    <w:name w:val="GTC List Style BigRoman5"/>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3">
    <w:name w:val="GTC List Style LittleAlpha3"/>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6">
    <w:name w:val="GTC List Style BigRoman6"/>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3">
    <w:name w:val="GTC List Style Arabic3"/>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3">
    <w:name w:val="GTC Table Title Otherwise3"/>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3">
    <w:name w:val="GTC Table Title Insert3"/>
    <w:basedOn w:val="TableNormal"/>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3">
    <w:name w:val="GTC Table Title Delete3"/>
    <w:basedOn w:val="TableNormal"/>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3">
    <w:name w:val="GTC Outline Numbering3"/>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3">
    <w:name w:val="GTC Bullets3"/>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paragraph" w:customStyle="1" w:styleId="GTCSectionTitle13">
    <w:name w:val="GTC Section Title 13"/>
    <w:basedOn w:val="Heading10"/>
    <w:pPr>
      <w:keepNext/>
      <w:spacing w:before="240" w:beforeAutospacing="0" w:after="240" w:afterAutospacing="0"/>
    </w:pPr>
    <w:rPr>
      <w:b/>
      <w:bCs/>
      <w:caps/>
    </w:rPr>
  </w:style>
  <w:style w:type="paragraph" w:customStyle="1" w:styleId="GTCSectionTitle23">
    <w:name w:val="GTC Section Title 23"/>
    <w:basedOn w:val="Heading20"/>
    <w:pPr>
      <w:keepNext/>
      <w:spacing w:before="240" w:beforeAutospacing="0" w:after="240" w:afterAutospacing="0"/>
    </w:pPr>
    <w:rPr>
      <w:b/>
      <w:bCs/>
    </w:rPr>
  </w:style>
  <w:style w:type="paragraph" w:customStyle="1" w:styleId="GTCSectionTitle33">
    <w:name w:val="GTC Section Title 33"/>
    <w:basedOn w:val="Heading30"/>
    <w:pPr>
      <w:keepNext/>
      <w:spacing w:before="240" w:beforeAutospacing="0" w:after="240" w:afterAutospacing="0"/>
    </w:pPr>
    <w:rPr>
      <w:b/>
      <w:bCs/>
    </w:rPr>
  </w:style>
  <w:style w:type="paragraph" w:customStyle="1" w:styleId="GTCSectionTitle43">
    <w:name w:val="GTC Section Title 43"/>
    <w:basedOn w:val="Heading40"/>
    <w:pPr>
      <w:keepNext/>
      <w:spacing w:before="240" w:beforeAutospacing="0" w:after="240" w:afterAutospacing="0"/>
    </w:pPr>
    <w:rPr>
      <w:b/>
      <w:bCs/>
      <w:i/>
    </w:rPr>
  </w:style>
  <w:style w:type="paragraph" w:customStyle="1" w:styleId="GTCSectionTitle53">
    <w:name w:val="GTC Section Title 53"/>
    <w:basedOn w:val="Heading50"/>
    <w:pPr>
      <w:spacing w:before="240" w:beforeAutospacing="0" w:after="240" w:afterAutospacing="0"/>
    </w:pPr>
    <w:rPr>
      <w:b/>
      <w:bCs/>
    </w:rPr>
  </w:style>
  <w:style w:type="paragraph" w:customStyle="1" w:styleId="GTCSectionTitle63">
    <w:name w:val="GTC Section Title 63"/>
    <w:basedOn w:val="Heading60"/>
    <w:pPr>
      <w:spacing w:before="240" w:beforeAutospacing="0" w:after="240" w:afterAutospacing="0"/>
    </w:pPr>
    <w:rPr>
      <w:b/>
      <w:bCs/>
    </w:rPr>
  </w:style>
  <w:style w:type="paragraph" w:customStyle="1" w:styleId="GTCSectionTitle73">
    <w:name w:val="GTC Section Title 73"/>
    <w:basedOn w:val="Heading70"/>
    <w:pPr>
      <w:spacing w:before="240" w:beforeAutospacing="0" w:after="240" w:afterAutospacing="0"/>
    </w:pPr>
    <w:rPr>
      <w:b/>
      <w:bCs/>
    </w:rPr>
  </w:style>
  <w:style w:type="paragraph" w:customStyle="1" w:styleId="GTCSectionTitle83">
    <w:name w:val="GTC Section Title 83"/>
    <w:basedOn w:val="Heading80"/>
    <w:pPr>
      <w:spacing w:before="240" w:beforeAutospacing="0" w:after="240" w:afterAutospacing="0"/>
    </w:pPr>
    <w:rPr>
      <w:b/>
      <w:bCs/>
    </w:rPr>
  </w:style>
  <w:style w:type="paragraph" w:customStyle="1" w:styleId="GTCSectionTitle93">
    <w:name w:val="GTC Section Title 93"/>
    <w:basedOn w:val="Heading90"/>
    <w:pPr>
      <w:spacing w:before="240" w:beforeAutospacing="0" w:after="240" w:afterAutospacing="0"/>
    </w:pPr>
    <w:rPr>
      <w:b/>
      <w:bCs/>
    </w:rPr>
  </w:style>
  <w:style w:type="character" w:customStyle="1" w:styleId="GTCFootnoteText4">
    <w:name w:val="GTC Footnote Text4"/>
  </w:style>
  <w:style w:type="table" w:customStyle="1" w:styleId="GTCTitle13">
    <w:name w:val="GTC Title13"/>
    <w:basedOn w:val="TableNormal"/>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4">
    <w:name w:val="GTC Title14"/>
    <w:basedOn w:val="TableNormal"/>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5">
    <w:name w:val="GTC Title15"/>
    <w:basedOn w:val="TableNormal"/>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6">
    <w:name w:val="GTC Title16"/>
    <w:basedOn w:val="TableNormal"/>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4">
    <w:name w:val="GTC Heading 14"/>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4">
    <w:name w:val="GTC Heading 24"/>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4">
    <w:name w:val="GTC Heading 34"/>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4">
    <w:name w:val="GTC Heading 44"/>
    <w:basedOn w:val="TableNormal"/>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40">
    <w:name w:val="GTC Link Text4"/>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4">
    <w:name w:val="GTC List Text4"/>
    <w:basedOn w:val="TableNormal"/>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4">
    <w:name w:val="GTC Table List Text4"/>
    <w:basedOn w:val="TableNormal"/>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4">
    <w:name w:val="GTC List Text Highlights4"/>
    <w:basedOn w:val="TableNormal"/>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4">
    <w:name w:val="GTC List Style None4"/>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4">
    <w:name w:val="GTC List Style Circle4"/>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4">
    <w:name w:val="GTC List Style Disc4"/>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4">
    <w:name w:val="GTC List Style Square4"/>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4">
    <w:name w:val="GTC List Style LittleRoman4"/>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7">
    <w:name w:val="GTC List Style BigRoman7"/>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4">
    <w:name w:val="GTC List Style LittleAlpha4"/>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8">
    <w:name w:val="GTC List Style BigRoman8"/>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4">
    <w:name w:val="GTC List Style Arabic4"/>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4">
    <w:name w:val="GTC Table Title Otherwise4"/>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4">
    <w:name w:val="GTC Table Title Insert4"/>
    <w:basedOn w:val="TableNormal"/>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4">
    <w:name w:val="GTC Table Title Delete4"/>
    <w:basedOn w:val="TableNormal"/>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4">
    <w:name w:val="GTC Outline Numbering4"/>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4">
    <w:name w:val="GTC Bullets4"/>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paragraph" w:customStyle="1" w:styleId="first">
    <w:name w:val="first"/>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Left025">
    <w:name w:val="Normal + Left:  0.25&quot;"/>
    <w:basedOn w:val="Normal"/>
    <w:pPr>
      <w:spacing w:after="0" w:line="240" w:lineRule="auto"/>
      <w:ind w:left="360"/>
    </w:pPr>
    <w:rPr>
      <w:rFonts w:ascii="Times New Roman" w:eastAsia="Times New Roman" w:hAnsi="Times New Roman" w:cs="Times New Roman"/>
      <w:sz w:val="24"/>
      <w:szCs w:val="24"/>
      <w:lang w:val="en-US"/>
    </w:rPr>
  </w:style>
  <w:style w:type="paragraph" w:customStyle="1" w:styleId="CM49">
    <w:name w:val="CM49"/>
    <w:basedOn w:val="Default"/>
    <w:next w:val="Default"/>
    <w:rPr>
      <w:color w:val="auto"/>
    </w:rPr>
  </w:style>
  <w:style w:type="character" w:customStyle="1" w:styleId="sup2">
    <w:name w:val="sup2"/>
    <w:rPr>
      <w:sz w:val="19"/>
      <w:szCs w:val="19"/>
    </w:rPr>
  </w:style>
  <w:style w:type="character" w:customStyle="1" w:styleId="italics6">
    <w:name w:val="italics6"/>
    <w:rPr>
      <w:i/>
      <w:iCs/>
    </w:rPr>
  </w:style>
  <w:style w:type="character" w:customStyle="1" w:styleId="underline5">
    <w:name w:val="underline5"/>
    <w:rPr>
      <w:i w:val="0"/>
      <w:iCs w:val="0"/>
      <w:u w:val="single"/>
    </w:rPr>
  </w:style>
  <w:style w:type="paragraph" w:customStyle="1" w:styleId="CM11">
    <w:name w:val="CM11"/>
    <w:basedOn w:val="Default"/>
    <w:next w:val="Default"/>
    <w:pPr>
      <w:spacing w:line="231" w:lineRule="atLeast"/>
    </w:pPr>
    <w:rPr>
      <w:color w:val="auto"/>
      <w:lang w:eastAsia="ja-JP"/>
    </w:rPr>
  </w:style>
  <w:style w:type="character" w:customStyle="1" w:styleId="xmchange">
    <w:name w:val="xmchange"/>
  </w:style>
  <w:style w:type="character" w:customStyle="1" w:styleId="GTCLinkText31">
    <w:name w:val="GTC Link Text31"/>
    <w:rPr>
      <w:strike w:val="0"/>
      <w:dstrike w:val="0"/>
      <w:u w:val="none"/>
      <w:effect w:val="none"/>
    </w:rPr>
  </w:style>
  <w:style w:type="paragraph" w:customStyle="1" w:styleId="TableText">
    <w:name w:val="Table Text"/>
    <w:basedOn w:val="Default"/>
    <w:next w:val="Default"/>
    <w:rPr>
      <w:color w:val="auto"/>
    </w:rPr>
  </w:style>
  <w:style w:type="paragraph" w:customStyle="1" w:styleId="CM12">
    <w:name w:val="CM12"/>
    <w:basedOn w:val="Default"/>
    <w:next w:val="Default"/>
    <w:uiPriority w:val="99"/>
    <w:rPr>
      <w:color w:val="auto"/>
    </w:rPr>
  </w:style>
  <w:style w:type="paragraph" w:customStyle="1" w:styleId="CM14">
    <w:name w:val="CM14"/>
    <w:basedOn w:val="Default"/>
    <w:next w:val="Default"/>
    <w:uiPriority w:val="99"/>
    <w:pPr>
      <w:spacing w:line="183" w:lineRule="atLeast"/>
    </w:pPr>
    <w:rPr>
      <w:color w:val="auto"/>
    </w:rPr>
  </w:style>
  <w:style w:type="character" w:customStyle="1" w:styleId="GTCLinkText5">
    <w:name w:val="GTC Link Text5"/>
    <w:rPr>
      <w:strike w:val="0"/>
      <w:dstrike w:val="0"/>
      <w:u w:val="none"/>
      <w:effect w:val="none"/>
    </w:rPr>
  </w:style>
  <w:style w:type="character" w:customStyle="1" w:styleId="gtcunderline1">
    <w:name w:val="gtcunderline1"/>
    <w:rPr>
      <w:u w:val="single"/>
    </w:rPr>
  </w:style>
  <w:style w:type="character" w:customStyle="1" w:styleId="GTCLinkText7">
    <w:name w:val="GTC Link Text7"/>
    <w:rPr>
      <w:strike w:val="0"/>
      <w:dstrike w:val="0"/>
      <w:u w:val="none"/>
      <w:effect w:val="none"/>
    </w:rPr>
  </w:style>
  <w:style w:type="character" w:customStyle="1" w:styleId="gtcunderline2">
    <w:name w:val="gtcunderline2"/>
    <w:rPr>
      <w:u w:val="single"/>
    </w:rPr>
  </w:style>
  <w:style w:type="character" w:customStyle="1" w:styleId="GTCLinkText9">
    <w:name w:val="GTC Link Text9"/>
    <w:rPr>
      <w:strike w:val="0"/>
      <w:dstrike w:val="0"/>
      <w:u w:val="none"/>
      <w:effect w:val="none"/>
    </w:rPr>
  </w:style>
  <w:style w:type="character" w:customStyle="1" w:styleId="gtcunderline3">
    <w:name w:val="gtcunderline3"/>
    <w:rPr>
      <w:u w:val="single"/>
    </w:rPr>
  </w:style>
  <w:style w:type="character" w:customStyle="1" w:styleId="GTCLinkText11">
    <w:name w:val="GTC Link Text11"/>
    <w:rPr>
      <w:strike w:val="0"/>
      <w:dstrike w:val="0"/>
      <w:u w:val="none"/>
      <w:effect w:val="none"/>
    </w:rPr>
  </w:style>
  <w:style w:type="character" w:customStyle="1" w:styleId="GTCLinkText13">
    <w:name w:val="GTC Link Text13"/>
    <w:rPr>
      <w:strike w:val="0"/>
      <w:dstrike w:val="0"/>
      <w:u w:val="none"/>
      <w:effect w:val="none"/>
    </w:rPr>
  </w:style>
  <w:style w:type="character" w:customStyle="1" w:styleId="gtchighlightparagraph3">
    <w:name w:val="gtchighlightparagraph3"/>
    <w:rPr>
      <w:sz w:val="16"/>
      <w:szCs w:val="16"/>
    </w:rPr>
  </w:style>
  <w:style w:type="character" w:customStyle="1" w:styleId="GTCLinkText15">
    <w:name w:val="GTC Link Text15"/>
    <w:rPr>
      <w:strike w:val="0"/>
      <w:dstrike w:val="0"/>
      <w:u w:val="none"/>
      <w:effect w:val="none"/>
    </w:rPr>
  </w:style>
  <w:style w:type="character" w:customStyle="1" w:styleId="gtchighlightparagraph4">
    <w:name w:val="gtchighlightparagraph4"/>
    <w:rPr>
      <w:sz w:val="16"/>
      <w:szCs w:val="16"/>
    </w:rPr>
  </w:style>
  <w:style w:type="character" w:customStyle="1" w:styleId="GTCLinkText17">
    <w:name w:val="GTC Link Text17"/>
    <w:rPr>
      <w:strike w:val="0"/>
      <w:dstrike w:val="0"/>
      <w:u w:val="none"/>
      <w:effect w:val="none"/>
    </w:rPr>
  </w:style>
  <w:style w:type="character" w:customStyle="1" w:styleId="gtchighlightparagraph5">
    <w:name w:val="gtchighlightparagraph5"/>
    <w:rPr>
      <w:sz w:val="16"/>
      <w:szCs w:val="16"/>
    </w:rPr>
  </w:style>
  <w:style w:type="character" w:customStyle="1" w:styleId="apple-converted-space">
    <w:name w:val="apple-converted-space"/>
  </w:style>
  <w:style w:type="character" w:customStyle="1" w:styleId="gtcbold7">
    <w:name w:val="gtcbold7"/>
    <w:rPr>
      <w:b/>
      <w:bCs/>
    </w:rPr>
  </w:style>
  <w:style w:type="character" w:customStyle="1" w:styleId="gtcbold8">
    <w:name w:val="gtcbold8"/>
    <w:rPr>
      <w:b/>
      <w:bCs/>
    </w:rPr>
  </w:style>
  <w:style w:type="character" w:customStyle="1" w:styleId="gtcbold10">
    <w:name w:val="gtcbold10"/>
    <w:rPr>
      <w:b/>
      <w:bCs/>
    </w:rPr>
  </w:style>
  <w:style w:type="character" w:customStyle="1" w:styleId="gtcbold11">
    <w:name w:val="gtcbold11"/>
    <w:rPr>
      <w:b/>
      <w:bCs/>
    </w:rPr>
  </w:style>
  <w:style w:type="character" w:customStyle="1" w:styleId="gtcbold12">
    <w:name w:val="gtcbold12"/>
    <w:rPr>
      <w:b/>
      <w:bCs/>
    </w:rPr>
  </w:style>
  <w:style w:type="character" w:customStyle="1" w:styleId="gtcbold13">
    <w:name w:val="gtcbold13"/>
    <w:rPr>
      <w:b/>
      <w:bCs/>
    </w:rPr>
  </w:style>
  <w:style w:type="character" w:customStyle="1" w:styleId="gtcbold14">
    <w:name w:val="gtcbold14"/>
    <w:rPr>
      <w:b/>
      <w:bCs/>
    </w:rPr>
  </w:style>
  <w:style w:type="character" w:customStyle="1" w:styleId="gtcbold16">
    <w:name w:val="gtcbold16"/>
    <w:rPr>
      <w:b/>
      <w:bCs/>
    </w:rPr>
  </w:style>
  <w:style w:type="character" w:customStyle="1" w:styleId="gtcbold17">
    <w:name w:val="gtcbold17"/>
    <w:rPr>
      <w:b/>
      <w:bCs/>
    </w:rPr>
  </w:style>
  <w:style w:type="character" w:customStyle="1" w:styleId="gtcbold19">
    <w:name w:val="gtcbold19"/>
    <w:rPr>
      <w:b/>
      <w:bCs/>
    </w:rPr>
  </w:style>
  <w:style w:type="character" w:customStyle="1" w:styleId="gtcbold21">
    <w:name w:val="gtcbold21"/>
    <w:rPr>
      <w:b/>
      <w:bCs/>
    </w:rPr>
  </w:style>
  <w:style w:type="paragraph" w:customStyle="1" w:styleId="CM5">
    <w:name w:val="CM5"/>
    <w:basedOn w:val="Default"/>
    <w:next w:val="Default"/>
    <w:uiPriority w:val="99"/>
    <w:pPr>
      <w:spacing w:line="188" w:lineRule="atLeast"/>
    </w:pPr>
    <w:rPr>
      <w:color w:val="auto"/>
    </w:rPr>
  </w:style>
  <w:style w:type="table" w:customStyle="1" w:styleId="TableGrid1">
    <w:name w:val="Table Grid1"/>
    <w:basedOn w:val="TableNormal"/>
    <w:next w:val="TableGrid"/>
    <w:pPr>
      <w:spacing w:before="100" w:beforeAutospacing="1" w:after="100" w:afterAutospacing="1"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2-Accent2">
    <w:name w:val="Medium Shading 2 Accent 2"/>
    <w:basedOn w:val="TableNormal"/>
    <w:uiPriority w:val="6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List2-Accent3">
    <w:name w:val="Medium List 2 Accent 3"/>
    <w:basedOn w:val="TableNormal"/>
    <w:uiPriority w:val="66"/>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Shading2-Accent5">
    <w:name w:val="Medium Shading 2 Accent 5"/>
    <w:basedOn w:val="TableNormal"/>
    <w:uiPriority w:val="6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M51">
    <w:name w:val="CM51"/>
    <w:basedOn w:val="Default"/>
    <w:next w:val="Default"/>
    <w:uiPriority w:val="99"/>
    <w:rPr>
      <w:rFonts w:ascii="Verdana" w:hAnsi="Verdana"/>
      <w:color w:val="auto"/>
    </w:rPr>
  </w:style>
  <w:style w:type="paragraph" w:customStyle="1" w:styleId="EMEABullet">
    <w:name w:val="EMEA Bullet"/>
    <w:link w:val="EMEABulletChar"/>
    <w:pPr>
      <w:tabs>
        <w:tab w:val="num" w:pos="567"/>
      </w:tabs>
      <w:suppressAutoHyphens/>
      <w:spacing w:after="0" w:line="240" w:lineRule="auto"/>
      <w:ind w:left="567" w:hanging="567"/>
    </w:pPr>
    <w:rPr>
      <w:rFonts w:ascii="Times New Roman" w:eastAsia="Times New Roman" w:hAnsi="Times New Roman" w:cs="Times New Roman"/>
      <w:szCs w:val="20"/>
      <w:lang w:val="en-US"/>
    </w:rPr>
  </w:style>
  <w:style w:type="character" w:customStyle="1" w:styleId="EMEABulletChar">
    <w:name w:val="EMEA Bullet Char"/>
    <w:link w:val="EMEABullet"/>
    <w:rPr>
      <w:rFonts w:ascii="Times New Roman" w:eastAsia="Times New Roman" w:hAnsi="Times New Roman" w:cs="Times New Roman"/>
      <w:szCs w:val="20"/>
      <w:lang w:val="en-US"/>
    </w:rPr>
  </w:style>
  <w:style w:type="paragraph" w:customStyle="1" w:styleId="CM41">
    <w:name w:val="CM41"/>
    <w:basedOn w:val="Default"/>
    <w:next w:val="Default"/>
    <w:uiPriority w:val="99"/>
    <w:pPr>
      <w:spacing w:line="268" w:lineRule="atLeast"/>
    </w:pPr>
    <w:rPr>
      <w:rFonts w:ascii="Verdana" w:hAnsi="Verdana"/>
      <w:color w:val="auto"/>
    </w:rPr>
  </w:style>
  <w:style w:type="paragraph" w:customStyle="1" w:styleId="CM42">
    <w:name w:val="CM42"/>
    <w:basedOn w:val="Default"/>
    <w:next w:val="Default"/>
    <w:uiPriority w:val="99"/>
    <w:rPr>
      <w:rFonts w:ascii="Arial" w:hAnsi="Arial" w:cs="Arial"/>
      <w:color w:val="auto"/>
    </w:rPr>
  </w:style>
  <w:style w:type="paragraph" w:customStyle="1" w:styleId="CM24">
    <w:name w:val="CM24"/>
    <w:basedOn w:val="Default"/>
    <w:next w:val="Default"/>
    <w:uiPriority w:val="99"/>
    <w:rPr>
      <w:color w:val="auto"/>
    </w:rPr>
  </w:style>
  <w:style w:type="paragraph" w:customStyle="1" w:styleId="CM38">
    <w:name w:val="CM38"/>
    <w:basedOn w:val="Default"/>
    <w:next w:val="Default"/>
    <w:uiPriority w:val="99"/>
    <w:rPr>
      <w:rFonts w:ascii="Arial" w:hAnsi="Arial" w:cs="Arial"/>
      <w:color w:val="auto"/>
    </w:rPr>
  </w:style>
  <w:style w:type="paragraph" w:customStyle="1" w:styleId="CM16">
    <w:name w:val="CM16"/>
    <w:basedOn w:val="Default"/>
    <w:next w:val="Default"/>
    <w:uiPriority w:val="99"/>
    <w:pPr>
      <w:spacing w:line="186" w:lineRule="atLeast"/>
    </w:pPr>
    <w:rPr>
      <w:color w:val="auto"/>
    </w:rPr>
  </w:style>
  <w:style w:type="paragraph" w:styleId="ListNumber">
    <w:name w:val="List Number"/>
    <w:pPr>
      <w:numPr>
        <w:numId w:val="16"/>
      </w:numPr>
      <w:spacing w:before="120" w:after="120" w:line="360" w:lineRule="exact"/>
    </w:pPr>
    <w:rPr>
      <w:rFonts w:ascii="Times New Roman" w:eastAsia="MS Mincho" w:hAnsi="Times New Roman" w:cs="Times New Roman"/>
      <w:sz w:val="24"/>
      <w:szCs w:val="24"/>
      <w:lang w:val="en-US" w:eastAsia="ja-JP"/>
    </w:rPr>
  </w:style>
  <w:style w:type="paragraph" w:customStyle="1" w:styleId="TitleSideBoldUnderline">
    <w:name w:val="Title Side Bold Underline"/>
    <w:next w:val="Paragraph"/>
    <w:pPr>
      <w:keepNext/>
      <w:keepLines/>
      <w:spacing w:after="240" w:line="240" w:lineRule="auto"/>
    </w:pPr>
    <w:rPr>
      <w:rFonts w:ascii="Times New Roman" w:eastAsia="MS Mincho" w:hAnsi="Times New Roman" w:cs="Times New Roman"/>
      <w:b/>
      <w:bCs/>
      <w:sz w:val="24"/>
      <w:szCs w:val="24"/>
      <w:u w:val="single"/>
      <w:lang w:val="en-US" w:eastAsia="ja-JP"/>
    </w:rPr>
  </w:style>
  <w:style w:type="paragraph" w:customStyle="1" w:styleId="TableTitle">
    <w:name w:val="Table Title"/>
    <w:next w:val="TableLeft"/>
    <w:link w:val="TableTitleChar"/>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character" w:customStyle="1" w:styleId="TableTitleChar">
    <w:name w:val="Table Title Char"/>
    <w:link w:val="TableTitle"/>
    <w:locked/>
    <w:rPr>
      <w:rFonts w:ascii="Times New Roman" w:eastAsia="MS Mincho" w:hAnsi="Times New Roman" w:cs="Times New Roman"/>
      <w:b/>
      <w:bCs/>
      <w:sz w:val="24"/>
      <w:szCs w:val="24"/>
      <w:lang w:val="en-US" w:eastAsia="ja-JP"/>
    </w:rPr>
  </w:style>
  <w:style w:type="paragraph" w:customStyle="1" w:styleId="CM43">
    <w:name w:val="CM43"/>
    <w:basedOn w:val="Default"/>
    <w:next w:val="Default"/>
    <w:uiPriority w:val="99"/>
    <w:rPr>
      <w:color w:val="auto"/>
    </w:rPr>
  </w:style>
  <w:style w:type="paragraph" w:customStyle="1" w:styleId="CM39">
    <w:name w:val="CM39"/>
    <w:basedOn w:val="Default"/>
    <w:next w:val="Default"/>
    <w:uiPriority w:val="99"/>
    <w:rPr>
      <w:rFonts w:ascii="Arial" w:hAnsi="Arial" w:cs="Arial"/>
      <w:color w:val="auto"/>
    </w:rPr>
  </w:style>
  <w:style w:type="paragraph" w:customStyle="1" w:styleId="CM44">
    <w:name w:val="CM44"/>
    <w:basedOn w:val="Default"/>
    <w:next w:val="Default"/>
    <w:uiPriority w:val="99"/>
    <w:rPr>
      <w:rFonts w:ascii="Arial" w:hAnsi="Arial" w:cs="Arial"/>
      <w:color w:val="auto"/>
    </w:rPr>
  </w:style>
  <w:style w:type="paragraph" w:customStyle="1" w:styleId="CM8">
    <w:name w:val="CM8"/>
    <w:basedOn w:val="Default"/>
    <w:next w:val="Default"/>
    <w:uiPriority w:val="99"/>
    <w:pPr>
      <w:spacing w:line="186" w:lineRule="atLeast"/>
    </w:pPr>
    <w:rPr>
      <w:color w:val="auto"/>
    </w:rPr>
  </w:style>
  <w:style w:type="paragraph" w:customStyle="1" w:styleId="ListEnd">
    <w:name w:val="List End"/>
    <w:pPr>
      <w:spacing w:after="0" w:line="240" w:lineRule="auto"/>
    </w:pPr>
    <w:rPr>
      <w:rFonts w:ascii="Times New Roman" w:eastAsia="MS Mincho" w:hAnsi="Times New Roman" w:cs="Times New Roman"/>
      <w:sz w:val="24"/>
      <w:szCs w:val="24"/>
      <w:lang w:val="en-US" w:eastAsia="ja-JP"/>
    </w:rPr>
  </w:style>
  <w:style w:type="character" w:customStyle="1" w:styleId="GTCLinkText29">
    <w:name w:val="GTC Link Text29"/>
    <w:rPr>
      <w:strike w:val="0"/>
      <w:dstrike w:val="0"/>
      <w:u w:val="none"/>
      <w:effect w:val="none"/>
    </w:rPr>
  </w:style>
  <w:style w:type="paragraph" w:customStyle="1" w:styleId="HeaderText">
    <w:name w:val="HeaderText"/>
    <w:pPr>
      <w:keepLines/>
      <w:spacing w:after="0" w:line="240" w:lineRule="auto"/>
    </w:pPr>
    <w:rPr>
      <w:rFonts w:ascii="Times New Roman" w:eastAsia="MS Mincho" w:hAnsi="Times New Roman" w:cs="Times New Roman"/>
      <w:sz w:val="20"/>
      <w:szCs w:val="20"/>
      <w:lang w:val="en-US" w:eastAsia="ja-JP"/>
    </w:rPr>
  </w:style>
  <w:style w:type="paragraph" w:customStyle="1" w:styleId="ParagraphSingle">
    <w:name w:val="Paragraph Single"/>
    <w:next w:val="Paragraph"/>
    <w:pPr>
      <w:spacing w:after="240" w:line="240" w:lineRule="auto"/>
    </w:pPr>
    <w:rPr>
      <w:rFonts w:ascii="Times New Roman" w:eastAsia="MS Mincho" w:hAnsi="Times New Roman" w:cs="Times New Roman"/>
      <w:sz w:val="24"/>
      <w:szCs w:val="24"/>
      <w:lang w:val="en-US" w:eastAsia="ja-JP"/>
    </w:rPr>
  </w:style>
  <w:style w:type="paragraph" w:customStyle="1" w:styleId="Heading4Unnumbered">
    <w:name w:val="Heading 4 Unnumbered"/>
    <w:next w:val="Paragraph"/>
    <w:pPr>
      <w:keepNext/>
      <w:keepLines/>
      <w:tabs>
        <w:tab w:val="left" w:pos="1800"/>
      </w:tabs>
      <w:spacing w:before="120" w:after="240" w:line="240" w:lineRule="auto"/>
      <w:ind w:left="1800" w:hanging="1800"/>
      <w:outlineLvl w:val="3"/>
    </w:pPr>
    <w:rPr>
      <w:rFonts w:ascii="Arial" w:eastAsia="MS Gothic" w:hAnsi="Arial" w:cs="Arial"/>
      <w:b/>
      <w:bCs/>
      <w:sz w:val="24"/>
      <w:szCs w:val="24"/>
      <w:lang w:val="en-US" w:eastAsia="ja-JP"/>
    </w:rPr>
  </w:style>
  <w:style w:type="character" w:customStyle="1" w:styleId="Instructions">
    <w:name w:val="Instructions"/>
    <w:rPr>
      <w:b w:val="0"/>
      <w:i/>
      <w:vanish/>
      <w:color w:val="008000"/>
      <w:u w:val="none"/>
      <w:vertAlign w:val="baseline"/>
      <w:lang w:val="en-US" w:eastAsia="ja-JP"/>
    </w:rPr>
  </w:style>
  <w:style w:type="paragraph" w:customStyle="1" w:styleId="Heading1Unnumbered">
    <w:name w:val="Heading 1 Unnumbered"/>
    <w:next w:val="Paragraph"/>
    <w:pPr>
      <w:keepNext/>
      <w:keepLines/>
      <w:tabs>
        <w:tab w:val="left" w:pos="1800"/>
      </w:tabs>
      <w:spacing w:before="120" w:after="240" w:line="240" w:lineRule="auto"/>
      <w:ind w:left="1800" w:hanging="1800"/>
      <w:outlineLvl w:val="0"/>
    </w:pPr>
    <w:rPr>
      <w:rFonts w:ascii="Arial" w:eastAsia="MS Gothic" w:hAnsi="Arial" w:cs="Arial"/>
      <w:b/>
      <w:bCs/>
      <w:sz w:val="28"/>
      <w:szCs w:val="28"/>
      <w:lang w:val="en-US" w:eastAsia="ja-JP"/>
    </w:rPr>
  </w:style>
  <w:style w:type="paragraph" w:customStyle="1" w:styleId="Heading2Unnumbered">
    <w:name w:val="Heading 2 Unnumbered"/>
    <w:next w:val="Paragraph"/>
    <w:pPr>
      <w:keepNext/>
      <w:keepLines/>
      <w:tabs>
        <w:tab w:val="left" w:pos="1800"/>
      </w:tabs>
      <w:spacing w:before="120" w:after="240" w:line="240" w:lineRule="auto"/>
      <w:ind w:left="1800" w:hanging="1800"/>
      <w:outlineLvl w:val="1"/>
    </w:pPr>
    <w:rPr>
      <w:rFonts w:ascii="Arial" w:eastAsia="MS Gothic" w:hAnsi="Arial" w:cs="Arial"/>
      <w:b/>
      <w:bCs/>
      <w:sz w:val="24"/>
      <w:szCs w:val="24"/>
      <w:lang w:val="en-US" w:eastAsia="ja-JP"/>
    </w:rPr>
  </w:style>
  <w:style w:type="paragraph" w:customStyle="1" w:styleId="Heading3Unnumbered">
    <w:name w:val="Heading 3 Unnumbered"/>
    <w:next w:val="Paragraph"/>
    <w:pPr>
      <w:keepNext/>
      <w:keepLines/>
      <w:tabs>
        <w:tab w:val="left" w:pos="1800"/>
      </w:tabs>
      <w:spacing w:before="120" w:after="240" w:line="240" w:lineRule="auto"/>
      <w:ind w:left="1800" w:hanging="1800"/>
      <w:outlineLvl w:val="2"/>
    </w:pPr>
    <w:rPr>
      <w:rFonts w:ascii="Arial" w:eastAsia="MS Gothic" w:hAnsi="Arial" w:cs="Arial"/>
      <w:b/>
      <w:bCs/>
      <w:sz w:val="24"/>
      <w:szCs w:val="24"/>
      <w:lang w:val="en-US" w:eastAsia="ja-JP"/>
    </w:rPr>
  </w:style>
  <w:style w:type="paragraph" w:customStyle="1" w:styleId="Heading3NoTOC">
    <w:name w:val="Heading 3 No TOC"/>
    <w:next w:val="Paragraph"/>
    <w:pPr>
      <w:keepNext/>
      <w:keepLines/>
      <w:tabs>
        <w:tab w:val="left" w:pos="1800"/>
      </w:tabs>
      <w:spacing w:before="120" w:after="240" w:line="240" w:lineRule="auto"/>
    </w:pPr>
    <w:rPr>
      <w:rFonts w:ascii="Arial" w:eastAsia="MS Gothic" w:hAnsi="Arial" w:cs="Arial"/>
      <w:b/>
      <w:bCs/>
      <w:sz w:val="24"/>
      <w:szCs w:val="24"/>
      <w:lang w:val="en-US" w:eastAsia="ja-JP"/>
    </w:rPr>
  </w:style>
  <w:style w:type="paragraph" w:customStyle="1" w:styleId="HeaderLandscape">
    <w:name w:val="HeaderLandscape"/>
    <w:next w:val="Paragraph"/>
    <w:pPr>
      <w:keepLines/>
      <w:pBdr>
        <w:bottom w:val="single" w:sz="4" w:space="1" w:color="auto"/>
      </w:pBdr>
      <w:tabs>
        <w:tab w:val="center" w:pos="6480"/>
        <w:tab w:val="right" w:pos="12960"/>
      </w:tabs>
      <w:spacing w:after="40" w:line="240" w:lineRule="auto"/>
    </w:pPr>
    <w:rPr>
      <w:rFonts w:ascii="Times New Roman" w:eastAsia="MS Mincho" w:hAnsi="Times New Roman" w:cs="Times New Roman"/>
      <w:sz w:val="20"/>
      <w:szCs w:val="20"/>
      <w:lang w:val="en-US" w:eastAsia="ja-JP"/>
    </w:rPr>
  </w:style>
  <w:style w:type="paragraph" w:customStyle="1" w:styleId="CaptionContinued">
    <w:name w:val="Caption Continued"/>
    <w:next w:val="Paragraph"/>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numbering" w:customStyle="1" w:styleId="1111110">
    <w:name w:val="111111"/>
  </w:style>
  <w:style w:type="numbering" w:customStyle="1" w:styleId="1ai0">
    <w:name w:val="1ai"/>
  </w:style>
  <w:style w:type="numbering" w:customStyle="1" w:styleId="ArticleSection0">
    <w:name w:val="ArticleSection"/>
  </w:style>
  <w:style w:type="numbering" w:styleId="111111">
    <w:name w:val="Outline List 2"/>
    <w:basedOn w:val="NoList"/>
    <w:pPr>
      <w:numPr>
        <w:numId w:val="32"/>
      </w:numPr>
    </w:pPr>
  </w:style>
  <w:style w:type="numbering" w:styleId="1ai">
    <w:name w:val="Outline List 1"/>
    <w:basedOn w:val="NoList"/>
    <w:pPr>
      <w:numPr>
        <w:numId w:val="33"/>
      </w:numPr>
    </w:pPr>
  </w:style>
  <w:style w:type="numbering" w:styleId="ArticleSection">
    <w:name w:val="Outline List 3"/>
    <w:basedOn w:val="NoList"/>
    <w:pPr>
      <w:numPr>
        <w:numId w:val="34"/>
      </w:numPr>
    </w:pPr>
  </w:style>
  <w:style w:type="paragraph" w:styleId="BlockText">
    <w:name w:val="Block Text"/>
    <w:basedOn w:val="Normal"/>
    <w:pPr>
      <w:spacing w:after="120" w:line="240" w:lineRule="auto"/>
      <w:ind w:left="1440" w:right="1440"/>
    </w:pPr>
    <w:rPr>
      <w:rFonts w:ascii="Times New Roman" w:eastAsia="MS Mincho" w:hAnsi="Times New Roman" w:cs="Times New Roman"/>
      <w:sz w:val="24"/>
      <w:szCs w:val="24"/>
      <w:lang w:val="en-US" w:eastAsia="ja-JP"/>
    </w:rPr>
  </w:style>
  <w:style w:type="paragraph" w:styleId="BodyText2">
    <w:name w:val="Body Text 2"/>
    <w:basedOn w:val="Normal"/>
    <w:link w:val="BodyText2Char"/>
    <w:pPr>
      <w:spacing w:after="120" w:line="480" w:lineRule="auto"/>
    </w:pPr>
    <w:rPr>
      <w:rFonts w:ascii="Times New Roman" w:eastAsia="MS Mincho" w:hAnsi="Times New Roman" w:cs="Times New Roman"/>
      <w:sz w:val="24"/>
      <w:szCs w:val="24"/>
      <w:lang w:val="en-US" w:eastAsia="ja-JP"/>
    </w:rPr>
  </w:style>
  <w:style w:type="character" w:customStyle="1" w:styleId="BodyText2Char">
    <w:name w:val="Body Text 2 Char"/>
    <w:basedOn w:val="DefaultParagraphFont"/>
    <w:link w:val="BodyText2"/>
    <w:rPr>
      <w:rFonts w:ascii="Times New Roman" w:eastAsia="MS Mincho" w:hAnsi="Times New Roman" w:cs="Times New Roman"/>
      <w:sz w:val="24"/>
      <w:szCs w:val="24"/>
      <w:lang w:val="en-US" w:eastAsia="ja-JP"/>
    </w:rPr>
  </w:style>
  <w:style w:type="paragraph" w:styleId="BodyText3">
    <w:name w:val="Body Text 3"/>
    <w:basedOn w:val="Normal"/>
    <w:link w:val="BodyText3Char"/>
    <w:pPr>
      <w:spacing w:after="120" w:line="240" w:lineRule="auto"/>
    </w:pPr>
    <w:rPr>
      <w:rFonts w:ascii="Times New Roman" w:eastAsia="MS Mincho" w:hAnsi="Times New Roman" w:cs="Times New Roman"/>
      <w:sz w:val="16"/>
      <w:szCs w:val="16"/>
      <w:lang w:val="en-US" w:eastAsia="ja-JP"/>
    </w:rPr>
  </w:style>
  <w:style w:type="character" w:customStyle="1" w:styleId="BodyText3Char">
    <w:name w:val="Body Text 3 Char"/>
    <w:basedOn w:val="DefaultParagraphFont"/>
    <w:link w:val="BodyText3"/>
    <w:rPr>
      <w:rFonts w:ascii="Times New Roman" w:eastAsia="MS Mincho" w:hAnsi="Times New Roman" w:cs="Times New Roman"/>
      <w:sz w:val="16"/>
      <w:szCs w:val="16"/>
      <w:lang w:val="en-US" w:eastAsia="ja-JP"/>
    </w:rPr>
  </w:style>
  <w:style w:type="paragraph" w:styleId="BodyTextFirstIndent">
    <w:name w:val="Body Text First Indent"/>
    <w:basedOn w:val="BodyText"/>
    <w:link w:val="BodyTextFirstIndentChar"/>
    <w:pPr>
      <w:spacing w:after="120"/>
      <w:ind w:firstLine="210"/>
    </w:pPr>
    <w:rPr>
      <w:rFonts w:eastAsia="MS Mincho"/>
      <w:i w:val="0"/>
      <w:color w:val="auto"/>
      <w:sz w:val="24"/>
      <w:szCs w:val="24"/>
      <w:lang w:val="en-US" w:eastAsia="ja-JP"/>
    </w:rPr>
  </w:style>
  <w:style w:type="character" w:customStyle="1" w:styleId="BodyTextFirstIndentChar">
    <w:name w:val="Body Text First Indent Char"/>
    <w:basedOn w:val="BodyTextChar"/>
    <w:link w:val="BodyTextFirstIndent"/>
    <w:rPr>
      <w:rFonts w:ascii="Times New Roman" w:eastAsia="MS Mincho" w:hAnsi="Times New Roman" w:cs="Times New Roman"/>
      <w:i w:val="0"/>
      <w:color w:val="008000"/>
      <w:sz w:val="24"/>
      <w:szCs w:val="24"/>
      <w:lang w:val="en-US" w:eastAsia="ja-JP"/>
    </w:rPr>
  </w:style>
  <w:style w:type="paragraph" w:styleId="BodyTextIndent">
    <w:name w:val="Body Text Indent"/>
    <w:basedOn w:val="Normal"/>
    <w:link w:val="BodyTextIndentChar"/>
    <w:pPr>
      <w:spacing w:after="120" w:line="240" w:lineRule="auto"/>
      <w:ind w:left="360"/>
    </w:pPr>
    <w:rPr>
      <w:rFonts w:ascii="Times New Roman" w:eastAsia="MS Mincho" w:hAnsi="Times New Roman" w:cs="Times New Roman"/>
      <w:sz w:val="24"/>
      <w:szCs w:val="24"/>
      <w:lang w:val="en-US" w:eastAsia="ja-JP"/>
    </w:rPr>
  </w:style>
  <w:style w:type="character" w:customStyle="1" w:styleId="BodyTextIndentChar">
    <w:name w:val="Body Text Indent Char"/>
    <w:basedOn w:val="DefaultParagraphFont"/>
    <w:link w:val="BodyTextIndent"/>
    <w:rPr>
      <w:rFonts w:ascii="Times New Roman" w:eastAsia="MS Mincho" w:hAnsi="Times New Roman" w:cs="Times New Roman"/>
      <w:sz w:val="24"/>
      <w:szCs w:val="24"/>
      <w:lang w:val="en-US" w:eastAsia="ja-JP"/>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MS Mincho" w:hAnsi="Times New Roman" w:cs="Times New Roman"/>
      <w:sz w:val="24"/>
      <w:szCs w:val="24"/>
      <w:lang w:val="en-US" w:eastAsia="ja-JP"/>
    </w:rPr>
  </w:style>
  <w:style w:type="paragraph" w:styleId="BodyTextIndent2">
    <w:name w:val="Body Text Indent 2"/>
    <w:basedOn w:val="Normal"/>
    <w:link w:val="BodyTextIndent2Char"/>
    <w:pPr>
      <w:spacing w:after="120" w:line="480" w:lineRule="auto"/>
      <w:ind w:left="360"/>
    </w:pPr>
    <w:rPr>
      <w:rFonts w:ascii="Times New Roman" w:eastAsia="MS Mincho" w:hAnsi="Times New Roman" w:cs="Times New Roman"/>
      <w:sz w:val="24"/>
      <w:szCs w:val="24"/>
      <w:lang w:val="en-US" w:eastAsia="ja-JP"/>
    </w:rPr>
  </w:style>
  <w:style w:type="character" w:customStyle="1" w:styleId="BodyTextIndent2Char">
    <w:name w:val="Body Text Indent 2 Char"/>
    <w:basedOn w:val="DefaultParagraphFont"/>
    <w:link w:val="BodyTextIndent2"/>
    <w:rPr>
      <w:rFonts w:ascii="Times New Roman" w:eastAsia="MS Mincho" w:hAnsi="Times New Roman" w:cs="Times New Roman"/>
      <w:sz w:val="24"/>
      <w:szCs w:val="24"/>
      <w:lang w:val="en-US" w:eastAsia="ja-JP"/>
    </w:rPr>
  </w:style>
  <w:style w:type="paragraph" w:styleId="BodyTextIndent3">
    <w:name w:val="Body Text Indent 3"/>
    <w:basedOn w:val="Normal"/>
    <w:link w:val="BodyTextIndent3Char"/>
    <w:pPr>
      <w:spacing w:after="120" w:line="240" w:lineRule="auto"/>
      <w:ind w:left="360"/>
    </w:pPr>
    <w:rPr>
      <w:rFonts w:ascii="Times New Roman" w:eastAsia="MS Mincho" w:hAnsi="Times New Roman" w:cs="Times New Roman"/>
      <w:sz w:val="16"/>
      <w:szCs w:val="16"/>
      <w:lang w:val="en-US" w:eastAsia="ja-JP"/>
    </w:rPr>
  </w:style>
  <w:style w:type="character" w:customStyle="1" w:styleId="BodyTextIndent3Char">
    <w:name w:val="Body Text Indent 3 Char"/>
    <w:basedOn w:val="DefaultParagraphFont"/>
    <w:link w:val="BodyTextIndent3"/>
    <w:rPr>
      <w:rFonts w:ascii="Times New Roman" w:eastAsia="MS Mincho" w:hAnsi="Times New Roman" w:cs="Times New Roman"/>
      <w:sz w:val="16"/>
      <w:szCs w:val="16"/>
      <w:lang w:val="en-US" w:eastAsia="ja-JP"/>
    </w:rPr>
  </w:style>
  <w:style w:type="paragraph" w:styleId="Closing">
    <w:name w:val="Closing"/>
    <w:basedOn w:val="Normal"/>
    <w:link w:val="ClosingChar"/>
    <w:pPr>
      <w:spacing w:after="0" w:line="240" w:lineRule="auto"/>
      <w:ind w:left="4320"/>
    </w:pPr>
    <w:rPr>
      <w:rFonts w:ascii="Times New Roman" w:eastAsia="MS Mincho" w:hAnsi="Times New Roman" w:cs="Times New Roman"/>
      <w:sz w:val="24"/>
      <w:szCs w:val="24"/>
      <w:lang w:val="en-US" w:eastAsia="ja-JP"/>
    </w:rPr>
  </w:style>
  <w:style w:type="character" w:customStyle="1" w:styleId="ClosingChar">
    <w:name w:val="Closing Char"/>
    <w:basedOn w:val="DefaultParagraphFont"/>
    <w:link w:val="Closing"/>
    <w:rPr>
      <w:rFonts w:ascii="Times New Roman" w:eastAsia="MS Mincho" w:hAnsi="Times New Roman" w:cs="Times New Roman"/>
      <w:sz w:val="24"/>
      <w:szCs w:val="24"/>
      <w:lang w:val="en-US" w:eastAsia="ja-JP"/>
    </w:rPr>
  </w:style>
  <w:style w:type="paragraph" w:styleId="Date">
    <w:name w:val="Date"/>
    <w:basedOn w:val="Normal"/>
    <w:next w:val="Normal"/>
    <w:link w:val="DateChar"/>
    <w:pPr>
      <w:spacing w:after="0" w:line="240" w:lineRule="auto"/>
    </w:pPr>
    <w:rPr>
      <w:rFonts w:ascii="Times New Roman" w:eastAsia="MS Mincho" w:hAnsi="Times New Roman" w:cs="Times New Roman"/>
      <w:sz w:val="24"/>
      <w:szCs w:val="24"/>
      <w:lang w:val="en-US" w:eastAsia="ja-JP"/>
    </w:rPr>
  </w:style>
  <w:style w:type="character" w:customStyle="1" w:styleId="DateChar">
    <w:name w:val="Date Char"/>
    <w:basedOn w:val="DefaultParagraphFont"/>
    <w:link w:val="Date"/>
    <w:rPr>
      <w:rFonts w:ascii="Times New Roman" w:eastAsia="MS Mincho" w:hAnsi="Times New Roman" w:cs="Times New Roman"/>
      <w:sz w:val="24"/>
      <w:szCs w:val="24"/>
      <w:lang w:val="en-US" w:eastAsia="ja-JP"/>
    </w:rPr>
  </w:style>
  <w:style w:type="paragraph" w:styleId="E-mailSignature">
    <w:name w:val="E-mail Signature"/>
    <w:basedOn w:val="Normal"/>
    <w:link w:val="E-mailSignatureChar"/>
    <w:pPr>
      <w:spacing w:after="0" w:line="240" w:lineRule="auto"/>
    </w:pPr>
    <w:rPr>
      <w:rFonts w:ascii="Times New Roman" w:eastAsia="MS Mincho" w:hAnsi="Times New Roman" w:cs="Times New Roman"/>
      <w:sz w:val="24"/>
      <w:szCs w:val="24"/>
      <w:lang w:val="en-US" w:eastAsia="ja-JP"/>
    </w:rPr>
  </w:style>
  <w:style w:type="character" w:customStyle="1" w:styleId="E-mailSignatureChar">
    <w:name w:val="E-mail Signature Char"/>
    <w:basedOn w:val="DefaultParagraphFont"/>
    <w:link w:val="E-mailSignature"/>
    <w:rPr>
      <w:rFonts w:ascii="Times New Roman" w:eastAsia="MS Mincho" w:hAnsi="Times New Roman" w:cs="Times New Roman"/>
      <w:sz w:val="24"/>
      <w:szCs w:val="24"/>
      <w:lang w:val="en-US" w:eastAsia="ja-JP"/>
    </w:rPr>
  </w:style>
  <w:style w:type="character" w:styleId="Emphasis">
    <w:name w:val="Emphasis"/>
    <w:uiPriority w:val="20"/>
    <w:qFormat/>
    <w:rPr>
      <w:i/>
      <w:iCs/>
    </w:rPr>
  </w:style>
  <w:style w:type="character" w:styleId="EndnoteReference">
    <w:name w:val="endnote reference"/>
    <w:rPr>
      <w:b w:val="0"/>
      <w:i w:val="0"/>
      <w:color w:val="auto"/>
      <w:sz w:val="18"/>
      <w:szCs w:val="18"/>
      <w:u w:val="none"/>
      <w:vertAlign w:val="superscript"/>
      <w:lang w:val="en-US" w:eastAsia="ja-JP"/>
    </w:rPr>
  </w:style>
  <w:style w:type="paragraph" w:styleId="EndnoteText">
    <w:name w:val="endnote text"/>
    <w:link w:val="EndnoteTextChar"/>
    <w:pPr>
      <w:spacing w:after="0" w:line="240" w:lineRule="auto"/>
    </w:pPr>
    <w:rPr>
      <w:rFonts w:ascii="Times New Roman" w:eastAsia="MS Mincho" w:hAnsi="Times New Roman" w:cs="Times New Roman"/>
      <w:sz w:val="18"/>
      <w:szCs w:val="18"/>
      <w:lang w:val="en-US" w:eastAsia="ja-JP"/>
    </w:rPr>
  </w:style>
  <w:style w:type="character" w:customStyle="1" w:styleId="EndnoteTextChar">
    <w:name w:val="Endnote Text Char"/>
    <w:basedOn w:val="DefaultParagraphFont"/>
    <w:link w:val="EndnoteText"/>
    <w:rPr>
      <w:rFonts w:ascii="Times New Roman" w:eastAsia="MS Mincho" w:hAnsi="Times New Roman" w:cs="Times New Roman"/>
      <w:sz w:val="18"/>
      <w:szCs w:val="18"/>
      <w:lang w:val="en-US" w:eastAsia="ja-JP"/>
    </w:rPr>
  </w:style>
  <w:style w:type="paragraph" w:styleId="EnvelopeAddress">
    <w:name w:val="envelope address"/>
    <w:basedOn w:val="Normal"/>
    <w:pPr>
      <w:framePr w:w="7920" w:h="1980" w:hRule="exact" w:hSpace="180" w:wrap="auto" w:hAnchor="page" w:xAlign="center" w:yAlign="bottom"/>
      <w:spacing w:after="0" w:line="240" w:lineRule="auto"/>
      <w:ind w:left="2880"/>
    </w:pPr>
    <w:rPr>
      <w:rFonts w:ascii="Arial" w:eastAsia="MS Mincho" w:hAnsi="Arial" w:cs="Arial"/>
      <w:sz w:val="24"/>
      <w:szCs w:val="24"/>
      <w:lang w:val="en-US" w:eastAsia="ja-JP"/>
    </w:rPr>
  </w:style>
  <w:style w:type="paragraph" w:styleId="EnvelopeReturn">
    <w:name w:val="envelope return"/>
    <w:basedOn w:val="Normal"/>
    <w:pPr>
      <w:spacing w:after="0" w:line="240" w:lineRule="auto"/>
    </w:pPr>
    <w:rPr>
      <w:rFonts w:ascii="Arial" w:eastAsia="MS Mincho" w:hAnsi="Arial" w:cs="Arial"/>
      <w:sz w:val="20"/>
      <w:szCs w:val="20"/>
      <w:lang w:val="en-US" w:eastAsia="ja-JP"/>
    </w:rPr>
  </w:style>
  <w:style w:type="character" w:styleId="FootnoteReference">
    <w:name w:val="footnote reference"/>
    <w:rPr>
      <w:b w:val="0"/>
      <w:i w:val="0"/>
      <w:color w:val="auto"/>
      <w:sz w:val="20"/>
      <w:szCs w:val="18"/>
      <w:u w:val="none"/>
      <w:vertAlign w:val="baseline"/>
      <w:lang w:val="en-US" w:eastAsia="ja-JP"/>
    </w:rPr>
  </w:style>
  <w:style w:type="paragraph" w:styleId="FootnoteText">
    <w:name w:val="footnote text"/>
    <w:link w:val="FootnoteTextChar"/>
    <w:pPr>
      <w:tabs>
        <w:tab w:val="left" w:pos="360"/>
      </w:tabs>
      <w:spacing w:after="0" w:line="240" w:lineRule="auto"/>
      <w:ind w:left="360" w:hanging="360"/>
    </w:pPr>
    <w:rPr>
      <w:rFonts w:ascii="Times New Roman" w:eastAsia="MS Mincho" w:hAnsi="Times New Roman" w:cs="Times New Roman"/>
      <w:sz w:val="18"/>
      <w:szCs w:val="18"/>
      <w:lang w:val="en-US" w:eastAsia="ja-JP"/>
    </w:rPr>
  </w:style>
  <w:style w:type="character" w:customStyle="1" w:styleId="FootnoteTextChar">
    <w:name w:val="Footnote Text Char"/>
    <w:basedOn w:val="DefaultParagraphFont"/>
    <w:link w:val="FootnoteText"/>
    <w:rPr>
      <w:rFonts w:ascii="Times New Roman" w:eastAsia="MS Mincho" w:hAnsi="Times New Roman" w:cs="Times New Roman"/>
      <w:sz w:val="18"/>
      <w:szCs w:val="18"/>
      <w:lang w:val="en-US" w:eastAsia="ja-JP"/>
    </w:rPr>
  </w:style>
  <w:style w:type="character" w:styleId="HTMLAcronym">
    <w:name w:val="HTML Acronym"/>
  </w:style>
  <w:style w:type="paragraph" w:styleId="HTMLAddress">
    <w:name w:val="HTML Address"/>
    <w:basedOn w:val="Normal"/>
    <w:link w:val="HTMLAddressChar"/>
    <w:pPr>
      <w:spacing w:after="0" w:line="240" w:lineRule="auto"/>
    </w:pPr>
    <w:rPr>
      <w:rFonts w:ascii="Times New Roman" w:eastAsia="MS Mincho" w:hAnsi="Times New Roman" w:cs="Times New Roman"/>
      <w:i/>
      <w:iCs/>
      <w:sz w:val="24"/>
      <w:szCs w:val="24"/>
      <w:lang w:val="en-US" w:eastAsia="ja-JP"/>
    </w:rPr>
  </w:style>
  <w:style w:type="character" w:customStyle="1" w:styleId="HTMLAddressChar">
    <w:name w:val="HTML Address Char"/>
    <w:basedOn w:val="DefaultParagraphFont"/>
    <w:link w:val="HTMLAddress"/>
    <w:rPr>
      <w:rFonts w:ascii="Times New Roman" w:eastAsia="MS Mincho" w:hAnsi="Times New Roman" w:cs="Times New Roman"/>
      <w:i/>
      <w:iCs/>
      <w:sz w:val="24"/>
      <w:szCs w:val="24"/>
      <w:lang w:val="en-US" w:eastAsia="ja-JP"/>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after="0" w:line="240" w:lineRule="auto"/>
    </w:pPr>
    <w:rPr>
      <w:rFonts w:ascii="Courier New" w:eastAsia="MS Mincho" w:hAnsi="Courier New" w:cs="Courier New"/>
      <w:sz w:val="20"/>
      <w:szCs w:val="20"/>
      <w:lang w:val="en-US" w:eastAsia="ja-JP"/>
    </w:rPr>
  </w:style>
  <w:style w:type="character" w:customStyle="1" w:styleId="HTMLPreformattedChar">
    <w:name w:val="HTML Preformatted Char"/>
    <w:basedOn w:val="DefaultParagraphFont"/>
    <w:link w:val="HTMLPreformatted"/>
    <w:rPr>
      <w:rFonts w:ascii="Courier New" w:eastAsia="MS Mincho" w:hAnsi="Courier New" w:cs="Courier New"/>
      <w:sz w:val="20"/>
      <w:szCs w:val="20"/>
      <w:lang w:val="en-US" w:eastAsia="ja-JP"/>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style>
  <w:style w:type="paragraph" w:styleId="List">
    <w:name w:val="List"/>
    <w:basedOn w:val="Normal"/>
    <w:pPr>
      <w:spacing w:after="0" w:line="240" w:lineRule="auto"/>
      <w:ind w:left="360" w:hanging="360"/>
    </w:pPr>
    <w:rPr>
      <w:rFonts w:ascii="Times New Roman" w:eastAsia="MS Mincho" w:hAnsi="Times New Roman" w:cs="Times New Roman"/>
      <w:sz w:val="24"/>
      <w:szCs w:val="24"/>
      <w:lang w:val="en-US" w:eastAsia="ja-JP"/>
    </w:rPr>
  </w:style>
  <w:style w:type="paragraph" w:styleId="List2">
    <w:name w:val="List 2"/>
    <w:basedOn w:val="Normal"/>
    <w:pPr>
      <w:spacing w:after="0" w:line="240" w:lineRule="auto"/>
      <w:ind w:left="720" w:hanging="360"/>
    </w:pPr>
    <w:rPr>
      <w:rFonts w:ascii="Times New Roman" w:eastAsia="MS Mincho" w:hAnsi="Times New Roman" w:cs="Times New Roman"/>
      <w:sz w:val="24"/>
      <w:szCs w:val="24"/>
      <w:lang w:val="en-US" w:eastAsia="ja-JP"/>
    </w:rPr>
  </w:style>
  <w:style w:type="paragraph" w:styleId="List3">
    <w:name w:val="List 3"/>
    <w:basedOn w:val="Normal"/>
    <w:pPr>
      <w:spacing w:after="0" w:line="240" w:lineRule="auto"/>
      <w:ind w:left="1080" w:hanging="360"/>
    </w:pPr>
    <w:rPr>
      <w:rFonts w:ascii="Times New Roman" w:eastAsia="MS Mincho" w:hAnsi="Times New Roman" w:cs="Times New Roman"/>
      <w:sz w:val="24"/>
      <w:szCs w:val="24"/>
      <w:lang w:val="en-US" w:eastAsia="ja-JP"/>
    </w:rPr>
  </w:style>
  <w:style w:type="paragraph" w:styleId="List4">
    <w:name w:val="List 4"/>
    <w:basedOn w:val="Normal"/>
    <w:pPr>
      <w:spacing w:after="0" w:line="240" w:lineRule="auto"/>
      <w:ind w:left="1440" w:hanging="360"/>
    </w:pPr>
    <w:rPr>
      <w:rFonts w:ascii="Times New Roman" w:eastAsia="MS Mincho" w:hAnsi="Times New Roman" w:cs="Times New Roman"/>
      <w:sz w:val="24"/>
      <w:szCs w:val="24"/>
      <w:lang w:val="en-US" w:eastAsia="ja-JP"/>
    </w:rPr>
  </w:style>
  <w:style w:type="paragraph" w:styleId="List5">
    <w:name w:val="List 5"/>
    <w:basedOn w:val="Normal"/>
    <w:pPr>
      <w:spacing w:after="0" w:line="240" w:lineRule="auto"/>
      <w:ind w:left="1800" w:hanging="360"/>
    </w:pPr>
    <w:rPr>
      <w:rFonts w:ascii="Times New Roman" w:eastAsia="MS Mincho" w:hAnsi="Times New Roman" w:cs="Times New Roman"/>
      <w:sz w:val="24"/>
      <w:szCs w:val="24"/>
      <w:lang w:val="en-US" w:eastAsia="ja-JP"/>
    </w:rPr>
  </w:style>
  <w:style w:type="paragraph" w:styleId="ListContinue">
    <w:name w:val="List Continue"/>
    <w:basedOn w:val="Normal"/>
    <w:pPr>
      <w:spacing w:after="120" w:line="240" w:lineRule="auto"/>
      <w:ind w:left="360"/>
    </w:pPr>
    <w:rPr>
      <w:rFonts w:ascii="Times New Roman" w:eastAsia="MS Mincho" w:hAnsi="Times New Roman" w:cs="Times New Roman"/>
      <w:sz w:val="24"/>
      <w:szCs w:val="24"/>
      <w:lang w:val="en-US" w:eastAsia="ja-JP"/>
    </w:rPr>
  </w:style>
  <w:style w:type="paragraph" w:styleId="ListContinue2">
    <w:name w:val="List Continue 2"/>
    <w:basedOn w:val="Normal"/>
    <w:pPr>
      <w:spacing w:after="120" w:line="240" w:lineRule="auto"/>
      <w:ind w:left="720"/>
    </w:pPr>
    <w:rPr>
      <w:rFonts w:ascii="Times New Roman" w:eastAsia="MS Mincho" w:hAnsi="Times New Roman" w:cs="Times New Roman"/>
      <w:sz w:val="24"/>
      <w:szCs w:val="24"/>
      <w:lang w:val="en-US" w:eastAsia="ja-JP"/>
    </w:rPr>
  </w:style>
  <w:style w:type="paragraph" w:styleId="ListContinue3">
    <w:name w:val="List Continue 3"/>
    <w:basedOn w:val="Normal"/>
    <w:pPr>
      <w:spacing w:after="120" w:line="240" w:lineRule="auto"/>
      <w:ind w:left="1080"/>
    </w:pPr>
    <w:rPr>
      <w:rFonts w:ascii="Times New Roman" w:eastAsia="MS Mincho" w:hAnsi="Times New Roman" w:cs="Times New Roman"/>
      <w:sz w:val="24"/>
      <w:szCs w:val="24"/>
      <w:lang w:val="en-US" w:eastAsia="ja-JP"/>
    </w:rPr>
  </w:style>
  <w:style w:type="paragraph" w:styleId="ListContinue4">
    <w:name w:val="List Continue 4"/>
    <w:basedOn w:val="Normal"/>
    <w:pPr>
      <w:spacing w:after="120" w:line="240" w:lineRule="auto"/>
      <w:ind w:left="1440"/>
    </w:pPr>
    <w:rPr>
      <w:rFonts w:ascii="Times New Roman" w:eastAsia="MS Mincho" w:hAnsi="Times New Roman" w:cs="Times New Roman"/>
      <w:sz w:val="24"/>
      <w:szCs w:val="24"/>
      <w:lang w:val="en-US" w:eastAsia="ja-JP"/>
    </w:rPr>
  </w:style>
  <w:style w:type="paragraph" w:styleId="ListContinue5">
    <w:name w:val="List Continue 5"/>
    <w:basedOn w:val="Normal"/>
    <w:pPr>
      <w:spacing w:after="120" w:line="240" w:lineRule="auto"/>
      <w:ind w:left="1800"/>
    </w:pPr>
    <w:rPr>
      <w:rFonts w:ascii="Times New Roman" w:eastAsia="MS Mincho" w:hAnsi="Times New Roman" w:cs="Times New Roman"/>
      <w:sz w:val="24"/>
      <w:szCs w:val="24"/>
      <w:lang w:val="en-US" w:eastAsia="ja-JP"/>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MS Mincho" w:hAnsi="Arial" w:cs="Arial"/>
      <w:sz w:val="24"/>
      <w:szCs w:val="24"/>
      <w:lang w:val="en-US" w:eastAsia="ja-JP"/>
    </w:rPr>
  </w:style>
  <w:style w:type="character" w:customStyle="1" w:styleId="MessageHeaderChar">
    <w:name w:val="Message Header Char"/>
    <w:basedOn w:val="DefaultParagraphFont"/>
    <w:link w:val="MessageHeader"/>
    <w:rPr>
      <w:rFonts w:ascii="Arial" w:eastAsia="MS Mincho" w:hAnsi="Arial" w:cs="Arial"/>
      <w:sz w:val="24"/>
      <w:szCs w:val="24"/>
      <w:shd w:val="pct20" w:color="auto" w:fill="auto"/>
      <w:lang w:val="en-US" w:eastAsia="ja-JP"/>
    </w:rPr>
  </w:style>
  <w:style w:type="paragraph" w:styleId="NormalIndent">
    <w:name w:val="Normal Indent"/>
    <w:basedOn w:val="Normal"/>
    <w:pPr>
      <w:spacing w:after="0" w:line="240" w:lineRule="auto"/>
      <w:ind w:left="720"/>
    </w:pPr>
    <w:rPr>
      <w:rFonts w:ascii="Times New Roman" w:eastAsia="MS Mincho" w:hAnsi="Times New Roman" w:cs="Times New Roman"/>
      <w:sz w:val="24"/>
      <w:szCs w:val="24"/>
      <w:lang w:val="en-US" w:eastAsia="ja-JP"/>
    </w:rPr>
  </w:style>
  <w:style w:type="paragraph" w:styleId="NoteHeading">
    <w:name w:val="Note Heading"/>
    <w:basedOn w:val="Normal"/>
    <w:next w:val="Normal"/>
    <w:link w:val="NoteHeadingChar"/>
    <w:pPr>
      <w:spacing w:after="0" w:line="240" w:lineRule="auto"/>
    </w:pPr>
    <w:rPr>
      <w:rFonts w:ascii="Times New Roman" w:eastAsia="MS Mincho" w:hAnsi="Times New Roman" w:cs="Times New Roman"/>
      <w:sz w:val="24"/>
      <w:szCs w:val="24"/>
      <w:lang w:val="en-US" w:eastAsia="ja-JP"/>
    </w:rPr>
  </w:style>
  <w:style w:type="character" w:customStyle="1" w:styleId="NoteHeadingChar">
    <w:name w:val="Note Heading Char"/>
    <w:basedOn w:val="DefaultParagraphFont"/>
    <w:link w:val="NoteHeading"/>
    <w:rPr>
      <w:rFonts w:ascii="Times New Roman" w:eastAsia="MS Mincho" w:hAnsi="Times New Roman" w:cs="Times New Roman"/>
      <w:sz w:val="24"/>
      <w:szCs w:val="24"/>
      <w:lang w:val="en-US" w:eastAsia="ja-JP"/>
    </w:rPr>
  </w:style>
  <w:style w:type="paragraph" w:styleId="PlainText">
    <w:name w:val="Plain Text"/>
    <w:basedOn w:val="Normal"/>
    <w:link w:val="PlainTextChar"/>
    <w:pPr>
      <w:spacing w:after="0" w:line="240" w:lineRule="auto"/>
    </w:pPr>
    <w:rPr>
      <w:rFonts w:ascii="Courier New" w:eastAsia="MS Mincho" w:hAnsi="Courier New" w:cs="Courier New"/>
      <w:sz w:val="20"/>
      <w:szCs w:val="20"/>
      <w:lang w:val="en-US" w:eastAsia="ja-JP"/>
    </w:rPr>
  </w:style>
  <w:style w:type="character" w:customStyle="1" w:styleId="PlainTextChar">
    <w:name w:val="Plain Text Char"/>
    <w:basedOn w:val="DefaultParagraphFont"/>
    <w:link w:val="PlainText"/>
    <w:rPr>
      <w:rFonts w:ascii="Courier New" w:eastAsia="MS Mincho" w:hAnsi="Courier New" w:cs="Courier New"/>
      <w:sz w:val="20"/>
      <w:szCs w:val="20"/>
      <w:lang w:val="en-US" w:eastAsia="ja-JP"/>
    </w:rPr>
  </w:style>
  <w:style w:type="paragraph" w:styleId="Salutation">
    <w:name w:val="Salutation"/>
    <w:basedOn w:val="Normal"/>
    <w:next w:val="Normal"/>
    <w:link w:val="SalutationChar"/>
    <w:pPr>
      <w:spacing w:after="0" w:line="240" w:lineRule="auto"/>
    </w:pPr>
    <w:rPr>
      <w:rFonts w:ascii="Times New Roman" w:eastAsia="MS Mincho" w:hAnsi="Times New Roman" w:cs="Times New Roman"/>
      <w:sz w:val="24"/>
      <w:szCs w:val="24"/>
      <w:lang w:val="en-US" w:eastAsia="ja-JP"/>
    </w:rPr>
  </w:style>
  <w:style w:type="character" w:customStyle="1" w:styleId="SalutationChar">
    <w:name w:val="Salutation Char"/>
    <w:basedOn w:val="DefaultParagraphFont"/>
    <w:link w:val="Salutation"/>
    <w:rPr>
      <w:rFonts w:ascii="Times New Roman" w:eastAsia="MS Mincho" w:hAnsi="Times New Roman" w:cs="Times New Roman"/>
      <w:sz w:val="24"/>
      <w:szCs w:val="24"/>
      <w:lang w:val="en-US" w:eastAsia="ja-JP"/>
    </w:rPr>
  </w:style>
  <w:style w:type="paragraph" w:styleId="Signature">
    <w:name w:val="Signature"/>
    <w:basedOn w:val="Normal"/>
    <w:link w:val="SignatureChar"/>
    <w:pPr>
      <w:spacing w:after="0" w:line="240" w:lineRule="auto"/>
      <w:ind w:left="4320"/>
    </w:pPr>
    <w:rPr>
      <w:rFonts w:ascii="Times New Roman" w:eastAsia="MS Mincho" w:hAnsi="Times New Roman" w:cs="Times New Roman"/>
      <w:sz w:val="24"/>
      <w:szCs w:val="24"/>
      <w:lang w:val="en-US" w:eastAsia="ja-JP"/>
    </w:rPr>
  </w:style>
  <w:style w:type="character" w:customStyle="1" w:styleId="SignatureChar">
    <w:name w:val="Signature Char"/>
    <w:basedOn w:val="DefaultParagraphFont"/>
    <w:link w:val="Signature"/>
    <w:rPr>
      <w:rFonts w:ascii="Times New Roman" w:eastAsia="MS Mincho" w:hAnsi="Times New Roman" w:cs="Times New Roman"/>
      <w:sz w:val="24"/>
      <w:szCs w:val="24"/>
      <w:lang w:val="en-US" w:eastAsia="ja-JP"/>
    </w:rPr>
  </w:style>
  <w:style w:type="character" w:styleId="Strong">
    <w:name w:val="Strong"/>
    <w:qFormat/>
    <w:rPr>
      <w:b/>
      <w:bCs/>
    </w:rPr>
  </w:style>
  <w:style w:type="table" w:styleId="Table3Deffects1">
    <w:name w:val="Table 3D effects 1"/>
    <w:basedOn w:val="TableNormal"/>
    <w:pPr>
      <w:spacing w:after="0" w:line="240" w:lineRule="auto"/>
    </w:pPr>
    <w:rPr>
      <w:rFonts w:ascii="Times New Roman" w:eastAsia="MS Mincho"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0" w:line="240" w:lineRule="auto"/>
    </w:pPr>
    <w:rPr>
      <w:rFonts w:ascii="Times New Roman" w:eastAsia="MS Mincho"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0" w:line="240" w:lineRule="auto"/>
    </w:pPr>
    <w:rPr>
      <w:rFonts w:ascii="Times New Roman" w:eastAsia="MS Mincho"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0" w:line="240" w:lineRule="auto"/>
    </w:pPr>
    <w:rPr>
      <w:rFonts w:ascii="Times New Roman" w:eastAsia="MS Mincho"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0" w:line="240" w:lineRule="auto"/>
    </w:pPr>
    <w:rPr>
      <w:rFonts w:ascii="Times New Roman" w:eastAsia="MS Mincho"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0" w:line="240" w:lineRule="auto"/>
    </w:pPr>
    <w:rPr>
      <w:rFonts w:ascii="Times New Roman" w:eastAsia="MS Mincho"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0" w:line="240" w:lineRule="auto"/>
    </w:pPr>
    <w:rPr>
      <w:rFonts w:ascii="Times New Roman" w:eastAsia="MS Mincho"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0" w:line="240" w:lineRule="auto"/>
    </w:pPr>
    <w:rPr>
      <w:rFonts w:ascii="Times New Roman" w:eastAsia="MS Mincho"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0" w:line="240" w:lineRule="auto"/>
    </w:pPr>
    <w:rPr>
      <w:rFonts w:ascii="Times New Roman" w:eastAsia="MS Mincho"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0" w:line="240" w:lineRule="auto"/>
    </w:pPr>
    <w:rPr>
      <w:rFonts w:ascii="Times New Roman" w:eastAsia="MS Mincho"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0" w:line="240" w:lineRule="auto"/>
    </w:pPr>
    <w:rPr>
      <w:rFonts w:ascii="Times New Roman" w:eastAsia="MS Mincho"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0" w:line="240" w:lineRule="auto"/>
    </w:pPr>
    <w:rPr>
      <w:rFonts w:ascii="Times New Roman" w:eastAsia="MS Mincho"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0" w:line="240" w:lineRule="auto"/>
    </w:pPr>
    <w:rPr>
      <w:rFonts w:ascii="Times New Roman" w:eastAsia="MS Mincho"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0" w:line="240" w:lineRule="auto"/>
    </w:pPr>
    <w:rPr>
      <w:rFonts w:ascii="Times New Roman" w:eastAsia="MS Mincho"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0" w:line="240" w:lineRule="auto"/>
    </w:pPr>
    <w:rPr>
      <w:rFonts w:ascii="Times New Roman" w:eastAsia="MS Mincho"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0" w:line="240" w:lineRule="auto"/>
    </w:pPr>
    <w:rPr>
      <w:rFonts w:ascii="Times New Roman" w:eastAsia="MS Mincho"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0" w:line="240" w:lineRule="auto"/>
    </w:pPr>
    <w:rPr>
      <w:rFonts w:ascii="Times New Roman" w:eastAsia="MS Mincho"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0" w:line="240" w:lineRule="auto"/>
    </w:pPr>
    <w:rPr>
      <w:rFonts w:ascii="Times New Roman" w:eastAsia="MS Mincho"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0" w:line="240" w:lineRule="auto"/>
    </w:pPr>
    <w:rPr>
      <w:rFonts w:ascii="Times New Roman" w:eastAsia="MS Mincho"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0" w:line="240" w:lineRule="auto"/>
    </w:pPr>
    <w:rPr>
      <w:rFonts w:ascii="Times New Roman" w:eastAsia="MS Mincho"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0" w:line="240" w:lineRule="auto"/>
    </w:pPr>
    <w:rPr>
      <w:rFonts w:ascii="Times New Roman" w:eastAsia="MS Mincho"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0" w:line="240" w:lineRule="auto"/>
    </w:pPr>
    <w:rPr>
      <w:rFonts w:ascii="Times New Roman" w:eastAsia="MS Mincho"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0" w:line="240" w:lineRule="auto"/>
    </w:pPr>
    <w:rPr>
      <w:rFonts w:ascii="Times New Roman" w:eastAsia="MS Mincho"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0" w:line="240" w:lineRule="auto"/>
    </w:pPr>
    <w:rPr>
      <w:rFonts w:ascii="Times New Roman" w:eastAsia="MS Mincho"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0" w:line="240" w:lineRule="auto"/>
    </w:pPr>
    <w:rPr>
      <w:rFonts w:ascii="Times New Roman" w:eastAsia="MS Mincho"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table" w:styleId="TableProfessional">
    <w:name w:val="Table Professional"/>
    <w:basedOn w:val="TableNormal"/>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0" w:line="240" w:lineRule="auto"/>
    </w:pPr>
    <w:rPr>
      <w:rFonts w:ascii="Times New Roman" w:eastAsia="MS Mincho"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0" w:line="240" w:lineRule="auto"/>
    </w:pPr>
    <w:rPr>
      <w:rFonts w:ascii="Times New Roman" w:eastAsia="MS Mincho"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0" w:line="240" w:lineRule="auto"/>
    </w:pPr>
    <w:rPr>
      <w:rFonts w:ascii="Times New Roman" w:eastAsia="MS Mincho"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0" w:line="240" w:lineRule="auto"/>
    </w:pPr>
    <w:rPr>
      <w:rFonts w:ascii="Times New Roman" w:eastAsia="MS Mincho"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0" w:line="240" w:lineRule="auto"/>
    </w:pPr>
    <w:rPr>
      <w:rFonts w:ascii="Times New Roman" w:eastAsia="MS Mincho"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0" w:line="240" w:lineRule="auto"/>
    </w:pPr>
    <w:rPr>
      <w:rFonts w:ascii="Times New Roman" w:eastAsia="MS Mincho"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0" w:line="240" w:lineRule="auto"/>
    </w:pPr>
    <w:rPr>
      <w:rFonts w:ascii="Times New Roman" w:eastAsia="MS Mincho"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0" w:line="240" w:lineRule="auto"/>
    </w:pPr>
    <w:rPr>
      <w:rFonts w:ascii="Times New Roman" w:eastAsia="MS Mincho"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next w:val="Paragraph"/>
    <w:uiPriority w:val="39"/>
    <w:pPr>
      <w:keepLines/>
      <w:tabs>
        <w:tab w:val="left" w:pos="1584"/>
        <w:tab w:val="right" w:leader="dot" w:pos="8698"/>
      </w:tabs>
      <w:spacing w:before="60" w:after="60" w:line="280" w:lineRule="exact"/>
      <w:ind w:left="1584" w:right="720" w:hanging="1584"/>
    </w:pPr>
    <w:rPr>
      <w:rFonts w:ascii="Times New Roman" w:eastAsia="MS Mincho" w:hAnsi="Times New Roman" w:cs="Times New Roman"/>
      <w:b/>
      <w:sz w:val="28"/>
      <w:szCs w:val="24"/>
      <w:lang w:val="en-US" w:eastAsia="ja-JP"/>
    </w:rPr>
  </w:style>
  <w:style w:type="paragraph" w:styleId="TOC2">
    <w:name w:val="toc 2"/>
    <w:next w:val="Paragraph"/>
    <w:uiPriority w:val="39"/>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paragraph" w:styleId="TOC3">
    <w:name w:val="toc 3"/>
    <w:next w:val="Paragraph"/>
    <w:uiPriority w:val="39"/>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paragraph" w:styleId="TOC4">
    <w:name w:val="toc 4"/>
    <w:next w:val="Paragraph"/>
    <w:uiPriority w:val="39"/>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paragraph" w:styleId="TOC5">
    <w:name w:val="toc 5"/>
    <w:next w:val="Paragraph"/>
    <w:uiPriority w:val="39"/>
    <w:pPr>
      <w:keepLines/>
      <w:tabs>
        <w:tab w:val="left" w:pos="1584"/>
        <w:tab w:val="right" w:leader="dot" w:pos="8698"/>
      </w:tabs>
      <w:spacing w:before="60" w:after="60" w:line="280" w:lineRule="exact"/>
      <w:ind w:left="1584" w:right="720" w:hanging="1584"/>
    </w:pPr>
    <w:rPr>
      <w:rFonts w:ascii="Times New Roman" w:eastAsia="MS Mincho" w:hAnsi="Times New Roman" w:cs="Times New Roman"/>
      <w:sz w:val="24"/>
      <w:szCs w:val="24"/>
      <w:lang w:val="en-US" w:eastAsia="ja-JP"/>
    </w:rPr>
  </w:style>
  <w:style w:type="paragraph" w:styleId="TOC6">
    <w:name w:val="toc 6"/>
    <w:next w:val="Paragraph"/>
    <w:pPr>
      <w:keepLines/>
      <w:tabs>
        <w:tab w:val="right" w:leader="dot" w:pos="9000"/>
      </w:tabs>
      <w:spacing w:before="60" w:after="60" w:line="280" w:lineRule="exact"/>
      <w:ind w:left="1440" w:right="360"/>
    </w:pPr>
    <w:rPr>
      <w:rFonts w:ascii="Times New Roman" w:eastAsia="MS Mincho" w:hAnsi="Times New Roman" w:cs="Times New Roman"/>
      <w:sz w:val="24"/>
      <w:szCs w:val="24"/>
      <w:lang w:val="en-US" w:eastAsia="ja-JP"/>
    </w:rPr>
  </w:style>
  <w:style w:type="paragraph" w:styleId="TOC7">
    <w:name w:val="toc 7"/>
    <w:next w:val="Paragraph"/>
    <w:pPr>
      <w:keepLines/>
      <w:tabs>
        <w:tab w:val="right" w:leader="dot" w:pos="9000"/>
      </w:tabs>
      <w:spacing w:before="60" w:after="60" w:line="280" w:lineRule="exact"/>
      <w:ind w:left="1680" w:right="360"/>
    </w:pPr>
    <w:rPr>
      <w:rFonts w:ascii="Times New Roman" w:eastAsia="MS Mincho" w:hAnsi="Times New Roman" w:cs="Times New Roman"/>
      <w:sz w:val="24"/>
      <w:szCs w:val="24"/>
      <w:lang w:val="en-US" w:eastAsia="ja-JP"/>
    </w:rPr>
  </w:style>
  <w:style w:type="paragraph" w:styleId="TOC8">
    <w:name w:val="toc 8"/>
    <w:next w:val="Paragraph"/>
    <w:pPr>
      <w:keepLines/>
      <w:tabs>
        <w:tab w:val="right" w:leader="dot" w:pos="9000"/>
      </w:tabs>
      <w:spacing w:before="60" w:after="60" w:line="280" w:lineRule="exact"/>
      <w:ind w:left="1920" w:right="360"/>
    </w:pPr>
    <w:rPr>
      <w:rFonts w:ascii="Times New Roman" w:eastAsia="MS Mincho" w:hAnsi="Times New Roman" w:cs="Times New Roman"/>
      <w:sz w:val="24"/>
      <w:szCs w:val="24"/>
      <w:lang w:val="en-US" w:eastAsia="ja-JP"/>
    </w:rPr>
  </w:style>
  <w:style w:type="paragraph" w:styleId="TOC9">
    <w:name w:val="toc 9"/>
    <w:next w:val="Paragraph"/>
    <w:pPr>
      <w:keepLines/>
      <w:tabs>
        <w:tab w:val="right" w:leader="dot" w:pos="9000"/>
      </w:tabs>
      <w:spacing w:before="60" w:after="60" w:line="280" w:lineRule="exact"/>
      <w:ind w:left="2160" w:right="360"/>
    </w:pPr>
    <w:rPr>
      <w:rFonts w:ascii="Times New Roman" w:eastAsia="MS Mincho" w:hAnsi="Times New Roman" w:cs="Times New Roman"/>
      <w:sz w:val="24"/>
      <w:szCs w:val="24"/>
      <w:lang w:val="en-US" w:eastAsia="ja-JP"/>
    </w:rPr>
  </w:style>
  <w:style w:type="paragraph" w:customStyle="1" w:styleId="FooterLandscape">
    <w:name w:val="FooterLandscape"/>
    <w:next w:val="Paragraph"/>
    <w:pPr>
      <w:keepLines/>
      <w:pBdr>
        <w:top w:val="single" w:sz="4" w:space="1" w:color="auto"/>
      </w:pBdr>
      <w:spacing w:before="120" w:after="140" w:line="240" w:lineRule="auto"/>
      <w:jc w:val="right"/>
    </w:pPr>
    <w:rPr>
      <w:rFonts w:ascii="Times New Roman" w:eastAsia="MS Mincho" w:hAnsi="Times New Roman" w:cs="Times New Roman"/>
      <w:sz w:val="20"/>
      <w:szCs w:val="20"/>
      <w:lang w:val="en-US" w:eastAsia="ja-JP"/>
    </w:rPr>
  </w:style>
  <w:style w:type="paragraph" w:styleId="ListBullet2">
    <w:name w:val="List Bullet 2"/>
    <w:pPr>
      <w:numPr>
        <w:numId w:val="17"/>
      </w:numPr>
      <w:spacing w:before="60" w:after="60" w:line="320" w:lineRule="exact"/>
    </w:pPr>
    <w:rPr>
      <w:rFonts w:ascii="Times New Roman" w:eastAsia="MS Mincho" w:hAnsi="Times New Roman" w:cs="Times New Roman"/>
      <w:sz w:val="24"/>
      <w:szCs w:val="24"/>
      <w:lang w:val="en-US" w:eastAsia="ja-JP"/>
    </w:rPr>
  </w:style>
  <w:style w:type="paragraph" w:styleId="ListBullet3">
    <w:name w:val="List Bullet 3"/>
    <w:pPr>
      <w:numPr>
        <w:numId w:val="18"/>
      </w:numPr>
      <w:spacing w:before="60" w:after="60" w:line="320" w:lineRule="exact"/>
    </w:pPr>
    <w:rPr>
      <w:rFonts w:ascii="Times New Roman" w:eastAsia="MS Mincho" w:hAnsi="Times New Roman" w:cs="Times New Roman"/>
      <w:sz w:val="24"/>
      <w:szCs w:val="24"/>
      <w:lang w:val="en-US" w:eastAsia="ja-JP"/>
    </w:rPr>
  </w:style>
  <w:style w:type="paragraph" w:styleId="ListBullet4">
    <w:name w:val="List Bullet 4"/>
    <w:basedOn w:val="Normal"/>
    <w:pPr>
      <w:numPr>
        <w:numId w:val="28"/>
      </w:numPr>
      <w:spacing w:after="0" w:line="240" w:lineRule="auto"/>
      <w:contextualSpacing/>
    </w:pPr>
    <w:rPr>
      <w:rFonts w:ascii="Times New Roman" w:eastAsia="MS Mincho" w:hAnsi="Times New Roman" w:cs="Times New Roman"/>
      <w:sz w:val="24"/>
      <w:szCs w:val="24"/>
      <w:lang w:val="en-US" w:eastAsia="ja-JP"/>
    </w:rPr>
  </w:style>
  <w:style w:type="paragraph" w:styleId="ListBullet5">
    <w:name w:val="List Bullet 5"/>
    <w:basedOn w:val="Normal"/>
    <w:pPr>
      <w:numPr>
        <w:numId w:val="29"/>
      </w:numPr>
      <w:spacing w:after="0" w:line="240" w:lineRule="auto"/>
      <w:contextualSpacing/>
    </w:pPr>
    <w:rPr>
      <w:rFonts w:ascii="Times New Roman" w:eastAsia="MS Mincho" w:hAnsi="Times New Roman" w:cs="Times New Roman"/>
      <w:sz w:val="24"/>
      <w:szCs w:val="24"/>
      <w:lang w:val="en-US" w:eastAsia="ja-JP"/>
    </w:rPr>
  </w:style>
  <w:style w:type="paragraph" w:styleId="ListNumber4">
    <w:name w:val="List Number 4"/>
    <w:basedOn w:val="Normal"/>
    <w:pPr>
      <w:numPr>
        <w:numId w:val="30"/>
      </w:numPr>
      <w:spacing w:after="0" w:line="240" w:lineRule="auto"/>
      <w:contextualSpacing/>
    </w:pPr>
    <w:rPr>
      <w:rFonts w:ascii="Times New Roman" w:eastAsia="MS Mincho" w:hAnsi="Times New Roman" w:cs="Times New Roman"/>
      <w:sz w:val="24"/>
      <w:szCs w:val="24"/>
      <w:lang w:val="en-US" w:eastAsia="ja-JP"/>
    </w:rPr>
  </w:style>
  <w:style w:type="paragraph" w:styleId="ListNumber5">
    <w:name w:val="List Number 5"/>
    <w:basedOn w:val="Normal"/>
    <w:pPr>
      <w:numPr>
        <w:numId w:val="31"/>
      </w:numPr>
      <w:spacing w:after="0" w:line="240" w:lineRule="auto"/>
      <w:contextualSpacing/>
    </w:pPr>
    <w:rPr>
      <w:rFonts w:ascii="Times New Roman" w:eastAsia="MS Mincho" w:hAnsi="Times New Roman" w:cs="Times New Roman"/>
      <w:sz w:val="24"/>
      <w:szCs w:val="24"/>
      <w:lang w:val="en-US" w:eastAsia="ja-JP"/>
    </w:rPr>
  </w:style>
  <w:style w:type="paragraph" w:styleId="ListNumber2">
    <w:name w:val="List Number 2"/>
    <w:pPr>
      <w:numPr>
        <w:numId w:val="19"/>
      </w:numPr>
      <w:spacing w:before="120" w:after="120" w:line="360" w:lineRule="exact"/>
    </w:pPr>
    <w:rPr>
      <w:rFonts w:ascii="Times New Roman" w:eastAsia="MS Mincho" w:hAnsi="Times New Roman" w:cs="Times New Roman"/>
      <w:sz w:val="24"/>
      <w:szCs w:val="24"/>
      <w:lang w:val="en-US" w:eastAsia="ja-JP"/>
    </w:rPr>
  </w:style>
  <w:style w:type="paragraph" w:styleId="ListNumber3">
    <w:name w:val="List Number 3"/>
    <w:pPr>
      <w:numPr>
        <w:numId w:val="20"/>
      </w:numPr>
      <w:spacing w:before="120" w:after="120" w:line="360" w:lineRule="exact"/>
    </w:pPr>
    <w:rPr>
      <w:rFonts w:ascii="Times New Roman" w:eastAsia="MS Mincho" w:hAnsi="Times New Roman" w:cs="Times New Roman"/>
      <w:sz w:val="24"/>
      <w:szCs w:val="24"/>
      <w:lang w:val="en-US" w:eastAsia="ja-JP"/>
    </w:rPr>
  </w:style>
  <w:style w:type="paragraph" w:customStyle="1" w:styleId="ListLetter">
    <w:name w:val="List Letter"/>
    <w:pPr>
      <w:numPr>
        <w:numId w:val="21"/>
      </w:numPr>
      <w:spacing w:before="60" w:after="60" w:line="360" w:lineRule="exact"/>
    </w:pPr>
    <w:rPr>
      <w:rFonts w:ascii="Times New Roman" w:eastAsia="MS Mincho" w:hAnsi="Times New Roman" w:cs="Times New Roman"/>
      <w:sz w:val="24"/>
      <w:szCs w:val="24"/>
      <w:lang w:val="en-US" w:eastAsia="ja-JP"/>
    </w:rPr>
  </w:style>
  <w:style w:type="paragraph" w:customStyle="1" w:styleId="ListLetter2">
    <w:name w:val="List Letter 2"/>
    <w:pPr>
      <w:numPr>
        <w:numId w:val="22"/>
      </w:numPr>
      <w:spacing w:before="60" w:after="60" w:line="360" w:lineRule="exact"/>
    </w:pPr>
    <w:rPr>
      <w:rFonts w:ascii="Times New Roman" w:eastAsia="MS Mincho" w:hAnsi="Times New Roman" w:cs="Times New Roman"/>
      <w:sz w:val="24"/>
      <w:szCs w:val="24"/>
      <w:lang w:val="en-US" w:eastAsia="ja-JP"/>
    </w:rPr>
  </w:style>
  <w:style w:type="paragraph" w:customStyle="1" w:styleId="ListLetter3">
    <w:name w:val="List Letter 3"/>
    <w:pPr>
      <w:numPr>
        <w:numId w:val="23"/>
      </w:numPr>
      <w:spacing w:before="60" w:after="60" w:line="360" w:lineRule="exact"/>
    </w:pPr>
    <w:rPr>
      <w:rFonts w:ascii="Times New Roman" w:eastAsia="MS Mincho" w:hAnsi="Times New Roman" w:cs="Times New Roman"/>
      <w:sz w:val="24"/>
      <w:szCs w:val="24"/>
      <w:lang w:val="en-US" w:eastAsia="ja-JP"/>
    </w:rPr>
  </w:style>
  <w:style w:type="character" w:customStyle="1" w:styleId="UserTips">
    <w:name w:val="User Tips"/>
    <w:rPr>
      <w:b w:val="0"/>
      <w:i/>
      <w:vanish/>
      <w:color w:val="FF6600"/>
      <w:u w:val="none"/>
      <w:vertAlign w:val="baseline"/>
      <w:lang w:val="en-US" w:eastAsia="ja-JP"/>
    </w:rPr>
  </w:style>
  <w:style w:type="paragraph" w:customStyle="1" w:styleId="Appendix">
    <w:name w:val="Appendix"/>
    <w:next w:val="Paragraph"/>
    <w:pPr>
      <w:keepNext/>
      <w:keepLines/>
      <w:pageBreakBefore/>
      <w:numPr>
        <w:numId w:val="24"/>
      </w:numPr>
      <w:spacing w:after="240" w:line="280" w:lineRule="exact"/>
    </w:pPr>
    <w:rPr>
      <w:rFonts w:ascii="Times New Roman" w:eastAsia="MS Mincho" w:hAnsi="Times New Roman" w:cs="Times New Roman"/>
      <w:b/>
      <w:bCs/>
      <w:sz w:val="24"/>
      <w:szCs w:val="24"/>
      <w:lang w:val="en-US" w:eastAsia="ja-JP"/>
    </w:rPr>
  </w:style>
  <w:style w:type="paragraph" w:customStyle="1" w:styleId="References">
    <w:name w:val="References"/>
    <w:pPr>
      <w:numPr>
        <w:numId w:val="25"/>
      </w:numPr>
      <w:spacing w:before="60" w:after="60" w:line="360" w:lineRule="exact"/>
    </w:pPr>
    <w:rPr>
      <w:rFonts w:ascii="Times New Roman" w:eastAsia="MS Mincho" w:hAnsi="Times New Roman" w:cs="Times New Roman"/>
      <w:sz w:val="24"/>
      <w:szCs w:val="24"/>
      <w:lang w:val="en-US" w:eastAsia="ja-JP"/>
    </w:rPr>
  </w:style>
  <w:style w:type="paragraph" w:customStyle="1" w:styleId="TableFootnote">
    <w:name w:val="Table Footnote"/>
    <w:pPr>
      <w:keepLines/>
      <w:numPr>
        <w:numId w:val="26"/>
      </w:numPr>
      <w:spacing w:before="40" w:after="0" w:line="240" w:lineRule="exact"/>
    </w:pPr>
    <w:rPr>
      <w:rFonts w:ascii="Times New Roman" w:eastAsia="MS Mincho" w:hAnsi="Times New Roman" w:cs="Times New Roman"/>
      <w:sz w:val="18"/>
      <w:szCs w:val="18"/>
      <w:lang w:val="en-US" w:eastAsia="ja-JP"/>
    </w:rPr>
  </w:style>
  <w:style w:type="paragraph" w:customStyle="1" w:styleId="TableFootnoteLetter">
    <w:name w:val="Table Footnote Letter"/>
    <w:pPr>
      <w:keepLines/>
      <w:numPr>
        <w:numId w:val="27"/>
      </w:numPr>
      <w:spacing w:before="40" w:after="0" w:line="240" w:lineRule="exact"/>
    </w:pPr>
    <w:rPr>
      <w:rFonts w:ascii="Times New Roman" w:eastAsia="MS Mincho" w:hAnsi="Times New Roman" w:cs="Times New Roman"/>
      <w:sz w:val="18"/>
      <w:szCs w:val="18"/>
      <w:lang w:val="en-US" w:eastAsia="ja-JP"/>
    </w:rPr>
  </w:style>
  <w:style w:type="paragraph" w:customStyle="1" w:styleId="Address">
    <w:name w:val="Address"/>
    <w:next w:val="Paragraph"/>
    <w:pPr>
      <w:keepLines/>
      <w:spacing w:before="120" w:after="120" w:line="240" w:lineRule="auto"/>
      <w:ind w:left="864"/>
    </w:pPr>
    <w:rPr>
      <w:rFonts w:ascii="Times New Roman" w:eastAsia="MS Mincho" w:hAnsi="Times New Roman" w:cs="Times New Roman"/>
      <w:sz w:val="24"/>
      <w:szCs w:val="24"/>
      <w:lang w:val="en-US" w:eastAsia="ja-JP"/>
    </w:rPr>
  </w:style>
  <w:style w:type="paragraph" w:styleId="Caption">
    <w:name w:val="caption"/>
    <w:basedOn w:val="Normal"/>
    <w:next w:val="Normal"/>
    <w:qFormat/>
    <w:pPr>
      <w:spacing w:before="120" w:after="120" w:line="240" w:lineRule="auto"/>
    </w:pPr>
    <w:rPr>
      <w:rFonts w:ascii="Times New Roman" w:eastAsia="MS Mincho" w:hAnsi="Times New Roman" w:cs="Times New Roman"/>
      <w:b/>
      <w:bCs/>
      <w:sz w:val="20"/>
      <w:szCs w:val="20"/>
      <w:lang w:val="en-US" w:eastAsia="ja-JP"/>
    </w:rPr>
  </w:style>
  <w:style w:type="paragraph" w:customStyle="1" w:styleId="TOCSection">
    <w:name w:val="TOC Section"/>
    <w:next w:val="TableofFigures"/>
    <w:pPr>
      <w:keepNext/>
      <w:keepLines/>
      <w:spacing w:after="240" w:line="360" w:lineRule="exact"/>
    </w:pPr>
    <w:rPr>
      <w:rFonts w:ascii="Times New Roman" w:eastAsia="MS Mincho" w:hAnsi="Times New Roman" w:cs="Times New Roman"/>
      <w:b/>
      <w:bCs/>
      <w:sz w:val="30"/>
      <w:szCs w:val="30"/>
      <w:lang w:val="en-US" w:eastAsia="ja-JP"/>
    </w:rPr>
  </w:style>
  <w:style w:type="paragraph" w:customStyle="1" w:styleId="TOCTitle">
    <w:name w:val="TOC Title"/>
    <w:next w:val="TOC1"/>
    <w:pPr>
      <w:keepNext/>
      <w:keepLines/>
      <w:spacing w:after="240" w:line="360" w:lineRule="exact"/>
    </w:pPr>
    <w:rPr>
      <w:rFonts w:ascii="Times New Roman" w:eastAsia="MS Mincho" w:hAnsi="Times New Roman" w:cs="Times New Roman"/>
      <w:b/>
      <w:bCs/>
      <w:sz w:val="30"/>
      <w:szCs w:val="30"/>
      <w:lang w:val="en-US" w:eastAsia="ja-JP"/>
    </w:rPr>
  </w:style>
  <w:style w:type="paragraph" w:customStyle="1" w:styleId="Figure">
    <w:name w:val="Figure"/>
    <w:next w:val="Paragraph"/>
    <w:pPr>
      <w:spacing w:after="240" w:line="240" w:lineRule="auto"/>
      <w:jc w:val="center"/>
    </w:pPr>
    <w:rPr>
      <w:rFonts w:ascii="Times New Roman" w:eastAsia="MS Mincho" w:hAnsi="Times New Roman" w:cs="Times New Roman"/>
      <w:sz w:val="24"/>
      <w:szCs w:val="24"/>
      <w:lang w:val="en-US" w:eastAsia="ja-JP"/>
    </w:rPr>
  </w:style>
  <w:style w:type="paragraph" w:customStyle="1" w:styleId="EquationTitle">
    <w:name w:val="Equation Title"/>
    <w:next w:val="Equation"/>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FigureTitle">
    <w:name w:val="Figure Title"/>
    <w:next w:val="Figur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FigureEndofTextTitle">
    <w:name w:val="Figure End of Text Title"/>
    <w:next w:val="Figure"/>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TableEndofTextTitle">
    <w:name w:val="Table End of Text Title"/>
    <w:next w:val="Paragraph"/>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TableTitleContinued">
    <w:name w:val="Table Title Continued"/>
    <w:next w:val="TableLeft"/>
    <w:pPr>
      <w:keepNext/>
      <w:keepLines/>
      <w:tabs>
        <w:tab w:val="left" w:pos="1728"/>
      </w:tabs>
      <w:spacing w:after="240" w:line="280" w:lineRule="exact"/>
      <w:ind w:left="1728" w:hanging="1728"/>
    </w:pPr>
    <w:rPr>
      <w:rFonts w:ascii="Times New Roman" w:eastAsia="MS Mincho" w:hAnsi="Times New Roman" w:cs="Times New Roman"/>
      <w:b/>
      <w:bCs/>
      <w:sz w:val="24"/>
      <w:szCs w:val="24"/>
      <w:lang w:val="en-US" w:eastAsia="ja-JP"/>
    </w:rPr>
  </w:style>
  <w:style w:type="paragraph" w:customStyle="1" w:styleId="TableTitleCenter">
    <w:name w:val="Table Title Center"/>
    <w:next w:val="Paragraph"/>
    <w:pPr>
      <w:keepNext/>
      <w:keepLines/>
      <w:spacing w:after="240" w:line="240" w:lineRule="auto"/>
      <w:jc w:val="center"/>
    </w:pPr>
    <w:rPr>
      <w:rFonts w:ascii="Times New Roman" w:eastAsia="MS Mincho" w:hAnsi="Times New Roman" w:cs="Times New Roman"/>
      <w:b/>
      <w:bCs/>
      <w:sz w:val="24"/>
      <w:szCs w:val="24"/>
      <w:lang w:val="en-US" w:eastAsia="ja-JP"/>
    </w:rPr>
  </w:style>
  <w:style w:type="character" w:customStyle="1" w:styleId="Citation">
    <w:name w:val="Citation"/>
    <w:rPr>
      <w:color w:val="auto"/>
      <w:vertAlign w:val="superscript"/>
      <w:lang w:val="en-US" w:eastAsia="ja-JP"/>
    </w:rPr>
  </w:style>
  <w:style w:type="paragraph" w:customStyle="1" w:styleId="Heading1NoTOC">
    <w:name w:val="Heading 1 No TOC"/>
    <w:next w:val="Paragraph"/>
    <w:pPr>
      <w:keepNext/>
      <w:keepLines/>
      <w:tabs>
        <w:tab w:val="left" w:pos="1800"/>
      </w:tabs>
      <w:spacing w:before="120" w:after="240" w:line="240" w:lineRule="auto"/>
    </w:pPr>
    <w:rPr>
      <w:rFonts w:ascii="Arial" w:eastAsia="MS Gothic" w:hAnsi="Arial" w:cs="Arial"/>
      <w:b/>
      <w:bCs/>
      <w:sz w:val="28"/>
      <w:szCs w:val="28"/>
      <w:lang w:val="en-US" w:eastAsia="ja-JP"/>
    </w:rPr>
  </w:style>
  <w:style w:type="paragraph" w:customStyle="1" w:styleId="Heading2NoTOC">
    <w:name w:val="Heading 2 No TOC"/>
    <w:next w:val="Paragraph"/>
    <w:pPr>
      <w:keepNext/>
      <w:keepLines/>
      <w:tabs>
        <w:tab w:val="left" w:pos="1800"/>
      </w:tabs>
      <w:spacing w:before="120" w:after="240" w:line="240" w:lineRule="auto"/>
    </w:pPr>
    <w:rPr>
      <w:rFonts w:ascii="Arial" w:eastAsia="MS Gothic" w:hAnsi="Arial" w:cs="Arial"/>
      <w:b/>
      <w:bCs/>
      <w:sz w:val="24"/>
      <w:szCs w:val="24"/>
      <w:lang w:val="en-US" w:eastAsia="ja-JP"/>
    </w:rPr>
  </w:style>
  <w:style w:type="paragraph" w:styleId="DocumentMap">
    <w:name w:val="Document Map"/>
    <w:basedOn w:val="Normal"/>
    <w:link w:val="DocumentMapChar"/>
    <w:pPr>
      <w:shd w:val="clear" w:color="auto" w:fill="000080"/>
      <w:spacing w:after="0" w:line="240" w:lineRule="auto"/>
    </w:pPr>
    <w:rPr>
      <w:rFonts w:ascii="Tahoma" w:eastAsia="MS Mincho" w:hAnsi="Tahoma" w:cs="Tahoma"/>
      <w:sz w:val="20"/>
      <w:szCs w:val="20"/>
      <w:lang w:val="en-US" w:eastAsia="ja-JP"/>
    </w:rPr>
  </w:style>
  <w:style w:type="character" w:customStyle="1" w:styleId="DocumentMapChar">
    <w:name w:val="Document Map Char"/>
    <w:basedOn w:val="DefaultParagraphFont"/>
    <w:link w:val="DocumentMap"/>
    <w:rPr>
      <w:rFonts w:ascii="Tahoma" w:eastAsia="MS Mincho" w:hAnsi="Tahoma" w:cs="Tahoma"/>
      <w:sz w:val="20"/>
      <w:szCs w:val="20"/>
      <w:shd w:val="clear" w:color="auto" w:fill="000080"/>
      <w:lang w:val="en-US" w:eastAsia="ja-JP"/>
    </w:rPr>
  </w:style>
  <w:style w:type="paragraph" w:styleId="Index1">
    <w:name w:val="index 1"/>
    <w:basedOn w:val="Normal"/>
    <w:next w:val="Normal"/>
    <w:pPr>
      <w:spacing w:after="0" w:line="240" w:lineRule="auto"/>
      <w:ind w:left="240" w:hanging="240"/>
    </w:pPr>
    <w:rPr>
      <w:rFonts w:ascii="Times New Roman" w:eastAsia="MS Mincho" w:hAnsi="Times New Roman" w:cs="Times New Roman"/>
      <w:sz w:val="24"/>
      <w:szCs w:val="24"/>
      <w:lang w:val="en-US" w:eastAsia="ja-JP"/>
    </w:rPr>
  </w:style>
  <w:style w:type="paragraph" w:styleId="Index2">
    <w:name w:val="index 2"/>
    <w:basedOn w:val="Normal"/>
    <w:next w:val="Normal"/>
    <w:pPr>
      <w:spacing w:after="0" w:line="240" w:lineRule="auto"/>
      <w:ind w:left="480" w:hanging="240"/>
    </w:pPr>
    <w:rPr>
      <w:rFonts w:ascii="Times New Roman" w:eastAsia="MS Mincho" w:hAnsi="Times New Roman" w:cs="Times New Roman"/>
      <w:sz w:val="24"/>
      <w:szCs w:val="24"/>
      <w:lang w:val="en-US" w:eastAsia="ja-JP"/>
    </w:rPr>
  </w:style>
  <w:style w:type="paragraph" w:styleId="Index3">
    <w:name w:val="index 3"/>
    <w:basedOn w:val="Normal"/>
    <w:next w:val="Normal"/>
    <w:pPr>
      <w:spacing w:after="0" w:line="240" w:lineRule="auto"/>
      <w:ind w:left="720" w:hanging="240"/>
    </w:pPr>
    <w:rPr>
      <w:rFonts w:ascii="Times New Roman" w:eastAsia="MS Mincho" w:hAnsi="Times New Roman" w:cs="Times New Roman"/>
      <w:sz w:val="24"/>
      <w:szCs w:val="24"/>
      <w:lang w:val="en-US" w:eastAsia="ja-JP"/>
    </w:rPr>
  </w:style>
  <w:style w:type="paragraph" w:styleId="Index4">
    <w:name w:val="index 4"/>
    <w:basedOn w:val="Normal"/>
    <w:next w:val="Normal"/>
    <w:pPr>
      <w:spacing w:after="0" w:line="240" w:lineRule="auto"/>
      <w:ind w:left="960" w:hanging="240"/>
    </w:pPr>
    <w:rPr>
      <w:rFonts w:ascii="Times New Roman" w:eastAsia="MS Mincho" w:hAnsi="Times New Roman" w:cs="Times New Roman"/>
      <w:sz w:val="24"/>
      <w:szCs w:val="24"/>
      <w:lang w:val="en-US" w:eastAsia="ja-JP"/>
    </w:rPr>
  </w:style>
  <w:style w:type="paragraph" w:styleId="Index5">
    <w:name w:val="index 5"/>
    <w:basedOn w:val="Normal"/>
    <w:next w:val="Normal"/>
    <w:pPr>
      <w:spacing w:after="0" w:line="240" w:lineRule="auto"/>
      <w:ind w:left="1200" w:hanging="240"/>
    </w:pPr>
    <w:rPr>
      <w:rFonts w:ascii="Times New Roman" w:eastAsia="MS Mincho" w:hAnsi="Times New Roman" w:cs="Times New Roman"/>
      <w:sz w:val="24"/>
      <w:szCs w:val="24"/>
      <w:lang w:val="en-US" w:eastAsia="ja-JP"/>
    </w:rPr>
  </w:style>
  <w:style w:type="paragraph" w:styleId="Index6">
    <w:name w:val="index 6"/>
    <w:basedOn w:val="Normal"/>
    <w:next w:val="Normal"/>
    <w:pPr>
      <w:spacing w:after="0" w:line="240" w:lineRule="auto"/>
      <w:ind w:left="1440" w:hanging="240"/>
    </w:pPr>
    <w:rPr>
      <w:rFonts w:ascii="Times New Roman" w:eastAsia="MS Mincho" w:hAnsi="Times New Roman" w:cs="Times New Roman"/>
      <w:sz w:val="24"/>
      <w:szCs w:val="24"/>
      <w:lang w:val="en-US" w:eastAsia="ja-JP"/>
    </w:rPr>
  </w:style>
  <w:style w:type="paragraph" w:styleId="Index7">
    <w:name w:val="index 7"/>
    <w:basedOn w:val="Normal"/>
    <w:next w:val="Normal"/>
    <w:pPr>
      <w:spacing w:after="0" w:line="240" w:lineRule="auto"/>
      <w:ind w:left="1680" w:hanging="240"/>
    </w:pPr>
    <w:rPr>
      <w:rFonts w:ascii="Times New Roman" w:eastAsia="MS Mincho" w:hAnsi="Times New Roman" w:cs="Times New Roman"/>
      <w:sz w:val="24"/>
      <w:szCs w:val="24"/>
      <w:lang w:val="en-US" w:eastAsia="ja-JP"/>
    </w:rPr>
  </w:style>
  <w:style w:type="paragraph" w:styleId="Index8">
    <w:name w:val="index 8"/>
    <w:basedOn w:val="Normal"/>
    <w:next w:val="Normal"/>
    <w:pPr>
      <w:spacing w:after="0" w:line="240" w:lineRule="auto"/>
      <w:ind w:left="1920" w:hanging="240"/>
    </w:pPr>
    <w:rPr>
      <w:rFonts w:ascii="Times New Roman" w:eastAsia="MS Mincho" w:hAnsi="Times New Roman" w:cs="Times New Roman"/>
      <w:sz w:val="24"/>
      <w:szCs w:val="24"/>
      <w:lang w:val="en-US" w:eastAsia="ja-JP"/>
    </w:rPr>
  </w:style>
  <w:style w:type="paragraph" w:styleId="Index9">
    <w:name w:val="index 9"/>
    <w:basedOn w:val="Normal"/>
    <w:next w:val="Normal"/>
    <w:pPr>
      <w:spacing w:after="0" w:line="240" w:lineRule="auto"/>
      <w:ind w:left="2160" w:hanging="240"/>
    </w:pPr>
    <w:rPr>
      <w:rFonts w:ascii="Times New Roman" w:eastAsia="MS Mincho" w:hAnsi="Times New Roman" w:cs="Times New Roman"/>
      <w:sz w:val="24"/>
      <w:szCs w:val="24"/>
      <w:lang w:val="en-US" w:eastAsia="ja-JP"/>
    </w:rPr>
  </w:style>
  <w:style w:type="paragraph" w:styleId="IndexHeading">
    <w:name w:val="index heading"/>
    <w:basedOn w:val="Normal"/>
    <w:next w:val="Index1"/>
    <w:pPr>
      <w:spacing w:after="0" w:line="240" w:lineRule="auto"/>
    </w:pPr>
    <w:rPr>
      <w:rFonts w:ascii="Arial" w:eastAsia="MS Mincho" w:hAnsi="Arial" w:cs="Arial"/>
      <w:b/>
      <w:bCs/>
      <w:sz w:val="24"/>
      <w:szCs w:val="24"/>
      <w:lang w:val="en-US" w:eastAsia="ja-JP"/>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US" w:eastAsia="ja-JP"/>
    </w:rPr>
  </w:style>
  <w:style w:type="character" w:customStyle="1" w:styleId="MacroTextChar">
    <w:name w:val="Macro Text Char"/>
    <w:basedOn w:val="DefaultParagraphFont"/>
    <w:link w:val="MacroText"/>
    <w:rPr>
      <w:rFonts w:ascii="Courier New" w:eastAsia="MS Mincho" w:hAnsi="Courier New" w:cs="Courier New"/>
      <w:sz w:val="20"/>
      <w:szCs w:val="20"/>
      <w:lang w:val="en-US" w:eastAsia="ja-JP"/>
    </w:rPr>
  </w:style>
  <w:style w:type="paragraph" w:styleId="TableofAuthorities">
    <w:name w:val="table of authorities"/>
    <w:basedOn w:val="Normal"/>
    <w:next w:val="Normal"/>
    <w:pPr>
      <w:spacing w:after="0" w:line="240" w:lineRule="auto"/>
      <w:ind w:left="240" w:hanging="240"/>
    </w:pPr>
    <w:rPr>
      <w:rFonts w:ascii="Times New Roman" w:eastAsia="MS Mincho" w:hAnsi="Times New Roman" w:cs="Times New Roman"/>
      <w:sz w:val="24"/>
      <w:szCs w:val="24"/>
      <w:lang w:val="en-US" w:eastAsia="ja-JP"/>
    </w:rPr>
  </w:style>
  <w:style w:type="paragraph" w:styleId="TOAHeading">
    <w:name w:val="toa heading"/>
    <w:basedOn w:val="Normal"/>
    <w:next w:val="Normal"/>
    <w:pPr>
      <w:spacing w:before="120" w:after="0" w:line="240" w:lineRule="auto"/>
    </w:pPr>
    <w:rPr>
      <w:rFonts w:ascii="Arial" w:eastAsia="MS Mincho" w:hAnsi="Arial" w:cs="Arial"/>
      <w:b/>
      <w:bCs/>
      <w:sz w:val="24"/>
      <w:szCs w:val="24"/>
      <w:lang w:val="en-US" w:eastAsia="ja-JP"/>
    </w:rPr>
  </w:style>
  <w:style w:type="paragraph" w:customStyle="1" w:styleId="Heading5Unnumbered">
    <w:name w:val="Heading 5 Unnumbered"/>
    <w:next w:val="Paragraph"/>
    <w:pPr>
      <w:keepNext/>
      <w:keepLines/>
      <w:tabs>
        <w:tab w:val="left" w:pos="1800"/>
      </w:tabs>
      <w:spacing w:before="120" w:after="240" w:line="240" w:lineRule="auto"/>
      <w:ind w:left="1800" w:hanging="1800"/>
      <w:outlineLvl w:val="4"/>
    </w:pPr>
    <w:rPr>
      <w:rFonts w:ascii="Arial" w:eastAsia="MS Gothic" w:hAnsi="Arial" w:cs="Arial"/>
      <w:b/>
      <w:sz w:val="24"/>
      <w:szCs w:val="30"/>
      <w:lang w:val="en-US" w:eastAsia="ja-JP"/>
    </w:rPr>
  </w:style>
  <w:style w:type="paragraph" w:customStyle="1" w:styleId="Equation">
    <w:name w:val="Equation"/>
    <w:next w:val="Paragraph"/>
    <w:pPr>
      <w:keepLines/>
      <w:spacing w:after="120" w:line="240" w:lineRule="auto"/>
      <w:jc w:val="center"/>
    </w:pPr>
    <w:rPr>
      <w:rFonts w:ascii="Times New Roman" w:eastAsia="Times New Roman" w:hAnsi="Times New Roman" w:cs="Arial"/>
      <w:sz w:val="24"/>
      <w:szCs w:val="24"/>
      <w:lang w:val="en-US"/>
    </w:rPr>
  </w:style>
  <w:style w:type="paragraph" w:customStyle="1" w:styleId="EMEABodyText">
    <w:name w:val="EMEA Body Text"/>
    <w:basedOn w:val="Normal"/>
    <w:link w:val="EMEABodyTextChar"/>
    <w:pPr>
      <w:spacing w:after="0" w:line="240" w:lineRule="auto"/>
    </w:pPr>
    <w:rPr>
      <w:rFonts w:ascii="Times New Roman" w:eastAsia="Times New Roman" w:hAnsi="Times New Roman" w:cs="Times New Roman"/>
      <w:szCs w:val="20"/>
      <w:lang w:val="x-none"/>
    </w:rPr>
  </w:style>
  <w:style w:type="character" w:customStyle="1" w:styleId="EMEABodyTextChar">
    <w:name w:val="EMEA Body Text Char"/>
    <w:link w:val="EMEABodyText"/>
    <w:rPr>
      <w:rFonts w:ascii="Times New Roman" w:eastAsia="Times New Roman" w:hAnsi="Times New Roman" w:cs="Times New Roman"/>
      <w:szCs w:val="20"/>
      <w:lang w:val="x-none"/>
    </w:rPr>
  </w:style>
  <w:style w:type="paragraph" w:customStyle="1" w:styleId="Liststycke">
    <w:name w:val="Liststycke"/>
    <w:basedOn w:val="Normal"/>
    <w:uiPriority w:val="34"/>
    <w:qFormat/>
    <w:pPr>
      <w:tabs>
        <w:tab w:val="left" w:pos="567"/>
      </w:tabs>
      <w:spacing w:after="0" w:line="240" w:lineRule="auto"/>
      <w:ind w:left="720"/>
      <w:contextualSpacing/>
    </w:pPr>
    <w:rPr>
      <w:rFonts w:ascii="Times New Roman" w:eastAsia="Times New Roman" w:hAnsi="Times New Roman" w:cs="Times New Roman"/>
      <w:szCs w:val="20"/>
      <w:lang w:val="en-GB"/>
    </w:rPr>
  </w:style>
  <w:style w:type="table" w:customStyle="1" w:styleId="Ljusskuggning-dekorfrg1">
    <w:name w:val="Ljus skuggning - dekorfärg 1"/>
    <w:basedOn w:val="TableNormal"/>
    <w:uiPriority w:val="60"/>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jusskuggning">
    <w:name w:val="Ljus skuggning"/>
    <w:basedOn w:val="TableNormal"/>
    <w:uiPriority w:val="60"/>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3">
    <w:name w:val="Ljus skuggning - dekorfärg 3"/>
    <w:basedOn w:val="TableNormal"/>
    <w:uiPriority w:val="60"/>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llanmrkskuggning2-dekorfrg2">
    <w:name w:val="Mellanmörk skuggning 2 - dekorfärg 2"/>
    <w:basedOn w:val="TableNormal"/>
    <w:uiPriority w:val="6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Frgatrutnt-dekorfrg3">
    <w:name w:val="Färgat rutnät - dekorfärg 3"/>
    <w:basedOn w:val="TableNormal"/>
    <w:uiPriority w:val="73"/>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llanmrklista2-dekorfrg3">
    <w:name w:val="Mellanmörk lista 2 - dekorfärg 3"/>
    <w:basedOn w:val="TableNormal"/>
    <w:uiPriority w:val="66"/>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llanmrkskuggning2-dekorfrg5">
    <w:name w:val="Mellanmörk skuggning 2 - dekorfärg 5"/>
    <w:basedOn w:val="TableNormal"/>
    <w:uiPriority w:val="6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3-dekorfrg5">
    <w:name w:val="Mellanmörkt rutnät 3 - dekorfärg 5"/>
    <w:basedOn w:val="TableNormal"/>
    <w:uiPriority w:val="6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ListBullet7">
    <w:name w:val="List Bullet 7"/>
    <w:pPr>
      <w:tabs>
        <w:tab w:val="num" w:pos="3240"/>
      </w:tabs>
      <w:spacing w:before="60" w:after="60" w:line="320" w:lineRule="exact"/>
      <w:ind w:left="3240" w:hanging="360"/>
    </w:pPr>
    <w:rPr>
      <w:rFonts w:ascii="Times New Roman" w:eastAsia="MS Mincho" w:hAnsi="Times New Roman" w:cs="Times New Roman"/>
      <w:sz w:val="24"/>
      <w:szCs w:val="24"/>
      <w:lang w:val="en-US" w:eastAsia="ja-JP"/>
    </w:rPr>
  </w:style>
  <w:style w:type="character" w:customStyle="1" w:styleId="cit">
    <w:name w:val="cit"/>
  </w:style>
  <w:style w:type="paragraph" w:customStyle="1" w:styleId="CM2">
    <w:name w:val="CM2"/>
    <w:basedOn w:val="Default"/>
    <w:next w:val="Default"/>
    <w:uiPriority w:val="99"/>
    <w:pPr>
      <w:spacing w:line="268" w:lineRule="atLeast"/>
    </w:pPr>
    <w:rPr>
      <w:color w:val="auto"/>
    </w:rPr>
  </w:style>
  <w:style w:type="character" w:customStyle="1" w:styleId="slug-pub-date3">
    <w:name w:val="slug-pub-date3"/>
    <w:rPr>
      <w:b/>
      <w:bCs/>
    </w:rPr>
  </w:style>
  <w:style w:type="character" w:customStyle="1" w:styleId="slug-vol">
    <w:name w:val="slug-vol"/>
  </w:style>
  <w:style w:type="character" w:customStyle="1" w:styleId="slug-issue">
    <w:name w:val="slug-issue"/>
  </w:style>
  <w:style w:type="character" w:customStyle="1" w:styleId="slug-pages3">
    <w:name w:val="slug-pages3"/>
    <w:rPr>
      <w:b/>
      <w:bCs/>
    </w:rPr>
  </w:style>
  <w:style w:type="character" w:customStyle="1" w:styleId="maintitle">
    <w:name w:val="maintitle"/>
  </w:style>
  <w:style w:type="character" w:customStyle="1" w:styleId="name2">
    <w:name w:val="name2"/>
  </w:style>
  <w:style w:type="character" w:customStyle="1" w:styleId="xref-sep2">
    <w:name w:val="xref-sep2"/>
  </w:style>
  <w:style w:type="paragraph" w:styleId="Bibliography">
    <w:name w:val="Bibliography"/>
    <w:basedOn w:val="Normal"/>
    <w:next w:val="Normal"/>
    <w:uiPriority w:val="37"/>
    <w:semiHidden/>
    <w:unhideWhenUsed/>
    <w:pPr>
      <w:tabs>
        <w:tab w:val="left" w:pos="567"/>
      </w:tabs>
      <w:spacing w:after="0" w:line="240" w:lineRule="auto"/>
    </w:pPr>
    <w:rPr>
      <w:rFonts w:ascii="Times New Roman" w:eastAsia="Times New Roman" w:hAnsi="Times New Roman" w:cs="Times New Roman"/>
      <w:szCs w:val="20"/>
      <w:lang w:val="en-GB"/>
    </w:rPr>
  </w:style>
  <w:style w:type="paragraph" w:styleId="IntenseQuote">
    <w:name w:val="Intense Quote"/>
    <w:basedOn w:val="Normal"/>
    <w:next w:val="Normal"/>
    <w:link w:val="IntenseQuoteChar"/>
    <w:uiPriority w:val="30"/>
    <w:qFormat/>
    <w:pPr>
      <w:pBdr>
        <w:bottom w:val="single" w:sz="4" w:space="4" w:color="4F81BD"/>
      </w:pBdr>
      <w:tabs>
        <w:tab w:val="left" w:pos="567"/>
      </w:tabs>
      <w:spacing w:before="200" w:after="280" w:line="240" w:lineRule="auto"/>
      <w:ind w:left="936" w:right="936"/>
    </w:pPr>
    <w:rPr>
      <w:rFonts w:ascii="Times New Roman" w:eastAsia="Times New Roman" w:hAnsi="Times New Roman" w:cs="Times New Roman"/>
      <w:b/>
      <w:bCs/>
      <w:i/>
      <w:iCs/>
      <w:color w:val="4F81BD"/>
      <w:szCs w:val="20"/>
      <w:lang w:val="en-GB"/>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b/>
      <w:bCs/>
      <w:i/>
      <w:iCs/>
      <w:color w:val="4F81BD"/>
      <w:szCs w:val="20"/>
      <w:lang w:val="en-GB"/>
    </w:rPr>
  </w:style>
  <w:style w:type="paragraph" w:styleId="NoSpacing">
    <w:name w:val="No Spacing"/>
    <w:uiPriority w:val="1"/>
    <w:qFormat/>
    <w:pPr>
      <w:tabs>
        <w:tab w:val="left" w:pos="567"/>
      </w:tabs>
      <w:spacing w:after="0" w:line="240" w:lineRule="auto"/>
    </w:pPr>
    <w:rPr>
      <w:rFonts w:ascii="Times New Roman" w:eastAsia="Times New Roman" w:hAnsi="Times New Roman" w:cs="Times New Roman"/>
      <w:szCs w:val="20"/>
      <w:lang w:val="en-GB"/>
    </w:rPr>
  </w:style>
  <w:style w:type="paragraph" w:styleId="Quote">
    <w:name w:val="Quote"/>
    <w:basedOn w:val="Normal"/>
    <w:next w:val="Normal"/>
    <w:link w:val="QuoteChar"/>
    <w:uiPriority w:val="29"/>
    <w:qFormat/>
    <w:pPr>
      <w:tabs>
        <w:tab w:val="left" w:pos="567"/>
      </w:tabs>
      <w:spacing w:after="0" w:line="240" w:lineRule="auto"/>
    </w:pPr>
    <w:rPr>
      <w:rFonts w:ascii="Times New Roman" w:eastAsia="Times New Roman" w:hAnsi="Times New Roman" w:cs="Times New Roman"/>
      <w:i/>
      <w:iCs/>
      <w:color w:val="000000"/>
      <w:szCs w:val="20"/>
      <w:lang w:val="en-GB"/>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Cs w:val="20"/>
      <w:lang w:val="en-GB"/>
    </w:rPr>
  </w:style>
  <w:style w:type="paragraph" w:styleId="TOCHeading">
    <w:name w:val="TOC Heading"/>
    <w:basedOn w:val="Heading1"/>
    <w:next w:val="Normal"/>
    <w:uiPriority w:val="39"/>
    <w:qFormat/>
    <w:pPr>
      <w:tabs>
        <w:tab w:val="left" w:pos="567"/>
      </w:tabs>
      <w:jc w:val="left"/>
      <w:outlineLvl w:val="9"/>
    </w:pPr>
    <w:rPr>
      <w:rFonts w:ascii="Cambria" w:hAnsi="Cambria"/>
      <w:bCs/>
      <w:caps w:val="0"/>
      <w:kern w:val="32"/>
      <w:sz w:val="32"/>
      <w:szCs w:val="32"/>
      <w:lang w:val="en-GB"/>
    </w:rPr>
  </w:style>
  <w:style w:type="character" w:styleId="SubtleEmphasis">
    <w:name w:val="Subtle Emphasis"/>
    <w:basedOn w:val="DefaultParagraphFont"/>
    <w:uiPriority w:val="19"/>
    <w:qFormat/>
    <w:rPr>
      <w:i/>
      <w:iCs/>
      <w:color w:val="808080" w:themeColor="text1" w:themeTint="7F"/>
    </w:rPr>
  </w:style>
  <w:style w:type="numbering" w:customStyle="1" w:styleId="NoList1">
    <w:name w:val="No List1"/>
    <w:next w:val="NoList"/>
    <w:uiPriority w:val="99"/>
    <w:semiHidden/>
    <w:unhideWhenUsed/>
  </w:style>
  <w:style w:type="table" w:customStyle="1" w:styleId="TableGrid20">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table" w:customStyle="1" w:styleId="TableGrid30">
    <w:name w:val="Table Grid3"/>
    <w:basedOn w:val="TableNormal"/>
    <w:next w:val="TableGrid"/>
    <w:uiPriority w:val="5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Agencyblack1">
    <w:name w:val="Table grid (Agency) black1"/>
    <w:basedOn w:val="TableNormal"/>
    <w:semiHidden/>
    <w:pPr>
      <w:spacing w:after="0" w:line="240" w:lineRule="auto"/>
    </w:pPr>
    <w:rPr>
      <w:rFonts w:ascii="Verdana" w:eastAsia="SimSun" w:hAnsi="Verdana" w:cs="Times New Roman"/>
      <w:sz w:val="18"/>
      <w:szCs w:val="20"/>
      <w:lang w:val="en-GB" w:eastAsia="en-A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mbria Math" w:hAnsi="Cambria Math"/>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GTCTitle17">
    <w:name w:val="GTC Title17"/>
    <w:basedOn w:val="TableNormal"/>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21">
    <w:name w:val="GTC Title21"/>
    <w:basedOn w:val="TableNormal"/>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31">
    <w:name w:val="GTC Title31"/>
    <w:basedOn w:val="TableNormal"/>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41">
    <w:name w:val="GTC Title41"/>
    <w:basedOn w:val="TableNormal"/>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11">
    <w:name w:val="GTC Heading 111"/>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11">
    <w:name w:val="GTC Heading 21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11">
    <w:name w:val="GTC Heading 31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11">
    <w:name w:val="GTC Heading 411"/>
    <w:basedOn w:val="TableNormal"/>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120">
    <w:name w:val="GTC Link Text12"/>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11">
    <w:name w:val="GTC List Text11"/>
    <w:basedOn w:val="TableNormal"/>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11">
    <w:name w:val="GTC Table List Text11"/>
    <w:basedOn w:val="TableNormal"/>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11">
    <w:name w:val="GTC List Text Highlights11"/>
    <w:basedOn w:val="TableNormal"/>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11">
    <w:name w:val="GTC List Style None1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11">
    <w:name w:val="GTC List Style Circle1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11">
    <w:name w:val="GTC List Style Disc1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11">
    <w:name w:val="GTC List Style Square1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11">
    <w:name w:val="GTC List Style LittleRoman1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11">
    <w:name w:val="GTC List Style BigRoman1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11">
    <w:name w:val="GTC List Style LittleAlpha1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21">
    <w:name w:val="GTC List Style BigRoman2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11">
    <w:name w:val="GTC List Style Arabic1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11">
    <w:name w:val="GTC Table Title Otherwise1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11">
    <w:name w:val="GTC Table Title Insert11"/>
    <w:basedOn w:val="TableNormal"/>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11">
    <w:name w:val="GTC Table Title Delete11"/>
    <w:basedOn w:val="TableNormal"/>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Annotation1a">
    <w:name w:val="GTC Annotation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OutlineNumbering11">
    <w:name w:val="GTC Outline Numbering1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11">
    <w:name w:val="GTC Bullets1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SectionTitle14">
    <w:name w:val="GTC Section Title 14"/>
    <w:basedOn w:val="TableNormal"/>
    <w:pPr>
      <w:spacing w:before="240" w:after="240" w:line="240" w:lineRule="auto"/>
    </w:pPr>
    <w:rPr>
      <w:rFonts w:ascii="Times New Roman" w:eastAsia="Times New Roman" w:hAnsi="Times New Roman" w:cs="Times New Roman"/>
      <w:b/>
      <w:bCs/>
      <w:caps/>
      <w:sz w:val="24"/>
      <w:szCs w:val="24"/>
      <w:lang w:eastAsia="en-AU"/>
    </w:rPr>
    <w:tblPr>
      <w:tblCellMar>
        <w:left w:w="0" w:type="dxa"/>
        <w:right w:w="0" w:type="dxa"/>
      </w:tblCellMar>
    </w:tblPr>
  </w:style>
  <w:style w:type="table" w:customStyle="1" w:styleId="GTCSectionTitle24">
    <w:name w:val="GTC Section Title 24"/>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SectionTitle34">
    <w:name w:val="GTC Section Title 34"/>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SectionTitle44">
    <w:name w:val="GTC Section Title 44"/>
    <w:basedOn w:val="TableNormal"/>
    <w:pPr>
      <w:spacing w:before="240" w:after="240" w:line="240" w:lineRule="auto"/>
    </w:pPr>
    <w:rPr>
      <w:rFonts w:ascii="Times New Roman" w:eastAsia="Times New Roman" w:hAnsi="Times New Roman" w:cs="Times New Roman"/>
      <w:b/>
      <w:bCs/>
      <w:i/>
      <w:sz w:val="24"/>
      <w:szCs w:val="24"/>
      <w:lang w:eastAsia="en-AU"/>
    </w:rPr>
    <w:tblPr>
      <w:tblCellMar>
        <w:left w:w="0" w:type="dxa"/>
        <w:right w:w="0" w:type="dxa"/>
      </w:tblCellMar>
    </w:tblPr>
  </w:style>
  <w:style w:type="table" w:customStyle="1" w:styleId="GTCSectionTitle54">
    <w:name w:val="GTC Section Title 54"/>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table" w:customStyle="1" w:styleId="GTCSectionTitle64">
    <w:name w:val="GTC Section Title 64"/>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table" w:customStyle="1" w:styleId="GTCSectionTitle74">
    <w:name w:val="GTC Section Title 74"/>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table" w:customStyle="1" w:styleId="GTCSectionTitle84">
    <w:name w:val="GTC Section Title 84"/>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table" w:customStyle="1" w:styleId="GTCSectionTitle94">
    <w:name w:val="GTC Section Title 94"/>
    <w:basedOn w:val="TableNormal"/>
    <w:pPr>
      <w:spacing w:before="240" w:after="240" w:line="240" w:lineRule="auto"/>
    </w:pPr>
    <w:rPr>
      <w:rFonts w:ascii="Times New Roman" w:eastAsia="Times New Roman" w:hAnsi="Times New Roman" w:cs="Times New Roman"/>
      <w:b/>
      <w:bCs/>
      <w:sz w:val="20"/>
      <w:szCs w:val="20"/>
      <w:lang w:eastAsia="en-AU"/>
    </w:rPr>
    <w:tblPr>
      <w:tblCellMar>
        <w:left w:w="0" w:type="dxa"/>
        <w:right w:w="0" w:type="dxa"/>
      </w:tblCellMar>
    </w:tblPr>
  </w:style>
  <w:style w:type="table" w:customStyle="1" w:styleId="GTCTitle51">
    <w:name w:val="GTC Title51"/>
    <w:basedOn w:val="TableNormal"/>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61">
    <w:name w:val="GTC Title61"/>
    <w:basedOn w:val="TableNormal"/>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71">
    <w:name w:val="GTC Title71"/>
    <w:basedOn w:val="TableNormal"/>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81">
    <w:name w:val="GTC Title81"/>
    <w:basedOn w:val="TableNormal"/>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21">
    <w:name w:val="GTC Heading 121"/>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21">
    <w:name w:val="GTC Heading 22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21">
    <w:name w:val="GTC Heading 32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21">
    <w:name w:val="GTC Heading 421"/>
    <w:basedOn w:val="TableNormal"/>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22">
    <w:name w:val="GTC Link Text22"/>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21">
    <w:name w:val="GTC List Text21"/>
    <w:basedOn w:val="TableNormal"/>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21">
    <w:name w:val="GTC Table List Text21"/>
    <w:basedOn w:val="TableNormal"/>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21">
    <w:name w:val="GTC List Text Highlights21"/>
    <w:basedOn w:val="TableNormal"/>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21">
    <w:name w:val="GTC List Style None2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21">
    <w:name w:val="GTC List Style Circle2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21">
    <w:name w:val="GTC List Style Disc2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21">
    <w:name w:val="GTC List Style Square2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21">
    <w:name w:val="GTC List Style LittleRoman2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31">
    <w:name w:val="GTC List Style BigRoman3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21">
    <w:name w:val="GTC List Style LittleAlpha2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41">
    <w:name w:val="GTC List Style BigRoman4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21">
    <w:name w:val="GTC List Style Arabic2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21">
    <w:name w:val="GTC Table Title Otherwise2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21">
    <w:name w:val="GTC Table Title Insert21"/>
    <w:basedOn w:val="TableNormal"/>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21">
    <w:name w:val="GTC Table Title Delete21"/>
    <w:basedOn w:val="TableNormal"/>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21">
    <w:name w:val="GTC Outline Numbering2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21">
    <w:name w:val="GTC Bullets2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itle91">
    <w:name w:val="GTC Title91"/>
    <w:basedOn w:val="TableNormal"/>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01">
    <w:name w:val="GTC Title101"/>
    <w:basedOn w:val="TableNormal"/>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11">
    <w:name w:val="GTC Title111"/>
    <w:basedOn w:val="TableNormal"/>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21">
    <w:name w:val="GTC Title121"/>
    <w:basedOn w:val="TableNormal"/>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31">
    <w:name w:val="GTC Heading 131"/>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31">
    <w:name w:val="GTC Heading 23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31">
    <w:name w:val="GTC Heading 33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31">
    <w:name w:val="GTC Heading 431"/>
    <w:basedOn w:val="TableNormal"/>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32">
    <w:name w:val="GTC Link Text32"/>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31">
    <w:name w:val="GTC List Text31"/>
    <w:basedOn w:val="TableNormal"/>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31">
    <w:name w:val="GTC Table List Text31"/>
    <w:basedOn w:val="TableNormal"/>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31">
    <w:name w:val="GTC List Text Highlights31"/>
    <w:basedOn w:val="TableNormal"/>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31">
    <w:name w:val="GTC List Style None3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31">
    <w:name w:val="GTC List Style Circle3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31">
    <w:name w:val="GTC List Style Disc3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31">
    <w:name w:val="GTC List Style Square3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31">
    <w:name w:val="GTC List Style LittleRoman3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51">
    <w:name w:val="GTC List Style BigRoman5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31">
    <w:name w:val="GTC List Style LittleAlpha3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61">
    <w:name w:val="GTC List Style BigRoman6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31">
    <w:name w:val="GTC List Style Arabic3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31">
    <w:name w:val="GTC Table Title Otherwise3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31">
    <w:name w:val="GTC Table Title Insert31"/>
    <w:basedOn w:val="TableNormal"/>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31">
    <w:name w:val="GTC Table Title Delete31"/>
    <w:basedOn w:val="TableNormal"/>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31">
    <w:name w:val="GTC Outline Numbering3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31">
    <w:name w:val="GTC Bullets3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itle131">
    <w:name w:val="GTC Title131"/>
    <w:basedOn w:val="TableNormal"/>
    <w:pPr>
      <w:spacing w:before="120" w:after="120" w:line="240" w:lineRule="auto"/>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41">
    <w:name w:val="GTC Title141"/>
    <w:basedOn w:val="TableNormal"/>
    <w:pPr>
      <w:spacing w:before="120" w:after="120" w:line="240" w:lineRule="auto"/>
      <w:jc w:val="right"/>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51">
    <w:name w:val="GTC Title151"/>
    <w:basedOn w:val="TableNormal"/>
    <w:pPr>
      <w:spacing w:before="120" w:after="120" w:line="240" w:lineRule="auto"/>
      <w:jc w:val="center"/>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Title161">
    <w:name w:val="GTC Title161"/>
    <w:basedOn w:val="TableNormal"/>
    <w:pPr>
      <w:spacing w:before="120" w:after="120" w:line="240" w:lineRule="auto"/>
      <w:jc w:val="both"/>
    </w:pPr>
    <w:rPr>
      <w:rFonts w:ascii="Times New Roman" w:eastAsia="Times New Roman" w:hAnsi="Times New Roman" w:cs="Times New Roman"/>
      <w:b/>
      <w:bCs/>
      <w:sz w:val="36"/>
      <w:szCs w:val="36"/>
      <w:lang w:eastAsia="en-AU"/>
    </w:rPr>
    <w:tblPr>
      <w:tblCellMar>
        <w:left w:w="0" w:type="dxa"/>
        <w:right w:w="0" w:type="dxa"/>
      </w:tblCellMar>
    </w:tblPr>
  </w:style>
  <w:style w:type="table" w:customStyle="1" w:styleId="GTCHeading141">
    <w:name w:val="GTC Heading 141"/>
    <w:pPr>
      <w:spacing w:before="240" w:after="240" w:line="240" w:lineRule="auto"/>
    </w:pPr>
    <w:rPr>
      <w:rFonts w:ascii="Times New Roman" w:eastAsia="Times New Roman" w:hAnsi="Times New Roman" w:cs="Times New Roman"/>
      <w:b/>
      <w:bCs/>
      <w:caps/>
      <w:sz w:val="24"/>
      <w:szCs w:val="24"/>
      <w:lang w:val="en-US"/>
    </w:rPr>
    <w:tblPr>
      <w:tblCellMar>
        <w:top w:w="0" w:type="dxa"/>
        <w:left w:w="0" w:type="dxa"/>
        <w:bottom w:w="0" w:type="dxa"/>
        <w:right w:w="0" w:type="dxa"/>
      </w:tblCellMar>
    </w:tblPr>
  </w:style>
  <w:style w:type="table" w:customStyle="1" w:styleId="GTCHeading241">
    <w:name w:val="GTC Heading 24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341">
    <w:name w:val="GTC Heading 341"/>
    <w:basedOn w:val="TableNormal"/>
    <w:pPr>
      <w:spacing w:before="240" w:after="240" w:line="240" w:lineRule="auto"/>
    </w:pPr>
    <w:rPr>
      <w:rFonts w:ascii="Times New Roman" w:eastAsia="Times New Roman" w:hAnsi="Times New Roman" w:cs="Times New Roman"/>
      <w:b/>
      <w:bCs/>
      <w:sz w:val="24"/>
      <w:szCs w:val="24"/>
      <w:lang w:eastAsia="en-AU"/>
    </w:rPr>
    <w:tblPr>
      <w:tblCellMar>
        <w:left w:w="0" w:type="dxa"/>
        <w:right w:w="0" w:type="dxa"/>
      </w:tblCellMar>
    </w:tblPr>
  </w:style>
  <w:style w:type="table" w:customStyle="1" w:styleId="GTCHeading441">
    <w:name w:val="GTC Heading 441"/>
    <w:basedOn w:val="TableNormal"/>
    <w:pPr>
      <w:spacing w:before="240" w:after="240" w:line="240" w:lineRule="auto"/>
    </w:pPr>
    <w:rPr>
      <w:rFonts w:ascii="Times New Roman" w:eastAsia="Times New Roman" w:hAnsi="Times New Roman" w:cs="Times New Roman"/>
      <w:b/>
      <w:bCs/>
      <w:i/>
      <w:iCs/>
      <w:sz w:val="24"/>
      <w:szCs w:val="24"/>
      <w:lang w:eastAsia="en-AU"/>
    </w:rPr>
    <w:tblPr>
      <w:tblCellMar>
        <w:left w:w="0" w:type="dxa"/>
        <w:right w:w="0" w:type="dxa"/>
      </w:tblCellMar>
    </w:tblPr>
  </w:style>
  <w:style w:type="table" w:customStyle="1" w:styleId="GTCLinkText41">
    <w:name w:val="GTC Link Text4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41">
    <w:name w:val="GTC List Text41"/>
    <w:basedOn w:val="TableNormal"/>
    <w:pPr>
      <w:spacing w:before="120" w:after="120" w:line="300" w:lineRule="auto"/>
    </w:pPr>
    <w:rPr>
      <w:rFonts w:ascii="Times New Roman" w:eastAsia="Times New Roman" w:hAnsi="Times New Roman" w:cs="Times New Roman"/>
      <w:sz w:val="24"/>
      <w:szCs w:val="24"/>
      <w:lang w:eastAsia="en-AU"/>
    </w:rPr>
    <w:tblPr>
      <w:tblCellMar>
        <w:left w:w="0" w:type="dxa"/>
        <w:right w:w="0" w:type="dxa"/>
      </w:tblCellMar>
    </w:tblPr>
  </w:style>
  <w:style w:type="table" w:customStyle="1" w:styleId="GTCTableListText41">
    <w:name w:val="GTC Table List Text41"/>
    <w:basedOn w:val="TableNormal"/>
    <w:pPr>
      <w:spacing w:before="120" w:after="120" w:line="30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TextHighlights41">
    <w:name w:val="GTC List Text Highlights41"/>
    <w:basedOn w:val="TableNormal"/>
    <w:pPr>
      <w:spacing w:after="0" w:line="240" w:lineRule="auto"/>
    </w:pPr>
    <w:rPr>
      <w:rFonts w:ascii="Times New Roman" w:eastAsia="Times New Roman" w:hAnsi="Times New Roman" w:cs="Times New Roman"/>
      <w:sz w:val="16"/>
      <w:szCs w:val="16"/>
      <w:lang w:eastAsia="en-AU"/>
    </w:rPr>
    <w:tblPr>
      <w:tblCellMar>
        <w:left w:w="0" w:type="dxa"/>
        <w:right w:w="0" w:type="dxa"/>
      </w:tblCellMar>
    </w:tblPr>
  </w:style>
  <w:style w:type="table" w:customStyle="1" w:styleId="GTCListStyleNone41">
    <w:name w:val="GTC List Style None4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Circle41">
    <w:name w:val="GTC List Style Circle4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Disc41">
    <w:name w:val="GTC List Style Disc4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Square41">
    <w:name w:val="GTC List Style Square4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Roman41">
    <w:name w:val="GTC List Style LittleRoman4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71">
    <w:name w:val="GTC List Style BigRoman71"/>
    <w:basedOn w:val="TableNormal"/>
    <w:pPr>
      <w:tabs>
        <w:tab w:val="num" w:pos="1008"/>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LittleAlpha41">
    <w:name w:val="GTC List Style LittleAlpha4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BigRoman81">
    <w:name w:val="GTC List Style BigRoman8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ListStyleArabic41">
    <w:name w:val="GTC List Style Arabic41"/>
    <w:basedOn w:val="TableNormal"/>
    <w:pPr>
      <w:tabs>
        <w:tab w:val="num" w:pos="720"/>
      </w:tabs>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Otherwise41">
    <w:name w:val="GTC Table Title Otherwise4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TableTitleInsert41">
    <w:name w:val="GTC Table Title Insert41"/>
    <w:basedOn w:val="TableNormal"/>
    <w:pPr>
      <w:spacing w:before="100" w:beforeAutospacing="1" w:after="100" w:afterAutospacing="1" w:line="240" w:lineRule="auto"/>
    </w:pPr>
    <w:rPr>
      <w:rFonts w:ascii="Times New Roman" w:eastAsia="Times New Roman" w:hAnsi="Times New Roman" w:cs="Times New Roman"/>
      <w:color w:val="FF0000"/>
      <w:sz w:val="20"/>
      <w:szCs w:val="20"/>
      <w:u w:val="double"/>
      <w:lang w:eastAsia="en-AU"/>
    </w:rPr>
    <w:tblPr>
      <w:tblCellMar>
        <w:left w:w="0" w:type="dxa"/>
        <w:right w:w="0" w:type="dxa"/>
      </w:tblCellMar>
    </w:tblPr>
  </w:style>
  <w:style w:type="table" w:customStyle="1" w:styleId="GTCTableTitleDelete41">
    <w:name w:val="GTC Table Title Delete41"/>
    <w:basedOn w:val="TableNormal"/>
    <w:pPr>
      <w:spacing w:before="100" w:beforeAutospacing="1" w:after="100" w:afterAutospacing="1" w:line="240" w:lineRule="auto"/>
    </w:pPr>
    <w:rPr>
      <w:rFonts w:ascii="Times New Roman" w:eastAsia="Times New Roman" w:hAnsi="Times New Roman" w:cs="Times New Roman"/>
      <w:strike/>
      <w:color w:val="FF0000"/>
      <w:sz w:val="20"/>
      <w:szCs w:val="20"/>
      <w:lang w:eastAsia="en-AU"/>
    </w:rPr>
    <w:tblPr>
      <w:tblCellMar>
        <w:left w:w="0" w:type="dxa"/>
        <w:right w:w="0" w:type="dxa"/>
      </w:tblCellMar>
    </w:tblPr>
  </w:style>
  <w:style w:type="table" w:customStyle="1" w:styleId="GTCOutlineNumbering41">
    <w:name w:val="GTC Outline Numbering4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GTCBullets41">
    <w:name w:val="GTC Bullets41"/>
    <w:basedOn w:val="TableNormal"/>
    <w:pPr>
      <w:spacing w:before="100" w:beforeAutospacing="1" w:after="100" w:afterAutospacing="1"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TableGrid11">
    <w:name w:val="Table Grid11"/>
    <w:basedOn w:val="TableNormal"/>
    <w:next w:val="TableGrid"/>
    <w:pPr>
      <w:spacing w:before="100" w:beforeAutospacing="1" w:after="100" w:afterAutospacing="1"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next w:val="LightShading-Accent1"/>
    <w:uiPriority w:val="60"/>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next w:val="LightShading"/>
    <w:uiPriority w:val="60"/>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
    <w:name w:val="Light Shading - Accent 31"/>
    <w:basedOn w:val="TableNormal"/>
    <w:next w:val="LightShading-Accent3"/>
    <w:uiPriority w:val="60"/>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2-Accent21">
    <w:name w:val="Medium Shading 2 - Accent 21"/>
    <w:basedOn w:val="TableNormal"/>
    <w:next w:val="MediumShading2-Accent2"/>
    <w:uiPriority w:val="6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31">
    <w:name w:val="Colorful Grid - Accent 31"/>
    <w:basedOn w:val="TableNormal"/>
    <w:next w:val="ColorfulGrid-Accent3"/>
    <w:uiPriority w:val="73"/>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diumList2-Accent31">
    <w:name w:val="Medium List 2 - Accent 31"/>
    <w:basedOn w:val="TableNormal"/>
    <w:next w:val="MediumList2-Accent3"/>
    <w:uiPriority w:val="66"/>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Shading2-Accent51">
    <w:name w:val="Medium Shading 2 - Accent 51"/>
    <w:basedOn w:val="TableNormal"/>
    <w:next w:val="MediumShading2-Accent5"/>
    <w:uiPriority w:val="6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
    <w:name w:val="Medium Grid 3 - Accent 51"/>
    <w:basedOn w:val="TableNormal"/>
    <w:next w:val="MediumGrid3-Accent5"/>
    <w:uiPriority w:val="6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1111111">
    <w:name w:val="1111111"/>
  </w:style>
  <w:style w:type="numbering" w:customStyle="1" w:styleId="1ai1">
    <w:name w:val="1ai1"/>
  </w:style>
  <w:style w:type="numbering" w:customStyle="1" w:styleId="ArticleSection1">
    <w:name w:val="ArticleSection1"/>
  </w:style>
  <w:style w:type="numbering" w:customStyle="1" w:styleId="11111110">
    <w:name w:val="1 / 1.1 / 1.1.11"/>
    <w:basedOn w:val="NoList"/>
    <w:next w:val="111111"/>
  </w:style>
  <w:style w:type="numbering" w:customStyle="1" w:styleId="1ai10">
    <w:name w:val="1 / a / i1"/>
    <w:basedOn w:val="NoList"/>
    <w:next w:val="1ai"/>
  </w:style>
  <w:style w:type="numbering" w:customStyle="1" w:styleId="ArticleSection10">
    <w:name w:val="Article / Section1"/>
    <w:basedOn w:val="NoList"/>
    <w:next w:val="ArticleSection"/>
  </w:style>
  <w:style w:type="table" w:customStyle="1" w:styleId="Table3Deffects11">
    <w:name w:val="Table 3D effects 11"/>
    <w:basedOn w:val="TableNormal"/>
    <w:next w:val="Table3Deffects1"/>
    <w:pPr>
      <w:spacing w:after="0" w:line="240" w:lineRule="auto"/>
    </w:pPr>
    <w:rPr>
      <w:rFonts w:ascii="Times New Roman" w:eastAsia="MS Mincho"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after="0" w:line="240" w:lineRule="auto"/>
    </w:pPr>
    <w:rPr>
      <w:rFonts w:ascii="Times New Roman" w:eastAsia="MS Mincho"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after="0" w:line="240" w:lineRule="auto"/>
    </w:pPr>
    <w:rPr>
      <w:rFonts w:ascii="Times New Roman" w:eastAsia="MS Mincho"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after="0" w:line="240" w:lineRule="auto"/>
    </w:pPr>
    <w:rPr>
      <w:rFonts w:ascii="Times New Roman" w:eastAsia="MS Mincho"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after="0" w:line="240" w:lineRule="auto"/>
    </w:pPr>
    <w:rPr>
      <w:rFonts w:ascii="Times New Roman" w:eastAsia="MS Mincho"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after="0" w:line="240" w:lineRule="auto"/>
    </w:pPr>
    <w:rPr>
      <w:rFonts w:ascii="Times New Roman" w:eastAsia="MS Mincho"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after="0" w:line="240" w:lineRule="auto"/>
    </w:pPr>
    <w:rPr>
      <w:rFonts w:ascii="Times New Roman" w:eastAsia="MS Mincho"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after="0" w:line="240" w:lineRule="auto"/>
    </w:pPr>
    <w:rPr>
      <w:rFonts w:ascii="Times New Roman" w:eastAsia="MS Mincho"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after="0" w:line="240" w:lineRule="auto"/>
    </w:pPr>
    <w:rPr>
      <w:rFonts w:ascii="Times New Roman" w:eastAsia="MS Mincho"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after="0" w:line="240" w:lineRule="auto"/>
    </w:pPr>
    <w:rPr>
      <w:rFonts w:ascii="Times New Roman" w:eastAsia="MS Mincho"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after="0" w:line="240" w:lineRule="auto"/>
    </w:pPr>
    <w:rPr>
      <w:rFonts w:ascii="Times New Roman" w:eastAsia="MS Mincho"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after="0" w:line="240" w:lineRule="auto"/>
    </w:pPr>
    <w:rPr>
      <w:rFonts w:ascii="Times New Roman" w:eastAsia="MS Mincho"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pPr>
      <w:spacing w:after="0" w:line="240" w:lineRule="auto"/>
    </w:pPr>
    <w:rPr>
      <w:rFonts w:ascii="Times New Roman" w:eastAsia="MS Mincho"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pPr>
      <w:spacing w:after="0" w:line="240" w:lineRule="auto"/>
    </w:pPr>
    <w:rPr>
      <w:rFonts w:ascii="Times New Roman" w:eastAsia="MS Mincho"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after="0" w:line="240" w:lineRule="auto"/>
    </w:pPr>
    <w:rPr>
      <w:rFonts w:ascii="Times New Roman" w:eastAsia="MS Mincho"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after="0" w:line="240" w:lineRule="auto"/>
    </w:pPr>
    <w:rPr>
      <w:rFonts w:ascii="Times New Roman" w:eastAsia="MS Mincho"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after="0" w:line="240" w:lineRule="auto"/>
    </w:pPr>
    <w:rPr>
      <w:rFonts w:ascii="Times New Roman" w:eastAsia="MS Mincho"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after="0" w:line="240" w:lineRule="auto"/>
    </w:pPr>
    <w:rPr>
      <w:rFonts w:ascii="Times New Roman" w:eastAsia="MS Mincho"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after="0" w:line="240" w:lineRule="auto"/>
    </w:pPr>
    <w:rPr>
      <w:rFonts w:ascii="Times New Roman" w:eastAsia="MS Mincho"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after="0" w:line="240" w:lineRule="auto"/>
    </w:pPr>
    <w:rPr>
      <w:rFonts w:ascii="Times New Roman" w:eastAsia="MS Mincho"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after="0" w:line="240" w:lineRule="auto"/>
    </w:pPr>
    <w:rPr>
      <w:rFonts w:ascii="Times New Roman" w:eastAsia="MS Mincho"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after="0" w:line="240" w:lineRule="auto"/>
    </w:pPr>
    <w:rPr>
      <w:rFonts w:ascii="Times New Roman" w:eastAsia="MS Mincho"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after="0" w:line="240" w:lineRule="auto"/>
    </w:pPr>
    <w:rPr>
      <w:rFonts w:ascii="Times New Roman" w:eastAsia="MS Mincho"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after="0" w:line="240" w:lineRule="auto"/>
    </w:pPr>
    <w:rPr>
      <w:rFonts w:ascii="Times New Roman" w:eastAsia="MS Mincho"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after="0" w:line="240" w:lineRule="auto"/>
    </w:pPr>
    <w:rPr>
      <w:rFonts w:ascii="Times New Roman" w:eastAsia="MS Mincho"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after="0" w:line="240" w:lineRule="auto"/>
    </w:pPr>
    <w:rPr>
      <w:rFonts w:ascii="Times New Roman" w:eastAsia="MS Mincho"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after="0" w:line="240" w:lineRule="auto"/>
    </w:pPr>
    <w:rPr>
      <w:rFonts w:ascii="Times New Roman" w:eastAsia="MS Mincho"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after="0" w:line="240" w:lineRule="auto"/>
    </w:pPr>
    <w:rPr>
      <w:rFonts w:ascii="Times New Roman" w:eastAsia="MS Mincho"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after="0" w:line="240" w:lineRule="auto"/>
    </w:pPr>
    <w:rPr>
      <w:rFonts w:ascii="Times New Roman" w:eastAsia="MS Mincho"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after="0" w:line="240" w:lineRule="auto"/>
    </w:pPr>
    <w:rPr>
      <w:rFonts w:ascii="Times New Roman" w:eastAsia="MS Mincho"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after="0" w:line="240" w:lineRule="auto"/>
    </w:pPr>
    <w:rPr>
      <w:rFonts w:ascii="Times New Roman" w:eastAsia="MS Mincho"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after="0" w:line="240" w:lineRule="auto"/>
    </w:pPr>
    <w:rPr>
      <w:rFonts w:ascii="Times New Roman" w:eastAsia="MS Mincho"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after="0" w:line="240" w:lineRule="auto"/>
    </w:pPr>
    <w:rPr>
      <w:rFonts w:ascii="Times New Roman" w:eastAsia="MS Mincho"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after="0" w:line="240" w:lineRule="auto"/>
    </w:pPr>
    <w:rPr>
      <w:rFonts w:ascii="Times New Roman" w:eastAsia="MS Mincho"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after="0" w:line="240" w:lineRule="auto"/>
    </w:pPr>
    <w:rPr>
      <w:rFonts w:ascii="Times New Roman" w:eastAsia="MS Mincho"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after="0" w:line="240" w:lineRule="auto"/>
    </w:pPr>
    <w:rPr>
      <w:rFonts w:ascii="Times New Roman" w:eastAsia="MS Mincho"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jusskuggning-dekorfrg11">
    <w:name w:val="Ljus skuggning - dekorfärg 11"/>
    <w:basedOn w:val="TableNormal"/>
    <w:uiPriority w:val="60"/>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jusskuggning1">
    <w:name w:val="Ljus skuggning1"/>
    <w:basedOn w:val="TableNormal"/>
    <w:uiPriority w:val="60"/>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31">
    <w:name w:val="Ljus skuggning - dekorfärg 31"/>
    <w:basedOn w:val="TableNormal"/>
    <w:uiPriority w:val="60"/>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llanmrkskuggning2-dekorfrg21">
    <w:name w:val="Mellanmörk skuggning 2 - dekorfärg 21"/>
    <w:basedOn w:val="TableNormal"/>
    <w:uiPriority w:val="6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Frgatrutnt-dekorfrg31">
    <w:name w:val="Färgat rutnät - dekorfärg 31"/>
    <w:basedOn w:val="TableNormal"/>
    <w:uiPriority w:val="73"/>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llanmrklista2-dekorfrg31">
    <w:name w:val="Mellanmörk lista 2 - dekorfärg 31"/>
    <w:basedOn w:val="TableNormal"/>
    <w:uiPriority w:val="66"/>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llanmrkskuggning2-dekorfrg51">
    <w:name w:val="Mellanmörk skuggning 2 - dekorfärg 51"/>
    <w:basedOn w:val="TableNormal"/>
    <w:uiPriority w:val="6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3-dekorfrg51">
    <w:name w:val="Mellanmörkt rutnät 3 - dekorfärg 51"/>
    <w:basedOn w:val="TableNormal"/>
    <w:uiPriority w:val="6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NoList11">
    <w:name w:val="No List11"/>
    <w:next w:val="NoList"/>
    <w:uiPriority w:val="99"/>
    <w:semiHidden/>
    <w:unhideWhenUsed/>
  </w:style>
  <w:style w:type="table" w:customStyle="1" w:styleId="TableGrid210">
    <w:name w:val="Table Grid2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cblankline">
    <w:name w:val="gtcblankline"/>
    <w:basedOn w:val="Normal"/>
    <w:pPr>
      <w:spacing w:after="0" w:line="240" w:lineRule="auto"/>
    </w:pPr>
    <w:rPr>
      <w:rFonts w:ascii="Times New Roman" w:eastAsia="Times New Roman" w:hAnsi="Times New Roman" w:cs="Times New Roman"/>
      <w:sz w:val="24"/>
      <w:szCs w:val="24"/>
      <w:lang w:val="en-US"/>
    </w:rPr>
  </w:style>
  <w:style w:type="character" w:customStyle="1" w:styleId="gtclinktext6">
    <w:name w:val="gtclinktext6"/>
    <w:rPr>
      <w:strike w:val="0"/>
      <w:dstrike w:val="0"/>
      <w:u w:val="none"/>
      <w:effect w:val="none"/>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0337">
      <w:bodyDiv w:val="1"/>
      <w:marLeft w:val="0"/>
      <w:marRight w:val="0"/>
      <w:marTop w:val="0"/>
      <w:marBottom w:val="0"/>
      <w:divBdr>
        <w:top w:val="none" w:sz="0" w:space="0" w:color="auto"/>
        <w:left w:val="none" w:sz="0" w:space="0" w:color="auto"/>
        <w:bottom w:val="none" w:sz="0" w:space="0" w:color="auto"/>
        <w:right w:val="none" w:sz="0" w:space="0" w:color="auto"/>
      </w:divBdr>
    </w:div>
    <w:div w:id="214006189">
      <w:bodyDiv w:val="1"/>
      <w:marLeft w:val="0"/>
      <w:marRight w:val="0"/>
      <w:marTop w:val="0"/>
      <w:marBottom w:val="0"/>
      <w:divBdr>
        <w:top w:val="none" w:sz="0" w:space="0" w:color="auto"/>
        <w:left w:val="none" w:sz="0" w:space="0" w:color="auto"/>
        <w:bottom w:val="none" w:sz="0" w:space="0" w:color="auto"/>
        <w:right w:val="none" w:sz="0" w:space="0" w:color="auto"/>
      </w:divBdr>
    </w:div>
    <w:div w:id="214200045">
      <w:bodyDiv w:val="1"/>
      <w:marLeft w:val="0"/>
      <w:marRight w:val="0"/>
      <w:marTop w:val="0"/>
      <w:marBottom w:val="0"/>
      <w:divBdr>
        <w:top w:val="none" w:sz="0" w:space="0" w:color="auto"/>
        <w:left w:val="none" w:sz="0" w:space="0" w:color="auto"/>
        <w:bottom w:val="none" w:sz="0" w:space="0" w:color="auto"/>
        <w:right w:val="none" w:sz="0" w:space="0" w:color="auto"/>
      </w:divBdr>
    </w:div>
    <w:div w:id="223640493">
      <w:bodyDiv w:val="1"/>
      <w:marLeft w:val="0"/>
      <w:marRight w:val="0"/>
      <w:marTop w:val="0"/>
      <w:marBottom w:val="0"/>
      <w:divBdr>
        <w:top w:val="none" w:sz="0" w:space="0" w:color="auto"/>
        <w:left w:val="none" w:sz="0" w:space="0" w:color="auto"/>
        <w:bottom w:val="none" w:sz="0" w:space="0" w:color="auto"/>
        <w:right w:val="none" w:sz="0" w:space="0" w:color="auto"/>
      </w:divBdr>
    </w:div>
    <w:div w:id="263347807">
      <w:bodyDiv w:val="1"/>
      <w:marLeft w:val="0"/>
      <w:marRight w:val="0"/>
      <w:marTop w:val="0"/>
      <w:marBottom w:val="0"/>
      <w:divBdr>
        <w:top w:val="none" w:sz="0" w:space="0" w:color="auto"/>
        <w:left w:val="none" w:sz="0" w:space="0" w:color="auto"/>
        <w:bottom w:val="none" w:sz="0" w:space="0" w:color="auto"/>
        <w:right w:val="none" w:sz="0" w:space="0" w:color="auto"/>
      </w:divBdr>
    </w:div>
    <w:div w:id="310409751">
      <w:bodyDiv w:val="1"/>
      <w:marLeft w:val="0"/>
      <w:marRight w:val="0"/>
      <w:marTop w:val="0"/>
      <w:marBottom w:val="0"/>
      <w:divBdr>
        <w:top w:val="none" w:sz="0" w:space="0" w:color="auto"/>
        <w:left w:val="none" w:sz="0" w:space="0" w:color="auto"/>
        <w:bottom w:val="none" w:sz="0" w:space="0" w:color="auto"/>
        <w:right w:val="none" w:sz="0" w:space="0" w:color="auto"/>
      </w:divBdr>
    </w:div>
    <w:div w:id="344674956">
      <w:bodyDiv w:val="1"/>
      <w:marLeft w:val="0"/>
      <w:marRight w:val="0"/>
      <w:marTop w:val="0"/>
      <w:marBottom w:val="0"/>
      <w:divBdr>
        <w:top w:val="none" w:sz="0" w:space="0" w:color="auto"/>
        <w:left w:val="none" w:sz="0" w:space="0" w:color="auto"/>
        <w:bottom w:val="none" w:sz="0" w:space="0" w:color="auto"/>
        <w:right w:val="none" w:sz="0" w:space="0" w:color="auto"/>
      </w:divBdr>
    </w:div>
    <w:div w:id="355926504">
      <w:bodyDiv w:val="1"/>
      <w:marLeft w:val="0"/>
      <w:marRight w:val="0"/>
      <w:marTop w:val="0"/>
      <w:marBottom w:val="0"/>
      <w:divBdr>
        <w:top w:val="none" w:sz="0" w:space="0" w:color="auto"/>
        <w:left w:val="none" w:sz="0" w:space="0" w:color="auto"/>
        <w:bottom w:val="none" w:sz="0" w:space="0" w:color="auto"/>
        <w:right w:val="none" w:sz="0" w:space="0" w:color="auto"/>
      </w:divBdr>
    </w:div>
    <w:div w:id="478501693">
      <w:bodyDiv w:val="1"/>
      <w:marLeft w:val="0"/>
      <w:marRight w:val="0"/>
      <w:marTop w:val="0"/>
      <w:marBottom w:val="0"/>
      <w:divBdr>
        <w:top w:val="none" w:sz="0" w:space="0" w:color="auto"/>
        <w:left w:val="none" w:sz="0" w:space="0" w:color="auto"/>
        <w:bottom w:val="none" w:sz="0" w:space="0" w:color="auto"/>
        <w:right w:val="none" w:sz="0" w:space="0" w:color="auto"/>
      </w:divBdr>
    </w:div>
    <w:div w:id="534924526">
      <w:bodyDiv w:val="1"/>
      <w:marLeft w:val="0"/>
      <w:marRight w:val="0"/>
      <w:marTop w:val="0"/>
      <w:marBottom w:val="0"/>
      <w:divBdr>
        <w:top w:val="none" w:sz="0" w:space="0" w:color="auto"/>
        <w:left w:val="none" w:sz="0" w:space="0" w:color="auto"/>
        <w:bottom w:val="none" w:sz="0" w:space="0" w:color="auto"/>
        <w:right w:val="none" w:sz="0" w:space="0" w:color="auto"/>
      </w:divBdr>
    </w:div>
    <w:div w:id="608852146">
      <w:bodyDiv w:val="1"/>
      <w:marLeft w:val="0"/>
      <w:marRight w:val="0"/>
      <w:marTop w:val="0"/>
      <w:marBottom w:val="0"/>
      <w:divBdr>
        <w:top w:val="none" w:sz="0" w:space="0" w:color="auto"/>
        <w:left w:val="none" w:sz="0" w:space="0" w:color="auto"/>
        <w:bottom w:val="none" w:sz="0" w:space="0" w:color="auto"/>
        <w:right w:val="none" w:sz="0" w:space="0" w:color="auto"/>
      </w:divBdr>
    </w:div>
    <w:div w:id="758714217">
      <w:bodyDiv w:val="1"/>
      <w:marLeft w:val="0"/>
      <w:marRight w:val="0"/>
      <w:marTop w:val="0"/>
      <w:marBottom w:val="0"/>
      <w:divBdr>
        <w:top w:val="none" w:sz="0" w:space="0" w:color="auto"/>
        <w:left w:val="none" w:sz="0" w:space="0" w:color="auto"/>
        <w:bottom w:val="none" w:sz="0" w:space="0" w:color="auto"/>
        <w:right w:val="none" w:sz="0" w:space="0" w:color="auto"/>
      </w:divBdr>
    </w:div>
    <w:div w:id="845168492">
      <w:bodyDiv w:val="1"/>
      <w:marLeft w:val="0"/>
      <w:marRight w:val="0"/>
      <w:marTop w:val="0"/>
      <w:marBottom w:val="0"/>
      <w:divBdr>
        <w:top w:val="none" w:sz="0" w:space="0" w:color="auto"/>
        <w:left w:val="none" w:sz="0" w:space="0" w:color="auto"/>
        <w:bottom w:val="none" w:sz="0" w:space="0" w:color="auto"/>
        <w:right w:val="none" w:sz="0" w:space="0" w:color="auto"/>
      </w:divBdr>
    </w:div>
    <w:div w:id="870991827">
      <w:bodyDiv w:val="1"/>
      <w:marLeft w:val="0"/>
      <w:marRight w:val="0"/>
      <w:marTop w:val="0"/>
      <w:marBottom w:val="0"/>
      <w:divBdr>
        <w:top w:val="none" w:sz="0" w:space="0" w:color="auto"/>
        <w:left w:val="none" w:sz="0" w:space="0" w:color="auto"/>
        <w:bottom w:val="none" w:sz="0" w:space="0" w:color="auto"/>
        <w:right w:val="none" w:sz="0" w:space="0" w:color="auto"/>
      </w:divBdr>
    </w:div>
    <w:div w:id="921570465">
      <w:bodyDiv w:val="1"/>
      <w:marLeft w:val="0"/>
      <w:marRight w:val="0"/>
      <w:marTop w:val="0"/>
      <w:marBottom w:val="0"/>
      <w:divBdr>
        <w:top w:val="none" w:sz="0" w:space="0" w:color="auto"/>
        <w:left w:val="none" w:sz="0" w:space="0" w:color="auto"/>
        <w:bottom w:val="none" w:sz="0" w:space="0" w:color="auto"/>
        <w:right w:val="none" w:sz="0" w:space="0" w:color="auto"/>
      </w:divBdr>
    </w:div>
    <w:div w:id="958297971">
      <w:bodyDiv w:val="1"/>
      <w:marLeft w:val="0"/>
      <w:marRight w:val="0"/>
      <w:marTop w:val="0"/>
      <w:marBottom w:val="0"/>
      <w:divBdr>
        <w:top w:val="none" w:sz="0" w:space="0" w:color="auto"/>
        <w:left w:val="none" w:sz="0" w:space="0" w:color="auto"/>
        <w:bottom w:val="none" w:sz="0" w:space="0" w:color="auto"/>
        <w:right w:val="none" w:sz="0" w:space="0" w:color="auto"/>
      </w:divBdr>
    </w:div>
    <w:div w:id="969818425">
      <w:bodyDiv w:val="1"/>
      <w:marLeft w:val="0"/>
      <w:marRight w:val="0"/>
      <w:marTop w:val="0"/>
      <w:marBottom w:val="0"/>
      <w:divBdr>
        <w:top w:val="none" w:sz="0" w:space="0" w:color="auto"/>
        <w:left w:val="none" w:sz="0" w:space="0" w:color="auto"/>
        <w:bottom w:val="none" w:sz="0" w:space="0" w:color="auto"/>
        <w:right w:val="none" w:sz="0" w:space="0" w:color="auto"/>
      </w:divBdr>
    </w:div>
    <w:div w:id="979457912">
      <w:bodyDiv w:val="1"/>
      <w:marLeft w:val="0"/>
      <w:marRight w:val="0"/>
      <w:marTop w:val="0"/>
      <w:marBottom w:val="0"/>
      <w:divBdr>
        <w:top w:val="none" w:sz="0" w:space="0" w:color="auto"/>
        <w:left w:val="none" w:sz="0" w:space="0" w:color="auto"/>
        <w:bottom w:val="none" w:sz="0" w:space="0" w:color="auto"/>
        <w:right w:val="none" w:sz="0" w:space="0" w:color="auto"/>
      </w:divBdr>
    </w:div>
    <w:div w:id="987201480">
      <w:bodyDiv w:val="1"/>
      <w:marLeft w:val="0"/>
      <w:marRight w:val="0"/>
      <w:marTop w:val="0"/>
      <w:marBottom w:val="0"/>
      <w:divBdr>
        <w:top w:val="none" w:sz="0" w:space="0" w:color="auto"/>
        <w:left w:val="none" w:sz="0" w:space="0" w:color="auto"/>
        <w:bottom w:val="none" w:sz="0" w:space="0" w:color="auto"/>
        <w:right w:val="none" w:sz="0" w:space="0" w:color="auto"/>
      </w:divBdr>
    </w:div>
    <w:div w:id="1121924823">
      <w:bodyDiv w:val="1"/>
      <w:marLeft w:val="0"/>
      <w:marRight w:val="0"/>
      <w:marTop w:val="0"/>
      <w:marBottom w:val="0"/>
      <w:divBdr>
        <w:top w:val="none" w:sz="0" w:space="0" w:color="auto"/>
        <w:left w:val="none" w:sz="0" w:space="0" w:color="auto"/>
        <w:bottom w:val="none" w:sz="0" w:space="0" w:color="auto"/>
        <w:right w:val="none" w:sz="0" w:space="0" w:color="auto"/>
      </w:divBdr>
    </w:div>
    <w:div w:id="1172141961">
      <w:bodyDiv w:val="1"/>
      <w:marLeft w:val="0"/>
      <w:marRight w:val="0"/>
      <w:marTop w:val="0"/>
      <w:marBottom w:val="0"/>
      <w:divBdr>
        <w:top w:val="none" w:sz="0" w:space="0" w:color="auto"/>
        <w:left w:val="none" w:sz="0" w:space="0" w:color="auto"/>
        <w:bottom w:val="none" w:sz="0" w:space="0" w:color="auto"/>
        <w:right w:val="none" w:sz="0" w:space="0" w:color="auto"/>
      </w:divBdr>
    </w:div>
    <w:div w:id="1462260904">
      <w:bodyDiv w:val="1"/>
      <w:marLeft w:val="0"/>
      <w:marRight w:val="0"/>
      <w:marTop w:val="0"/>
      <w:marBottom w:val="0"/>
      <w:divBdr>
        <w:top w:val="none" w:sz="0" w:space="0" w:color="auto"/>
        <w:left w:val="none" w:sz="0" w:space="0" w:color="auto"/>
        <w:bottom w:val="none" w:sz="0" w:space="0" w:color="auto"/>
        <w:right w:val="none" w:sz="0" w:space="0" w:color="auto"/>
      </w:divBdr>
    </w:div>
    <w:div w:id="1608468954">
      <w:bodyDiv w:val="1"/>
      <w:marLeft w:val="0"/>
      <w:marRight w:val="0"/>
      <w:marTop w:val="0"/>
      <w:marBottom w:val="0"/>
      <w:divBdr>
        <w:top w:val="none" w:sz="0" w:space="0" w:color="auto"/>
        <w:left w:val="none" w:sz="0" w:space="0" w:color="auto"/>
        <w:bottom w:val="none" w:sz="0" w:space="0" w:color="auto"/>
        <w:right w:val="none" w:sz="0" w:space="0" w:color="auto"/>
      </w:divBdr>
    </w:div>
    <w:div w:id="1618365640">
      <w:bodyDiv w:val="1"/>
      <w:marLeft w:val="0"/>
      <w:marRight w:val="0"/>
      <w:marTop w:val="0"/>
      <w:marBottom w:val="0"/>
      <w:divBdr>
        <w:top w:val="none" w:sz="0" w:space="0" w:color="auto"/>
        <w:left w:val="none" w:sz="0" w:space="0" w:color="auto"/>
        <w:bottom w:val="none" w:sz="0" w:space="0" w:color="auto"/>
        <w:right w:val="none" w:sz="0" w:space="0" w:color="auto"/>
      </w:divBdr>
    </w:div>
    <w:div w:id="1707370666">
      <w:bodyDiv w:val="1"/>
      <w:marLeft w:val="0"/>
      <w:marRight w:val="0"/>
      <w:marTop w:val="0"/>
      <w:marBottom w:val="0"/>
      <w:divBdr>
        <w:top w:val="none" w:sz="0" w:space="0" w:color="auto"/>
        <w:left w:val="none" w:sz="0" w:space="0" w:color="auto"/>
        <w:bottom w:val="none" w:sz="0" w:space="0" w:color="auto"/>
        <w:right w:val="none" w:sz="0" w:space="0" w:color="auto"/>
      </w:divBdr>
    </w:div>
    <w:div w:id="1802845695">
      <w:bodyDiv w:val="1"/>
      <w:marLeft w:val="0"/>
      <w:marRight w:val="0"/>
      <w:marTop w:val="0"/>
      <w:marBottom w:val="0"/>
      <w:divBdr>
        <w:top w:val="none" w:sz="0" w:space="0" w:color="auto"/>
        <w:left w:val="none" w:sz="0" w:space="0" w:color="auto"/>
        <w:bottom w:val="none" w:sz="0" w:space="0" w:color="auto"/>
        <w:right w:val="none" w:sz="0" w:space="0" w:color="auto"/>
      </w:divBdr>
    </w:div>
    <w:div w:id="1827622604">
      <w:bodyDiv w:val="1"/>
      <w:marLeft w:val="0"/>
      <w:marRight w:val="0"/>
      <w:marTop w:val="0"/>
      <w:marBottom w:val="0"/>
      <w:divBdr>
        <w:top w:val="none" w:sz="0" w:space="0" w:color="auto"/>
        <w:left w:val="none" w:sz="0" w:space="0" w:color="auto"/>
        <w:bottom w:val="none" w:sz="0" w:space="0" w:color="auto"/>
        <w:right w:val="none" w:sz="0" w:space="0" w:color="auto"/>
      </w:divBdr>
    </w:div>
    <w:div w:id="2025279272">
      <w:bodyDiv w:val="1"/>
      <w:marLeft w:val="0"/>
      <w:marRight w:val="0"/>
      <w:marTop w:val="0"/>
      <w:marBottom w:val="0"/>
      <w:divBdr>
        <w:top w:val="none" w:sz="0" w:space="0" w:color="auto"/>
        <w:left w:val="none" w:sz="0" w:space="0" w:color="auto"/>
        <w:bottom w:val="none" w:sz="0" w:space="0" w:color="auto"/>
        <w:right w:val="none" w:sz="0" w:space="0" w:color="auto"/>
      </w:divBdr>
    </w:div>
    <w:div w:id="21203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CE7D4B.E5E5447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cid:image003.png@01CE7D4B.E5E5447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cid:image004.png@01CE7D4B.E5E5447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6D5C4F9592B4991B4AA6341DC692E" ma:contentTypeVersion="0" ma:contentTypeDescription="Create a new document." ma:contentTypeScope="" ma:versionID="d233057e62475dc4affa52dddde8bae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B7CDE-2B82-48FF-AFF5-EFD1B7A8E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3BA552-51F8-4A4F-8FE5-3DB43AD2B22A}">
  <ds:schemaRef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61A33E0-4635-48CB-B980-8239290E8963}">
  <ds:schemaRefs>
    <ds:schemaRef ds:uri="http://schemas.microsoft.com/sharepoint/v3/contenttype/forms"/>
  </ds:schemaRefs>
</ds:datastoreItem>
</file>

<file path=customXml/itemProps4.xml><?xml version="1.0" encoding="utf-8"?>
<ds:datastoreItem xmlns:ds="http://schemas.openxmlformats.org/officeDocument/2006/customXml" ds:itemID="{D84EE342-0C6D-4F8E-B018-4D82AD59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11397</Words>
  <Characters>71009</Characters>
  <Application>Microsoft Office Word</Application>
  <DocSecurity>0</DocSecurity>
  <Lines>2731</Lines>
  <Paragraphs>1615</Paragraphs>
  <ScaleCrop>false</ScaleCrop>
  <HeadingPairs>
    <vt:vector size="2" baseType="variant">
      <vt:variant>
        <vt:lpstr>Title</vt:lpstr>
      </vt:variant>
      <vt:variant>
        <vt:i4>1</vt:i4>
      </vt:variant>
    </vt:vector>
  </HeadingPairs>
  <TitlesOfParts>
    <vt:vector size="1" baseType="lpstr">
      <vt:lpstr/>
    </vt:vector>
  </TitlesOfParts>
  <Company>Abbott Laboratories</Company>
  <LinksUpToDate>false</LinksUpToDate>
  <CharactersWithSpaces>80791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Paritaprevir / ritonavir / ombitasvir</dc:title>
  <dc:subject>prescription medicines</dc:subject>
  <dc:creator>Pallis, Joy</dc:creator>
  <cp:keywords>AusPARs</cp:keywords>
  <cp:lastModifiedBy>LACK, Janet</cp:lastModifiedBy>
  <cp:revision>5</cp:revision>
  <cp:lastPrinted>2016-06-14T01:46:00Z</cp:lastPrinted>
  <dcterms:created xsi:type="dcterms:W3CDTF">2017-11-01T00:55:00Z</dcterms:created>
  <dcterms:modified xsi:type="dcterms:W3CDTF">2017-11-01T04:32:00Z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0x010100D6A6D5C4F9592B4991B4AA6341DC692E</vt:lpwstr>
  </property>
</Properties>
</file>