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65158" w:rsidP="00096AA7">
            <w:pPr>
              <w:rPr>
                <w:rFonts w:ascii="Arial" w:hAnsi="Arial" w:cs="Arial"/>
                <w:b/>
                <w:color w:val="002C47"/>
                <w:sz w:val="36"/>
                <w:szCs w:val="36"/>
              </w:rPr>
            </w:pPr>
            <w:r>
              <w:rPr>
                <w:rFonts w:ascii="Arial" w:hAnsi="Arial" w:cs="Arial"/>
                <w:b/>
                <w:color w:val="002C47"/>
                <w:sz w:val="36"/>
                <w:szCs w:val="36"/>
              </w:rPr>
              <w:t xml:space="preserve">March </w:t>
            </w:r>
            <w:r w:rsidR="00CD7849">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D001F">
            <w:pPr>
              <w:pStyle w:val="Title"/>
              <w:rPr>
                <w:color w:val="FFFFFF" w:themeColor="background1"/>
              </w:rPr>
            </w:pPr>
            <w:r w:rsidRPr="00A964D1">
              <w:rPr>
                <w:color w:val="FFFFFF" w:themeColor="background1"/>
              </w:rPr>
              <w:t xml:space="preserve">Australian Public Assessment Report for </w:t>
            </w:r>
            <w:r w:rsidR="008B6F3C" w:rsidRPr="0095088D">
              <w:rPr>
                <w:color w:val="FFFFFF" w:themeColor="background1"/>
              </w:rPr>
              <w:t>Paritaprevir / Ritonavir / Ombitasvir</w:t>
            </w:r>
            <w:r w:rsidR="008B6F3C">
              <w:rPr>
                <w:color w:val="FFFFFF" w:themeColor="background1"/>
              </w:rPr>
              <w:t xml:space="preserve"> and Dasabuvir (as </w:t>
            </w:r>
            <w:r w:rsidR="00953E37">
              <w:rPr>
                <w:color w:val="FFFFFF" w:themeColor="background1"/>
              </w:rPr>
              <w:t>sodium s</w:t>
            </w:r>
            <w:r w:rsidR="008B6F3C">
              <w:rPr>
                <w:color w:val="FFFFFF" w:themeColor="background1"/>
              </w:rPr>
              <w:t>alt)</w:t>
            </w:r>
            <w:r w:rsidR="00AE5119">
              <w:rPr>
                <w:color w:val="FFFFFF" w:themeColor="background1"/>
              </w:rPr>
              <w:t xml:space="preserve"> </w:t>
            </w:r>
            <w:r w:rsidR="00FD001F">
              <w:rPr>
                <w:color w:val="FFFFFF" w:themeColor="background1"/>
              </w:rPr>
              <w:t>/</w:t>
            </w:r>
            <w:bookmarkStart w:id="0" w:name="_GoBack"/>
            <w:bookmarkEnd w:id="0"/>
            <w:r w:rsidR="00AE5119">
              <w:rPr>
                <w:color w:val="FFFFFF" w:themeColor="background1"/>
              </w:rPr>
              <w:t xml:space="preserve"> Ribavirin</w:t>
            </w:r>
          </w:p>
        </w:tc>
      </w:tr>
      <w:tr w:rsidR="0032583B" w:rsidRPr="00B64760" w:rsidTr="0032583B">
        <w:tc>
          <w:tcPr>
            <w:tcW w:w="9079" w:type="dxa"/>
          </w:tcPr>
          <w:p w:rsidR="0032583B" w:rsidRPr="008E7846" w:rsidRDefault="0095088D" w:rsidP="008B6F3C">
            <w:pPr>
              <w:pStyle w:val="Subtitle"/>
              <w:rPr>
                <w:color w:val="FFFFFF" w:themeColor="background1"/>
              </w:rPr>
            </w:pPr>
            <w:r>
              <w:rPr>
                <w:color w:val="FFFFFF" w:themeColor="background1"/>
              </w:rPr>
              <w:t xml:space="preserve">Proprietary Product Name: </w:t>
            </w:r>
            <w:r w:rsidR="008B6F3C">
              <w:rPr>
                <w:color w:val="FFFFFF" w:themeColor="background1"/>
              </w:rPr>
              <w:t>Viekira Pak</w:t>
            </w:r>
            <w:r w:rsidR="00991882">
              <w:rPr>
                <w:color w:val="FFFFFF" w:themeColor="background1"/>
              </w:rPr>
              <w:t>-</w:t>
            </w:r>
            <w:r w:rsidR="00AE5119">
              <w:rPr>
                <w:color w:val="FFFFFF" w:themeColor="background1"/>
              </w:rPr>
              <w:t>RBV</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8B6F3C">
              <w:rPr>
                <w:color w:val="FFFFFF" w:themeColor="background1"/>
              </w:rPr>
              <w:t xml:space="preserve"> </w:t>
            </w:r>
            <w:r w:rsidR="00766FAF">
              <w:rPr>
                <w:color w:val="FFFFFF" w:themeColor="background1"/>
              </w:rPr>
              <w:t>AbbVie</w:t>
            </w:r>
            <w:r w:rsidR="0095088D" w:rsidRPr="0095088D">
              <w:rPr>
                <w:color w:val="FFFFFF" w:themeColor="background1"/>
              </w:rPr>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847B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847B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847B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847B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847BA">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926A16">
        <w:t xml:space="preserve">&lt; </w:t>
      </w:r>
      <w:hyperlink r:id="rId9" w:history="1">
        <w:r w:rsidR="00441C3F">
          <w:rPr>
            <w:rStyle w:val="Hyperlink"/>
          </w:rPr>
          <w:t>https://www.tga.gov.au</w:t>
        </w:r>
      </w:hyperlink>
      <w:r w:rsidR="000C3156">
        <w:t>&gt;</w:t>
      </w:r>
      <w:r w:rsidR="00441C3F">
        <w:t>.</w:t>
      </w:r>
    </w:p>
    <w:p w:rsidR="008E7846" w:rsidRDefault="008E7846" w:rsidP="00875A6B">
      <w:pPr>
        <w:pStyle w:val="NonTOCHeading2"/>
      </w:pPr>
      <w:r>
        <w:t>About AusPARs</w:t>
      </w:r>
    </w:p>
    <w:p w:rsidR="008E7846" w:rsidRDefault="008E7846" w:rsidP="008847B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847BA">
      <w:pPr>
        <w:pStyle w:val="ListBullet"/>
        <w:numPr>
          <w:ilvl w:val="0"/>
          <w:numId w:val="1"/>
        </w:numPr>
        <w:ind w:left="357" w:hanging="357"/>
      </w:pPr>
      <w:r>
        <w:t>AusPARs are prepared and published by the TGA.</w:t>
      </w:r>
    </w:p>
    <w:p w:rsidR="008E7846" w:rsidRDefault="008E7846" w:rsidP="008847B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8847B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8847B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D784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926A16">
        <w:rPr>
          <w:rFonts w:cs="Arial"/>
          <w:lang w:val="en-GB"/>
        </w:rPr>
        <w:t xml:space="preserve">&lt; </w:t>
      </w:r>
      <w:hyperlink r:id="rId10" w:history="1">
        <w:r w:rsidRPr="00191B3B">
          <w:rPr>
            <w:rStyle w:val="Hyperlink"/>
            <w:rFonts w:cs="Arial"/>
            <w:lang w:val="en-GB"/>
          </w:rPr>
          <w:t>tga.copyright@tga.gov.au</w:t>
        </w:r>
      </w:hyperlink>
      <w:proofErr w:type="gramStart"/>
      <w:r w:rsidR="000C3156">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05D3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0811545" w:history="1">
            <w:r w:rsidR="00605D3B" w:rsidRPr="00612375">
              <w:rPr>
                <w:rStyle w:val="Hyperlink"/>
                <w:noProof/>
              </w:rPr>
              <w:t>Common abbreviations</w:t>
            </w:r>
            <w:r w:rsidR="00605D3B">
              <w:rPr>
                <w:noProof/>
                <w:webHidden/>
              </w:rPr>
              <w:tab/>
            </w:r>
            <w:r w:rsidR="00605D3B">
              <w:rPr>
                <w:noProof/>
                <w:webHidden/>
              </w:rPr>
              <w:fldChar w:fldCharType="begin"/>
            </w:r>
            <w:r w:rsidR="00605D3B">
              <w:rPr>
                <w:noProof/>
                <w:webHidden/>
              </w:rPr>
              <w:instrText xml:space="preserve"> PAGEREF _Toc480811545 \h </w:instrText>
            </w:r>
            <w:r w:rsidR="00605D3B">
              <w:rPr>
                <w:noProof/>
                <w:webHidden/>
              </w:rPr>
            </w:r>
            <w:r w:rsidR="00605D3B">
              <w:rPr>
                <w:noProof/>
                <w:webHidden/>
              </w:rPr>
              <w:fldChar w:fldCharType="separate"/>
            </w:r>
            <w:r w:rsidR="00605D3B">
              <w:rPr>
                <w:noProof/>
                <w:webHidden/>
              </w:rPr>
              <w:t>5</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46" w:history="1">
            <w:r w:rsidR="00605D3B" w:rsidRPr="00612375">
              <w:rPr>
                <w:rStyle w:val="Hyperlink"/>
                <w:noProof/>
              </w:rPr>
              <w:t>I. Introduction to product submission</w:t>
            </w:r>
            <w:r w:rsidR="00605D3B">
              <w:rPr>
                <w:noProof/>
                <w:webHidden/>
              </w:rPr>
              <w:tab/>
            </w:r>
            <w:r w:rsidR="00605D3B">
              <w:rPr>
                <w:noProof/>
                <w:webHidden/>
              </w:rPr>
              <w:fldChar w:fldCharType="begin"/>
            </w:r>
            <w:r w:rsidR="00605D3B">
              <w:rPr>
                <w:noProof/>
                <w:webHidden/>
              </w:rPr>
              <w:instrText xml:space="preserve"> PAGEREF _Toc480811546 \h </w:instrText>
            </w:r>
            <w:r w:rsidR="00605D3B">
              <w:rPr>
                <w:noProof/>
                <w:webHidden/>
              </w:rPr>
            </w:r>
            <w:r w:rsidR="00605D3B">
              <w:rPr>
                <w:noProof/>
                <w:webHidden/>
              </w:rPr>
              <w:fldChar w:fldCharType="separate"/>
            </w:r>
            <w:r w:rsidR="00605D3B">
              <w:rPr>
                <w:noProof/>
                <w:webHidden/>
              </w:rPr>
              <w:t>11</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47" w:history="1">
            <w:r w:rsidR="00605D3B" w:rsidRPr="00612375">
              <w:rPr>
                <w:rStyle w:val="Hyperlink"/>
                <w:noProof/>
                <w:lang w:eastAsia="en-AU"/>
              </w:rPr>
              <w:t>Submission details</w:t>
            </w:r>
            <w:r w:rsidR="00605D3B">
              <w:rPr>
                <w:noProof/>
                <w:webHidden/>
              </w:rPr>
              <w:tab/>
            </w:r>
            <w:r w:rsidR="00605D3B">
              <w:rPr>
                <w:noProof/>
                <w:webHidden/>
              </w:rPr>
              <w:fldChar w:fldCharType="begin"/>
            </w:r>
            <w:r w:rsidR="00605D3B">
              <w:rPr>
                <w:noProof/>
                <w:webHidden/>
              </w:rPr>
              <w:instrText xml:space="preserve"> PAGEREF _Toc480811547 \h </w:instrText>
            </w:r>
            <w:r w:rsidR="00605D3B">
              <w:rPr>
                <w:noProof/>
                <w:webHidden/>
              </w:rPr>
            </w:r>
            <w:r w:rsidR="00605D3B">
              <w:rPr>
                <w:noProof/>
                <w:webHidden/>
              </w:rPr>
              <w:fldChar w:fldCharType="separate"/>
            </w:r>
            <w:r w:rsidR="00605D3B">
              <w:rPr>
                <w:noProof/>
                <w:webHidden/>
              </w:rPr>
              <w:t>11</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48" w:history="1">
            <w:r w:rsidR="00605D3B" w:rsidRPr="00612375">
              <w:rPr>
                <w:rStyle w:val="Hyperlink"/>
                <w:noProof/>
              </w:rPr>
              <w:t>Product background</w:t>
            </w:r>
            <w:r w:rsidR="00605D3B">
              <w:rPr>
                <w:noProof/>
                <w:webHidden/>
              </w:rPr>
              <w:tab/>
            </w:r>
            <w:r w:rsidR="00605D3B">
              <w:rPr>
                <w:noProof/>
                <w:webHidden/>
              </w:rPr>
              <w:fldChar w:fldCharType="begin"/>
            </w:r>
            <w:r w:rsidR="00605D3B">
              <w:rPr>
                <w:noProof/>
                <w:webHidden/>
              </w:rPr>
              <w:instrText xml:space="preserve"> PAGEREF _Toc480811548 \h </w:instrText>
            </w:r>
            <w:r w:rsidR="00605D3B">
              <w:rPr>
                <w:noProof/>
                <w:webHidden/>
              </w:rPr>
            </w:r>
            <w:r w:rsidR="00605D3B">
              <w:rPr>
                <w:noProof/>
                <w:webHidden/>
              </w:rPr>
              <w:fldChar w:fldCharType="separate"/>
            </w:r>
            <w:r w:rsidR="00605D3B">
              <w:rPr>
                <w:noProof/>
                <w:webHidden/>
              </w:rPr>
              <w:t>12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49" w:history="1">
            <w:r w:rsidR="00605D3B" w:rsidRPr="00612375">
              <w:rPr>
                <w:rStyle w:val="Hyperlink"/>
                <w:noProof/>
              </w:rPr>
              <w:t>Regulatory status</w:t>
            </w:r>
            <w:r w:rsidR="00605D3B">
              <w:rPr>
                <w:noProof/>
                <w:webHidden/>
              </w:rPr>
              <w:tab/>
            </w:r>
            <w:r w:rsidR="00605D3B">
              <w:rPr>
                <w:noProof/>
                <w:webHidden/>
              </w:rPr>
              <w:fldChar w:fldCharType="begin"/>
            </w:r>
            <w:r w:rsidR="00605D3B">
              <w:rPr>
                <w:noProof/>
                <w:webHidden/>
              </w:rPr>
              <w:instrText xml:space="preserve"> PAGEREF _Toc480811549 \h </w:instrText>
            </w:r>
            <w:r w:rsidR="00605D3B">
              <w:rPr>
                <w:noProof/>
                <w:webHidden/>
              </w:rPr>
            </w:r>
            <w:r w:rsidR="00605D3B">
              <w:rPr>
                <w:noProof/>
                <w:webHidden/>
              </w:rPr>
              <w:fldChar w:fldCharType="separate"/>
            </w:r>
            <w:r w:rsidR="00605D3B">
              <w:rPr>
                <w:noProof/>
                <w:webHidden/>
              </w:rPr>
              <w:t>13</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0" w:history="1">
            <w:r w:rsidR="00605D3B" w:rsidRPr="00612375">
              <w:rPr>
                <w:rStyle w:val="Hyperlink"/>
                <w:noProof/>
              </w:rPr>
              <w:t>Product information</w:t>
            </w:r>
            <w:r w:rsidR="00605D3B">
              <w:rPr>
                <w:noProof/>
                <w:webHidden/>
              </w:rPr>
              <w:tab/>
            </w:r>
            <w:r w:rsidR="00605D3B">
              <w:rPr>
                <w:noProof/>
                <w:webHidden/>
              </w:rPr>
              <w:fldChar w:fldCharType="begin"/>
            </w:r>
            <w:r w:rsidR="00605D3B">
              <w:rPr>
                <w:noProof/>
                <w:webHidden/>
              </w:rPr>
              <w:instrText xml:space="preserve"> PAGEREF _Toc480811550 \h </w:instrText>
            </w:r>
            <w:r w:rsidR="00605D3B">
              <w:rPr>
                <w:noProof/>
                <w:webHidden/>
              </w:rPr>
            </w:r>
            <w:r w:rsidR="00605D3B">
              <w:rPr>
                <w:noProof/>
                <w:webHidden/>
              </w:rPr>
              <w:fldChar w:fldCharType="separate"/>
            </w:r>
            <w:r w:rsidR="00605D3B">
              <w:rPr>
                <w:noProof/>
                <w:webHidden/>
              </w:rPr>
              <w:t>15</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51" w:history="1">
            <w:r w:rsidR="00605D3B" w:rsidRPr="00612375">
              <w:rPr>
                <w:rStyle w:val="Hyperlink"/>
                <w:noProof/>
              </w:rPr>
              <w:t>II. Quality findings</w:t>
            </w:r>
            <w:r w:rsidR="00605D3B">
              <w:rPr>
                <w:noProof/>
                <w:webHidden/>
              </w:rPr>
              <w:tab/>
            </w:r>
            <w:r w:rsidR="00605D3B">
              <w:rPr>
                <w:noProof/>
                <w:webHidden/>
              </w:rPr>
              <w:fldChar w:fldCharType="begin"/>
            </w:r>
            <w:r w:rsidR="00605D3B">
              <w:rPr>
                <w:noProof/>
                <w:webHidden/>
              </w:rPr>
              <w:instrText xml:space="preserve"> PAGEREF _Toc480811551 \h </w:instrText>
            </w:r>
            <w:r w:rsidR="00605D3B">
              <w:rPr>
                <w:noProof/>
                <w:webHidden/>
              </w:rPr>
            </w:r>
            <w:r w:rsidR="00605D3B">
              <w:rPr>
                <w:noProof/>
                <w:webHidden/>
              </w:rPr>
              <w:fldChar w:fldCharType="separate"/>
            </w:r>
            <w:r w:rsidR="00605D3B">
              <w:rPr>
                <w:noProof/>
                <w:webHidden/>
              </w:rPr>
              <w:t>15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2" w:history="1">
            <w:r w:rsidR="00605D3B" w:rsidRPr="00612375">
              <w:rPr>
                <w:rStyle w:val="Hyperlink"/>
                <w:noProof/>
              </w:rPr>
              <w:t>Introduction</w:t>
            </w:r>
            <w:r w:rsidR="00605D3B">
              <w:rPr>
                <w:noProof/>
                <w:webHidden/>
              </w:rPr>
              <w:tab/>
            </w:r>
            <w:r w:rsidR="00605D3B">
              <w:rPr>
                <w:noProof/>
                <w:webHidden/>
              </w:rPr>
              <w:fldChar w:fldCharType="begin"/>
            </w:r>
            <w:r w:rsidR="00605D3B">
              <w:rPr>
                <w:noProof/>
                <w:webHidden/>
              </w:rPr>
              <w:instrText xml:space="preserve"> PAGEREF _Toc480811552 \h </w:instrText>
            </w:r>
            <w:r w:rsidR="00605D3B">
              <w:rPr>
                <w:noProof/>
                <w:webHidden/>
              </w:rPr>
            </w:r>
            <w:r w:rsidR="00605D3B">
              <w:rPr>
                <w:noProof/>
                <w:webHidden/>
              </w:rPr>
              <w:fldChar w:fldCharType="separate"/>
            </w:r>
            <w:r w:rsidR="00605D3B">
              <w:rPr>
                <w:noProof/>
                <w:webHidden/>
              </w:rPr>
              <w:t>15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3" w:history="1">
            <w:r w:rsidR="00605D3B" w:rsidRPr="00612375">
              <w:rPr>
                <w:rStyle w:val="Hyperlink"/>
                <w:noProof/>
              </w:rPr>
              <w:t>Drug substances (active ingredients)</w:t>
            </w:r>
            <w:r w:rsidR="00605D3B">
              <w:rPr>
                <w:noProof/>
                <w:webHidden/>
              </w:rPr>
              <w:tab/>
            </w:r>
            <w:r w:rsidR="00605D3B">
              <w:rPr>
                <w:noProof/>
                <w:webHidden/>
              </w:rPr>
              <w:fldChar w:fldCharType="begin"/>
            </w:r>
            <w:r w:rsidR="00605D3B">
              <w:rPr>
                <w:noProof/>
                <w:webHidden/>
              </w:rPr>
              <w:instrText xml:space="preserve"> PAGEREF _Toc480811553 \h </w:instrText>
            </w:r>
            <w:r w:rsidR="00605D3B">
              <w:rPr>
                <w:noProof/>
                <w:webHidden/>
              </w:rPr>
            </w:r>
            <w:r w:rsidR="00605D3B">
              <w:rPr>
                <w:noProof/>
                <w:webHidden/>
              </w:rPr>
              <w:fldChar w:fldCharType="separate"/>
            </w:r>
            <w:r w:rsidR="00605D3B">
              <w:rPr>
                <w:noProof/>
                <w:webHidden/>
              </w:rPr>
              <w:t>17</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4" w:history="1">
            <w:r w:rsidR="00605D3B" w:rsidRPr="00612375">
              <w:rPr>
                <w:rStyle w:val="Hyperlink"/>
                <w:noProof/>
              </w:rPr>
              <w:t>Drug product</w:t>
            </w:r>
            <w:r w:rsidR="00605D3B">
              <w:rPr>
                <w:noProof/>
                <w:webHidden/>
              </w:rPr>
              <w:tab/>
            </w:r>
            <w:r w:rsidR="00605D3B">
              <w:rPr>
                <w:noProof/>
                <w:webHidden/>
              </w:rPr>
              <w:fldChar w:fldCharType="begin"/>
            </w:r>
            <w:r w:rsidR="00605D3B">
              <w:rPr>
                <w:noProof/>
                <w:webHidden/>
              </w:rPr>
              <w:instrText xml:space="preserve"> PAGEREF _Toc480811554 \h </w:instrText>
            </w:r>
            <w:r w:rsidR="00605D3B">
              <w:rPr>
                <w:noProof/>
                <w:webHidden/>
              </w:rPr>
            </w:r>
            <w:r w:rsidR="00605D3B">
              <w:rPr>
                <w:noProof/>
                <w:webHidden/>
              </w:rPr>
              <w:fldChar w:fldCharType="separate"/>
            </w:r>
            <w:r w:rsidR="00605D3B">
              <w:rPr>
                <w:noProof/>
                <w:webHidden/>
              </w:rPr>
              <w:t>20</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5" w:history="1">
            <w:r w:rsidR="00605D3B" w:rsidRPr="00612375">
              <w:rPr>
                <w:rStyle w:val="Hyperlink"/>
                <w:noProof/>
              </w:rPr>
              <w:t>Biopharmaceutics- both component tablets</w:t>
            </w:r>
            <w:r w:rsidR="00605D3B">
              <w:rPr>
                <w:noProof/>
                <w:webHidden/>
              </w:rPr>
              <w:tab/>
            </w:r>
            <w:r w:rsidR="00605D3B">
              <w:rPr>
                <w:noProof/>
                <w:webHidden/>
              </w:rPr>
              <w:fldChar w:fldCharType="begin"/>
            </w:r>
            <w:r w:rsidR="00605D3B">
              <w:rPr>
                <w:noProof/>
                <w:webHidden/>
              </w:rPr>
              <w:instrText xml:space="preserve"> PAGEREF _Toc480811555 \h </w:instrText>
            </w:r>
            <w:r w:rsidR="00605D3B">
              <w:rPr>
                <w:noProof/>
                <w:webHidden/>
              </w:rPr>
            </w:r>
            <w:r w:rsidR="00605D3B">
              <w:rPr>
                <w:noProof/>
                <w:webHidden/>
              </w:rPr>
              <w:fldChar w:fldCharType="separate"/>
            </w:r>
            <w:r w:rsidR="00605D3B">
              <w:rPr>
                <w:noProof/>
                <w:webHidden/>
              </w:rPr>
              <w:t>25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6" w:history="1">
            <w:r w:rsidR="00605D3B" w:rsidRPr="00612375">
              <w:rPr>
                <w:rStyle w:val="Hyperlink"/>
                <w:noProof/>
              </w:rPr>
              <w:t>Quality summary and conclusions</w:t>
            </w:r>
            <w:r w:rsidR="00605D3B">
              <w:rPr>
                <w:noProof/>
                <w:webHidden/>
              </w:rPr>
              <w:tab/>
            </w:r>
            <w:r w:rsidR="00605D3B">
              <w:rPr>
                <w:noProof/>
                <w:webHidden/>
              </w:rPr>
              <w:fldChar w:fldCharType="begin"/>
            </w:r>
            <w:r w:rsidR="00605D3B">
              <w:rPr>
                <w:noProof/>
                <w:webHidden/>
              </w:rPr>
              <w:instrText xml:space="preserve"> PAGEREF _Toc480811556 \h </w:instrText>
            </w:r>
            <w:r w:rsidR="00605D3B">
              <w:rPr>
                <w:noProof/>
                <w:webHidden/>
              </w:rPr>
            </w:r>
            <w:r w:rsidR="00605D3B">
              <w:rPr>
                <w:noProof/>
                <w:webHidden/>
              </w:rPr>
              <w:fldChar w:fldCharType="separate"/>
            </w:r>
            <w:r w:rsidR="00605D3B">
              <w:rPr>
                <w:noProof/>
                <w:webHidden/>
              </w:rPr>
              <w:t>29</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57" w:history="1">
            <w:r w:rsidR="00605D3B" w:rsidRPr="00612375">
              <w:rPr>
                <w:rStyle w:val="Hyperlink"/>
                <w:noProof/>
              </w:rPr>
              <w:t>III. Nonclinical findings</w:t>
            </w:r>
            <w:r w:rsidR="00605D3B">
              <w:rPr>
                <w:noProof/>
                <w:webHidden/>
              </w:rPr>
              <w:tab/>
            </w:r>
            <w:r w:rsidR="00605D3B">
              <w:rPr>
                <w:noProof/>
                <w:webHidden/>
              </w:rPr>
              <w:fldChar w:fldCharType="begin"/>
            </w:r>
            <w:r w:rsidR="00605D3B">
              <w:rPr>
                <w:noProof/>
                <w:webHidden/>
              </w:rPr>
              <w:instrText xml:space="preserve"> PAGEREF _Toc480811557 \h </w:instrText>
            </w:r>
            <w:r w:rsidR="00605D3B">
              <w:rPr>
                <w:noProof/>
                <w:webHidden/>
              </w:rPr>
            </w:r>
            <w:r w:rsidR="00605D3B">
              <w:rPr>
                <w:noProof/>
                <w:webHidden/>
              </w:rPr>
              <w:fldChar w:fldCharType="separate"/>
            </w:r>
            <w:r w:rsidR="00605D3B">
              <w:rPr>
                <w:noProof/>
                <w:webHidden/>
              </w:rPr>
              <w:t>29</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8" w:history="1">
            <w:r w:rsidR="00605D3B" w:rsidRPr="00612375">
              <w:rPr>
                <w:rStyle w:val="Hyperlink"/>
                <w:noProof/>
              </w:rPr>
              <w:t>Introduction</w:t>
            </w:r>
            <w:r w:rsidR="00605D3B">
              <w:rPr>
                <w:noProof/>
                <w:webHidden/>
              </w:rPr>
              <w:tab/>
            </w:r>
            <w:r w:rsidR="00605D3B">
              <w:rPr>
                <w:noProof/>
                <w:webHidden/>
              </w:rPr>
              <w:fldChar w:fldCharType="begin"/>
            </w:r>
            <w:r w:rsidR="00605D3B">
              <w:rPr>
                <w:noProof/>
                <w:webHidden/>
              </w:rPr>
              <w:instrText xml:space="preserve"> PAGEREF _Toc480811558 \h </w:instrText>
            </w:r>
            <w:r w:rsidR="00605D3B">
              <w:rPr>
                <w:noProof/>
                <w:webHidden/>
              </w:rPr>
            </w:r>
            <w:r w:rsidR="00605D3B">
              <w:rPr>
                <w:noProof/>
                <w:webHidden/>
              </w:rPr>
              <w:fldChar w:fldCharType="separate"/>
            </w:r>
            <w:r w:rsidR="00605D3B">
              <w:rPr>
                <w:noProof/>
                <w:webHidden/>
              </w:rPr>
              <w:t>29</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59" w:history="1">
            <w:r w:rsidR="00605D3B" w:rsidRPr="00612375">
              <w:rPr>
                <w:rStyle w:val="Hyperlink"/>
                <w:noProof/>
              </w:rPr>
              <w:t>Paritaprevir</w:t>
            </w:r>
            <w:r w:rsidR="00605D3B">
              <w:rPr>
                <w:noProof/>
                <w:webHidden/>
              </w:rPr>
              <w:tab/>
            </w:r>
            <w:r w:rsidR="00605D3B">
              <w:rPr>
                <w:noProof/>
                <w:webHidden/>
              </w:rPr>
              <w:fldChar w:fldCharType="begin"/>
            </w:r>
            <w:r w:rsidR="00605D3B">
              <w:rPr>
                <w:noProof/>
                <w:webHidden/>
              </w:rPr>
              <w:instrText xml:space="preserve"> PAGEREF _Toc480811559 \h </w:instrText>
            </w:r>
            <w:r w:rsidR="00605D3B">
              <w:rPr>
                <w:noProof/>
                <w:webHidden/>
              </w:rPr>
            </w:r>
            <w:r w:rsidR="00605D3B">
              <w:rPr>
                <w:noProof/>
                <w:webHidden/>
              </w:rPr>
              <w:fldChar w:fldCharType="separate"/>
            </w:r>
            <w:r w:rsidR="00605D3B">
              <w:rPr>
                <w:noProof/>
                <w:webHidden/>
              </w:rPr>
              <w:t>30</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0" w:history="1">
            <w:r w:rsidR="00605D3B" w:rsidRPr="00612375">
              <w:rPr>
                <w:rStyle w:val="Hyperlink"/>
                <w:noProof/>
              </w:rPr>
              <w:t>Pharmacology - paritaprevir</w:t>
            </w:r>
            <w:r w:rsidR="00605D3B">
              <w:rPr>
                <w:noProof/>
                <w:webHidden/>
              </w:rPr>
              <w:tab/>
            </w:r>
            <w:r w:rsidR="00605D3B">
              <w:rPr>
                <w:noProof/>
                <w:webHidden/>
              </w:rPr>
              <w:fldChar w:fldCharType="begin"/>
            </w:r>
            <w:r w:rsidR="00605D3B">
              <w:rPr>
                <w:noProof/>
                <w:webHidden/>
              </w:rPr>
              <w:instrText xml:space="preserve"> PAGEREF _Toc480811560 \h </w:instrText>
            </w:r>
            <w:r w:rsidR="00605D3B">
              <w:rPr>
                <w:noProof/>
                <w:webHidden/>
              </w:rPr>
            </w:r>
            <w:r w:rsidR="00605D3B">
              <w:rPr>
                <w:noProof/>
                <w:webHidden/>
              </w:rPr>
              <w:fldChar w:fldCharType="separate"/>
            </w:r>
            <w:r w:rsidR="00605D3B">
              <w:rPr>
                <w:noProof/>
                <w:webHidden/>
              </w:rPr>
              <w:t>30</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1" w:history="1">
            <w:r w:rsidR="00605D3B" w:rsidRPr="00612375">
              <w:rPr>
                <w:rStyle w:val="Hyperlink"/>
                <w:noProof/>
              </w:rPr>
              <w:t>Pharmacokinetics- paritaprevir</w:t>
            </w:r>
            <w:r w:rsidR="00605D3B">
              <w:rPr>
                <w:noProof/>
                <w:webHidden/>
              </w:rPr>
              <w:tab/>
            </w:r>
            <w:r w:rsidR="00605D3B">
              <w:rPr>
                <w:noProof/>
                <w:webHidden/>
              </w:rPr>
              <w:fldChar w:fldCharType="begin"/>
            </w:r>
            <w:r w:rsidR="00605D3B">
              <w:rPr>
                <w:noProof/>
                <w:webHidden/>
              </w:rPr>
              <w:instrText xml:space="preserve"> PAGEREF _Toc480811561 \h </w:instrText>
            </w:r>
            <w:r w:rsidR="00605D3B">
              <w:rPr>
                <w:noProof/>
                <w:webHidden/>
              </w:rPr>
            </w:r>
            <w:r w:rsidR="00605D3B">
              <w:rPr>
                <w:noProof/>
                <w:webHidden/>
              </w:rPr>
              <w:fldChar w:fldCharType="separate"/>
            </w:r>
            <w:r w:rsidR="00605D3B">
              <w:rPr>
                <w:noProof/>
                <w:webHidden/>
              </w:rPr>
              <w:t>34</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2" w:history="1">
            <w:r w:rsidR="00605D3B" w:rsidRPr="00612375">
              <w:rPr>
                <w:rStyle w:val="Hyperlink"/>
                <w:noProof/>
              </w:rPr>
              <w:t>Toxicology - paritaprevir</w:t>
            </w:r>
            <w:r w:rsidR="00605D3B">
              <w:rPr>
                <w:noProof/>
                <w:webHidden/>
              </w:rPr>
              <w:tab/>
            </w:r>
            <w:r w:rsidR="00605D3B">
              <w:rPr>
                <w:noProof/>
                <w:webHidden/>
              </w:rPr>
              <w:fldChar w:fldCharType="begin"/>
            </w:r>
            <w:r w:rsidR="00605D3B">
              <w:rPr>
                <w:noProof/>
                <w:webHidden/>
              </w:rPr>
              <w:instrText xml:space="preserve"> PAGEREF _Toc480811562 \h </w:instrText>
            </w:r>
            <w:r w:rsidR="00605D3B">
              <w:rPr>
                <w:noProof/>
                <w:webHidden/>
              </w:rPr>
            </w:r>
            <w:r w:rsidR="00605D3B">
              <w:rPr>
                <w:noProof/>
                <w:webHidden/>
              </w:rPr>
              <w:fldChar w:fldCharType="separate"/>
            </w:r>
            <w:r w:rsidR="00605D3B">
              <w:rPr>
                <w:noProof/>
                <w:webHidden/>
              </w:rPr>
              <w:t>36</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3" w:history="1">
            <w:r w:rsidR="00605D3B" w:rsidRPr="00612375">
              <w:rPr>
                <w:rStyle w:val="Hyperlink"/>
                <w:noProof/>
              </w:rPr>
              <w:t>Nonclinical summary and conclusions- paritaprevir</w:t>
            </w:r>
            <w:r w:rsidR="00605D3B">
              <w:rPr>
                <w:noProof/>
                <w:webHidden/>
              </w:rPr>
              <w:tab/>
            </w:r>
            <w:r w:rsidR="00605D3B">
              <w:rPr>
                <w:noProof/>
                <w:webHidden/>
              </w:rPr>
              <w:fldChar w:fldCharType="begin"/>
            </w:r>
            <w:r w:rsidR="00605D3B">
              <w:rPr>
                <w:noProof/>
                <w:webHidden/>
              </w:rPr>
              <w:instrText xml:space="preserve"> PAGEREF _Toc480811563 \h </w:instrText>
            </w:r>
            <w:r w:rsidR="00605D3B">
              <w:rPr>
                <w:noProof/>
                <w:webHidden/>
              </w:rPr>
            </w:r>
            <w:r w:rsidR="00605D3B">
              <w:rPr>
                <w:noProof/>
                <w:webHidden/>
              </w:rPr>
              <w:fldChar w:fldCharType="separate"/>
            </w:r>
            <w:r w:rsidR="00605D3B">
              <w:rPr>
                <w:noProof/>
                <w:webHidden/>
              </w:rPr>
              <w:t>43</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4" w:history="1">
            <w:r w:rsidR="00605D3B" w:rsidRPr="00612375">
              <w:rPr>
                <w:rStyle w:val="Hyperlink"/>
                <w:noProof/>
              </w:rPr>
              <w:t>Ombitasvir</w:t>
            </w:r>
            <w:r w:rsidR="00605D3B">
              <w:rPr>
                <w:noProof/>
                <w:webHidden/>
              </w:rPr>
              <w:tab/>
            </w:r>
            <w:r w:rsidR="00605D3B">
              <w:rPr>
                <w:noProof/>
                <w:webHidden/>
              </w:rPr>
              <w:fldChar w:fldCharType="begin"/>
            </w:r>
            <w:r w:rsidR="00605D3B">
              <w:rPr>
                <w:noProof/>
                <w:webHidden/>
              </w:rPr>
              <w:instrText xml:space="preserve"> PAGEREF _Toc480811564 \h </w:instrText>
            </w:r>
            <w:r w:rsidR="00605D3B">
              <w:rPr>
                <w:noProof/>
                <w:webHidden/>
              </w:rPr>
            </w:r>
            <w:r w:rsidR="00605D3B">
              <w:rPr>
                <w:noProof/>
                <w:webHidden/>
              </w:rPr>
              <w:fldChar w:fldCharType="separate"/>
            </w:r>
            <w:r w:rsidR="00605D3B">
              <w:rPr>
                <w:noProof/>
                <w:webHidden/>
              </w:rPr>
              <w:t>45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5" w:history="1">
            <w:r w:rsidR="00605D3B" w:rsidRPr="00612375">
              <w:rPr>
                <w:rStyle w:val="Hyperlink"/>
                <w:noProof/>
              </w:rPr>
              <w:t>Pharmacology - Ombitasvir</w:t>
            </w:r>
            <w:r w:rsidR="00605D3B">
              <w:rPr>
                <w:noProof/>
                <w:webHidden/>
              </w:rPr>
              <w:tab/>
            </w:r>
            <w:r w:rsidR="00605D3B">
              <w:rPr>
                <w:noProof/>
                <w:webHidden/>
              </w:rPr>
              <w:fldChar w:fldCharType="begin"/>
            </w:r>
            <w:r w:rsidR="00605D3B">
              <w:rPr>
                <w:noProof/>
                <w:webHidden/>
              </w:rPr>
              <w:instrText xml:space="preserve"> PAGEREF _Toc480811565 \h </w:instrText>
            </w:r>
            <w:r w:rsidR="00605D3B">
              <w:rPr>
                <w:noProof/>
                <w:webHidden/>
              </w:rPr>
            </w:r>
            <w:r w:rsidR="00605D3B">
              <w:rPr>
                <w:noProof/>
                <w:webHidden/>
              </w:rPr>
              <w:fldChar w:fldCharType="separate"/>
            </w:r>
            <w:r w:rsidR="00605D3B">
              <w:rPr>
                <w:noProof/>
                <w:webHidden/>
              </w:rPr>
              <w:t>45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6" w:history="1">
            <w:r w:rsidR="00605D3B" w:rsidRPr="00612375">
              <w:rPr>
                <w:rStyle w:val="Hyperlink"/>
                <w:noProof/>
              </w:rPr>
              <w:t>Pharmacokinetics - ombitasvir</w:t>
            </w:r>
            <w:r w:rsidR="00605D3B">
              <w:rPr>
                <w:noProof/>
                <w:webHidden/>
              </w:rPr>
              <w:tab/>
            </w:r>
            <w:r w:rsidR="00605D3B">
              <w:rPr>
                <w:noProof/>
                <w:webHidden/>
              </w:rPr>
              <w:fldChar w:fldCharType="begin"/>
            </w:r>
            <w:r w:rsidR="00605D3B">
              <w:rPr>
                <w:noProof/>
                <w:webHidden/>
              </w:rPr>
              <w:instrText xml:space="preserve"> PAGEREF _Toc480811566 \h </w:instrText>
            </w:r>
            <w:r w:rsidR="00605D3B">
              <w:rPr>
                <w:noProof/>
                <w:webHidden/>
              </w:rPr>
            </w:r>
            <w:r w:rsidR="00605D3B">
              <w:rPr>
                <w:noProof/>
                <w:webHidden/>
              </w:rPr>
              <w:fldChar w:fldCharType="separate"/>
            </w:r>
            <w:r w:rsidR="00605D3B">
              <w:rPr>
                <w:noProof/>
                <w:webHidden/>
              </w:rPr>
              <w:t>47</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7" w:history="1">
            <w:r w:rsidR="00605D3B" w:rsidRPr="00612375">
              <w:rPr>
                <w:rStyle w:val="Hyperlink"/>
                <w:noProof/>
              </w:rPr>
              <w:t>Toxicology - Ombitasvir</w:t>
            </w:r>
            <w:r w:rsidR="00605D3B">
              <w:rPr>
                <w:noProof/>
                <w:webHidden/>
              </w:rPr>
              <w:tab/>
            </w:r>
            <w:r w:rsidR="00605D3B">
              <w:rPr>
                <w:noProof/>
                <w:webHidden/>
              </w:rPr>
              <w:fldChar w:fldCharType="begin"/>
            </w:r>
            <w:r w:rsidR="00605D3B">
              <w:rPr>
                <w:noProof/>
                <w:webHidden/>
              </w:rPr>
              <w:instrText xml:space="preserve"> PAGEREF _Toc480811567 \h </w:instrText>
            </w:r>
            <w:r w:rsidR="00605D3B">
              <w:rPr>
                <w:noProof/>
                <w:webHidden/>
              </w:rPr>
            </w:r>
            <w:r w:rsidR="00605D3B">
              <w:rPr>
                <w:noProof/>
                <w:webHidden/>
              </w:rPr>
              <w:fldChar w:fldCharType="separate"/>
            </w:r>
            <w:r w:rsidR="00605D3B">
              <w:rPr>
                <w:noProof/>
                <w:webHidden/>
              </w:rPr>
              <w:t>48</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8" w:history="1">
            <w:r w:rsidR="00605D3B" w:rsidRPr="00612375">
              <w:rPr>
                <w:rStyle w:val="Hyperlink"/>
                <w:noProof/>
              </w:rPr>
              <w:t>Nonclinical summary and conclusions - Ombitasvir</w:t>
            </w:r>
            <w:r w:rsidR="00605D3B">
              <w:rPr>
                <w:noProof/>
                <w:webHidden/>
              </w:rPr>
              <w:tab/>
            </w:r>
            <w:r w:rsidR="00605D3B">
              <w:rPr>
                <w:noProof/>
                <w:webHidden/>
              </w:rPr>
              <w:fldChar w:fldCharType="begin"/>
            </w:r>
            <w:r w:rsidR="00605D3B">
              <w:rPr>
                <w:noProof/>
                <w:webHidden/>
              </w:rPr>
              <w:instrText xml:space="preserve"> PAGEREF _Toc480811568 \h </w:instrText>
            </w:r>
            <w:r w:rsidR="00605D3B">
              <w:rPr>
                <w:noProof/>
                <w:webHidden/>
              </w:rPr>
            </w:r>
            <w:r w:rsidR="00605D3B">
              <w:rPr>
                <w:noProof/>
                <w:webHidden/>
              </w:rPr>
              <w:fldChar w:fldCharType="separate"/>
            </w:r>
            <w:r w:rsidR="00605D3B">
              <w:rPr>
                <w:noProof/>
                <w:webHidden/>
              </w:rPr>
              <w:t>54</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69" w:history="1">
            <w:r w:rsidR="00605D3B" w:rsidRPr="00612375">
              <w:rPr>
                <w:rStyle w:val="Hyperlink"/>
                <w:noProof/>
              </w:rPr>
              <w:t>Dasabuvir</w:t>
            </w:r>
            <w:r w:rsidR="00605D3B">
              <w:rPr>
                <w:noProof/>
                <w:webHidden/>
              </w:rPr>
              <w:tab/>
            </w:r>
            <w:r w:rsidR="00605D3B">
              <w:rPr>
                <w:noProof/>
                <w:webHidden/>
              </w:rPr>
              <w:fldChar w:fldCharType="begin"/>
            </w:r>
            <w:r w:rsidR="00605D3B">
              <w:rPr>
                <w:noProof/>
                <w:webHidden/>
              </w:rPr>
              <w:instrText xml:space="preserve"> PAGEREF _Toc480811569 \h </w:instrText>
            </w:r>
            <w:r w:rsidR="00605D3B">
              <w:rPr>
                <w:noProof/>
                <w:webHidden/>
              </w:rPr>
            </w:r>
            <w:r w:rsidR="00605D3B">
              <w:rPr>
                <w:noProof/>
                <w:webHidden/>
              </w:rPr>
              <w:fldChar w:fldCharType="separate"/>
            </w:r>
            <w:r w:rsidR="00605D3B">
              <w:rPr>
                <w:noProof/>
                <w:webHidden/>
              </w:rPr>
              <w:t>56</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0" w:history="1">
            <w:r w:rsidR="00605D3B" w:rsidRPr="00612375">
              <w:rPr>
                <w:rStyle w:val="Hyperlink"/>
                <w:noProof/>
              </w:rPr>
              <w:t xml:space="preserve">Pharmacology - </w:t>
            </w:r>
            <w:r w:rsidR="00605D3B" w:rsidRPr="00612375">
              <w:rPr>
                <w:rStyle w:val="Hyperlink"/>
                <w:noProof/>
                <w:kern w:val="2"/>
              </w:rPr>
              <w:t>dasabuvir</w:t>
            </w:r>
            <w:r w:rsidR="00605D3B">
              <w:rPr>
                <w:noProof/>
                <w:webHidden/>
              </w:rPr>
              <w:tab/>
            </w:r>
            <w:r w:rsidR="00605D3B">
              <w:rPr>
                <w:noProof/>
                <w:webHidden/>
              </w:rPr>
              <w:fldChar w:fldCharType="begin"/>
            </w:r>
            <w:r w:rsidR="00605D3B">
              <w:rPr>
                <w:noProof/>
                <w:webHidden/>
              </w:rPr>
              <w:instrText xml:space="preserve"> PAGEREF _Toc480811570 \h </w:instrText>
            </w:r>
            <w:r w:rsidR="00605D3B">
              <w:rPr>
                <w:noProof/>
                <w:webHidden/>
              </w:rPr>
            </w:r>
            <w:r w:rsidR="00605D3B">
              <w:rPr>
                <w:noProof/>
                <w:webHidden/>
              </w:rPr>
              <w:fldChar w:fldCharType="separate"/>
            </w:r>
            <w:r w:rsidR="00605D3B">
              <w:rPr>
                <w:noProof/>
                <w:webHidden/>
              </w:rPr>
              <w:t>56</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1" w:history="1">
            <w:r w:rsidR="00605D3B" w:rsidRPr="00612375">
              <w:rPr>
                <w:rStyle w:val="Hyperlink"/>
                <w:noProof/>
              </w:rPr>
              <w:t>Pharmacokinetics - Dasabuvir</w:t>
            </w:r>
            <w:r w:rsidR="00605D3B">
              <w:rPr>
                <w:noProof/>
                <w:webHidden/>
              </w:rPr>
              <w:tab/>
            </w:r>
            <w:r w:rsidR="00605D3B">
              <w:rPr>
                <w:noProof/>
                <w:webHidden/>
              </w:rPr>
              <w:fldChar w:fldCharType="begin"/>
            </w:r>
            <w:r w:rsidR="00605D3B">
              <w:rPr>
                <w:noProof/>
                <w:webHidden/>
              </w:rPr>
              <w:instrText xml:space="preserve"> PAGEREF _Toc480811571 \h </w:instrText>
            </w:r>
            <w:r w:rsidR="00605D3B">
              <w:rPr>
                <w:noProof/>
                <w:webHidden/>
              </w:rPr>
            </w:r>
            <w:r w:rsidR="00605D3B">
              <w:rPr>
                <w:noProof/>
                <w:webHidden/>
              </w:rPr>
              <w:fldChar w:fldCharType="separate"/>
            </w:r>
            <w:r w:rsidR="00605D3B">
              <w:rPr>
                <w:noProof/>
                <w:webHidden/>
              </w:rPr>
              <w:t>59</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2" w:history="1">
            <w:r w:rsidR="00605D3B" w:rsidRPr="00612375">
              <w:rPr>
                <w:rStyle w:val="Hyperlink"/>
                <w:noProof/>
              </w:rPr>
              <w:t>Toxicology - dasabuvir</w:t>
            </w:r>
            <w:r w:rsidR="00605D3B">
              <w:rPr>
                <w:noProof/>
                <w:webHidden/>
              </w:rPr>
              <w:tab/>
            </w:r>
            <w:r w:rsidR="00605D3B">
              <w:rPr>
                <w:noProof/>
                <w:webHidden/>
              </w:rPr>
              <w:fldChar w:fldCharType="begin"/>
            </w:r>
            <w:r w:rsidR="00605D3B">
              <w:rPr>
                <w:noProof/>
                <w:webHidden/>
              </w:rPr>
              <w:instrText xml:space="preserve"> PAGEREF _Toc480811572 \h </w:instrText>
            </w:r>
            <w:r w:rsidR="00605D3B">
              <w:rPr>
                <w:noProof/>
                <w:webHidden/>
              </w:rPr>
            </w:r>
            <w:r w:rsidR="00605D3B">
              <w:rPr>
                <w:noProof/>
                <w:webHidden/>
              </w:rPr>
              <w:fldChar w:fldCharType="separate"/>
            </w:r>
            <w:r w:rsidR="00605D3B">
              <w:rPr>
                <w:noProof/>
                <w:webHidden/>
              </w:rPr>
              <w:t>61</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3" w:history="1">
            <w:r w:rsidR="00605D3B" w:rsidRPr="00612375">
              <w:rPr>
                <w:rStyle w:val="Hyperlink"/>
                <w:noProof/>
              </w:rPr>
              <w:t>Nonclinical summary and conclusions - dasabuvir</w:t>
            </w:r>
            <w:r w:rsidR="00605D3B">
              <w:rPr>
                <w:noProof/>
                <w:webHidden/>
              </w:rPr>
              <w:tab/>
            </w:r>
            <w:r w:rsidR="00605D3B">
              <w:rPr>
                <w:noProof/>
                <w:webHidden/>
              </w:rPr>
              <w:fldChar w:fldCharType="begin"/>
            </w:r>
            <w:r w:rsidR="00605D3B">
              <w:rPr>
                <w:noProof/>
                <w:webHidden/>
              </w:rPr>
              <w:instrText xml:space="preserve"> PAGEREF _Toc480811573 \h </w:instrText>
            </w:r>
            <w:r w:rsidR="00605D3B">
              <w:rPr>
                <w:noProof/>
                <w:webHidden/>
              </w:rPr>
            </w:r>
            <w:r w:rsidR="00605D3B">
              <w:rPr>
                <w:noProof/>
                <w:webHidden/>
              </w:rPr>
              <w:fldChar w:fldCharType="separate"/>
            </w:r>
            <w:r w:rsidR="00605D3B">
              <w:rPr>
                <w:noProof/>
                <w:webHidden/>
              </w:rPr>
              <w:t>65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4" w:history="1">
            <w:r w:rsidR="00605D3B" w:rsidRPr="00612375">
              <w:rPr>
                <w:rStyle w:val="Hyperlink"/>
                <w:noProof/>
              </w:rPr>
              <w:t>Introduction – new fixed dose combination</w:t>
            </w:r>
            <w:r w:rsidR="00605D3B">
              <w:rPr>
                <w:noProof/>
                <w:webHidden/>
              </w:rPr>
              <w:tab/>
            </w:r>
            <w:r w:rsidR="00605D3B">
              <w:rPr>
                <w:noProof/>
                <w:webHidden/>
              </w:rPr>
              <w:fldChar w:fldCharType="begin"/>
            </w:r>
            <w:r w:rsidR="00605D3B">
              <w:rPr>
                <w:noProof/>
                <w:webHidden/>
              </w:rPr>
              <w:instrText xml:space="preserve"> PAGEREF _Toc480811574 \h </w:instrText>
            </w:r>
            <w:r w:rsidR="00605D3B">
              <w:rPr>
                <w:noProof/>
                <w:webHidden/>
              </w:rPr>
            </w:r>
            <w:r w:rsidR="00605D3B">
              <w:rPr>
                <w:noProof/>
                <w:webHidden/>
              </w:rPr>
              <w:fldChar w:fldCharType="separate"/>
            </w:r>
            <w:r w:rsidR="00605D3B">
              <w:rPr>
                <w:noProof/>
                <w:webHidden/>
              </w:rPr>
              <w:t>66</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5" w:history="1">
            <w:r w:rsidR="00605D3B" w:rsidRPr="00612375">
              <w:rPr>
                <w:rStyle w:val="Hyperlink"/>
                <w:noProof/>
              </w:rPr>
              <w:t>Pharmacology - new fixed dose combination</w:t>
            </w:r>
            <w:r w:rsidR="00605D3B">
              <w:rPr>
                <w:noProof/>
                <w:webHidden/>
              </w:rPr>
              <w:tab/>
            </w:r>
            <w:r w:rsidR="00605D3B">
              <w:rPr>
                <w:noProof/>
                <w:webHidden/>
              </w:rPr>
              <w:fldChar w:fldCharType="begin"/>
            </w:r>
            <w:r w:rsidR="00605D3B">
              <w:rPr>
                <w:noProof/>
                <w:webHidden/>
              </w:rPr>
              <w:instrText xml:space="preserve"> PAGEREF _Toc480811575 \h </w:instrText>
            </w:r>
            <w:r w:rsidR="00605D3B">
              <w:rPr>
                <w:noProof/>
                <w:webHidden/>
              </w:rPr>
            </w:r>
            <w:r w:rsidR="00605D3B">
              <w:rPr>
                <w:noProof/>
                <w:webHidden/>
              </w:rPr>
              <w:fldChar w:fldCharType="separate"/>
            </w:r>
            <w:r w:rsidR="00605D3B">
              <w:rPr>
                <w:noProof/>
                <w:webHidden/>
              </w:rPr>
              <w:t>68</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6" w:history="1">
            <w:r w:rsidR="00605D3B" w:rsidRPr="00612375">
              <w:rPr>
                <w:rStyle w:val="Hyperlink"/>
                <w:noProof/>
              </w:rPr>
              <w:t>Pharmacokinetics - new fixed dose combination</w:t>
            </w:r>
            <w:r w:rsidR="00605D3B">
              <w:rPr>
                <w:noProof/>
                <w:webHidden/>
              </w:rPr>
              <w:tab/>
            </w:r>
            <w:r w:rsidR="00605D3B">
              <w:rPr>
                <w:noProof/>
                <w:webHidden/>
              </w:rPr>
              <w:fldChar w:fldCharType="begin"/>
            </w:r>
            <w:r w:rsidR="00605D3B">
              <w:rPr>
                <w:noProof/>
                <w:webHidden/>
              </w:rPr>
              <w:instrText xml:space="preserve"> PAGEREF _Toc480811576 \h </w:instrText>
            </w:r>
            <w:r w:rsidR="00605D3B">
              <w:rPr>
                <w:noProof/>
                <w:webHidden/>
              </w:rPr>
            </w:r>
            <w:r w:rsidR="00605D3B">
              <w:rPr>
                <w:noProof/>
                <w:webHidden/>
              </w:rPr>
              <w:fldChar w:fldCharType="separate"/>
            </w:r>
            <w:r w:rsidR="00605D3B">
              <w:rPr>
                <w:noProof/>
                <w:webHidden/>
              </w:rPr>
              <w:t>72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7" w:history="1">
            <w:r w:rsidR="00605D3B" w:rsidRPr="00612375">
              <w:rPr>
                <w:rStyle w:val="Hyperlink"/>
                <w:noProof/>
              </w:rPr>
              <w:t>Toxicology - new fixed dose combination</w:t>
            </w:r>
            <w:r w:rsidR="00605D3B">
              <w:rPr>
                <w:noProof/>
                <w:webHidden/>
              </w:rPr>
              <w:tab/>
            </w:r>
            <w:r w:rsidR="00605D3B">
              <w:rPr>
                <w:noProof/>
                <w:webHidden/>
              </w:rPr>
              <w:fldChar w:fldCharType="begin"/>
            </w:r>
            <w:r w:rsidR="00605D3B">
              <w:rPr>
                <w:noProof/>
                <w:webHidden/>
              </w:rPr>
              <w:instrText xml:space="preserve"> PAGEREF _Toc480811577 \h </w:instrText>
            </w:r>
            <w:r w:rsidR="00605D3B">
              <w:rPr>
                <w:noProof/>
                <w:webHidden/>
              </w:rPr>
            </w:r>
            <w:r w:rsidR="00605D3B">
              <w:rPr>
                <w:noProof/>
                <w:webHidden/>
              </w:rPr>
              <w:fldChar w:fldCharType="separate"/>
            </w:r>
            <w:r w:rsidR="00605D3B">
              <w:rPr>
                <w:noProof/>
                <w:webHidden/>
              </w:rPr>
              <w:t>77</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78" w:history="1">
            <w:r w:rsidR="00605D3B" w:rsidRPr="00612375">
              <w:rPr>
                <w:rStyle w:val="Hyperlink"/>
                <w:noProof/>
              </w:rPr>
              <w:t>Nonclinical summary and conclusions - new fixed dose combination</w:t>
            </w:r>
            <w:r w:rsidR="00605D3B">
              <w:rPr>
                <w:noProof/>
                <w:webHidden/>
              </w:rPr>
              <w:tab/>
            </w:r>
            <w:r w:rsidR="00605D3B">
              <w:rPr>
                <w:noProof/>
                <w:webHidden/>
              </w:rPr>
              <w:fldChar w:fldCharType="begin"/>
            </w:r>
            <w:r w:rsidR="00605D3B">
              <w:rPr>
                <w:noProof/>
                <w:webHidden/>
              </w:rPr>
              <w:instrText xml:space="preserve"> PAGEREF _Toc480811578 \h </w:instrText>
            </w:r>
            <w:r w:rsidR="00605D3B">
              <w:rPr>
                <w:noProof/>
                <w:webHidden/>
              </w:rPr>
            </w:r>
            <w:r w:rsidR="00605D3B">
              <w:rPr>
                <w:noProof/>
                <w:webHidden/>
              </w:rPr>
              <w:fldChar w:fldCharType="separate"/>
            </w:r>
            <w:r w:rsidR="00605D3B">
              <w:rPr>
                <w:noProof/>
                <w:webHidden/>
              </w:rPr>
              <w:t>81</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79" w:history="1">
            <w:r w:rsidR="00605D3B" w:rsidRPr="00612375">
              <w:rPr>
                <w:rStyle w:val="Hyperlink"/>
                <w:noProof/>
              </w:rPr>
              <w:t>IV. Clinical findings</w:t>
            </w:r>
            <w:r w:rsidR="00605D3B">
              <w:rPr>
                <w:noProof/>
                <w:webHidden/>
              </w:rPr>
              <w:tab/>
            </w:r>
            <w:r w:rsidR="00605D3B">
              <w:rPr>
                <w:noProof/>
                <w:webHidden/>
              </w:rPr>
              <w:fldChar w:fldCharType="begin"/>
            </w:r>
            <w:r w:rsidR="00605D3B">
              <w:rPr>
                <w:noProof/>
                <w:webHidden/>
              </w:rPr>
              <w:instrText xml:space="preserve"> PAGEREF _Toc480811579 \h </w:instrText>
            </w:r>
            <w:r w:rsidR="00605D3B">
              <w:rPr>
                <w:noProof/>
                <w:webHidden/>
              </w:rPr>
            </w:r>
            <w:r w:rsidR="00605D3B">
              <w:rPr>
                <w:noProof/>
                <w:webHidden/>
              </w:rPr>
              <w:fldChar w:fldCharType="separate"/>
            </w:r>
            <w:r w:rsidR="00605D3B">
              <w:rPr>
                <w:noProof/>
                <w:webHidden/>
              </w:rPr>
              <w:t>85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0" w:history="1">
            <w:r w:rsidR="00605D3B" w:rsidRPr="00612375">
              <w:rPr>
                <w:rStyle w:val="Hyperlink"/>
                <w:noProof/>
              </w:rPr>
              <w:t>Introduction</w:t>
            </w:r>
            <w:r w:rsidR="00605D3B">
              <w:rPr>
                <w:noProof/>
                <w:webHidden/>
              </w:rPr>
              <w:tab/>
            </w:r>
            <w:r w:rsidR="00605D3B">
              <w:rPr>
                <w:noProof/>
                <w:webHidden/>
              </w:rPr>
              <w:fldChar w:fldCharType="begin"/>
            </w:r>
            <w:r w:rsidR="00605D3B">
              <w:rPr>
                <w:noProof/>
                <w:webHidden/>
              </w:rPr>
              <w:instrText xml:space="preserve"> PAGEREF _Toc480811580 \h </w:instrText>
            </w:r>
            <w:r w:rsidR="00605D3B">
              <w:rPr>
                <w:noProof/>
                <w:webHidden/>
              </w:rPr>
            </w:r>
            <w:r w:rsidR="00605D3B">
              <w:rPr>
                <w:noProof/>
                <w:webHidden/>
              </w:rPr>
              <w:fldChar w:fldCharType="separate"/>
            </w:r>
            <w:r w:rsidR="00605D3B">
              <w:rPr>
                <w:noProof/>
                <w:webHidden/>
              </w:rPr>
              <w:t>85</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1" w:history="1">
            <w:r w:rsidR="00605D3B" w:rsidRPr="00612375">
              <w:rPr>
                <w:rStyle w:val="Hyperlink"/>
                <w:noProof/>
              </w:rPr>
              <w:t>Pharmacokinetics</w:t>
            </w:r>
            <w:r w:rsidR="00605D3B">
              <w:rPr>
                <w:noProof/>
                <w:webHidden/>
              </w:rPr>
              <w:tab/>
            </w:r>
            <w:r w:rsidR="00605D3B">
              <w:rPr>
                <w:noProof/>
                <w:webHidden/>
              </w:rPr>
              <w:fldChar w:fldCharType="begin"/>
            </w:r>
            <w:r w:rsidR="00605D3B">
              <w:rPr>
                <w:noProof/>
                <w:webHidden/>
              </w:rPr>
              <w:instrText xml:space="preserve"> PAGEREF _Toc480811581 \h </w:instrText>
            </w:r>
            <w:r w:rsidR="00605D3B">
              <w:rPr>
                <w:noProof/>
                <w:webHidden/>
              </w:rPr>
            </w:r>
            <w:r w:rsidR="00605D3B">
              <w:rPr>
                <w:noProof/>
                <w:webHidden/>
              </w:rPr>
              <w:fldChar w:fldCharType="separate"/>
            </w:r>
            <w:r w:rsidR="00605D3B">
              <w:rPr>
                <w:noProof/>
                <w:webHidden/>
              </w:rPr>
              <w:t>87</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2" w:history="1">
            <w:r w:rsidR="00605D3B" w:rsidRPr="00612375">
              <w:rPr>
                <w:rStyle w:val="Hyperlink"/>
                <w:noProof/>
              </w:rPr>
              <w:t>Pharmacodynamics</w:t>
            </w:r>
            <w:r w:rsidR="00605D3B">
              <w:rPr>
                <w:noProof/>
                <w:webHidden/>
              </w:rPr>
              <w:tab/>
            </w:r>
            <w:r w:rsidR="00605D3B">
              <w:rPr>
                <w:noProof/>
                <w:webHidden/>
              </w:rPr>
              <w:fldChar w:fldCharType="begin"/>
            </w:r>
            <w:r w:rsidR="00605D3B">
              <w:rPr>
                <w:noProof/>
                <w:webHidden/>
              </w:rPr>
              <w:instrText xml:space="preserve"> PAGEREF _Toc480811582 \h </w:instrText>
            </w:r>
            <w:r w:rsidR="00605D3B">
              <w:rPr>
                <w:noProof/>
                <w:webHidden/>
              </w:rPr>
            </w:r>
            <w:r w:rsidR="00605D3B">
              <w:rPr>
                <w:noProof/>
                <w:webHidden/>
              </w:rPr>
              <w:fldChar w:fldCharType="separate"/>
            </w:r>
            <w:r w:rsidR="00605D3B">
              <w:rPr>
                <w:noProof/>
                <w:webHidden/>
              </w:rPr>
              <w:t>98</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3" w:history="1">
            <w:r w:rsidR="00605D3B" w:rsidRPr="00612375">
              <w:rPr>
                <w:rStyle w:val="Hyperlink"/>
                <w:noProof/>
              </w:rPr>
              <w:t>Dosage selection for the pivotal studies</w:t>
            </w:r>
            <w:r w:rsidR="00605D3B">
              <w:rPr>
                <w:noProof/>
                <w:webHidden/>
              </w:rPr>
              <w:tab/>
            </w:r>
            <w:r w:rsidR="00605D3B">
              <w:rPr>
                <w:noProof/>
                <w:webHidden/>
              </w:rPr>
              <w:fldChar w:fldCharType="begin"/>
            </w:r>
            <w:r w:rsidR="00605D3B">
              <w:rPr>
                <w:noProof/>
                <w:webHidden/>
              </w:rPr>
              <w:instrText xml:space="preserve"> PAGEREF _Toc480811583 \h </w:instrText>
            </w:r>
            <w:r w:rsidR="00605D3B">
              <w:rPr>
                <w:noProof/>
                <w:webHidden/>
              </w:rPr>
            </w:r>
            <w:r w:rsidR="00605D3B">
              <w:rPr>
                <w:noProof/>
                <w:webHidden/>
              </w:rPr>
              <w:fldChar w:fldCharType="separate"/>
            </w:r>
            <w:r w:rsidR="00605D3B">
              <w:rPr>
                <w:noProof/>
                <w:webHidden/>
              </w:rPr>
              <w:t>100</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4" w:history="1">
            <w:r w:rsidR="00605D3B" w:rsidRPr="00612375">
              <w:rPr>
                <w:rStyle w:val="Hyperlink"/>
                <w:noProof/>
              </w:rPr>
              <w:t>Efficacy</w:t>
            </w:r>
            <w:r w:rsidR="00605D3B">
              <w:rPr>
                <w:noProof/>
                <w:webHidden/>
              </w:rPr>
              <w:tab/>
            </w:r>
            <w:r w:rsidR="00605D3B">
              <w:rPr>
                <w:noProof/>
                <w:webHidden/>
              </w:rPr>
              <w:fldChar w:fldCharType="begin"/>
            </w:r>
            <w:r w:rsidR="00605D3B">
              <w:rPr>
                <w:noProof/>
                <w:webHidden/>
              </w:rPr>
              <w:instrText xml:space="preserve"> PAGEREF _Toc480811584 \h </w:instrText>
            </w:r>
            <w:r w:rsidR="00605D3B">
              <w:rPr>
                <w:noProof/>
                <w:webHidden/>
              </w:rPr>
            </w:r>
            <w:r w:rsidR="00605D3B">
              <w:rPr>
                <w:noProof/>
                <w:webHidden/>
              </w:rPr>
              <w:fldChar w:fldCharType="separate"/>
            </w:r>
            <w:r w:rsidR="00605D3B">
              <w:rPr>
                <w:noProof/>
                <w:webHidden/>
              </w:rPr>
              <w:t>103</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5" w:history="1">
            <w:r w:rsidR="00605D3B" w:rsidRPr="00612375">
              <w:rPr>
                <w:rStyle w:val="Hyperlink"/>
                <w:noProof/>
              </w:rPr>
              <w:t>Safety</w:t>
            </w:r>
            <w:r w:rsidR="00605D3B">
              <w:rPr>
                <w:noProof/>
                <w:webHidden/>
              </w:rPr>
              <w:tab/>
            </w:r>
            <w:r w:rsidR="00605D3B">
              <w:rPr>
                <w:noProof/>
                <w:webHidden/>
              </w:rPr>
              <w:fldChar w:fldCharType="begin"/>
            </w:r>
            <w:r w:rsidR="00605D3B">
              <w:rPr>
                <w:noProof/>
                <w:webHidden/>
              </w:rPr>
              <w:instrText xml:space="preserve"> PAGEREF _Toc480811585 \h </w:instrText>
            </w:r>
            <w:r w:rsidR="00605D3B">
              <w:rPr>
                <w:noProof/>
                <w:webHidden/>
              </w:rPr>
            </w:r>
            <w:r w:rsidR="00605D3B">
              <w:rPr>
                <w:noProof/>
                <w:webHidden/>
              </w:rPr>
              <w:fldChar w:fldCharType="separate"/>
            </w:r>
            <w:r w:rsidR="00605D3B">
              <w:rPr>
                <w:noProof/>
                <w:webHidden/>
              </w:rPr>
              <w:t>104</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6" w:history="1">
            <w:r w:rsidR="00605D3B" w:rsidRPr="00612375">
              <w:rPr>
                <w:rStyle w:val="Hyperlink"/>
                <w:noProof/>
              </w:rPr>
              <w:t>First round benefit-risk assessment</w:t>
            </w:r>
            <w:r w:rsidR="00605D3B">
              <w:rPr>
                <w:noProof/>
                <w:webHidden/>
              </w:rPr>
              <w:tab/>
            </w:r>
            <w:r w:rsidR="00605D3B">
              <w:rPr>
                <w:noProof/>
                <w:webHidden/>
              </w:rPr>
              <w:fldChar w:fldCharType="begin"/>
            </w:r>
            <w:r w:rsidR="00605D3B">
              <w:rPr>
                <w:noProof/>
                <w:webHidden/>
              </w:rPr>
              <w:instrText xml:space="preserve"> PAGEREF _Toc480811586 \h </w:instrText>
            </w:r>
            <w:r w:rsidR="00605D3B">
              <w:rPr>
                <w:noProof/>
                <w:webHidden/>
              </w:rPr>
            </w:r>
            <w:r w:rsidR="00605D3B">
              <w:rPr>
                <w:noProof/>
                <w:webHidden/>
              </w:rPr>
              <w:fldChar w:fldCharType="separate"/>
            </w:r>
            <w:r w:rsidR="00605D3B">
              <w:rPr>
                <w:noProof/>
                <w:webHidden/>
              </w:rPr>
              <w:t>107</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7" w:history="1">
            <w:r w:rsidR="00605D3B" w:rsidRPr="00612375">
              <w:rPr>
                <w:rStyle w:val="Hyperlink"/>
                <w:noProof/>
              </w:rPr>
              <w:t>First round recommendation regarding authorisation</w:t>
            </w:r>
            <w:r w:rsidR="00605D3B">
              <w:rPr>
                <w:noProof/>
                <w:webHidden/>
              </w:rPr>
              <w:tab/>
            </w:r>
            <w:r w:rsidR="00605D3B">
              <w:rPr>
                <w:noProof/>
                <w:webHidden/>
              </w:rPr>
              <w:fldChar w:fldCharType="begin"/>
            </w:r>
            <w:r w:rsidR="00605D3B">
              <w:rPr>
                <w:noProof/>
                <w:webHidden/>
              </w:rPr>
              <w:instrText xml:space="preserve"> PAGEREF _Toc480811587 \h </w:instrText>
            </w:r>
            <w:r w:rsidR="00605D3B">
              <w:rPr>
                <w:noProof/>
                <w:webHidden/>
              </w:rPr>
            </w:r>
            <w:r w:rsidR="00605D3B">
              <w:rPr>
                <w:noProof/>
                <w:webHidden/>
              </w:rPr>
              <w:fldChar w:fldCharType="separate"/>
            </w:r>
            <w:r w:rsidR="00605D3B">
              <w:rPr>
                <w:noProof/>
                <w:webHidden/>
              </w:rPr>
              <w:t>109</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8" w:history="1">
            <w:r w:rsidR="00605D3B" w:rsidRPr="00612375">
              <w:rPr>
                <w:rStyle w:val="Hyperlink"/>
                <w:noProof/>
              </w:rPr>
              <w:t>Clinical questions</w:t>
            </w:r>
            <w:r w:rsidR="00605D3B">
              <w:rPr>
                <w:noProof/>
                <w:webHidden/>
              </w:rPr>
              <w:tab/>
            </w:r>
            <w:r w:rsidR="00605D3B">
              <w:rPr>
                <w:noProof/>
                <w:webHidden/>
              </w:rPr>
              <w:fldChar w:fldCharType="begin"/>
            </w:r>
            <w:r w:rsidR="00605D3B">
              <w:rPr>
                <w:noProof/>
                <w:webHidden/>
              </w:rPr>
              <w:instrText xml:space="preserve"> PAGEREF _Toc480811588 \h </w:instrText>
            </w:r>
            <w:r w:rsidR="00605D3B">
              <w:rPr>
                <w:noProof/>
                <w:webHidden/>
              </w:rPr>
            </w:r>
            <w:r w:rsidR="00605D3B">
              <w:rPr>
                <w:noProof/>
                <w:webHidden/>
              </w:rPr>
              <w:fldChar w:fldCharType="separate"/>
            </w:r>
            <w:r w:rsidR="00605D3B">
              <w:rPr>
                <w:noProof/>
                <w:webHidden/>
              </w:rPr>
              <w:t>109</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89" w:history="1">
            <w:r w:rsidR="00605D3B" w:rsidRPr="00612375">
              <w:rPr>
                <w:rStyle w:val="Hyperlink"/>
                <w:noProof/>
              </w:rPr>
              <w:t>Second round evaluation of clinical data submitted in response to questions</w:t>
            </w:r>
            <w:r w:rsidR="00605D3B">
              <w:rPr>
                <w:noProof/>
                <w:webHidden/>
              </w:rPr>
              <w:tab/>
            </w:r>
            <w:r w:rsidR="00605D3B">
              <w:rPr>
                <w:noProof/>
                <w:webHidden/>
              </w:rPr>
              <w:fldChar w:fldCharType="begin"/>
            </w:r>
            <w:r w:rsidR="00605D3B">
              <w:rPr>
                <w:noProof/>
                <w:webHidden/>
              </w:rPr>
              <w:instrText xml:space="preserve"> PAGEREF _Toc480811589 \h </w:instrText>
            </w:r>
            <w:r w:rsidR="00605D3B">
              <w:rPr>
                <w:noProof/>
                <w:webHidden/>
              </w:rPr>
            </w:r>
            <w:r w:rsidR="00605D3B">
              <w:rPr>
                <w:noProof/>
                <w:webHidden/>
              </w:rPr>
              <w:fldChar w:fldCharType="separate"/>
            </w:r>
            <w:r w:rsidR="00605D3B">
              <w:rPr>
                <w:noProof/>
                <w:webHidden/>
              </w:rPr>
              <w:t>111</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0" w:history="1">
            <w:r w:rsidR="00605D3B" w:rsidRPr="00612375">
              <w:rPr>
                <w:rStyle w:val="Hyperlink"/>
                <w:noProof/>
              </w:rPr>
              <w:t>Second round benefit-risk assessment</w:t>
            </w:r>
            <w:r w:rsidR="00605D3B">
              <w:rPr>
                <w:noProof/>
                <w:webHidden/>
              </w:rPr>
              <w:tab/>
            </w:r>
            <w:r w:rsidR="00605D3B">
              <w:rPr>
                <w:noProof/>
                <w:webHidden/>
              </w:rPr>
              <w:fldChar w:fldCharType="begin"/>
            </w:r>
            <w:r w:rsidR="00605D3B">
              <w:rPr>
                <w:noProof/>
                <w:webHidden/>
              </w:rPr>
              <w:instrText xml:space="preserve"> PAGEREF _Toc480811590 \h </w:instrText>
            </w:r>
            <w:r w:rsidR="00605D3B">
              <w:rPr>
                <w:noProof/>
                <w:webHidden/>
              </w:rPr>
            </w:r>
            <w:r w:rsidR="00605D3B">
              <w:rPr>
                <w:noProof/>
                <w:webHidden/>
              </w:rPr>
              <w:fldChar w:fldCharType="separate"/>
            </w:r>
            <w:r w:rsidR="00605D3B">
              <w:rPr>
                <w:noProof/>
                <w:webHidden/>
              </w:rPr>
              <w:t>112</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91" w:history="1">
            <w:r w:rsidR="00605D3B" w:rsidRPr="00612375">
              <w:rPr>
                <w:rStyle w:val="Hyperlink"/>
                <w:noProof/>
              </w:rPr>
              <w:t>V. Pharmacovigilance findings</w:t>
            </w:r>
            <w:r w:rsidR="00605D3B">
              <w:rPr>
                <w:noProof/>
                <w:webHidden/>
              </w:rPr>
              <w:tab/>
            </w:r>
            <w:r w:rsidR="00605D3B">
              <w:rPr>
                <w:noProof/>
                <w:webHidden/>
              </w:rPr>
              <w:fldChar w:fldCharType="begin"/>
            </w:r>
            <w:r w:rsidR="00605D3B">
              <w:rPr>
                <w:noProof/>
                <w:webHidden/>
              </w:rPr>
              <w:instrText xml:space="preserve"> PAGEREF _Toc480811591 \h </w:instrText>
            </w:r>
            <w:r w:rsidR="00605D3B">
              <w:rPr>
                <w:noProof/>
                <w:webHidden/>
              </w:rPr>
            </w:r>
            <w:r w:rsidR="00605D3B">
              <w:rPr>
                <w:noProof/>
                <w:webHidden/>
              </w:rPr>
              <w:fldChar w:fldCharType="separate"/>
            </w:r>
            <w:r w:rsidR="00605D3B">
              <w:rPr>
                <w:noProof/>
                <w:webHidden/>
              </w:rPr>
              <w:t>112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2" w:history="1">
            <w:r w:rsidR="00605D3B" w:rsidRPr="00612375">
              <w:rPr>
                <w:rStyle w:val="Hyperlink"/>
                <w:noProof/>
                <w:lang w:eastAsia="en-AU"/>
              </w:rPr>
              <w:t>Risk management plan</w:t>
            </w:r>
            <w:r w:rsidR="00605D3B">
              <w:rPr>
                <w:noProof/>
                <w:webHidden/>
              </w:rPr>
              <w:tab/>
            </w:r>
            <w:r w:rsidR="00605D3B">
              <w:rPr>
                <w:noProof/>
                <w:webHidden/>
              </w:rPr>
              <w:fldChar w:fldCharType="begin"/>
            </w:r>
            <w:r w:rsidR="00605D3B">
              <w:rPr>
                <w:noProof/>
                <w:webHidden/>
              </w:rPr>
              <w:instrText xml:space="preserve"> PAGEREF _Toc480811592 \h </w:instrText>
            </w:r>
            <w:r w:rsidR="00605D3B">
              <w:rPr>
                <w:noProof/>
                <w:webHidden/>
              </w:rPr>
            </w:r>
            <w:r w:rsidR="00605D3B">
              <w:rPr>
                <w:noProof/>
                <w:webHidden/>
              </w:rPr>
              <w:fldChar w:fldCharType="separate"/>
            </w:r>
            <w:r w:rsidR="00605D3B">
              <w:rPr>
                <w:noProof/>
                <w:webHidden/>
              </w:rPr>
              <w:t>112</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593" w:history="1">
            <w:r w:rsidR="00605D3B" w:rsidRPr="00612375">
              <w:rPr>
                <w:rStyle w:val="Hyperlink"/>
                <w:noProof/>
              </w:rPr>
              <w:t>VI. Overall conclusion and risk/benefit assessment</w:t>
            </w:r>
            <w:r w:rsidR="00605D3B">
              <w:rPr>
                <w:noProof/>
                <w:webHidden/>
              </w:rPr>
              <w:tab/>
            </w:r>
            <w:r w:rsidR="00605D3B">
              <w:rPr>
                <w:noProof/>
                <w:webHidden/>
              </w:rPr>
              <w:fldChar w:fldCharType="begin"/>
            </w:r>
            <w:r w:rsidR="00605D3B">
              <w:rPr>
                <w:noProof/>
                <w:webHidden/>
              </w:rPr>
              <w:instrText xml:space="preserve"> PAGEREF _Toc480811593 \h </w:instrText>
            </w:r>
            <w:r w:rsidR="00605D3B">
              <w:rPr>
                <w:noProof/>
                <w:webHidden/>
              </w:rPr>
            </w:r>
            <w:r w:rsidR="00605D3B">
              <w:rPr>
                <w:noProof/>
                <w:webHidden/>
              </w:rPr>
              <w:fldChar w:fldCharType="separate"/>
            </w:r>
            <w:r w:rsidR="00605D3B">
              <w:rPr>
                <w:noProof/>
                <w:webHidden/>
              </w:rPr>
              <w:t>142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4" w:history="1">
            <w:r w:rsidR="00605D3B" w:rsidRPr="00612375">
              <w:rPr>
                <w:rStyle w:val="Hyperlink"/>
                <w:noProof/>
              </w:rPr>
              <w:t>Quality</w:t>
            </w:r>
            <w:r w:rsidR="00605D3B">
              <w:rPr>
                <w:noProof/>
                <w:webHidden/>
              </w:rPr>
              <w:tab/>
            </w:r>
            <w:r w:rsidR="00605D3B">
              <w:rPr>
                <w:noProof/>
                <w:webHidden/>
              </w:rPr>
              <w:fldChar w:fldCharType="begin"/>
            </w:r>
            <w:r w:rsidR="00605D3B">
              <w:rPr>
                <w:noProof/>
                <w:webHidden/>
              </w:rPr>
              <w:instrText xml:space="preserve"> PAGEREF _Toc480811594 \h </w:instrText>
            </w:r>
            <w:r w:rsidR="00605D3B">
              <w:rPr>
                <w:noProof/>
                <w:webHidden/>
              </w:rPr>
            </w:r>
            <w:r w:rsidR="00605D3B">
              <w:rPr>
                <w:noProof/>
                <w:webHidden/>
              </w:rPr>
              <w:fldChar w:fldCharType="separate"/>
            </w:r>
            <w:r w:rsidR="00605D3B">
              <w:rPr>
                <w:noProof/>
                <w:webHidden/>
              </w:rPr>
              <w:t>142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5" w:history="1">
            <w:r w:rsidR="00605D3B" w:rsidRPr="00612375">
              <w:rPr>
                <w:rStyle w:val="Hyperlink"/>
                <w:noProof/>
              </w:rPr>
              <w:t>Nonclinical</w:t>
            </w:r>
            <w:r w:rsidR="00605D3B">
              <w:rPr>
                <w:noProof/>
                <w:webHidden/>
              </w:rPr>
              <w:tab/>
            </w:r>
            <w:r w:rsidR="00605D3B">
              <w:rPr>
                <w:noProof/>
                <w:webHidden/>
              </w:rPr>
              <w:fldChar w:fldCharType="begin"/>
            </w:r>
            <w:r w:rsidR="00605D3B">
              <w:rPr>
                <w:noProof/>
                <w:webHidden/>
              </w:rPr>
              <w:instrText xml:space="preserve"> PAGEREF _Toc480811595 \h </w:instrText>
            </w:r>
            <w:r w:rsidR="00605D3B">
              <w:rPr>
                <w:noProof/>
                <w:webHidden/>
              </w:rPr>
            </w:r>
            <w:r w:rsidR="00605D3B">
              <w:rPr>
                <w:noProof/>
                <w:webHidden/>
              </w:rPr>
              <w:fldChar w:fldCharType="separate"/>
            </w:r>
            <w:r w:rsidR="00605D3B">
              <w:rPr>
                <w:noProof/>
                <w:webHidden/>
              </w:rPr>
              <w:t>142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6" w:history="1">
            <w:r w:rsidR="00605D3B" w:rsidRPr="00612375">
              <w:rPr>
                <w:rStyle w:val="Hyperlink"/>
                <w:noProof/>
              </w:rPr>
              <w:t>Clinical</w:t>
            </w:r>
            <w:r w:rsidR="00605D3B">
              <w:rPr>
                <w:noProof/>
                <w:webHidden/>
              </w:rPr>
              <w:tab/>
            </w:r>
            <w:r w:rsidR="00605D3B">
              <w:rPr>
                <w:noProof/>
                <w:webHidden/>
              </w:rPr>
              <w:fldChar w:fldCharType="begin"/>
            </w:r>
            <w:r w:rsidR="00605D3B">
              <w:rPr>
                <w:noProof/>
                <w:webHidden/>
              </w:rPr>
              <w:instrText xml:space="preserve"> PAGEREF _Toc480811596 \h </w:instrText>
            </w:r>
            <w:r w:rsidR="00605D3B">
              <w:rPr>
                <w:noProof/>
                <w:webHidden/>
              </w:rPr>
            </w:r>
            <w:r w:rsidR="00605D3B">
              <w:rPr>
                <w:noProof/>
                <w:webHidden/>
              </w:rPr>
              <w:fldChar w:fldCharType="separate"/>
            </w:r>
            <w:r w:rsidR="00605D3B">
              <w:rPr>
                <w:noProof/>
                <w:webHidden/>
              </w:rPr>
              <w:t>142</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7" w:history="1">
            <w:r w:rsidR="00605D3B" w:rsidRPr="00612375">
              <w:rPr>
                <w:rStyle w:val="Hyperlink"/>
                <w:noProof/>
                <w:lang w:eastAsia="en-AU"/>
              </w:rPr>
              <w:t>Risk management plan</w:t>
            </w:r>
            <w:r w:rsidR="00605D3B">
              <w:rPr>
                <w:noProof/>
                <w:webHidden/>
              </w:rPr>
              <w:tab/>
            </w:r>
            <w:r w:rsidR="00605D3B">
              <w:rPr>
                <w:noProof/>
                <w:webHidden/>
              </w:rPr>
              <w:fldChar w:fldCharType="begin"/>
            </w:r>
            <w:r w:rsidR="00605D3B">
              <w:rPr>
                <w:noProof/>
                <w:webHidden/>
              </w:rPr>
              <w:instrText xml:space="preserve"> PAGEREF _Toc480811597 \h </w:instrText>
            </w:r>
            <w:r w:rsidR="00605D3B">
              <w:rPr>
                <w:noProof/>
                <w:webHidden/>
              </w:rPr>
            </w:r>
            <w:r w:rsidR="00605D3B">
              <w:rPr>
                <w:noProof/>
                <w:webHidden/>
              </w:rPr>
              <w:fldChar w:fldCharType="separate"/>
            </w:r>
            <w:r w:rsidR="00605D3B">
              <w:rPr>
                <w:noProof/>
                <w:webHidden/>
              </w:rPr>
              <w:t>163</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8" w:history="1">
            <w:r w:rsidR="00605D3B" w:rsidRPr="00612375">
              <w:rPr>
                <w:rStyle w:val="Hyperlink"/>
                <w:noProof/>
              </w:rPr>
              <w:t>Risk-benefit analysis</w:t>
            </w:r>
            <w:r w:rsidR="00605D3B">
              <w:rPr>
                <w:noProof/>
                <w:webHidden/>
              </w:rPr>
              <w:tab/>
            </w:r>
            <w:r w:rsidR="00605D3B">
              <w:rPr>
                <w:noProof/>
                <w:webHidden/>
              </w:rPr>
              <w:fldChar w:fldCharType="begin"/>
            </w:r>
            <w:r w:rsidR="00605D3B">
              <w:rPr>
                <w:noProof/>
                <w:webHidden/>
              </w:rPr>
              <w:instrText xml:space="preserve"> PAGEREF _Toc480811598 \h </w:instrText>
            </w:r>
            <w:r w:rsidR="00605D3B">
              <w:rPr>
                <w:noProof/>
                <w:webHidden/>
              </w:rPr>
            </w:r>
            <w:r w:rsidR="00605D3B">
              <w:rPr>
                <w:noProof/>
                <w:webHidden/>
              </w:rPr>
              <w:fldChar w:fldCharType="separate"/>
            </w:r>
            <w:r w:rsidR="00605D3B">
              <w:rPr>
                <w:noProof/>
                <w:webHidden/>
              </w:rPr>
              <w:t>164</w:t>
            </w:r>
            <w:r w:rsidR="00605D3B">
              <w:rPr>
                <w:noProof/>
                <w:webHidden/>
              </w:rPr>
              <w:fldChar w:fldCharType="end"/>
            </w:r>
          </w:hyperlink>
        </w:p>
        <w:p w:rsidR="00605D3B" w:rsidRDefault="00FD001F">
          <w:pPr>
            <w:pStyle w:val="TOC3"/>
            <w:rPr>
              <w:rFonts w:asciiTheme="minorHAnsi" w:eastAsiaTheme="minorEastAsia" w:hAnsiTheme="minorHAnsi" w:cstheme="minorBidi"/>
              <w:noProof/>
              <w:lang w:eastAsia="en-AU"/>
            </w:rPr>
          </w:pPr>
          <w:hyperlink w:anchor="_Toc480811599" w:history="1">
            <w:r w:rsidR="00605D3B" w:rsidRPr="00612375">
              <w:rPr>
                <w:rStyle w:val="Hyperlink"/>
                <w:noProof/>
              </w:rPr>
              <w:t>Outcome</w:t>
            </w:r>
            <w:r w:rsidR="00605D3B">
              <w:rPr>
                <w:noProof/>
                <w:webHidden/>
              </w:rPr>
              <w:tab/>
            </w:r>
            <w:r w:rsidR="00605D3B">
              <w:rPr>
                <w:noProof/>
                <w:webHidden/>
              </w:rPr>
              <w:fldChar w:fldCharType="begin"/>
            </w:r>
            <w:r w:rsidR="00605D3B">
              <w:rPr>
                <w:noProof/>
                <w:webHidden/>
              </w:rPr>
              <w:instrText xml:space="preserve"> PAGEREF _Toc480811599 \h </w:instrText>
            </w:r>
            <w:r w:rsidR="00605D3B">
              <w:rPr>
                <w:noProof/>
                <w:webHidden/>
              </w:rPr>
            </w:r>
            <w:r w:rsidR="00605D3B">
              <w:rPr>
                <w:noProof/>
                <w:webHidden/>
              </w:rPr>
              <w:fldChar w:fldCharType="separate"/>
            </w:r>
            <w:r w:rsidR="00605D3B">
              <w:rPr>
                <w:noProof/>
                <w:webHidden/>
              </w:rPr>
              <w:t>177</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600" w:history="1">
            <w:r w:rsidR="00605D3B" w:rsidRPr="00612375">
              <w:rPr>
                <w:rStyle w:val="Hyperlink"/>
                <w:noProof/>
              </w:rPr>
              <w:t>Attachment 1. Product Information</w:t>
            </w:r>
            <w:r w:rsidR="00605D3B">
              <w:rPr>
                <w:noProof/>
                <w:webHidden/>
              </w:rPr>
              <w:tab/>
            </w:r>
            <w:r w:rsidR="00605D3B">
              <w:rPr>
                <w:noProof/>
                <w:webHidden/>
              </w:rPr>
              <w:fldChar w:fldCharType="begin"/>
            </w:r>
            <w:r w:rsidR="00605D3B">
              <w:rPr>
                <w:noProof/>
                <w:webHidden/>
              </w:rPr>
              <w:instrText xml:space="preserve"> PAGEREF _Toc480811600 \h </w:instrText>
            </w:r>
            <w:r w:rsidR="00605D3B">
              <w:rPr>
                <w:noProof/>
                <w:webHidden/>
              </w:rPr>
            </w:r>
            <w:r w:rsidR="00605D3B">
              <w:rPr>
                <w:noProof/>
                <w:webHidden/>
              </w:rPr>
              <w:fldChar w:fldCharType="separate"/>
            </w:r>
            <w:r w:rsidR="00605D3B">
              <w:rPr>
                <w:noProof/>
                <w:webHidden/>
              </w:rPr>
              <w:t>178</w:t>
            </w:r>
            <w:r w:rsidR="00605D3B">
              <w:rPr>
                <w:noProof/>
                <w:webHidden/>
              </w:rPr>
              <w:fldChar w:fldCharType="end"/>
            </w:r>
          </w:hyperlink>
        </w:p>
        <w:p w:rsidR="00605D3B" w:rsidRDefault="00FD001F">
          <w:pPr>
            <w:pStyle w:val="TOC2"/>
            <w:rPr>
              <w:rFonts w:asciiTheme="minorHAnsi" w:eastAsiaTheme="minorEastAsia" w:hAnsiTheme="minorHAnsi" w:cstheme="minorBidi"/>
              <w:b w:val="0"/>
              <w:noProof/>
              <w:sz w:val="22"/>
              <w:lang w:eastAsia="en-AU"/>
            </w:rPr>
          </w:pPr>
          <w:hyperlink w:anchor="_Toc480811601" w:history="1">
            <w:r w:rsidR="00605D3B" w:rsidRPr="00612375">
              <w:rPr>
                <w:rStyle w:val="Hyperlink"/>
                <w:noProof/>
                <w:lang w:eastAsia="en-AU"/>
              </w:rPr>
              <w:t>Attachment 2. Extract from the Clinical Evaluation Report</w:t>
            </w:r>
            <w:r w:rsidR="00605D3B">
              <w:rPr>
                <w:noProof/>
                <w:webHidden/>
              </w:rPr>
              <w:tab/>
            </w:r>
            <w:r w:rsidR="00605D3B">
              <w:rPr>
                <w:noProof/>
                <w:webHidden/>
              </w:rPr>
              <w:fldChar w:fldCharType="begin"/>
            </w:r>
            <w:r w:rsidR="00605D3B">
              <w:rPr>
                <w:noProof/>
                <w:webHidden/>
              </w:rPr>
              <w:instrText xml:space="preserve"> PAGEREF _Toc480811601 \h </w:instrText>
            </w:r>
            <w:r w:rsidR="00605D3B">
              <w:rPr>
                <w:noProof/>
                <w:webHidden/>
              </w:rPr>
            </w:r>
            <w:r w:rsidR="00605D3B">
              <w:rPr>
                <w:noProof/>
                <w:webHidden/>
              </w:rPr>
              <w:fldChar w:fldCharType="separate"/>
            </w:r>
            <w:r w:rsidR="00605D3B">
              <w:rPr>
                <w:noProof/>
                <w:webHidden/>
              </w:rPr>
              <w:t>178</w:t>
            </w:r>
            <w:r w:rsidR="00605D3B">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081154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A26E99">
            <w:pPr>
              <w:rPr>
                <w:lang w:eastAsia="en-US"/>
              </w:rPr>
            </w:pPr>
            <w:r w:rsidRPr="00FD119B">
              <w:rPr>
                <w:lang w:eastAsia="en-US"/>
              </w:rPr>
              <w:t>Abbreviation</w:t>
            </w:r>
          </w:p>
        </w:tc>
        <w:tc>
          <w:tcPr>
            <w:tcW w:w="6911" w:type="dxa"/>
          </w:tcPr>
          <w:p w:rsidR="00FD119B" w:rsidRPr="00FD119B" w:rsidRDefault="00FD119B" w:rsidP="00A26E99">
            <w:pPr>
              <w:rPr>
                <w:lang w:eastAsia="en-US"/>
              </w:rPr>
            </w:pPr>
            <w:r w:rsidRPr="00FD119B">
              <w:rPr>
                <w:lang w:eastAsia="en-US"/>
              </w:rPr>
              <w:t>Meaning</w:t>
            </w:r>
          </w:p>
        </w:tc>
      </w:tr>
      <w:tr w:rsidR="00C945AE" w:rsidTr="00C945AE">
        <w:tc>
          <w:tcPr>
            <w:tcW w:w="1809" w:type="dxa"/>
          </w:tcPr>
          <w:p w:rsidR="00C945AE" w:rsidRPr="0089405F" w:rsidRDefault="00C945AE" w:rsidP="00A26E99">
            <w:r w:rsidRPr="0089405F">
              <w:t>ABT-267</w:t>
            </w:r>
          </w:p>
        </w:tc>
        <w:tc>
          <w:tcPr>
            <w:tcW w:w="6911" w:type="dxa"/>
          </w:tcPr>
          <w:p w:rsidR="00C945AE" w:rsidRPr="0089405F" w:rsidRDefault="00C945AE" w:rsidP="00A26E99">
            <w:r w:rsidRPr="0089405F">
              <w:t>ombitasvir</w:t>
            </w:r>
          </w:p>
        </w:tc>
      </w:tr>
      <w:tr w:rsidR="00C945AE" w:rsidTr="00C945AE">
        <w:tc>
          <w:tcPr>
            <w:tcW w:w="1809" w:type="dxa"/>
          </w:tcPr>
          <w:p w:rsidR="00C945AE" w:rsidRPr="0089405F" w:rsidRDefault="00C945AE" w:rsidP="00A26E99">
            <w:r w:rsidRPr="0089405F">
              <w:t>ABT-333</w:t>
            </w:r>
          </w:p>
        </w:tc>
        <w:tc>
          <w:tcPr>
            <w:tcW w:w="6911" w:type="dxa"/>
          </w:tcPr>
          <w:p w:rsidR="00C945AE" w:rsidRPr="0089405F" w:rsidRDefault="00C945AE" w:rsidP="00A26E99">
            <w:r w:rsidRPr="0089405F">
              <w:t>dasabuvir</w:t>
            </w:r>
          </w:p>
        </w:tc>
      </w:tr>
      <w:tr w:rsidR="00C945AE" w:rsidTr="00C945AE">
        <w:tc>
          <w:tcPr>
            <w:tcW w:w="1809" w:type="dxa"/>
          </w:tcPr>
          <w:p w:rsidR="00C945AE" w:rsidRPr="0089405F" w:rsidRDefault="00C945AE" w:rsidP="00A26E99">
            <w:r w:rsidRPr="0089405F">
              <w:t>ABT-450</w:t>
            </w:r>
          </w:p>
        </w:tc>
        <w:tc>
          <w:tcPr>
            <w:tcW w:w="6911" w:type="dxa"/>
          </w:tcPr>
          <w:p w:rsidR="00C945AE" w:rsidRPr="0089405F" w:rsidRDefault="00F573D0" w:rsidP="00A26E99">
            <w:r>
              <w:t xml:space="preserve">paritaprevir (also previously named </w:t>
            </w:r>
            <w:r w:rsidR="00C945AE">
              <w:t>veruprevir</w:t>
            </w:r>
            <w:r>
              <w:t>)</w:t>
            </w:r>
          </w:p>
        </w:tc>
      </w:tr>
      <w:tr w:rsidR="00BC0FF6" w:rsidTr="00C945AE">
        <w:tc>
          <w:tcPr>
            <w:tcW w:w="1809" w:type="dxa"/>
          </w:tcPr>
          <w:p w:rsidR="00BC0FF6" w:rsidRPr="00BC0FF6" w:rsidRDefault="00BC0FF6" w:rsidP="00A26E99">
            <w:r w:rsidRPr="00BC0FF6">
              <w:t>ACSOM</w:t>
            </w:r>
          </w:p>
        </w:tc>
        <w:tc>
          <w:tcPr>
            <w:tcW w:w="6911" w:type="dxa"/>
          </w:tcPr>
          <w:p w:rsidR="00BC0FF6" w:rsidRPr="00BC0FF6" w:rsidRDefault="00BC0FF6" w:rsidP="00A26E99">
            <w:r w:rsidRPr="00BC0FF6">
              <w:t>Advisory Committ</w:t>
            </w:r>
            <w:r>
              <w:t>ee for the Safety of Medicines</w:t>
            </w:r>
          </w:p>
        </w:tc>
      </w:tr>
      <w:tr w:rsidR="00C945AE" w:rsidTr="00C945AE">
        <w:tc>
          <w:tcPr>
            <w:tcW w:w="1809" w:type="dxa"/>
          </w:tcPr>
          <w:p w:rsidR="00C945AE" w:rsidRPr="0089405F" w:rsidRDefault="00C945AE" w:rsidP="00A26E99">
            <w:r w:rsidRPr="0089405F">
              <w:t>ADME</w:t>
            </w:r>
          </w:p>
        </w:tc>
        <w:tc>
          <w:tcPr>
            <w:tcW w:w="6911" w:type="dxa"/>
          </w:tcPr>
          <w:p w:rsidR="00C945AE" w:rsidRPr="0089405F" w:rsidRDefault="00C945AE" w:rsidP="00A26E99">
            <w:r w:rsidRPr="0089405F">
              <w:t>absorption, distribution, metabolism and excretion</w:t>
            </w:r>
          </w:p>
        </w:tc>
      </w:tr>
      <w:tr w:rsidR="0083113B" w:rsidTr="00C945AE">
        <w:tc>
          <w:tcPr>
            <w:tcW w:w="1809" w:type="dxa"/>
          </w:tcPr>
          <w:p w:rsidR="0083113B" w:rsidRPr="0089405F" w:rsidRDefault="0083113B" w:rsidP="00A26E99">
            <w:r>
              <w:t>ADRs</w:t>
            </w:r>
          </w:p>
        </w:tc>
        <w:tc>
          <w:tcPr>
            <w:tcW w:w="6911" w:type="dxa"/>
          </w:tcPr>
          <w:p w:rsidR="0083113B" w:rsidRPr="0089405F" w:rsidRDefault="0083113B" w:rsidP="00A26E99">
            <w:r>
              <w:t>Adverse drug reactions</w:t>
            </w:r>
          </w:p>
        </w:tc>
      </w:tr>
      <w:tr w:rsidR="0083113B" w:rsidTr="00C945AE">
        <w:tc>
          <w:tcPr>
            <w:tcW w:w="1809" w:type="dxa"/>
          </w:tcPr>
          <w:p w:rsidR="0083113B" w:rsidRPr="0089405F" w:rsidRDefault="0083113B" w:rsidP="00A26E99">
            <w:r w:rsidRPr="0089405F">
              <w:t>AE</w:t>
            </w:r>
          </w:p>
        </w:tc>
        <w:tc>
          <w:tcPr>
            <w:tcW w:w="6911" w:type="dxa"/>
          </w:tcPr>
          <w:p w:rsidR="0083113B" w:rsidRPr="0089405F" w:rsidRDefault="0083113B" w:rsidP="00A26E99">
            <w:r w:rsidRPr="0089405F">
              <w:t>adverse event</w:t>
            </w:r>
          </w:p>
        </w:tc>
      </w:tr>
      <w:tr w:rsidR="0083113B" w:rsidTr="00C945AE">
        <w:tc>
          <w:tcPr>
            <w:tcW w:w="1809" w:type="dxa"/>
          </w:tcPr>
          <w:p w:rsidR="0083113B" w:rsidRPr="0089405F" w:rsidRDefault="0083113B" w:rsidP="00A26E99">
            <w:r w:rsidRPr="0089405F">
              <w:t>ALT</w:t>
            </w:r>
          </w:p>
        </w:tc>
        <w:tc>
          <w:tcPr>
            <w:tcW w:w="6911" w:type="dxa"/>
          </w:tcPr>
          <w:p w:rsidR="0083113B" w:rsidRPr="0089405F" w:rsidRDefault="0083113B" w:rsidP="00A26E99">
            <w:r w:rsidRPr="0089405F">
              <w:t>alanine aminotransferase</w:t>
            </w:r>
          </w:p>
        </w:tc>
      </w:tr>
      <w:tr w:rsidR="00237CBE" w:rsidTr="00C945AE">
        <w:tc>
          <w:tcPr>
            <w:tcW w:w="1809" w:type="dxa"/>
          </w:tcPr>
          <w:p w:rsidR="00237CBE" w:rsidRPr="0089405F" w:rsidRDefault="00237CBE" w:rsidP="00A26E99">
            <w:r w:rsidRPr="00F15515">
              <w:t>APR</w:t>
            </w:r>
          </w:p>
        </w:tc>
        <w:tc>
          <w:tcPr>
            <w:tcW w:w="6911" w:type="dxa"/>
          </w:tcPr>
          <w:p w:rsidR="00237CBE" w:rsidRPr="0089405F" w:rsidRDefault="00237CBE" w:rsidP="00A26E99">
            <w:r>
              <w:t>Antiviral Pregnancy Registry</w:t>
            </w:r>
          </w:p>
        </w:tc>
      </w:tr>
      <w:tr w:rsidR="0083113B" w:rsidTr="00C945AE">
        <w:tc>
          <w:tcPr>
            <w:tcW w:w="1809" w:type="dxa"/>
          </w:tcPr>
          <w:p w:rsidR="0083113B" w:rsidRPr="0089405F" w:rsidRDefault="0083113B" w:rsidP="00A26E99">
            <w:r w:rsidRPr="004F2D40">
              <w:t>ASA</w:t>
            </w:r>
          </w:p>
        </w:tc>
        <w:tc>
          <w:tcPr>
            <w:tcW w:w="6911" w:type="dxa"/>
          </w:tcPr>
          <w:p w:rsidR="0083113B" w:rsidRPr="0089405F" w:rsidRDefault="0083113B" w:rsidP="00A26E99">
            <w:r>
              <w:t>Australian Specific Annexe (to the RMP)</w:t>
            </w:r>
          </w:p>
        </w:tc>
      </w:tr>
      <w:tr w:rsidR="0083113B" w:rsidTr="00C945AE">
        <w:tc>
          <w:tcPr>
            <w:tcW w:w="1809" w:type="dxa"/>
          </w:tcPr>
          <w:p w:rsidR="0083113B" w:rsidRPr="0089405F" w:rsidRDefault="0083113B" w:rsidP="00A26E99">
            <w:r w:rsidRPr="0089405F">
              <w:t>AST</w:t>
            </w:r>
          </w:p>
        </w:tc>
        <w:tc>
          <w:tcPr>
            <w:tcW w:w="6911" w:type="dxa"/>
          </w:tcPr>
          <w:p w:rsidR="0083113B" w:rsidRPr="0089405F" w:rsidRDefault="0083113B" w:rsidP="00A26E99">
            <w:r w:rsidRPr="0089405F">
              <w:t>aspartate aminotransferase</w:t>
            </w:r>
          </w:p>
        </w:tc>
      </w:tr>
      <w:tr w:rsidR="0083113B" w:rsidTr="00C945AE">
        <w:tc>
          <w:tcPr>
            <w:tcW w:w="1809" w:type="dxa"/>
          </w:tcPr>
          <w:p w:rsidR="0083113B" w:rsidRPr="0089405F" w:rsidRDefault="0083113B" w:rsidP="00A26E99">
            <w:r>
              <w:t>AUC</w:t>
            </w:r>
          </w:p>
        </w:tc>
        <w:tc>
          <w:tcPr>
            <w:tcW w:w="6911" w:type="dxa"/>
          </w:tcPr>
          <w:p w:rsidR="0083113B" w:rsidRPr="0089405F" w:rsidRDefault="0083113B" w:rsidP="00A26E99">
            <w:r w:rsidRPr="0089405F">
              <w:t>area under the concentration-time curve</w:t>
            </w:r>
          </w:p>
        </w:tc>
      </w:tr>
      <w:tr w:rsidR="0083113B" w:rsidTr="00C945AE">
        <w:tc>
          <w:tcPr>
            <w:tcW w:w="1809" w:type="dxa"/>
          </w:tcPr>
          <w:p w:rsidR="0083113B" w:rsidRDefault="0083113B" w:rsidP="00A26E99">
            <w:r>
              <w:t>AU</w:t>
            </w:r>
            <w:r w:rsidRPr="0089405F">
              <w:t>C</w:t>
            </w:r>
            <w:r>
              <w:rPr>
                <w:sz w:val="14"/>
                <w:szCs w:val="14"/>
              </w:rPr>
              <w:t>12</w:t>
            </w:r>
          </w:p>
        </w:tc>
        <w:tc>
          <w:tcPr>
            <w:tcW w:w="6911" w:type="dxa"/>
          </w:tcPr>
          <w:p w:rsidR="0083113B" w:rsidRPr="0089405F" w:rsidRDefault="0083113B" w:rsidP="00A26E99">
            <w:r w:rsidRPr="0089405F">
              <w:t xml:space="preserve">area under the concentration-time curve </w:t>
            </w:r>
            <w:r>
              <w:t>(</w:t>
            </w:r>
            <w:r w:rsidRPr="0089405F">
              <w:t>plasma concentration</w:t>
            </w:r>
            <w:r>
              <w:t>)</w:t>
            </w:r>
            <w:r w:rsidRPr="0089405F">
              <w:t xml:space="preserve"> 12 hours after dosing</w:t>
            </w:r>
          </w:p>
        </w:tc>
      </w:tr>
      <w:tr w:rsidR="0083113B" w:rsidTr="00C945AE">
        <w:tc>
          <w:tcPr>
            <w:tcW w:w="1809" w:type="dxa"/>
          </w:tcPr>
          <w:p w:rsidR="0083113B" w:rsidRDefault="0083113B" w:rsidP="00A26E99">
            <w:r>
              <w:t>AU</w:t>
            </w:r>
            <w:r w:rsidRPr="0089405F">
              <w:t>C</w:t>
            </w:r>
            <w:r>
              <w:rPr>
                <w:sz w:val="14"/>
                <w:szCs w:val="14"/>
              </w:rPr>
              <w:t>24</w:t>
            </w:r>
          </w:p>
        </w:tc>
        <w:tc>
          <w:tcPr>
            <w:tcW w:w="6911" w:type="dxa"/>
          </w:tcPr>
          <w:p w:rsidR="0083113B" w:rsidRPr="0089405F" w:rsidRDefault="0083113B" w:rsidP="00A26E99">
            <w:r w:rsidRPr="0089405F">
              <w:t xml:space="preserve">area under the concentration-time curve </w:t>
            </w:r>
            <w:r>
              <w:t>(</w:t>
            </w:r>
            <w:r w:rsidRPr="0089405F">
              <w:t>plasma concentration</w:t>
            </w:r>
            <w:r>
              <w:t>)</w:t>
            </w:r>
            <w:r w:rsidRPr="0089405F">
              <w:t xml:space="preserve"> </w:t>
            </w:r>
            <w:r>
              <w:t>24</w:t>
            </w:r>
            <w:r w:rsidRPr="0089405F">
              <w:t xml:space="preserve"> hours after dosing</w:t>
            </w:r>
          </w:p>
        </w:tc>
      </w:tr>
      <w:tr w:rsidR="0083113B" w:rsidTr="00C945AE">
        <w:tc>
          <w:tcPr>
            <w:tcW w:w="1809" w:type="dxa"/>
          </w:tcPr>
          <w:p w:rsidR="0083113B" w:rsidRPr="0089405F" w:rsidRDefault="0083113B" w:rsidP="00A26E99">
            <w:r w:rsidRPr="003E036A">
              <w:t>AUC</w:t>
            </w:r>
            <w:r w:rsidRPr="00630EF4">
              <w:rPr>
                <w:vertAlign w:val="subscript"/>
              </w:rPr>
              <w:t>inf</w:t>
            </w:r>
          </w:p>
        </w:tc>
        <w:tc>
          <w:tcPr>
            <w:tcW w:w="6911" w:type="dxa"/>
          </w:tcPr>
          <w:p w:rsidR="0083113B" w:rsidRPr="0089405F" w:rsidRDefault="0083113B" w:rsidP="00A26E99">
            <w:r w:rsidRPr="0089405F">
              <w:t>AUC extrapolated to time infinity</w:t>
            </w:r>
          </w:p>
        </w:tc>
      </w:tr>
      <w:tr w:rsidR="0083113B" w:rsidTr="00C945AE">
        <w:tc>
          <w:tcPr>
            <w:tcW w:w="1809" w:type="dxa"/>
          </w:tcPr>
          <w:p w:rsidR="0083113B" w:rsidRPr="0089405F" w:rsidRDefault="0083113B" w:rsidP="00A26E99">
            <w:r>
              <w:t>BA</w:t>
            </w:r>
          </w:p>
        </w:tc>
        <w:tc>
          <w:tcPr>
            <w:tcW w:w="6911" w:type="dxa"/>
          </w:tcPr>
          <w:p w:rsidR="0083113B" w:rsidRPr="0089405F" w:rsidRDefault="0083113B" w:rsidP="00A26E99">
            <w:r w:rsidRPr="0089405F">
              <w:t>bioavailability</w:t>
            </w:r>
          </w:p>
        </w:tc>
      </w:tr>
      <w:tr w:rsidR="0083113B" w:rsidTr="00C945AE">
        <w:tc>
          <w:tcPr>
            <w:tcW w:w="1809" w:type="dxa"/>
          </w:tcPr>
          <w:p w:rsidR="0083113B" w:rsidRDefault="0083113B" w:rsidP="00A26E99">
            <w:r w:rsidRPr="00F306A9">
              <w:t>BCRP</w:t>
            </w:r>
          </w:p>
        </w:tc>
        <w:tc>
          <w:tcPr>
            <w:tcW w:w="6911" w:type="dxa"/>
          </w:tcPr>
          <w:p w:rsidR="0083113B" w:rsidRPr="0089405F" w:rsidRDefault="0083113B" w:rsidP="00A26E99">
            <w:r w:rsidRPr="00F306A9">
              <w:t>B</w:t>
            </w:r>
            <w:r>
              <w:t>reast cancer resistance protein</w:t>
            </w:r>
          </w:p>
        </w:tc>
      </w:tr>
      <w:tr w:rsidR="0083113B" w:rsidTr="00C945AE">
        <w:tc>
          <w:tcPr>
            <w:tcW w:w="1809" w:type="dxa"/>
          </w:tcPr>
          <w:p w:rsidR="0083113B" w:rsidRPr="0089405F" w:rsidRDefault="0083113B" w:rsidP="00A26E99">
            <w:r>
              <w:t>BD</w:t>
            </w:r>
          </w:p>
        </w:tc>
        <w:tc>
          <w:tcPr>
            <w:tcW w:w="6911" w:type="dxa"/>
          </w:tcPr>
          <w:p w:rsidR="0083113B" w:rsidRPr="0089405F" w:rsidRDefault="0083113B" w:rsidP="00A26E99">
            <w:r w:rsidRPr="0089405F">
              <w:t>twice daily</w:t>
            </w:r>
          </w:p>
        </w:tc>
      </w:tr>
      <w:tr w:rsidR="0083113B" w:rsidTr="00C945AE">
        <w:tc>
          <w:tcPr>
            <w:tcW w:w="1809" w:type="dxa"/>
          </w:tcPr>
          <w:p w:rsidR="0083113B" w:rsidRPr="0089405F" w:rsidRDefault="0083113B" w:rsidP="00A26E99">
            <w:r w:rsidRPr="0089405F">
              <w:t>BMI</w:t>
            </w:r>
          </w:p>
        </w:tc>
        <w:tc>
          <w:tcPr>
            <w:tcW w:w="6911" w:type="dxa"/>
          </w:tcPr>
          <w:p w:rsidR="0083113B" w:rsidRPr="0089405F" w:rsidRDefault="0083113B" w:rsidP="00A26E99">
            <w:r w:rsidRPr="0089405F">
              <w:t>body mass index</w:t>
            </w:r>
          </w:p>
        </w:tc>
      </w:tr>
      <w:tr w:rsidR="0083113B" w:rsidTr="00C945AE">
        <w:tc>
          <w:tcPr>
            <w:tcW w:w="1809" w:type="dxa"/>
          </w:tcPr>
          <w:p w:rsidR="0083113B" w:rsidRPr="0089405F" w:rsidRDefault="0083113B" w:rsidP="00A26E99">
            <w:r w:rsidRPr="0089405F">
              <w:t>BSA</w:t>
            </w:r>
          </w:p>
        </w:tc>
        <w:tc>
          <w:tcPr>
            <w:tcW w:w="6911" w:type="dxa"/>
          </w:tcPr>
          <w:p w:rsidR="0083113B" w:rsidRPr="0089405F" w:rsidRDefault="0083113B" w:rsidP="00A26E99">
            <w:r w:rsidRPr="0089405F">
              <w:t>body surface area</w:t>
            </w:r>
          </w:p>
        </w:tc>
      </w:tr>
      <w:tr w:rsidR="0083113B" w:rsidTr="00C945AE">
        <w:tc>
          <w:tcPr>
            <w:tcW w:w="1809" w:type="dxa"/>
          </w:tcPr>
          <w:p w:rsidR="0083113B" w:rsidRPr="0089405F" w:rsidRDefault="0083113B" w:rsidP="00A26E99">
            <w:r>
              <w:t>BSEP</w:t>
            </w:r>
          </w:p>
        </w:tc>
        <w:tc>
          <w:tcPr>
            <w:tcW w:w="6911" w:type="dxa"/>
          </w:tcPr>
          <w:p w:rsidR="0083113B" w:rsidRPr="0089405F" w:rsidRDefault="0083113B" w:rsidP="00A26E99">
            <w:r>
              <w:rPr>
                <w:lang w:val="en"/>
              </w:rPr>
              <w:t>bile salt export pump</w:t>
            </w:r>
          </w:p>
        </w:tc>
      </w:tr>
      <w:tr w:rsidR="0083113B" w:rsidTr="00C945AE">
        <w:tc>
          <w:tcPr>
            <w:tcW w:w="1809" w:type="dxa"/>
          </w:tcPr>
          <w:p w:rsidR="0083113B" w:rsidRPr="0089405F" w:rsidRDefault="0083113B" w:rsidP="00A26E99">
            <w:r>
              <w:t>CI</w:t>
            </w:r>
          </w:p>
        </w:tc>
        <w:tc>
          <w:tcPr>
            <w:tcW w:w="6911" w:type="dxa"/>
          </w:tcPr>
          <w:p w:rsidR="0083113B" w:rsidRPr="0089405F" w:rsidRDefault="0083113B" w:rsidP="00A26E99">
            <w:r w:rsidRPr="0089405F">
              <w:t>confidence interval</w:t>
            </w:r>
          </w:p>
        </w:tc>
      </w:tr>
      <w:tr w:rsidR="0083113B" w:rsidTr="00C945AE">
        <w:tc>
          <w:tcPr>
            <w:tcW w:w="1809" w:type="dxa"/>
          </w:tcPr>
          <w:p w:rsidR="0083113B" w:rsidRPr="0089405F" w:rsidRDefault="0083113B" w:rsidP="00A26E99">
            <w:r>
              <w:t>CL/F</w:t>
            </w:r>
          </w:p>
        </w:tc>
        <w:tc>
          <w:tcPr>
            <w:tcW w:w="6911" w:type="dxa"/>
          </w:tcPr>
          <w:p w:rsidR="0083113B" w:rsidRPr="0089405F" w:rsidRDefault="0083113B" w:rsidP="00A26E99">
            <w:r w:rsidRPr="0089405F">
              <w:t>apparent clearance</w:t>
            </w:r>
          </w:p>
        </w:tc>
      </w:tr>
      <w:tr w:rsidR="0083113B" w:rsidTr="00C945AE">
        <w:tc>
          <w:tcPr>
            <w:tcW w:w="1809" w:type="dxa"/>
          </w:tcPr>
          <w:p w:rsidR="0083113B" w:rsidRDefault="0083113B" w:rsidP="00A26E99">
            <w:r w:rsidRPr="001A16F3">
              <w:t>C</w:t>
            </w:r>
            <w:r w:rsidRPr="001A16F3">
              <w:rPr>
                <w:vertAlign w:val="subscript"/>
              </w:rPr>
              <w:t>24h</w:t>
            </w:r>
          </w:p>
        </w:tc>
        <w:tc>
          <w:tcPr>
            <w:tcW w:w="6911" w:type="dxa"/>
          </w:tcPr>
          <w:p w:rsidR="0083113B" w:rsidRPr="0089405F" w:rsidRDefault="0083113B" w:rsidP="00A26E99">
            <w:r>
              <w:t>plasma concentration after 24 hours</w:t>
            </w:r>
          </w:p>
        </w:tc>
      </w:tr>
      <w:tr w:rsidR="0083113B" w:rsidTr="00C945AE">
        <w:tc>
          <w:tcPr>
            <w:tcW w:w="1809" w:type="dxa"/>
          </w:tcPr>
          <w:p w:rsidR="0083113B" w:rsidRPr="0089405F" w:rsidRDefault="0083113B" w:rsidP="00A26E99">
            <w:r w:rsidRPr="008912E8">
              <w:lastRenderedPageBreak/>
              <w:t>C</w:t>
            </w:r>
            <w:r w:rsidRPr="003A33A4">
              <w:rPr>
                <w:vertAlign w:val="subscript"/>
              </w:rPr>
              <w:t>max</w:t>
            </w:r>
          </w:p>
        </w:tc>
        <w:tc>
          <w:tcPr>
            <w:tcW w:w="6911" w:type="dxa"/>
          </w:tcPr>
          <w:p w:rsidR="0083113B" w:rsidRPr="0089405F" w:rsidRDefault="0083113B" w:rsidP="00A26E99">
            <w:r w:rsidRPr="0089405F">
              <w:t>maximum plasma concentration</w:t>
            </w:r>
          </w:p>
        </w:tc>
      </w:tr>
      <w:tr w:rsidR="0083113B" w:rsidTr="00C945AE">
        <w:tc>
          <w:tcPr>
            <w:tcW w:w="1809" w:type="dxa"/>
          </w:tcPr>
          <w:p w:rsidR="0083113B" w:rsidRPr="0089405F" w:rsidRDefault="0083113B" w:rsidP="00A26E99">
            <w:r w:rsidRPr="008912E8">
              <w:t>C</w:t>
            </w:r>
            <w:r w:rsidRPr="003A33A4">
              <w:rPr>
                <w:vertAlign w:val="subscript"/>
              </w:rPr>
              <w:t>max</w:t>
            </w:r>
            <w:r>
              <w:t xml:space="preserve"> </w:t>
            </w:r>
            <w:r w:rsidRPr="00970738">
              <w:rPr>
                <w:vertAlign w:val="subscript"/>
              </w:rPr>
              <w:t>,ss</w:t>
            </w:r>
          </w:p>
        </w:tc>
        <w:tc>
          <w:tcPr>
            <w:tcW w:w="6911" w:type="dxa"/>
          </w:tcPr>
          <w:p w:rsidR="0083113B" w:rsidRPr="0089405F" w:rsidRDefault="0083113B" w:rsidP="00A26E99">
            <w:r w:rsidRPr="0089405F">
              <w:t>maximum plasma concentration at steady-state</w:t>
            </w:r>
          </w:p>
        </w:tc>
      </w:tr>
      <w:tr w:rsidR="0083113B" w:rsidTr="00C945AE">
        <w:tc>
          <w:tcPr>
            <w:tcW w:w="1809" w:type="dxa"/>
          </w:tcPr>
          <w:p w:rsidR="0083113B" w:rsidRPr="008912E8" w:rsidRDefault="0083113B" w:rsidP="00A26E99">
            <w:r w:rsidRPr="00CE21BD">
              <w:t>CNS</w:t>
            </w:r>
          </w:p>
        </w:tc>
        <w:tc>
          <w:tcPr>
            <w:tcW w:w="6911" w:type="dxa"/>
          </w:tcPr>
          <w:p w:rsidR="0083113B" w:rsidRPr="0089405F" w:rsidRDefault="0083113B" w:rsidP="00A26E99">
            <w:r>
              <w:t>central nervous system</w:t>
            </w:r>
          </w:p>
        </w:tc>
      </w:tr>
      <w:tr w:rsidR="0083113B" w:rsidTr="00C945AE">
        <w:tc>
          <w:tcPr>
            <w:tcW w:w="1809" w:type="dxa"/>
          </w:tcPr>
          <w:p w:rsidR="0083113B" w:rsidRDefault="0083113B" w:rsidP="00A26E99">
            <w:r w:rsidRPr="00AB5089">
              <w:t>COC</w:t>
            </w:r>
          </w:p>
        </w:tc>
        <w:tc>
          <w:tcPr>
            <w:tcW w:w="6911" w:type="dxa"/>
          </w:tcPr>
          <w:p w:rsidR="0083113B" w:rsidRPr="00DC5E21" w:rsidRDefault="0083113B" w:rsidP="00A26E99">
            <w:r w:rsidRPr="00AB5089">
              <w:t>combined oral contraceptive</w:t>
            </w:r>
          </w:p>
        </w:tc>
      </w:tr>
      <w:tr w:rsidR="0083113B" w:rsidTr="00C945AE">
        <w:tc>
          <w:tcPr>
            <w:tcW w:w="1809" w:type="dxa"/>
          </w:tcPr>
          <w:p w:rsidR="0083113B" w:rsidRDefault="0083113B" w:rsidP="00A26E99">
            <w:r w:rsidRPr="00AB5089">
              <w:t>CsA</w:t>
            </w:r>
          </w:p>
        </w:tc>
        <w:tc>
          <w:tcPr>
            <w:tcW w:w="6911" w:type="dxa"/>
          </w:tcPr>
          <w:p w:rsidR="0083113B" w:rsidRPr="0089405F" w:rsidRDefault="0083113B" w:rsidP="00A26E99">
            <w:r w:rsidRPr="00AB5089">
              <w:t>cyclosporine</w:t>
            </w:r>
          </w:p>
        </w:tc>
      </w:tr>
      <w:tr w:rsidR="0083113B" w:rsidTr="00C945AE">
        <w:tc>
          <w:tcPr>
            <w:tcW w:w="1809" w:type="dxa"/>
          </w:tcPr>
          <w:p w:rsidR="0083113B" w:rsidRDefault="0083113B" w:rsidP="00A26E99">
            <w:r w:rsidRPr="00AB5089">
              <w:t>CV</w:t>
            </w:r>
          </w:p>
        </w:tc>
        <w:tc>
          <w:tcPr>
            <w:tcW w:w="6911" w:type="dxa"/>
          </w:tcPr>
          <w:p w:rsidR="0083113B" w:rsidRPr="0089405F" w:rsidRDefault="0083113B" w:rsidP="00A26E99">
            <w:r w:rsidRPr="00AB5089">
              <w:t>coefficient of variation</w:t>
            </w:r>
          </w:p>
        </w:tc>
      </w:tr>
      <w:tr w:rsidR="0083113B" w:rsidTr="00C945AE">
        <w:tc>
          <w:tcPr>
            <w:tcW w:w="1809" w:type="dxa"/>
          </w:tcPr>
          <w:p w:rsidR="0083113B" w:rsidRDefault="0083113B" w:rsidP="00A26E99">
            <w:r w:rsidRPr="00AB5089">
              <w:t>CYP</w:t>
            </w:r>
          </w:p>
        </w:tc>
        <w:tc>
          <w:tcPr>
            <w:tcW w:w="6911" w:type="dxa"/>
          </w:tcPr>
          <w:p w:rsidR="0083113B" w:rsidRPr="0089405F" w:rsidRDefault="0083113B" w:rsidP="00A26E99">
            <w:r w:rsidRPr="00AB5089">
              <w:t>cytochrome P450</w:t>
            </w:r>
          </w:p>
        </w:tc>
      </w:tr>
      <w:tr w:rsidR="0083113B" w:rsidTr="00C945AE">
        <w:tc>
          <w:tcPr>
            <w:tcW w:w="1809" w:type="dxa"/>
          </w:tcPr>
          <w:p w:rsidR="0083113B" w:rsidRPr="00AB5089" w:rsidRDefault="0083113B" w:rsidP="00A26E99">
            <w:r w:rsidRPr="007A53A4">
              <w:t>CYP3A4</w:t>
            </w:r>
          </w:p>
        </w:tc>
        <w:tc>
          <w:tcPr>
            <w:tcW w:w="6911" w:type="dxa"/>
          </w:tcPr>
          <w:p w:rsidR="0083113B" w:rsidRPr="00AB5089" w:rsidRDefault="0083113B" w:rsidP="00A26E99">
            <w:r>
              <w:t>CYP isozyme 3A4</w:t>
            </w:r>
          </w:p>
        </w:tc>
      </w:tr>
      <w:tr w:rsidR="0083113B" w:rsidTr="00C945AE">
        <w:tc>
          <w:tcPr>
            <w:tcW w:w="1809" w:type="dxa"/>
          </w:tcPr>
          <w:p w:rsidR="0083113B" w:rsidRPr="007A53A4" w:rsidRDefault="0083113B" w:rsidP="00A26E99">
            <w:r w:rsidRPr="0029130E">
              <w:t>CYP3A5</w:t>
            </w:r>
          </w:p>
        </w:tc>
        <w:tc>
          <w:tcPr>
            <w:tcW w:w="6911" w:type="dxa"/>
          </w:tcPr>
          <w:p w:rsidR="0083113B" w:rsidRDefault="0083113B" w:rsidP="00A26E99">
            <w:r>
              <w:t>CYP isozyme 3A5</w:t>
            </w:r>
          </w:p>
        </w:tc>
      </w:tr>
      <w:tr w:rsidR="0083113B" w:rsidTr="00C945AE">
        <w:tc>
          <w:tcPr>
            <w:tcW w:w="1809" w:type="dxa"/>
          </w:tcPr>
          <w:p w:rsidR="0083113B" w:rsidRPr="0029130E" w:rsidRDefault="0083113B" w:rsidP="00A26E99">
            <w:r>
              <w:t>CYPxxx</w:t>
            </w:r>
          </w:p>
        </w:tc>
        <w:tc>
          <w:tcPr>
            <w:tcW w:w="6911" w:type="dxa"/>
          </w:tcPr>
          <w:p w:rsidR="0083113B" w:rsidRDefault="0083113B" w:rsidP="00A26E99">
            <w:r>
              <w:t>CYP isozyme xxx (where xxx letters describe the specific CYP isozyme)</w:t>
            </w:r>
          </w:p>
        </w:tc>
      </w:tr>
      <w:tr w:rsidR="0083113B" w:rsidTr="00C945AE">
        <w:tc>
          <w:tcPr>
            <w:tcW w:w="1809" w:type="dxa"/>
          </w:tcPr>
          <w:p w:rsidR="0083113B" w:rsidRDefault="0083113B" w:rsidP="00A26E99">
            <w:r w:rsidRPr="00AB5089">
              <w:t>C</w:t>
            </w:r>
            <w:r w:rsidRPr="00973BDE">
              <w:rPr>
                <w:vertAlign w:val="subscript"/>
              </w:rPr>
              <w:t>τ,ss</w:t>
            </w:r>
            <w:r>
              <w:t>, C</w:t>
            </w:r>
            <w:r w:rsidRPr="004A74CB">
              <w:rPr>
                <w:vertAlign w:val="subscript"/>
              </w:rPr>
              <w:t>trough</w:t>
            </w:r>
          </w:p>
        </w:tc>
        <w:tc>
          <w:tcPr>
            <w:tcW w:w="6911" w:type="dxa"/>
          </w:tcPr>
          <w:p w:rsidR="0083113B" w:rsidRPr="0089405F" w:rsidRDefault="0083113B" w:rsidP="00A26E99">
            <w:r w:rsidRPr="00AB5089">
              <w:t>trough plasma concentration</w:t>
            </w:r>
          </w:p>
        </w:tc>
      </w:tr>
      <w:tr w:rsidR="0083113B" w:rsidTr="00C945AE">
        <w:tc>
          <w:tcPr>
            <w:tcW w:w="1809" w:type="dxa"/>
          </w:tcPr>
          <w:p w:rsidR="0083113B" w:rsidRDefault="0083113B" w:rsidP="00A26E99">
            <w:r w:rsidRPr="00AB5089">
              <w:t>DAA</w:t>
            </w:r>
          </w:p>
        </w:tc>
        <w:tc>
          <w:tcPr>
            <w:tcW w:w="6911" w:type="dxa"/>
          </w:tcPr>
          <w:p w:rsidR="0083113B" w:rsidRPr="0089405F" w:rsidRDefault="0083113B" w:rsidP="00A26E99">
            <w:r>
              <w:t>direct acting</w:t>
            </w:r>
            <w:r w:rsidRPr="00AB5089">
              <w:t xml:space="preserve"> antiviral agent</w:t>
            </w:r>
          </w:p>
        </w:tc>
      </w:tr>
      <w:tr w:rsidR="0083113B" w:rsidTr="00C945AE">
        <w:tc>
          <w:tcPr>
            <w:tcW w:w="1809" w:type="dxa"/>
          </w:tcPr>
          <w:p w:rsidR="0083113B" w:rsidRDefault="0083113B" w:rsidP="00A26E99">
            <w:r w:rsidRPr="00AB5089">
              <w:t>DDI</w:t>
            </w:r>
          </w:p>
        </w:tc>
        <w:tc>
          <w:tcPr>
            <w:tcW w:w="6911" w:type="dxa"/>
          </w:tcPr>
          <w:p w:rsidR="0083113B" w:rsidRPr="0089405F" w:rsidRDefault="0083113B" w:rsidP="00A26E99">
            <w:r w:rsidRPr="00AB5089">
              <w:t>drug-drug interaction</w:t>
            </w:r>
          </w:p>
        </w:tc>
      </w:tr>
      <w:tr w:rsidR="0083113B" w:rsidTr="00C945AE">
        <w:tc>
          <w:tcPr>
            <w:tcW w:w="1809" w:type="dxa"/>
          </w:tcPr>
          <w:p w:rsidR="0083113B" w:rsidRPr="00AB5089" w:rsidRDefault="0083113B" w:rsidP="00A26E99">
            <w:r>
              <w:t>DMBA</w:t>
            </w:r>
          </w:p>
        </w:tc>
        <w:tc>
          <w:tcPr>
            <w:tcW w:w="6911" w:type="dxa"/>
          </w:tcPr>
          <w:p w:rsidR="0083113B" w:rsidRPr="00AB5089" w:rsidRDefault="0083113B" w:rsidP="00A26E99">
            <w:r>
              <w:t>7,12-dimethylbenz(a)anthracene</w:t>
            </w:r>
          </w:p>
        </w:tc>
      </w:tr>
      <w:tr w:rsidR="0083113B" w:rsidTr="00C945AE">
        <w:tc>
          <w:tcPr>
            <w:tcW w:w="1809" w:type="dxa"/>
          </w:tcPr>
          <w:p w:rsidR="0083113B" w:rsidRDefault="0083113B" w:rsidP="00A26E99">
            <w:r w:rsidRPr="00AB5089">
              <w:t>DNA</w:t>
            </w:r>
          </w:p>
        </w:tc>
        <w:tc>
          <w:tcPr>
            <w:tcW w:w="6911" w:type="dxa"/>
          </w:tcPr>
          <w:p w:rsidR="0083113B" w:rsidRPr="0089405F" w:rsidRDefault="0083113B" w:rsidP="00A26E99">
            <w:r w:rsidRPr="00AB5089">
              <w:t>deoxyribonucleic acid</w:t>
            </w:r>
          </w:p>
        </w:tc>
      </w:tr>
      <w:tr w:rsidR="0083113B" w:rsidTr="00C945AE">
        <w:tc>
          <w:tcPr>
            <w:tcW w:w="1809" w:type="dxa"/>
          </w:tcPr>
          <w:p w:rsidR="0083113B" w:rsidRPr="00AB5089" w:rsidRDefault="0083113B" w:rsidP="00A26E99">
            <w:r>
              <w:t>EC</w:t>
            </w:r>
            <w:r w:rsidRPr="00E355BF">
              <w:rPr>
                <w:vertAlign w:val="subscript"/>
              </w:rPr>
              <w:t>50</w:t>
            </w:r>
          </w:p>
        </w:tc>
        <w:tc>
          <w:tcPr>
            <w:tcW w:w="6911" w:type="dxa"/>
          </w:tcPr>
          <w:p w:rsidR="0083113B" w:rsidRPr="00AB5089" w:rsidRDefault="0083113B" w:rsidP="00A26E99">
            <w:r>
              <w:t>50% effective concentration (the concentration required to obtain 50% of the maximum effect)</w:t>
            </w:r>
          </w:p>
        </w:tc>
      </w:tr>
      <w:tr w:rsidR="0083113B" w:rsidTr="00C945AE">
        <w:tc>
          <w:tcPr>
            <w:tcW w:w="1809" w:type="dxa"/>
          </w:tcPr>
          <w:p w:rsidR="0083113B" w:rsidRDefault="0083113B" w:rsidP="00A26E99">
            <w:r w:rsidRPr="00AB5089">
              <w:t>ECG</w:t>
            </w:r>
          </w:p>
        </w:tc>
        <w:tc>
          <w:tcPr>
            <w:tcW w:w="6911" w:type="dxa"/>
          </w:tcPr>
          <w:p w:rsidR="0083113B" w:rsidRPr="0089405F" w:rsidRDefault="0083113B" w:rsidP="00A26E99">
            <w:r w:rsidRPr="00AB5089">
              <w:t>electrocardiogram</w:t>
            </w:r>
          </w:p>
        </w:tc>
      </w:tr>
      <w:tr w:rsidR="0083113B" w:rsidTr="00C945AE">
        <w:tc>
          <w:tcPr>
            <w:tcW w:w="1809" w:type="dxa"/>
          </w:tcPr>
          <w:p w:rsidR="0083113B" w:rsidRDefault="0083113B" w:rsidP="00A26E99">
            <w:r w:rsidRPr="00AB5089">
              <w:rPr>
                <w:rFonts w:eastAsia="TimesNewRoman" w:cs="TimesNewRoman"/>
              </w:rPr>
              <w:t>EE</w:t>
            </w:r>
          </w:p>
        </w:tc>
        <w:tc>
          <w:tcPr>
            <w:tcW w:w="6911" w:type="dxa"/>
          </w:tcPr>
          <w:p w:rsidR="0083113B" w:rsidRPr="0089405F" w:rsidRDefault="0083113B" w:rsidP="00A26E99">
            <w:r w:rsidRPr="00AB5089">
              <w:t>ethinyl estradiol</w:t>
            </w:r>
          </w:p>
        </w:tc>
      </w:tr>
      <w:tr w:rsidR="0083113B" w:rsidTr="00C945AE">
        <w:tc>
          <w:tcPr>
            <w:tcW w:w="1809" w:type="dxa"/>
          </w:tcPr>
          <w:p w:rsidR="0083113B" w:rsidRPr="00AB5089" w:rsidRDefault="0083113B" w:rsidP="00A26E99">
            <w:pPr>
              <w:rPr>
                <w:rFonts w:eastAsia="TimesNewRoman" w:cs="TimesNewRoman"/>
              </w:rPr>
            </w:pPr>
            <w:r>
              <w:rPr>
                <w:rFonts w:eastAsia="TimesNewRoman" w:cs="TimesNewRoman"/>
              </w:rPr>
              <w:t>ERAUC</w:t>
            </w:r>
          </w:p>
        </w:tc>
        <w:tc>
          <w:tcPr>
            <w:tcW w:w="6911" w:type="dxa"/>
          </w:tcPr>
          <w:p w:rsidR="0083113B" w:rsidRPr="00AB5089" w:rsidRDefault="0083113B" w:rsidP="00A26E99">
            <w:r>
              <w:t>Exposure ratio based on AUC</w:t>
            </w:r>
          </w:p>
        </w:tc>
      </w:tr>
      <w:tr w:rsidR="0083113B" w:rsidTr="00C945AE">
        <w:tc>
          <w:tcPr>
            <w:tcW w:w="1809" w:type="dxa"/>
          </w:tcPr>
          <w:p w:rsidR="0083113B" w:rsidRPr="00AB5089" w:rsidRDefault="0083113B" w:rsidP="00A26E99">
            <w:pPr>
              <w:rPr>
                <w:rFonts w:eastAsia="TimesNewRoman" w:cs="TimesNewRoman"/>
              </w:rPr>
            </w:pPr>
            <w:r w:rsidRPr="00A96538">
              <w:t>ERC</w:t>
            </w:r>
            <w:r w:rsidRPr="00A96538">
              <w:rPr>
                <w:vertAlign w:val="subscript"/>
              </w:rPr>
              <w:t>max</w:t>
            </w:r>
          </w:p>
        </w:tc>
        <w:tc>
          <w:tcPr>
            <w:tcW w:w="6911" w:type="dxa"/>
          </w:tcPr>
          <w:p w:rsidR="0083113B" w:rsidRPr="00AB5089" w:rsidRDefault="0083113B" w:rsidP="00A26E99">
            <w:r w:rsidRPr="00E62596">
              <w:t xml:space="preserve">exposure ratio based on </w:t>
            </w:r>
            <w:r w:rsidRPr="008912E8">
              <w:t>C</w:t>
            </w:r>
            <w:r w:rsidRPr="003A33A4">
              <w:rPr>
                <w:vertAlign w:val="subscript"/>
              </w:rPr>
              <w:t>max</w:t>
            </w:r>
          </w:p>
        </w:tc>
      </w:tr>
      <w:tr w:rsidR="0083113B" w:rsidTr="00C945AE">
        <w:tc>
          <w:tcPr>
            <w:tcW w:w="1809" w:type="dxa"/>
          </w:tcPr>
          <w:p w:rsidR="0083113B" w:rsidRPr="00AB5089" w:rsidRDefault="0083113B" w:rsidP="00A26E99">
            <w:pPr>
              <w:rPr>
                <w:rFonts w:eastAsia="TimesNewRoman" w:cs="TimesNewRoman"/>
              </w:rPr>
            </w:pPr>
            <w:r w:rsidRPr="00AB5089">
              <w:rPr>
                <w:rFonts w:eastAsia="TimesNewRoman" w:cs="TimesNewRoman"/>
              </w:rPr>
              <w:t>EVR</w:t>
            </w:r>
          </w:p>
        </w:tc>
        <w:tc>
          <w:tcPr>
            <w:tcW w:w="6911" w:type="dxa"/>
          </w:tcPr>
          <w:p w:rsidR="0083113B" w:rsidRPr="00AB5089" w:rsidRDefault="0083113B" w:rsidP="00A26E99">
            <w:r w:rsidRPr="00AB5089">
              <w:rPr>
                <w:rFonts w:eastAsia="TimesNewRoman" w:cs="TimesNewRoman"/>
              </w:rPr>
              <w:t>early virologic response; partial</w:t>
            </w:r>
            <w:r>
              <w:rPr>
                <w:rFonts w:eastAsia="TimesNewRoman" w:cs="TimesNewRoman"/>
              </w:rPr>
              <w:t xml:space="preserve"> = </w:t>
            </w:r>
            <w:r w:rsidRPr="00AB5089">
              <w:rPr>
                <w:rFonts w:eastAsia="TimesNewRoman" w:cs="TimesNewRoman"/>
              </w:rPr>
              <w:t xml:space="preserve">HCV RNA decrease of </w:t>
            </w:r>
            <w:r>
              <w:rPr>
                <w:rFonts w:eastAsia="TimesNewRoman" w:cs="TimesNewRoman"/>
              </w:rPr>
              <w:t>&gt; 2 </w:t>
            </w:r>
            <w:r w:rsidRPr="00AB5089">
              <w:rPr>
                <w:rFonts w:eastAsia="TimesNewRoman" w:cs="TimesNewRoman"/>
              </w:rPr>
              <w:t>log</w:t>
            </w:r>
            <w:r w:rsidRPr="00AA6FDA">
              <w:rPr>
                <w:rFonts w:eastAsia="TimesNewRoman" w:cs="TimesNewRoman"/>
                <w:vertAlign w:val="subscript"/>
              </w:rPr>
              <w:t>10</w:t>
            </w:r>
            <w:r>
              <w:rPr>
                <w:rFonts w:eastAsia="TimesNewRoman" w:cs="TimesNewRoman"/>
              </w:rPr>
              <w:t> </w:t>
            </w:r>
            <w:r w:rsidRPr="00AB5089">
              <w:rPr>
                <w:rFonts w:eastAsia="TimesNewRoman" w:cs="TimesNewRoman"/>
              </w:rPr>
              <w:t>IU/mL at Study Week 12, complete</w:t>
            </w:r>
            <w:r>
              <w:rPr>
                <w:rFonts w:eastAsia="TimesNewRoman" w:cs="TimesNewRoman"/>
              </w:rPr>
              <w:t xml:space="preserve"> = </w:t>
            </w:r>
            <w:r w:rsidRPr="00AB5089">
              <w:rPr>
                <w:rFonts w:eastAsia="TimesNewRoman" w:cs="TimesNewRoman"/>
              </w:rPr>
              <w:t xml:space="preserve">HCV RNA </w:t>
            </w:r>
            <w:r>
              <w:rPr>
                <w:rFonts w:eastAsia="TimesNewRoman" w:cs="TimesNewRoman"/>
              </w:rPr>
              <w:t xml:space="preserve">&lt; </w:t>
            </w:r>
            <w:r w:rsidRPr="00AB5089">
              <w:rPr>
                <w:rFonts w:eastAsia="TimesNewRoman" w:cs="TimesNewRoman"/>
              </w:rPr>
              <w:t>25 IU/mL at Study Week 12</w:t>
            </w:r>
          </w:p>
        </w:tc>
      </w:tr>
      <w:tr w:rsidR="0083113B" w:rsidTr="00C945AE">
        <w:tc>
          <w:tcPr>
            <w:tcW w:w="1809" w:type="dxa"/>
          </w:tcPr>
          <w:p w:rsidR="0083113B" w:rsidRPr="00AB5089" w:rsidRDefault="0083113B" w:rsidP="00A26E99">
            <w:r w:rsidRPr="00AB5089">
              <w:t>FDC</w:t>
            </w:r>
          </w:p>
        </w:tc>
        <w:tc>
          <w:tcPr>
            <w:tcW w:w="6911" w:type="dxa"/>
          </w:tcPr>
          <w:p w:rsidR="0083113B" w:rsidRPr="00AB5089" w:rsidRDefault="0083113B" w:rsidP="00A26E99">
            <w:r w:rsidRPr="00AB5089">
              <w:t>fixed dose combination</w:t>
            </w:r>
          </w:p>
        </w:tc>
      </w:tr>
      <w:tr w:rsidR="0083113B" w:rsidTr="00C945AE">
        <w:tc>
          <w:tcPr>
            <w:tcW w:w="1809" w:type="dxa"/>
          </w:tcPr>
          <w:p w:rsidR="0083113B" w:rsidRPr="0089405F" w:rsidRDefault="0083113B" w:rsidP="00A26E99">
            <w:r>
              <w:t>fu</w:t>
            </w:r>
          </w:p>
        </w:tc>
        <w:tc>
          <w:tcPr>
            <w:tcW w:w="6911" w:type="dxa"/>
          </w:tcPr>
          <w:p w:rsidR="0083113B" w:rsidRPr="0089405F" w:rsidRDefault="0083113B" w:rsidP="00A26E99">
            <w:r w:rsidRPr="0089405F">
              <w:t>unbound fraction</w:t>
            </w:r>
          </w:p>
        </w:tc>
      </w:tr>
      <w:tr w:rsidR="0083113B" w:rsidTr="00C945AE">
        <w:tc>
          <w:tcPr>
            <w:tcW w:w="1809" w:type="dxa"/>
          </w:tcPr>
          <w:p w:rsidR="0083113B" w:rsidRDefault="0083113B" w:rsidP="00A26E99">
            <w:r>
              <w:t>GABA</w:t>
            </w:r>
          </w:p>
        </w:tc>
        <w:tc>
          <w:tcPr>
            <w:tcW w:w="6911" w:type="dxa"/>
          </w:tcPr>
          <w:p w:rsidR="0083113B" w:rsidRDefault="0083113B" w:rsidP="00A26E99">
            <w:r>
              <w:t>gamma aminobutyric acid</w:t>
            </w:r>
          </w:p>
        </w:tc>
      </w:tr>
      <w:tr w:rsidR="0083113B" w:rsidTr="00C945AE">
        <w:tc>
          <w:tcPr>
            <w:tcW w:w="1809" w:type="dxa"/>
          </w:tcPr>
          <w:p w:rsidR="0083113B" w:rsidRDefault="0083113B" w:rsidP="00A26E99">
            <w:r w:rsidRPr="00AB5089">
              <w:lastRenderedPageBreak/>
              <w:t>GCP</w:t>
            </w:r>
          </w:p>
        </w:tc>
        <w:tc>
          <w:tcPr>
            <w:tcW w:w="6911" w:type="dxa"/>
          </w:tcPr>
          <w:p w:rsidR="0083113B" w:rsidRPr="0089405F" w:rsidRDefault="0083113B" w:rsidP="00A26E99">
            <w:r w:rsidRPr="00AB5089">
              <w:t>Good Clinical Practice</w:t>
            </w:r>
          </w:p>
        </w:tc>
      </w:tr>
      <w:tr w:rsidR="0083113B" w:rsidTr="00C945AE">
        <w:tc>
          <w:tcPr>
            <w:tcW w:w="1809" w:type="dxa"/>
          </w:tcPr>
          <w:p w:rsidR="0083113B" w:rsidRPr="00CC38A0" w:rsidRDefault="0083113B" w:rsidP="00A26E99">
            <w:r w:rsidRPr="00CC38A0">
              <w:t>GLDH</w:t>
            </w:r>
          </w:p>
        </w:tc>
        <w:tc>
          <w:tcPr>
            <w:tcW w:w="6911" w:type="dxa"/>
          </w:tcPr>
          <w:p w:rsidR="0083113B" w:rsidRPr="00CC38A0" w:rsidRDefault="0083113B" w:rsidP="00A26E99">
            <w:r>
              <w:t>glutamate dehydrogenase</w:t>
            </w:r>
          </w:p>
        </w:tc>
      </w:tr>
      <w:tr w:rsidR="0083113B" w:rsidTr="00C945AE">
        <w:tc>
          <w:tcPr>
            <w:tcW w:w="1809" w:type="dxa"/>
          </w:tcPr>
          <w:p w:rsidR="0083113B" w:rsidRPr="00AB5089" w:rsidRDefault="0083113B" w:rsidP="00A26E99">
            <w:r w:rsidRPr="001B7DBF">
              <w:t>GLP</w:t>
            </w:r>
          </w:p>
        </w:tc>
        <w:tc>
          <w:tcPr>
            <w:tcW w:w="6911" w:type="dxa"/>
          </w:tcPr>
          <w:p w:rsidR="0083113B" w:rsidRPr="00AB5089" w:rsidRDefault="0083113B" w:rsidP="00A26E99">
            <w:r>
              <w:t>Good Laboratory Practice</w:t>
            </w:r>
          </w:p>
        </w:tc>
      </w:tr>
      <w:tr w:rsidR="0083113B" w:rsidTr="00C945AE">
        <w:tc>
          <w:tcPr>
            <w:tcW w:w="1809" w:type="dxa"/>
          </w:tcPr>
          <w:p w:rsidR="0083113B" w:rsidRDefault="0083113B" w:rsidP="00A26E99">
            <w:r w:rsidRPr="00AB5089">
              <w:t>GT1a</w:t>
            </w:r>
          </w:p>
        </w:tc>
        <w:tc>
          <w:tcPr>
            <w:tcW w:w="6911" w:type="dxa"/>
          </w:tcPr>
          <w:p w:rsidR="0083113B" w:rsidRPr="0089405F" w:rsidRDefault="0083113B" w:rsidP="00A26E99">
            <w:r w:rsidRPr="00AB5089">
              <w:t>genotype 1a</w:t>
            </w:r>
            <w:r>
              <w:t xml:space="preserve"> (HCV)</w:t>
            </w:r>
          </w:p>
        </w:tc>
      </w:tr>
      <w:tr w:rsidR="0083113B" w:rsidTr="00C945AE">
        <w:tc>
          <w:tcPr>
            <w:tcW w:w="1809" w:type="dxa"/>
          </w:tcPr>
          <w:p w:rsidR="0083113B" w:rsidRDefault="0083113B" w:rsidP="00A26E99">
            <w:r w:rsidRPr="00AB5089">
              <w:t>GT1b</w:t>
            </w:r>
          </w:p>
        </w:tc>
        <w:tc>
          <w:tcPr>
            <w:tcW w:w="6911" w:type="dxa"/>
          </w:tcPr>
          <w:p w:rsidR="0083113B" w:rsidRPr="0089405F" w:rsidRDefault="0083113B" w:rsidP="00A26E99">
            <w:r w:rsidRPr="00AB5089">
              <w:t>genotype 1b</w:t>
            </w:r>
            <w:r>
              <w:t xml:space="preserve"> (HCV)</w:t>
            </w:r>
          </w:p>
        </w:tc>
      </w:tr>
      <w:tr w:rsidR="0083113B" w:rsidTr="00C945AE">
        <w:tc>
          <w:tcPr>
            <w:tcW w:w="1809" w:type="dxa"/>
          </w:tcPr>
          <w:p w:rsidR="0083113B" w:rsidRDefault="0083113B" w:rsidP="00A26E99">
            <w:r w:rsidRPr="00AB5089">
              <w:t>h</w:t>
            </w:r>
          </w:p>
        </w:tc>
        <w:tc>
          <w:tcPr>
            <w:tcW w:w="6911" w:type="dxa"/>
          </w:tcPr>
          <w:p w:rsidR="0083113B" w:rsidRPr="0089405F" w:rsidRDefault="0083113B" w:rsidP="00A26E99">
            <w:r w:rsidRPr="00AB5089">
              <w:t>hour/s</w:t>
            </w:r>
          </w:p>
        </w:tc>
      </w:tr>
      <w:tr w:rsidR="0083113B" w:rsidTr="00C945AE">
        <w:tc>
          <w:tcPr>
            <w:tcW w:w="1809" w:type="dxa"/>
          </w:tcPr>
          <w:p w:rsidR="0083113B" w:rsidRPr="00AB5089" w:rsidRDefault="0083113B" w:rsidP="00A26E99">
            <w:r w:rsidRPr="00AB5089">
              <w:t>HBV</w:t>
            </w:r>
          </w:p>
        </w:tc>
        <w:tc>
          <w:tcPr>
            <w:tcW w:w="6911" w:type="dxa"/>
          </w:tcPr>
          <w:p w:rsidR="0083113B" w:rsidRPr="00AB5089" w:rsidRDefault="0083113B" w:rsidP="00A26E99">
            <w:r w:rsidRPr="00AB5089">
              <w:t>hepatitis B virus</w:t>
            </w:r>
          </w:p>
        </w:tc>
      </w:tr>
      <w:tr w:rsidR="0083113B" w:rsidTr="00C945AE">
        <w:tc>
          <w:tcPr>
            <w:tcW w:w="1809" w:type="dxa"/>
          </w:tcPr>
          <w:p w:rsidR="0083113B" w:rsidRPr="00AB5089" w:rsidRDefault="0083113B" w:rsidP="00A26E99">
            <w:r w:rsidRPr="00AB5089">
              <w:t>HCV</w:t>
            </w:r>
          </w:p>
        </w:tc>
        <w:tc>
          <w:tcPr>
            <w:tcW w:w="6911" w:type="dxa"/>
          </w:tcPr>
          <w:p w:rsidR="0083113B" w:rsidRPr="00AB5089" w:rsidRDefault="0083113B" w:rsidP="00A26E99">
            <w:r w:rsidRPr="00AB5089">
              <w:t>hepatitis C virus</w:t>
            </w:r>
          </w:p>
        </w:tc>
      </w:tr>
      <w:tr w:rsidR="0083113B" w:rsidTr="00C945AE">
        <w:tc>
          <w:tcPr>
            <w:tcW w:w="1809" w:type="dxa"/>
          </w:tcPr>
          <w:p w:rsidR="0083113B" w:rsidRPr="00AB5089" w:rsidRDefault="0083113B" w:rsidP="00A26E99">
            <w:r w:rsidRPr="00014BB3">
              <w:t>hERG</w:t>
            </w:r>
          </w:p>
        </w:tc>
        <w:tc>
          <w:tcPr>
            <w:tcW w:w="6911" w:type="dxa"/>
          </w:tcPr>
          <w:p w:rsidR="0083113B" w:rsidRPr="00014BB3" w:rsidRDefault="0083113B" w:rsidP="00A26E99">
            <w:r w:rsidRPr="00014BB3">
              <w:t>H</w:t>
            </w:r>
            <w:r>
              <w:t>uman ether-a-go-go-related gene</w:t>
            </w:r>
          </w:p>
        </w:tc>
      </w:tr>
      <w:tr w:rsidR="0083113B" w:rsidTr="00C945AE">
        <w:tc>
          <w:tcPr>
            <w:tcW w:w="1809" w:type="dxa"/>
          </w:tcPr>
          <w:p w:rsidR="0083113B" w:rsidRPr="00AB5089" w:rsidRDefault="0083113B" w:rsidP="00A26E99">
            <w:r w:rsidRPr="00AB5089">
              <w:t>HGC</w:t>
            </w:r>
          </w:p>
        </w:tc>
        <w:tc>
          <w:tcPr>
            <w:tcW w:w="6911" w:type="dxa"/>
          </w:tcPr>
          <w:p w:rsidR="0083113B" w:rsidRPr="00AB5089" w:rsidRDefault="0083113B" w:rsidP="00A26E99">
            <w:r w:rsidRPr="00AB5089">
              <w:t>hard gelatin capsule</w:t>
            </w:r>
          </w:p>
        </w:tc>
      </w:tr>
      <w:tr w:rsidR="0083113B" w:rsidTr="00C945AE">
        <w:tc>
          <w:tcPr>
            <w:tcW w:w="1809" w:type="dxa"/>
          </w:tcPr>
          <w:p w:rsidR="0083113B" w:rsidRDefault="0083113B" w:rsidP="00A26E99">
            <w:r w:rsidRPr="00AB5089">
              <w:t>HIV</w:t>
            </w:r>
          </w:p>
        </w:tc>
        <w:tc>
          <w:tcPr>
            <w:tcW w:w="6911" w:type="dxa"/>
          </w:tcPr>
          <w:p w:rsidR="0083113B" w:rsidRPr="0089405F" w:rsidRDefault="0083113B" w:rsidP="00A26E99">
            <w:r w:rsidRPr="00AB5089">
              <w:t>human immunodeficiency virus</w:t>
            </w:r>
          </w:p>
        </w:tc>
      </w:tr>
      <w:tr w:rsidR="0083113B" w:rsidTr="00C945AE">
        <w:tc>
          <w:tcPr>
            <w:tcW w:w="1809" w:type="dxa"/>
          </w:tcPr>
          <w:p w:rsidR="0083113B" w:rsidRPr="00AB5089" w:rsidRDefault="0083113B" w:rsidP="00A26E99">
            <w:r w:rsidRPr="00AB5089">
              <w:t>HME</w:t>
            </w:r>
          </w:p>
        </w:tc>
        <w:tc>
          <w:tcPr>
            <w:tcW w:w="6911" w:type="dxa"/>
          </w:tcPr>
          <w:p w:rsidR="0083113B" w:rsidRPr="00AB5089" w:rsidRDefault="0083113B" w:rsidP="00A26E99">
            <w:r w:rsidRPr="00AB5089">
              <w:t>hot melt extrusion</w:t>
            </w:r>
          </w:p>
        </w:tc>
      </w:tr>
      <w:tr w:rsidR="0083113B" w:rsidTr="00C945AE">
        <w:tc>
          <w:tcPr>
            <w:tcW w:w="1809" w:type="dxa"/>
          </w:tcPr>
          <w:p w:rsidR="0083113B" w:rsidRPr="00AB5089" w:rsidRDefault="0083113B" w:rsidP="00A26E99">
            <w:r>
              <w:t>IC</w:t>
            </w:r>
            <w:r w:rsidRPr="00E355BF">
              <w:rPr>
                <w:vertAlign w:val="subscript"/>
              </w:rPr>
              <w:t>50</w:t>
            </w:r>
          </w:p>
        </w:tc>
        <w:tc>
          <w:tcPr>
            <w:tcW w:w="6911" w:type="dxa"/>
          </w:tcPr>
          <w:p w:rsidR="0083113B" w:rsidRPr="00AB5089" w:rsidRDefault="0083113B" w:rsidP="00A26E99">
            <w:r w:rsidRPr="00747C34">
              <w:t>half maximal inhibitory concentration</w:t>
            </w:r>
          </w:p>
        </w:tc>
      </w:tr>
      <w:tr w:rsidR="0083113B" w:rsidTr="00C945AE">
        <w:tc>
          <w:tcPr>
            <w:tcW w:w="1809" w:type="dxa"/>
          </w:tcPr>
          <w:p w:rsidR="0083113B" w:rsidRPr="00AB5089" w:rsidRDefault="0083113B" w:rsidP="00A26E99">
            <w:r w:rsidRPr="00AB5089">
              <w:t>ICH</w:t>
            </w:r>
          </w:p>
        </w:tc>
        <w:tc>
          <w:tcPr>
            <w:tcW w:w="6911" w:type="dxa"/>
          </w:tcPr>
          <w:p w:rsidR="0083113B" w:rsidRPr="00AB5089" w:rsidRDefault="0083113B" w:rsidP="00A26E99">
            <w:r w:rsidRPr="00AB5089">
              <w:t>International Conference on Harmonisation</w:t>
            </w:r>
          </w:p>
        </w:tc>
      </w:tr>
      <w:tr w:rsidR="0083113B" w:rsidTr="00C945AE">
        <w:tc>
          <w:tcPr>
            <w:tcW w:w="1809" w:type="dxa"/>
          </w:tcPr>
          <w:p w:rsidR="0083113B" w:rsidRPr="00AB5089" w:rsidRDefault="0083113B" w:rsidP="00A26E99">
            <w:r>
              <w:t>IFN-γ</w:t>
            </w:r>
          </w:p>
        </w:tc>
        <w:tc>
          <w:tcPr>
            <w:tcW w:w="6911" w:type="dxa"/>
          </w:tcPr>
          <w:p w:rsidR="0083113B" w:rsidRPr="00AB5089" w:rsidRDefault="0083113B" w:rsidP="00A26E99">
            <w:r>
              <w:t>Gamma interferon</w:t>
            </w:r>
          </w:p>
        </w:tc>
      </w:tr>
      <w:tr w:rsidR="0083113B" w:rsidTr="00C945AE">
        <w:tc>
          <w:tcPr>
            <w:tcW w:w="1809" w:type="dxa"/>
          </w:tcPr>
          <w:p w:rsidR="0083113B" w:rsidRPr="00AB5089" w:rsidRDefault="0083113B" w:rsidP="00A26E99">
            <w:r w:rsidRPr="00AB5089">
              <w:t>IL28B</w:t>
            </w:r>
          </w:p>
        </w:tc>
        <w:tc>
          <w:tcPr>
            <w:tcW w:w="6911" w:type="dxa"/>
          </w:tcPr>
          <w:p w:rsidR="0083113B" w:rsidRPr="00AB5089" w:rsidRDefault="0083113B" w:rsidP="00A26E99">
            <w:r w:rsidRPr="00AB5089">
              <w:t>interleukin 28B</w:t>
            </w:r>
          </w:p>
        </w:tc>
      </w:tr>
      <w:tr w:rsidR="0083113B" w:rsidTr="00C945AE">
        <w:tc>
          <w:tcPr>
            <w:tcW w:w="1809" w:type="dxa"/>
          </w:tcPr>
          <w:p w:rsidR="0083113B" w:rsidRPr="00AB5089" w:rsidRDefault="0083113B" w:rsidP="00A26E99">
            <w:r w:rsidRPr="00AB5089">
              <w:t>IP-10</w:t>
            </w:r>
          </w:p>
        </w:tc>
        <w:tc>
          <w:tcPr>
            <w:tcW w:w="6911" w:type="dxa"/>
          </w:tcPr>
          <w:p w:rsidR="0083113B" w:rsidRPr="00AB5089" w:rsidRDefault="0083113B" w:rsidP="00A26E99">
            <w:r w:rsidRPr="00AB5089">
              <w:t>interferon gamma-induced protein 10</w:t>
            </w:r>
          </w:p>
        </w:tc>
      </w:tr>
      <w:tr w:rsidR="0083113B" w:rsidTr="00C945AE">
        <w:tc>
          <w:tcPr>
            <w:tcW w:w="1809" w:type="dxa"/>
          </w:tcPr>
          <w:p w:rsidR="0083113B" w:rsidRPr="00A03AC1" w:rsidRDefault="0083113B" w:rsidP="00A26E99">
            <w:r w:rsidRPr="00A03AC1">
              <w:t>ISS</w:t>
            </w:r>
          </w:p>
        </w:tc>
        <w:tc>
          <w:tcPr>
            <w:tcW w:w="6911" w:type="dxa"/>
          </w:tcPr>
          <w:p w:rsidR="0083113B" w:rsidRPr="00A03AC1" w:rsidRDefault="0083113B" w:rsidP="00A26E99">
            <w:r w:rsidRPr="00A03AC1">
              <w:t>integrated summary of safety</w:t>
            </w:r>
          </w:p>
        </w:tc>
      </w:tr>
      <w:tr w:rsidR="0083113B" w:rsidTr="00C945AE">
        <w:tc>
          <w:tcPr>
            <w:tcW w:w="1809" w:type="dxa"/>
          </w:tcPr>
          <w:p w:rsidR="0083113B" w:rsidRPr="00AB5089" w:rsidRDefault="0083113B" w:rsidP="00A26E99">
            <w:r w:rsidRPr="00AB5089">
              <w:t>IU</w:t>
            </w:r>
          </w:p>
        </w:tc>
        <w:tc>
          <w:tcPr>
            <w:tcW w:w="6911" w:type="dxa"/>
          </w:tcPr>
          <w:p w:rsidR="0083113B" w:rsidRPr="00AB5089" w:rsidRDefault="0083113B" w:rsidP="00A26E99">
            <w:r w:rsidRPr="00AB5089">
              <w:t>international units</w:t>
            </w:r>
          </w:p>
        </w:tc>
      </w:tr>
      <w:tr w:rsidR="0083113B" w:rsidTr="00C945AE">
        <w:tc>
          <w:tcPr>
            <w:tcW w:w="1809" w:type="dxa"/>
          </w:tcPr>
          <w:p w:rsidR="0083113B" w:rsidRPr="00AB5089" w:rsidRDefault="0083113B" w:rsidP="00A26E99">
            <w:r>
              <w:t>IV</w:t>
            </w:r>
          </w:p>
        </w:tc>
        <w:tc>
          <w:tcPr>
            <w:tcW w:w="6911" w:type="dxa"/>
          </w:tcPr>
          <w:p w:rsidR="0083113B" w:rsidRPr="00AB5089" w:rsidRDefault="0083113B" w:rsidP="00A26E99">
            <w:r>
              <w:t>intravenous</w:t>
            </w:r>
          </w:p>
        </w:tc>
      </w:tr>
      <w:tr w:rsidR="0083113B" w:rsidTr="00C945AE">
        <w:tc>
          <w:tcPr>
            <w:tcW w:w="1809" w:type="dxa"/>
          </w:tcPr>
          <w:p w:rsidR="0083113B" w:rsidRDefault="0083113B" w:rsidP="00A26E99">
            <w:r w:rsidRPr="00E62596">
              <w:t>JTK-853</w:t>
            </w:r>
          </w:p>
        </w:tc>
        <w:tc>
          <w:tcPr>
            <w:tcW w:w="6911" w:type="dxa"/>
          </w:tcPr>
          <w:p w:rsidR="0083113B" w:rsidRDefault="0083113B" w:rsidP="00A26E99">
            <w:r>
              <w:t>A nonnucleoside inhibitor (not yet registered)</w:t>
            </w:r>
          </w:p>
        </w:tc>
      </w:tr>
      <w:tr w:rsidR="0083113B" w:rsidTr="00C945AE">
        <w:tc>
          <w:tcPr>
            <w:tcW w:w="1809" w:type="dxa"/>
          </w:tcPr>
          <w:p w:rsidR="0083113B" w:rsidRPr="0089405F" w:rsidRDefault="0083113B" w:rsidP="00A26E99">
            <w:r w:rsidRPr="0089405F">
              <w:t>LCB</w:t>
            </w:r>
          </w:p>
        </w:tc>
        <w:tc>
          <w:tcPr>
            <w:tcW w:w="6911" w:type="dxa"/>
          </w:tcPr>
          <w:p w:rsidR="0083113B" w:rsidRPr="0089405F" w:rsidRDefault="0083113B" w:rsidP="00A26E99">
            <w:r w:rsidRPr="0089405F">
              <w:t>lower bound of the 95% confidence interval</w:t>
            </w:r>
          </w:p>
        </w:tc>
      </w:tr>
      <w:tr w:rsidR="0083113B" w:rsidTr="00C945AE">
        <w:tc>
          <w:tcPr>
            <w:tcW w:w="1809" w:type="dxa"/>
          </w:tcPr>
          <w:p w:rsidR="0083113B" w:rsidRPr="0089405F" w:rsidRDefault="0083113B" w:rsidP="00A26E99">
            <w:r>
              <w:t>LFTs</w:t>
            </w:r>
          </w:p>
        </w:tc>
        <w:tc>
          <w:tcPr>
            <w:tcW w:w="6911" w:type="dxa"/>
          </w:tcPr>
          <w:p w:rsidR="0083113B" w:rsidRPr="0089405F" w:rsidRDefault="0083113B" w:rsidP="00A26E99">
            <w:r>
              <w:t>Liver function tests</w:t>
            </w:r>
          </w:p>
        </w:tc>
      </w:tr>
      <w:tr w:rsidR="0083113B" w:rsidTr="00C945AE">
        <w:tc>
          <w:tcPr>
            <w:tcW w:w="1809" w:type="dxa"/>
          </w:tcPr>
          <w:p w:rsidR="0083113B" w:rsidRPr="0089405F" w:rsidRDefault="0083113B" w:rsidP="00A26E99">
            <w:r>
              <w:t>LOEL</w:t>
            </w:r>
          </w:p>
        </w:tc>
        <w:tc>
          <w:tcPr>
            <w:tcW w:w="6911" w:type="dxa"/>
          </w:tcPr>
          <w:p w:rsidR="0083113B" w:rsidRPr="0089405F" w:rsidRDefault="0083113B" w:rsidP="00A26E99">
            <w:r>
              <w:t>lowest observed effect level</w:t>
            </w:r>
          </w:p>
        </w:tc>
      </w:tr>
      <w:tr w:rsidR="0083113B" w:rsidTr="00C945AE">
        <w:tc>
          <w:tcPr>
            <w:tcW w:w="1809" w:type="dxa"/>
          </w:tcPr>
          <w:p w:rsidR="0083113B" w:rsidRDefault="0083113B" w:rsidP="00A26E99">
            <w:r w:rsidRPr="00AB5089">
              <w:t>LPV</w:t>
            </w:r>
          </w:p>
        </w:tc>
        <w:tc>
          <w:tcPr>
            <w:tcW w:w="6911" w:type="dxa"/>
          </w:tcPr>
          <w:p w:rsidR="0083113B" w:rsidRPr="0089405F" w:rsidRDefault="0083113B" w:rsidP="00A26E99">
            <w:r w:rsidRPr="00AB5089">
              <w:t>lopinavir</w:t>
            </w:r>
          </w:p>
        </w:tc>
      </w:tr>
      <w:tr w:rsidR="0083113B" w:rsidTr="00C945AE">
        <w:tc>
          <w:tcPr>
            <w:tcW w:w="1809" w:type="dxa"/>
          </w:tcPr>
          <w:p w:rsidR="0083113B" w:rsidRPr="00AB5089" w:rsidRDefault="0083113B" w:rsidP="00A26E99">
            <w:r>
              <w:t>MD</w:t>
            </w:r>
          </w:p>
        </w:tc>
        <w:tc>
          <w:tcPr>
            <w:tcW w:w="6911" w:type="dxa"/>
          </w:tcPr>
          <w:p w:rsidR="0083113B" w:rsidRPr="00AB5089" w:rsidRDefault="0083113B" w:rsidP="00A26E99">
            <w:r>
              <w:t>maximum dose</w:t>
            </w:r>
          </w:p>
        </w:tc>
      </w:tr>
      <w:tr w:rsidR="0083113B" w:rsidTr="00C945AE">
        <w:tc>
          <w:tcPr>
            <w:tcW w:w="1809" w:type="dxa"/>
          </w:tcPr>
          <w:p w:rsidR="0083113B" w:rsidRDefault="0083113B" w:rsidP="00A26E99">
            <w:r w:rsidRPr="00AB5089">
              <w:lastRenderedPageBreak/>
              <w:t>MedDRA</w:t>
            </w:r>
          </w:p>
        </w:tc>
        <w:tc>
          <w:tcPr>
            <w:tcW w:w="6911" w:type="dxa"/>
          </w:tcPr>
          <w:p w:rsidR="0083113B" w:rsidRPr="0089405F" w:rsidRDefault="0083113B" w:rsidP="00A26E99">
            <w:r w:rsidRPr="00AB5089">
              <w:t>Medical Dictionary for Regulatory Activities</w:t>
            </w:r>
          </w:p>
        </w:tc>
      </w:tr>
      <w:tr w:rsidR="0083113B" w:rsidTr="00C945AE">
        <w:tc>
          <w:tcPr>
            <w:tcW w:w="1809" w:type="dxa"/>
          </w:tcPr>
          <w:p w:rsidR="0083113B" w:rsidRPr="00AB5089" w:rsidRDefault="0083113B" w:rsidP="00A26E99">
            <w:r w:rsidRPr="00337F42">
              <w:t>MedDRA SMQ</w:t>
            </w:r>
          </w:p>
        </w:tc>
        <w:tc>
          <w:tcPr>
            <w:tcW w:w="6911" w:type="dxa"/>
          </w:tcPr>
          <w:p w:rsidR="0083113B" w:rsidRPr="00337F42" w:rsidRDefault="0083113B" w:rsidP="00A26E99">
            <w:r w:rsidRPr="00337F42">
              <w:t>Standardised MedDRA Queries</w:t>
            </w:r>
          </w:p>
        </w:tc>
      </w:tr>
      <w:tr w:rsidR="0083113B" w:rsidTr="00C945AE">
        <w:tc>
          <w:tcPr>
            <w:tcW w:w="1809" w:type="dxa"/>
          </w:tcPr>
          <w:p w:rsidR="0083113B" w:rsidRPr="00337F42" w:rsidRDefault="0083113B" w:rsidP="00A26E99">
            <w:r w:rsidRPr="00A35F17">
              <w:t>MRP2</w:t>
            </w:r>
          </w:p>
        </w:tc>
        <w:tc>
          <w:tcPr>
            <w:tcW w:w="6911" w:type="dxa"/>
          </w:tcPr>
          <w:p w:rsidR="0083113B" w:rsidRPr="00337F42" w:rsidRDefault="0083113B" w:rsidP="00A26E99">
            <w:r>
              <w:t>m</w:t>
            </w:r>
            <w:r w:rsidRPr="0059218C">
              <w:t>ultidru</w:t>
            </w:r>
            <w:r>
              <w:t>g resistance-associated protein</w:t>
            </w:r>
          </w:p>
        </w:tc>
      </w:tr>
      <w:tr w:rsidR="0083113B" w:rsidTr="00C945AE">
        <w:tc>
          <w:tcPr>
            <w:tcW w:w="1809" w:type="dxa"/>
          </w:tcPr>
          <w:p w:rsidR="0083113B" w:rsidRDefault="0083113B" w:rsidP="00A26E99">
            <w:r w:rsidRPr="00AB5089">
              <w:t>N</w:t>
            </w:r>
          </w:p>
        </w:tc>
        <w:tc>
          <w:tcPr>
            <w:tcW w:w="6911" w:type="dxa"/>
          </w:tcPr>
          <w:p w:rsidR="0083113B" w:rsidRPr="0089405F" w:rsidRDefault="0083113B" w:rsidP="00A26E99">
            <w:r w:rsidRPr="00AB5089">
              <w:t>number</w:t>
            </w:r>
          </w:p>
        </w:tc>
      </w:tr>
      <w:tr w:rsidR="0083113B" w:rsidTr="00C945AE">
        <w:tc>
          <w:tcPr>
            <w:tcW w:w="1809" w:type="dxa"/>
          </w:tcPr>
          <w:p w:rsidR="0083113B" w:rsidRPr="00AB5089" w:rsidRDefault="0083113B" w:rsidP="00A26E99">
            <w:r w:rsidRPr="00AB5089">
              <w:rPr>
                <w:rFonts w:eastAsia="TimesNewRoman" w:cs="TimesNewRoman"/>
              </w:rPr>
              <w:t>NET</w:t>
            </w:r>
          </w:p>
        </w:tc>
        <w:tc>
          <w:tcPr>
            <w:tcW w:w="6911" w:type="dxa"/>
          </w:tcPr>
          <w:p w:rsidR="0083113B" w:rsidRPr="00AB5089" w:rsidRDefault="0083113B" w:rsidP="00A26E99">
            <w:r w:rsidRPr="00AB5089">
              <w:t>norethindrone</w:t>
            </w:r>
          </w:p>
        </w:tc>
      </w:tr>
      <w:tr w:rsidR="0083113B" w:rsidTr="00C945AE">
        <w:tc>
          <w:tcPr>
            <w:tcW w:w="1809" w:type="dxa"/>
          </w:tcPr>
          <w:p w:rsidR="0083113B" w:rsidRPr="00AB5089" w:rsidRDefault="0083113B" w:rsidP="00A26E99">
            <w:r w:rsidRPr="00AB5089">
              <w:t>NG</w:t>
            </w:r>
          </w:p>
        </w:tc>
        <w:tc>
          <w:tcPr>
            <w:tcW w:w="6911" w:type="dxa"/>
          </w:tcPr>
          <w:p w:rsidR="0083113B" w:rsidRPr="00AB5089" w:rsidRDefault="0083113B" w:rsidP="00A26E99">
            <w:r w:rsidRPr="00AB5089">
              <w:t>norgestrel</w:t>
            </w:r>
          </w:p>
        </w:tc>
      </w:tr>
      <w:tr w:rsidR="0083113B" w:rsidTr="00C945AE">
        <w:tc>
          <w:tcPr>
            <w:tcW w:w="1809" w:type="dxa"/>
          </w:tcPr>
          <w:p w:rsidR="0083113B" w:rsidRPr="00AB5089" w:rsidRDefault="0083113B" w:rsidP="00A26E99">
            <w:r>
              <w:t>NGMN</w:t>
            </w:r>
          </w:p>
        </w:tc>
        <w:tc>
          <w:tcPr>
            <w:tcW w:w="6911" w:type="dxa"/>
          </w:tcPr>
          <w:p w:rsidR="0083113B" w:rsidRPr="00AB5089" w:rsidRDefault="0083113B" w:rsidP="00A26E99">
            <w:r w:rsidRPr="00AB5089">
              <w:t>norelgestromin</w:t>
            </w:r>
          </w:p>
        </w:tc>
      </w:tr>
      <w:tr w:rsidR="0083113B" w:rsidTr="00C945AE">
        <w:tc>
          <w:tcPr>
            <w:tcW w:w="1809" w:type="dxa"/>
          </w:tcPr>
          <w:p w:rsidR="0083113B" w:rsidRDefault="0083113B" w:rsidP="00A26E99">
            <w:r w:rsidRPr="008A7592">
              <w:t>NK</w:t>
            </w:r>
            <w:r w:rsidRPr="008A7592">
              <w:rPr>
                <w:vertAlign w:val="subscript"/>
              </w:rPr>
              <w:t>2</w:t>
            </w:r>
          </w:p>
        </w:tc>
        <w:tc>
          <w:tcPr>
            <w:tcW w:w="6911" w:type="dxa"/>
          </w:tcPr>
          <w:p w:rsidR="0083113B" w:rsidRPr="00AB5089" w:rsidRDefault="0083113B" w:rsidP="00A26E99">
            <w:r>
              <w:t>neurokinin2</w:t>
            </w:r>
          </w:p>
        </w:tc>
      </w:tr>
      <w:tr w:rsidR="0083113B" w:rsidTr="00C945AE">
        <w:tc>
          <w:tcPr>
            <w:tcW w:w="1809" w:type="dxa"/>
          </w:tcPr>
          <w:p w:rsidR="0083113B" w:rsidRPr="008A7592" w:rsidRDefault="0083113B" w:rsidP="00A26E99">
            <w:r w:rsidRPr="00D349F6">
              <w:t>NMU</w:t>
            </w:r>
          </w:p>
        </w:tc>
        <w:tc>
          <w:tcPr>
            <w:tcW w:w="6911" w:type="dxa"/>
          </w:tcPr>
          <w:p w:rsidR="0083113B" w:rsidRDefault="0083113B" w:rsidP="00A26E99">
            <w:r>
              <w:t>N-nitroso-N-methylurea</w:t>
            </w:r>
          </w:p>
        </w:tc>
      </w:tr>
      <w:tr w:rsidR="0083113B" w:rsidTr="00C945AE">
        <w:tc>
          <w:tcPr>
            <w:tcW w:w="1809" w:type="dxa"/>
          </w:tcPr>
          <w:p w:rsidR="0083113B" w:rsidRDefault="0083113B" w:rsidP="00A26E99">
            <w:r w:rsidRPr="00AA71C5">
              <w:t>NOEL</w:t>
            </w:r>
          </w:p>
        </w:tc>
        <w:tc>
          <w:tcPr>
            <w:tcW w:w="6911" w:type="dxa"/>
          </w:tcPr>
          <w:p w:rsidR="0083113B" w:rsidRPr="00AB5089" w:rsidRDefault="0083113B" w:rsidP="00A26E99">
            <w:r>
              <w:t>no observable adverse effect level</w:t>
            </w:r>
          </w:p>
        </w:tc>
      </w:tr>
      <w:tr w:rsidR="0083113B" w:rsidTr="00C945AE">
        <w:tc>
          <w:tcPr>
            <w:tcW w:w="1809" w:type="dxa"/>
          </w:tcPr>
          <w:p w:rsidR="0083113B" w:rsidRPr="00AB5089" w:rsidRDefault="0083113B" w:rsidP="00A26E99">
            <w:r w:rsidRPr="00AB5089">
              <w:t>NS</w:t>
            </w:r>
          </w:p>
        </w:tc>
        <w:tc>
          <w:tcPr>
            <w:tcW w:w="6911" w:type="dxa"/>
          </w:tcPr>
          <w:p w:rsidR="0083113B" w:rsidRPr="00AB5089" w:rsidRDefault="0083113B" w:rsidP="00A26E99">
            <w:r w:rsidRPr="00AB5089">
              <w:t>non-structural</w:t>
            </w:r>
          </w:p>
        </w:tc>
      </w:tr>
      <w:tr w:rsidR="0083113B" w:rsidTr="00C945AE">
        <w:tc>
          <w:tcPr>
            <w:tcW w:w="1809" w:type="dxa"/>
          </w:tcPr>
          <w:p w:rsidR="0083113B" w:rsidRPr="00AB5089" w:rsidRDefault="0083113B" w:rsidP="00A26E99">
            <w:r w:rsidRPr="00AB5089">
              <w:t>NS3</w:t>
            </w:r>
          </w:p>
        </w:tc>
        <w:tc>
          <w:tcPr>
            <w:tcW w:w="6911" w:type="dxa"/>
          </w:tcPr>
          <w:p w:rsidR="0083113B" w:rsidRPr="00AB5089" w:rsidRDefault="0083113B" w:rsidP="00A26E99">
            <w:r w:rsidRPr="00AB5089">
              <w:t>non-structural protein 3</w:t>
            </w:r>
          </w:p>
        </w:tc>
      </w:tr>
      <w:tr w:rsidR="0083113B" w:rsidTr="00C945AE">
        <w:tc>
          <w:tcPr>
            <w:tcW w:w="1809" w:type="dxa"/>
          </w:tcPr>
          <w:p w:rsidR="0083113B" w:rsidRPr="0089405F" w:rsidRDefault="0083113B" w:rsidP="00A26E99">
            <w:r>
              <w:t>NS3/NS4A</w:t>
            </w:r>
          </w:p>
        </w:tc>
        <w:tc>
          <w:tcPr>
            <w:tcW w:w="6911" w:type="dxa"/>
          </w:tcPr>
          <w:p w:rsidR="0083113B" w:rsidRPr="0089405F" w:rsidRDefault="0083113B" w:rsidP="00A26E99">
            <w:r w:rsidRPr="0089405F">
              <w:t>NS protein 3/NS protein 4A</w:t>
            </w:r>
          </w:p>
        </w:tc>
      </w:tr>
      <w:tr w:rsidR="0083113B" w:rsidTr="00C945AE">
        <w:tc>
          <w:tcPr>
            <w:tcW w:w="1809" w:type="dxa"/>
          </w:tcPr>
          <w:p w:rsidR="0083113B" w:rsidRPr="0089405F" w:rsidRDefault="0083113B" w:rsidP="00A26E99">
            <w:r w:rsidRPr="0089405F">
              <w:t>NS4A</w:t>
            </w:r>
          </w:p>
        </w:tc>
        <w:tc>
          <w:tcPr>
            <w:tcW w:w="6911" w:type="dxa"/>
          </w:tcPr>
          <w:p w:rsidR="0083113B" w:rsidRPr="0089405F" w:rsidRDefault="0083113B" w:rsidP="00A26E99">
            <w:r w:rsidRPr="0089405F">
              <w:t>non-structural protein 4A</w:t>
            </w:r>
          </w:p>
        </w:tc>
      </w:tr>
      <w:tr w:rsidR="0083113B" w:rsidTr="00C945AE">
        <w:tc>
          <w:tcPr>
            <w:tcW w:w="1809" w:type="dxa"/>
          </w:tcPr>
          <w:p w:rsidR="0083113B" w:rsidRPr="0089405F" w:rsidRDefault="0083113B" w:rsidP="00A26E99">
            <w:r w:rsidRPr="0089405F">
              <w:t>NS5A</w:t>
            </w:r>
          </w:p>
        </w:tc>
        <w:tc>
          <w:tcPr>
            <w:tcW w:w="6911" w:type="dxa"/>
          </w:tcPr>
          <w:p w:rsidR="0083113B" w:rsidRPr="0089405F" w:rsidRDefault="0083113B" w:rsidP="00A26E99">
            <w:r w:rsidRPr="0089405F">
              <w:t>non-structural protein 5A</w:t>
            </w:r>
          </w:p>
        </w:tc>
      </w:tr>
      <w:tr w:rsidR="0083113B" w:rsidTr="00C945AE">
        <w:tc>
          <w:tcPr>
            <w:tcW w:w="1809" w:type="dxa"/>
          </w:tcPr>
          <w:p w:rsidR="0083113B" w:rsidRPr="0089405F" w:rsidRDefault="0083113B" w:rsidP="00A26E99">
            <w:r w:rsidRPr="00AB5089">
              <w:t>NS5B</w:t>
            </w:r>
          </w:p>
        </w:tc>
        <w:tc>
          <w:tcPr>
            <w:tcW w:w="6911" w:type="dxa"/>
          </w:tcPr>
          <w:p w:rsidR="0083113B" w:rsidRPr="0089405F" w:rsidRDefault="0083113B" w:rsidP="00A26E99">
            <w:r w:rsidRPr="00AB5089">
              <w:t>non-structural protein 5B</w:t>
            </w:r>
          </w:p>
        </w:tc>
      </w:tr>
      <w:tr w:rsidR="0083113B" w:rsidTr="00C945AE">
        <w:tc>
          <w:tcPr>
            <w:tcW w:w="1809" w:type="dxa"/>
          </w:tcPr>
          <w:p w:rsidR="0083113B" w:rsidRPr="0089405F" w:rsidRDefault="0083113B" w:rsidP="00A26E99">
            <w:r w:rsidRPr="00AB5089">
              <w:t>OAT</w:t>
            </w:r>
          </w:p>
        </w:tc>
        <w:tc>
          <w:tcPr>
            <w:tcW w:w="6911" w:type="dxa"/>
          </w:tcPr>
          <w:p w:rsidR="0083113B" w:rsidRPr="0089405F" w:rsidRDefault="0083113B" w:rsidP="00A26E99">
            <w:r w:rsidRPr="00AB5089">
              <w:rPr>
                <w:rStyle w:val="st"/>
              </w:rPr>
              <w:t>organic anion transporters</w:t>
            </w:r>
          </w:p>
        </w:tc>
      </w:tr>
      <w:tr w:rsidR="0083113B" w:rsidTr="00C945AE">
        <w:tc>
          <w:tcPr>
            <w:tcW w:w="1809" w:type="dxa"/>
          </w:tcPr>
          <w:p w:rsidR="0083113B" w:rsidRPr="0089405F" w:rsidRDefault="0083113B" w:rsidP="00A26E99">
            <w:r w:rsidRPr="00AB5089">
              <w:t>OATP</w:t>
            </w:r>
          </w:p>
        </w:tc>
        <w:tc>
          <w:tcPr>
            <w:tcW w:w="6911" w:type="dxa"/>
          </w:tcPr>
          <w:p w:rsidR="0083113B" w:rsidRPr="0089405F" w:rsidRDefault="0083113B" w:rsidP="00A26E99">
            <w:r w:rsidRPr="00AB5089">
              <w:t>organic anion transporting polypeptide</w:t>
            </w:r>
          </w:p>
        </w:tc>
      </w:tr>
      <w:tr w:rsidR="0083113B" w:rsidTr="00C945AE">
        <w:tc>
          <w:tcPr>
            <w:tcW w:w="1809" w:type="dxa"/>
          </w:tcPr>
          <w:p w:rsidR="0083113B" w:rsidRPr="0089405F" w:rsidRDefault="0083113B" w:rsidP="00A26E99">
            <w:r w:rsidRPr="0089405F">
              <w:t>OATP1B1</w:t>
            </w:r>
          </w:p>
        </w:tc>
        <w:tc>
          <w:tcPr>
            <w:tcW w:w="6911" w:type="dxa"/>
          </w:tcPr>
          <w:p w:rsidR="0083113B" w:rsidRPr="0089405F" w:rsidRDefault="0083113B" w:rsidP="00A26E99">
            <w:r w:rsidRPr="0089405F">
              <w:t>organic ion transporting polypeptide</w:t>
            </w:r>
          </w:p>
        </w:tc>
      </w:tr>
      <w:tr w:rsidR="0083113B" w:rsidTr="00C945AE">
        <w:tc>
          <w:tcPr>
            <w:tcW w:w="1809" w:type="dxa"/>
          </w:tcPr>
          <w:p w:rsidR="0083113B" w:rsidRPr="00A03AC1" w:rsidRDefault="0083113B" w:rsidP="00A26E99">
            <w:r w:rsidRPr="00A03AC1">
              <w:t>PASS</w:t>
            </w:r>
          </w:p>
        </w:tc>
        <w:tc>
          <w:tcPr>
            <w:tcW w:w="6911" w:type="dxa"/>
          </w:tcPr>
          <w:p w:rsidR="0083113B" w:rsidRPr="00A03AC1" w:rsidRDefault="0083113B" w:rsidP="00A26E99">
            <w:r w:rsidRPr="00A03AC1">
              <w:t>post authorisation safety studies</w:t>
            </w:r>
          </w:p>
        </w:tc>
      </w:tr>
      <w:tr w:rsidR="0083113B" w:rsidTr="00C945AE">
        <w:tc>
          <w:tcPr>
            <w:tcW w:w="1809" w:type="dxa"/>
          </w:tcPr>
          <w:p w:rsidR="0083113B" w:rsidRPr="0089405F" w:rsidRDefault="0083113B" w:rsidP="00A26E99">
            <w:r>
              <w:t>PD</w:t>
            </w:r>
          </w:p>
        </w:tc>
        <w:tc>
          <w:tcPr>
            <w:tcW w:w="6911" w:type="dxa"/>
          </w:tcPr>
          <w:p w:rsidR="0083113B" w:rsidRPr="0089405F" w:rsidRDefault="0083113B" w:rsidP="00A26E99">
            <w:r w:rsidRPr="0089405F">
              <w:t>pharmacodynamics</w:t>
            </w:r>
          </w:p>
        </w:tc>
      </w:tr>
      <w:tr w:rsidR="0083113B" w:rsidTr="00C945AE">
        <w:tc>
          <w:tcPr>
            <w:tcW w:w="1809" w:type="dxa"/>
          </w:tcPr>
          <w:p w:rsidR="0083113B" w:rsidRPr="0089405F" w:rsidRDefault="0083113B" w:rsidP="00A26E99">
            <w:r>
              <w:t>PegIFN</w:t>
            </w:r>
          </w:p>
        </w:tc>
        <w:tc>
          <w:tcPr>
            <w:tcW w:w="6911" w:type="dxa"/>
          </w:tcPr>
          <w:p w:rsidR="0083113B" w:rsidRPr="0089405F" w:rsidRDefault="0083113B" w:rsidP="00A26E99">
            <w:r w:rsidRPr="0089405F">
              <w:t>pegylated interferon</w:t>
            </w:r>
          </w:p>
        </w:tc>
      </w:tr>
      <w:tr w:rsidR="0083113B" w:rsidTr="00C945AE">
        <w:tc>
          <w:tcPr>
            <w:tcW w:w="1809" w:type="dxa"/>
          </w:tcPr>
          <w:p w:rsidR="0083113B" w:rsidRPr="0089405F" w:rsidRDefault="0083113B" w:rsidP="00A26E99">
            <w:r>
              <w:t>PegIFN</w:t>
            </w:r>
            <w:r w:rsidRPr="0089405F">
              <w:t>/RBV</w:t>
            </w:r>
          </w:p>
        </w:tc>
        <w:tc>
          <w:tcPr>
            <w:tcW w:w="6911" w:type="dxa"/>
          </w:tcPr>
          <w:p w:rsidR="0083113B" w:rsidRPr="0089405F" w:rsidRDefault="0083113B" w:rsidP="00A26E99">
            <w:r w:rsidRPr="0089405F">
              <w:t>pegylated interferon plus ribavirin</w:t>
            </w:r>
          </w:p>
        </w:tc>
      </w:tr>
      <w:tr w:rsidR="0083113B" w:rsidTr="00C945AE">
        <w:tc>
          <w:tcPr>
            <w:tcW w:w="1809" w:type="dxa"/>
          </w:tcPr>
          <w:p w:rsidR="0083113B" w:rsidRPr="0089405F" w:rsidRDefault="0083113B" w:rsidP="00A26E99">
            <w:r>
              <w:t>P-gp</w:t>
            </w:r>
          </w:p>
        </w:tc>
        <w:tc>
          <w:tcPr>
            <w:tcW w:w="6911" w:type="dxa"/>
          </w:tcPr>
          <w:p w:rsidR="0083113B" w:rsidRPr="0089405F" w:rsidRDefault="0083113B" w:rsidP="00A26E99">
            <w:r w:rsidRPr="0089405F">
              <w:t>P-glycoprotein</w:t>
            </w:r>
          </w:p>
        </w:tc>
      </w:tr>
      <w:tr w:rsidR="0083113B" w:rsidTr="00C945AE">
        <w:tc>
          <w:tcPr>
            <w:tcW w:w="1809" w:type="dxa"/>
          </w:tcPr>
          <w:p w:rsidR="0083113B" w:rsidRPr="0089405F" w:rsidRDefault="0083113B" w:rsidP="00A26E99">
            <w:r>
              <w:t>PK</w:t>
            </w:r>
          </w:p>
        </w:tc>
        <w:tc>
          <w:tcPr>
            <w:tcW w:w="6911" w:type="dxa"/>
          </w:tcPr>
          <w:p w:rsidR="0083113B" w:rsidRPr="0089405F" w:rsidRDefault="0083113B" w:rsidP="00A26E99">
            <w:r w:rsidRPr="0089405F">
              <w:t>pharmacokinetics</w:t>
            </w:r>
          </w:p>
        </w:tc>
      </w:tr>
      <w:tr w:rsidR="0083113B" w:rsidTr="00C945AE">
        <w:tc>
          <w:tcPr>
            <w:tcW w:w="1809" w:type="dxa"/>
          </w:tcPr>
          <w:p w:rsidR="0083113B" w:rsidRPr="0089405F" w:rsidRDefault="0083113B" w:rsidP="00A26E99">
            <w:r>
              <w:t>pKa</w:t>
            </w:r>
          </w:p>
        </w:tc>
        <w:tc>
          <w:tcPr>
            <w:tcW w:w="6911" w:type="dxa"/>
          </w:tcPr>
          <w:p w:rsidR="0083113B" w:rsidRPr="0089405F" w:rsidRDefault="0083113B" w:rsidP="00A26E99">
            <w:r w:rsidRPr="0089405F">
              <w:t>acid dissolution constant</w:t>
            </w:r>
          </w:p>
        </w:tc>
      </w:tr>
      <w:tr w:rsidR="0083113B" w:rsidTr="00C945AE">
        <w:tc>
          <w:tcPr>
            <w:tcW w:w="1809" w:type="dxa"/>
          </w:tcPr>
          <w:p w:rsidR="0083113B" w:rsidRDefault="0083113B" w:rsidP="00A26E99">
            <w:r w:rsidRPr="00A35F17">
              <w:lastRenderedPageBreak/>
              <w:t>PO</w:t>
            </w:r>
          </w:p>
        </w:tc>
        <w:tc>
          <w:tcPr>
            <w:tcW w:w="6911" w:type="dxa"/>
          </w:tcPr>
          <w:p w:rsidR="0083113B" w:rsidRPr="0089405F" w:rsidRDefault="0083113B" w:rsidP="00A26E99">
            <w:r>
              <w:t>per oral</w:t>
            </w:r>
          </w:p>
        </w:tc>
      </w:tr>
      <w:tr w:rsidR="0083113B" w:rsidTr="00C945AE">
        <w:tc>
          <w:tcPr>
            <w:tcW w:w="1809" w:type="dxa"/>
          </w:tcPr>
          <w:p w:rsidR="0083113B" w:rsidRPr="0089405F" w:rsidRDefault="0083113B" w:rsidP="00A26E99">
            <w:r w:rsidRPr="0089405F">
              <w:t>PT</w:t>
            </w:r>
          </w:p>
        </w:tc>
        <w:tc>
          <w:tcPr>
            <w:tcW w:w="6911" w:type="dxa"/>
          </w:tcPr>
          <w:p w:rsidR="0083113B" w:rsidRPr="0089405F" w:rsidRDefault="0083113B" w:rsidP="00A26E99">
            <w:r w:rsidRPr="0089405F">
              <w:t>post-treatment</w:t>
            </w:r>
          </w:p>
        </w:tc>
      </w:tr>
      <w:tr w:rsidR="0083113B" w:rsidTr="00C945AE">
        <w:tc>
          <w:tcPr>
            <w:tcW w:w="1809" w:type="dxa"/>
          </w:tcPr>
          <w:p w:rsidR="0083113B" w:rsidRPr="0089405F" w:rsidRDefault="0083113B" w:rsidP="00A26E99">
            <w:r w:rsidRPr="0089405F">
              <w:t>PVF</w:t>
            </w:r>
          </w:p>
        </w:tc>
        <w:tc>
          <w:tcPr>
            <w:tcW w:w="6911" w:type="dxa"/>
          </w:tcPr>
          <w:p w:rsidR="0083113B" w:rsidRPr="0089405F" w:rsidRDefault="0083113B" w:rsidP="00A26E99">
            <w:r w:rsidRPr="0089405F">
              <w:t>primary virologic failure</w:t>
            </w:r>
          </w:p>
        </w:tc>
      </w:tr>
      <w:tr w:rsidR="0083113B" w:rsidTr="00C945AE">
        <w:tc>
          <w:tcPr>
            <w:tcW w:w="1809" w:type="dxa"/>
          </w:tcPr>
          <w:p w:rsidR="0083113B" w:rsidRPr="0083113B" w:rsidRDefault="0083113B" w:rsidP="00A26E99">
            <w:r w:rsidRPr="0083113B">
              <w:t>PY</w:t>
            </w:r>
          </w:p>
        </w:tc>
        <w:tc>
          <w:tcPr>
            <w:tcW w:w="6911" w:type="dxa"/>
          </w:tcPr>
          <w:p w:rsidR="0083113B" w:rsidRPr="0083113B" w:rsidRDefault="0083113B" w:rsidP="00A26E99">
            <w:r w:rsidRPr="0083113B">
              <w:t>patient-years</w:t>
            </w:r>
          </w:p>
        </w:tc>
      </w:tr>
      <w:tr w:rsidR="0083113B" w:rsidTr="00C945AE">
        <w:tc>
          <w:tcPr>
            <w:tcW w:w="1809" w:type="dxa"/>
          </w:tcPr>
          <w:p w:rsidR="0083113B" w:rsidRPr="0089405F" w:rsidRDefault="0083113B" w:rsidP="00A26E99">
            <w:r w:rsidRPr="0089405F">
              <w:t>QD</w:t>
            </w:r>
          </w:p>
        </w:tc>
        <w:tc>
          <w:tcPr>
            <w:tcW w:w="6911" w:type="dxa"/>
          </w:tcPr>
          <w:p w:rsidR="0083113B" w:rsidRPr="0089405F" w:rsidRDefault="0083113B" w:rsidP="00A26E99">
            <w:r w:rsidRPr="0089405F">
              <w:t>once daily</w:t>
            </w:r>
          </w:p>
        </w:tc>
      </w:tr>
      <w:tr w:rsidR="0083113B" w:rsidTr="00C945AE">
        <w:tc>
          <w:tcPr>
            <w:tcW w:w="1809" w:type="dxa"/>
          </w:tcPr>
          <w:p w:rsidR="0083113B" w:rsidRPr="0089405F" w:rsidRDefault="0083113B" w:rsidP="00A26E99">
            <w:r>
              <w:t>QT</w:t>
            </w:r>
          </w:p>
        </w:tc>
        <w:tc>
          <w:tcPr>
            <w:tcW w:w="6911" w:type="dxa"/>
          </w:tcPr>
          <w:p w:rsidR="0083113B" w:rsidRPr="0089405F" w:rsidRDefault="0083113B" w:rsidP="00A26E99">
            <w:r w:rsidRPr="0089405F">
              <w:t xml:space="preserve">time between the start of the </w:t>
            </w:r>
            <w:r w:rsidRPr="0089405F">
              <w:rPr>
                <w:bCs/>
              </w:rPr>
              <w:t>Q wave</w:t>
            </w:r>
            <w:r w:rsidRPr="0089405F">
              <w:t xml:space="preserve"> and the end of the </w:t>
            </w:r>
            <w:r w:rsidRPr="0089405F">
              <w:rPr>
                <w:bCs/>
              </w:rPr>
              <w:t>T wave</w:t>
            </w:r>
          </w:p>
        </w:tc>
      </w:tr>
      <w:tr w:rsidR="0083113B" w:rsidTr="00C945AE">
        <w:tc>
          <w:tcPr>
            <w:tcW w:w="1809" w:type="dxa"/>
          </w:tcPr>
          <w:p w:rsidR="0083113B" w:rsidRDefault="0083113B" w:rsidP="00A26E99">
            <w:r w:rsidRPr="00E355BF">
              <w:t>QTc</w:t>
            </w:r>
          </w:p>
        </w:tc>
        <w:tc>
          <w:tcPr>
            <w:tcW w:w="6911" w:type="dxa"/>
          </w:tcPr>
          <w:p w:rsidR="0083113B" w:rsidRPr="0089405F" w:rsidRDefault="0083113B" w:rsidP="00A26E99">
            <w:r>
              <w:t>QT interval duration corrected for heart rate</w:t>
            </w:r>
          </w:p>
        </w:tc>
      </w:tr>
      <w:tr w:rsidR="0083113B" w:rsidTr="00C945AE">
        <w:tc>
          <w:tcPr>
            <w:tcW w:w="1809" w:type="dxa"/>
          </w:tcPr>
          <w:p w:rsidR="0083113B" w:rsidRPr="0089405F" w:rsidRDefault="0083113B" w:rsidP="00A26E99">
            <w:r w:rsidRPr="0089405F">
              <w:t>r</w:t>
            </w:r>
          </w:p>
        </w:tc>
        <w:tc>
          <w:tcPr>
            <w:tcW w:w="6911" w:type="dxa"/>
          </w:tcPr>
          <w:p w:rsidR="0083113B" w:rsidRPr="0089405F" w:rsidRDefault="0083113B" w:rsidP="00A26E99">
            <w:r w:rsidRPr="0089405F">
              <w:t>ritonavir</w:t>
            </w:r>
          </w:p>
        </w:tc>
      </w:tr>
      <w:tr w:rsidR="0083113B" w:rsidTr="00C945AE">
        <w:tc>
          <w:tcPr>
            <w:tcW w:w="1809" w:type="dxa"/>
          </w:tcPr>
          <w:p w:rsidR="0083113B" w:rsidRPr="0089405F" w:rsidRDefault="0083113B" w:rsidP="00A26E99">
            <w:r w:rsidRPr="0089405F">
              <w:t>RBV</w:t>
            </w:r>
          </w:p>
        </w:tc>
        <w:tc>
          <w:tcPr>
            <w:tcW w:w="6911" w:type="dxa"/>
          </w:tcPr>
          <w:p w:rsidR="0083113B" w:rsidRPr="0089405F" w:rsidRDefault="0083113B" w:rsidP="00A26E99">
            <w:r w:rsidRPr="0089405F">
              <w:t>ribavirin</w:t>
            </w:r>
          </w:p>
        </w:tc>
      </w:tr>
      <w:tr w:rsidR="0083113B" w:rsidTr="00C945AE">
        <w:tc>
          <w:tcPr>
            <w:tcW w:w="1809" w:type="dxa"/>
          </w:tcPr>
          <w:p w:rsidR="0083113B" w:rsidRPr="0089405F" w:rsidRDefault="0083113B" w:rsidP="00A26E99">
            <w:r w:rsidRPr="0089405F">
              <w:t>RNA</w:t>
            </w:r>
          </w:p>
        </w:tc>
        <w:tc>
          <w:tcPr>
            <w:tcW w:w="6911" w:type="dxa"/>
          </w:tcPr>
          <w:p w:rsidR="0083113B" w:rsidRPr="0089405F" w:rsidRDefault="0083113B" w:rsidP="00A26E99">
            <w:r w:rsidRPr="0089405F">
              <w:t>ribonucleic acid</w:t>
            </w:r>
          </w:p>
        </w:tc>
      </w:tr>
      <w:tr w:rsidR="0083113B" w:rsidTr="00C945AE">
        <w:tc>
          <w:tcPr>
            <w:tcW w:w="1809" w:type="dxa"/>
          </w:tcPr>
          <w:p w:rsidR="0083113B" w:rsidRPr="0089405F" w:rsidRDefault="0083113B" w:rsidP="00A26E99">
            <w:r>
              <w:t>RPE</w:t>
            </w:r>
          </w:p>
        </w:tc>
        <w:tc>
          <w:tcPr>
            <w:tcW w:w="6911" w:type="dxa"/>
          </w:tcPr>
          <w:p w:rsidR="0083113B" w:rsidRPr="0089405F" w:rsidRDefault="0083113B" w:rsidP="00A26E99">
            <w:r>
              <w:t>retinal pigment epithelial</w:t>
            </w:r>
          </w:p>
        </w:tc>
      </w:tr>
      <w:tr w:rsidR="0083113B" w:rsidTr="00C945AE">
        <w:tc>
          <w:tcPr>
            <w:tcW w:w="1809" w:type="dxa"/>
          </w:tcPr>
          <w:p w:rsidR="0083113B" w:rsidRPr="0089405F" w:rsidRDefault="0083113B" w:rsidP="00A26E99">
            <w:r>
              <w:t>RSE</w:t>
            </w:r>
          </w:p>
        </w:tc>
        <w:tc>
          <w:tcPr>
            <w:tcW w:w="6911" w:type="dxa"/>
          </w:tcPr>
          <w:p w:rsidR="0083113B" w:rsidRPr="0089405F" w:rsidRDefault="0083113B" w:rsidP="00A26E99">
            <w:r w:rsidRPr="0089405F">
              <w:t>relative standard error</w:t>
            </w:r>
          </w:p>
        </w:tc>
      </w:tr>
      <w:tr w:rsidR="0083113B" w:rsidTr="00C945AE">
        <w:tc>
          <w:tcPr>
            <w:tcW w:w="1809" w:type="dxa"/>
          </w:tcPr>
          <w:p w:rsidR="0083113B" w:rsidRPr="0089405F" w:rsidRDefault="0083113B" w:rsidP="00A26E99">
            <w:r>
              <w:t>RUV</w:t>
            </w:r>
          </w:p>
        </w:tc>
        <w:tc>
          <w:tcPr>
            <w:tcW w:w="6911" w:type="dxa"/>
          </w:tcPr>
          <w:p w:rsidR="0083113B" w:rsidRPr="0089405F" w:rsidRDefault="0083113B" w:rsidP="00A26E99">
            <w:r w:rsidRPr="0089405F">
              <w:t>residual unexplained variability</w:t>
            </w:r>
          </w:p>
        </w:tc>
      </w:tr>
      <w:tr w:rsidR="0083113B" w:rsidTr="00C945AE">
        <w:tc>
          <w:tcPr>
            <w:tcW w:w="1809" w:type="dxa"/>
          </w:tcPr>
          <w:p w:rsidR="0083113B" w:rsidRPr="0089405F" w:rsidRDefault="0083113B" w:rsidP="00A26E99">
            <w:r>
              <w:t>RVR</w:t>
            </w:r>
          </w:p>
        </w:tc>
        <w:tc>
          <w:tcPr>
            <w:tcW w:w="6911" w:type="dxa"/>
          </w:tcPr>
          <w:p w:rsidR="0083113B" w:rsidRPr="0089405F" w:rsidRDefault="0083113B" w:rsidP="00A26E99">
            <w:r w:rsidRPr="0089405F">
              <w:rPr>
                <w:rFonts w:eastAsia="TimesNewRoman" w:cs="TimesNewRoman"/>
              </w:rPr>
              <w:t xml:space="preserve">rapid virologic response, HCV RNA level </w:t>
            </w:r>
            <w:r>
              <w:rPr>
                <w:rFonts w:eastAsia="TimesNewRoman" w:cs="TimesNewRoman"/>
              </w:rPr>
              <w:t xml:space="preserve">&lt; </w:t>
            </w:r>
            <w:r w:rsidRPr="0089405F">
              <w:rPr>
                <w:rFonts w:eastAsia="TimesNewRoman" w:cs="TimesNewRoman"/>
              </w:rPr>
              <w:t>25 IU/mL at Study Week 4</w:t>
            </w:r>
          </w:p>
        </w:tc>
      </w:tr>
      <w:tr w:rsidR="0083113B" w:rsidTr="00C945AE">
        <w:tc>
          <w:tcPr>
            <w:tcW w:w="1809" w:type="dxa"/>
          </w:tcPr>
          <w:p w:rsidR="0083113B" w:rsidRPr="0089405F" w:rsidRDefault="0083113B" w:rsidP="00A26E99">
            <w:r w:rsidRPr="0089405F">
              <w:t>RVR</w:t>
            </w:r>
          </w:p>
        </w:tc>
        <w:tc>
          <w:tcPr>
            <w:tcW w:w="6911" w:type="dxa"/>
          </w:tcPr>
          <w:p w:rsidR="0083113B" w:rsidRPr="0089405F" w:rsidRDefault="0083113B" w:rsidP="00A26E99">
            <w:r w:rsidRPr="0089405F">
              <w:t>rapid virologic response</w:t>
            </w:r>
          </w:p>
        </w:tc>
      </w:tr>
      <w:tr w:rsidR="0083113B" w:rsidTr="00C945AE">
        <w:tc>
          <w:tcPr>
            <w:tcW w:w="1809" w:type="dxa"/>
          </w:tcPr>
          <w:p w:rsidR="0083113B" w:rsidRPr="0089405F" w:rsidRDefault="0083113B" w:rsidP="00A26E99">
            <w:r>
              <w:t>SAE</w:t>
            </w:r>
          </w:p>
        </w:tc>
        <w:tc>
          <w:tcPr>
            <w:tcW w:w="6911" w:type="dxa"/>
          </w:tcPr>
          <w:p w:rsidR="0083113B" w:rsidRPr="0089405F" w:rsidRDefault="0083113B" w:rsidP="00A26E99">
            <w:r w:rsidRPr="0089405F">
              <w:t>serious adverse event</w:t>
            </w:r>
          </w:p>
        </w:tc>
      </w:tr>
      <w:tr w:rsidR="0083113B" w:rsidTr="00C945AE">
        <w:tc>
          <w:tcPr>
            <w:tcW w:w="1809" w:type="dxa"/>
          </w:tcPr>
          <w:p w:rsidR="0083113B" w:rsidRPr="0089405F" w:rsidRDefault="0083113B" w:rsidP="00A26E99">
            <w:r w:rsidRPr="0089405F">
              <w:t xml:space="preserve">SD </w:t>
            </w:r>
          </w:p>
        </w:tc>
        <w:tc>
          <w:tcPr>
            <w:tcW w:w="6911" w:type="dxa"/>
          </w:tcPr>
          <w:p w:rsidR="0083113B" w:rsidRPr="0089405F" w:rsidRDefault="0083113B" w:rsidP="00A26E99">
            <w:r w:rsidRPr="0089405F">
              <w:t>standard deviation</w:t>
            </w:r>
          </w:p>
        </w:tc>
      </w:tr>
      <w:tr w:rsidR="0083113B" w:rsidTr="00C945AE">
        <w:tc>
          <w:tcPr>
            <w:tcW w:w="1809" w:type="dxa"/>
          </w:tcPr>
          <w:p w:rsidR="0083113B" w:rsidRPr="0089405F" w:rsidRDefault="0083113B" w:rsidP="00A26E99">
            <w:r>
              <w:t>SDD</w:t>
            </w:r>
          </w:p>
        </w:tc>
        <w:tc>
          <w:tcPr>
            <w:tcW w:w="6911" w:type="dxa"/>
          </w:tcPr>
          <w:p w:rsidR="0083113B" w:rsidRPr="0089405F" w:rsidRDefault="0083113B" w:rsidP="00A26E99">
            <w:r w:rsidRPr="0089405F">
              <w:t>spray dried dispersion</w:t>
            </w:r>
          </w:p>
        </w:tc>
      </w:tr>
      <w:tr w:rsidR="0083113B" w:rsidTr="00C945AE">
        <w:tc>
          <w:tcPr>
            <w:tcW w:w="1809" w:type="dxa"/>
          </w:tcPr>
          <w:p w:rsidR="0083113B" w:rsidRPr="0089405F" w:rsidRDefault="0083113B" w:rsidP="00A26E99">
            <w:r>
              <w:t>SGC</w:t>
            </w:r>
          </w:p>
        </w:tc>
        <w:tc>
          <w:tcPr>
            <w:tcW w:w="6911" w:type="dxa"/>
          </w:tcPr>
          <w:p w:rsidR="0083113B" w:rsidRPr="0089405F" w:rsidRDefault="0083113B" w:rsidP="00A26E99">
            <w:r w:rsidRPr="0089405F">
              <w:t>soft gel capsule</w:t>
            </w:r>
          </w:p>
        </w:tc>
      </w:tr>
      <w:tr w:rsidR="0083113B" w:rsidTr="00C945AE">
        <w:tc>
          <w:tcPr>
            <w:tcW w:w="1809" w:type="dxa"/>
          </w:tcPr>
          <w:p w:rsidR="0083113B" w:rsidRPr="0089405F" w:rsidRDefault="0083113B" w:rsidP="00A26E99">
            <w:r>
              <w:t>SNP</w:t>
            </w:r>
          </w:p>
        </w:tc>
        <w:tc>
          <w:tcPr>
            <w:tcW w:w="6911" w:type="dxa"/>
          </w:tcPr>
          <w:p w:rsidR="0083113B" w:rsidRPr="0089405F" w:rsidRDefault="0083113B" w:rsidP="00A26E99">
            <w:r w:rsidRPr="0089405F">
              <w:t>single nucleotide polymorphism</w:t>
            </w:r>
          </w:p>
        </w:tc>
      </w:tr>
      <w:tr w:rsidR="0083113B" w:rsidTr="00C945AE">
        <w:tc>
          <w:tcPr>
            <w:tcW w:w="1809" w:type="dxa"/>
          </w:tcPr>
          <w:p w:rsidR="0083113B" w:rsidRPr="0089405F" w:rsidRDefault="0083113B" w:rsidP="00A26E99">
            <w:r w:rsidRPr="0089405F">
              <w:t>SVR</w:t>
            </w:r>
          </w:p>
        </w:tc>
        <w:tc>
          <w:tcPr>
            <w:tcW w:w="6911" w:type="dxa"/>
          </w:tcPr>
          <w:p w:rsidR="0083113B" w:rsidRPr="0089405F" w:rsidRDefault="0083113B" w:rsidP="00A26E99">
            <w:r w:rsidRPr="0089405F">
              <w:t>sustained virologic response</w:t>
            </w:r>
          </w:p>
        </w:tc>
      </w:tr>
      <w:tr w:rsidR="0083113B" w:rsidTr="00C945AE">
        <w:tc>
          <w:tcPr>
            <w:tcW w:w="1809" w:type="dxa"/>
          </w:tcPr>
          <w:p w:rsidR="0083113B" w:rsidRPr="0089405F" w:rsidRDefault="0083113B" w:rsidP="00A26E99">
            <w:pPr>
              <w:rPr>
                <w:vertAlign w:val="subscript"/>
              </w:rPr>
            </w:pPr>
            <w:r w:rsidRPr="00FE5487">
              <w:t>SVR</w:t>
            </w:r>
            <w:r w:rsidRPr="006A2EA5">
              <w:rPr>
                <w:vertAlign w:val="subscript"/>
              </w:rPr>
              <w:t>12</w:t>
            </w:r>
          </w:p>
        </w:tc>
        <w:tc>
          <w:tcPr>
            <w:tcW w:w="6911" w:type="dxa"/>
          </w:tcPr>
          <w:p w:rsidR="0083113B" w:rsidRPr="0089405F" w:rsidRDefault="0083113B" w:rsidP="00A26E99">
            <w:r w:rsidRPr="0089405F">
              <w:t>sustained virologic response 12 weeks post-dosing</w:t>
            </w:r>
          </w:p>
        </w:tc>
      </w:tr>
      <w:tr w:rsidR="0083113B" w:rsidTr="00C945AE">
        <w:tc>
          <w:tcPr>
            <w:tcW w:w="1809" w:type="dxa"/>
          </w:tcPr>
          <w:p w:rsidR="0083113B" w:rsidRPr="0089405F" w:rsidRDefault="0083113B" w:rsidP="00A26E99">
            <w:r w:rsidRPr="0089405F">
              <w:t>SVR</w:t>
            </w:r>
            <w:r w:rsidRPr="0089405F">
              <w:rPr>
                <w:vertAlign w:val="subscript"/>
              </w:rPr>
              <w:t>24</w:t>
            </w:r>
          </w:p>
        </w:tc>
        <w:tc>
          <w:tcPr>
            <w:tcW w:w="6911" w:type="dxa"/>
          </w:tcPr>
          <w:p w:rsidR="0083113B" w:rsidRPr="0089405F" w:rsidRDefault="0083113B" w:rsidP="00A26E99">
            <w:r w:rsidRPr="0089405F">
              <w:t>sustained virologic response 24 weeks post-dosing</w:t>
            </w:r>
          </w:p>
        </w:tc>
      </w:tr>
      <w:tr w:rsidR="0083113B" w:rsidTr="00C945AE">
        <w:tc>
          <w:tcPr>
            <w:tcW w:w="1809" w:type="dxa"/>
          </w:tcPr>
          <w:p w:rsidR="0083113B" w:rsidRDefault="0083113B" w:rsidP="00A26E99">
            <w:r w:rsidRPr="00681B9E">
              <w:t>t½</w:t>
            </w:r>
          </w:p>
        </w:tc>
        <w:tc>
          <w:tcPr>
            <w:tcW w:w="6911" w:type="dxa"/>
          </w:tcPr>
          <w:p w:rsidR="0083113B" w:rsidRDefault="0083113B" w:rsidP="00A26E99">
            <w:r>
              <w:t>Half life</w:t>
            </w:r>
          </w:p>
        </w:tc>
      </w:tr>
      <w:tr w:rsidR="0083113B" w:rsidTr="00C945AE">
        <w:tc>
          <w:tcPr>
            <w:tcW w:w="1809" w:type="dxa"/>
          </w:tcPr>
          <w:p w:rsidR="0083113B" w:rsidRPr="0089405F" w:rsidRDefault="0083113B" w:rsidP="00A26E99">
            <w:r>
              <w:rPr>
                <w:lang w:val="en-US"/>
              </w:rPr>
              <w:t>TD</w:t>
            </w:r>
            <w:r>
              <w:rPr>
                <w:vertAlign w:val="subscript"/>
                <w:lang w:val="en-US"/>
              </w:rPr>
              <w:t>50</w:t>
            </w:r>
          </w:p>
        </w:tc>
        <w:tc>
          <w:tcPr>
            <w:tcW w:w="6911" w:type="dxa"/>
          </w:tcPr>
          <w:p w:rsidR="0083113B" w:rsidRPr="0089405F" w:rsidRDefault="0083113B" w:rsidP="00A26E99">
            <w:r>
              <w:rPr>
                <w:lang w:val="en-US"/>
              </w:rPr>
              <w:t>the median toxic dose</w:t>
            </w:r>
          </w:p>
        </w:tc>
      </w:tr>
      <w:tr w:rsidR="0083113B" w:rsidTr="00C945AE">
        <w:tc>
          <w:tcPr>
            <w:tcW w:w="1809" w:type="dxa"/>
          </w:tcPr>
          <w:p w:rsidR="0083113B" w:rsidRPr="0089405F" w:rsidRDefault="0083113B" w:rsidP="00A26E99">
            <w:r>
              <w:lastRenderedPageBreak/>
              <w:t>TEAE</w:t>
            </w:r>
          </w:p>
        </w:tc>
        <w:tc>
          <w:tcPr>
            <w:tcW w:w="6911" w:type="dxa"/>
          </w:tcPr>
          <w:p w:rsidR="0083113B" w:rsidRPr="0089405F" w:rsidRDefault="0083113B" w:rsidP="00A26E99">
            <w:r>
              <w:t>treatment emergent</w:t>
            </w:r>
            <w:r w:rsidRPr="0089405F">
              <w:t xml:space="preserve"> adverse event</w:t>
            </w:r>
          </w:p>
        </w:tc>
      </w:tr>
      <w:tr w:rsidR="0083113B" w:rsidTr="00C945AE">
        <w:tc>
          <w:tcPr>
            <w:tcW w:w="1809" w:type="dxa"/>
          </w:tcPr>
          <w:p w:rsidR="0083113B" w:rsidRDefault="0083113B" w:rsidP="00A26E99">
            <w:r>
              <w:t>TGA</w:t>
            </w:r>
          </w:p>
        </w:tc>
        <w:tc>
          <w:tcPr>
            <w:tcW w:w="6911" w:type="dxa"/>
          </w:tcPr>
          <w:p w:rsidR="0083113B" w:rsidRDefault="0083113B" w:rsidP="00A26E99">
            <w:r>
              <w:t>Therapeutic Goods Administration</w:t>
            </w:r>
          </w:p>
        </w:tc>
      </w:tr>
      <w:tr w:rsidR="0083113B" w:rsidTr="00C945AE">
        <w:tc>
          <w:tcPr>
            <w:tcW w:w="1809" w:type="dxa"/>
          </w:tcPr>
          <w:p w:rsidR="0083113B" w:rsidRPr="00156710" w:rsidRDefault="0083113B" w:rsidP="00A26E99">
            <w:r w:rsidRPr="00156710">
              <w:t>TID</w:t>
            </w:r>
          </w:p>
        </w:tc>
        <w:tc>
          <w:tcPr>
            <w:tcW w:w="6911" w:type="dxa"/>
          </w:tcPr>
          <w:p w:rsidR="0083113B" w:rsidRPr="00156710" w:rsidRDefault="0083113B" w:rsidP="00A26E99">
            <w:r w:rsidRPr="00156710">
              <w:t>three times a day</w:t>
            </w:r>
          </w:p>
        </w:tc>
      </w:tr>
      <w:tr w:rsidR="0083113B" w:rsidTr="00C945AE">
        <w:tc>
          <w:tcPr>
            <w:tcW w:w="1809" w:type="dxa"/>
          </w:tcPr>
          <w:p w:rsidR="0083113B" w:rsidRDefault="0083113B" w:rsidP="00A26E99">
            <w:r>
              <w:t>TPA</w:t>
            </w:r>
          </w:p>
        </w:tc>
        <w:tc>
          <w:tcPr>
            <w:tcW w:w="6911" w:type="dxa"/>
          </w:tcPr>
          <w:p w:rsidR="0083113B" w:rsidRDefault="0083113B" w:rsidP="00A26E99">
            <w:r w:rsidRPr="000018C0">
              <w:t>12-o-t</w:t>
            </w:r>
            <w:r>
              <w:t>etradecanolyphorbol-13-acetate</w:t>
            </w:r>
          </w:p>
        </w:tc>
      </w:tr>
      <w:tr w:rsidR="0083113B" w:rsidTr="00C945AE">
        <w:tc>
          <w:tcPr>
            <w:tcW w:w="1809" w:type="dxa"/>
          </w:tcPr>
          <w:p w:rsidR="0083113B" w:rsidRPr="0089405F" w:rsidRDefault="0083113B" w:rsidP="00A26E99">
            <w:r w:rsidRPr="0089405F">
              <w:t>UCB</w:t>
            </w:r>
          </w:p>
        </w:tc>
        <w:tc>
          <w:tcPr>
            <w:tcW w:w="6911" w:type="dxa"/>
          </w:tcPr>
          <w:p w:rsidR="0083113B" w:rsidRPr="0089405F" w:rsidRDefault="0083113B" w:rsidP="00A26E99">
            <w:r w:rsidRPr="0089405F">
              <w:t>upper bound of the 95% confidence interval</w:t>
            </w:r>
          </w:p>
        </w:tc>
      </w:tr>
      <w:tr w:rsidR="0083113B" w:rsidTr="00C945AE">
        <w:tc>
          <w:tcPr>
            <w:tcW w:w="1809" w:type="dxa"/>
          </w:tcPr>
          <w:p w:rsidR="0083113B" w:rsidRPr="0089405F" w:rsidRDefault="0083113B" w:rsidP="00A26E99">
            <w:r w:rsidRPr="001B7DBF">
              <w:t>UGT1A1</w:t>
            </w:r>
          </w:p>
        </w:tc>
        <w:tc>
          <w:tcPr>
            <w:tcW w:w="6911" w:type="dxa"/>
          </w:tcPr>
          <w:p w:rsidR="0083113B" w:rsidRPr="0089405F" w:rsidRDefault="0083113B" w:rsidP="00A26E99">
            <w:r>
              <w:t>UDP-glucuronosyltransferase family member A1</w:t>
            </w:r>
          </w:p>
        </w:tc>
      </w:tr>
      <w:tr w:rsidR="0083113B" w:rsidTr="00C945AE">
        <w:tc>
          <w:tcPr>
            <w:tcW w:w="1809" w:type="dxa"/>
          </w:tcPr>
          <w:p w:rsidR="0083113B" w:rsidRPr="0089405F" w:rsidRDefault="0083113B" w:rsidP="00A26E99">
            <w:r w:rsidRPr="0089405F">
              <w:t>ULN</w:t>
            </w:r>
          </w:p>
        </w:tc>
        <w:tc>
          <w:tcPr>
            <w:tcW w:w="6911" w:type="dxa"/>
          </w:tcPr>
          <w:p w:rsidR="0083113B" w:rsidRPr="0089405F" w:rsidRDefault="0083113B" w:rsidP="00A26E99">
            <w:r w:rsidRPr="0089405F">
              <w:t>upper limit of normal</w:t>
            </w:r>
          </w:p>
        </w:tc>
      </w:tr>
      <w:tr w:rsidR="0083113B" w:rsidTr="00C945AE">
        <w:tc>
          <w:tcPr>
            <w:tcW w:w="1809" w:type="dxa"/>
          </w:tcPr>
          <w:p w:rsidR="0083113B" w:rsidRPr="0089405F" w:rsidRDefault="0083113B" w:rsidP="00A26E99">
            <w:r>
              <w:t>Vc/F</w:t>
            </w:r>
          </w:p>
        </w:tc>
        <w:tc>
          <w:tcPr>
            <w:tcW w:w="6911" w:type="dxa"/>
          </w:tcPr>
          <w:p w:rsidR="0083113B" w:rsidRPr="0089405F" w:rsidRDefault="0083113B" w:rsidP="00A26E99">
            <w:r w:rsidRPr="0089405F">
              <w:t>apparent volume of central compartment</w:t>
            </w:r>
          </w:p>
        </w:tc>
      </w:tr>
      <w:tr w:rsidR="0083113B" w:rsidTr="00C945AE">
        <w:tc>
          <w:tcPr>
            <w:tcW w:w="1809" w:type="dxa"/>
          </w:tcPr>
          <w:p w:rsidR="0083113B" w:rsidRPr="0089405F" w:rsidRDefault="0083113B" w:rsidP="00A26E99">
            <w:r>
              <w:t>Vd/F</w:t>
            </w:r>
          </w:p>
        </w:tc>
        <w:tc>
          <w:tcPr>
            <w:tcW w:w="6911" w:type="dxa"/>
          </w:tcPr>
          <w:p w:rsidR="0083113B" w:rsidRPr="0089405F" w:rsidRDefault="0083113B" w:rsidP="00A26E99">
            <w:r w:rsidRPr="0089405F">
              <w:t>volume of distribution</w:t>
            </w:r>
          </w:p>
        </w:tc>
      </w:tr>
      <w:tr w:rsidR="0083113B" w:rsidTr="00C945AE">
        <w:tc>
          <w:tcPr>
            <w:tcW w:w="1809" w:type="dxa"/>
          </w:tcPr>
          <w:p w:rsidR="0083113B" w:rsidRPr="0089405F" w:rsidRDefault="0083113B" w:rsidP="00A26E99">
            <w:r>
              <w:t>Vp/F</w:t>
            </w:r>
          </w:p>
        </w:tc>
        <w:tc>
          <w:tcPr>
            <w:tcW w:w="6911" w:type="dxa"/>
          </w:tcPr>
          <w:p w:rsidR="0083113B" w:rsidRPr="0089405F" w:rsidRDefault="0083113B" w:rsidP="00A26E99">
            <w:r w:rsidRPr="0089405F">
              <w:t>apparent volume of peripheral compartment</w:t>
            </w:r>
          </w:p>
        </w:tc>
      </w:tr>
      <w:tr w:rsidR="0083113B" w:rsidTr="00C945AE">
        <w:tc>
          <w:tcPr>
            <w:tcW w:w="1809" w:type="dxa"/>
          </w:tcPr>
          <w:p w:rsidR="0083113B" w:rsidRPr="0089405F" w:rsidRDefault="0083113B" w:rsidP="00A26E99">
            <w:r>
              <w:t>Vss/F</w:t>
            </w:r>
          </w:p>
        </w:tc>
        <w:tc>
          <w:tcPr>
            <w:tcW w:w="6911" w:type="dxa"/>
          </w:tcPr>
          <w:p w:rsidR="0083113B" w:rsidRPr="0089405F" w:rsidRDefault="0083113B" w:rsidP="00A26E99">
            <w:r w:rsidRPr="0089405F">
              <w:t>apparent steady-state volume of distribution</w:t>
            </w:r>
          </w:p>
        </w:tc>
      </w:tr>
      <w:tr w:rsidR="0083113B" w:rsidTr="00C945AE">
        <w:tc>
          <w:tcPr>
            <w:tcW w:w="1809" w:type="dxa"/>
          </w:tcPr>
          <w:p w:rsidR="0083113B" w:rsidRPr="0089405F" w:rsidRDefault="0083113B" w:rsidP="00A26E99">
            <w:r>
              <w:t>WT</w:t>
            </w:r>
          </w:p>
        </w:tc>
        <w:tc>
          <w:tcPr>
            <w:tcW w:w="6911" w:type="dxa"/>
          </w:tcPr>
          <w:p w:rsidR="0083113B" w:rsidRPr="0089405F" w:rsidRDefault="0083113B" w:rsidP="00A26E99">
            <w:r w:rsidRPr="0089405F">
              <w:t>body weight</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80811546"/>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48081154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9745A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95088D">
            <w:r w:rsidRPr="003D1E62">
              <w:t xml:space="preserve">New </w:t>
            </w:r>
            <w:r w:rsidR="001B5C90">
              <w:t>c</w:t>
            </w:r>
            <w:r w:rsidRPr="003D1E62">
              <w:t xml:space="preserve">hemical </w:t>
            </w:r>
            <w:r w:rsidR="001B5C90">
              <w:t>e</w:t>
            </w:r>
            <w:r w:rsidR="00C945AE">
              <w:t>ntities</w:t>
            </w:r>
            <w:r w:rsidRPr="003D1E62">
              <w:t xml:space="preserve">/ </w:t>
            </w:r>
            <w:r w:rsidR="0095088D">
              <w:t>in a fixed dose combination</w:t>
            </w:r>
          </w:p>
        </w:tc>
      </w:tr>
      <w:tr w:rsidR="008E7846" w:rsidRPr="003D1E62" w:rsidTr="009745AC">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5088D" w:rsidP="0095088D">
            <w:r>
              <w:t>Approved</w:t>
            </w:r>
          </w:p>
        </w:tc>
      </w:tr>
      <w:tr w:rsidR="008E7846" w:rsidRPr="003D1E62" w:rsidTr="009745A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95088D" w:rsidP="001B5C90">
            <w:r>
              <w:t>1 July 2015</w:t>
            </w:r>
          </w:p>
        </w:tc>
      </w:tr>
      <w:tr w:rsidR="00ED2922" w:rsidRPr="003D1E62" w:rsidTr="009745AC">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AE2351" w:rsidP="00EC463D">
            <w:pPr>
              <w:rPr>
                <w:i/>
              </w:rPr>
            </w:pPr>
            <w:r>
              <w:t>21 and 22</w:t>
            </w:r>
            <w:r w:rsidR="0095088D">
              <w:t xml:space="preserve"> July 2015</w:t>
            </w:r>
          </w:p>
        </w:tc>
      </w:tr>
      <w:tr w:rsidR="008E7846" w:rsidRPr="00487162" w:rsidTr="009745AC">
        <w:trPr>
          <w:gridAfter w:val="1"/>
          <w:wAfter w:w="283" w:type="dxa"/>
        </w:trPr>
        <w:tc>
          <w:tcPr>
            <w:tcW w:w="2907" w:type="dxa"/>
          </w:tcPr>
          <w:p w:rsidR="008E7846" w:rsidRPr="00487162" w:rsidRDefault="0095088D" w:rsidP="00E45619">
            <w:pPr>
              <w:rPr>
                <w:i/>
              </w:rPr>
            </w:pPr>
            <w:r>
              <w:rPr>
                <w:i/>
              </w:rPr>
              <w:t>Active ingredients</w:t>
            </w:r>
            <w:r w:rsidR="001B5C90">
              <w:rPr>
                <w:i/>
              </w:rPr>
              <w:t>:</w:t>
            </w:r>
          </w:p>
        </w:tc>
        <w:tc>
          <w:tcPr>
            <w:tcW w:w="6307" w:type="dxa"/>
          </w:tcPr>
          <w:p w:rsidR="008E7846" w:rsidRPr="00AC6003" w:rsidRDefault="004E18EA" w:rsidP="00E45619">
            <w:r w:rsidRPr="00AC6003">
              <w:t>paritaprevir / ritonavir / ombitasvir and dasabuvir (as sodium salt)</w:t>
            </w:r>
            <w:r w:rsidR="00991882" w:rsidRPr="00AC6003">
              <w:t xml:space="preserve"> and ribavirin</w:t>
            </w:r>
          </w:p>
        </w:tc>
      </w:tr>
      <w:tr w:rsidR="008E7846" w:rsidRPr="00487162" w:rsidTr="009745AC">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4E18EA" w:rsidP="00E45619">
            <w:r w:rsidRPr="004E18EA">
              <w:t>Viekira Pak</w:t>
            </w:r>
            <w:r w:rsidR="00991882">
              <w:t>-RBV</w:t>
            </w:r>
          </w:p>
        </w:tc>
      </w:tr>
      <w:tr w:rsidR="008E7846" w:rsidRPr="00487162" w:rsidTr="009745AC">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766FAF" w:rsidP="00E45619">
            <w:r>
              <w:t>AbbVie</w:t>
            </w:r>
            <w:r w:rsidR="004E18EA" w:rsidRPr="004E18EA">
              <w:t xml:space="preserve"> Pty Ltd</w:t>
            </w:r>
          </w:p>
          <w:p w:rsidR="004E18EA" w:rsidRPr="00487162" w:rsidRDefault="004E18EA" w:rsidP="00E45619">
            <w:r>
              <w:t>Locked Bag 5029, BOTANY NSW 1455</w:t>
            </w:r>
          </w:p>
        </w:tc>
      </w:tr>
      <w:tr w:rsidR="008E7846" w:rsidRPr="00487162" w:rsidTr="009745AC">
        <w:trPr>
          <w:gridAfter w:val="1"/>
          <w:wAfter w:w="283" w:type="dxa"/>
        </w:trPr>
        <w:tc>
          <w:tcPr>
            <w:tcW w:w="2907" w:type="dxa"/>
          </w:tcPr>
          <w:p w:rsidR="008E7846" w:rsidRPr="00487162" w:rsidRDefault="004E18EA" w:rsidP="00E45619">
            <w:pPr>
              <w:rPr>
                <w:i/>
              </w:rPr>
            </w:pPr>
            <w:r>
              <w:rPr>
                <w:i/>
              </w:rPr>
              <w:t>Dose form</w:t>
            </w:r>
            <w:r w:rsidR="001B5C90">
              <w:rPr>
                <w:i/>
              </w:rPr>
              <w:t>:</w:t>
            </w:r>
          </w:p>
        </w:tc>
        <w:tc>
          <w:tcPr>
            <w:tcW w:w="6307" w:type="dxa"/>
          </w:tcPr>
          <w:p w:rsidR="008E7846" w:rsidRPr="00487162" w:rsidRDefault="004E18EA" w:rsidP="00E45619">
            <w:r>
              <w:t>Tablet, film coated</w:t>
            </w:r>
          </w:p>
        </w:tc>
      </w:tr>
      <w:tr w:rsidR="008E7846" w:rsidRPr="00487162" w:rsidTr="009745AC">
        <w:trPr>
          <w:gridAfter w:val="1"/>
          <w:wAfter w:w="283" w:type="dxa"/>
        </w:trPr>
        <w:tc>
          <w:tcPr>
            <w:tcW w:w="2907" w:type="dxa"/>
          </w:tcPr>
          <w:p w:rsidR="008E7846" w:rsidRPr="00487162" w:rsidRDefault="004E18EA" w:rsidP="00E45619">
            <w:pPr>
              <w:rPr>
                <w:i/>
              </w:rPr>
            </w:pPr>
            <w:r>
              <w:rPr>
                <w:i/>
              </w:rPr>
              <w:t>Strength</w:t>
            </w:r>
            <w:r w:rsidR="008E7846" w:rsidRPr="00487162">
              <w:rPr>
                <w:i/>
              </w:rPr>
              <w:t xml:space="preserve">: </w:t>
            </w:r>
          </w:p>
        </w:tc>
        <w:tc>
          <w:tcPr>
            <w:tcW w:w="6307" w:type="dxa"/>
          </w:tcPr>
          <w:p w:rsidR="008E7846" w:rsidRPr="009F6B54" w:rsidRDefault="00AE2351" w:rsidP="00E45619">
            <w:r w:rsidRPr="009F6B54">
              <w:t>paritaprevir 75 mg / ritonavir 50 mg/ ombitasvir 12.5 mg and dasabuvir (as sodium salt) 250 mg</w:t>
            </w:r>
            <w:r w:rsidR="00BC2F28">
              <w:t xml:space="preserve"> and ribavirin (200 mg</w:t>
            </w:r>
            <w:r w:rsidR="009F6B54" w:rsidRPr="009F6B54">
              <w:t xml:space="preserve"> </w:t>
            </w:r>
            <w:r w:rsidR="00BC2F28">
              <w:t xml:space="preserve">or </w:t>
            </w:r>
            <w:r w:rsidR="009F6B54" w:rsidRPr="009F6B54">
              <w:t xml:space="preserve">400 mg or </w:t>
            </w:r>
            <w:r w:rsidRPr="009F6B54">
              <w:t>600 mg)</w:t>
            </w:r>
          </w:p>
        </w:tc>
      </w:tr>
      <w:tr w:rsidR="008E7846" w:rsidRPr="00487162" w:rsidTr="009745AC">
        <w:trPr>
          <w:gridAfter w:val="1"/>
          <w:wAfter w:w="283" w:type="dxa"/>
        </w:trPr>
        <w:tc>
          <w:tcPr>
            <w:tcW w:w="2907" w:type="dxa"/>
          </w:tcPr>
          <w:p w:rsidR="008E7846" w:rsidRPr="00487162" w:rsidRDefault="004E18EA" w:rsidP="00E45619">
            <w:pPr>
              <w:rPr>
                <w:i/>
              </w:rPr>
            </w:pPr>
            <w:r>
              <w:rPr>
                <w:i/>
              </w:rPr>
              <w:t>Container</w:t>
            </w:r>
            <w:r w:rsidR="008E7846" w:rsidRPr="00487162">
              <w:rPr>
                <w:i/>
              </w:rPr>
              <w:t>:</w:t>
            </w:r>
          </w:p>
        </w:tc>
        <w:tc>
          <w:tcPr>
            <w:tcW w:w="6307" w:type="dxa"/>
          </w:tcPr>
          <w:p w:rsidR="008E7846" w:rsidRPr="009F6B54" w:rsidRDefault="004E18EA" w:rsidP="00E45619">
            <w:r w:rsidRPr="009F6B54">
              <w:t>blister pack</w:t>
            </w:r>
            <w:r w:rsidR="00BC2F28">
              <w:t>s</w:t>
            </w:r>
            <w:r w:rsidR="00AE2351" w:rsidRPr="009F6B54">
              <w:t xml:space="preserve"> </w:t>
            </w:r>
            <w:r w:rsidR="00BC2F28">
              <w:t xml:space="preserve">or blister packs </w:t>
            </w:r>
            <w:r w:rsidR="00AE2351" w:rsidRPr="009F6B54">
              <w:t>and bottles</w:t>
            </w:r>
          </w:p>
        </w:tc>
      </w:tr>
      <w:tr w:rsidR="008E7846" w:rsidRPr="00487162" w:rsidTr="009745AC">
        <w:trPr>
          <w:gridAfter w:val="1"/>
          <w:wAfter w:w="283" w:type="dxa"/>
        </w:trPr>
        <w:tc>
          <w:tcPr>
            <w:tcW w:w="2907" w:type="dxa"/>
          </w:tcPr>
          <w:p w:rsidR="008E7846" w:rsidRPr="00487162" w:rsidRDefault="004E18EA" w:rsidP="00E45619">
            <w:pPr>
              <w:rPr>
                <w:i/>
              </w:rPr>
            </w:pPr>
            <w:r>
              <w:rPr>
                <w:i/>
              </w:rPr>
              <w:t>Pack size</w:t>
            </w:r>
            <w:r w:rsidR="008E7846" w:rsidRPr="00487162">
              <w:rPr>
                <w:i/>
              </w:rPr>
              <w:t>:</w:t>
            </w:r>
          </w:p>
        </w:tc>
        <w:tc>
          <w:tcPr>
            <w:tcW w:w="6307" w:type="dxa"/>
          </w:tcPr>
          <w:p w:rsidR="00BC2F28" w:rsidRDefault="00BC2F28" w:rsidP="00E45619">
            <w:r>
              <w:t xml:space="preserve">Paritaprevir/ritonavir/ombitasvir 75 mg/12.5 mg/12.5 mg and dasabuvir (Na) 250 mg and ribavirin </w:t>
            </w:r>
            <w:r w:rsidR="007C4EB5">
              <w:t>2</w:t>
            </w:r>
            <w:r w:rsidR="00661B33">
              <w:t>00 mg</w:t>
            </w:r>
            <w:r>
              <w:t xml:space="preserve"> </w:t>
            </w:r>
            <w:r w:rsidR="007C4EB5">
              <w:t>composite pack 280 tablets (56 x paritaprevir/ritonavir/ombitasvir, 56 x dasabuvir and 168 ribavirin tablets)</w:t>
            </w:r>
            <w:r w:rsidR="009D4820">
              <w:t>(in bottles)</w:t>
            </w:r>
            <w:r w:rsidR="007C4EB5">
              <w:t>[ARTG 224637]</w:t>
            </w:r>
          </w:p>
          <w:p w:rsidR="007C4EB5" w:rsidRDefault="007C4EB5" w:rsidP="00E45619">
            <w:r>
              <w:t>Paritaprevir/ritonavir/ombitasvir 75 mg/12.5 mg/12.5 mg and dasabuvir (Na) 250 mg and ribavirin 4</w:t>
            </w:r>
            <w:r w:rsidR="00661B33">
              <w:t>00 mg</w:t>
            </w:r>
            <w:r>
              <w:t xml:space="preserve"> composite pack 168 tablets (56 x paritaprevir/ritonavir/ombitasvir, 56 x dasabuvir </w:t>
            </w:r>
            <w:r w:rsidR="009D4820">
              <w:t xml:space="preserve">( in blisters) </w:t>
            </w:r>
            <w:r>
              <w:t>and 56 x ribavirin tablets</w:t>
            </w:r>
            <w:r w:rsidR="009D4820">
              <w:t>(in bottle)</w:t>
            </w:r>
            <w:r>
              <w:t>)[ ARTG 234434]</w:t>
            </w:r>
          </w:p>
          <w:p w:rsidR="007C4EB5" w:rsidRDefault="007C4EB5" w:rsidP="00E45619">
            <w:r>
              <w:t>Paritaprevir/ritonavir/ombitasvir 75 mg/12.5 mg/12.5 mg and dasabuvir (Na) 250 mg and ribavirin 6</w:t>
            </w:r>
            <w:r w:rsidR="00661B33">
              <w:t>00 mg</w:t>
            </w:r>
            <w:r>
              <w:t xml:space="preserve"> composite pack 168 tablets (56 x paritaprevir/ritonavir/ombitasvir, 56 x dasabuvir and 56 x ribavirin tablets)</w:t>
            </w:r>
            <w:r w:rsidR="009D4820">
              <w:t>(in blisters)</w:t>
            </w:r>
            <w:r>
              <w:t>[ ARTG 224636]</w:t>
            </w:r>
          </w:p>
          <w:p w:rsidR="007C4EB5" w:rsidRDefault="007C4EB5" w:rsidP="00E45619">
            <w:r>
              <w:t xml:space="preserve">Paritaprevir/ritonavir/ombitasvir 75 mg/12.5 mg/12.5 mg and dasabuvir (Na) 250 mg and ribavirin </w:t>
            </w:r>
            <w:r w:rsidR="009D4820">
              <w:t xml:space="preserve">400 mg and </w:t>
            </w:r>
            <w:r>
              <w:t>6</w:t>
            </w:r>
            <w:r w:rsidR="00661B33">
              <w:t>00 mg</w:t>
            </w:r>
            <w:r>
              <w:t xml:space="preserve"> composite pack 168 tablets (56 x paritaprevir/ritonavir/ombitasvir, 56 x dasabuvir and </w:t>
            </w:r>
            <w:r w:rsidR="009D4820">
              <w:t>28</w:t>
            </w:r>
            <w:r>
              <w:t xml:space="preserve"> x ribavirin</w:t>
            </w:r>
            <w:r w:rsidR="009D4820">
              <w:t xml:space="preserve"> 400 mg and 28 x ribavirin 600 mg</w:t>
            </w:r>
            <w:r>
              <w:t xml:space="preserve"> tablets)</w:t>
            </w:r>
            <w:r w:rsidR="009D4820">
              <w:t>(in blisters)</w:t>
            </w:r>
            <w:r>
              <w:t>[ ARTG 22463</w:t>
            </w:r>
            <w:r w:rsidR="009D4820">
              <w:t>8</w:t>
            </w:r>
            <w:r>
              <w:t>]</w:t>
            </w:r>
          </w:p>
          <w:p w:rsidR="008E7846" w:rsidRPr="009D4820" w:rsidRDefault="009D4820" w:rsidP="00E45619">
            <w:r>
              <w:t>Paritaprevir/ritonavir/ombitasvir 75 mg/12.5 mg/12.5 mg and dasabuvir (Na) 250 mg and ribavirin 6</w:t>
            </w:r>
            <w:r w:rsidR="00661B33">
              <w:t>00 mg</w:t>
            </w:r>
            <w:r>
              <w:t xml:space="preserve"> composite pack 168 tablets (56 x paritaprevir/ritonavir/ombitasvir, 56 x dasabuvir ( in blisters) and 56 x ribavirin tablets(in bottle))[ ARTG 234442]</w:t>
            </w:r>
          </w:p>
        </w:tc>
      </w:tr>
      <w:tr w:rsidR="008E7846" w:rsidRPr="00487162" w:rsidTr="009745AC">
        <w:trPr>
          <w:gridAfter w:val="1"/>
          <w:wAfter w:w="283" w:type="dxa"/>
        </w:trPr>
        <w:tc>
          <w:tcPr>
            <w:tcW w:w="2907" w:type="dxa"/>
          </w:tcPr>
          <w:p w:rsidR="008E7846" w:rsidRPr="00487162" w:rsidRDefault="008E7846" w:rsidP="001B5C90">
            <w:pPr>
              <w:rPr>
                <w:i/>
              </w:rPr>
            </w:pPr>
            <w:r w:rsidRPr="00487162">
              <w:rPr>
                <w:i/>
              </w:rPr>
              <w:lastRenderedPageBreak/>
              <w:t xml:space="preserve">Approved </w:t>
            </w:r>
            <w:r w:rsidR="001B5C90">
              <w:rPr>
                <w:i/>
              </w:rPr>
              <w:t>t</w:t>
            </w:r>
            <w:r w:rsidRPr="00487162">
              <w:rPr>
                <w:i/>
              </w:rPr>
              <w:t>herapeutic use:</w:t>
            </w:r>
          </w:p>
        </w:tc>
        <w:tc>
          <w:tcPr>
            <w:tcW w:w="6307" w:type="dxa"/>
          </w:tcPr>
          <w:p w:rsidR="008E7846" w:rsidRPr="00191D58" w:rsidRDefault="008B6F3C" w:rsidP="00191D58">
            <w:pPr>
              <w:rPr>
                <w:i/>
              </w:rPr>
            </w:pPr>
            <w:r>
              <w:rPr>
                <w:i/>
              </w:rPr>
              <w:t>Viekira Pak</w:t>
            </w:r>
            <w:r w:rsidR="00991882">
              <w:rPr>
                <w:i/>
              </w:rPr>
              <w:t>-RBV</w:t>
            </w:r>
            <w:r w:rsidR="00191D58" w:rsidRPr="00191D58">
              <w:rPr>
                <w:i/>
              </w:rPr>
              <w:t xml:space="preserve"> </w:t>
            </w:r>
            <w:r w:rsidR="0054580D" w:rsidRPr="00191D58">
              <w:rPr>
                <w:i/>
              </w:rPr>
              <w:t>is indicated for the treatment of genotype I chronic hepatitis C infection,</w:t>
            </w:r>
            <w:r w:rsidR="00191D58" w:rsidRPr="00191D58">
              <w:rPr>
                <w:i/>
              </w:rPr>
              <w:t xml:space="preserve"> </w:t>
            </w:r>
            <w:r w:rsidR="0054580D" w:rsidRPr="00191D58">
              <w:rPr>
                <w:i/>
              </w:rPr>
              <w:t>including patients with compensated cirrhosis. Duration of th</w:t>
            </w:r>
            <w:r w:rsidR="00191D58" w:rsidRPr="00191D58">
              <w:rPr>
                <w:i/>
              </w:rPr>
              <w:t xml:space="preserve">erapy and addition of ribavirin </w:t>
            </w:r>
            <w:r w:rsidR="0054580D" w:rsidRPr="00191D58">
              <w:rPr>
                <w:i/>
              </w:rPr>
              <w:t>are dependent on patient population (see DOSAGE A</w:t>
            </w:r>
            <w:r w:rsidR="00191D58" w:rsidRPr="00191D58">
              <w:rPr>
                <w:i/>
              </w:rPr>
              <w:t xml:space="preserve">ND ADMINISTRATION, PRECAUTIONS, </w:t>
            </w:r>
            <w:r w:rsidR="0054580D" w:rsidRPr="00191D58">
              <w:rPr>
                <w:i/>
              </w:rPr>
              <w:t>CLINICAL TRIALS).</w:t>
            </w:r>
          </w:p>
        </w:tc>
      </w:tr>
      <w:tr w:rsidR="008E7846" w:rsidRPr="00487162" w:rsidTr="009745AC">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6E76C6" w:rsidP="00E45619">
            <w:r>
              <w:t>oral</w:t>
            </w:r>
          </w:p>
        </w:tc>
      </w:tr>
      <w:tr w:rsidR="008E7846" w:rsidRPr="00487162" w:rsidTr="009745AC">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9F6B54" w:rsidRPr="009F6B54" w:rsidRDefault="009F6B54" w:rsidP="009F6B54">
            <w:r w:rsidRPr="009F6B54">
              <w:t>The recommended oral</w:t>
            </w:r>
            <w:r>
              <w:t xml:space="preserve"> dose of Viekira Pak-RBV is two </w:t>
            </w:r>
            <w:r w:rsidRPr="009F6B54">
              <w:t>paritaprevir/</w:t>
            </w:r>
            <w:r>
              <w:t xml:space="preserve"> </w:t>
            </w:r>
            <w:r w:rsidRPr="009F6B54">
              <w:t>ritonavir/</w:t>
            </w:r>
            <w:r>
              <w:t xml:space="preserve"> </w:t>
            </w:r>
            <w:r w:rsidRPr="009F6B54">
              <w:t>ombitasvir 75/50/12.5</w:t>
            </w:r>
            <w:r>
              <w:t xml:space="preserve"> </w:t>
            </w:r>
            <w:r w:rsidRPr="009F6B54">
              <w:t xml:space="preserve">mg tablets once daily (in the morning) and one dasabuvir 250 mg </w:t>
            </w:r>
            <w:r>
              <w:t xml:space="preserve">tablet twice daily (morning and </w:t>
            </w:r>
            <w:r w:rsidRPr="009F6B54">
              <w:t>evening).</w:t>
            </w:r>
          </w:p>
          <w:p w:rsidR="008E7846" w:rsidRPr="00487162" w:rsidRDefault="009F6B54" w:rsidP="00191D58">
            <w:r w:rsidRPr="009F6B54">
              <w:t>The recommended dose of ribavirin depends on patient's body weig</w:t>
            </w:r>
            <w:r>
              <w:t xml:space="preserve">ht (&lt; 75 kg = 1000 mg and ≥ 75 kg </w:t>
            </w:r>
            <w:r w:rsidRPr="009F6B54">
              <w:t>= 1200 mg), and should be taken with food in two doses (morning and evening).</w:t>
            </w:r>
            <w:r>
              <w:t xml:space="preserve"> For further details see the Product Information (PI).</w:t>
            </w:r>
          </w:p>
        </w:tc>
      </w:tr>
      <w:tr w:rsidR="008E7846" w:rsidRPr="00487162" w:rsidTr="009745AC">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6E76C6">
              <w:rPr>
                <w:i/>
              </w:rPr>
              <w:t>umber</w:t>
            </w:r>
            <w:r w:rsidR="00991882">
              <w:rPr>
                <w:i/>
              </w:rPr>
              <w:t>s</w:t>
            </w:r>
            <w:r w:rsidR="001B5C90">
              <w:rPr>
                <w:i/>
              </w:rPr>
              <w:t>:</w:t>
            </w:r>
          </w:p>
        </w:tc>
        <w:tc>
          <w:tcPr>
            <w:tcW w:w="6307" w:type="dxa"/>
          </w:tcPr>
          <w:p w:rsidR="008E7846" w:rsidRPr="00487162" w:rsidRDefault="00991882" w:rsidP="00E45619">
            <w:r>
              <w:t>224636, 224637, 224638, 234434, 234442</w:t>
            </w:r>
          </w:p>
        </w:tc>
      </w:tr>
    </w:tbl>
    <w:p w:rsidR="008E7846" w:rsidRDefault="008E7846" w:rsidP="008E7846">
      <w:pPr>
        <w:pStyle w:val="Heading3"/>
      </w:pPr>
      <w:bookmarkStart w:id="13" w:name="_Toc247691503"/>
      <w:bookmarkStart w:id="14" w:name="_Toc314842484"/>
      <w:bookmarkStart w:id="15" w:name="_Toc480811548"/>
      <w:r>
        <w:t>Product background</w:t>
      </w:r>
      <w:bookmarkEnd w:id="13"/>
      <w:bookmarkEnd w:id="14"/>
      <w:bookmarkEnd w:id="15"/>
    </w:p>
    <w:p w:rsidR="00076103" w:rsidRDefault="00940A89" w:rsidP="00940A89">
      <w:r w:rsidRPr="00940A89">
        <w:t xml:space="preserve">This AusPAR describes the application by the </w:t>
      </w:r>
      <w:r w:rsidR="00766FAF">
        <w:t>AbbVie</w:t>
      </w:r>
      <w:r w:rsidR="008B6F3C">
        <w:t xml:space="preserve"> Pty Ltd (the sponsor)</w:t>
      </w:r>
      <w:r w:rsidRPr="00940A89">
        <w:t xml:space="preserve"> to register </w:t>
      </w:r>
      <w:r w:rsidR="00191D58">
        <w:t>V</w:t>
      </w:r>
      <w:r w:rsidR="008B6F3C">
        <w:t>iekira</w:t>
      </w:r>
      <w:r w:rsidR="00191D58">
        <w:t xml:space="preserve"> P</w:t>
      </w:r>
      <w:r w:rsidR="008B6F3C">
        <w:t>ak</w:t>
      </w:r>
      <w:r w:rsidR="00AC6003">
        <w:t xml:space="preserve">-RBV </w:t>
      </w:r>
      <w:r w:rsidR="0098169C">
        <w:t>for the following indication:</w:t>
      </w:r>
    </w:p>
    <w:p w:rsidR="008E7846" w:rsidRPr="0098169C" w:rsidRDefault="008B6F3C" w:rsidP="0098169C">
      <w:pPr>
        <w:ind w:left="720"/>
        <w:rPr>
          <w:i/>
        </w:rPr>
      </w:pPr>
      <w:r>
        <w:rPr>
          <w:i/>
        </w:rPr>
        <w:t>Viekira Pak</w:t>
      </w:r>
      <w:r w:rsidR="00AC6003">
        <w:rPr>
          <w:i/>
        </w:rPr>
        <w:t xml:space="preserve">-RBV </w:t>
      </w:r>
      <w:r w:rsidR="00076103" w:rsidRPr="0098169C">
        <w:rPr>
          <w:i/>
        </w:rPr>
        <w:t xml:space="preserve">is indicated for the treatment of genotype 1 chronic Hepatitis C infection, including patients with cirrhosis. Duration of therapy and addition of ribavirin are dependent on patient population (see DOSAGE AND ADMINISTRATION, </w:t>
      </w:r>
      <w:r w:rsidR="0098169C" w:rsidRPr="0098169C">
        <w:rPr>
          <w:i/>
        </w:rPr>
        <w:t>PRECAUTIONS, CLINICAL TRIALS)</w:t>
      </w:r>
    </w:p>
    <w:p w:rsidR="00F73705" w:rsidRPr="00F73705" w:rsidRDefault="00F73705" w:rsidP="00F73705">
      <w:r w:rsidRPr="00F73705">
        <w:t>This application seeks to regis</w:t>
      </w:r>
      <w:r w:rsidR="008B6F3C">
        <w:t>ter three new active substances;</w:t>
      </w:r>
      <w:r w:rsidRPr="00F73705">
        <w:t xml:space="preserve"> co-formulated with ritonavir which together target multiple stages of the hepatit</w:t>
      </w:r>
      <w:r w:rsidR="008B6F3C">
        <w:t>is C virus life cycle.</w:t>
      </w:r>
    </w:p>
    <w:p w:rsidR="00F73705" w:rsidRPr="00F73705" w:rsidRDefault="00F73705" w:rsidP="00F73705">
      <w:pPr>
        <w:pStyle w:val="ListBullet"/>
      </w:pPr>
      <w:r w:rsidRPr="00F73705">
        <w:t xml:space="preserve">Paritaprevir (ABT-450) is a </w:t>
      </w:r>
      <w:r w:rsidR="002D05D0">
        <w:t>non-structural</w:t>
      </w:r>
      <w:r w:rsidR="002D05D0" w:rsidRPr="00F73705">
        <w:t xml:space="preserve"> </w:t>
      </w:r>
      <w:r w:rsidRPr="00F73705">
        <w:t xml:space="preserve">NS3/4A protease inhibitor of </w:t>
      </w:r>
      <w:r w:rsidR="00E458BE">
        <w:t>hepatitis C virus</w:t>
      </w:r>
      <w:r w:rsidR="00E458BE" w:rsidRPr="00F73705">
        <w:t xml:space="preserve"> </w:t>
      </w:r>
      <w:r w:rsidR="00E458BE">
        <w:t>(</w:t>
      </w:r>
      <w:r w:rsidRPr="00F73705">
        <w:t>HCV</w:t>
      </w:r>
      <w:r w:rsidR="00E458BE">
        <w:t>)</w:t>
      </w:r>
      <w:r w:rsidRPr="00F73705">
        <w:t xml:space="preserve"> genotype 1. Other NS3/4A protease inhibitors currently registered include boceprevir, telaprevir and simeprevir.</w:t>
      </w:r>
    </w:p>
    <w:p w:rsidR="00F73705" w:rsidRPr="00F73705" w:rsidRDefault="00F73705" w:rsidP="00F73705">
      <w:pPr>
        <w:pStyle w:val="ListBullet"/>
      </w:pPr>
      <w:r w:rsidRPr="00F73705">
        <w:t xml:space="preserve">Ombitasvir (ABT-267) is a </w:t>
      </w:r>
      <w:r w:rsidR="002D05D0">
        <w:t>non-structural protein 5A</w:t>
      </w:r>
      <w:r w:rsidR="002D05D0" w:rsidRPr="00F73705">
        <w:t xml:space="preserve"> </w:t>
      </w:r>
      <w:r w:rsidR="002D05D0">
        <w:t>(</w:t>
      </w:r>
      <w:r w:rsidRPr="00F73705">
        <w:t>NS5A</w:t>
      </w:r>
      <w:r w:rsidR="002D05D0">
        <w:t>)</w:t>
      </w:r>
      <w:r w:rsidRPr="00F73705">
        <w:t xml:space="preserve"> inhibitor with activity against </w:t>
      </w:r>
      <w:r w:rsidR="008B6F3C">
        <w:t xml:space="preserve">HCV </w:t>
      </w:r>
      <w:r w:rsidRPr="00F73705">
        <w:t>genotype 1a and 1b.</w:t>
      </w:r>
    </w:p>
    <w:p w:rsidR="00F73705" w:rsidRPr="00F73705" w:rsidRDefault="00F73705" w:rsidP="00F73705">
      <w:pPr>
        <w:pStyle w:val="ListBullet"/>
      </w:pPr>
      <w:r w:rsidRPr="00F73705">
        <w:t>Dasabuvir (ABT-333) is a non-nucleoside NS5B polymerase inhibitor of HCV genotypes 1a and 1b. There are no other non-nucleoside NS5</w:t>
      </w:r>
      <w:r w:rsidR="00B76905">
        <w:t>B</w:t>
      </w:r>
      <w:r w:rsidRPr="00F73705">
        <w:t>b inhibitors currently approved.</w:t>
      </w:r>
    </w:p>
    <w:p w:rsidR="00F73705" w:rsidRPr="002D05D0" w:rsidRDefault="00F73705" w:rsidP="00F73705">
      <w:pPr>
        <w:pStyle w:val="ListBullet"/>
      </w:pPr>
      <w:r w:rsidRPr="002D05D0">
        <w:t xml:space="preserve">Ritonavir, a potent inhibitor of </w:t>
      </w:r>
      <w:r w:rsidR="004A74D1" w:rsidRPr="002D05D0">
        <w:t>cytochrome P450(</w:t>
      </w:r>
      <w:r w:rsidRPr="002D05D0">
        <w:t>CYP</w:t>
      </w:r>
      <w:r w:rsidR="004A74D1" w:rsidRPr="002D05D0">
        <w:t>) CYP</w:t>
      </w:r>
      <w:r w:rsidRPr="002D05D0">
        <w:t xml:space="preserve">3A4 is not active against Hepatitis C, but acts as a pharmacokinetic enhancer to increase exposure to paritaprevir, which is primarily metabolised by </w:t>
      </w:r>
      <w:r w:rsidR="004A74D1" w:rsidRPr="002D05D0">
        <w:t>CYP</w:t>
      </w:r>
      <w:r w:rsidRPr="002D05D0">
        <w:t>3A.</w:t>
      </w:r>
      <w:bookmarkStart w:id="16" w:name="_Ref473549991"/>
      <w:r w:rsidRPr="002D05D0">
        <w:rPr>
          <w:vertAlign w:val="superscript"/>
        </w:rPr>
        <w:footnoteReference w:id="1"/>
      </w:r>
      <w:bookmarkEnd w:id="16"/>
    </w:p>
    <w:p w:rsidR="00F73705" w:rsidRPr="00F73705" w:rsidRDefault="00E03178" w:rsidP="00F73705">
      <w:r w:rsidRPr="00E03178">
        <w:rPr>
          <w:b/>
        </w:rPr>
        <w:t>NOTE:</w:t>
      </w:r>
      <w:r>
        <w:t xml:space="preserve"> </w:t>
      </w:r>
      <w:r w:rsidR="008B6F3C">
        <w:t xml:space="preserve">This submission was considered at the same time as the submission to register </w:t>
      </w:r>
      <w:r w:rsidR="00AC6003">
        <w:t>Viekira Pak</w:t>
      </w:r>
      <w:r w:rsidR="008B6F3C" w:rsidRPr="008B6F3C">
        <w:t xml:space="preserve"> </w:t>
      </w:r>
      <w:r w:rsidR="00AC6003">
        <w:t xml:space="preserve">which contains the fixed dose combination of </w:t>
      </w:r>
      <w:r w:rsidR="00AC6003" w:rsidRPr="00AC6003">
        <w:t>paritaprevir / ritonavir / ombitasvir and dasabuvir (as sodium salt)</w:t>
      </w:r>
      <w:r w:rsidR="00AC6003">
        <w:t xml:space="preserve"> without the ribavirin component </w:t>
      </w:r>
      <w:r w:rsidR="008B6F3C">
        <w:t>(Submission number PM-2014-0143</w:t>
      </w:r>
      <w:r w:rsidR="00AC6003">
        <w:t>6</w:t>
      </w:r>
      <w:r w:rsidR="008B6F3C">
        <w:t>-1-2). The data in these submissions overlap and was considered concurrently and th</w:t>
      </w:r>
      <w:r w:rsidR="005F62CF">
        <w:t xml:space="preserve">erefore the AusPARs are </w:t>
      </w:r>
      <w:r w:rsidR="009D4820">
        <w:t>related. T</w:t>
      </w:r>
      <w:r w:rsidR="005F62CF">
        <w:t xml:space="preserve">he </w:t>
      </w:r>
      <w:r w:rsidR="009D4820">
        <w:t xml:space="preserve">clinical evaluation report for both applications is the </w:t>
      </w:r>
      <w:r w:rsidR="005F62CF">
        <w:t>same</w:t>
      </w:r>
      <w:r w:rsidR="009D4820">
        <w:t xml:space="preserve">. </w:t>
      </w:r>
      <w:r w:rsidR="002E67FD">
        <w:t>T</w:t>
      </w:r>
      <w:r w:rsidR="008B6F3C">
        <w:t>he administrative information</w:t>
      </w:r>
      <w:r w:rsidR="005F62CF">
        <w:t>,</w:t>
      </w:r>
      <w:r w:rsidR="00F201F8">
        <w:t xml:space="preserve"> detailed description of the </w:t>
      </w:r>
      <w:r w:rsidR="00F201F8">
        <w:lastRenderedPageBreak/>
        <w:t>ribavirin component</w:t>
      </w:r>
      <w:r w:rsidR="005F62CF">
        <w:t xml:space="preserve"> and the risk management plan </w:t>
      </w:r>
      <w:r w:rsidR="002E67FD">
        <w:t>and the PI are different</w:t>
      </w:r>
      <w:r w:rsidR="00F201F8">
        <w:t xml:space="preserve">. </w:t>
      </w:r>
      <w:r w:rsidR="00F73705" w:rsidRPr="00F73705">
        <w:t xml:space="preserve">Use of ribavirin with </w:t>
      </w:r>
      <w:r w:rsidR="008B6F3C">
        <w:t>Viekira Pak</w:t>
      </w:r>
      <w:r w:rsidR="00F73705" w:rsidRPr="00F73705">
        <w:t xml:space="preserve"> is dependent on the patient population, including presence of cirrhosis and genotype subtype</w:t>
      </w:r>
      <w:r w:rsidR="008B6F3C">
        <w:t>.</w:t>
      </w:r>
    </w:p>
    <w:p w:rsidR="00F73705" w:rsidRDefault="00F73705" w:rsidP="00F73705">
      <w:r w:rsidRPr="00F73705">
        <w:t xml:space="preserve">Paritaprevir (ABT-450) was initially known as </w:t>
      </w:r>
      <w:r w:rsidR="00913482" w:rsidRPr="00F73705">
        <w:t>veruprevir;</w:t>
      </w:r>
      <w:r w:rsidRPr="00F73705">
        <w:t xml:space="preserve"> however veruprevir was rejected by the INN (International Non-proprietary Name) on the basis of similarity to other generic names.</w:t>
      </w:r>
      <w:r w:rsidR="008B6F3C">
        <w:t xml:space="preserve"> </w:t>
      </w:r>
      <w:r w:rsidRPr="00F73705">
        <w:t>The Australian Approved Name (ANN) was therefore amended from ‘veruprevir’ to ‘paritaprevir’</w:t>
      </w:r>
      <w:r w:rsidR="00265158">
        <w:t>.</w:t>
      </w:r>
      <w:r w:rsidRPr="00F73705">
        <w:t xml:space="preserve">A summary of anti-HCV drugs in advanced development (including those currently approved and those expected to be launched) is presented </w:t>
      </w:r>
      <w:r w:rsidR="008B6F3C">
        <w:t xml:space="preserve">in </w:t>
      </w:r>
      <w:r w:rsidR="00286051">
        <w:t>Figure</w:t>
      </w:r>
      <w:r w:rsidR="008B6F3C">
        <w:t xml:space="preserve"> 1.</w:t>
      </w:r>
    </w:p>
    <w:p w:rsidR="008B6F3C" w:rsidRPr="00F73705" w:rsidRDefault="00286051" w:rsidP="00286051">
      <w:pPr>
        <w:pStyle w:val="FigureTitle"/>
      </w:pPr>
      <w:r>
        <w:t>Figure 1:</w:t>
      </w:r>
      <w:r w:rsidR="008B6F3C">
        <w:t xml:space="preserve"> Anti HCV drugs in advanced developmen</w:t>
      </w:r>
      <w:r>
        <w:t xml:space="preserve">t </w:t>
      </w:r>
      <w:r w:rsidR="008B6F3C">
        <w:t>including those currently approved and those expected to be launched</w:t>
      </w:r>
    </w:p>
    <w:p w:rsidR="00F73705" w:rsidRDefault="00F73705" w:rsidP="00A26E99">
      <w:r>
        <w:rPr>
          <w:noProof/>
          <w:lang w:eastAsia="en-AU"/>
        </w:rPr>
        <w:drawing>
          <wp:inline distT="0" distB="0" distL="0" distR="0" wp14:anchorId="67F53905" wp14:editId="45995F5D">
            <wp:extent cx="4248150" cy="3209925"/>
            <wp:effectExtent l="0" t="0" r="0" b="9525"/>
            <wp:docPr id="11" name="Picture 11" descr="Figure 1: Anti HCV drugs in advanced development including those currently approved and those expected to be launched&#10;Direct acting antivirals; 2011: Boceprevir, Telaprevir; 2014:Simeprevir, Sofasbuvir; 2015: Faldaprevir, Asunaprevir, Daclatasvir; 2016: Dasabuvir, Parataprevir/r, Ledipasivir, Ombitasvir&#10;Non-specific antivirals pre 2011: PEG-IFNalfa, Ribavirin; 2016 PEG-IFN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48150" cy="3209925"/>
                    </a:xfrm>
                    <a:prstGeom prst="rect">
                      <a:avLst/>
                    </a:prstGeom>
                  </pic:spPr>
                </pic:pic>
              </a:graphicData>
            </a:graphic>
          </wp:inline>
        </w:drawing>
      </w:r>
    </w:p>
    <w:p w:rsidR="00F73705" w:rsidRDefault="00F73705" w:rsidP="0090503E">
      <w:pPr>
        <w:pStyle w:val="FigureDescription"/>
      </w:pPr>
      <w:r w:rsidRPr="00F73705">
        <w:t>Dasabuvir</w:t>
      </w:r>
      <w:r w:rsidR="00265158">
        <w:t xml:space="preserve"> </w:t>
      </w:r>
      <w:r w:rsidRPr="00F73705">
        <w:t>(ABT-333): Non-Nucleoside NS5B inhibitor</w:t>
      </w:r>
      <w:r>
        <w:t xml:space="preserve"> </w:t>
      </w:r>
      <w:r w:rsidRPr="00F73705">
        <w:t>Sofosbuvir: Nucleoside NS5B inhibitor</w:t>
      </w:r>
      <w:r>
        <w:t xml:space="preserve"> </w:t>
      </w:r>
      <w:r w:rsidRPr="00F73705">
        <w:t>Boceprevir, telaprevir, simeprevir, paritaprevir</w:t>
      </w:r>
      <w:r w:rsidR="00265158">
        <w:t xml:space="preserve"> </w:t>
      </w:r>
      <w:r w:rsidRPr="00F73705">
        <w:t>(ABT-450), asunaprevir, faldaprevir:</w:t>
      </w:r>
      <w:r w:rsidR="008B6F3C">
        <w:t xml:space="preserve"> </w:t>
      </w:r>
      <w:r w:rsidRPr="00F73705">
        <w:t>NS3/4A protease inhibitors. Dacalatasvir, ledipasivir, ombitasvir</w:t>
      </w:r>
      <w:r w:rsidR="00265158">
        <w:t xml:space="preserve"> </w:t>
      </w:r>
      <w:r w:rsidRPr="00F73705">
        <w:t>(ABT-267): NS5A inhibitors</w:t>
      </w:r>
      <w:r>
        <w:t xml:space="preserve"> </w:t>
      </w:r>
      <w:r w:rsidRPr="00F73705">
        <w:t>r: ritonavir, PEG-IFN: pegylated-interferon</w:t>
      </w:r>
    </w:p>
    <w:p w:rsidR="009F6B54" w:rsidRPr="009F6B54" w:rsidRDefault="009F6B54" w:rsidP="009F6B54">
      <w:bookmarkStart w:id="17" w:name="_Toc314842485"/>
      <w:bookmarkStart w:id="18" w:name="_Toc247691504"/>
      <w:r w:rsidRPr="009F6B54">
        <w:t>The recommended oral</w:t>
      </w:r>
      <w:r>
        <w:t xml:space="preserve"> dose of Viekira Pak-RBV is two </w:t>
      </w:r>
      <w:r w:rsidRPr="009F6B54">
        <w:t>paritaprevir/</w:t>
      </w:r>
      <w:r>
        <w:t xml:space="preserve"> </w:t>
      </w:r>
      <w:r w:rsidRPr="009F6B54">
        <w:t>ritonavir/</w:t>
      </w:r>
      <w:r>
        <w:t xml:space="preserve"> </w:t>
      </w:r>
      <w:r w:rsidRPr="009F6B54">
        <w:t>ombitasvir 75/50/12.5</w:t>
      </w:r>
      <w:r>
        <w:t xml:space="preserve"> </w:t>
      </w:r>
      <w:r w:rsidRPr="009F6B54">
        <w:t xml:space="preserve">mg tablets once daily (in the morning) and one dasabuvir 250 mg </w:t>
      </w:r>
      <w:r>
        <w:t xml:space="preserve">tablet twice daily (morning and </w:t>
      </w:r>
      <w:r w:rsidRPr="009F6B54">
        <w:t>evening).</w:t>
      </w:r>
    </w:p>
    <w:p w:rsidR="009F6B54" w:rsidRPr="009F6B54" w:rsidRDefault="009F6B54" w:rsidP="009F6B54">
      <w:r w:rsidRPr="009F6B54">
        <w:t>The recommended dose of ribavirin depends on patient's body weig</w:t>
      </w:r>
      <w:r>
        <w:t xml:space="preserve">ht (&lt; 75 kg = 1000 mg and ≥ 75 kg </w:t>
      </w:r>
      <w:r w:rsidRPr="009F6B54">
        <w:t>= 1200 mg), and should be taken with food in two doses (morning and evening).</w:t>
      </w:r>
      <w:r>
        <w:t xml:space="preserve"> For further information see the Product Information (PI).</w:t>
      </w:r>
    </w:p>
    <w:p w:rsidR="008E7846" w:rsidRPr="003F31A2" w:rsidRDefault="00386150" w:rsidP="009F6B54">
      <w:pPr>
        <w:pStyle w:val="Heading3"/>
      </w:pPr>
      <w:bookmarkStart w:id="19" w:name="_Toc480811549"/>
      <w:r>
        <w:t>Regulatory s</w:t>
      </w:r>
      <w:r w:rsidR="008E7846">
        <w:t>tatus</w:t>
      </w:r>
      <w:bookmarkEnd w:id="17"/>
      <w:bookmarkEnd w:id="18"/>
      <w:bookmarkEnd w:id="19"/>
    </w:p>
    <w:p w:rsidR="00940A89" w:rsidRPr="007438D5" w:rsidRDefault="00940A89" w:rsidP="0090503E">
      <w:pPr>
        <w:ind w:right="-143"/>
      </w:pPr>
      <w:bookmarkStart w:id="20" w:name="_Toc247691505"/>
      <w:bookmarkStart w:id="21" w:name="_Toc314842486"/>
      <w:r w:rsidRPr="007438D5">
        <w:t xml:space="preserve">At the time the TGA considered this </w:t>
      </w:r>
      <w:r w:rsidR="008B6F3C" w:rsidRPr="007438D5">
        <w:t>application;</w:t>
      </w:r>
      <w:r w:rsidRPr="007438D5">
        <w:t xml:space="preserve"> a similar application had been approved /rejected in (country, date) was under co</w:t>
      </w:r>
      <w:r w:rsidR="008B6F3C" w:rsidRPr="007438D5">
        <w:t>nsideration in (c</w:t>
      </w:r>
      <w:r w:rsidR="00C36BE1" w:rsidRPr="007438D5">
        <w:t>ountry date) as shown in Table</w:t>
      </w:r>
      <w:r w:rsidR="0090503E">
        <w:t xml:space="preserve"> </w:t>
      </w:r>
      <w:r w:rsidR="00C36BE1" w:rsidRPr="007438D5">
        <w:t>1</w:t>
      </w:r>
      <w:r w:rsidR="008B6F3C" w:rsidRPr="007438D5">
        <w:t>.</w:t>
      </w:r>
    </w:p>
    <w:p w:rsidR="008B6F3C" w:rsidRDefault="00C36BE1" w:rsidP="00FF289D">
      <w:pPr>
        <w:pStyle w:val="Tabletitle0"/>
      </w:pPr>
      <w:r w:rsidRPr="007438D5">
        <w:lastRenderedPageBreak/>
        <w:t>Table 1:</w:t>
      </w:r>
      <w:r w:rsidR="008B6F3C" w:rsidRPr="007438D5">
        <w:t xml:space="preserve"> Overseas regulatory status</w:t>
      </w:r>
    </w:p>
    <w:tbl>
      <w:tblPr>
        <w:tblStyle w:val="TableTGAblue"/>
        <w:tblW w:w="0" w:type="auto"/>
        <w:tblLook w:val="04A0" w:firstRow="1" w:lastRow="0" w:firstColumn="1" w:lastColumn="0" w:noHBand="0" w:noVBand="1"/>
      </w:tblPr>
      <w:tblGrid>
        <w:gridCol w:w="2598"/>
        <w:gridCol w:w="2261"/>
        <w:gridCol w:w="3861"/>
      </w:tblGrid>
      <w:tr w:rsidR="00C945AE" w:rsidRPr="008B6F3C" w:rsidTr="004D072F">
        <w:trPr>
          <w:cnfStyle w:val="100000000000" w:firstRow="1" w:lastRow="0" w:firstColumn="0" w:lastColumn="0" w:oddVBand="0" w:evenVBand="0" w:oddHBand="0" w:evenHBand="0" w:firstRowFirstColumn="0" w:firstRowLastColumn="0" w:lastRowFirstColumn="0" w:lastRowLastColumn="0"/>
        </w:trPr>
        <w:tc>
          <w:tcPr>
            <w:tcW w:w="2598" w:type="dxa"/>
          </w:tcPr>
          <w:p w:rsidR="00C945AE" w:rsidRPr="008B6F3C" w:rsidRDefault="00C945AE" w:rsidP="008B6F3C">
            <w:r w:rsidRPr="008B6F3C">
              <w:t>Country</w:t>
            </w:r>
          </w:p>
        </w:tc>
        <w:tc>
          <w:tcPr>
            <w:tcW w:w="2261" w:type="dxa"/>
          </w:tcPr>
          <w:p w:rsidR="00C945AE" w:rsidRPr="008B6F3C" w:rsidRDefault="00C945AE" w:rsidP="008B6F3C">
            <w:r w:rsidRPr="008B6F3C">
              <w:t>Submission date</w:t>
            </w:r>
          </w:p>
        </w:tc>
        <w:tc>
          <w:tcPr>
            <w:tcW w:w="3861" w:type="dxa"/>
          </w:tcPr>
          <w:p w:rsidR="00C945AE" w:rsidRPr="008B6F3C" w:rsidRDefault="00C945AE" w:rsidP="008B6F3C">
            <w:r w:rsidRPr="008B6F3C">
              <w:t>Status</w:t>
            </w:r>
          </w:p>
        </w:tc>
      </w:tr>
      <w:tr w:rsidR="00C945AE" w:rsidRPr="008B6F3C" w:rsidTr="004D072F">
        <w:tc>
          <w:tcPr>
            <w:tcW w:w="2598" w:type="dxa"/>
          </w:tcPr>
          <w:p w:rsidR="00C945AE" w:rsidRPr="008B6F3C" w:rsidRDefault="00C945AE" w:rsidP="008B6F3C">
            <w:r w:rsidRPr="008B6F3C">
              <w:t>EU (Centralised Procedure)</w:t>
            </w:r>
          </w:p>
        </w:tc>
        <w:tc>
          <w:tcPr>
            <w:tcW w:w="2261" w:type="dxa"/>
          </w:tcPr>
          <w:p w:rsidR="00C945AE" w:rsidRPr="008B6F3C" w:rsidRDefault="00C945AE" w:rsidP="008B6F3C">
            <w:r w:rsidRPr="008B6F3C">
              <w:t>06 May 2014</w:t>
            </w:r>
          </w:p>
        </w:tc>
        <w:tc>
          <w:tcPr>
            <w:tcW w:w="3861" w:type="dxa"/>
          </w:tcPr>
          <w:p w:rsidR="00C945AE" w:rsidRPr="008B6F3C" w:rsidRDefault="00C945AE" w:rsidP="008B6F3C">
            <w:r w:rsidRPr="008B6F3C">
              <w:t>Approved: 15 January 2015</w:t>
            </w:r>
          </w:p>
          <w:p w:rsidR="00C945AE" w:rsidRPr="008B6F3C" w:rsidRDefault="00C945AE" w:rsidP="008B6F3C">
            <w:r w:rsidRPr="008B6F3C">
              <w:t>Indication: Exviera/Viekirax is indicated in combination with other medicinal products for the treatment of chronic hepatitis C (CHC) in adults.</w:t>
            </w:r>
          </w:p>
        </w:tc>
      </w:tr>
      <w:tr w:rsidR="00C945AE" w:rsidRPr="008B6F3C" w:rsidTr="004D072F">
        <w:tc>
          <w:tcPr>
            <w:tcW w:w="2598" w:type="dxa"/>
          </w:tcPr>
          <w:p w:rsidR="00C945AE" w:rsidRPr="008B6F3C" w:rsidRDefault="00C945AE" w:rsidP="008B6F3C">
            <w:r w:rsidRPr="008B6F3C">
              <w:t>USA</w:t>
            </w:r>
          </w:p>
        </w:tc>
        <w:tc>
          <w:tcPr>
            <w:tcW w:w="2261" w:type="dxa"/>
          </w:tcPr>
          <w:p w:rsidR="00C945AE" w:rsidRPr="008B6F3C" w:rsidRDefault="00C945AE" w:rsidP="008B6F3C">
            <w:r w:rsidRPr="008B6F3C">
              <w:t>21 April 2014</w:t>
            </w:r>
          </w:p>
        </w:tc>
        <w:tc>
          <w:tcPr>
            <w:tcW w:w="3861" w:type="dxa"/>
          </w:tcPr>
          <w:p w:rsidR="00C945AE" w:rsidRPr="008B6F3C" w:rsidRDefault="00C945AE" w:rsidP="008B6F3C">
            <w:r w:rsidRPr="008B6F3C">
              <w:t>Approved: 19 December 2014</w:t>
            </w:r>
          </w:p>
          <w:p w:rsidR="00C945AE" w:rsidRPr="008B6F3C" w:rsidRDefault="00C945AE" w:rsidP="008B6F3C">
            <w:r w:rsidRPr="008B6F3C">
              <w:t xml:space="preserve">Indication: </w:t>
            </w:r>
            <w:r w:rsidR="008B6F3C" w:rsidRPr="008B6F3C">
              <w:t>Viekira Pak</w:t>
            </w:r>
            <w:r w:rsidRPr="008B6F3C">
              <w:t xml:space="preserve"> with or without ribavirin is indicated for the treatment of patients with genotype 1 chronic hepatitis C virus (HCV) infection including those with compensated cirrhosis.</w:t>
            </w:r>
          </w:p>
        </w:tc>
      </w:tr>
      <w:tr w:rsidR="00C945AE" w:rsidRPr="008B6F3C" w:rsidTr="004D072F">
        <w:tc>
          <w:tcPr>
            <w:tcW w:w="2598" w:type="dxa"/>
          </w:tcPr>
          <w:p w:rsidR="00C945AE" w:rsidRPr="008B6F3C" w:rsidRDefault="00C945AE" w:rsidP="008B6F3C">
            <w:r w:rsidRPr="008B6F3C">
              <w:t>Canada</w:t>
            </w:r>
          </w:p>
        </w:tc>
        <w:tc>
          <w:tcPr>
            <w:tcW w:w="2261" w:type="dxa"/>
          </w:tcPr>
          <w:p w:rsidR="00C945AE" w:rsidRPr="008B6F3C" w:rsidRDefault="00C945AE" w:rsidP="008B6F3C">
            <w:r w:rsidRPr="008B6F3C">
              <w:t>13 May 2014</w:t>
            </w:r>
          </w:p>
        </w:tc>
        <w:tc>
          <w:tcPr>
            <w:tcW w:w="3861" w:type="dxa"/>
          </w:tcPr>
          <w:p w:rsidR="00C945AE" w:rsidRPr="008B6F3C" w:rsidRDefault="00C945AE" w:rsidP="008B6F3C">
            <w:r w:rsidRPr="008B6F3C">
              <w:t>Approved: 22 December 2014</w:t>
            </w:r>
          </w:p>
          <w:p w:rsidR="00C945AE" w:rsidRPr="008B6F3C" w:rsidRDefault="00C945AE" w:rsidP="008B6F3C">
            <w:r w:rsidRPr="008B6F3C">
              <w:t xml:space="preserve">Indication: HOLKIRA™ </w:t>
            </w:r>
            <w:r w:rsidR="000C3156">
              <w:t>Pak</w:t>
            </w:r>
            <w:r w:rsidRPr="008B6F3C">
              <w:t xml:space="preserve"> (ombitasvir/paritaprevir/ritonavir and dasabuvir) is indicated for the treatment of adults with genotype 1 chronic hepatitis C (CHC) infection, including those with compensated cirrhosis:</w:t>
            </w:r>
          </w:p>
          <w:p w:rsidR="00C945AE" w:rsidRPr="008B6F3C" w:rsidRDefault="00C945AE" w:rsidP="008B6F3C">
            <w:r w:rsidRPr="008B6F3C">
              <w:t>with ribavirin in non-cirrhotic patients with genotype 1a infection;</w:t>
            </w:r>
          </w:p>
          <w:p w:rsidR="00C945AE" w:rsidRPr="008B6F3C" w:rsidRDefault="00C945AE" w:rsidP="008B6F3C">
            <w:r w:rsidRPr="008B6F3C">
              <w:t>without ribavirin in non-cirrhotic patients with genotype 1b infection;</w:t>
            </w:r>
          </w:p>
          <w:p w:rsidR="00C945AE" w:rsidRPr="008B6F3C" w:rsidRDefault="00C945AE" w:rsidP="008B6F3C">
            <w:proofErr w:type="gramStart"/>
            <w:r w:rsidRPr="008B6F3C">
              <w:t>with</w:t>
            </w:r>
            <w:proofErr w:type="gramEnd"/>
            <w:r w:rsidRPr="008B6F3C">
              <w:t xml:space="preserve"> ribavirin in patients with compensated cirrhosis.</w:t>
            </w:r>
          </w:p>
        </w:tc>
      </w:tr>
      <w:tr w:rsidR="00C945AE" w:rsidRPr="008B6F3C" w:rsidTr="004D072F">
        <w:tc>
          <w:tcPr>
            <w:tcW w:w="2598" w:type="dxa"/>
          </w:tcPr>
          <w:p w:rsidR="00C945AE" w:rsidRPr="008B6F3C" w:rsidRDefault="00C945AE" w:rsidP="008B6F3C">
            <w:r w:rsidRPr="008B6F3C">
              <w:t>Switzerland</w:t>
            </w:r>
          </w:p>
        </w:tc>
        <w:tc>
          <w:tcPr>
            <w:tcW w:w="2261" w:type="dxa"/>
          </w:tcPr>
          <w:p w:rsidR="00C945AE" w:rsidRPr="008B6F3C" w:rsidRDefault="00C945AE" w:rsidP="008B6F3C">
            <w:r w:rsidRPr="008B6F3C">
              <w:t>07May 2014</w:t>
            </w:r>
          </w:p>
        </w:tc>
        <w:tc>
          <w:tcPr>
            <w:tcW w:w="3861" w:type="dxa"/>
          </w:tcPr>
          <w:p w:rsidR="00C945AE" w:rsidRPr="008B6F3C" w:rsidRDefault="00C945AE" w:rsidP="008B6F3C">
            <w:r w:rsidRPr="008B6F3C">
              <w:t>Approved: 25 November 2014</w:t>
            </w:r>
          </w:p>
          <w:p w:rsidR="00C945AE" w:rsidRPr="008B6F3C" w:rsidRDefault="00C945AE" w:rsidP="008B6F3C">
            <w:r w:rsidRPr="008B6F3C">
              <w:t>Indication: Viekirax is indicated in combination with Exviera or Exviera with ribavirin for the treatment of adults with genotype 1 chronic hepatitis c (CHC) infections</w:t>
            </w:r>
          </w:p>
        </w:tc>
      </w:tr>
      <w:tr w:rsidR="00C945AE" w:rsidRPr="008B6F3C" w:rsidTr="004D072F">
        <w:tc>
          <w:tcPr>
            <w:tcW w:w="2598" w:type="dxa"/>
          </w:tcPr>
          <w:p w:rsidR="00C945AE" w:rsidRPr="008B6F3C" w:rsidRDefault="004D072F" w:rsidP="008B6F3C">
            <w:r w:rsidRPr="008B6F3C">
              <w:t>New Zealand</w:t>
            </w:r>
          </w:p>
        </w:tc>
        <w:tc>
          <w:tcPr>
            <w:tcW w:w="2261" w:type="dxa"/>
          </w:tcPr>
          <w:p w:rsidR="00C945AE" w:rsidRPr="008B6F3C" w:rsidRDefault="004D072F" w:rsidP="008B6F3C">
            <w:r w:rsidRPr="008B6F3C">
              <w:t>15 July 2014</w:t>
            </w:r>
          </w:p>
        </w:tc>
        <w:tc>
          <w:tcPr>
            <w:tcW w:w="3861" w:type="dxa"/>
          </w:tcPr>
          <w:p w:rsidR="004D072F" w:rsidRPr="008B6F3C" w:rsidRDefault="004D072F" w:rsidP="008B6F3C">
            <w:r w:rsidRPr="008B6F3C">
              <w:t>Approved: Under evaluation</w:t>
            </w:r>
          </w:p>
          <w:p w:rsidR="00C945AE" w:rsidRPr="008B6F3C" w:rsidRDefault="004D072F" w:rsidP="008B6F3C">
            <w:r w:rsidRPr="008B6F3C">
              <w:t>Indication: (Identical to Australia)</w:t>
            </w:r>
          </w:p>
        </w:tc>
      </w:tr>
      <w:tr w:rsidR="00C945AE" w:rsidRPr="008B6F3C" w:rsidTr="004D072F">
        <w:tc>
          <w:tcPr>
            <w:tcW w:w="2598" w:type="dxa"/>
          </w:tcPr>
          <w:p w:rsidR="00C945AE" w:rsidRPr="008B6F3C" w:rsidRDefault="004D072F" w:rsidP="008B6F3C">
            <w:r w:rsidRPr="008B6F3C">
              <w:t>Brazil</w:t>
            </w:r>
          </w:p>
        </w:tc>
        <w:tc>
          <w:tcPr>
            <w:tcW w:w="2261" w:type="dxa"/>
          </w:tcPr>
          <w:p w:rsidR="00C945AE" w:rsidRPr="008B6F3C" w:rsidRDefault="004D072F" w:rsidP="008B6F3C">
            <w:r w:rsidRPr="008B6F3C">
              <w:t>21 Aug 2014</w:t>
            </w:r>
          </w:p>
        </w:tc>
        <w:tc>
          <w:tcPr>
            <w:tcW w:w="3861" w:type="dxa"/>
          </w:tcPr>
          <w:p w:rsidR="004D072F" w:rsidRPr="008B6F3C" w:rsidRDefault="004D072F" w:rsidP="008B6F3C">
            <w:r w:rsidRPr="008B6F3C">
              <w:t>Approved: 22 April 2015</w:t>
            </w:r>
          </w:p>
          <w:p w:rsidR="00C945AE" w:rsidRPr="008B6F3C" w:rsidRDefault="004D072F" w:rsidP="009F6EED">
            <w:r w:rsidRPr="008B6F3C">
              <w:t>Indication:</w:t>
            </w:r>
            <w:r w:rsidR="00913482">
              <w:t xml:space="preserve"> </w:t>
            </w:r>
            <w:r w:rsidRPr="008B6F3C">
              <w:t xml:space="preserve">Viekira Pak is indicated for the treatment of patients with </w:t>
            </w:r>
            <w:r w:rsidRPr="008B6F3C">
              <w:lastRenderedPageBreak/>
              <w:t>genotype 1 chronic hepatitis C virus (HCV) infection.</w:t>
            </w:r>
          </w:p>
        </w:tc>
      </w:tr>
      <w:tr w:rsidR="00C945AE" w:rsidRPr="008B6F3C" w:rsidTr="004D072F">
        <w:tc>
          <w:tcPr>
            <w:tcW w:w="2598" w:type="dxa"/>
          </w:tcPr>
          <w:p w:rsidR="00C945AE" w:rsidRPr="008B6F3C" w:rsidRDefault="004D072F" w:rsidP="008B6F3C">
            <w:r w:rsidRPr="008B6F3C">
              <w:lastRenderedPageBreak/>
              <w:t>Russia</w:t>
            </w:r>
          </w:p>
        </w:tc>
        <w:tc>
          <w:tcPr>
            <w:tcW w:w="2261" w:type="dxa"/>
          </w:tcPr>
          <w:p w:rsidR="00C945AE" w:rsidRPr="008B6F3C" w:rsidRDefault="004D072F" w:rsidP="008B6F3C">
            <w:r w:rsidRPr="008B6F3C">
              <w:t>14 August 2014</w:t>
            </w:r>
          </w:p>
        </w:tc>
        <w:tc>
          <w:tcPr>
            <w:tcW w:w="3861" w:type="dxa"/>
          </w:tcPr>
          <w:p w:rsidR="004D072F" w:rsidRPr="008B6F3C" w:rsidRDefault="004D072F" w:rsidP="008B6F3C">
            <w:r w:rsidRPr="008B6F3C">
              <w:t>Approved: 29 April 2015</w:t>
            </w:r>
          </w:p>
          <w:p w:rsidR="00C945AE" w:rsidRPr="008B6F3C" w:rsidRDefault="004D072F" w:rsidP="008B6F3C">
            <w:r w:rsidRPr="008B6F3C">
              <w:t>Indication: The approved indication is for the treatment (with and without ribavirin) of genotype 1 chronic hepatitis C infection, including patients with compensated cirrhosis.</w:t>
            </w:r>
          </w:p>
        </w:tc>
      </w:tr>
      <w:tr w:rsidR="004D072F" w:rsidRPr="008B6F3C" w:rsidTr="004D072F">
        <w:tc>
          <w:tcPr>
            <w:tcW w:w="2598" w:type="dxa"/>
          </w:tcPr>
          <w:p w:rsidR="004D072F" w:rsidRPr="008B6F3C" w:rsidRDefault="004D072F" w:rsidP="008B6F3C">
            <w:r w:rsidRPr="008B6F3C">
              <w:t>Israel</w:t>
            </w:r>
          </w:p>
        </w:tc>
        <w:tc>
          <w:tcPr>
            <w:tcW w:w="2261" w:type="dxa"/>
          </w:tcPr>
          <w:p w:rsidR="004D072F" w:rsidRPr="008B6F3C" w:rsidRDefault="004D072F" w:rsidP="008B6F3C">
            <w:r w:rsidRPr="008B6F3C">
              <w:t>7 July 2014</w:t>
            </w:r>
          </w:p>
        </w:tc>
        <w:tc>
          <w:tcPr>
            <w:tcW w:w="3861" w:type="dxa"/>
          </w:tcPr>
          <w:p w:rsidR="004D072F" w:rsidRPr="008B6F3C" w:rsidRDefault="004D072F" w:rsidP="008B6F3C">
            <w:r w:rsidRPr="008B6F3C">
              <w:t>Approved: 30 March 2015</w:t>
            </w:r>
          </w:p>
          <w:p w:rsidR="004D072F" w:rsidRPr="008B6F3C" w:rsidRDefault="004D072F" w:rsidP="008B6F3C">
            <w:r w:rsidRPr="008B6F3C">
              <w:t>Indication: The approved labels for GT1 indication are aligned with the EU labels. Exviera/Viekirax is indicated in combination with other medicinal products for the treatment of chronic hepatitis C (CHC) in adults.</w:t>
            </w:r>
          </w:p>
        </w:tc>
      </w:tr>
    </w:tbl>
    <w:p w:rsidR="00C945AE" w:rsidRDefault="004D072F" w:rsidP="004D072F">
      <w:r w:rsidRPr="004D072F">
        <w:t>Approvals were also obtained in Turkey, Chile, Qatar, Saudi Arabia, Kuwait, Puerto</w:t>
      </w:r>
      <w:r>
        <w:t xml:space="preserve"> </w:t>
      </w:r>
      <w:r w:rsidRPr="004D072F">
        <w:t>Rico, Uruguay, and Macau. Additional submissi</w:t>
      </w:r>
      <w:r>
        <w:t xml:space="preserve">ons in other global markets are </w:t>
      </w:r>
      <w:r w:rsidRPr="004D072F">
        <w:t>planned.</w:t>
      </w:r>
    </w:p>
    <w:p w:rsidR="008E7846" w:rsidRDefault="008E7846" w:rsidP="00940A89">
      <w:pPr>
        <w:pStyle w:val="Heading3"/>
      </w:pPr>
      <w:bookmarkStart w:id="22" w:name="_Toc480811550"/>
      <w:r>
        <w:t xml:space="preserve">Product </w:t>
      </w:r>
      <w:r w:rsidR="0090503E">
        <w:t>i</w:t>
      </w:r>
      <w:r>
        <w:t>nformation</w:t>
      </w:r>
      <w:bookmarkEnd w:id="20"/>
      <w:bookmarkEnd w:id="21"/>
      <w:bookmarkEnd w:id="22"/>
    </w:p>
    <w:p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926A16">
        <w:t xml:space="preserve">&lt; </w:t>
      </w:r>
      <w:hyperlink r:id="rId15" w:history="1">
        <w:r w:rsidR="00441C3F" w:rsidRPr="00441C3F">
          <w:rPr>
            <w:rStyle w:val="Hyperlink"/>
          </w:rPr>
          <w:t>https://www.tga.gov.au/product-information-pi</w:t>
        </w:r>
      </w:hyperlink>
      <w:proofErr w:type="gramStart"/>
      <w:r w:rsidR="000C3156">
        <w:t xml:space="preserve">&gt; </w:t>
      </w:r>
      <w:r w:rsidR="00940A89" w:rsidRPr="00940A89">
        <w:t>.</w:t>
      </w:r>
      <w:proofErr w:type="gramEnd"/>
    </w:p>
    <w:p w:rsidR="008E7846" w:rsidRPr="003602A9" w:rsidRDefault="008E7846" w:rsidP="008E7846">
      <w:pPr>
        <w:pStyle w:val="Heading2"/>
        <w:ind w:left="-11"/>
      </w:pPr>
      <w:bookmarkStart w:id="25" w:name="_Toc480811551"/>
      <w:r>
        <w:t>II. Quality</w:t>
      </w:r>
      <w:bookmarkEnd w:id="2"/>
      <w:r>
        <w:t xml:space="preserve"> findings</w:t>
      </w:r>
      <w:bookmarkEnd w:id="23"/>
      <w:bookmarkEnd w:id="24"/>
      <w:bookmarkEnd w:id="25"/>
    </w:p>
    <w:p w:rsidR="00940A89" w:rsidRDefault="00940A89" w:rsidP="00940A89">
      <w:pPr>
        <w:pStyle w:val="Heading3"/>
      </w:pPr>
      <w:bookmarkStart w:id="26" w:name="_Toc480811552"/>
      <w:bookmarkStart w:id="27" w:name="_Toc247691507"/>
      <w:bookmarkStart w:id="28" w:name="_Toc314842488"/>
      <w:r w:rsidRPr="00940A89">
        <w:t>Introduction</w:t>
      </w:r>
      <w:bookmarkEnd w:id="26"/>
    </w:p>
    <w:p w:rsidR="00E56F3B" w:rsidRPr="002E67FD" w:rsidRDefault="008B6F3C" w:rsidP="00E56F3B">
      <w:r w:rsidRPr="002E67FD">
        <w:t>Viekira Pak</w:t>
      </w:r>
      <w:r w:rsidR="002E67FD" w:rsidRPr="002E67FD">
        <w:t>-RBV</w:t>
      </w:r>
      <w:r w:rsidR="00E56F3B" w:rsidRPr="002E67FD">
        <w:t xml:space="preserve"> is a new antiviral combination therapy composite pack consisting of the following components</w:t>
      </w:r>
      <w:r w:rsidR="002E67FD" w:rsidRPr="002E67FD">
        <w:t xml:space="preserve"> in 5 presentations providing 28 days of therapy</w:t>
      </w:r>
      <w:r w:rsidR="00E56F3B" w:rsidRPr="002E67FD">
        <w:t>:</w:t>
      </w:r>
    </w:p>
    <w:p w:rsidR="00E56F3B" w:rsidRPr="002E67FD" w:rsidRDefault="00E56F3B" w:rsidP="00E56F3B">
      <w:pPr>
        <w:pStyle w:val="ListBullet"/>
      </w:pPr>
      <w:r w:rsidRPr="002E67FD">
        <w:t xml:space="preserve">a new fixed-dose combination </w:t>
      </w:r>
      <w:r w:rsidR="00913482" w:rsidRPr="002E67FD">
        <w:t>film coated</w:t>
      </w:r>
      <w:r w:rsidRPr="002E67FD">
        <w:t xml:space="preserve"> tablet comprising of </w:t>
      </w:r>
      <w:r w:rsidR="00286051" w:rsidRPr="002E67FD">
        <w:t>75 mg</w:t>
      </w:r>
      <w:r w:rsidRPr="002E67FD">
        <w:t xml:space="preserve"> paritaprevir, </w:t>
      </w:r>
      <w:r w:rsidR="00286051" w:rsidRPr="002E67FD">
        <w:t>50 mg</w:t>
      </w:r>
      <w:r w:rsidRPr="002E67FD">
        <w:t xml:space="preserve"> riton</w:t>
      </w:r>
      <w:r w:rsidR="008B6F3C" w:rsidRPr="002E67FD">
        <w:t xml:space="preserve">avir and </w:t>
      </w:r>
      <w:r w:rsidR="00286051" w:rsidRPr="002E67FD">
        <w:t xml:space="preserve">12.5 mg </w:t>
      </w:r>
      <w:r w:rsidR="008B6F3C" w:rsidRPr="002E67FD">
        <w:t>ombitasvir, and</w:t>
      </w:r>
    </w:p>
    <w:p w:rsidR="00E56F3B" w:rsidRPr="002E67FD" w:rsidRDefault="00E56F3B" w:rsidP="00E56F3B">
      <w:pPr>
        <w:pStyle w:val="ListBullet"/>
      </w:pPr>
      <w:proofErr w:type="gramStart"/>
      <w:r w:rsidRPr="002E67FD">
        <w:t>dasabuvir</w:t>
      </w:r>
      <w:proofErr w:type="gramEnd"/>
      <w:r w:rsidRPr="002E67FD">
        <w:t xml:space="preserve"> (as sodium salt) 2</w:t>
      </w:r>
      <w:r w:rsidR="00286051" w:rsidRPr="002E67FD">
        <w:t>50 mg</w:t>
      </w:r>
      <w:r w:rsidRPr="002E67FD">
        <w:t xml:space="preserve"> </w:t>
      </w:r>
      <w:r w:rsidR="00913482" w:rsidRPr="002E67FD">
        <w:t>film coated</w:t>
      </w:r>
      <w:r w:rsidRPr="002E67FD">
        <w:t xml:space="preserve"> tablets.</w:t>
      </w:r>
    </w:p>
    <w:p w:rsidR="001D772A" w:rsidRPr="001D772A" w:rsidRDefault="001D772A" w:rsidP="001D772A">
      <w:pPr>
        <w:pStyle w:val="ListBullet"/>
      </w:pPr>
      <w:r w:rsidRPr="001D772A">
        <w:t>ribavirin tablets, in one of 5 presentations:</w:t>
      </w:r>
    </w:p>
    <w:p w:rsidR="001D772A" w:rsidRPr="001D772A" w:rsidRDefault="001D772A" w:rsidP="001D772A">
      <w:pPr>
        <w:pStyle w:val="ListBullet2"/>
      </w:pPr>
      <w:r w:rsidRPr="001D772A">
        <w:t>168 tablets 2</w:t>
      </w:r>
      <w:r w:rsidR="00661B33">
        <w:t>00 mg</w:t>
      </w:r>
      <w:r w:rsidRPr="001D772A">
        <w:t xml:space="preserve"> tablets in bottles, or</w:t>
      </w:r>
    </w:p>
    <w:p w:rsidR="001D772A" w:rsidRPr="001D772A" w:rsidRDefault="001D772A" w:rsidP="001D772A">
      <w:pPr>
        <w:pStyle w:val="ListBullet2"/>
      </w:pPr>
      <w:r w:rsidRPr="001D772A">
        <w:t>56 tablets 4</w:t>
      </w:r>
      <w:r w:rsidR="00661B33">
        <w:t>00 mg</w:t>
      </w:r>
      <w:r w:rsidRPr="001D772A">
        <w:t xml:space="preserve"> in bottles, or</w:t>
      </w:r>
    </w:p>
    <w:p w:rsidR="001D772A" w:rsidRPr="001D772A" w:rsidRDefault="001D772A" w:rsidP="001D772A">
      <w:pPr>
        <w:pStyle w:val="ListBullet2"/>
      </w:pPr>
      <w:r w:rsidRPr="001D772A">
        <w:t>56 tablets 6</w:t>
      </w:r>
      <w:r w:rsidR="00661B33">
        <w:t>00 mg</w:t>
      </w:r>
      <w:r w:rsidRPr="001D772A">
        <w:t xml:space="preserve"> in bottles, or</w:t>
      </w:r>
    </w:p>
    <w:p w:rsidR="001D772A" w:rsidRPr="001D772A" w:rsidRDefault="001D772A" w:rsidP="001D772A">
      <w:pPr>
        <w:pStyle w:val="ListBullet2"/>
      </w:pPr>
      <w:r w:rsidRPr="001D772A">
        <w:t>28 tablets 6</w:t>
      </w:r>
      <w:r w:rsidR="00661B33">
        <w:t>00 mg</w:t>
      </w:r>
      <w:r w:rsidRPr="001D772A">
        <w:t xml:space="preserve"> tablets and 28 tablets of 4</w:t>
      </w:r>
      <w:r w:rsidR="00661B33">
        <w:t>00 mg</w:t>
      </w:r>
      <w:r w:rsidRPr="001D772A">
        <w:t xml:space="preserve"> tablets in blisters, or</w:t>
      </w:r>
    </w:p>
    <w:p w:rsidR="001D772A" w:rsidRPr="001D772A" w:rsidRDefault="001D772A" w:rsidP="001D772A">
      <w:pPr>
        <w:pStyle w:val="ListBullet2"/>
      </w:pPr>
      <w:r w:rsidRPr="001D772A">
        <w:t>56 tablets 6</w:t>
      </w:r>
      <w:r w:rsidR="00661B33">
        <w:t>00 mg</w:t>
      </w:r>
      <w:r w:rsidRPr="001D772A">
        <w:t xml:space="preserve"> in blisters</w:t>
      </w:r>
    </w:p>
    <w:p w:rsidR="001D772A" w:rsidRPr="001D772A" w:rsidRDefault="001D772A" w:rsidP="001D772A">
      <w:r w:rsidRPr="001D772A">
        <w:lastRenderedPageBreak/>
        <w:t>Aspects of this submission relating to the fixed dosed combination paritaprevir/ritonavir/ombitasvir 75/50/12.5 tablet and the dasabuvir (as sodium) 250mg tablet have been evaluated separately a current parallel submission (PM-2014-01436-1-2) for the related composite pack ‘V</w:t>
      </w:r>
      <w:r w:rsidR="007438D5" w:rsidRPr="001D772A">
        <w:t>iekira</w:t>
      </w:r>
      <w:r w:rsidRPr="001D772A">
        <w:t xml:space="preserve"> P</w:t>
      </w:r>
      <w:r w:rsidR="007438D5" w:rsidRPr="001D772A">
        <w:t>ak</w:t>
      </w:r>
      <w:r w:rsidRPr="001D772A">
        <w:t>’, consisting of the above described components but without the ribavirin tablets.</w:t>
      </w:r>
    </w:p>
    <w:p w:rsidR="001D772A" w:rsidRPr="001D772A" w:rsidRDefault="001D772A" w:rsidP="001D772A">
      <w:r w:rsidRPr="001D772A">
        <w:t>The drug substances paritaprevir, ombitasvir and dasabuvir are direct-acting antiviral agents (DAAs) which are new chemical entities (NCEs).</w:t>
      </w:r>
    </w:p>
    <w:p w:rsidR="001D772A" w:rsidRPr="001D772A" w:rsidRDefault="001D772A" w:rsidP="001D772A">
      <w:r w:rsidRPr="001D772A">
        <w:t xml:space="preserve">Ritonavir is an established drug substance (CYP3A inhibitor) used in several registered oral products. Ribavirin is the subject of monographs in the BP, Ph. Eur. and USP. Monographs </w:t>
      </w:r>
      <w:r w:rsidR="00B57980" w:rsidRPr="001D772A">
        <w:t xml:space="preserve">for ribavirin tablets, capsules and inhalation </w:t>
      </w:r>
      <w:r w:rsidRPr="001D772A">
        <w:t>solution appear in the USP.</w:t>
      </w:r>
    </w:p>
    <w:p w:rsidR="001D772A" w:rsidRPr="001D772A" w:rsidRDefault="001D772A" w:rsidP="001D772A">
      <w:r w:rsidRPr="001D772A">
        <w:t xml:space="preserve">Ribavirin is an antiviral synthetic nucleoside </w:t>
      </w:r>
      <w:r w:rsidR="00435644" w:rsidRPr="001D772A">
        <w:t>analogue</w:t>
      </w:r>
      <w:r w:rsidRPr="001D772A">
        <w:t xml:space="preserve"> used in several registered oral products (</w:t>
      </w:r>
      <w:r w:rsidR="00435644">
        <w:t>for example</w:t>
      </w:r>
      <w:r w:rsidRPr="001D772A">
        <w:t xml:space="preserve"> C</w:t>
      </w:r>
      <w:r w:rsidR="00435644" w:rsidRPr="001D772A">
        <w:t>opegus</w:t>
      </w:r>
      <w:r w:rsidRPr="001D772A">
        <w:t xml:space="preserve"> ribavirin 2</w:t>
      </w:r>
      <w:r w:rsidR="00661B33">
        <w:t>00 mg</w:t>
      </w:r>
      <w:r w:rsidRPr="001D772A">
        <w:t xml:space="preserve"> tablets). The proposed tablets may be considered as generic versions and new strengths of the registered product C</w:t>
      </w:r>
      <w:r w:rsidR="00435644" w:rsidRPr="001D772A">
        <w:t>opegus</w:t>
      </w:r>
      <w:r w:rsidRPr="001D772A">
        <w:t xml:space="preserve"> ribavirin 2</w:t>
      </w:r>
      <w:r w:rsidR="00661B33">
        <w:t>00 mg</w:t>
      </w:r>
      <w:r w:rsidRPr="001D772A">
        <w:t xml:space="preserve"> tablets and a bioequivalence study comparing the proposed 6</w:t>
      </w:r>
      <w:r w:rsidR="00661B33">
        <w:t>00 mg</w:t>
      </w:r>
      <w:r w:rsidRPr="001D772A">
        <w:t xml:space="preserve"> ribavirin tablet with three C</w:t>
      </w:r>
      <w:r w:rsidR="00435644" w:rsidRPr="001D772A">
        <w:t>opegus</w:t>
      </w:r>
      <w:r w:rsidRPr="001D772A">
        <w:t xml:space="preserve"> ribavirin 2</w:t>
      </w:r>
      <w:r w:rsidR="00661B33">
        <w:t>00 mg</w:t>
      </w:r>
      <w:r w:rsidRPr="001D772A">
        <w:t xml:space="preserve"> tablets has been provided (StudyM14-356).</w:t>
      </w:r>
    </w:p>
    <w:p w:rsidR="00E56F3B" w:rsidRDefault="00E56F3B" w:rsidP="00E56F3B">
      <w:r w:rsidRPr="00435644">
        <w:t xml:space="preserve">The combination therapy regimen includes three </w:t>
      </w:r>
      <w:r w:rsidR="00973BDE" w:rsidRPr="00435644">
        <w:t>DAAs</w:t>
      </w:r>
      <w:r w:rsidRPr="00435644">
        <w:t xml:space="preserve"> stated to have distinct mechanisms of action and non-overlapping resistance profiles to target HCV at multiple steps in the viral lifecycle. Paritaprevir, ombitasvir and dasabuvir inhibit non</w:t>
      </w:r>
      <w:r w:rsidR="008B6F3C" w:rsidRPr="00435644">
        <w:t>-</w:t>
      </w:r>
      <w:r w:rsidRPr="00435644">
        <w:t xml:space="preserve">structural </w:t>
      </w:r>
      <w:r w:rsidR="002D05D0" w:rsidRPr="00435644">
        <w:t xml:space="preserve">(NS) </w:t>
      </w:r>
      <w:r w:rsidRPr="00435644">
        <w:t>proteins 3, 5A a</w:t>
      </w:r>
      <w:r w:rsidR="002D05D0" w:rsidRPr="00435644">
        <w:t>nd 5B (NS3, NS5A and</w:t>
      </w:r>
      <w:r w:rsidRPr="00435644">
        <w:t xml:space="preserve"> NS5B), respectively, which play a key roles in RNA replication in genotypes 1a a</w:t>
      </w:r>
      <w:r w:rsidR="00E458BE" w:rsidRPr="00435644">
        <w:t>nd 1b of HCV</w:t>
      </w:r>
      <w:r w:rsidRPr="00435644">
        <w:t>. Paritaprevir is susceptible to first pass metabolism, so ritonavir (a potent CYP3A inhibitor), is included to increase exposure of paritaprevir.</w:t>
      </w:r>
    </w:p>
    <w:p w:rsidR="00435644" w:rsidRPr="00435644" w:rsidRDefault="00435644" w:rsidP="00435644">
      <w:r w:rsidRPr="00435644">
        <w:t xml:space="preserve">Ribavirin is a synthetic nucleoside </w:t>
      </w:r>
      <w:r w:rsidR="00B57980" w:rsidRPr="00435644">
        <w:t>analogue</w:t>
      </w:r>
      <w:r w:rsidRPr="00435644">
        <w:t xml:space="preserve"> that shows in vitro activity against some RNA and DNA viruses. The mechanism by which ribavirin in combination with peg-interferon alfa-2a or interferon alfa-2a exerts its effects against HCV is unknown.</w:t>
      </w:r>
    </w:p>
    <w:p w:rsidR="00435644" w:rsidRPr="00435644" w:rsidRDefault="00435644" w:rsidP="00435644">
      <w:r w:rsidRPr="00435644">
        <w:t>The recommended dose of V</w:t>
      </w:r>
      <w:r w:rsidR="00B57980" w:rsidRPr="00B57980">
        <w:t>iekira</w:t>
      </w:r>
      <w:r w:rsidRPr="00435644">
        <w:t xml:space="preserve"> P</w:t>
      </w:r>
      <w:r w:rsidR="00B57980" w:rsidRPr="00435644">
        <w:t>ak</w:t>
      </w:r>
      <w:r w:rsidRPr="00435644">
        <w:t xml:space="preserve">-RBV is two </w:t>
      </w:r>
      <w:r w:rsidR="00B57980">
        <w:t>p</w:t>
      </w:r>
      <w:r w:rsidR="00B57980" w:rsidRPr="00435644">
        <w:t xml:space="preserve">aritaprevir </w:t>
      </w:r>
      <w:r w:rsidRPr="00435644">
        <w:t>/ritonavir/ombitasvir 75/50/12.5 mg tablets once daily (in the morning) and one dasabuvir 250 mg tablet twice daily (morning and evening). The recommended dose of ribavirin depends on patient's body weight (&lt;</w:t>
      </w:r>
      <w:r w:rsidR="00B57980">
        <w:t xml:space="preserve"> </w:t>
      </w:r>
      <w:r w:rsidRPr="00435644">
        <w:t>75 kg = 1000 mg and ≥</w:t>
      </w:r>
      <w:r w:rsidR="00B57980">
        <w:t xml:space="preserve"> </w:t>
      </w:r>
      <w:r w:rsidRPr="00435644">
        <w:t>75 kg = 1200 mg), and should be taken with food in two doses (morning and evening). Daily dose may be adjusted down to 8</w:t>
      </w:r>
      <w:r w:rsidR="00661B33">
        <w:t>00 mg</w:t>
      </w:r>
      <w:r w:rsidRPr="00435644">
        <w:t>/day or 6</w:t>
      </w:r>
      <w:r w:rsidR="00661B33">
        <w:t>00 mg</w:t>
      </w:r>
      <w:r w:rsidRPr="00435644">
        <w:t>/day.</w:t>
      </w:r>
    </w:p>
    <w:p w:rsidR="00435644" w:rsidRPr="00841F04" w:rsidRDefault="00435644" w:rsidP="00435644">
      <w:r w:rsidRPr="00841F04">
        <w:t xml:space="preserve">The intended </w:t>
      </w:r>
      <w:r w:rsidR="00B57980" w:rsidRPr="00841F04">
        <w:t>presentations of the combination therapy pack provide</w:t>
      </w:r>
      <w:r w:rsidR="00B57980">
        <w:t xml:space="preserve"> a 28 day supply of each component.</w:t>
      </w:r>
    </w:p>
    <w:p w:rsidR="00E56F3B" w:rsidRDefault="00435644" w:rsidP="00E56F3B">
      <w:r w:rsidRPr="00841F04">
        <w:t>Two paritaprevir/ritonavir/ombitasvir 75/50/12.5 tablets and two dasabuvir (as sodium salt) 250</w:t>
      </w:r>
      <w:r w:rsidR="00661B33">
        <w:t xml:space="preserve"> </w:t>
      </w:r>
      <w:r w:rsidRPr="00841F04">
        <w:t>mg tablets are co-packaged within a PVC/PE/PCTFE (Aclar)/Al blister card within a cardb</w:t>
      </w:r>
      <w:r w:rsidR="00B57980">
        <w:t xml:space="preserve">oard ‘daily wallet’ providing 1 </w:t>
      </w:r>
      <w:r w:rsidRPr="00841F04">
        <w:t xml:space="preserve">day supply. The wallets are packaged into weekly boxes (7 wallets per box). Four weekly boxes are supplied in an outer carton. Aspects of this </w:t>
      </w:r>
      <w:r>
        <w:t>submission relating to the f</w:t>
      </w:r>
      <w:r w:rsidRPr="00A4362F">
        <w:t>ixed dosed combination paritaprevir</w:t>
      </w:r>
      <w:r>
        <w:t>/</w:t>
      </w:r>
      <w:r w:rsidRPr="00A4362F">
        <w:t>ritonavir</w:t>
      </w:r>
      <w:r>
        <w:t>/</w:t>
      </w:r>
      <w:r w:rsidRPr="00A4362F">
        <w:t xml:space="preserve">ombitasvir </w:t>
      </w:r>
      <w:r>
        <w:t xml:space="preserve">75/50/12.5 </w:t>
      </w:r>
      <w:r w:rsidRPr="00A4362F">
        <w:t xml:space="preserve">tablet </w:t>
      </w:r>
      <w:r>
        <w:t>and the dasabuvir (as sodium) 250</w:t>
      </w:r>
      <w:r w:rsidR="00661B33">
        <w:t> </w:t>
      </w:r>
      <w:r>
        <w:t>mg tablet</w:t>
      </w:r>
      <w:r w:rsidRPr="00526BBF">
        <w:t xml:space="preserve"> </w:t>
      </w:r>
      <w:r>
        <w:t>have been evaluated separately</w:t>
      </w:r>
      <w:r w:rsidRPr="00526BBF">
        <w:t xml:space="preserve"> </w:t>
      </w:r>
      <w:r>
        <w:t xml:space="preserve">as </w:t>
      </w:r>
      <w:r w:rsidRPr="00526BBF">
        <w:t>a current parallel submission (</w:t>
      </w:r>
      <w:r>
        <w:t xml:space="preserve">Submission no. </w:t>
      </w:r>
      <w:r w:rsidRPr="00526BBF">
        <w:t xml:space="preserve">PM-2014-01436-1-2) </w:t>
      </w:r>
      <w:r>
        <w:t xml:space="preserve">involving the registration of </w:t>
      </w:r>
      <w:r w:rsidRPr="00526BBF">
        <w:rPr>
          <w:szCs w:val="24"/>
        </w:rPr>
        <w:t>‘V</w:t>
      </w:r>
      <w:r w:rsidR="00B57980" w:rsidRPr="00526BBF">
        <w:rPr>
          <w:szCs w:val="24"/>
        </w:rPr>
        <w:t>iekira</w:t>
      </w:r>
      <w:r w:rsidRPr="00526BBF">
        <w:rPr>
          <w:szCs w:val="24"/>
        </w:rPr>
        <w:t xml:space="preserve"> P</w:t>
      </w:r>
      <w:r w:rsidR="00B57980" w:rsidRPr="00526BBF">
        <w:rPr>
          <w:szCs w:val="24"/>
        </w:rPr>
        <w:t>ak</w:t>
      </w:r>
      <w:r w:rsidRPr="00526BBF">
        <w:rPr>
          <w:szCs w:val="24"/>
        </w:rPr>
        <w:t>’</w:t>
      </w:r>
      <w:r>
        <w:rPr>
          <w:szCs w:val="24"/>
        </w:rPr>
        <w:t xml:space="preserve"> </w:t>
      </w:r>
      <w:r w:rsidRPr="00526BBF">
        <w:t xml:space="preserve">composite pack, </w:t>
      </w:r>
      <w:r>
        <w:t>which is identical</w:t>
      </w:r>
      <w:r w:rsidRPr="00526BBF">
        <w:t xml:space="preserve"> </w:t>
      </w:r>
      <w:r>
        <w:t xml:space="preserve">to the proposed </w:t>
      </w:r>
      <w:r w:rsidRPr="000E4BC5">
        <w:t>V</w:t>
      </w:r>
      <w:r w:rsidR="00B57980" w:rsidRPr="000E4BC5">
        <w:t>iekira</w:t>
      </w:r>
      <w:r w:rsidRPr="000E4BC5">
        <w:t xml:space="preserve"> P</w:t>
      </w:r>
      <w:r w:rsidR="00B57980" w:rsidRPr="000E4BC5">
        <w:t>ak</w:t>
      </w:r>
      <w:r w:rsidRPr="000E4BC5">
        <w:t>-RBV</w:t>
      </w:r>
      <w:r>
        <w:t xml:space="preserve"> pack, other than the inclusion of</w:t>
      </w:r>
      <w:r w:rsidR="00B57980">
        <w:t xml:space="preserve"> the ribavirin tablets</w:t>
      </w:r>
      <w:r w:rsidR="00E56F3B" w:rsidRPr="00435644">
        <w:t>.</w:t>
      </w:r>
    </w:p>
    <w:p w:rsidR="00435644" w:rsidRPr="00435644" w:rsidRDefault="00435644" w:rsidP="00435644">
      <w:r w:rsidRPr="00435644">
        <w:t>The 200</w:t>
      </w:r>
      <w:r w:rsidR="00661B33">
        <w:t xml:space="preserve"> </w:t>
      </w:r>
      <w:r w:rsidRPr="00435644">
        <w:t>mg ribavirin tablets are contained in HDPE bottles of 168 tablets.</w:t>
      </w:r>
    </w:p>
    <w:p w:rsidR="00435644" w:rsidRPr="00435644" w:rsidRDefault="00435644" w:rsidP="00435644">
      <w:r w:rsidRPr="00435644">
        <w:t>The 400</w:t>
      </w:r>
      <w:r w:rsidR="00661B33">
        <w:t xml:space="preserve"> </w:t>
      </w:r>
      <w:r w:rsidRPr="00435644">
        <w:t>mg ribavirin tablet are contained in HDPE bottles of 56 tablets or co-packaged with 600</w:t>
      </w:r>
      <w:r w:rsidR="00661B33">
        <w:t xml:space="preserve"> </w:t>
      </w:r>
      <w:r w:rsidRPr="00435644">
        <w:t>mg tablets in weekly PVC/PE/PCTFE (Aclar)/Al blister packs of 7 tablets each.</w:t>
      </w:r>
    </w:p>
    <w:p w:rsidR="00435644" w:rsidRPr="00435644" w:rsidRDefault="00435644" w:rsidP="00435644">
      <w:r w:rsidRPr="00435644">
        <w:t>The 600</w:t>
      </w:r>
      <w:r w:rsidR="00661B33">
        <w:t xml:space="preserve"> </w:t>
      </w:r>
      <w:r w:rsidRPr="00435644">
        <w:t>mg ribavirin tablet are contained in HDPE bottles of 56 tablets or in weekly PVC/PE/PCTFE (Aclar)/Al blister packs of 14 tablets</w:t>
      </w:r>
    </w:p>
    <w:p w:rsidR="00435644" w:rsidRPr="00435644" w:rsidRDefault="00435644" w:rsidP="00E56F3B">
      <w:r w:rsidRPr="00435644">
        <w:lastRenderedPageBreak/>
        <w:t>The proposed HDPE bottles have child–resistant PP closures.</w:t>
      </w:r>
    </w:p>
    <w:p w:rsidR="008E7846" w:rsidRPr="00435644" w:rsidRDefault="008E7846" w:rsidP="00940A89">
      <w:pPr>
        <w:pStyle w:val="Heading3"/>
      </w:pPr>
      <w:bookmarkStart w:id="29" w:name="_Toc480811553"/>
      <w:r w:rsidRPr="00435644">
        <w:t>Drug substance</w:t>
      </w:r>
      <w:r w:rsidR="00E56F3B" w:rsidRPr="00435644">
        <w:t>s</w:t>
      </w:r>
      <w:r w:rsidRPr="00435644">
        <w:t xml:space="preserve"> (active ingredient</w:t>
      </w:r>
      <w:r w:rsidR="00E56F3B" w:rsidRPr="00435644">
        <w:t>s</w:t>
      </w:r>
      <w:r w:rsidRPr="00435644">
        <w:t>)</w:t>
      </w:r>
      <w:bookmarkEnd w:id="27"/>
      <w:bookmarkEnd w:id="28"/>
      <w:bookmarkEnd w:id="29"/>
    </w:p>
    <w:p w:rsidR="00E56F3B" w:rsidRPr="00435644" w:rsidRDefault="00E56F3B" w:rsidP="00E56F3B">
      <w:pPr>
        <w:pStyle w:val="Heading4"/>
      </w:pPr>
      <w:r w:rsidRPr="00435644">
        <w:t>Ritonavir</w:t>
      </w:r>
    </w:p>
    <w:p w:rsidR="00E56F3B" w:rsidRPr="00435644" w:rsidRDefault="00286051" w:rsidP="0090503E">
      <w:pPr>
        <w:pStyle w:val="FigureTitle"/>
      </w:pPr>
      <w:r w:rsidRPr="00435644">
        <w:t>Figure 2</w:t>
      </w:r>
      <w:r w:rsidR="00913482" w:rsidRPr="00435644">
        <w:t>: Ritonavir structure</w:t>
      </w:r>
    </w:p>
    <w:p w:rsidR="008E7846" w:rsidRPr="00435644" w:rsidRDefault="00E56F3B" w:rsidP="00940A89">
      <w:r w:rsidRPr="00435644">
        <w:rPr>
          <w:noProof/>
          <w:lang w:eastAsia="en-AU"/>
        </w:rPr>
        <w:drawing>
          <wp:inline distT="0" distB="0" distL="0" distR="0" wp14:anchorId="26FEB41B" wp14:editId="14503FC3">
            <wp:extent cx="2647950" cy="1543050"/>
            <wp:effectExtent l="0" t="0" r="0" b="0"/>
            <wp:docPr id="1" name="Picture 1" descr="Figure 2: Ritonavi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7950" cy="1543050"/>
                    </a:xfrm>
                    <a:prstGeom prst="rect">
                      <a:avLst/>
                    </a:prstGeom>
                  </pic:spPr>
                </pic:pic>
              </a:graphicData>
            </a:graphic>
          </wp:inline>
        </w:drawing>
      </w:r>
    </w:p>
    <w:p w:rsidR="00E56F3B" w:rsidRPr="00435644" w:rsidRDefault="00E56F3B" w:rsidP="00E56F3B">
      <w:r w:rsidRPr="00435644">
        <w:t xml:space="preserve">Ritonavir is a potent CYP3A inhibitor which is included as a component of the </w:t>
      </w:r>
      <w:r w:rsidR="008B6F3C" w:rsidRPr="00435644">
        <w:t>paritaprevir</w:t>
      </w:r>
      <w:r w:rsidR="00913482" w:rsidRPr="00435644">
        <w:t xml:space="preserve"> / ritonavir / o</w:t>
      </w:r>
      <w:r w:rsidRPr="00435644">
        <w:t>mbitasvir 75/50/</w:t>
      </w:r>
      <w:r w:rsidR="00286051" w:rsidRPr="00435644">
        <w:t xml:space="preserve">12.5 mg </w:t>
      </w:r>
      <w:r w:rsidR="00913482" w:rsidRPr="00435644">
        <w:t>film coated</w:t>
      </w:r>
      <w:r w:rsidRPr="00435644">
        <w:t xml:space="preserve"> </w:t>
      </w:r>
      <w:r w:rsidR="00913482" w:rsidRPr="00435644">
        <w:t>fixed combination</w:t>
      </w:r>
      <w:r w:rsidRPr="00435644">
        <w:t xml:space="preserve"> tablets to increase the exposure of paritaprevir, since that antiviral agent is susceptible to first pass metabolism.</w:t>
      </w:r>
    </w:p>
    <w:p w:rsidR="00E56F3B" w:rsidRPr="00435644" w:rsidRDefault="00E56F3B" w:rsidP="00E56F3B">
      <w:r w:rsidRPr="00435644">
        <w:t>Ritonavir is used in several registered products (N</w:t>
      </w:r>
      <w:r w:rsidR="00913482" w:rsidRPr="00435644">
        <w:t>orvir</w:t>
      </w:r>
      <w:r w:rsidRPr="00435644">
        <w:t xml:space="preserve"> tablets, AUST R 158301 and K</w:t>
      </w:r>
      <w:r w:rsidR="00913482" w:rsidRPr="00435644">
        <w:t>aletra</w:t>
      </w:r>
      <w:r w:rsidRPr="00435644">
        <w:t xml:space="preserve"> lopinavir and ritonavir combination tablets, AUST</w:t>
      </w:r>
      <w:r w:rsidR="00286051" w:rsidRPr="00435644">
        <w:t xml:space="preserve"> R 121055 and</w:t>
      </w:r>
      <w:r w:rsidRPr="00435644">
        <w:t xml:space="preserve"> 140509). There is a BP/EP monograph for the drug substance.</w:t>
      </w:r>
    </w:p>
    <w:p w:rsidR="00E56F3B" w:rsidRPr="00435644" w:rsidRDefault="00E56F3B" w:rsidP="00E56F3B">
      <w:r w:rsidRPr="00435644">
        <w:t xml:space="preserve">Ritonavir is a white or almost white powder exhibiting pH-dependent solubility ranging from ‘very slightly soluble’ in 0.1 N HCl (510 </w:t>
      </w:r>
      <w:r w:rsidR="00913482" w:rsidRPr="00435644">
        <w:t>µ</w:t>
      </w:r>
      <w:r w:rsidRPr="00435644">
        <w:t>g/mL) to ‘prac</w:t>
      </w:r>
      <w:r w:rsidR="00913482" w:rsidRPr="00435644">
        <w:t xml:space="preserve">tically insoluble’ at pH </w:t>
      </w:r>
      <w:r w:rsidR="000C3156" w:rsidRPr="00435644">
        <w:t xml:space="preserve">≥ </w:t>
      </w:r>
      <w:r w:rsidR="00913482" w:rsidRPr="00435644">
        <w:t>4 (2 µg</w:t>
      </w:r>
      <w:r w:rsidRPr="00435644">
        <w:t>/mL). Ritonavir is considered to be a BCS Class IV compound (low solubility, low permeability).</w:t>
      </w:r>
    </w:p>
    <w:p w:rsidR="00E56F3B" w:rsidRPr="00435644" w:rsidRDefault="00E56F3B" w:rsidP="00E56F3B">
      <w:r w:rsidRPr="00435644">
        <w:t>The company has not provided any details of manufacture or quality control with this submission but provided an assurance that all aspects are identical to those approved for the above N</w:t>
      </w:r>
      <w:r w:rsidR="00913482" w:rsidRPr="00435644">
        <w:t>orvir</w:t>
      </w:r>
      <w:r w:rsidRPr="00435644">
        <w:t xml:space="preserve"> tablets.</w:t>
      </w:r>
    </w:p>
    <w:p w:rsidR="00E56F3B" w:rsidRPr="00435644" w:rsidRDefault="00E56F3B" w:rsidP="00E56F3B">
      <w:r w:rsidRPr="00435644">
        <w:t>Ritonavir has four chiral centres, and is chirally pure.</w:t>
      </w:r>
    </w:p>
    <w:p w:rsidR="00E56F3B" w:rsidRPr="00435644" w:rsidRDefault="00E56F3B" w:rsidP="00E56F3B">
      <w:r w:rsidRPr="00435644">
        <w:t xml:space="preserve">The proposed drug substance specifications include all of the </w:t>
      </w:r>
      <w:r w:rsidR="00913482" w:rsidRPr="00435644">
        <w:t>requirements</w:t>
      </w:r>
      <w:r w:rsidRPr="00435644">
        <w:t xml:space="preserve"> of the BP/EP monograph with additional tests and limits for solution clarity, colour, identity and residual solvents. These are considered adequate to ensure the quality and consistency of manufacture of the finished product.</w:t>
      </w:r>
    </w:p>
    <w:p w:rsidR="00E56F3B" w:rsidRPr="00435644" w:rsidRDefault="00913482" w:rsidP="00913482">
      <w:pPr>
        <w:pStyle w:val="Heading4"/>
      </w:pPr>
      <w:r w:rsidRPr="00435644">
        <w:t>Paritaprevir</w:t>
      </w:r>
    </w:p>
    <w:p w:rsidR="00E56F3B" w:rsidRPr="00435644" w:rsidRDefault="00E56F3B" w:rsidP="00E56F3B">
      <w:r w:rsidRPr="00435644">
        <w:t xml:space="preserve">Paritaprevir is a </w:t>
      </w:r>
      <w:r w:rsidR="00913482" w:rsidRPr="00435644">
        <w:t>direct acting</w:t>
      </w:r>
      <w:r w:rsidRPr="00435644">
        <w:t xml:space="preserve"> antiviral agent that inhi</w:t>
      </w:r>
      <w:r w:rsidR="00286051" w:rsidRPr="00435644">
        <w:t>bits</w:t>
      </w:r>
      <w:r w:rsidR="002D05D0" w:rsidRPr="00435644">
        <w:t xml:space="preserve"> NS</w:t>
      </w:r>
      <w:r w:rsidR="00913482" w:rsidRPr="00435644">
        <w:t>3/4A</w:t>
      </w:r>
      <w:r w:rsidR="0090503E">
        <w:t xml:space="preserve"> </w:t>
      </w:r>
      <w:r w:rsidRPr="00435644">
        <w:t>protease which is necessary for the proteolytic cleavage of the HCV encoded polyprotein (into mature forms of the NS3, NS4A, NS4B, NS5A, and NS5B proteins) and is essential for viral replication. Paritaprevir is susceptible to first pass metabolism, so ritonavir (a potent CYP3A inhibitor), is included to increase exposure of paritaprevir.</w:t>
      </w:r>
    </w:p>
    <w:p w:rsidR="00E56F3B" w:rsidRPr="00435644" w:rsidRDefault="00286051" w:rsidP="00E56F3B">
      <w:pPr>
        <w:pStyle w:val="FigureTitle"/>
      </w:pPr>
      <w:r w:rsidRPr="00435644">
        <w:lastRenderedPageBreak/>
        <w:t>Figure 3:</w:t>
      </w:r>
      <w:r w:rsidR="00E56F3B" w:rsidRPr="00435644">
        <w:t xml:space="preserve"> </w:t>
      </w:r>
      <w:r w:rsidRPr="00435644">
        <w:t>P</w:t>
      </w:r>
      <w:r w:rsidR="00E56F3B" w:rsidRPr="00435644">
        <w:t>aritaprevir. Dihydrate form</w:t>
      </w:r>
    </w:p>
    <w:p w:rsidR="00E56F3B" w:rsidRPr="00435644" w:rsidRDefault="00E56F3B" w:rsidP="00E56F3B">
      <w:r w:rsidRPr="00435644">
        <w:rPr>
          <w:noProof/>
          <w:lang w:eastAsia="en-AU"/>
        </w:rPr>
        <w:drawing>
          <wp:inline distT="0" distB="0" distL="0" distR="0" wp14:anchorId="65AAC80C" wp14:editId="63C954A4">
            <wp:extent cx="3201039" cy="1909267"/>
            <wp:effectExtent l="0" t="0" r="0" b="0"/>
            <wp:docPr id="2" name="Picture 2" descr="Figure 3: Paritaprevir. Dihydr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6900" cy="1906798"/>
                    </a:xfrm>
                    <a:prstGeom prst="rect">
                      <a:avLst/>
                    </a:prstGeom>
                  </pic:spPr>
                </pic:pic>
              </a:graphicData>
            </a:graphic>
          </wp:inline>
        </w:drawing>
      </w:r>
    </w:p>
    <w:p w:rsidR="00E56F3B" w:rsidRPr="00435644" w:rsidRDefault="00E56F3B" w:rsidP="00E56F3B">
      <w:r w:rsidRPr="00435644">
        <w:t>Paritaprevir dihydrate is a white to off-white powder which is practically insoluble in water (</w:t>
      </w:r>
      <w:r w:rsidR="00926A16" w:rsidRPr="00435644">
        <w:t xml:space="preserve">&lt; </w:t>
      </w:r>
      <w:r w:rsidRPr="00435644">
        <w:t xml:space="preserve">0.09 </w:t>
      </w:r>
      <w:r w:rsidR="00913482" w:rsidRPr="00435644">
        <w:t>µg</w:t>
      </w:r>
      <w:r w:rsidRPr="00435644">
        <w:t>/mL). It exhibits moderate membrane permeability and is likely to be a BCS</w:t>
      </w:r>
      <w:r w:rsidR="00286051" w:rsidRPr="00435644">
        <w:rPr>
          <w:rStyle w:val="FootnoteReference"/>
        </w:rPr>
        <w:footnoteReference w:id="2"/>
      </w:r>
      <w:r w:rsidRPr="00435644">
        <w:t xml:space="preserve"> Class IV compound (low</w:t>
      </w:r>
      <w:r w:rsidR="00286051" w:rsidRPr="00435644">
        <w:t xml:space="preserve"> solubility, low permeability).</w:t>
      </w:r>
    </w:p>
    <w:p w:rsidR="00E56F3B" w:rsidRPr="00435644" w:rsidRDefault="00E56F3B" w:rsidP="00E56F3B">
      <w:r w:rsidRPr="00435644">
        <w:t>It is consistently manufactured in ‘Form II’, a variable stoichiometry hydrate, nominally designated as a dihydrate, which undergoes dehydration (desolvation) followed by conversion to amorphous state at about 140°C. During manufacture of the finished product, paritaprevir is converted to a glassy amorphous state whereby it is dispersed into a polymer/surfactant matrix by ‘hot melt extrusion’ to form a transparent extrudate which enhances its solubi</w:t>
      </w:r>
      <w:r w:rsidR="00286051" w:rsidRPr="00435644">
        <w:t>lity and hence bioavailability.</w:t>
      </w:r>
    </w:p>
    <w:p w:rsidR="00E56F3B" w:rsidRPr="00435644" w:rsidRDefault="00E56F3B" w:rsidP="00E56F3B">
      <w:r w:rsidRPr="00435644">
        <w:t xml:space="preserve">Since the drug substance is </w:t>
      </w:r>
      <w:r w:rsidR="00A37690">
        <w:t>converted to an amorphous solid dispersion</w:t>
      </w:r>
      <w:r w:rsidR="008A10AC">
        <w:t xml:space="preserve"> </w:t>
      </w:r>
      <w:r w:rsidRPr="00435644">
        <w:t>during finished product manufacture</w:t>
      </w:r>
      <w:r w:rsidR="00265158">
        <w:t>.</w:t>
      </w:r>
      <w:r w:rsidRPr="00435644">
        <w:t xml:space="preserve"> Paritaprevir has five chiral centres, and is chirally pure.</w:t>
      </w:r>
    </w:p>
    <w:p w:rsidR="00E56F3B" w:rsidRPr="00435644" w:rsidRDefault="00E56F3B" w:rsidP="00E56F3B">
      <w:r w:rsidRPr="00435644">
        <w:t xml:space="preserve">The proposed drug substance specifications comply with TGA requirements and are </w:t>
      </w:r>
      <w:r w:rsidR="005E1C1A">
        <w:t>.</w:t>
      </w:r>
      <w:r w:rsidRPr="00435644">
        <w:t>considered adequate to ensure the quality and consistency of manufact</w:t>
      </w:r>
      <w:r w:rsidR="00286051" w:rsidRPr="00435644">
        <w:t>ure of the finished product.</w:t>
      </w:r>
    </w:p>
    <w:p w:rsidR="00E56F3B" w:rsidRPr="00435644" w:rsidRDefault="00E56F3B" w:rsidP="00E56F3B">
      <w:pPr>
        <w:pStyle w:val="Heading4"/>
      </w:pPr>
      <w:r w:rsidRPr="00435644">
        <w:t>Ombitasvir (NCE)</w:t>
      </w:r>
    </w:p>
    <w:p w:rsidR="00E56F3B" w:rsidRPr="00435644" w:rsidRDefault="00E56F3B" w:rsidP="00E56F3B">
      <w:r w:rsidRPr="00435644">
        <w:t xml:space="preserve">Ombitasvir is a </w:t>
      </w:r>
      <w:r w:rsidR="00913482" w:rsidRPr="00435644">
        <w:t>direct acting</w:t>
      </w:r>
      <w:r w:rsidRPr="00435644">
        <w:t xml:space="preserve"> antiviral agent which inhibits nonstructural protein </w:t>
      </w:r>
      <w:r w:rsidR="00F573D0" w:rsidRPr="00435644">
        <w:t>HCV NS5A which plays a key role</w:t>
      </w:r>
      <w:r w:rsidRPr="00435644">
        <w:t xml:space="preserve"> in RNA replication in </w:t>
      </w:r>
      <w:r w:rsidR="00E458BE" w:rsidRPr="00435644">
        <w:t>HCV</w:t>
      </w:r>
      <w:r w:rsidR="00286051" w:rsidRPr="00435644">
        <w:t>.</w:t>
      </w:r>
    </w:p>
    <w:p w:rsidR="00E56F3B" w:rsidRPr="00435644" w:rsidRDefault="00286051" w:rsidP="00E56F3B">
      <w:pPr>
        <w:pStyle w:val="FigureTitle"/>
      </w:pPr>
      <w:r w:rsidRPr="00435644">
        <w:t>Figure 4:</w:t>
      </w:r>
      <w:r w:rsidR="00E56F3B" w:rsidRPr="00435644">
        <w:t xml:space="preserve"> Ombitasvir (hydrate form)</w:t>
      </w:r>
    </w:p>
    <w:p w:rsidR="00E56F3B" w:rsidRPr="00435644" w:rsidRDefault="00E56F3B" w:rsidP="00E56F3B">
      <w:r w:rsidRPr="00435644">
        <w:rPr>
          <w:noProof/>
          <w:lang w:eastAsia="en-AU"/>
        </w:rPr>
        <w:drawing>
          <wp:inline distT="0" distB="0" distL="0" distR="0" wp14:anchorId="3DC10114" wp14:editId="30532C84">
            <wp:extent cx="3884371" cy="1733027"/>
            <wp:effectExtent l="0" t="0" r="1905" b="635"/>
            <wp:docPr id="3" name="Picture 3" descr="Figure 4: Ombitasvir (hydr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85443" cy="1733505"/>
                    </a:xfrm>
                    <a:prstGeom prst="rect">
                      <a:avLst/>
                    </a:prstGeom>
                  </pic:spPr>
                </pic:pic>
              </a:graphicData>
            </a:graphic>
          </wp:inline>
        </w:drawing>
      </w:r>
    </w:p>
    <w:p w:rsidR="00E56F3B" w:rsidRPr="00435644" w:rsidRDefault="00E56F3B" w:rsidP="00E56F3B">
      <w:r w:rsidRPr="00435644">
        <w:t xml:space="preserve">Ombitasvir hydrate is a white to off-white powder which is practically insoluble in water (0.01 </w:t>
      </w:r>
      <w:proofErr w:type="gramStart"/>
      <w:r w:rsidRPr="00435644">
        <w:t xml:space="preserve">to 0.5 </w:t>
      </w:r>
      <w:r w:rsidR="00913482" w:rsidRPr="00435644">
        <w:t>µg</w:t>
      </w:r>
      <w:r w:rsidRPr="00435644">
        <w:t>/mL</w:t>
      </w:r>
      <w:proofErr w:type="gramEnd"/>
      <w:r w:rsidRPr="00435644">
        <w:t>; over the physiological pH range). It exhibits low/moderate membrane permeability and is likely to be a BCS Class IV compound (low</w:t>
      </w:r>
      <w:r w:rsidR="00286051" w:rsidRPr="00435644">
        <w:t xml:space="preserve"> solubility, low permeability).</w:t>
      </w:r>
    </w:p>
    <w:p w:rsidR="00E56F3B" w:rsidRPr="00435644" w:rsidRDefault="00E56F3B" w:rsidP="00E56F3B">
      <w:r w:rsidRPr="00435644">
        <w:lastRenderedPageBreak/>
        <w:t>It is consistently manufactured in ‘Form I’, a variable stoichiometry hydrate, nominally designated as a 4.5 hydrate, which undergoes dehydration followed by conversion to amorphous state (Form II) prior to melting at about 157°</w:t>
      </w:r>
      <w:r w:rsidR="00286051" w:rsidRPr="00435644">
        <w:t xml:space="preserve"> </w:t>
      </w:r>
      <w:r w:rsidRPr="00435644">
        <w:t>C. During manufacture of the finished product, ombitasvir is converted to a glassy amorphous state whereby it is dispersed into a polymer/surfactant matrix by ‘hot melt extrusion’ to form a transparent extrudate which enhances its solubility and hence bioavailability.</w:t>
      </w:r>
    </w:p>
    <w:p w:rsidR="00E56F3B" w:rsidRPr="00435644" w:rsidRDefault="00E56F3B" w:rsidP="00E56F3B">
      <w:r w:rsidRPr="00435644">
        <w:t xml:space="preserve">Since the drug substance is </w:t>
      </w:r>
      <w:r w:rsidR="00A37690">
        <w:t xml:space="preserve">converted to an amorphous solid dispersion </w:t>
      </w:r>
      <w:r w:rsidRPr="00435644">
        <w:t>during finished product manufacture, particle size is not critic</w:t>
      </w:r>
      <w:r w:rsidR="00286051" w:rsidRPr="00435644">
        <w:t xml:space="preserve">al and is not routinely tested. </w:t>
      </w:r>
      <w:r w:rsidRPr="00435644">
        <w:t>Ombitasvir has six chiral centres, and is chirally pure.</w:t>
      </w:r>
    </w:p>
    <w:p w:rsidR="00E56F3B" w:rsidRPr="00435644" w:rsidRDefault="00E56F3B" w:rsidP="00E56F3B">
      <w:r w:rsidRPr="00435644">
        <w:t>The proposed drug substance specifications comply with TGA requirements and are considered adequate to ensure the quality and consistency of manuf</w:t>
      </w:r>
      <w:r w:rsidR="00286051" w:rsidRPr="00435644">
        <w:t>acture of the finished product.</w:t>
      </w:r>
    </w:p>
    <w:p w:rsidR="00E56F3B" w:rsidRPr="00435644" w:rsidRDefault="00E56F3B" w:rsidP="00E56F3B">
      <w:pPr>
        <w:pStyle w:val="Heading4"/>
      </w:pPr>
      <w:r w:rsidRPr="00435644">
        <w:t>Dasabuvir sodium</w:t>
      </w:r>
    </w:p>
    <w:p w:rsidR="00E56F3B" w:rsidRPr="00435644" w:rsidRDefault="00E56F3B" w:rsidP="00E56F3B">
      <w:r w:rsidRPr="00435644">
        <w:t xml:space="preserve">Dasabuvir is a </w:t>
      </w:r>
      <w:r w:rsidR="00913482" w:rsidRPr="00435644">
        <w:t>direct acting</w:t>
      </w:r>
      <w:r w:rsidRPr="00435644">
        <w:t xml:space="preserve"> antiviral agent which is a non-nucleoside inhibitor of the HCV RNA-dependent RNA polym</w:t>
      </w:r>
      <w:r w:rsidR="00286051" w:rsidRPr="00435644">
        <w:t>erase encoded by the NS5B gene.</w:t>
      </w:r>
    </w:p>
    <w:p w:rsidR="0029130E" w:rsidRPr="00435644" w:rsidRDefault="00286051" w:rsidP="0029130E">
      <w:pPr>
        <w:pStyle w:val="FigureTitle"/>
      </w:pPr>
      <w:r w:rsidRPr="00435644">
        <w:t>Figure 5: D</w:t>
      </w:r>
      <w:r w:rsidR="0029130E" w:rsidRPr="00435644">
        <w:t>asabuvir sodium (monohydrate)</w:t>
      </w:r>
    </w:p>
    <w:p w:rsidR="00E56F3B" w:rsidRPr="00435644" w:rsidRDefault="0029130E" w:rsidP="0029130E">
      <w:r w:rsidRPr="00435644">
        <w:rPr>
          <w:noProof/>
          <w:lang w:eastAsia="en-AU"/>
        </w:rPr>
        <w:drawing>
          <wp:inline distT="0" distB="0" distL="0" distR="0" wp14:anchorId="01DF8C0A" wp14:editId="780C0511">
            <wp:extent cx="3019425" cy="1981200"/>
            <wp:effectExtent l="0" t="0" r="9525" b="0"/>
            <wp:docPr id="4" name="Picture 4" descr="Figure 5: Dasabuvir sodium (mono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9425" cy="1981200"/>
                    </a:xfrm>
                    <a:prstGeom prst="rect">
                      <a:avLst/>
                    </a:prstGeom>
                  </pic:spPr>
                </pic:pic>
              </a:graphicData>
            </a:graphic>
          </wp:inline>
        </w:drawing>
      </w:r>
    </w:p>
    <w:p w:rsidR="0029130E" w:rsidRPr="00435644" w:rsidRDefault="0029130E" w:rsidP="0029130E">
      <w:r w:rsidRPr="00435644">
        <w:t>Dasabuvir sodium monohydrate is a non-hygroscopic white to off-white or pinkish powder which is sli</w:t>
      </w:r>
      <w:r w:rsidR="00286051" w:rsidRPr="00435644">
        <w:t xml:space="preserve">ghtly soluble in water, with pH </w:t>
      </w:r>
      <w:r w:rsidRPr="00435644">
        <w:t>dependent</w:t>
      </w:r>
      <w:r w:rsidR="00286051" w:rsidRPr="00435644">
        <w:t xml:space="preserve"> solubility over the pH range 1 to 11 (0.0001 to </w:t>
      </w:r>
      <w:r w:rsidRPr="00435644">
        <w:t>1 mg/mL). It exhibits high membrane permeability and is likely to be a BCS Class II compound (low solubility, high permeability).</w:t>
      </w:r>
    </w:p>
    <w:p w:rsidR="0029130E" w:rsidRPr="00435644" w:rsidRDefault="0029130E" w:rsidP="0029130E">
      <w:r w:rsidRPr="00435644">
        <w:t>It is consistently manufactured in the monohydrate for</w:t>
      </w:r>
      <w:r w:rsidR="00286051" w:rsidRPr="00435644">
        <w:t xml:space="preserve">m of the sodium salt ‘Form I’. </w:t>
      </w:r>
      <w:r w:rsidRPr="00435644">
        <w:t>Dasabuvir is achiral and has pKa’s of 8.2 and 9.2.</w:t>
      </w:r>
    </w:p>
    <w:p w:rsidR="0029130E" w:rsidRDefault="0029130E" w:rsidP="0029130E">
      <w:r w:rsidRPr="00435644">
        <w:t>The proposed drug substance specifications comply with TGA requirements and are considered adequate to ensure the quality and consistency of manufacture of the finished product. The specifications include adequate control on particle size distribution and crystal form.</w:t>
      </w:r>
    </w:p>
    <w:p w:rsidR="00435644" w:rsidRDefault="00435644" w:rsidP="00435644">
      <w:pPr>
        <w:pStyle w:val="Heading4"/>
      </w:pPr>
      <w:bookmarkStart w:id="30" w:name="_Toc247691508"/>
      <w:bookmarkStart w:id="31" w:name="_Toc314842490"/>
      <w:r>
        <w:lastRenderedPageBreak/>
        <w:t>Ribavirin</w:t>
      </w:r>
    </w:p>
    <w:p w:rsidR="00435644" w:rsidRDefault="00435644" w:rsidP="000160C5">
      <w:pPr>
        <w:pStyle w:val="FigureTitle"/>
      </w:pPr>
      <w:r>
        <w:t xml:space="preserve">Figure </w:t>
      </w:r>
      <w:r w:rsidR="004D59A3">
        <w:t>6: Diagram of ribavirin</w:t>
      </w:r>
    </w:p>
    <w:p w:rsidR="000160C5" w:rsidRDefault="000160C5" w:rsidP="000160C5">
      <w:r>
        <w:rPr>
          <w:noProof/>
          <w:lang w:eastAsia="en-AU"/>
        </w:rPr>
        <w:drawing>
          <wp:inline distT="0" distB="0" distL="0" distR="0" wp14:anchorId="002B482E" wp14:editId="177CBF71">
            <wp:extent cx="2895600" cy="1885950"/>
            <wp:effectExtent l="0" t="0" r="0" b="0"/>
            <wp:docPr id="46" name="Picture 46" descr="Figure 6: Diagram of ribav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5600" cy="1885950"/>
                    </a:xfrm>
                    <a:prstGeom prst="rect">
                      <a:avLst/>
                    </a:prstGeom>
                  </pic:spPr>
                </pic:pic>
              </a:graphicData>
            </a:graphic>
          </wp:inline>
        </w:drawing>
      </w:r>
    </w:p>
    <w:p w:rsidR="000160C5" w:rsidRPr="000160C5" w:rsidRDefault="000160C5" w:rsidP="000160C5">
      <w:r w:rsidRPr="000160C5">
        <w:t xml:space="preserve">Ribavirin is a synthetic nucleoside </w:t>
      </w:r>
      <w:r w:rsidR="004D59A3" w:rsidRPr="000160C5">
        <w:t>analogue</w:t>
      </w:r>
      <w:r w:rsidRPr="000160C5">
        <w:t xml:space="preserve"> that shows in vitro activity against some RNA and DNA viruses. The mechanism by which ribavirin in combination with peg-interferon alfa-2a or interferon alfa-2a exerts its effects against HCV is unknown.</w:t>
      </w:r>
    </w:p>
    <w:p w:rsidR="000160C5" w:rsidRPr="000160C5" w:rsidRDefault="000160C5" w:rsidP="000160C5">
      <w:r w:rsidRPr="000160C5">
        <w:t>Ribavirin is used in several registered products, (</w:t>
      </w:r>
      <w:r w:rsidR="00661B33">
        <w:t>for example</w:t>
      </w:r>
      <w:r w:rsidRPr="000160C5">
        <w:t xml:space="preserve"> C</w:t>
      </w:r>
      <w:r w:rsidR="00661B33" w:rsidRPr="00661B33">
        <w:t>opegus</w:t>
      </w:r>
      <w:r w:rsidRPr="000160C5">
        <w:t xml:space="preserve"> ribavirin 200</w:t>
      </w:r>
      <w:r w:rsidR="00661B33">
        <w:t xml:space="preserve"> </w:t>
      </w:r>
      <w:r w:rsidRPr="000160C5">
        <w:t>mg tablets). There is a BP/EP monograph for the drug substance.</w:t>
      </w:r>
    </w:p>
    <w:p w:rsidR="000160C5" w:rsidRPr="000160C5" w:rsidRDefault="000160C5" w:rsidP="000160C5">
      <w:r w:rsidRPr="000160C5">
        <w:t>Ribavirin is a white or almost white crystalline powder which is freely soluble in water and slightly soluble in ethanol. Its high solubility indicates that particle size is unlikely to affect dissolution perfo</w:t>
      </w:r>
      <w:r w:rsidR="00661B33">
        <w:t>rmance of the finished product.</w:t>
      </w:r>
    </w:p>
    <w:p w:rsidR="000160C5" w:rsidRPr="000160C5" w:rsidRDefault="000160C5" w:rsidP="000160C5">
      <w:r w:rsidRPr="000160C5">
        <w:t>Ribavirin has four chiral</w:t>
      </w:r>
      <w:r w:rsidR="00661B33">
        <w:t xml:space="preserve"> centres, and is chirally pure.</w:t>
      </w:r>
    </w:p>
    <w:p w:rsidR="000160C5" w:rsidRPr="000160C5" w:rsidRDefault="000160C5" w:rsidP="000160C5">
      <w:r w:rsidRPr="000160C5">
        <w:t xml:space="preserve">Ribavirin can exist in two polymorphic forms (V1 and V2), which have different melting points, X-ray powder diffraction patterns, and IR spectra. Routine IR and MP tests for the drug substance ensure the correct polymorph, although it is noted that their aqueous solubilities are both high (1g dissolves in </w:t>
      </w:r>
      <w:r w:rsidR="00661B33">
        <w:t xml:space="preserve">approximately </w:t>
      </w:r>
      <w:r w:rsidRPr="000160C5">
        <w:t>9.5</w:t>
      </w:r>
      <w:r w:rsidR="00661B33">
        <w:t xml:space="preserve"> </w:t>
      </w:r>
      <w:r w:rsidRPr="000160C5">
        <w:t>mL water).</w:t>
      </w:r>
    </w:p>
    <w:p w:rsidR="000160C5" w:rsidRPr="000160C5" w:rsidRDefault="000160C5" w:rsidP="000160C5">
      <w:r w:rsidRPr="000160C5">
        <w:t>The proposed drug substance specifications include all of the requirements of the BP/EP monograph with additional tests and limits for residual solvents and melting point. These are considered adequate to ensure the quality and consistency of manufacture of the finished product.</w:t>
      </w:r>
    </w:p>
    <w:p w:rsidR="008E7846" w:rsidRDefault="008E7846" w:rsidP="008E7846">
      <w:pPr>
        <w:pStyle w:val="Heading3"/>
      </w:pPr>
      <w:bookmarkStart w:id="32" w:name="_Toc480811554"/>
      <w:r w:rsidRPr="008751DC">
        <w:t xml:space="preserve">Drug </w:t>
      </w:r>
      <w:r>
        <w:t>p</w:t>
      </w:r>
      <w:r w:rsidRPr="008751DC">
        <w:t>roduct</w:t>
      </w:r>
      <w:bookmarkEnd w:id="30"/>
      <w:bookmarkEnd w:id="31"/>
      <w:bookmarkEnd w:id="32"/>
    </w:p>
    <w:p w:rsidR="0029130E" w:rsidRPr="0029130E" w:rsidRDefault="0029130E" w:rsidP="0029130E">
      <w:pPr>
        <w:pStyle w:val="Heading4"/>
      </w:pPr>
      <w:r w:rsidRPr="0029130E">
        <w:t>Drug Product 1</w:t>
      </w:r>
      <w:bookmarkStart w:id="33" w:name="_Toc406059981"/>
      <w:r>
        <w:t xml:space="preserve">; </w:t>
      </w:r>
      <w:r w:rsidR="008B6F3C">
        <w:t>paritaprevir</w:t>
      </w:r>
      <w:r w:rsidR="00286051">
        <w:t>/ ritonavir/ o</w:t>
      </w:r>
      <w:r w:rsidRPr="0029130E">
        <w:t>mbitasvir 75/50/</w:t>
      </w:r>
      <w:r w:rsidR="00286051">
        <w:t xml:space="preserve">12.5 mg </w:t>
      </w:r>
      <w:r w:rsidR="00913482">
        <w:t>film coated</w:t>
      </w:r>
      <w:r w:rsidRPr="0029130E">
        <w:t xml:space="preserve"> </w:t>
      </w:r>
      <w:r w:rsidR="00913482">
        <w:t>fixed combination</w:t>
      </w:r>
      <w:r w:rsidRPr="0029130E">
        <w:t xml:space="preserve"> tablets</w:t>
      </w:r>
      <w:bookmarkEnd w:id="33"/>
    </w:p>
    <w:p w:rsidR="0029130E" w:rsidRPr="0029130E" w:rsidRDefault="0029130E" w:rsidP="0029130E">
      <w:r w:rsidRPr="0029130E">
        <w:t xml:space="preserve">The first component of proposed </w:t>
      </w:r>
      <w:r w:rsidR="008B6F3C">
        <w:t>Viekira Pak</w:t>
      </w:r>
      <w:r w:rsidRPr="0029130E">
        <w:t xml:space="preserve"> combination therapy is a fixed dosed combination </w:t>
      </w:r>
      <w:r w:rsidR="00913482">
        <w:t>film coated</w:t>
      </w:r>
      <w:r w:rsidRPr="0029130E">
        <w:t xml:space="preserve"> tablet comprising of </w:t>
      </w:r>
      <w:r w:rsidR="00286051">
        <w:t>75 mg</w:t>
      </w:r>
      <w:r w:rsidRPr="0029130E">
        <w:t xml:space="preserve"> paritaprevir, </w:t>
      </w:r>
      <w:r w:rsidR="00286051">
        <w:t>50 mg</w:t>
      </w:r>
      <w:r w:rsidRPr="0029130E">
        <w:t xml:space="preserve"> ritonavir and </w:t>
      </w:r>
      <w:r w:rsidR="00286051">
        <w:t xml:space="preserve">12.5 mg </w:t>
      </w:r>
      <w:r w:rsidRPr="0029130E">
        <w:t>ombitasvir. The proposed tablets are pink‐coloured, film‐coated, oblong, biconvex shaped, debossed with “AV1” on one side.</w:t>
      </w:r>
    </w:p>
    <w:p w:rsidR="0029130E" w:rsidRPr="0029130E" w:rsidRDefault="0029130E" w:rsidP="0029130E">
      <w:r w:rsidRPr="0029130E">
        <w:t xml:space="preserve">The tablet is comprised of three ‘extrudate’ intermediates which are milled, blended, and compressed to form the final tablet. These ‘extrudate’ intermediates are amorphous solid dispersions of each drug substance in polymer/surfactant matrices, manufactured by hot-melt extrusion (HME). Amorphous solid dispersions are stated to be an effective method to improve the oral absorption of poorly soluble drugs. This improvement is apparently based on the ability to form and sustain supersaturated solutions of the amorphous drug compared </w:t>
      </w:r>
      <w:r w:rsidR="00286051">
        <w:t>to the crystalline counterpart.</w:t>
      </w:r>
    </w:p>
    <w:p w:rsidR="0029130E" w:rsidRPr="0029130E" w:rsidRDefault="0029130E" w:rsidP="0029130E">
      <w:r w:rsidRPr="0029130E">
        <w:lastRenderedPageBreak/>
        <w:t xml:space="preserve">The three </w:t>
      </w:r>
      <w:r w:rsidR="00A37690">
        <w:t xml:space="preserve">amorphous drug substances are incorporated into solid dispersions composed of a </w:t>
      </w:r>
      <w:r w:rsidRPr="0029130E">
        <w:t>polymer/surfactant matrix using some or all of the following excipients:</w:t>
      </w:r>
    </w:p>
    <w:p w:rsidR="0029130E" w:rsidRPr="0029130E" w:rsidRDefault="0029130E" w:rsidP="0029130E">
      <w:pPr>
        <w:pStyle w:val="ListBullet"/>
      </w:pPr>
      <w:r w:rsidRPr="0029130E">
        <w:t>copovidone (polymer; used in all extrudate int</w:t>
      </w:r>
      <w:r w:rsidR="00286051">
        <w:t>ermediates)</w:t>
      </w:r>
    </w:p>
    <w:p w:rsidR="0029130E" w:rsidRPr="0029130E" w:rsidRDefault="0029130E" w:rsidP="0029130E">
      <w:pPr>
        <w:pStyle w:val="ListBullet"/>
      </w:pPr>
      <w:r w:rsidRPr="0029130E">
        <w:t>Vitamin E polyethylene glycol succinate (surfactant/ plasticiser/antioxidant; used in paritaprevir and ombit</w:t>
      </w:r>
      <w:r w:rsidR="00286051">
        <w:t>asvir extrudate intermediates)</w:t>
      </w:r>
    </w:p>
    <w:p w:rsidR="0029130E" w:rsidRPr="0029130E" w:rsidRDefault="0029130E" w:rsidP="0029130E">
      <w:pPr>
        <w:pStyle w:val="ListBullet"/>
      </w:pPr>
      <w:r w:rsidRPr="0029130E">
        <w:t>propylene glycol monolaurate (plasticiser/surfactant; used in paritaprevir extrudate intermediate onl</w:t>
      </w:r>
      <w:r w:rsidR="00286051">
        <w:t>y)</w:t>
      </w:r>
    </w:p>
    <w:p w:rsidR="0029130E" w:rsidRPr="0029130E" w:rsidRDefault="0029130E" w:rsidP="0029130E">
      <w:pPr>
        <w:pStyle w:val="ListBullet"/>
      </w:pPr>
      <w:r w:rsidRPr="0029130E">
        <w:t>sorbitan monolaurate (plasticiser/surfactant; used in ritonavir extrudate intermediate only) and</w:t>
      </w:r>
    </w:p>
    <w:p w:rsidR="0029130E" w:rsidRPr="0029130E" w:rsidRDefault="0029130E" w:rsidP="0029130E">
      <w:pPr>
        <w:pStyle w:val="ListBullet"/>
      </w:pPr>
      <w:proofErr w:type="gramStart"/>
      <w:r w:rsidRPr="0029130E">
        <w:t>colloidal</w:t>
      </w:r>
      <w:proofErr w:type="gramEnd"/>
      <w:r w:rsidRPr="0029130E">
        <w:t xml:space="preserve"> anhydrous silica (glidant; used in all extrudate intermediates).</w:t>
      </w:r>
    </w:p>
    <w:p w:rsidR="0029130E" w:rsidRPr="0029130E" w:rsidRDefault="0029130E" w:rsidP="0029130E">
      <w:r w:rsidRPr="0029130E">
        <w:t>Since residual crystallinity of the drug substances could potentially affect bioavailability, the amorphous nature of the intermediate extrudates has been verified by ‘clarity of the solid’ tests, X-ray diffraction and/or NIR. Routine in-process testing for ‘clarity of the solid’ is proposed for each extrudate intermediate to verify that drug substances are in their amorphous states. Separate specifications are applied to each ext</w:t>
      </w:r>
      <w:r w:rsidR="00286051">
        <w:t xml:space="preserve">rudate intermediate and a shelf </w:t>
      </w:r>
      <w:r w:rsidRPr="0029130E">
        <w:t>life for each of 12 months stored between 15 and 25°</w:t>
      </w:r>
      <w:r w:rsidR="00286051">
        <w:t xml:space="preserve"> </w:t>
      </w:r>
      <w:r w:rsidRPr="0029130E">
        <w:t>C is supported by stability studies.</w:t>
      </w:r>
    </w:p>
    <w:p w:rsidR="0029130E" w:rsidRPr="0029130E" w:rsidRDefault="0029130E" w:rsidP="0029130E">
      <w:r w:rsidRPr="0029130E">
        <w:t xml:space="preserve">All excipients, except propylene glycol monolaurate are conventional ingredients used in numerous registered oral dosage forms. Propylene glycol monolaurate is not a common excipient as it is present in only one registered oral dosage form. However propylene glycol and numerous other laurate </w:t>
      </w:r>
      <w:r w:rsidR="00A86219" w:rsidRPr="0029130E">
        <w:t>esters</w:t>
      </w:r>
      <w:r w:rsidRPr="0029130E">
        <w:t xml:space="preserve"> are common excipients, food components (</w:t>
      </w:r>
      <w:r w:rsidR="00286051">
        <w:t>for example</w:t>
      </w:r>
      <w:r w:rsidRPr="0029130E">
        <w:t xml:space="preserve"> in coconut oil) and metabolites. Hence the excipient is considered unlikely to have safety concerns.</w:t>
      </w:r>
    </w:p>
    <w:p w:rsidR="0029130E" w:rsidRPr="0029130E" w:rsidRDefault="0029130E" w:rsidP="0029130E">
      <w:r w:rsidRPr="0029130E">
        <w:t xml:space="preserve">In the tablet manufacturing process, the solid dispersions of each drug substance (extrudate intermediates) are milled, blended together, combined with tabletting aids, compressed into tablets and </w:t>
      </w:r>
      <w:r w:rsidR="00913482">
        <w:t>film coated</w:t>
      </w:r>
      <w:r w:rsidRPr="0029130E">
        <w:t>. Controls applied to the process are considered adequate.</w:t>
      </w:r>
    </w:p>
    <w:p w:rsidR="0029130E" w:rsidRPr="0029130E" w:rsidRDefault="0029130E" w:rsidP="0029130E">
      <w:r w:rsidRPr="0029130E">
        <w:t>Product performance was tested during development and for routine QC t</w:t>
      </w:r>
      <w:r w:rsidR="00286051">
        <w:t>esting using a dissolution test</w:t>
      </w:r>
      <w:r w:rsidRPr="0029130E">
        <w:t xml:space="preserve"> whose parameters have been adequately justified and shown to be acceptably discriminating. Monitoring of each of the drug substances by gradient HPLC method shows a similar release profile for each, such that release is essentially complete after 180 minutes for each drug substance. A single point</w:t>
      </w:r>
      <w:r w:rsidR="00286051">
        <w:t xml:space="preserve"> acceptance criterion of ‘(Q)</w:t>
      </w:r>
      <w:r w:rsidR="00BF1FC5">
        <w:t xml:space="preserve"> = </w:t>
      </w:r>
      <w:r w:rsidRPr="0029130E">
        <w:t>80% in 180 minutes’ for each drug substance, was adequately justified.</w:t>
      </w:r>
    </w:p>
    <w:p w:rsidR="0029130E" w:rsidRPr="0029130E" w:rsidRDefault="0029130E" w:rsidP="0029130E">
      <w:r w:rsidRPr="0029130E">
        <w:t xml:space="preserve">The tablets are to be co-packaged with dasabuvir 250 mg tablets (Drug product 2, see below) in blisters, each with a </w:t>
      </w:r>
      <w:r w:rsidR="00286051">
        <w:t xml:space="preserve">1 day </w:t>
      </w:r>
      <w:r w:rsidRPr="0029130E">
        <w:t>supply of each of the two tablet types, comprising two paritaprevir/ritonavir/ombitasvir 75/50/12.5 tablets and two dasabuvir (as sodium salt) 2</w:t>
      </w:r>
      <w:r w:rsidR="00286051">
        <w:t>50 mg</w:t>
      </w:r>
      <w:r w:rsidR="00F201F8">
        <w:t xml:space="preserve"> tablets</w:t>
      </w:r>
      <w:r w:rsidRPr="0029130E">
        <w:t xml:space="preserve"> with an outer cardboard cover (‘daily wallets’). The wallets are packaged into weekly boxes (7 wallets per box). Four weekly boxes are supplied in an outer carton providing a total of 112 tablets.</w:t>
      </w:r>
    </w:p>
    <w:p w:rsidR="0029130E" w:rsidRPr="0029130E" w:rsidRDefault="0029130E" w:rsidP="0029130E">
      <w:r w:rsidRPr="0029130E">
        <w:t>The drug substance specifications include identification, assay and control of specified and unspecified degradants for each drug substance. In the related substances HPLC test method, impurities are assigned to their respective drug substances based on their responses at 4 detections wavelengths. Individual unspecified degradants are controlled to NMT 0.2% which is within the applicable International Conference on Harmonisation</w:t>
      </w:r>
      <w:r w:rsidR="00F201F8">
        <w:t xml:space="preserve"> (ICH)</w:t>
      </w:r>
      <w:r w:rsidRPr="0029130E">
        <w:t xml:space="preserve"> qualification threshold.</w:t>
      </w:r>
    </w:p>
    <w:p w:rsidR="0029130E" w:rsidRPr="0029130E" w:rsidRDefault="0029130E" w:rsidP="0029130E">
      <w:r w:rsidRPr="0029130E">
        <w:t>The proposed finished product specifications have been adequately justified and comply with TGA requirements. They are considered adequate to ensure the quality of the finished product at release and throughout the shelf-life.</w:t>
      </w:r>
    </w:p>
    <w:p w:rsidR="0029130E" w:rsidRPr="0029130E" w:rsidRDefault="0029130E" w:rsidP="0029130E">
      <w:r w:rsidRPr="0029130E">
        <w:lastRenderedPageBreak/>
        <w:t>The tablets show good stability and a shelf life of 24 months stored below 30</w:t>
      </w:r>
      <w:r w:rsidRPr="0029130E">
        <w:sym w:font="Symbol" w:char="F0B0"/>
      </w:r>
      <w:r w:rsidRPr="0029130E">
        <w:t>C, stored in original container and in a dry place, is considered justified. However, for consistency with the shelf-life applicable to the related combination pack ‘</w:t>
      </w:r>
      <w:r w:rsidR="008B6F3C">
        <w:t>Viekira Pak</w:t>
      </w:r>
      <w:r w:rsidRPr="0029130E">
        <w:t xml:space="preserve">-RBV’ (the subject of a parallel submission) which includes </w:t>
      </w:r>
      <w:r w:rsidR="008B6F3C">
        <w:t>Viekira Pak</w:t>
      </w:r>
      <w:r w:rsidRPr="0029130E">
        <w:t xml:space="preserve"> as a component, the company has chosen to apply a shelf-life of 24 months stored below 25</w:t>
      </w:r>
      <w:r w:rsidRPr="0029130E">
        <w:sym w:font="Symbol" w:char="F0B0"/>
      </w:r>
      <w:r w:rsidRPr="0029130E">
        <w:t>C, stored in original container and in a dry place.</w:t>
      </w:r>
    </w:p>
    <w:p w:rsidR="0029130E" w:rsidRPr="0029130E" w:rsidRDefault="0029130E" w:rsidP="0029130E">
      <w:r w:rsidRPr="0029130E">
        <w:t>The company has sought to define the start of the shelf-life period as the start of the manufacturing step where the extrudate intermediates beads are milled. This was sought to support variability in the manufacturing dates for the extrudate intermediates and the potential use of multiple extrudate batches for a given tablet production batch. Although this is not the usual definition of the start of shelf-life, as per EMA guidance, it has is adequately supported by ‘worst case’ stability data and is cons</w:t>
      </w:r>
      <w:r w:rsidR="00F201F8">
        <w:t>idered acceptable in this case.</w:t>
      </w:r>
    </w:p>
    <w:p w:rsidR="0029130E" w:rsidRPr="0029130E" w:rsidRDefault="0029130E" w:rsidP="0029130E">
      <w:pPr>
        <w:pStyle w:val="Heading5"/>
      </w:pPr>
      <w:r w:rsidRPr="0029130E">
        <w:t xml:space="preserve">Formulation </w:t>
      </w:r>
      <w:r w:rsidR="0090503E">
        <w:t>d</w:t>
      </w:r>
      <w:r w:rsidRPr="0029130E">
        <w:t>evelopment</w:t>
      </w:r>
    </w:p>
    <w:p w:rsidR="0029130E" w:rsidRPr="0029130E" w:rsidRDefault="0029130E" w:rsidP="0029130E">
      <w:r w:rsidRPr="0029130E">
        <w:t>As shown below, the development history of the combination tablet involved seven different types of drug products used in support of clinic</w:t>
      </w:r>
      <w:r w:rsidR="00F201F8">
        <w:t>al development from early Phase I</w:t>
      </w:r>
      <w:r w:rsidRPr="0029130E">
        <w:t xml:space="preserve"> to Phase </w:t>
      </w:r>
      <w:r w:rsidR="00F201F8">
        <w:t>III</w:t>
      </w:r>
      <w:r w:rsidRPr="0029130E">
        <w:t xml:space="preserve">. Initial formulations, used in </w:t>
      </w:r>
      <w:r w:rsidR="00F201F8">
        <w:t>Phase I and II</w:t>
      </w:r>
      <w:r w:rsidRPr="0029130E">
        <w:t xml:space="preserve"> trials, utilised spray-dried dispersion (SDD) tablets and/or capsules of each drug substance, before the development of the proposed co-formul</w:t>
      </w:r>
      <w:r w:rsidR="00E458BE">
        <w:t>ated HME</w:t>
      </w:r>
      <w:r w:rsidRPr="0029130E">
        <w:t>, as summarised below.</w:t>
      </w:r>
    </w:p>
    <w:p w:rsidR="0029130E" w:rsidRPr="0029130E" w:rsidRDefault="0029130E" w:rsidP="0029130E">
      <w:pPr>
        <w:pStyle w:val="TableDescription"/>
      </w:pPr>
    </w:p>
    <w:p w:rsidR="0029130E" w:rsidRPr="0029130E" w:rsidRDefault="0029130E" w:rsidP="0029130E">
      <w:r w:rsidRPr="0029130E">
        <w:t>There are no significant differences between the formulation and manufacturing processes used to produce the pivotal bioequivalence batch (Batch 12-006414) and the proposed commercial tablets.</w:t>
      </w:r>
    </w:p>
    <w:p w:rsidR="0029130E" w:rsidRPr="0029130E" w:rsidRDefault="00F201F8" w:rsidP="0029130E">
      <w:pPr>
        <w:pStyle w:val="Heading4"/>
      </w:pPr>
      <w:r>
        <w:t>Drug Product 2 (d</w:t>
      </w:r>
      <w:r w:rsidR="0029130E" w:rsidRPr="0029130E">
        <w:t>asabuvir (as sodium salt) 2</w:t>
      </w:r>
      <w:r w:rsidR="00286051">
        <w:t>50 mg</w:t>
      </w:r>
      <w:r w:rsidR="0029130E" w:rsidRPr="0029130E">
        <w:t xml:space="preserve"> </w:t>
      </w:r>
      <w:r w:rsidR="00913482">
        <w:t>film coated</w:t>
      </w:r>
      <w:r w:rsidR="0029130E" w:rsidRPr="0029130E">
        <w:t xml:space="preserve"> tablets)</w:t>
      </w:r>
    </w:p>
    <w:p w:rsidR="0029130E" w:rsidRPr="0029130E" w:rsidRDefault="0029130E" w:rsidP="0029130E">
      <w:r w:rsidRPr="0029130E">
        <w:t xml:space="preserve">The first component of proposed </w:t>
      </w:r>
      <w:r w:rsidR="008B6F3C">
        <w:t>Viekira Pak</w:t>
      </w:r>
      <w:r w:rsidRPr="0029130E">
        <w:t xml:space="preserve"> combination therapy is dasabuvir (as sodium salt) 2</w:t>
      </w:r>
      <w:r w:rsidR="00286051">
        <w:t>50 mg</w:t>
      </w:r>
      <w:r w:rsidRPr="0029130E">
        <w:t xml:space="preserve"> </w:t>
      </w:r>
      <w:r w:rsidR="00913482">
        <w:t>film coated</w:t>
      </w:r>
      <w:r w:rsidRPr="0029130E">
        <w:t xml:space="preserve"> tablets which are to be co-packaged with the above combination tablets.</w:t>
      </w:r>
    </w:p>
    <w:p w:rsidR="00A26E99" w:rsidRDefault="0029130E" w:rsidP="0029130E">
      <w:r w:rsidRPr="0029130E">
        <w:t xml:space="preserve">The proposed tablets are immediate release unscored </w:t>
      </w:r>
      <w:r w:rsidR="00913482">
        <w:t>film coated</w:t>
      </w:r>
      <w:r w:rsidRPr="0029130E">
        <w:t xml:space="preserve"> tablets containing dasabuvir sodium (270.26</w:t>
      </w:r>
      <w:r w:rsidR="00F201F8">
        <w:t xml:space="preserve"> </w:t>
      </w:r>
      <w:r w:rsidRPr="0029130E">
        <w:t>mg), which is equivalent to 2</w:t>
      </w:r>
      <w:r w:rsidR="00286051">
        <w:t>50 mg</w:t>
      </w:r>
      <w:r w:rsidRPr="0029130E">
        <w:t xml:space="preserve"> of dasabuvir free acid</w:t>
      </w:r>
    </w:p>
    <w:p w:rsidR="0029130E" w:rsidRPr="0029130E" w:rsidRDefault="0029130E" w:rsidP="0029130E">
      <w:r w:rsidRPr="0029130E">
        <w:t>Dasa</w:t>
      </w:r>
      <w:r w:rsidR="00F201F8">
        <w:t xml:space="preserve">buvir 250 mg tablets are ‘beige </w:t>
      </w:r>
      <w:r w:rsidRPr="0029130E">
        <w:t xml:space="preserve">coloured, </w:t>
      </w:r>
      <w:r w:rsidR="00913482">
        <w:t>film coated</w:t>
      </w:r>
      <w:r w:rsidR="00F201F8">
        <w:t xml:space="preserve">, oval </w:t>
      </w:r>
      <w:r w:rsidRPr="0029130E">
        <w:t xml:space="preserve">shaped, debossed with “AV2” on one side’. The tablets are co-packaged in blisters, along with the above fixed dose combination </w:t>
      </w:r>
      <w:r w:rsidR="00913482">
        <w:t>film coated</w:t>
      </w:r>
      <w:r w:rsidR="00F201F8">
        <w:t xml:space="preserve"> tablets.</w:t>
      </w:r>
    </w:p>
    <w:p w:rsidR="0029130E" w:rsidRPr="0029130E" w:rsidRDefault="0029130E" w:rsidP="0029130E">
      <w:r w:rsidRPr="0029130E">
        <w:t>The excipients used in the drug products are all substances with well-known properties and functions and which are used in many registered tablet formulation. The manufacturing method is a conventional dry granulation process and has been logically developed and is adequately controlled.</w:t>
      </w:r>
    </w:p>
    <w:p w:rsidR="0029130E" w:rsidRPr="0029130E" w:rsidRDefault="0029130E" w:rsidP="0029130E">
      <w:r w:rsidRPr="0029130E">
        <w:t>Dissolution performance of the proposed tablets during development and for quality control purposes was monitored by a dissolution test method whose development and justification is described in detail. Each aspect of the dissolution testing conditions was adequately justified and the method was shown to be acceptably discriminating. The ta</w:t>
      </w:r>
      <w:r w:rsidR="00F201F8">
        <w:t xml:space="preserve">blets dissolved rapidly with 82 to </w:t>
      </w:r>
      <w:r w:rsidRPr="0029130E">
        <w:t>100% of the dru</w:t>
      </w:r>
      <w:r w:rsidR="00F201F8">
        <w:t>g substance being release in 15 </w:t>
      </w:r>
      <w:r w:rsidRPr="0029130E">
        <w:t>minutes and with little or no change being observed on storage.</w:t>
      </w:r>
    </w:p>
    <w:p w:rsidR="0029130E" w:rsidRPr="0029130E" w:rsidRDefault="00F201F8" w:rsidP="0029130E">
      <w:r>
        <w:t>As describ</w:t>
      </w:r>
      <w:r w:rsidR="0029130E" w:rsidRPr="0029130E">
        <w:t xml:space="preserve">ed above, the product is to be co-packaged with the combination tablets, in blisters, each with a </w:t>
      </w:r>
      <w:r w:rsidR="00286051">
        <w:t xml:space="preserve">1 day </w:t>
      </w:r>
      <w:r w:rsidR="0029130E" w:rsidRPr="0029130E">
        <w:t>supply of each of the two tablet types (two combination tablets and two dasabuvir (as sodium salt) 2</w:t>
      </w:r>
      <w:r w:rsidR="00286051">
        <w:t>50 mg</w:t>
      </w:r>
      <w:r w:rsidR="0029130E" w:rsidRPr="0029130E">
        <w:t xml:space="preserve"> tablets] with an outer cardboard cover (‘daily wallets’).</w:t>
      </w:r>
    </w:p>
    <w:p w:rsidR="0029130E" w:rsidRPr="0029130E" w:rsidRDefault="0029130E" w:rsidP="0029130E">
      <w:r w:rsidRPr="0029130E">
        <w:lastRenderedPageBreak/>
        <w:t>A limit at release and expiry limit for individual unspecified degradants of NMT 0.2% is proposed, which is within the applicable International Conference on Harmonisation qualification threshold. Batches of tablets typically have very low levels of total impurities at release (</w:t>
      </w:r>
      <w:r w:rsidR="00926A16">
        <w:t xml:space="preserve">&lt; </w:t>
      </w:r>
      <w:r w:rsidR="00F201F8">
        <w:t>0</w:t>
      </w:r>
      <w:r w:rsidRPr="0029130E">
        <w:t>.05%) and no significant in</w:t>
      </w:r>
      <w:r w:rsidR="00F201F8">
        <w:t>crease was observed on storage.</w:t>
      </w:r>
    </w:p>
    <w:p w:rsidR="0029130E" w:rsidRPr="0029130E" w:rsidRDefault="0029130E" w:rsidP="0029130E">
      <w:r w:rsidRPr="0029130E">
        <w:t>The proposed finished product specifications have been adequately justified and comply with TGA requirements. They are considered adequate to ensure the quality of the finished product at release and throughout the shelf-life.</w:t>
      </w:r>
    </w:p>
    <w:p w:rsidR="0029130E" w:rsidRPr="0029130E" w:rsidRDefault="0029130E" w:rsidP="0029130E">
      <w:r w:rsidRPr="0029130E">
        <w:t>The tablets show good stability and a shelf life of 24 months when stored below 30º</w:t>
      </w:r>
      <w:r w:rsidR="00F201F8">
        <w:t xml:space="preserve"> </w:t>
      </w:r>
      <w:r w:rsidRPr="0029130E">
        <w:t>C, stored in original container and in a dry place, is considered justified. However, as described above, the company has chosen to apply a shelf-life of 24 months stored below 25</w:t>
      </w:r>
      <w:r w:rsidRPr="0029130E">
        <w:sym w:font="Symbol" w:char="F0B0"/>
      </w:r>
      <w:r w:rsidR="00F201F8">
        <w:t xml:space="preserve"> </w:t>
      </w:r>
      <w:r w:rsidRPr="0029130E">
        <w:t xml:space="preserve">C, stored in original container and in a dry place to the </w:t>
      </w:r>
      <w:r w:rsidR="008B6F3C">
        <w:t>Viekira Pak</w:t>
      </w:r>
      <w:r w:rsidRPr="0029130E">
        <w:t xml:space="preserve"> combination therapy pack.</w:t>
      </w:r>
    </w:p>
    <w:p w:rsidR="0029130E" w:rsidRPr="0029130E" w:rsidRDefault="0029130E" w:rsidP="0029130E">
      <w:pPr>
        <w:pStyle w:val="Heading5"/>
      </w:pPr>
      <w:r w:rsidRPr="0029130E">
        <w:t xml:space="preserve">Formulation </w:t>
      </w:r>
      <w:r w:rsidR="00A86219">
        <w:t>d</w:t>
      </w:r>
      <w:r w:rsidRPr="0029130E">
        <w:t>evelopment</w:t>
      </w:r>
    </w:p>
    <w:p w:rsidR="0029130E" w:rsidRDefault="00F201F8" w:rsidP="0029130E">
      <w:proofErr w:type="gramStart"/>
      <w:r>
        <w:t>Phase</w:t>
      </w:r>
      <w:proofErr w:type="gramEnd"/>
      <w:r>
        <w:t xml:space="preserve"> I</w:t>
      </w:r>
      <w:r w:rsidR="0029130E" w:rsidRPr="0029130E">
        <w:t xml:space="preserve"> and initial </w:t>
      </w:r>
      <w:r>
        <w:t>Phase II</w:t>
      </w:r>
      <w:r w:rsidR="0029130E" w:rsidRPr="0029130E">
        <w:t xml:space="preserve"> studies utilized 5 and 50 mg capsules. Through </w:t>
      </w:r>
      <w:r>
        <w:t>Phase I</w:t>
      </w:r>
      <w:r w:rsidR="0029130E" w:rsidRPr="0029130E">
        <w:t xml:space="preserve"> and initial </w:t>
      </w:r>
      <w:r>
        <w:t>Phase II</w:t>
      </w:r>
      <w:r w:rsidR="0029130E" w:rsidRPr="0029130E">
        <w:t xml:space="preserve"> clinical studies, it became clear that dosage strength higher than 50 mg would be required and a </w:t>
      </w:r>
      <w:r>
        <w:t>400 mg</w:t>
      </w:r>
      <w:r w:rsidR="0029130E" w:rsidRPr="0029130E">
        <w:t xml:space="preserve"> tablet was developed. The </w:t>
      </w:r>
      <w:r>
        <w:t>Phase II</w:t>
      </w:r>
      <w:r w:rsidR="0029130E" w:rsidRPr="0029130E">
        <w:t xml:space="preserve"> formulation was subsequently optimized (with 300 and </w:t>
      </w:r>
      <w:r>
        <w:t>400 mg</w:t>
      </w:r>
      <w:r w:rsidR="0029130E" w:rsidRPr="0029130E">
        <w:t xml:space="preserve"> dasabuvir)</w:t>
      </w:r>
      <w:r w:rsidR="000C12CE">
        <w:t>.</w:t>
      </w:r>
      <w:r w:rsidR="0029130E" w:rsidRPr="0029130E">
        <w:t xml:space="preserve"> </w:t>
      </w:r>
      <w:r w:rsidR="000C12CE">
        <w:t>T</w:t>
      </w:r>
      <w:r w:rsidR="0029130E" w:rsidRPr="0029130E">
        <w:t xml:space="preserve">he optimised </w:t>
      </w:r>
      <w:r>
        <w:t>300 mg</w:t>
      </w:r>
      <w:r w:rsidR="0029130E" w:rsidRPr="0029130E">
        <w:t xml:space="preserve"> tablet has </w:t>
      </w:r>
      <w:r>
        <w:t>approximately 25% higher bioa</w:t>
      </w:r>
      <w:r w:rsidR="0029130E" w:rsidRPr="0029130E">
        <w:t xml:space="preserve">vailability than the </w:t>
      </w:r>
      <w:proofErr w:type="gramStart"/>
      <w:r w:rsidR="0029130E" w:rsidRPr="0029130E">
        <w:t>un</w:t>
      </w:r>
      <w:proofErr w:type="gramEnd"/>
      <w:r>
        <w:t xml:space="preserve"> </w:t>
      </w:r>
      <w:r w:rsidR="0029130E" w:rsidRPr="0029130E">
        <w:t xml:space="preserve">optimised </w:t>
      </w:r>
      <w:r>
        <w:t>Phase II</w:t>
      </w:r>
      <w:r w:rsidR="0029130E" w:rsidRPr="0029130E">
        <w:t xml:space="preserve"> tablet</w:t>
      </w:r>
      <w:r w:rsidR="000C12CE">
        <w:t>.</w:t>
      </w:r>
      <w:r w:rsidR="0029130E" w:rsidRPr="0029130E">
        <w:t xml:space="preserve">This improvement in bioavailability led to a dose reduction to 250 mg for the </w:t>
      </w:r>
      <w:r>
        <w:t>Phase III</w:t>
      </w:r>
      <w:r w:rsidR="0029130E" w:rsidRPr="0029130E">
        <w:t xml:space="preserve"> formulation</w:t>
      </w:r>
      <w:r w:rsidR="000C12CE">
        <w:t>.</w:t>
      </w:r>
      <w:r w:rsidR="0029130E" w:rsidRPr="0029130E">
        <w:t xml:space="preserve"> There are no significant differences between the formulation or manufacturing processes used to produce the pivotal bioequivalence batch and the proposed commercial manufacturing process although a different site and some different equipment was used. A bioequivalence study was conducted which confirmed the b</w:t>
      </w:r>
      <w:r>
        <w:t>ioequivalence of these tablets.</w:t>
      </w:r>
    </w:p>
    <w:p w:rsidR="000160C5" w:rsidRDefault="00661B33" w:rsidP="000160C5">
      <w:pPr>
        <w:pStyle w:val="Heading4"/>
      </w:pPr>
      <w:r>
        <w:t xml:space="preserve">Drug </w:t>
      </w:r>
      <w:r w:rsidR="0090503E">
        <w:t>p</w:t>
      </w:r>
      <w:r>
        <w:t>roduct 3</w:t>
      </w:r>
      <w:r w:rsidR="00A86219">
        <w:t>:</w:t>
      </w:r>
      <w:r>
        <w:t xml:space="preserve"> (r</w:t>
      </w:r>
      <w:r w:rsidR="000160C5" w:rsidRPr="000160C5">
        <w:t>ibavirin 200</w:t>
      </w:r>
      <w:r>
        <w:t xml:space="preserve"> </w:t>
      </w:r>
      <w:r w:rsidR="000160C5" w:rsidRPr="000160C5">
        <w:t>mg, 400</w:t>
      </w:r>
      <w:r>
        <w:t xml:space="preserve"> </w:t>
      </w:r>
      <w:r w:rsidR="000160C5" w:rsidRPr="000160C5">
        <w:t>m</w:t>
      </w:r>
      <w:r>
        <w:t xml:space="preserve">g and 600 mg film </w:t>
      </w:r>
      <w:r w:rsidR="000160C5">
        <w:t>coated tablets)</w:t>
      </w:r>
    </w:p>
    <w:p w:rsidR="000160C5" w:rsidRPr="000160C5" w:rsidRDefault="000160C5" w:rsidP="000160C5">
      <w:r w:rsidRPr="000160C5">
        <w:t xml:space="preserve">The third component of proposed </w:t>
      </w:r>
      <w:r w:rsidR="00661B33">
        <w:t>Viekira Pak-RBV</w:t>
      </w:r>
      <w:r w:rsidRPr="000160C5">
        <w:t xml:space="preserve"> combination therapy pack is ribavirin 200</w:t>
      </w:r>
      <w:r w:rsidR="00661B33">
        <w:t xml:space="preserve"> </w:t>
      </w:r>
      <w:r w:rsidRPr="000160C5">
        <w:t>mg, 400</w:t>
      </w:r>
      <w:r w:rsidR="00661B33">
        <w:t xml:space="preserve"> </w:t>
      </w:r>
      <w:r w:rsidRPr="000160C5">
        <w:t>mg and 600</w:t>
      </w:r>
      <w:r w:rsidR="00661B33">
        <w:t xml:space="preserve"> </w:t>
      </w:r>
      <w:r w:rsidRPr="000160C5">
        <w:t>mg film-coated tablets.</w:t>
      </w:r>
    </w:p>
    <w:p w:rsidR="000160C5" w:rsidRPr="000160C5" w:rsidRDefault="000160C5" w:rsidP="000160C5">
      <w:r w:rsidRPr="000160C5">
        <w:t>The appearances of the proposed tablets are:</w:t>
      </w:r>
    </w:p>
    <w:p w:rsidR="000160C5" w:rsidRPr="000160C5" w:rsidRDefault="000160C5" w:rsidP="000160C5">
      <w:pPr>
        <w:pStyle w:val="ListBullet"/>
      </w:pPr>
      <w:r w:rsidRPr="000160C5">
        <w:t>Rib</w:t>
      </w:r>
      <w:r w:rsidR="00661B33">
        <w:t xml:space="preserve">avirin 200 mg tablets are ‘light blue, film coated, </w:t>
      </w:r>
      <w:proofErr w:type="gramStart"/>
      <w:r w:rsidR="00661B33">
        <w:t>oblong</w:t>
      </w:r>
      <w:proofErr w:type="gramEnd"/>
      <w:r w:rsidR="00661B33">
        <w:t xml:space="preserve"> </w:t>
      </w:r>
      <w:r w:rsidRPr="000160C5">
        <w:t>shaped and debossed with “200” on one side and “3RP” on the other side’. These are packaged in HDPE bottles only.</w:t>
      </w:r>
    </w:p>
    <w:p w:rsidR="000160C5" w:rsidRPr="000160C5" w:rsidRDefault="000160C5" w:rsidP="000160C5">
      <w:pPr>
        <w:pStyle w:val="ListBullet"/>
      </w:pPr>
      <w:r w:rsidRPr="000160C5">
        <w:t>Ribavirin 400</w:t>
      </w:r>
      <w:r w:rsidR="00661B33">
        <w:t xml:space="preserve"> </w:t>
      </w:r>
      <w:r w:rsidRPr="000160C5">
        <w:t>mg tablets are ‘b</w:t>
      </w:r>
      <w:r w:rsidR="00661B33">
        <w:t xml:space="preserve">lue, film coated, </w:t>
      </w:r>
      <w:proofErr w:type="gramStart"/>
      <w:r w:rsidR="00661B33">
        <w:t>oblong</w:t>
      </w:r>
      <w:proofErr w:type="gramEnd"/>
      <w:r w:rsidR="00661B33">
        <w:t xml:space="preserve"> </w:t>
      </w:r>
      <w:r w:rsidRPr="000160C5">
        <w:t>shaped and debossed with “400” on one side and “3RP” on the other side’. These are packaged in HDPE bottles or in PVC/PE/PCTFE (Aclar)/Al blister packs.</w:t>
      </w:r>
    </w:p>
    <w:p w:rsidR="000160C5" w:rsidRPr="000160C5" w:rsidRDefault="000160C5" w:rsidP="000160C5">
      <w:pPr>
        <w:pStyle w:val="ListBullet"/>
      </w:pPr>
      <w:r w:rsidRPr="000160C5">
        <w:t>Ri</w:t>
      </w:r>
      <w:r w:rsidR="00661B33">
        <w:t xml:space="preserve">bavirin 600 mg tablets are ‘deep blue, film </w:t>
      </w:r>
      <w:r w:rsidRPr="000160C5">
        <w:t>coated, oblong-shaped and debossed with “600” on one side and “3RP” on the other side’. These are packaged in HDPE bottles or in PVC/PE/PCTFE (Aclar)/Al blister packs.</w:t>
      </w:r>
    </w:p>
    <w:p w:rsidR="000160C5" w:rsidRDefault="000160C5" w:rsidP="000160C5">
      <w:pPr>
        <w:pStyle w:val="FigureTitle"/>
      </w:pPr>
      <w:r>
        <w:lastRenderedPageBreak/>
        <w:t xml:space="preserve">Figure </w:t>
      </w:r>
      <w:r w:rsidR="00B03483">
        <w:t>7</w:t>
      </w:r>
      <w:r w:rsidR="004D59A3">
        <w:t>:</w:t>
      </w:r>
      <w:r w:rsidR="00661B33">
        <w:t xml:space="preserve"> Photographs of the r</w:t>
      </w:r>
      <w:r>
        <w:t>ibavirin tablets demonstrating that the markings can be clearly seen (not to scale)</w:t>
      </w:r>
    </w:p>
    <w:p w:rsidR="000160C5" w:rsidRDefault="000160C5" w:rsidP="000160C5">
      <w:r>
        <w:rPr>
          <w:noProof/>
          <w:lang w:eastAsia="en-AU"/>
        </w:rPr>
        <w:drawing>
          <wp:inline distT="0" distB="0" distL="0" distR="0" wp14:anchorId="4AF18DA3" wp14:editId="2FD38766">
            <wp:extent cx="5057775" cy="1666875"/>
            <wp:effectExtent l="0" t="0" r="9525" b="9525"/>
            <wp:docPr id="47" name="Picture 47" descr="Figure 7: Photographs of the ribavirin tablets demonstrating that the markings can be clearly seen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7775" cy="1666875"/>
                    </a:xfrm>
                    <a:prstGeom prst="rect">
                      <a:avLst/>
                    </a:prstGeom>
                  </pic:spPr>
                </pic:pic>
              </a:graphicData>
            </a:graphic>
          </wp:inline>
        </w:drawing>
      </w:r>
    </w:p>
    <w:p w:rsidR="000160C5" w:rsidRPr="000160C5" w:rsidRDefault="000160C5" w:rsidP="000160C5">
      <w:r w:rsidRPr="000160C5">
        <w:t>The different strengths of the proposed tablets are adequately distinguished by colour and debossing.</w:t>
      </w:r>
    </w:p>
    <w:p w:rsidR="000160C5" w:rsidRPr="000160C5" w:rsidRDefault="00661B33" w:rsidP="000160C5">
      <w:r>
        <w:t>All excipients</w:t>
      </w:r>
      <w:r w:rsidR="000160C5" w:rsidRPr="000160C5">
        <w:t xml:space="preserve"> are conventional ingredients used in numerous registered oral dosage forms. The manufacturing method is a conventional wet granulation process using water as granulation solvent and has been logically developed and is adequately controlled. All 3 strength tablets (200, 400, and 600</w:t>
      </w:r>
      <w:r>
        <w:t xml:space="preserve"> </w:t>
      </w:r>
      <w:r w:rsidR="000160C5" w:rsidRPr="000160C5">
        <w:t>mg) are compressed from a common granulation.</w:t>
      </w:r>
    </w:p>
    <w:p w:rsidR="000160C5" w:rsidRPr="000160C5" w:rsidRDefault="000160C5" w:rsidP="000160C5">
      <w:r w:rsidRPr="000160C5">
        <w:t xml:space="preserve">Dissolution performance of the proposed tablets during development and for quality control purposes was monitored by a method utilising the USP dissolution conditions. The tablets dissolved rapidly with </w:t>
      </w:r>
      <w:r>
        <w:t xml:space="preserve">93 to </w:t>
      </w:r>
      <w:r w:rsidRPr="000160C5">
        <w:t>102% of the drug substance being released in 30 minutes and with little or no change being observed on storage.</w:t>
      </w:r>
    </w:p>
    <w:p w:rsidR="000160C5" w:rsidRPr="000160C5" w:rsidRDefault="000160C5" w:rsidP="000160C5">
      <w:r w:rsidRPr="000160C5">
        <w:t>The 200</w:t>
      </w:r>
      <w:r w:rsidR="00661B33">
        <w:t xml:space="preserve"> </w:t>
      </w:r>
      <w:r w:rsidRPr="000160C5">
        <w:t>mg ribavirin tablets are contained in HDPE bottles of 168 tablets.</w:t>
      </w:r>
    </w:p>
    <w:p w:rsidR="000160C5" w:rsidRPr="000160C5" w:rsidRDefault="000160C5" w:rsidP="000160C5">
      <w:r w:rsidRPr="000160C5">
        <w:t>The 400</w:t>
      </w:r>
      <w:r w:rsidR="00661B33">
        <w:t xml:space="preserve"> </w:t>
      </w:r>
      <w:r w:rsidRPr="000160C5">
        <w:t>mg ribavirin tablet are contained in HDPE bottles of 56 tablets or co-packaged with 600</w:t>
      </w:r>
      <w:r w:rsidR="00661B33">
        <w:t xml:space="preserve"> </w:t>
      </w:r>
      <w:r w:rsidRPr="000160C5">
        <w:t>mg tablets in weekly PVC/PE/PCTFE (Aclar)/Al blister packs of 7 tablets each</w:t>
      </w:r>
      <w:r>
        <w:t xml:space="preserve"> (4 weekly blister packs per 28 </w:t>
      </w:r>
      <w:r w:rsidRPr="000160C5">
        <w:t>day carton).</w:t>
      </w:r>
    </w:p>
    <w:p w:rsidR="000160C5" w:rsidRPr="000160C5" w:rsidRDefault="000160C5" w:rsidP="000160C5">
      <w:r w:rsidRPr="000160C5">
        <w:t>The 6</w:t>
      </w:r>
      <w:r w:rsidR="00661B33">
        <w:t>00 mg</w:t>
      </w:r>
      <w:r w:rsidRPr="000160C5">
        <w:t xml:space="preserve"> ribavirin tablet</w:t>
      </w:r>
      <w:r w:rsidR="00661B33">
        <w:t>s</w:t>
      </w:r>
      <w:r w:rsidRPr="000160C5">
        <w:t xml:space="preserve"> are contained in HDPE bottles of 56 tablets or in weekly PVC/PE/PCTFE (Aclar)/Al blister packs of 14 tablets</w:t>
      </w:r>
      <w:r>
        <w:t xml:space="preserve"> (4 weekly blister packs per 28 </w:t>
      </w:r>
      <w:r w:rsidRPr="000160C5">
        <w:t>day carton).</w:t>
      </w:r>
    </w:p>
    <w:p w:rsidR="000160C5" w:rsidRPr="000160C5" w:rsidRDefault="000160C5" w:rsidP="000160C5">
      <w:r w:rsidRPr="000160C5">
        <w:t>The p</w:t>
      </w:r>
      <w:r w:rsidR="00661B33">
        <w:t xml:space="preserve">roposed HDPE bottles have child </w:t>
      </w:r>
      <w:r w:rsidRPr="000160C5">
        <w:t>resistant PP closures.</w:t>
      </w:r>
    </w:p>
    <w:p w:rsidR="000160C5" w:rsidRPr="000160C5" w:rsidRDefault="000160C5" w:rsidP="000160C5">
      <w:r w:rsidRPr="000160C5">
        <w:t xml:space="preserve">The overall </w:t>
      </w:r>
      <w:r w:rsidR="00661B33">
        <w:t>Viekira Pak-RBV</w:t>
      </w:r>
      <w:r w:rsidRPr="000160C5">
        <w:t xml:space="preserve"> combination therapy pack consists of one of the above presentations of ribavirin tablets together with the components of </w:t>
      </w:r>
      <w:r w:rsidR="00661B33">
        <w:t>Viekira Pak</w:t>
      </w:r>
      <w:r w:rsidRPr="000160C5">
        <w:t>, enclosed in</w:t>
      </w:r>
      <w:r>
        <w:t xml:space="preserve"> an outer carton providing a 28 day supply of therapy.</w:t>
      </w:r>
    </w:p>
    <w:p w:rsidR="000160C5" w:rsidRPr="000160C5" w:rsidRDefault="000160C5" w:rsidP="000160C5">
      <w:r w:rsidRPr="000160C5">
        <w:t>A limit at release and expiry limit for individual unspecified degradants of NMT 0.10% is proposed, which is within the applicable International Conference on Harmonisation qualification threshold. Batches of tablets typically have very low levels of total impurities at release (&lt;</w:t>
      </w:r>
      <w:r w:rsidR="00661B33">
        <w:t xml:space="preserve"> </w:t>
      </w:r>
      <w:r w:rsidRPr="000160C5">
        <w:t>0.1%) and no significant increase was observed o</w:t>
      </w:r>
      <w:r>
        <w:t>n storage.</w:t>
      </w:r>
    </w:p>
    <w:p w:rsidR="000160C5" w:rsidRPr="000160C5" w:rsidRDefault="000160C5" w:rsidP="000160C5">
      <w:r w:rsidRPr="000160C5">
        <w:t>The proposed finished product specifications have been adequately justified and comply with TGA requirements. They are considered adequate to ensure the quality of the finished product at release and throughout the shelf-life.</w:t>
      </w:r>
    </w:p>
    <w:p w:rsidR="000160C5" w:rsidRDefault="000160C5" w:rsidP="000160C5">
      <w:r w:rsidRPr="000160C5">
        <w:t>The tablets show good stability and a shelf life of 24 months when stored below 25</w:t>
      </w:r>
      <w:r w:rsidR="00661B33">
        <w:t>°</w:t>
      </w:r>
      <w:r w:rsidRPr="000160C5">
        <w:t>C, stored in original container and in a dry place, is considered justified. This is consistent with the shelf-life applied to the other two components of the composite pack and so the shelf-life for the composite pack as a whole is also 24 months when stored below 25</w:t>
      </w:r>
      <w:r w:rsidR="00661B33">
        <w:t>°</w:t>
      </w:r>
      <w:r w:rsidRPr="000160C5">
        <w:t>C, stored in origina</w:t>
      </w:r>
      <w:r>
        <w:t>l container and in a dry place.</w:t>
      </w:r>
    </w:p>
    <w:p w:rsidR="006762F6" w:rsidRPr="006762F6" w:rsidRDefault="006762F6" w:rsidP="006762F6">
      <w:pPr>
        <w:pStyle w:val="Heading5"/>
      </w:pPr>
      <w:r w:rsidRPr="006762F6">
        <w:lastRenderedPageBreak/>
        <w:t xml:space="preserve">Formulation </w:t>
      </w:r>
      <w:r w:rsidR="00A86219">
        <w:t>d</w:t>
      </w:r>
      <w:r w:rsidRPr="006762F6">
        <w:t>evelopment</w:t>
      </w:r>
    </w:p>
    <w:p w:rsidR="006762F6" w:rsidRPr="006762F6" w:rsidRDefault="006762F6" w:rsidP="006762F6">
      <w:r w:rsidRPr="006762F6">
        <w:t>The proposed tablets were formulated to have similar performance to Roche’s C</w:t>
      </w:r>
      <w:r w:rsidR="00661B33" w:rsidRPr="006762F6">
        <w:t>opegu</w:t>
      </w:r>
      <w:r w:rsidR="00661B33">
        <w:t>s</w:t>
      </w:r>
      <w:r w:rsidRPr="006762F6">
        <w:t xml:space="preserve"> tablets, although they differ in excipient composition. The proposed tablets are registered as ‘Ribasphere’ in the USA.</w:t>
      </w:r>
    </w:p>
    <w:p w:rsidR="006762F6" w:rsidRPr="006762F6" w:rsidRDefault="00661B33" w:rsidP="006762F6">
      <w:r>
        <w:t xml:space="preserve">Comparable in </w:t>
      </w:r>
      <w:r w:rsidR="006762F6" w:rsidRPr="006762F6">
        <w:t>vivo performance was confirmed in a comparative bioavailability study (Study M14-356) between the proposed ribavirin 600</w:t>
      </w:r>
      <w:r>
        <w:t xml:space="preserve"> </w:t>
      </w:r>
      <w:r w:rsidR="006762F6" w:rsidRPr="006762F6">
        <w:t>mg tablets and 3 x 200</w:t>
      </w:r>
      <w:r>
        <w:t xml:space="preserve"> </w:t>
      </w:r>
      <w:r w:rsidR="006762F6" w:rsidRPr="006762F6">
        <w:t xml:space="preserve">mg </w:t>
      </w:r>
      <w:r w:rsidR="00355DDE" w:rsidRPr="006762F6">
        <w:t>Copegu</w:t>
      </w:r>
      <w:r w:rsidR="00355DDE">
        <w:t>s ribavirin tablets</w:t>
      </w:r>
      <w:r w:rsidR="006762F6" w:rsidRPr="006762F6">
        <w:t xml:space="preserve">. </w:t>
      </w:r>
      <w:r w:rsidR="00355DDE">
        <w:t xml:space="preserve">In </w:t>
      </w:r>
      <w:r w:rsidR="006762F6" w:rsidRPr="006762F6">
        <w:t>vitro dissolution performance was also similar with complete release within 20 minutes.</w:t>
      </w:r>
    </w:p>
    <w:p w:rsidR="000160C5" w:rsidRPr="000160C5" w:rsidRDefault="006762F6" w:rsidP="000160C5">
      <w:r w:rsidRPr="006762F6">
        <w:t>There are no significant differences between the manufacturing processes used to produce the bioequivalence and stability batches manufactured at the proposed site, and the proposed commercial manufacturing process, although some minor differences in equipment and process parameters were described.</w:t>
      </w:r>
    </w:p>
    <w:p w:rsidR="008E7846" w:rsidRDefault="008E7846" w:rsidP="008E7846">
      <w:pPr>
        <w:pStyle w:val="Heading3"/>
      </w:pPr>
      <w:bookmarkStart w:id="34" w:name="_Toc314842491"/>
      <w:bookmarkStart w:id="35" w:name="_Toc480811555"/>
      <w:r>
        <w:t>Biopharmaceutics</w:t>
      </w:r>
      <w:bookmarkEnd w:id="34"/>
      <w:r w:rsidR="0029130E">
        <w:t xml:space="preserve">- </w:t>
      </w:r>
      <w:r w:rsidR="0029130E" w:rsidRPr="0029130E">
        <w:t>both component tab</w:t>
      </w:r>
      <w:r w:rsidR="0029130E">
        <w:t>let</w:t>
      </w:r>
      <w:r w:rsidR="0029130E" w:rsidRPr="0029130E">
        <w:t>s</w:t>
      </w:r>
      <w:bookmarkEnd w:id="35"/>
    </w:p>
    <w:p w:rsidR="0029130E" w:rsidRPr="0029130E" w:rsidRDefault="0029130E" w:rsidP="0029130E">
      <w:pPr>
        <w:pStyle w:val="Heading4"/>
      </w:pPr>
      <w:bookmarkStart w:id="36" w:name="_Toc314842492"/>
      <w:r w:rsidRPr="0029130E">
        <w:t xml:space="preserve">Summary of </w:t>
      </w:r>
      <w:r w:rsidR="0090503E" w:rsidRPr="0029130E">
        <w:t>human pharmacokinetics</w:t>
      </w:r>
    </w:p>
    <w:p w:rsidR="0029130E" w:rsidRPr="0029130E" w:rsidRDefault="009F7EDA" w:rsidP="0029130E">
      <w:pPr>
        <w:pStyle w:val="Heading5"/>
      </w:pPr>
      <w:r>
        <w:t>Rate and extent of absorption</w:t>
      </w:r>
    </w:p>
    <w:p w:rsidR="0029130E" w:rsidRDefault="009F7EDA" w:rsidP="0029130E">
      <w:r>
        <w:t>P</w:t>
      </w:r>
      <w:r w:rsidR="008B6F3C">
        <w:t>aritaprevir</w:t>
      </w:r>
      <w:r w:rsidR="0029130E" w:rsidRPr="0029130E">
        <w:t xml:space="preserve">/ritonavir/ombitasvir and dasabuvir were absorbed after oral administration with mean </w:t>
      </w:r>
      <w:r w:rsidR="00630EF4" w:rsidRPr="003E036A">
        <w:t>T</w:t>
      </w:r>
      <w:r w:rsidR="00630EF4" w:rsidRPr="00630EF4">
        <w:rPr>
          <w:vertAlign w:val="subscript"/>
        </w:rPr>
        <w:t>max</w:t>
      </w:r>
      <w:r>
        <w:t xml:space="preserve"> of approximately 4 to 5 hours.</w:t>
      </w:r>
    </w:p>
    <w:p w:rsidR="006762F6" w:rsidRPr="0029130E" w:rsidRDefault="006762F6" w:rsidP="0029130E">
      <w:r w:rsidRPr="006762F6">
        <w:t>Ribavirin is absorbed rapidly following oral administration of a single dose (median T</w:t>
      </w:r>
      <w:r w:rsidRPr="00355DDE">
        <w:rPr>
          <w:vertAlign w:val="subscript"/>
        </w:rPr>
        <w:t>max</w:t>
      </w:r>
      <w:r w:rsidR="00355DDE">
        <w:t xml:space="preserve"> = 1 to </w:t>
      </w:r>
      <w:r w:rsidRPr="006762F6">
        <w:t>2 hours). Ribavirin data from the literature demonstrates absorption is extensive with approximately 10% of a radiolabelled dose excreted in the faeces.</w:t>
      </w:r>
      <w:r w:rsidR="00355DDE">
        <w:t xml:space="preserve"> </w:t>
      </w:r>
      <w:r w:rsidRPr="006762F6">
        <w:t>However, absolute bioavailability is approximately 45% to 65%, which appears to be due to first pass metabolism</w:t>
      </w:r>
      <w:r>
        <w:t>.</w:t>
      </w:r>
    </w:p>
    <w:p w:rsidR="0029130E" w:rsidRPr="0029130E" w:rsidRDefault="0029130E" w:rsidP="0029130E">
      <w:pPr>
        <w:pStyle w:val="Heading5"/>
      </w:pPr>
      <w:r w:rsidRPr="0029130E">
        <w:t>Metabolism and distribution</w:t>
      </w:r>
    </w:p>
    <w:p w:rsidR="0029130E" w:rsidRPr="0029130E" w:rsidRDefault="0029130E" w:rsidP="0029130E">
      <w:pPr>
        <w:pStyle w:val="Heading6"/>
      </w:pPr>
      <w:r w:rsidRPr="0029130E">
        <w:t>Paritaprevir</w:t>
      </w:r>
    </w:p>
    <w:p w:rsidR="0029130E" w:rsidRPr="0029130E" w:rsidRDefault="0029130E" w:rsidP="0029130E">
      <w:r w:rsidRPr="0029130E">
        <w:t xml:space="preserve">Paritaprevir is metabolised predominantly by </w:t>
      </w:r>
      <w:r w:rsidR="00973BDE">
        <w:t>CYP isozyme 3A4 (</w:t>
      </w:r>
      <w:r w:rsidRPr="0029130E">
        <w:t>CYP3A4</w:t>
      </w:r>
      <w:r w:rsidR="00973BDE">
        <w:t>)</w:t>
      </w:r>
      <w:r w:rsidRPr="0029130E">
        <w:t xml:space="preserve"> and to a lesser extent </w:t>
      </w:r>
      <w:r w:rsidR="00973BDE">
        <w:t>CYP isozyme 3A5 (</w:t>
      </w:r>
      <w:r w:rsidRPr="0029130E">
        <w:t>CYP3A5</w:t>
      </w:r>
      <w:r w:rsidR="00973BDE">
        <w:t>)</w:t>
      </w:r>
      <w:r w:rsidRPr="0029130E">
        <w:t xml:space="preserve">. Following administration of a single 200/100 mg oral dose of </w:t>
      </w:r>
      <w:r w:rsidR="009F7EDA" w:rsidRPr="009F7EDA">
        <w:rPr>
          <w:vertAlign w:val="superscript"/>
        </w:rPr>
        <w:t>14</w:t>
      </w:r>
      <w:r w:rsidR="009F7EDA" w:rsidRPr="0029130E">
        <w:t>C</w:t>
      </w:r>
      <w:r w:rsidRPr="0029130E">
        <w:t xml:space="preserve"> paritaprevir/ritonavir to humans, the parent drug was the major circulating component accounting for approximately 90% of the plasma radioactivity. At least 5 minor metabolites of paritaprevir have been identified in circulation that accounted for approximately 10% of plasma radioactivity. These metabolites are not expected to have antiviral activity.</w:t>
      </w:r>
    </w:p>
    <w:p w:rsidR="0029130E" w:rsidRPr="0029130E" w:rsidRDefault="0029130E" w:rsidP="0029130E">
      <w:pPr>
        <w:pStyle w:val="Heading6"/>
      </w:pPr>
      <w:r w:rsidRPr="0029130E">
        <w:t>Ombitasvir</w:t>
      </w:r>
    </w:p>
    <w:p w:rsidR="0029130E" w:rsidRPr="0029130E" w:rsidRDefault="0029130E" w:rsidP="0029130E">
      <w:r w:rsidRPr="0029130E">
        <w:t xml:space="preserve">Ombitasvir is metabolised via amide hydrolysis followed by oxidative metabolism. Following a 25 mg single dose of </w:t>
      </w:r>
      <w:r w:rsidR="009F7EDA" w:rsidRPr="009F7EDA">
        <w:rPr>
          <w:vertAlign w:val="superscript"/>
        </w:rPr>
        <w:t>14</w:t>
      </w:r>
      <w:r w:rsidR="009F7EDA" w:rsidRPr="0029130E">
        <w:t>C</w:t>
      </w:r>
      <w:r w:rsidR="009F7EDA">
        <w:t xml:space="preserve"> </w:t>
      </w:r>
      <w:r w:rsidRPr="0029130E">
        <w:t>ombitasvir given alone, unchanged parent drug accounted for 8.9% of total radioactivity in human plasma; a total of 13 metabolites were identified in human plasma. These metabolites are not expected to have antiviral activity or off-target pharmacologic activity.</w:t>
      </w:r>
    </w:p>
    <w:p w:rsidR="0029130E" w:rsidRPr="0029130E" w:rsidRDefault="0029130E" w:rsidP="0029130E">
      <w:pPr>
        <w:pStyle w:val="Heading6"/>
      </w:pPr>
      <w:r w:rsidRPr="0029130E">
        <w:t>Dasabuvir</w:t>
      </w:r>
    </w:p>
    <w:p w:rsidR="0029130E" w:rsidRPr="0029130E" w:rsidRDefault="0029130E" w:rsidP="0029130E">
      <w:r w:rsidRPr="0029130E">
        <w:t xml:space="preserve">Dasabuvir is predominantly metabolised by CYP2C8 and to a lesser extent by CYP3A. Following a 400 mg </w:t>
      </w:r>
      <w:r w:rsidR="009F7EDA" w:rsidRPr="009F7EDA">
        <w:rPr>
          <w:vertAlign w:val="superscript"/>
        </w:rPr>
        <w:t>14</w:t>
      </w:r>
      <w:r w:rsidR="009F7EDA" w:rsidRPr="0029130E">
        <w:t>C</w:t>
      </w:r>
      <w:r w:rsidR="009F7EDA">
        <w:t xml:space="preserve"> </w:t>
      </w:r>
      <w:r w:rsidRPr="0029130E">
        <w:t xml:space="preserve">dasabuvir dose in humans, unchanged dasabuvir was the major component (approximately 60%) of drug related radioactivity in plasma; seven metabolites were identified in plasma. The most abundant plasma metabolite was M1, which represented 21% of </w:t>
      </w:r>
      <w:r w:rsidR="009F7EDA">
        <w:t>drug related</w:t>
      </w:r>
      <w:r w:rsidRPr="0029130E">
        <w:t xml:space="preserve"> radioactivity </w:t>
      </w:r>
      <w:r w:rsidR="008363B5">
        <w:t>area under the concentration-time curve</w:t>
      </w:r>
      <w:r w:rsidR="008363B5" w:rsidRPr="0029130E">
        <w:t xml:space="preserve"> </w:t>
      </w:r>
      <w:r w:rsidRPr="0029130E">
        <w:t>(AUC) in circulation and has similar activity as the parent drug against genotype 1 in</w:t>
      </w:r>
      <w:r w:rsidR="00A86219">
        <w:t> </w:t>
      </w:r>
      <w:r w:rsidRPr="0029130E">
        <w:t>vitro.</w:t>
      </w:r>
    </w:p>
    <w:p w:rsidR="0029130E" w:rsidRPr="0029130E" w:rsidRDefault="0029130E" w:rsidP="0029130E">
      <w:pPr>
        <w:pStyle w:val="Heading6"/>
      </w:pPr>
      <w:r w:rsidRPr="0029130E">
        <w:lastRenderedPageBreak/>
        <w:t>Ritonavir</w:t>
      </w:r>
    </w:p>
    <w:p w:rsidR="0029130E" w:rsidRDefault="0029130E" w:rsidP="0029130E">
      <w:r w:rsidRPr="0029130E">
        <w:t xml:space="preserve">Ritonavir is predominantly metabolised by CYP3A and to a lesser extent, by CYP2D6. Nearly the entire plasma radioactivity after a single 600 mg dose of </w:t>
      </w:r>
      <w:r w:rsidR="009F7EDA" w:rsidRPr="009F7EDA">
        <w:rPr>
          <w:vertAlign w:val="superscript"/>
        </w:rPr>
        <w:t>14</w:t>
      </w:r>
      <w:r w:rsidR="009F7EDA" w:rsidRPr="0029130E">
        <w:t>C</w:t>
      </w:r>
      <w:r w:rsidRPr="0029130E">
        <w:t xml:space="preserve"> ritonavir oral solution in humans was attributed to unchanged ritonavir.</w:t>
      </w:r>
    </w:p>
    <w:p w:rsidR="006762F6" w:rsidRDefault="006762F6" w:rsidP="006762F6">
      <w:pPr>
        <w:pStyle w:val="Heading6"/>
      </w:pPr>
      <w:r>
        <w:t>Ribavirin</w:t>
      </w:r>
    </w:p>
    <w:p w:rsidR="006762F6" w:rsidRPr="006762F6" w:rsidRDefault="006762F6" w:rsidP="006762F6">
      <w:r w:rsidRPr="006762F6">
        <w:t xml:space="preserve">Mean apparent oral clearance of ribavirin following single 600 milligram doses ranges from 22 </w:t>
      </w:r>
      <w:proofErr w:type="gramStart"/>
      <w:r w:rsidRPr="006762F6">
        <w:t>to 29 litres/hour</w:t>
      </w:r>
      <w:proofErr w:type="gramEnd"/>
      <w:r w:rsidRPr="006762F6">
        <w:t>.</w:t>
      </w:r>
      <w:r w:rsidR="00355DDE">
        <w:t xml:space="preserve"> </w:t>
      </w:r>
      <w:r w:rsidRPr="006762F6">
        <w:t>Volume of distribution is approximately 4,500 litres following administration of ribavirin.</w:t>
      </w:r>
    </w:p>
    <w:p w:rsidR="006762F6" w:rsidRPr="006762F6" w:rsidRDefault="006762F6" w:rsidP="006762F6">
      <w:r w:rsidRPr="006762F6">
        <w:t>Ribavirin does not bind to plasma proteins.</w:t>
      </w:r>
    </w:p>
    <w:p w:rsidR="006762F6" w:rsidRPr="006762F6" w:rsidRDefault="006762F6" w:rsidP="006762F6">
      <w:r w:rsidRPr="006762F6">
        <w:t>Ribavirin ha</w:t>
      </w:r>
      <w:r w:rsidR="00355DDE">
        <w:t>s two pathways of metabolism:</w:t>
      </w:r>
      <w:r w:rsidRPr="006762F6">
        <w:t xml:space="preserve"> a reversible phosphorylation</w:t>
      </w:r>
      <w:r w:rsidR="00355DDE">
        <w:t>.</w:t>
      </w:r>
      <w:r w:rsidRPr="006762F6">
        <w:t xml:space="preserve"> Upon multiple dosing, ribavirin accumulates </w:t>
      </w:r>
      <w:r w:rsidR="00355DDE">
        <w:t xml:space="preserve">extensively in plasma with a </w:t>
      </w:r>
      <w:r w:rsidR="00A86219">
        <w:t>sixfold</w:t>
      </w:r>
      <w:r w:rsidR="00355DDE">
        <w:t xml:space="preserve"> ratio of multiple </w:t>
      </w:r>
      <w:proofErr w:type="gramStart"/>
      <w:r w:rsidR="00355DDE">
        <w:t>dose</w:t>
      </w:r>
      <w:proofErr w:type="gramEnd"/>
      <w:r w:rsidR="00355DDE">
        <w:t xml:space="preserve"> to single </w:t>
      </w:r>
      <w:r w:rsidRPr="006762F6">
        <w:t>dose AUC</w:t>
      </w:r>
      <w:r w:rsidRPr="00355DDE">
        <w:rPr>
          <w:vertAlign w:val="subscript"/>
        </w:rPr>
        <w:t>12hr</w:t>
      </w:r>
      <w:r w:rsidRPr="006762F6">
        <w:t xml:space="preserve"> based on literature data.</w:t>
      </w:r>
      <w:r w:rsidR="00355DDE">
        <w:t xml:space="preserve"> </w:t>
      </w:r>
      <w:r w:rsidRPr="006762F6">
        <w:t>Foll</w:t>
      </w:r>
      <w:r w:rsidR="00355DDE">
        <w:t>owing oral dosing with 600 mg BD, steady</w:t>
      </w:r>
      <w:r w:rsidR="00355DDE">
        <w:noBreakHyphen/>
      </w:r>
      <w:r w:rsidRPr="006762F6">
        <w:t xml:space="preserve">state was reached by approximately 4 weeks, with mean steady state plasma concentrations </w:t>
      </w:r>
      <w:proofErr w:type="gramStart"/>
      <w:r w:rsidRPr="006762F6">
        <w:t>of approximately 2,200 ng/mL</w:t>
      </w:r>
      <w:proofErr w:type="gramEnd"/>
      <w:r w:rsidRPr="006762F6">
        <w:t>.</w:t>
      </w:r>
      <w:r w:rsidR="00355DDE">
        <w:t xml:space="preserve"> </w:t>
      </w:r>
      <w:r w:rsidRPr="006762F6">
        <w:t>Upon discontinuation of dosing the half-life was approximately 300 hours, which probably reflects slow elimination from non-plasma compartments.</w:t>
      </w:r>
    </w:p>
    <w:p w:rsidR="0029130E" w:rsidRPr="0029130E" w:rsidRDefault="0029130E" w:rsidP="0029130E">
      <w:pPr>
        <w:pStyle w:val="Heading5"/>
      </w:pPr>
      <w:r w:rsidRPr="0029130E">
        <w:t>Distribution</w:t>
      </w:r>
    </w:p>
    <w:p w:rsidR="0029130E" w:rsidRDefault="0029130E" w:rsidP="0029130E">
      <w:r w:rsidRPr="0029130E">
        <w:t xml:space="preserve">Paritaprevir, ombitasvir, ritonavir and dasabuvir are highly bound to plasma proteins. Plasma protein binding is not meaningfully altered in patients with renal or hepatic impairment. The blood to plasma concentration ratios in humans ranged from 0.6 to 0.8, indicating that paritaprevir, ombitasvir, and dasabuvir were preferentially distributed in the plasma compartment of whole blood. Paritaprevir was approximately 97 to 98.6% bound to human plasma proteins over a concentration range </w:t>
      </w:r>
      <w:proofErr w:type="gramStart"/>
      <w:r w:rsidRPr="0029130E">
        <w:t xml:space="preserve">of 0.08 to 8 </w:t>
      </w:r>
      <w:r w:rsidR="00B76905" w:rsidRPr="00B76905">
        <w:t>µg</w:t>
      </w:r>
      <w:r w:rsidRPr="0029130E">
        <w:t>/mL</w:t>
      </w:r>
      <w:proofErr w:type="gramEnd"/>
      <w:r w:rsidRPr="0029130E">
        <w:t xml:space="preserve">. Ritonavir was greater than 99% bound to human plasma proteins over a concentration range </w:t>
      </w:r>
      <w:proofErr w:type="gramStart"/>
      <w:r w:rsidRPr="0029130E">
        <w:t xml:space="preserve">of 0.007 to 22 </w:t>
      </w:r>
      <w:r w:rsidR="00B76905" w:rsidRPr="00B76905">
        <w:t>µg</w:t>
      </w:r>
      <w:r w:rsidRPr="0029130E">
        <w:t>/mL</w:t>
      </w:r>
      <w:proofErr w:type="gramEnd"/>
      <w:r w:rsidRPr="0029130E">
        <w:t>. Ombitasvir was approximately 99.9% bound to human plasma proteins over a concentration range of 0.09 to 9</w:t>
      </w:r>
      <w:r w:rsidR="00913482">
        <w:t>µ</w:t>
      </w:r>
      <w:r w:rsidR="00913482" w:rsidRPr="00E56F3B">
        <w:t>g</w:t>
      </w:r>
      <w:r w:rsidRPr="0029130E">
        <w:t xml:space="preserve">/mL. Dasabuvir was </w:t>
      </w:r>
      <w:r w:rsidR="000C3156">
        <w:t xml:space="preserve">&gt; </w:t>
      </w:r>
      <w:r w:rsidRPr="0029130E">
        <w:t xml:space="preserve">99.9% bound to human plasma proteins over a concentration range </w:t>
      </w:r>
      <w:proofErr w:type="gramStart"/>
      <w:r w:rsidRPr="0029130E">
        <w:t xml:space="preserve">of 0.05 to 5 </w:t>
      </w:r>
      <w:r w:rsidR="00B76905" w:rsidRPr="00B76905">
        <w:t>µg</w:t>
      </w:r>
      <w:r w:rsidRPr="0029130E">
        <w:t>/mL</w:t>
      </w:r>
      <w:proofErr w:type="gramEnd"/>
      <w:r w:rsidRPr="0029130E">
        <w:t>.</w:t>
      </w:r>
    </w:p>
    <w:p w:rsidR="006762F6" w:rsidRPr="006762F6" w:rsidRDefault="006762F6" w:rsidP="006762F6">
      <w:r w:rsidRPr="006762F6">
        <w:t>Ribavirin has b</w:t>
      </w:r>
      <w:r w:rsidR="00355DDE">
        <w:t xml:space="preserve">een shown to produce high inter and intra </w:t>
      </w:r>
      <w:r w:rsidRPr="006762F6">
        <w:t>subject pharmacokinetic variability following single oral doses (intra-subject variability of approximately 30% for both AUC and C</w:t>
      </w:r>
      <w:r w:rsidRPr="00355DDE">
        <w:rPr>
          <w:vertAlign w:val="subscript"/>
        </w:rPr>
        <w:t>max</w:t>
      </w:r>
      <w:r w:rsidRPr="006762F6">
        <w:t>), which may be due to extensive first pass metabolism and transfer within and beyond the blood compartment.</w:t>
      </w:r>
    </w:p>
    <w:p w:rsidR="006762F6" w:rsidRPr="0029130E" w:rsidRDefault="00355DDE" w:rsidP="0029130E">
      <w:r>
        <w:t>The ratio of whole blood:</w:t>
      </w:r>
      <w:r w:rsidR="00F344F8">
        <w:t xml:space="preserve"> </w:t>
      </w:r>
      <w:proofErr w:type="gramStart"/>
      <w:r w:rsidR="006762F6" w:rsidRPr="006762F6">
        <w:t>plasma ribavirin concentrations is</w:t>
      </w:r>
      <w:proofErr w:type="gramEnd"/>
      <w:r w:rsidR="006762F6" w:rsidRPr="006762F6">
        <w:t xml:space="preserve"> approximately 60:1; the excess of ribavirin in whole blood exists as ribavirin nucleotides sequestered in erythrocytes.</w:t>
      </w:r>
    </w:p>
    <w:p w:rsidR="0029130E" w:rsidRPr="0029130E" w:rsidRDefault="0029130E" w:rsidP="0029130E">
      <w:pPr>
        <w:pStyle w:val="Heading5"/>
      </w:pPr>
      <w:r w:rsidRPr="0029130E">
        <w:t>Mode, route and rate of elimination</w:t>
      </w:r>
    </w:p>
    <w:p w:rsidR="0029130E" w:rsidRPr="0029130E" w:rsidRDefault="0029130E" w:rsidP="0029130E">
      <w:pPr>
        <w:pStyle w:val="Heading6"/>
      </w:pPr>
      <w:r w:rsidRPr="0029130E">
        <w:t>Paritaprevir</w:t>
      </w:r>
    </w:p>
    <w:p w:rsidR="0029130E" w:rsidRPr="0029130E" w:rsidRDefault="0029130E" w:rsidP="0029130E">
      <w:r w:rsidRPr="0029130E">
        <w:t xml:space="preserve">Following dosing of paritaprevir/ritonavir/ombitasvir with or without dasabuvir, mean plasma half-life of paritaprevir was approximately 5.5 hours. Following a 200 mg </w:t>
      </w:r>
      <w:r w:rsidR="009F7EDA" w:rsidRPr="009F7EDA">
        <w:rPr>
          <w:vertAlign w:val="superscript"/>
        </w:rPr>
        <w:t>14</w:t>
      </w:r>
      <w:r w:rsidR="009F7EDA" w:rsidRPr="0029130E">
        <w:t>C</w:t>
      </w:r>
      <w:r w:rsidR="009F7EDA">
        <w:t> </w:t>
      </w:r>
      <w:r w:rsidRPr="0029130E">
        <w:t>paritaprevir dose with 100 mg ritonavir, approximately 88% of the radioactivity was recovered in faeces with limited radioactivity (8.8%) in urine.</w:t>
      </w:r>
    </w:p>
    <w:p w:rsidR="0029130E" w:rsidRPr="0029130E" w:rsidRDefault="0029130E" w:rsidP="0029130E">
      <w:pPr>
        <w:pStyle w:val="Heading6"/>
      </w:pPr>
      <w:r w:rsidRPr="0029130E">
        <w:t>Ombitasvir</w:t>
      </w:r>
    </w:p>
    <w:p w:rsidR="0029130E" w:rsidRPr="0029130E" w:rsidRDefault="0029130E" w:rsidP="0029130E">
      <w:r w:rsidRPr="0029130E">
        <w:t xml:space="preserve">Following dosing of paritaprevir/ritonavir/ombitasvir with or without dasabuvir, mean plasma half-life of </w:t>
      </w:r>
      <w:r w:rsidR="009F7EDA">
        <w:t xml:space="preserve">ombitasvir was approximately 21 to </w:t>
      </w:r>
      <w:r w:rsidRPr="0029130E">
        <w:t xml:space="preserve">25 hours. Following a 25 mg </w:t>
      </w:r>
      <w:r w:rsidR="009F7EDA" w:rsidRPr="009F7EDA">
        <w:rPr>
          <w:vertAlign w:val="superscript"/>
        </w:rPr>
        <w:t>14</w:t>
      </w:r>
      <w:r w:rsidR="009F7EDA" w:rsidRPr="0029130E">
        <w:t>C</w:t>
      </w:r>
      <w:r w:rsidR="009F7EDA">
        <w:t> </w:t>
      </w:r>
      <w:r w:rsidRPr="0029130E">
        <w:t>ombitasvir dose, approximately 90.2% of the radioactivity was recovered in faeces with limited radioactivity (1.91%) in urine.</w:t>
      </w:r>
    </w:p>
    <w:p w:rsidR="0029130E" w:rsidRPr="0029130E" w:rsidRDefault="0029130E" w:rsidP="0029130E">
      <w:pPr>
        <w:pStyle w:val="Heading6"/>
      </w:pPr>
      <w:r w:rsidRPr="0029130E">
        <w:lastRenderedPageBreak/>
        <w:t>Dasabuvir</w:t>
      </w:r>
    </w:p>
    <w:p w:rsidR="0029130E" w:rsidRPr="0029130E" w:rsidRDefault="0029130E" w:rsidP="0029130E">
      <w:r w:rsidRPr="0029130E">
        <w:t xml:space="preserve">Following dosing of dasabuvir with paritaprevir/ritonavir/ombitasvir, mean plasma half-life of dasabuvir was approximately 5.5 to 6 hours. Following a 400 mg </w:t>
      </w:r>
      <w:r w:rsidR="009F7EDA" w:rsidRPr="009F7EDA">
        <w:rPr>
          <w:vertAlign w:val="superscript"/>
        </w:rPr>
        <w:t>14</w:t>
      </w:r>
      <w:r w:rsidR="009F7EDA" w:rsidRPr="0029130E">
        <w:t>C</w:t>
      </w:r>
      <w:r w:rsidR="009F7EDA">
        <w:t xml:space="preserve"> </w:t>
      </w:r>
      <w:r w:rsidRPr="0029130E">
        <w:t>dasabuvir dose, approximately 94.4% of the radioactivity was recovered in faeces with limited radioactivity (approximately 2%) in urine.</w:t>
      </w:r>
    </w:p>
    <w:p w:rsidR="0029130E" w:rsidRPr="0029130E" w:rsidRDefault="0029130E" w:rsidP="0029130E">
      <w:pPr>
        <w:pStyle w:val="Heading6"/>
      </w:pPr>
      <w:r w:rsidRPr="0029130E">
        <w:t>Ritonavir</w:t>
      </w:r>
    </w:p>
    <w:p w:rsidR="0029130E" w:rsidRDefault="0029130E" w:rsidP="0029130E">
      <w:r w:rsidRPr="0029130E">
        <w:t xml:space="preserve">Following dosing of paritaprevir/ritonavir/ombitasvir, mean plasma half-life of ritonavir was approximately 4 hours. Following a 600 mg dose of </w:t>
      </w:r>
      <w:r w:rsidR="009F7EDA" w:rsidRPr="009F7EDA">
        <w:rPr>
          <w:vertAlign w:val="superscript"/>
        </w:rPr>
        <w:t>14</w:t>
      </w:r>
      <w:r w:rsidR="009F7EDA" w:rsidRPr="0029130E">
        <w:t>C</w:t>
      </w:r>
      <w:r w:rsidR="009F7EDA">
        <w:t xml:space="preserve"> </w:t>
      </w:r>
      <w:r w:rsidRPr="0029130E">
        <w:t>ritonavir oral solution, 86.4% of the radioactivity was recovered in the faeces and 11.3% of the dose was excreted in the urine.</w:t>
      </w:r>
    </w:p>
    <w:p w:rsidR="006762F6" w:rsidRDefault="006762F6" w:rsidP="006762F6">
      <w:pPr>
        <w:pStyle w:val="Heading6"/>
      </w:pPr>
      <w:r>
        <w:t>Ribavirin</w:t>
      </w:r>
    </w:p>
    <w:p w:rsidR="006762F6" w:rsidRPr="00AE6786" w:rsidRDefault="006762F6" w:rsidP="00AE6786">
      <w:r w:rsidRPr="00AE6786">
        <w:t>The mean terminal phase half-life of ribavirin following single doses of ribavirin ranges from 140 to 160 hours.</w:t>
      </w:r>
    </w:p>
    <w:p w:rsidR="006762F6" w:rsidRPr="006762F6" w:rsidRDefault="006762F6" w:rsidP="006762F6">
      <w:r w:rsidRPr="00AE6786">
        <w:t>Ribavirin and both of its metabolites (triazole carboxamide and triazole carboxylic acid) are excreted by the kidneys.</w:t>
      </w:r>
    </w:p>
    <w:p w:rsidR="0029130E" w:rsidRPr="0029130E" w:rsidRDefault="0029130E" w:rsidP="00475C4E">
      <w:pPr>
        <w:pStyle w:val="Heading5"/>
      </w:pPr>
      <w:r w:rsidRPr="0029130E">
        <w:t>Active entities</w:t>
      </w:r>
    </w:p>
    <w:p w:rsidR="0029130E" w:rsidRPr="0029130E" w:rsidRDefault="0029130E" w:rsidP="0029130E">
      <w:r w:rsidRPr="0029130E">
        <w:t>Paritaprevir, ritonavir, ombitasvir drug substance are the</w:t>
      </w:r>
      <w:r w:rsidR="009F7EDA">
        <w:t xml:space="preserve"> active entities. The</w:t>
      </w:r>
      <w:r w:rsidRPr="0029130E">
        <w:t xml:space="preserve"> most abundant plasma</w:t>
      </w:r>
      <w:r w:rsidR="009F7EDA">
        <w:t xml:space="preserve"> </w:t>
      </w:r>
      <w:r w:rsidRPr="0029130E">
        <w:t>metabolite</w:t>
      </w:r>
      <w:r w:rsidR="009F7EDA">
        <w:t xml:space="preserve"> of </w:t>
      </w:r>
      <w:r w:rsidR="009F7EDA" w:rsidRPr="0029130E">
        <w:t>dasabuvir</w:t>
      </w:r>
      <w:r w:rsidRPr="0029130E">
        <w:t xml:space="preserve"> was ‘M1’, which represented 21% of </w:t>
      </w:r>
      <w:r w:rsidR="009F7EDA">
        <w:t>drug related</w:t>
      </w:r>
      <w:r w:rsidRPr="0029130E">
        <w:t xml:space="preserve"> radioactivity (AUC) in circulation, and this has similar activity as the parent drug.</w:t>
      </w:r>
    </w:p>
    <w:p w:rsidR="0029130E" w:rsidRPr="0029130E" w:rsidRDefault="0029130E" w:rsidP="00475C4E">
      <w:pPr>
        <w:pStyle w:val="Heading5"/>
      </w:pPr>
      <w:r w:rsidRPr="0029130E">
        <w:t>Dose response proportionality</w:t>
      </w:r>
    </w:p>
    <w:p w:rsidR="0029130E" w:rsidRDefault="0029130E" w:rsidP="0029130E">
      <w:r w:rsidRPr="0029130E">
        <w:t xml:space="preserve">While ombitasvir and dasabuvir exposures increased in a dose proportional manner, paritaprevir and ritonavir exposures increased in a more than dose proportional manner. Accumulation is minimal for ombitasvir and </w:t>
      </w:r>
      <w:r w:rsidR="009F7EDA">
        <w:t xml:space="preserve">dasabuvir and approximately 1.5 to 2 </w:t>
      </w:r>
      <w:r w:rsidRPr="0029130E">
        <w:t>fold for ritonavir and paritaprevir. Pharmacokinetic steady state for the combination is achieved after approximately 12 days of dosing.</w:t>
      </w:r>
    </w:p>
    <w:p w:rsidR="00AE6786" w:rsidRPr="0029130E" w:rsidRDefault="00AE6786" w:rsidP="0029130E">
      <w:r>
        <w:rPr>
          <w:rFonts w:cs="Arial"/>
        </w:rPr>
        <w:t>Ribavirin; t</w:t>
      </w:r>
      <w:r w:rsidRPr="00782D71">
        <w:rPr>
          <w:rFonts w:cs="Arial"/>
        </w:rPr>
        <w:t>here</w:t>
      </w:r>
      <w:r w:rsidRPr="00782D71">
        <w:rPr>
          <w:rFonts w:cs="Arial"/>
          <w:spacing w:val="21"/>
        </w:rPr>
        <w:t xml:space="preserve"> </w:t>
      </w:r>
      <w:r w:rsidRPr="00782D71">
        <w:rPr>
          <w:rFonts w:cs="Arial"/>
          <w:w w:val="103"/>
        </w:rPr>
        <w:t xml:space="preserve">is </w:t>
      </w:r>
      <w:r w:rsidRPr="00782D71">
        <w:rPr>
          <w:rFonts w:cs="Arial"/>
        </w:rPr>
        <w:t>an</w:t>
      </w:r>
      <w:r w:rsidRPr="00782D71">
        <w:rPr>
          <w:rFonts w:cs="Arial"/>
          <w:spacing w:val="16"/>
        </w:rPr>
        <w:t xml:space="preserve"> </w:t>
      </w:r>
      <w:r w:rsidRPr="00782D71">
        <w:rPr>
          <w:rFonts w:cs="Arial"/>
        </w:rPr>
        <w:t>approxi</w:t>
      </w:r>
      <w:r w:rsidRPr="00782D71">
        <w:rPr>
          <w:rFonts w:cs="Arial"/>
          <w:spacing w:val="-2"/>
        </w:rPr>
        <w:t>m</w:t>
      </w:r>
      <w:r w:rsidRPr="00782D71">
        <w:rPr>
          <w:rFonts w:cs="Arial"/>
        </w:rPr>
        <w:t>ately</w:t>
      </w:r>
      <w:r w:rsidRPr="00782D71">
        <w:rPr>
          <w:rFonts w:cs="Arial"/>
          <w:spacing w:val="45"/>
        </w:rPr>
        <w:t xml:space="preserve"> </w:t>
      </w:r>
      <w:r w:rsidRPr="00782D71">
        <w:rPr>
          <w:rFonts w:cs="Arial"/>
        </w:rPr>
        <w:t>linear</w:t>
      </w:r>
      <w:r w:rsidRPr="00782D71">
        <w:rPr>
          <w:rFonts w:cs="Arial"/>
          <w:spacing w:val="24"/>
        </w:rPr>
        <w:t xml:space="preserve"> </w:t>
      </w:r>
      <w:r w:rsidRPr="00782D71">
        <w:rPr>
          <w:rFonts w:cs="Arial"/>
        </w:rPr>
        <w:t>relatio</w:t>
      </w:r>
      <w:r w:rsidRPr="00782D71">
        <w:rPr>
          <w:rFonts w:cs="Arial"/>
          <w:spacing w:val="1"/>
        </w:rPr>
        <w:t>n</w:t>
      </w:r>
      <w:r w:rsidRPr="00782D71">
        <w:rPr>
          <w:rFonts w:cs="Arial"/>
        </w:rPr>
        <w:t>ship</w:t>
      </w:r>
      <w:r w:rsidRPr="00782D71">
        <w:rPr>
          <w:rFonts w:cs="Arial"/>
          <w:spacing w:val="38"/>
        </w:rPr>
        <w:t xml:space="preserve"> </w:t>
      </w:r>
      <w:r w:rsidRPr="00782D71">
        <w:rPr>
          <w:rFonts w:cs="Arial"/>
        </w:rPr>
        <w:t>between</w:t>
      </w:r>
      <w:r w:rsidRPr="00782D71">
        <w:rPr>
          <w:rFonts w:cs="Arial"/>
          <w:spacing w:val="30"/>
        </w:rPr>
        <w:t xml:space="preserve"> </w:t>
      </w:r>
      <w:r w:rsidRPr="00782D71">
        <w:rPr>
          <w:rFonts w:cs="Arial"/>
        </w:rPr>
        <w:t>d</w:t>
      </w:r>
      <w:r w:rsidRPr="00782D71">
        <w:rPr>
          <w:rFonts w:cs="Arial"/>
          <w:spacing w:val="1"/>
        </w:rPr>
        <w:t>o</w:t>
      </w:r>
      <w:r w:rsidRPr="00782D71">
        <w:rPr>
          <w:rFonts w:cs="Arial"/>
        </w:rPr>
        <w:t>se</w:t>
      </w:r>
      <w:r w:rsidRPr="00782D71">
        <w:rPr>
          <w:rFonts w:cs="Arial"/>
          <w:spacing w:val="20"/>
        </w:rPr>
        <w:t xml:space="preserve"> </w:t>
      </w:r>
      <w:r w:rsidRPr="00782D71">
        <w:rPr>
          <w:rFonts w:cs="Arial"/>
        </w:rPr>
        <w:t>and</w:t>
      </w:r>
      <w:r w:rsidRPr="00782D71">
        <w:rPr>
          <w:rFonts w:cs="Arial"/>
          <w:spacing w:val="19"/>
        </w:rPr>
        <w:t xml:space="preserve"> </w:t>
      </w:r>
      <w:r w:rsidRPr="00782D71">
        <w:rPr>
          <w:rFonts w:cs="Arial"/>
        </w:rPr>
        <w:t>AUC</w:t>
      </w:r>
      <w:r w:rsidRPr="00782D71">
        <w:rPr>
          <w:rFonts w:cs="Arial"/>
          <w:spacing w:val="1"/>
          <w:position w:val="-3"/>
          <w:sz w:val="16"/>
          <w:szCs w:val="13"/>
        </w:rPr>
        <w:t>t</w:t>
      </w:r>
      <w:r w:rsidRPr="00782D71">
        <w:rPr>
          <w:rFonts w:cs="Arial"/>
          <w:position w:val="-3"/>
          <w:sz w:val="16"/>
          <w:szCs w:val="13"/>
        </w:rPr>
        <w:t>f</w:t>
      </w:r>
      <w:r w:rsidR="00355DDE">
        <w:rPr>
          <w:rFonts w:cs="Arial"/>
          <w:position w:val="-3"/>
          <w:sz w:val="16"/>
          <w:szCs w:val="13"/>
        </w:rPr>
        <w:t xml:space="preserve"> </w:t>
      </w:r>
      <w:r w:rsidRPr="00782D71">
        <w:rPr>
          <w:rFonts w:cs="Arial"/>
        </w:rPr>
        <w:t>f</w:t>
      </w:r>
      <w:r w:rsidRPr="00782D71">
        <w:rPr>
          <w:rFonts w:cs="Arial"/>
          <w:spacing w:val="1"/>
        </w:rPr>
        <w:t>oll</w:t>
      </w:r>
      <w:r w:rsidRPr="00782D71">
        <w:rPr>
          <w:rFonts w:cs="Arial"/>
        </w:rPr>
        <w:t>owi</w:t>
      </w:r>
      <w:r w:rsidRPr="00782D71">
        <w:rPr>
          <w:rFonts w:cs="Arial"/>
          <w:spacing w:val="1"/>
        </w:rPr>
        <w:t>n</w:t>
      </w:r>
      <w:r w:rsidRPr="00782D71">
        <w:rPr>
          <w:rFonts w:cs="Arial"/>
        </w:rPr>
        <w:t>g</w:t>
      </w:r>
      <w:r w:rsidRPr="00782D71">
        <w:rPr>
          <w:rFonts w:cs="Arial"/>
          <w:spacing w:val="32"/>
        </w:rPr>
        <w:t xml:space="preserve"> </w:t>
      </w:r>
      <w:r w:rsidRPr="00782D71">
        <w:rPr>
          <w:rFonts w:cs="Arial"/>
        </w:rPr>
        <w:t>si</w:t>
      </w:r>
      <w:r w:rsidRPr="00782D71">
        <w:rPr>
          <w:rFonts w:cs="Arial"/>
          <w:spacing w:val="1"/>
        </w:rPr>
        <w:t>n</w:t>
      </w:r>
      <w:r w:rsidRPr="00782D71">
        <w:rPr>
          <w:rFonts w:cs="Arial"/>
        </w:rPr>
        <w:t>g</w:t>
      </w:r>
      <w:r w:rsidRPr="00782D71">
        <w:rPr>
          <w:rFonts w:cs="Arial"/>
          <w:spacing w:val="1"/>
        </w:rPr>
        <w:t>l</w:t>
      </w:r>
      <w:r w:rsidRPr="00782D71">
        <w:rPr>
          <w:rFonts w:cs="Arial"/>
        </w:rPr>
        <w:t>e</w:t>
      </w:r>
      <w:r w:rsidRPr="00782D71">
        <w:rPr>
          <w:rFonts w:cs="Arial"/>
          <w:spacing w:val="23"/>
        </w:rPr>
        <w:t xml:space="preserve"> </w:t>
      </w:r>
      <w:r w:rsidRPr="00782D71">
        <w:rPr>
          <w:rFonts w:cs="Arial"/>
          <w:spacing w:val="1"/>
        </w:rPr>
        <w:t>do</w:t>
      </w:r>
      <w:r w:rsidRPr="00782D71">
        <w:rPr>
          <w:rFonts w:cs="Arial"/>
          <w:spacing w:val="-1"/>
        </w:rPr>
        <w:t>s</w:t>
      </w:r>
      <w:r w:rsidRPr="00782D71">
        <w:rPr>
          <w:rFonts w:cs="Arial"/>
          <w:spacing w:val="1"/>
        </w:rPr>
        <w:t>e</w:t>
      </w:r>
      <w:r w:rsidRPr="00782D71">
        <w:rPr>
          <w:rFonts w:cs="Arial"/>
        </w:rPr>
        <w:t>s</w:t>
      </w:r>
      <w:r w:rsidRPr="00782D71">
        <w:rPr>
          <w:rFonts w:cs="Arial"/>
          <w:spacing w:val="21"/>
        </w:rPr>
        <w:t xml:space="preserve"> </w:t>
      </w:r>
      <w:r w:rsidRPr="00782D71">
        <w:rPr>
          <w:rFonts w:cs="Arial"/>
          <w:spacing w:val="1"/>
        </w:rPr>
        <w:t>o</w:t>
      </w:r>
      <w:r w:rsidRPr="00782D71">
        <w:rPr>
          <w:rFonts w:cs="Arial"/>
        </w:rPr>
        <w:t>f</w:t>
      </w:r>
      <w:r w:rsidRPr="00782D71">
        <w:rPr>
          <w:rFonts w:cs="Arial"/>
          <w:spacing w:val="13"/>
        </w:rPr>
        <w:t xml:space="preserve"> </w:t>
      </w:r>
      <w:r w:rsidRPr="00782D71">
        <w:rPr>
          <w:rFonts w:cs="Arial"/>
          <w:spacing w:val="1"/>
        </w:rPr>
        <w:t>2</w:t>
      </w:r>
      <w:r w:rsidRPr="00782D71">
        <w:rPr>
          <w:rFonts w:cs="Arial"/>
        </w:rPr>
        <w:t>0</w:t>
      </w:r>
      <w:r w:rsidRPr="00782D71">
        <w:rPr>
          <w:rFonts w:cs="Arial"/>
          <w:spacing w:val="1"/>
        </w:rPr>
        <w:t>0</w:t>
      </w:r>
      <w:r w:rsidRPr="00782D71">
        <w:rPr>
          <w:rFonts w:cs="Arial"/>
        </w:rPr>
        <w:t xml:space="preserve"> to </w:t>
      </w:r>
      <w:r w:rsidRPr="00782D71">
        <w:rPr>
          <w:rFonts w:cs="Arial"/>
          <w:spacing w:val="1"/>
        </w:rPr>
        <w:t>1</w:t>
      </w:r>
      <w:r w:rsidRPr="00782D71">
        <w:rPr>
          <w:rFonts w:cs="Arial"/>
        </w:rPr>
        <w:t>,</w:t>
      </w:r>
      <w:r w:rsidRPr="00782D71">
        <w:rPr>
          <w:rFonts w:cs="Arial"/>
          <w:spacing w:val="1"/>
        </w:rPr>
        <w:t>2</w:t>
      </w:r>
      <w:r w:rsidRPr="00782D71">
        <w:rPr>
          <w:rFonts w:cs="Arial"/>
        </w:rPr>
        <w:t>00</w:t>
      </w:r>
      <w:r w:rsidRPr="00782D71">
        <w:rPr>
          <w:rFonts w:cs="Arial"/>
          <w:spacing w:val="34"/>
        </w:rPr>
        <w:t xml:space="preserve"> </w:t>
      </w:r>
      <w:r w:rsidRPr="00782D71">
        <w:rPr>
          <w:rFonts w:cs="Arial"/>
          <w:spacing w:val="-2"/>
          <w:w w:val="103"/>
        </w:rPr>
        <w:t>m</w:t>
      </w:r>
      <w:r w:rsidRPr="00782D71">
        <w:rPr>
          <w:rFonts w:cs="Arial"/>
          <w:w w:val="103"/>
        </w:rPr>
        <w:t xml:space="preserve">g </w:t>
      </w:r>
      <w:r w:rsidRPr="00782D71">
        <w:rPr>
          <w:rFonts w:cs="Arial"/>
        </w:rPr>
        <w:t>ribavirin.</w:t>
      </w:r>
    </w:p>
    <w:p w:rsidR="0029130E" w:rsidRPr="0029130E" w:rsidRDefault="0029130E" w:rsidP="00475C4E">
      <w:pPr>
        <w:pStyle w:val="Heading5"/>
      </w:pPr>
      <w:r w:rsidRPr="0029130E">
        <w:t>Effects of food</w:t>
      </w:r>
    </w:p>
    <w:p w:rsidR="0029130E" w:rsidRPr="0029130E" w:rsidRDefault="0029130E" w:rsidP="0029130E">
      <w:r w:rsidRPr="0029130E">
        <w:t>Paritaprevir, ritonavir, ombitasvir and dasabuvir should be administered with food and instructions to this effect are included in the PI. All clinical trials with paritaprevir, ritonavir, ombitasvir and dasabuvir have been conducted foll</w:t>
      </w:r>
      <w:r w:rsidR="009F7EDA">
        <w:t>owing administration with food.</w:t>
      </w:r>
    </w:p>
    <w:p w:rsidR="0029130E" w:rsidRDefault="0029130E" w:rsidP="0029130E">
      <w:r w:rsidRPr="0029130E">
        <w:t>Food increased the exposure (AUC) of paritaprevir, ombitasvir, ritonavir, and dasabuvir by up to 211%, 82%, 49%, and 30% respectively relative to the fasting state. The increase in exposure was similar regardless of meal type (</w:t>
      </w:r>
      <w:r w:rsidR="009F7EDA">
        <w:t xml:space="preserve">for example, high fat versus moderate </w:t>
      </w:r>
      <w:r w:rsidRPr="0029130E">
        <w:t xml:space="preserve">fat) or calorie content (approximately 600 Kcal versus approximately 1000 Kcal). To maximise absorption, </w:t>
      </w:r>
      <w:r w:rsidR="008B6F3C">
        <w:t>Viekira Pak</w:t>
      </w:r>
      <w:r w:rsidRPr="0029130E">
        <w:t>/</w:t>
      </w:r>
      <w:r w:rsidR="008B6F3C">
        <w:t>Viekira Pak</w:t>
      </w:r>
      <w:r w:rsidRPr="0029130E">
        <w:t>-RBV should be taken with food without regard to fat or calorie content.</w:t>
      </w:r>
    </w:p>
    <w:p w:rsidR="00AE6786" w:rsidRPr="00AE6786" w:rsidRDefault="00AE6786" w:rsidP="00AE6786">
      <w:r w:rsidRPr="00AE6786">
        <w:t>The bioavailability of a single oral 600 mg dose ribavirin was increased by co-administration with a high fat meal.</w:t>
      </w:r>
      <w:r w:rsidR="00355DDE">
        <w:t xml:space="preserve"> </w:t>
      </w:r>
      <w:r w:rsidRPr="00AE6786">
        <w:t>The ribav</w:t>
      </w:r>
      <w:r w:rsidR="00355DDE">
        <w:t>irin exposure parameters of AUC</w:t>
      </w:r>
      <w:r w:rsidR="00355DDE" w:rsidRPr="00355DDE">
        <w:rPr>
          <w:vertAlign w:val="subscript"/>
        </w:rPr>
        <w:t>0-192h</w:t>
      </w:r>
      <w:r w:rsidRPr="00AE6786">
        <w:t xml:space="preserve"> and C</w:t>
      </w:r>
      <w:r w:rsidRPr="00355DDE">
        <w:rPr>
          <w:vertAlign w:val="subscript"/>
        </w:rPr>
        <w:t>max</w:t>
      </w:r>
      <w:r w:rsidRPr="00AE6786">
        <w:t xml:space="preserve"> increased by 42% and 66%, respectively, when ribavirin tablet was taken with a high fat breakfast compared to being taken</w:t>
      </w:r>
      <w:r w:rsidR="00355DDE">
        <w:t xml:space="preserve"> </w:t>
      </w:r>
      <w:r w:rsidRPr="00AE6786">
        <w:t>in the fasted</w:t>
      </w:r>
      <w:r w:rsidR="00355DDE">
        <w:t xml:space="preserve"> </w:t>
      </w:r>
      <w:r w:rsidRPr="00AE6786">
        <w:t>state.</w:t>
      </w:r>
      <w:r w:rsidR="00355DDE">
        <w:t xml:space="preserve"> </w:t>
      </w:r>
      <w:r w:rsidRPr="00AE6786">
        <w:t>The clinical relevance of results from this single dose study is unknown. In order to achieve optimal ribavirin plasma concentrations, it is recommended to take ribavirin with food.</w:t>
      </w:r>
    </w:p>
    <w:p w:rsidR="00AE6786" w:rsidRPr="00AE6786" w:rsidRDefault="00AE6786" w:rsidP="00AE6786">
      <w:r w:rsidRPr="00AE6786">
        <w:t>To maximise absorption, the PI recommends that V</w:t>
      </w:r>
      <w:r w:rsidR="00355DDE" w:rsidRPr="00AE6786">
        <w:t>iekira</w:t>
      </w:r>
      <w:r w:rsidRPr="00AE6786">
        <w:t xml:space="preserve"> P</w:t>
      </w:r>
      <w:r w:rsidR="00355DDE" w:rsidRPr="00355DDE">
        <w:t>ak</w:t>
      </w:r>
      <w:r w:rsidRPr="00AE6786">
        <w:t>/</w:t>
      </w:r>
      <w:r w:rsidR="00355DDE" w:rsidRPr="00355DDE">
        <w:t xml:space="preserve"> </w:t>
      </w:r>
      <w:r w:rsidR="00355DDE" w:rsidRPr="00AE6786">
        <w:t>Viekira P</w:t>
      </w:r>
      <w:r w:rsidR="00355DDE" w:rsidRPr="00355DDE">
        <w:t>ak</w:t>
      </w:r>
      <w:r w:rsidRPr="00AE6786">
        <w:t>-RBV should be taken with food without regard to fat or calorie content.</w:t>
      </w:r>
    </w:p>
    <w:p w:rsidR="0029130E" w:rsidRPr="0029130E" w:rsidRDefault="0029130E" w:rsidP="00475C4E">
      <w:pPr>
        <w:pStyle w:val="Heading5"/>
      </w:pPr>
      <w:r w:rsidRPr="0029130E">
        <w:lastRenderedPageBreak/>
        <w:t xml:space="preserve">Bioequivalence </w:t>
      </w:r>
      <w:r w:rsidR="009F7EDA" w:rsidRPr="0029130E">
        <w:t>and food effect</w:t>
      </w:r>
    </w:p>
    <w:p w:rsidR="0029130E" w:rsidRPr="0029130E" w:rsidRDefault="009F7EDA" w:rsidP="00475C4E">
      <w:pPr>
        <w:pStyle w:val="Heading6"/>
      </w:pPr>
      <w:r>
        <w:t>Paritaprevir/ritonavir/o</w:t>
      </w:r>
      <w:r w:rsidR="0029130E" w:rsidRPr="0029130E">
        <w:t>mbitasvir 75/50/</w:t>
      </w:r>
      <w:r w:rsidR="00286051">
        <w:t xml:space="preserve">12.5 mg </w:t>
      </w:r>
      <w:r>
        <w:t>tablets</w:t>
      </w:r>
    </w:p>
    <w:p w:rsidR="0029130E" w:rsidRPr="0029130E" w:rsidRDefault="0029130E" w:rsidP="0029130E">
      <w:r w:rsidRPr="0029130E">
        <w:t xml:space="preserve">Comparative bioavailability study M11-389 compares the bioavailability of the pivotal bioavailability batch of </w:t>
      </w:r>
      <w:r w:rsidR="008B6F3C">
        <w:t>paritaprevir</w:t>
      </w:r>
      <w:r w:rsidR="009F7EDA">
        <w:t>/ritonavir/o</w:t>
      </w:r>
      <w:r w:rsidRPr="0029130E">
        <w:t>mbitasvir 75/50/</w:t>
      </w:r>
      <w:r w:rsidR="00286051">
        <w:t xml:space="preserve">12.5 mg </w:t>
      </w:r>
      <w:r w:rsidRPr="0029130E">
        <w:t>tablets, dosed under fasted conditions, with the same tablet afte</w:t>
      </w:r>
      <w:r w:rsidR="009F7EDA">
        <w:t xml:space="preserve">r a moderate fat meal or a high </w:t>
      </w:r>
      <w:r w:rsidRPr="0029130E">
        <w:t>fat meal.</w:t>
      </w:r>
    </w:p>
    <w:p w:rsidR="0029130E" w:rsidRPr="0029130E" w:rsidRDefault="0029130E" w:rsidP="0029130E">
      <w:r w:rsidRPr="0029130E">
        <w:t>The following was concluded:</w:t>
      </w:r>
    </w:p>
    <w:p w:rsidR="0029130E" w:rsidRPr="0029130E" w:rsidRDefault="0029130E" w:rsidP="00475C4E">
      <w:pPr>
        <w:pStyle w:val="ListBullet"/>
      </w:pPr>
      <w:r w:rsidRPr="0029130E">
        <w:t>Administration of two paritaprevir/ritonavir/ombitasvir 75/50/12.5 comb</w:t>
      </w:r>
      <w:r w:rsidR="009F7EDA">
        <w:t xml:space="preserve">ination tablets with a moderate fat (Treatment B) or high </w:t>
      </w:r>
      <w:r w:rsidRPr="0029130E">
        <w:t xml:space="preserve">fat (Treatment C) meal resulted in greater AUC and </w:t>
      </w:r>
      <w:r w:rsidR="000E1719">
        <w:t>maximum plasma concentration</w:t>
      </w:r>
      <w:r w:rsidR="000E1719" w:rsidRPr="008912E8">
        <w:t xml:space="preserve"> </w:t>
      </w:r>
      <w:r w:rsidR="000E1719">
        <w:t>(</w:t>
      </w:r>
      <w:r w:rsidR="003A33A4" w:rsidRPr="008912E8">
        <w:t>C</w:t>
      </w:r>
      <w:r w:rsidR="003A33A4" w:rsidRPr="003A33A4">
        <w:rPr>
          <w:vertAlign w:val="subscript"/>
        </w:rPr>
        <w:t>max</w:t>
      </w:r>
      <w:r w:rsidR="000E1719">
        <w:t>)</w:t>
      </w:r>
      <w:r w:rsidR="00630EF4">
        <w:t xml:space="preserve"> </w:t>
      </w:r>
      <w:r w:rsidRPr="0029130E">
        <w:t>of all three active components in the formulation (paritaprevir, ritonavir and ombitasvir) compared to administration under fasting conditions (Treatment A).</w:t>
      </w:r>
    </w:p>
    <w:p w:rsidR="0029130E" w:rsidRPr="0029130E" w:rsidRDefault="0029130E" w:rsidP="00475C4E">
      <w:pPr>
        <w:pStyle w:val="ListBullet"/>
      </w:pPr>
      <w:r w:rsidRPr="0029130E">
        <w:t>The extent of the food effect was greater for paritaprevir compared to ritonavir or ombitasvir.</w:t>
      </w:r>
    </w:p>
    <w:p w:rsidR="0029130E" w:rsidRPr="0029130E" w:rsidRDefault="0029130E" w:rsidP="00475C4E">
      <w:pPr>
        <w:pStyle w:val="ListBullet"/>
      </w:pPr>
      <w:r w:rsidRPr="0029130E">
        <w:t xml:space="preserve">Following administration of the combination tablets with a </w:t>
      </w:r>
      <w:r w:rsidR="009F7EDA">
        <w:t xml:space="preserve">high fat </w:t>
      </w:r>
      <w:r w:rsidRPr="0029130E">
        <w:t>(Treatment C) meal, the exposures to each drug substance (</w:t>
      </w:r>
      <w:r w:rsidR="009F7EDA" w:rsidRPr="0029130E">
        <w:t>AUC</w:t>
      </w:r>
      <w:r w:rsidR="009F7EDA" w:rsidRPr="009F7EDA">
        <w:rPr>
          <w:vertAlign w:val="subscript"/>
        </w:rPr>
        <w:t>0-t</w:t>
      </w:r>
      <w:r w:rsidRPr="0029130E">
        <w:t xml:space="preserve">) increased by approximately 230%, 140% </w:t>
      </w:r>
      <w:r w:rsidR="001E24B1">
        <w:t>and</w:t>
      </w:r>
      <w:r w:rsidRPr="0029130E">
        <w:t xml:space="preserve"> 170%, respectively, whereas, following a </w:t>
      </w:r>
      <w:r w:rsidR="009F7EDA">
        <w:t>moderate fat</w:t>
      </w:r>
      <w:r w:rsidRPr="0029130E">
        <w:t xml:space="preserve"> (Treatment B) meal, AUC increased by approximately 255%, 150% and 170%.</w:t>
      </w:r>
    </w:p>
    <w:p w:rsidR="0029130E" w:rsidRPr="0029130E" w:rsidRDefault="0029130E" w:rsidP="00475C4E">
      <w:pPr>
        <w:pStyle w:val="ListBullet"/>
      </w:pPr>
      <w:r w:rsidRPr="0029130E">
        <w:t>The results indicate that increase in exposure was similar regardless of meal type.</w:t>
      </w:r>
    </w:p>
    <w:p w:rsidR="0029130E" w:rsidRPr="0029130E" w:rsidRDefault="0029130E" w:rsidP="00475C4E">
      <w:pPr>
        <w:pStyle w:val="Heading6"/>
      </w:pPr>
      <w:r w:rsidRPr="0029130E">
        <w:t>Dasabuvir (as sodium) 2</w:t>
      </w:r>
      <w:r w:rsidR="00286051">
        <w:t>50 mg</w:t>
      </w:r>
      <w:r w:rsidRPr="0029130E">
        <w:t xml:space="preserve"> tablets</w:t>
      </w:r>
    </w:p>
    <w:p w:rsidR="0029130E" w:rsidRPr="0029130E" w:rsidRDefault="0029130E" w:rsidP="0029130E">
      <w:r w:rsidRPr="0029130E">
        <w:t>Comparative bioavailability study M13-330 compares the bioavailability of a primary stability batch (batch 12-003123) of Dasabuvir (as sodium) 2</w:t>
      </w:r>
      <w:r w:rsidR="00286051">
        <w:t>50 mg</w:t>
      </w:r>
      <w:r w:rsidRPr="0029130E">
        <w:t xml:space="preserve"> tablets dosed under fasted conditions or with a moderate fat meal or a </w:t>
      </w:r>
      <w:r w:rsidR="009F7EDA">
        <w:t xml:space="preserve">high fat </w:t>
      </w:r>
      <w:r w:rsidRPr="0029130E">
        <w:t>meal.</w:t>
      </w:r>
    </w:p>
    <w:p w:rsidR="0029130E" w:rsidRPr="0029130E" w:rsidRDefault="0029130E" w:rsidP="0029130E">
      <w:r w:rsidRPr="0029130E">
        <w:t>The following was noted regarding the study:</w:t>
      </w:r>
    </w:p>
    <w:p w:rsidR="0029130E" w:rsidRPr="0029130E" w:rsidRDefault="0029130E" w:rsidP="00475C4E">
      <w:pPr>
        <w:pStyle w:val="ListBullet"/>
      </w:pPr>
      <w:r w:rsidRPr="0029130E">
        <w:t xml:space="preserve">Administration of the dasabuvir (as sodium) 250 mg optimized tablet with a </w:t>
      </w:r>
      <w:r w:rsidR="009F7EDA">
        <w:t>moderate fat</w:t>
      </w:r>
      <w:r w:rsidRPr="0029130E">
        <w:t xml:space="preserve"> breakfast resulted in approximately 35% and 25% increase in dasabuvir exposures (</w:t>
      </w:r>
      <w:r w:rsidR="003A33A4" w:rsidRPr="008912E8">
        <w:t>C</w:t>
      </w:r>
      <w:r w:rsidR="003A33A4" w:rsidRPr="003A33A4">
        <w:rPr>
          <w:vertAlign w:val="subscript"/>
        </w:rPr>
        <w:t>max</w:t>
      </w:r>
      <w:r w:rsidR="00630EF4">
        <w:t xml:space="preserve"> </w:t>
      </w:r>
      <w:r w:rsidRPr="0029130E">
        <w:t>and AUC, respectively) relative to the same tablet administered under fasting conditions.</w:t>
      </w:r>
    </w:p>
    <w:p w:rsidR="0029130E" w:rsidRPr="0029130E" w:rsidRDefault="0029130E" w:rsidP="00475C4E">
      <w:pPr>
        <w:pStyle w:val="ListBullet"/>
      </w:pPr>
      <w:r w:rsidRPr="0029130E">
        <w:t xml:space="preserve">Administration of the dasabuvir (as sodium) 250 mg optimized tablet with a </w:t>
      </w:r>
      <w:r w:rsidR="009F7EDA">
        <w:t xml:space="preserve">high fat </w:t>
      </w:r>
      <w:r w:rsidRPr="0029130E">
        <w:t>breakfast resulted in approximately 30% and 20% increase in dasabuvir exposure (</w:t>
      </w:r>
      <w:r w:rsidR="003A33A4" w:rsidRPr="008912E8">
        <w:t>C</w:t>
      </w:r>
      <w:r w:rsidR="003A33A4" w:rsidRPr="003A33A4">
        <w:rPr>
          <w:vertAlign w:val="subscript"/>
        </w:rPr>
        <w:t>max</w:t>
      </w:r>
      <w:r w:rsidR="00630EF4">
        <w:t xml:space="preserve"> </w:t>
      </w:r>
      <w:r w:rsidRPr="0029130E">
        <w:t>and AUC, respectively)</w:t>
      </w:r>
      <w:r w:rsidR="008B6F3C">
        <w:t xml:space="preserve"> </w:t>
      </w:r>
      <w:r w:rsidRPr="0029130E">
        <w:t>relative to the same tablet administered under fasting conditions.</w:t>
      </w:r>
    </w:p>
    <w:p w:rsidR="0029130E" w:rsidRPr="0029130E" w:rsidRDefault="0029130E" w:rsidP="00475C4E">
      <w:pPr>
        <w:pStyle w:val="ListBullet"/>
      </w:pPr>
      <w:r w:rsidRPr="0029130E">
        <w:t xml:space="preserve">Food had a moderate effect on the bioavailability of the dasabuvir (as sodium) 250 mg </w:t>
      </w:r>
      <w:r w:rsidR="00F201F8">
        <w:t>Phase III</w:t>
      </w:r>
      <w:r w:rsidRPr="0029130E">
        <w:t xml:space="preserve"> optimized tablet in healthy adults, and the fat content of a meal did not affect dasabuvir</w:t>
      </w:r>
      <w:r w:rsidR="008B6F3C">
        <w:t xml:space="preserve"> </w:t>
      </w:r>
      <w:r w:rsidRPr="0029130E">
        <w:t>exposures.</w:t>
      </w:r>
    </w:p>
    <w:p w:rsidR="0029130E" w:rsidRPr="0029130E" w:rsidRDefault="0029130E" w:rsidP="0029130E">
      <w:r w:rsidRPr="0029130E">
        <w:t xml:space="preserve">From a </w:t>
      </w:r>
      <w:r w:rsidR="00C2673D">
        <w:t>chemistry manufacturing and controls</w:t>
      </w:r>
      <w:r w:rsidRPr="0029130E">
        <w:t xml:space="preserve"> perspective, the conclusions from the above studies are considered to adequately support the proposed PI statement “To maximise absorption, </w:t>
      </w:r>
      <w:r w:rsidR="008B6F3C">
        <w:t>Viekira Pak</w:t>
      </w:r>
      <w:r w:rsidRPr="0029130E">
        <w:t xml:space="preserve"> should be taken with food without regard to fat or calorie conte</w:t>
      </w:r>
      <w:r w:rsidR="009F7EDA">
        <w:t>nt.”</w:t>
      </w:r>
    </w:p>
    <w:p w:rsidR="0029130E" w:rsidRPr="0029130E" w:rsidRDefault="0029130E" w:rsidP="00475C4E">
      <w:pPr>
        <w:pStyle w:val="Heading5"/>
      </w:pPr>
      <w:r w:rsidRPr="0029130E">
        <w:t xml:space="preserve">Absolute </w:t>
      </w:r>
      <w:r w:rsidR="0090503E">
        <w:t>b</w:t>
      </w:r>
      <w:r w:rsidRPr="0029130E">
        <w:t>ioavailability</w:t>
      </w:r>
    </w:p>
    <w:p w:rsidR="0029130E" w:rsidRPr="0029130E" w:rsidRDefault="0029130E" w:rsidP="0029130E">
      <w:proofErr w:type="gramStart"/>
      <w:r w:rsidRPr="0029130E">
        <w:t>A ‘justification for waiving the requirement of Absolute Bioavailabil</w:t>
      </w:r>
      <w:r w:rsidR="009F7EDA">
        <w:t>ity Studies’ has been provided.</w:t>
      </w:r>
      <w:proofErr w:type="gramEnd"/>
      <w:r w:rsidR="009F7EDA">
        <w:t xml:space="preserve"> </w:t>
      </w:r>
      <w:r w:rsidRPr="0029130E">
        <w:t>The Justifications concludes:</w:t>
      </w:r>
    </w:p>
    <w:p w:rsidR="0029130E" w:rsidRPr="0029130E" w:rsidRDefault="0029130E" w:rsidP="0029130E">
      <w:r w:rsidRPr="0029130E">
        <w:t xml:space="preserve">“As part of the development program, the absolute bioavailability for dasabuvir has been determined (Study M11-030; dasabuvir absolute bioavailability estimate 46%); however, studies to evaluate the absolute bioavailability of the two active substances of the fixed dose combination tablet, namely </w:t>
      </w:r>
      <w:r w:rsidR="00C2673D">
        <w:t>paritaprevir</w:t>
      </w:r>
      <w:r w:rsidRPr="0029130E">
        <w:t xml:space="preserve"> and ombitasvir, have not been conducted.</w:t>
      </w:r>
    </w:p>
    <w:p w:rsidR="0029130E" w:rsidRDefault="0029130E" w:rsidP="0029130E">
      <w:r w:rsidRPr="0029130E">
        <w:lastRenderedPageBreak/>
        <w:t xml:space="preserve">The absolute bioavailability study for dasabuvir was conducted early in the program to aid in formulation development. For </w:t>
      </w:r>
      <w:r w:rsidR="00C2673D">
        <w:t>paritaprevir</w:t>
      </w:r>
      <w:r w:rsidRPr="0029130E">
        <w:t xml:space="preserve"> and ombitasvir, as </w:t>
      </w:r>
      <w:r w:rsidR="00F201F8">
        <w:t>Phase I</w:t>
      </w:r>
      <w:r w:rsidRPr="0029130E">
        <w:t xml:space="preserve"> and </w:t>
      </w:r>
      <w:r w:rsidR="00F201F8">
        <w:t>Phase II</w:t>
      </w:r>
      <w:r w:rsidRPr="0029130E">
        <w:t xml:space="preserve"> formulations were adequate to achieve therapeutic and supratherapeutic exposures, absolute bioavailability studies were not needed to aid formulation or clinical development. AbbVie has now conducted over 60 </w:t>
      </w:r>
      <w:r w:rsidR="00F201F8">
        <w:t>Phase I</w:t>
      </w:r>
      <w:r w:rsidRPr="0029130E">
        <w:t xml:space="preserve"> studies that characterize the pharmacokinetics of the active substances, and based upon the available data does not believe that absolute bioavailability studies for </w:t>
      </w:r>
      <w:r w:rsidR="00C2673D">
        <w:t>paritaprevir</w:t>
      </w:r>
      <w:r w:rsidRPr="0029130E">
        <w:t xml:space="preserve"> and ombitasvir would provide additional valuable information to characterize the pharmacokinetics of the product.”</w:t>
      </w:r>
    </w:p>
    <w:p w:rsidR="00A26E99" w:rsidRDefault="00344AFA" w:rsidP="00344AFA">
      <w:pPr>
        <w:pStyle w:val="Heading5"/>
      </w:pPr>
      <w:r w:rsidRPr="00344AFA">
        <w:t>Comparative bioavailability</w:t>
      </w:r>
    </w:p>
    <w:p w:rsidR="00344AFA" w:rsidRPr="00344AFA" w:rsidRDefault="00344AFA" w:rsidP="00344AFA">
      <w:r w:rsidRPr="00344AFA">
        <w:t xml:space="preserve">Fifteen Bioavailability studies are listed in </w:t>
      </w:r>
      <w:r>
        <w:t>the dossier</w:t>
      </w:r>
      <w:r w:rsidRPr="00344AFA">
        <w:t>.</w:t>
      </w:r>
      <w:r>
        <w:t xml:space="preserve"> </w:t>
      </w:r>
      <w:r w:rsidRPr="00344AFA">
        <w:t xml:space="preserve">Fourteen of these relate to the </w:t>
      </w:r>
      <w:r w:rsidR="00355DDE">
        <w:t>Viekira Pak</w:t>
      </w:r>
      <w:r w:rsidR="00355DDE" w:rsidRPr="00344AFA">
        <w:t xml:space="preserve"> </w:t>
      </w:r>
      <w:r w:rsidRPr="00344AFA">
        <w:t xml:space="preserve">components and have been reviewed in the separate parallel evaluation for </w:t>
      </w:r>
      <w:r w:rsidR="00355DDE">
        <w:t>Viekira Pak</w:t>
      </w:r>
      <w:r w:rsidRPr="00344AFA">
        <w:t>.</w:t>
      </w:r>
    </w:p>
    <w:p w:rsidR="00344AFA" w:rsidRPr="00344AFA" w:rsidRDefault="00344AFA" w:rsidP="00344AFA">
      <w:r w:rsidRPr="00344AFA">
        <w:t>The remaining study (Study M14-356) is a comparative bioavailability study between the proposed ribavirin 6</w:t>
      </w:r>
      <w:r w:rsidR="00661B33">
        <w:t>00 mg</w:t>
      </w:r>
      <w:r w:rsidRPr="00344AFA">
        <w:t xml:space="preserve"> tablets and 3 x 2</w:t>
      </w:r>
      <w:r w:rsidR="00661B33">
        <w:t>00 mg</w:t>
      </w:r>
      <w:r w:rsidRPr="00344AFA">
        <w:t xml:space="preserve"> C</w:t>
      </w:r>
      <w:r w:rsidR="00355DDE" w:rsidRPr="00344AFA">
        <w:t>opegus</w:t>
      </w:r>
      <w:r w:rsidR="00355DDE">
        <w:t xml:space="preserve"> ribavirin tablets</w:t>
      </w:r>
      <w:r w:rsidRPr="00344AFA">
        <w:t>.</w:t>
      </w:r>
      <w:r>
        <w:t xml:space="preserve"> </w:t>
      </w:r>
      <w:r w:rsidRPr="00344AFA">
        <w:t>The study demonstrated bioequivalent of the two treatments because the 90% confidence intervals for C</w:t>
      </w:r>
      <w:r w:rsidRPr="00355DDE">
        <w:rPr>
          <w:vertAlign w:val="subscript"/>
        </w:rPr>
        <w:t>max</w:t>
      </w:r>
      <w:r w:rsidRPr="00344AFA">
        <w:t xml:space="preserve"> and AUC</w:t>
      </w:r>
      <w:r w:rsidRPr="00355DDE">
        <w:rPr>
          <w:vertAlign w:val="subscript"/>
        </w:rPr>
        <w:t>0-t</w:t>
      </w:r>
      <w:r w:rsidRPr="00344AFA">
        <w:t xml:space="preserve"> ratios fell within the normal bioequivalence range (0.80 to 1.25).</w:t>
      </w:r>
    </w:p>
    <w:p w:rsidR="00344AFA" w:rsidRPr="0029130E" w:rsidRDefault="00344AFA" w:rsidP="0029130E">
      <w:r w:rsidRPr="00344AFA">
        <w:t>A justification for not providing biostudies for the 2</w:t>
      </w:r>
      <w:r w:rsidR="00661B33">
        <w:t>00 mg</w:t>
      </w:r>
      <w:r w:rsidRPr="00344AFA">
        <w:t xml:space="preserve"> and 4</w:t>
      </w:r>
      <w:r w:rsidR="00661B33">
        <w:t>00 mg</w:t>
      </w:r>
      <w:r w:rsidRPr="00344AFA">
        <w:t xml:space="preserve"> tablets was provided and this is considered acceptable with respect to CMC aspects.</w:t>
      </w:r>
    </w:p>
    <w:p w:rsidR="008E7846" w:rsidRPr="008751DC" w:rsidRDefault="008E7846" w:rsidP="008E7846">
      <w:pPr>
        <w:pStyle w:val="Heading3"/>
      </w:pPr>
      <w:bookmarkStart w:id="37" w:name="_Toc247691509"/>
      <w:bookmarkStart w:id="38" w:name="_Toc314842493"/>
      <w:bookmarkStart w:id="39" w:name="_Toc480811556"/>
      <w:bookmarkEnd w:id="36"/>
      <w:r>
        <w:t>Quality s</w:t>
      </w:r>
      <w:r w:rsidRPr="008751DC">
        <w:t>ummary</w:t>
      </w:r>
      <w:r>
        <w:t xml:space="preserve"> and conclusions</w:t>
      </w:r>
      <w:bookmarkEnd w:id="37"/>
      <w:bookmarkEnd w:id="38"/>
      <w:bookmarkEnd w:id="39"/>
    </w:p>
    <w:p w:rsidR="00344AFA" w:rsidRPr="00344AFA" w:rsidRDefault="00344AFA" w:rsidP="00344AFA">
      <w:r w:rsidRPr="00344AFA">
        <w:t xml:space="preserve">Registration of the proposed </w:t>
      </w:r>
      <w:r w:rsidR="00FD1C5A">
        <w:t>Viekira Pak</w:t>
      </w:r>
      <w:r w:rsidRPr="00344AFA">
        <w:t>-RBV combination therapy composite pack, consisting of the following components:</w:t>
      </w:r>
    </w:p>
    <w:p w:rsidR="00A26E99" w:rsidRDefault="00344AFA" w:rsidP="00344AFA">
      <w:pPr>
        <w:pStyle w:val="ListBullet"/>
      </w:pPr>
      <w:r w:rsidRPr="00344AFA">
        <w:t xml:space="preserve">a </w:t>
      </w:r>
      <w:r w:rsidR="00FD1C5A">
        <w:t xml:space="preserve">new fixed-dose combination film </w:t>
      </w:r>
      <w:r w:rsidRPr="00344AFA">
        <w:t>coated tablet comprising of 75</w:t>
      </w:r>
      <w:r w:rsidR="00FD1C5A">
        <w:t xml:space="preserve"> </w:t>
      </w:r>
      <w:r w:rsidRPr="00344AFA">
        <w:t>mg paritaprevir, 50</w:t>
      </w:r>
      <w:r w:rsidR="00FD1C5A">
        <w:t xml:space="preserve"> </w:t>
      </w:r>
      <w:r w:rsidRPr="00344AFA">
        <w:t>mg ritonavir and 12.5</w:t>
      </w:r>
      <w:r w:rsidR="00FD1C5A">
        <w:t xml:space="preserve"> </w:t>
      </w:r>
      <w:r w:rsidRPr="00344AFA">
        <w:t>mg ombitasvir, and</w:t>
      </w:r>
    </w:p>
    <w:p w:rsidR="00344AFA" w:rsidRPr="00344AFA" w:rsidRDefault="00344AFA" w:rsidP="00344AFA">
      <w:pPr>
        <w:pStyle w:val="ListBullet"/>
      </w:pPr>
      <w:r w:rsidRPr="00344AFA">
        <w:t>dasabuvir (as sodium salt) 250</w:t>
      </w:r>
      <w:r w:rsidR="00FD1C5A">
        <w:t xml:space="preserve"> mg film </w:t>
      </w:r>
      <w:r w:rsidRPr="00344AFA">
        <w:t>coated tablets,</w:t>
      </w:r>
    </w:p>
    <w:p w:rsidR="00344AFA" w:rsidRPr="00344AFA" w:rsidRDefault="00344AFA" w:rsidP="00344AFA">
      <w:pPr>
        <w:pStyle w:val="ListBullet"/>
      </w:pPr>
      <w:r w:rsidRPr="00344AFA">
        <w:t>ribavirin 2</w:t>
      </w:r>
      <w:r w:rsidR="00661B33">
        <w:t>00 mg</w:t>
      </w:r>
      <w:r w:rsidRPr="00344AFA">
        <w:t>, 4</w:t>
      </w:r>
      <w:r w:rsidR="00661B33">
        <w:t>00 mg</w:t>
      </w:r>
      <w:r w:rsidRPr="00344AFA">
        <w:t xml:space="preserve"> and/or 6</w:t>
      </w:r>
      <w:r w:rsidR="00661B33">
        <w:t>00 mg</w:t>
      </w:r>
      <w:r w:rsidR="00FD1C5A">
        <w:t xml:space="preserve"> film </w:t>
      </w:r>
      <w:r w:rsidRPr="00344AFA">
        <w:t>coated tablets</w:t>
      </w:r>
    </w:p>
    <w:p w:rsidR="00344AFA" w:rsidRPr="00344AFA" w:rsidRDefault="00344AFA" w:rsidP="00344AFA">
      <w:proofErr w:type="gramStart"/>
      <w:r w:rsidRPr="00344AFA">
        <w:t>is</w:t>
      </w:r>
      <w:proofErr w:type="gramEnd"/>
      <w:r w:rsidRPr="00344AFA">
        <w:t xml:space="preserve"> recommended with respect to quality and biopharmaceutic aspects. All issues raised during the initial evaluation of this application have now been satisfactorily resolved apart from some mi</w:t>
      </w:r>
      <w:r w:rsidR="00FD1C5A">
        <w:t>nor PI and labelling revisions.</w:t>
      </w:r>
    </w:p>
    <w:p w:rsidR="00344AFA" w:rsidRPr="00344AFA" w:rsidRDefault="00344AFA" w:rsidP="00344AFA">
      <w:r w:rsidRPr="00344AFA">
        <w:t>As no significant pharmaceutical chemistry issues were identified, the CMC aspects of the submission were not referred to the Pharmaceutical Subcommittee of the ACPM, in keeping with recent branch policy.</w:t>
      </w:r>
    </w:p>
    <w:p w:rsidR="008E7846" w:rsidRDefault="008E7846" w:rsidP="008E7846">
      <w:pPr>
        <w:pStyle w:val="Heading2"/>
      </w:pPr>
      <w:bookmarkStart w:id="40" w:name="_Toc196046439"/>
      <w:bookmarkStart w:id="41" w:name="_Toc247691510"/>
      <w:bookmarkStart w:id="42" w:name="_Toc314842494"/>
      <w:bookmarkStart w:id="43" w:name="_Toc480811557"/>
      <w:r>
        <w:t>III. Nonclinical</w:t>
      </w:r>
      <w:bookmarkEnd w:id="40"/>
      <w:r>
        <w:t xml:space="preserve"> findings</w:t>
      </w:r>
      <w:bookmarkEnd w:id="41"/>
      <w:bookmarkEnd w:id="42"/>
      <w:bookmarkEnd w:id="43"/>
    </w:p>
    <w:p w:rsidR="008E7846" w:rsidRDefault="008E7846" w:rsidP="00940A89">
      <w:pPr>
        <w:pStyle w:val="Heading3"/>
      </w:pPr>
      <w:bookmarkStart w:id="44" w:name="_Toc247691511"/>
      <w:bookmarkStart w:id="45" w:name="_Toc314842495"/>
      <w:bookmarkStart w:id="46" w:name="_Toc480811558"/>
      <w:r>
        <w:t>Introduction</w:t>
      </w:r>
      <w:bookmarkEnd w:id="44"/>
      <w:bookmarkEnd w:id="45"/>
      <w:bookmarkEnd w:id="46"/>
    </w:p>
    <w:p w:rsidR="00475C4E" w:rsidRDefault="00475C4E" w:rsidP="00475C4E">
      <w:r>
        <w:t>The nonclinical evaluation of this submission has been performed in four parts</w:t>
      </w:r>
      <w:r w:rsidR="00CE21BD">
        <w:t xml:space="preserve"> the first three for each of the new chemical entities and the third for the combination product</w:t>
      </w:r>
      <w:r>
        <w:t>;</w:t>
      </w:r>
    </w:p>
    <w:p w:rsidR="00CE21BD" w:rsidRDefault="00CE21BD" w:rsidP="00CE21BD">
      <w:pPr>
        <w:pStyle w:val="ListBullet"/>
      </w:pPr>
      <w:r>
        <w:t>Paritaprevir</w:t>
      </w:r>
    </w:p>
    <w:p w:rsidR="00475C4E" w:rsidRDefault="00475C4E" w:rsidP="00475C4E">
      <w:pPr>
        <w:pStyle w:val="ListBullet"/>
      </w:pPr>
      <w:r>
        <w:t>Ombitasvir</w:t>
      </w:r>
    </w:p>
    <w:p w:rsidR="00475C4E" w:rsidRDefault="00CE21BD" w:rsidP="00475C4E">
      <w:pPr>
        <w:pStyle w:val="ListBullet"/>
      </w:pPr>
      <w:r>
        <w:t>Dasabuvir</w:t>
      </w:r>
    </w:p>
    <w:p w:rsidR="00475C4E" w:rsidRDefault="00475C4E" w:rsidP="00475C4E">
      <w:pPr>
        <w:pStyle w:val="ListBullet"/>
      </w:pPr>
      <w:r>
        <w:t>Fixed dose combination</w:t>
      </w:r>
    </w:p>
    <w:p w:rsidR="00475C4E" w:rsidRDefault="00475C4E" w:rsidP="00475C4E">
      <w:r>
        <w:t>Each of these will be presented separately below.</w:t>
      </w:r>
    </w:p>
    <w:p w:rsidR="00CE21BD" w:rsidRPr="00475C4E" w:rsidRDefault="00CE21BD" w:rsidP="0090503E">
      <w:pPr>
        <w:pStyle w:val="Heading3"/>
      </w:pPr>
      <w:bookmarkStart w:id="47" w:name="_Toc480811559"/>
      <w:r w:rsidRPr="00CE21BD">
        <w:lastRenderedPageBreak/>
        <w:t>Paritaprevir</w:t>
      </w:r>
      <w:bookmarkEnd w:id="47"/>
    </w:p>
    <w:p w:rsidR="00CE21BD" w:rsidRPr="00475C4E" w:rsidRDefault="008E7846" w:rsidP="0090503E">
      <w:pPr>
        <w:pStyle w:val="Heading3"/>
      </w:pPr>
      <w:bookmarkStart w:id="48" w:name="_Toc247691512"/>
      <w:bookmarkStart w:id="49" w:name="_Toc314842496"/>
      <w:bookmarkStart w:id="50" w:name="_Toc480811560"/>
      <w:r w:rsidRPr="00020030">
        <w:t>Pharmacology</w:t>
      </w:r>
      <w:bookmarkEnd w:id="48"/>
      <w:bookmarkEnd w:id="49"/>
      <w:r w:rsidR="00CE21BD">
        <w:t xml:space="preserve"> - </w:t>
      </w:r>
      <w:r w:rsidR="008B6F3C">
        <w:t>paritaprevir</w:t>
      </w:r>
      <w:bookmarkEnd w:id="50"/>
    </w:p>
    <w:p w:rsidR="00CE21BD" w:rsidRPr="00CE21BD" w:rsidRDefault="00CE21BD" w:rsidP="00CE21BD">
      <w:pPr>
        <w:pStyle w:val="Heading4"/>
      </w:pPr>
      <w:r w:rsidRPr="00CE21BD">
        <w:t>Primary pharmacology</w:t>
      </w:r>
    </w:p>
    <w:p w:rsidR="00CE21BD" w:rsidRPr="00CE21BD" w:rsidRDefault="00CE21BD" w:rsidP="00CE21BD">
      <w:r w:rsidRPr="00CE21BD">
        <w:t>Paritaprevir was developed as an inhibitor of HCV NS3/4A protease, the enzyme that catalyses HCV polyprotein cleavage into mature forms of the NS3, NS4A, NS4B, NS5A and NS5B proteins, which are essential for viral replication</w:t>
      </w:r>
      <w:r w:rsidR="009F7EDA">
        <w:t>.</w:t>
      </w:r>
      <w:r w:rsidRPr="009F7EDA">
        <w:rPr>
          <w:vertAlign w:val="superscript"/>
        </w:rPr>
        <w:footnoteReference w:id="3"/>
      </w:r>
      <w:r w:rsidRPr="00CE21BD">
        <w:t xml:space="preserve"> In addition to its role in replication, HCV protease also plays a key role in the inhibition of cellular targets involved in the</w:t>
      </w:r>
      <w:r w:rsidR="009F7EDA">
        <w:t xml:space="preserve"> induction of type-I interferon </w:t>
      </w:r>
      <w:r w:rsidRPr="00CE21BD">
        <w:t>mediated responses, and thus the innate immunity of the host cell</w:t>
      </w:r>
      <w:r w:rsidR="009F7EDA">
        <w:t>.</w:t>
      </w:r>
      <w:r w:rsidRPr="009F7EDA">
        <w:rPr>
          <w:vertAlign w:val="superscript"/>
        </w:rPr>
        <w:footnoteReference w:id="4"/>
      </w:r>
      <w:r w:rsidRPr="00CE21BD">
        <w:t xml:space="preserve"> The efficacy studies submitted assessed the inhibitory activity of paritaprevir in in vitro enzyme assays and standard subgenomic HCV replicon assays. No proof-of-concept studies were conducted in animal models of HCV. This is not considered a major deficiency</w:t>
      </w:r>
      <w:r w:rsidR="009F7EDA">
        <w:t>.</w:t>
      </w:r>
      <w:bookmarkStart w:id="51" w:name="_Ref473801083"/>
      <w:r w:rsidRPr="009F7EDA">
        <w:rPr>
          <w:vertAlign w:val="superscript"/>
        </w:rPr>
        <w:footnoteReference w:id="5"/>
      </w:r>
      <w:bookmarkEnd w:id="51"/>
    </w:p>
    <w:p w:rsidR="00CE21BD" w:rsidRPr="00CE21BD" w:rsidRDefault="00CE21BD" w:rsidP="00CE21BD">
      <w:r w:rsidRPr="00CE21BD">
        <w:t xml:space="preserve">Paritaprevir inhibited genotype 1 HCV NS3/4A protease in vitro, with </w:t>
      </w:r>
      <w:r w:rsidR="00014BB3" w:rsidRPr="00747C34">
        <w:t xml:space="preserve">half maximal inhibitory </w:t>
      </w:r>
      <w:r w:rsidR="00014BB3" w:rsidRPr="00014BB3">
        <w:t>concentration (</w:t>
      </w:r>
      <w:r w:rsidR="00014BB3">
        <w:t>IC</w:t>
      </w:r>
      <w:r w:rsidR="00014BB3" w:rsidRPr="00E355BF">
        <w:rPr>
          <w:vertAlign w:val="subscript"/>
        </w:rPr>
        <w:t>50</w:t>
      </w:r>
      <w:r w:rsidR="00014BB3" w:rsidRPr="00014BB3">
        <w:t>)</w:t>
      </w:r>
      <w:r w:rsidRPr="00014BB3">
        <w:t xml:space="preserve"> values</w:t>
      </w:r>
      <w:r w:rsidRPr="00CE21BD">
        <w:t xml:space="preserve"> against genotypes 1a and 1b between 0.043 nM and 0.43 nM, compared with the clinical free </w:t>
      </w:r>
      <w:r w:rsidR="00BF1FC5" w:rsidRPr="00CE21BD">
        <w:t>C</w:t>
      </w:r>
      <w:r w:rsidR="00BF1FC5" w:rsidRPr="00BF1FC5">
        <w:rPr>
          <w:vertAlign w:val="subscript"/>
        </w:rPr>
        <w:t>min</w:t>
      </w:r>
      <w:r w:rsidRPr="00CE21BD">
        <w:t xml:space="preserve"> of 0.36 nM (0.27 ng/mL)</w:t>
      </w:r>
      <w:r w:rsidR="0021113A">
        <w:t>.</w:t>
      </w:r>
      <w:r w:rsidRPr="0021113A">
        <w:rPr>
          <w:vertAlign w:val="superscript"/>
        </w:rPr>
        <w:footnoteReference w:id="6"/>
      </w:r>
      <w:r w:rsidR="00514939" w:rsidRPr="009E2121">
        <w:rPr>
          <w:rStyle w:val="FootnoteReference"/>
        </w:rPr>
        <w:footnoteReference w:id="7"/>
      </w:r>
      <w:r w:rsidR="00514939">
        <w:t xml:space="preserve"> </w:t>
      </w:r>
      <w:r w:rsidRPr="00CE21BD">
        <w:t xml:space="preserve">n cell culture using subgenomic HCV replicon assays the </w:t>
      </w:r>
      <w:r w:rsidR="00014BB3" w:rsidRPr="00014BB3">
        <w:t>50% effective concentration (</w:t>
      </w:r>
      <w:r w:rsidR="00014BB3">
        <w:t>EC</w:t>
      </w:r>
      <w:r w:rsidR="00014BB3" w:rsidRPr="00E355BF">
        <w:rPr>
          <w:vertAlign w:val="subscript"/>
        </w:rPr>
        <w:t>50</w:t>
      </w:r>
      <w:r w:rsidR="00014BB3" w:rsidRPr="00014BB3">
        <w:t>)</w:t>
      </w:r>
      <w:r w:rsidR="00014BB3">
        <w:t xml:space="preserve"> </w:t>
      </w:r>
      <w:r w:rsidRPr="00CE21BD">
        <w:t>values against standard laboratory genotype 1a and 1b strains (H77 and Con1, respectively) in subgenomi</w:t>
      </w:r>
      <w:r w:rsidR="0021113A">
        <w:t xml:space="preserve">c HCV replicon assays were 0.94 to 1.0 nM and 0.21 to </w:t>
      </w:r>
      <w:r w:rsidRPr="00CE21BD">
        <w:t>0.32 nM, respectiv</w:t>
      </w:r>
      <w:r w:rsidR="0021113A">
        <w:t xml:space="preserve">ely, and potency was reduced 24 to </w:t>
      </w:r>
      <w:r w:rsidRPr="00CE21BD">
        <w:t>27 fold in the presence of 40% human plasma (to 23 nM and 8.7 nM, respectively).</w:t>
      </w:r>
      <w:r w:rsidR="008B6F3C">
        <w:t xml:space="preserve"> </w:t>
      </w:r>
      <w:r w:rsidRPr="00CE21BD">
        <w:t>Paritaprevir had similar efficacy against a panel of genotype 1a and 1b clinical isolates in the HCV subgenomic replicon assay</w:t>
      </w:r>
      <w:r w:rsidRPr="00014BB3">
        <w:t xml:space="preserve">; </w:t>
      </w:r>
      <w:r w:rsidR="00014BB3">
        <w:t>EC</w:t>
      </w:r>
      <w:r w:rsidR="00014BB3" w:rsidRPr="00E355BF">
        <w:rPr>
          <w:vertAlign w:val="subscript"/>
        </w:rPr>
        <w:t>50</w:t>
      </w:r>
      <w:r w:rsidRPr="00CE21BD">
        <w:t xml:space="preserve"> 0.86 nM (range 0.43</w:t>
      </w:r>
      <w:r w:rsidR="00BF1FC5">
        <w:t xml:space="preserve"> </w:t>
      </w:r>
      <w:r w:rsidR="0021113A">
        <w:t>to</w:t>
      </w:r>
      <w:r w:rsidR="00BF1FC5">
        <w:t xml:space="preserve"> </w:t>
      </w:r>
      <w:r w:rsidRPr="00CE21BD">
        <w:t>1.87 nM; n</w:t>
      </w:r>
      <w:r w:rsidR="00BF1FC5">
        <w:t xml:space="preserve"> = </w:t>
      </w:r>
      <w:r w:rsidRPr="00CE21BD">
        <w:t>11) and 0.058 nM (range 0.033</w:t>
      </w:r>
      <w:r w:rsidR="0021113A">
        <w:t xml:space="preserve"> to </w:t>
      </w:r>
      <w:r w:rsidRPr="00CE21BD">
        <w:t>0.087 nM; n</w:t>
      </w:r>
      <w:r w:rsidR="00BF1FC5">
        <w:t xml:space="preserve"> = </w:t>
      </w:r>
      <w:r w:rsidRPr="00CE21BD">
        <w:t>9), respectively.</w:t>
      </w:r>
    </w:p>
    <w:p w:rsidR="00CE21BD" w:rsidRPr="00CE21BD" w:rsidRDefault="00CE21BD" w:rsidP="00CE21BD">
      <w:r w:rsidRPr="00CE21BD">
        <w:t xml:space="preserve">Paritaprevir also showed activity against genotype 4a, with </w:t>
      </w:r>
      <w:r w:rsidR="00014BB3">
        <w:t>IC</w:t>
      </w:r>
      <w:r w:rsidR="00014BB3" w:rsidRPr="00E355BF">
        <w:rPr>
          <w:vertAlign w:val="subscript"/>
        </w:rPr>
        <w:t>50</w:t>
      </w:r>
      <w:r w:rsidRPr="00CE21BD">
        <w:t xml:space="preserve"> for NS3/4A protease determined at 0.1</w:t>
      </w:r>
      <w:r w:rsidR="0021113A">
        <w:t xml:space="preserve"> to </w:t>
      </w:r>
      <w:r w:rsidRPr="00CE21BD">
        <w:t xml:space="preserve">0.16 nM, and the </w:t>
      </w:r>
      <w:r w:rsidR="00014BB3">
        <w:t>EC</w:t>
      </w:r>
      <w:r w:rsidR="00014BB3" w:rsidRPr="00E355BF">
        <w:rPr>
          <w:vertAlign w:val="subscript"/>
        </w:rPr>
        <w:t>50</w:t>
      </w:r>
      <w:r w:rsidRPr="00CE21BD">
        <w:t xml:space="preserve"> against cell culture replicons containing genotype 4a determined to be 0.09 nM. Efficacy against genotype 6a was also sub</w:t>
      </w:r>
      <w:r w:rsidR="00BF1FC5">
        <w:t>-</w:t>
      </w:r>
      <w:r w:rsidRPr="00CE21BD">
        <w:t>nanomolar (</w:t>
      </w:r>
      <w:r w:rsidR="00014BB3">
        <w:t>EC</w:t>
      </w:r>
      <w:r w:rsidR="00014BB3" w:rsidRPr="00E355BF">
        <w:rPr>
          <w:vertAlign w:val="subscript"/>
        </w:rPr>
        <w:t>50</w:t>
      </w:r>
      <w:r w:rsidR="00BF1FC5">
        <w:t xml:space="preserve"> = 0.68 nM).</w:t>
      </w:r>
    </w:p>
    <w:p w:rsidR="00CE21BD" w:rsidRPr="00CE21BD" w:rsidRDefault="00CE21BD" w:rsidP="00CE21BD">
      <w:r w:rsidRPr="00CE21BD">
        <w:t xml:space="preserve">Investigation of HCV NS3/4A protease inhibition for genotypes 2a and 2b yielded </w:t>
      </w:r>
      <w:r w:rsidR="00014BB3">
        <w:t>IC</w:t>
      </w:r>
      <w:r w:rsidR="00014BB3" w:rsidRPr="00E355BF">
        <w:rPr>
          <w:vertAlign w:val="subscript"/>
        </w:rPr>
        <w:t>50</w:t>
      </w:r>
      <w:r w:rsidRPr="00CE21BD">
        <w:t xml:space="preserve"> values of 2.3</w:t>
      </w:r>
      <w:r w:rsidR="0021113A">
        <w:t xml:space="preserve"> to </w:t>
      </w:r>
      <w:r w:rsidRPr="00CE21BD">
        <w:t>2.4 nM and 6.3 nM, respectively, while protease inhibition for the 3a strain was an order of magnitude higher again (</w:t>
      </w:r>
      <w:r w:rsidR="00014BB3">
        <w:t>IC</w:t>
      </w:r>
      <w:r w:rsidR="00014BB3" w:rsidRPr="00E355BF">
        <w:rPr>
          <w:vertAlign w:val="subscript"/>
        </w:rPr>
        <w:t>50</w:t>
      </w:r>
      <w:r w:rsidR="00BF1FC5">
        <w:t xml:space="preserve"> = </w:t>
      </w:r>
      <w:r w:rsidRPr="00CE21BD">
        <w:t>14.5</w:t>
      </w:r>
      <w:r w:rsidR="0021113A">
        <w:t xml:space="preserve"> to </w:t>
      </w:r>
      <w:r w:rsidRPr="00CE21BD">
        <w:t xml:space="preserve">20.5 nM). In stable cell culture replicons containing type 2a JFH-1 genotype the </w:t>
      </w:r>
      <w:r w:rsidR="00014BB3">
        <w:t>EC</w:t>
      </w:r>
      <w:r w:rsidR="00014BB3" w:rsidRPr="00E355BF">
        <w:rPr>
          <w:vertAlign w:val="subscript"/>
        </w:rPr>
        <w:t>50</w:t>
      </w:r>
      <w:r w:rsidRPr="00CE21BD">
        <w:t xml:space="preserve"> value for paritaprevir was 5.3 nM. The corresponding v</w:t>
      </w:r>
      <w:r w:rsidR="00BF1FC5">
        <w:t>alue for genotype 3a was 19 nM.</w:t>
      </w:r>
    </w:p>
    <w:p w:rsidR="00CE21BD" w:rsidRPr="00CE21BD" w:rsidRDefault="00CE21BD" w:rsidP="00CE21BD">
      <w:r w:rsidRPr="00CE21BD">
        <w:t>The protease inhibition and antiviral efficacy of paritaprevir was highly specific for HCV NS3</w:t>
      </w:r>
      <w:r w:rsidR="00B76905">
        <w:t>/</w:t>
      </w:r>
      <w:r w:rsidRPr="00CE21BD">
        <w:t xml:space="preserve">4A. Inhibition of a panel of representative human proteases was observed only at concentrations 4 </w:t>
      </w:r>
      <w:r w:rsidR="00BF1FC5" w:rsidRPr="00CE21BD">
        <w:t>x</w:t>
      </w:r>
      <w:r w:rsidRPr="00CE21BD">
        <w:t xml:space="preserve"> 10</w:t>
      </w:r>
      <w:r w:rsidRPr="009E2121">
        <w:rPr>
          <w:vertAlign w:val="superscript"/>
        </w:rPr>
        <w:t>6</w:t>
      </w:r>
      <w:r w:rsidRPr="00CE21BD">
        <w:t xml:space="preserve"> times higher than those required to inhibit genotype 1 HCV NS3/4A protease, while the therapeutic index for its antiviral efficacy against genotypes 1a a</w:t>
      </w:r>
      <w:r w:rsidR="00BF1FC5">
        <w:t>nd 1b replicons was 58,000 fold.</w:t>
      </w:r>
    </w:p>
    <w:p w:rsidR="00CE21BD" w:rsidRPr="00CE21BD" w:rsidRDefault="00CE21BD" w:rsidP="00CE21BD">
      <w:pPr>
        <w:pStyle w:val="Heading5"/>
      </w:pPr>
      <w:r w:rsidRPr="00CE21BD">
        <w:lastRenderedPageBreak/>
        <w:t>Resistance and cross-resistance</w:t>
      </w:r>
    </w:p>
    <w:p w:rsidR="00CE21BD" w:rsidRPr="00CE21BD" w:rsidRDefault="00C36BE1" w:rsidP="00FF289D">
      <w:pPr>
        <w:pStyle w:val="Tabletitle0"/>
      </w:pPr>
      <w:r>
        <w:t>Table 2</w:t>
      </w:r>
      <w:r w:rsidR="00E03178">
        <w:t>:</w:t>
      </w:r>
      <w:r w:rsidR="00CE21BD" w:rsidRPr="00CE21BD">
        <w:t xml:space="preserve"> Mutations in NS3/4A that conferred resistance to paritaprevir in HCV replicon assays</w:t>
      </w:r>
    </w:p>
    <w:tbl>
      <w:tblPr>
        <w:tblStyle w:val="TableTGAblue"/>
        <w:tblW w:w="8156" w:type="dxa"/>
        <w:tblLayout w:type="fixed"/>
        <w:tblLook w:val="01E0" w:firstRow="1" w:lastRow="1" w:firstColumn="1" w:lastColumn="1" w:noHBand="0" w:noVBand="0"/>
      </w:tblPr>
      <w:tblGrid>
        <w:gridCol w:w="2039"/>
        <w:gridCol w:w="2039"/>
        <w:gridCol w:w="2028"/>
        <w:gridCol w:w="2050"/>
      </w:tblGrid>
      <w:tr w:rsidR="00CE21BD" w:rsidRPr="00CE21BD" w:rsidTr="00014BB3">
        <w:trPr>
          <w:cnfStyle w:val="100000000000" w:firstRow="1" w:lastRow="0" w:firstColumn="0" w:lastColumn="0" w:oddVBand="0" w:evenVBand="0" w:oddHBand="0" w:evenHBand="0" w:firstRowFirstColumn="0" w:firstRowLastColumn="0" w:lastRowFirstColumn="0" w:lastRowLastColumn="0"/>
          <w:trHeight w:val="243"/>
        </w:trPr>
        <w:tc>
          <w:tcPr>
            <w:tcW w:w="2039" w:type="dxa"/>
          </w:tcPr>
          <w:p w:rsidR="00CE21BD" w:rsidRPr="00CE21BD" w:rsidRDefault="00CE21BD" w:rsidP="0090503E">
            <w:r w:rsidRPr="00CE21BD">
              <w:t>Mutation</w:t>
            </w:r>
          </w:p>
        </w:tc>
        <w:tc>
          <w:tcPr>
            <w:tcW w:w="2039" w:type="dxa"/>
          </w:tcPr>
          <w:p w:rsidR="00CE21BD" w:rsidRPr="00CE21BD" w:rsidRDefault="00014BB3" w:rsidP="0090503E">
            <w:r>
              <w:t>EC</w:t>
            </w:r>
            <w:r w:rsidRPr="00E355BF">
              <w:rPr>
                <w:vertAlign w:val="subscript"/>
              </w:rPr>
              <w:t>50</w:t>
            </w:r>
            <w:r w:rsidR="00CE21BD" w:rsidRPr="00CE21BD">
              <w:t xml:space="preserve"> (nM)</w:t>
            </w:r>
          </w:p>
        </w:tc>
        <w:tc>
          <w:tcPr>
            <w:tcW w:w="2028" w:type="dxa"/>
          </w:tcPr>
          <w:p w:rsidR="00CE21BD" w:rsidRPr="00CE21BD" w:rsidRDefault="00CE21BD" w:rsidP="0090503E">
            <w:r w:rsidRPr="00CE21BD">
              <w:t>Fold loss of activity</w:t>
            </w:r>
          </w:p>
        </w:tc>
        <w:tc>
          <w:tcPr>
            <w:tcW w:w="2050" w:type="dxa"/>
          </w:tcPr>
          <w:p w:rsidR="00CE21BD" w:rsidRPr="00CE21BD" w:rsidRDefault="00CE21BD" w:rsidP="0090503E">
            <w:r w:rsidRPr="00CE21BD">
              <w:t>Replication Efficiency (%)</w:t>
            </w:r>
          </w:p>
        </w:tc>
      </w:tr>
      <w:tr w:rsidR="00CE21BD" w:rsidRPr="00CE21BD" w:rsidTr="00014BB3">
        <w:trPr>
          <w:trHeight w:val="121"/>
        </w:trPr>
        <w:tc>
          <w:tcPr>
            <w:tcW w:w="2039" w:type="dxa"/>
          </w:tcPr>
          <w:p w:rsidR="00CE21BD" w:rsidRPr="00CE21BD" w:rsidRDefault="00CE21BD" w:rsidP="0090503E">
            <w:r w:rsidRPr="00CE21BD">
              <w:t>Wild type 1a</w:t>
            </w:r>
          </w:p>
        </w:tc>
        <w:tc>
          <w:tcPr>
            <w:tcW w:w="2039" w:type="dxa"/>
          </w:tcPr>
          <w:p w:rsidR="00CE21BD" w:rsidRPr="00CE21BD" w:rsidRDefault="00CE21BD" w:rsidP="0090503E">
            <w:r w:rsidRPr="00CE21BD">
              <w:t>1.4</w:t>
            </w:r>
          </w:p>
        </w:tc>
        <w:tc>
          <w:tcPr>
            <w:tcW w:w="2028" w:type="dxa"/>
          </w:tcPr>
          <w:p w:rsidR="00CE21BD" w:rsidRPr="00CE21BD" w:rsidRDefault="00CE21BD" w:rsidP="0090503E">
            <w:r w:rsidRPr="00CE21BD">
              <w:t>-</w:t>
            </w:r>
          </w:p>
        </w:tc>
        <w:tc>
          <w:tcPr>
            <w:tcW w:w="2050" w:type="dxa"/>
          </w:tcPr>
          <w:p w:rsidR="00CE21BD" w:rsidRPr="00CE21BD" w:rsidRDefault="00CE21BD" w:rsidP="0090503E">
            <w:r w:rsidRPr="00CE21BD">
              <w:t>100</w:t>
            </w:r>
          </w:p>
        </w:tc>
      </w:tr>
      <w:tr w:rsidR="00CE21BD" w:rsidRPr="00CE21BD" w:rsidTr="00014BB3">
        <w:trPr>
          <w:trHeight w:val="121"/>
        </w:trPr>
        <w:tc>
          <w:tcPr>
            <w:tcW w:w="8156" w:type="dxa"/>
            <w:gridSpan w:val="4"/>
          </w:tcPr>
          <w:p w:rsidR="00CE21BD" w:rsidRPr="00CE21BD" w:rsidRDefault="00AE29C4" w:rsidP="0090503E">
            <w:r>
              <w:t xml:space="preserve">≤ </w:t>
            </w:r>
            <w:r w:rsidR="00CE21BD" w:rsidRPr="00CE21BD">
              <w:t>3 fold resistance</w:t>
            </w:r>
          </w:p>
        </w:tc>
      </w:tr>
      <w:tr w:rsidR="00CE21BD" w:rsidRPr="00CE21BD" w:rsidTr="00014BB3">
        <w:trPr>
          <w:trHeight w:val="121"/>
        </w:trPr>
        <w:tc>
          <w:tcPr>
            <w:tcW w:w="2039" w:type="dxa"/>
          </w:tcPr>
          <w:p w:rsidR="00CE21BD" w:rsidRPr="00CE21BD" w:rsidRDefault="00CE21BD" w:rsidP="0090503E">
            <w:r w:rsidRPr="00CE21BD">
              <w:t>V23A (NS4A)</w:t>
            </w:r>
          </w:p>
        </w:tc>
        <w:tc>
          <w:tcPr>
            <w:tcW w:w="2039" w:type="dxa"/>
          </w:tcPr>
          <w:p w:rsidR="00CE21BD" w:rsidRPr="00CE21BD" w:rsidRDefault="00CE21BD" w:rsidP="0090503E">
            <w:r w:rsidRPr="00CE21BD">
              <w:t>2.6</w:t>
            </w:r>
          </w:p>
        </w:tc>
        <w:tc>
          <w:tcPr>
            <w:tcW w:w="2028" w:type="dxa"/>
          </w:tcPr>
          <w:p w:rsidR="00CE21BD" w:rsidRPr="00CE21BD" w:rsidRDefault="00CE21BD" w:rsidP="0090503E">
            <w:r w:rsidRPr="00CE21BD">
              <w:t>2</w:t>
            </w:r>
          </w:p>
        </w:tc>
        <w:tc>
          <w:tcPr>
            <w:tcW w:w="2050" w:type="dxa"/>
          </w:tcPr>
          <w:p w:rsidR="00CE21BD" w:rsidRPr="00CE21BD" w:rsidRDefault="00CE21BD" w:rsidP="0090503E">
            <w:r w:rsidRPr="00CE21BD">
              <w:t>70</w:t>
            </w:r>
          </w:p>
        </w:tc>
      </w:tr>
      <w:tr w:rsidR="00CE21BD" w:rsidRPr="00CE21BD" w:rsidTr="00014BB3">
        <w:trPr>
          <w:trHeight w:val="121"/>
        </w:trPr>
        <w:tc>
          <w:tcPr>
            <w:tcW w:w="2039" w:type="dxa"/>
          </w:tcPr>
          <w:p w:rsidR="00CE21BD" w:rsidRPr="00CE21BD" w:rsidRDefault="00CE21BD" w:rsidP="0090503E">
            <w:r w:rsidRPr="00CE21BD">
              <w:t>V36A/L/M</w:t>
            </w:r>
          </w:p>
        </w:tc>
        <w:tc>
          <w:tcPr>
            <w:tcW w:w="2039" w:type="dxa"/>
          </w:tcPr>
          <w:p w:rsidR="00CE21BD" w:rsidRPr="00CE21BD" w:rsidRDefault="00CE21BD" w:rsidP="0090503E">
            <w:r w:rsidRPr="00CE21BD">
              <w:t>2.5</w:t>
            </w:r>
            <w:r w:rsidR="0021113A">
              <w:t xml:space="preserve"> to </w:t>
            </w:r>
            <w:r w:rsidRPr="00CE21BD">
              <w:t>4.4</w:t>
            </w:r>
          </w:p>
        </w:tc>
        <w:tc>
          <w:tcPr>
            <w:tcW w:w="2028" w:type="dxa"/>
          </w:tcPr>
          <w:p w:rsidR="00CE21BD" w:rsidRPr="00CE21BD" w:rsidRDefault="00CE21BD" w:rsidP="0090503E">
            <w:r w:rsidRPr="00CE21BD">
              <w:t>2</w:t>
            </w:r>
            <w:r w:rsidR="0021113A">
              <w:t xml:space="preserve"> to </w:t>
            </w:r>
            <w:r w:rsidRPr="00CE21BD">
              <w:t>3</w:t>
            </w:r>
          </w:p>
        </w:tc>
        <w:tc>
          <w:tcPr>
            <w:tcW w:w="2050" w:type="dxa"/>
          </w:tcPr>
          <w:p w:rsidR="00CE21BD" w:rsidRPr="00CE21BD" w:rsidRDefault="00CE21BD" w:rsidP="0090503E">
            <w:r w:rsidRPr="00CE21BD">
              <w:t>81</w:t>
            </w:r>
            <w:r w:rsidR="0021113A">
              <w:t xml:space="preserve"> to </w:t>
            </w:r>
            <w:r w:rsidRPr="00CE21BD">
              <w:t>130</w:t>
            </w:r>
          </w:p>
        </w:tc>
      </w:tr>
      <w:tr w:rsidR="00CE21BD" w:rsidRPr="00CE21BD" w:rsidTr="00014BB3">
        <w:trPr>
          <w:trHeight w:val="121"/>
        </w:trPr>
        <w:tc>
          <w:tcPr>
            <w:tcW w:w="2039" w:type="dxa"/>
          </w:tcPr>
          <w:p w:rsidR="00CE21BD" w:rsidRPr="00CE21BD" w:rsidRDefault="00CE21BD" w:rsidP="0090503E">
            <w:r w:rsidRPr="00CE21BD">
              <w:t>T54S</w:t>
            </w:r>
          </w:p>
        </w:tc>
        <w:tc>
          <w:tcPr>
            <w:tcW w:w="2039" w:type="dxa"/>
          </w:tcPr>
          <w:p w:rsidR="00CE21BD" w:rsidRPr="00CE21BD" w:rsidRDefault="00CE21BD" w:rsidP="0090503E">
            <w:r w:rsidRPr="00CE21BD">
              <w:t>0.54</w:t>
            </w:r>
          </w:p>
        </w:tc>
        <w:tc>
          <w:tcPr>
            <w:tcW w:w="2028" w:type="dxa"/>
          </w:tcPr>
          <w:p w:rsidR="00CE21BD" w:rsidRPr="00CE21BD" w:rsidRDefault="00CE21BD" w:rsidP="0090503E">
            <w:r w:rsidRPr="00CE21BD">
              <w:t>0.4</w:t>
            </w:r>
          </w:p>
        </w:tc>
        <w:tc>
          <w:tcPr>
            <w:tcW w:w="2050" w:type="dxa"/>
          </w:tcPr>
          <w:p w:rsidR="00CE21BD" w:rsidRPr="00CE21BD" w:rsidRDefault="00CE21BD" w:rsidP="0090503E">
            <w:r w:rsidRPr="00CE21BD">
              <w:t>6.2</w:t>
            </w:r>
          </w:p>
        </w:tc>
      </w:tr>
      <w:tr w:rsidR="00CE21BD" w:rsidRPr="00CE21BD" w:rsidTr="00014BB3">
        <w:trPr>
          <w:trHeight w:val="121"/>
        </w:trPr>
        <w:tc>
          <w:tcPr>
            <w:tcW w:w="2039" w:type="dxa"/>
          </w:tcPr>
          <w:p w:rsidR="00CE21BD" w:rsidRPr="00CE21BD" w:rsidRDefault="00CE21BD" w:rsidP="0090503E">
            <w:r w:rsidRPr="00CE21BD">
              <w:t>V55I</w:t>
            </w:r>
          </w:p>
        </w:tc>
        <w:tc>
          <w:tcPr>
            <w:tcW w:w="2039" w:type="dxa"/>
          </w:tcPr>
          <w:p w:rsidR="00CE21BD" w:rsidRPr="00CE21BD" w:rsidRDefault="00CE21BD" w:rsidP="0090503E">
            <w:r w:rsidRPr="00CE21BD">
              <w:t>1.4</w:t>
            </w:r>
          </w:p>
        </w:tc>
        <w:tc>
          <w:tcPr>
            <w:tcW w:w="2028" w:type="dxa"/>
          </w:tcPr>
          <w:p w:rsidR="00CE21BD" w:rsidRPr="00CE21BD" w:rsidRDefault="00CE21BD" w:rsidP="0090503E">
            <w:r w:rsidRPr="00CE21BD">
              <w:t>1</w:t>
            </w:r>
          </w:p>
        </w:tc>
        <w:tc>
          <w:tcPr>
            <w:tcW w:w="2050" w:type="dxa"/>
          </w:tcPr>
          <w:p w:rsidR="00CE21BD" w:rsidRPr="00CE21BD" w:rsidRDefault="00CE21BD" w:rsidP="0090503E">
            <w:r w:rsidRPr="00CE21BD">
              <w:t>81</w:t>
            </w:r>
          </w:p>
        </w:tc>
      </w:tr>
      <w:tr w:rsidR="00CE21BD" w:rsidRPr="00CE21BD" w:rsidTr="00014BB3">
        <w:trPr>
          <w:trHeight w:val="121"/>
        </w:trPr>
        <w:tc>
          <w:tcPr>
            <w:tcW w:w="2039" w:type="dxa"/>
          </w:tcPr>
          <w:p w:rsidR="00CE21BD" w:rsidRPr="00CE21BD" w:rsidRDefault="00CE21BD" w:rsidP="0090503E">
            <w:r w:rsidRPr="00CE21BD">
              <w:t>Y56H</w:t>
            </w:r>
          </w:p>
        </w:tc>
        <w:tc>
          <w:tcPr>
            <w:tcW w:w="2039" w:type="dxa"/>
          </w:tcPr>
          <w:p w:rsidR="00CE21BD" w:rsidRPr="00CE21BD" w:rsidRDefault="00CE21BD" w:rsidP="0090503E">
            <w:r w:rsidRPr="00CE21BD">
              <w:t>4.1</w:t>
            </w:r>
          </w:p>
        </w:tc>
        <w:tc>
          <w:tcPr>
            <w:tcW w:w="2028" w:type="dxa"/>
          </w:tcPr>
          <w:p w:rsidR="00CE21BD" w:rsidRPr="00CE21BD" w:rsidRDefault="00CE21BD" w:rsidP="0090503E">
            <w:r w:rsidRPr="00CE21BD">
              <w:t>3</w:t>
            </w:r>
          </w:p>
        </w:tc>
        <w:tc>
          <w:tcPr>
            <w:tcW w:w="2050" w:type="dxa"/>
          </w:tcPr>
          <w:p w:rsidR="00CE21BD" w:rsidRPr="00CE21BD" w:rsidRDefault="00CE21BD" w:rsidP="0090503E">
            <w:r w:rsidRPr="00CE21BD">
              <w:t>3.5</w:t>
            </w:r>
          </w:p>
        </w:tc>
      </w:tr>
      <w:tr w:rsidR="00CE21BD" w:rsidRPr="00CE21BD" w:rsidTr="00014BB3">
        <w:trPr>
          <w:trHeight w:val="121"/>
        </w:trPr>
        <w:tc>
          <w:tcPr>
            <w:tcW w:w="2039" w:type="dxa"/>
          </w:tcPr>
          <w:p w:rsidR="00CE21BD" w:rsidRPr="00CE21BD" w:rsidRDefault="00CE21BD" w:rsidP="0090503E">
            <w:r w:rsidRPr="00CE21BD">
              <w:t>Q80K/L/R</w:t>
            </w:r>
          </w:p>
        </w:tc>
        <w:tc>
          <w:tcPr>
            <w:tcW w:w="2039" w:type="dxa"/>
          </w:tcPr>
          <w:p w:rsidR="00CE21BD" w:rsidRPr="00CE21BD" w:rsidRDefault="00CE21BD" w:rsidP="0090503E">
            <w:r w:rsidRPr="00CE21BD">
              <w:t>2.2</w:t>
            </w:r>
            <w:r w:rsidR="0021113A">
              <w:t xml:space="preserve"> to </w:t>
            </w:r>
            <w:r w:rsidRPr="00CE21BD">
              <w:t>3.9</w:t>
            </w:r>
          </w:p>
        </w:tc>
        <w:tc>
          <w:tcPr>
            <w:tcW w:w="2028" w:type="dxa"/>
          </w:tcPr>
          <w:p w:rsidR="00CE21BD" w:rsidRPr="00CE21BD" w:rsidRDefault="00CE21BD" w:rsidP="0090503E">
            <w:r w:rsidRPr="00CE21BD">
              <w:t>2</w:t>
            </w:r>
            <w:r w:rsidR="0021113A">
              <w:t xml:space="preserve"> to </w:t>
            </w:r>
            <w:r w:rsidRPr="00CE21BD">
              <w:t>3</w:t>
            </w:r>
          </w:p>
        </w:tc>
        <w:tc>
          <w:tcPr>
            <w:tcW w:w="2050" w:type="dxa"/>
          </w:tcPr>
          <w:p w:rsidR="00CE21BD" w:rsidRPr="00CE21BD" w:rsidRDefault="00CE21BD" w:rsidP="0090503E">
            <w:r w:rsidRPr="00CE21BD">
              <w:t>38</w:t>
            </w:r>
            <w:r w:rsidR="0021113A">
              <w:t xml:space="preserve"> to </w:t>
            </w:r>
            <w:r w:rsidRPr="00CE21BD">
              <w:t>91</w:t>
            </w:r>
          </w:p>
        </w:tc>
      </w:tr>
      <w:tr w:rsidR="00CE21BD" w:rsidRPr="00CE21BD" w:rsidTr="00014BB3">
        <w:trPr>
          <w:trHeight w:val="121"/>
        </w:trPr>
        <w:tc>
          <w:tcPr>
            <w:tcW w:w="2039" w:type="dxa"/>
          </w:tcPr>
          <w:p w:rsidR="00CE21BD" w:rsidRPr="00CE21BD" w:rsidRDefault="00CE21BD" w:rsidP="0090503E">
            <w:r w:rsidRPr="00CE21BD">
              <w:t>R155M</w:t>
            </w:r>
          </w:p>
        </w:tc>
        <w:tc>
          <w:tcPr>
            <w:tcW w:w="2039" w:type="dxa"/>
          </w:tcPr>
          <w:p w:rsidR="00CE21BD" w:rsidRPr="00CE21BD" w:rsidRDefault="00CE21BD" w:rsidP="0090503E">
            <w:r w:rsidRPr="00CE21BD">
              <w:t>1.2</w:t>
            </w:r>
          </w:p>
        </w:tc>
        <w:tc>
          <w:tcPr>
            <w:tcW w:w="2028" w:type="dxa"/>
          </w:tcPr>
          <w:p w:rsidR="00CE21BD" w:rsidRPr="00CE21BD" w:rsidRDefault="00CE21BD" w:rsidP="0090503E">
            <w:r w:rsidRPr="00CE21BD">
              <w:t>1</w:t>
            </w:r>
          </w:p>
        </w:tc>
        <w:tc>
          <w:tcPr>
            <w:tcW w:w="2050" w:type="dxa"/>
          </w:tcPr>
          <w:p w:rsidR="00CE21BD" w:rsidRPr="00CE21BD" w:rsidRDefault="00CE21BD" w:rsidP="0090503E">
            <w:r w:rsidRPr="00CE21BD">
              <w:t>5.6</w:t>
            </w:r>
          </w:p>
        </w:tc>
      </w:tr>
      <w:tr w:rsidR="00CE21BD" w:rsidRPr="00CE21BD" w:rsidTr="00014BB3">
        <w:trPr>
          <w:trHeight w:val="121"/>
        </w:trPr>
        <w:tc>
          <w:tcPr>
            <w:tcW w:w="2039" w:type="dxa"/>
          </w:tcPr>
          <w:p w:rsidR="00CE21BD" w:rsidRPr="00CE21BD" w:rsidRDefault="00CE21BD" w:rsidP="0090503E">
            <w:r w:rsidRPr="00CE21BD">
              <w:t>E357K</w:t>
            </w:r>
          </w:p>
        </w:tc>
        <w:tc>
          <w:tcPr>
            <w:tcW w:w="2039" w:type="dxa"/>
          </w:tcPr>
          <w:p w:rsidR="00CE21BD" w:rsidRPr="00CE21BD" w:rsidRDefault="00CE21BD" w:rsidP="0090503E">
            <w:r w:rsidRPr="00CE21BD">
              <w:t>2.4</w:t>
            </w:r>
          </w:p>
        </w:tc>
        <w:tc>
          <w:tcPr>
            <w:tcW w:w="2028" w:type="dxa"/>
          </w:tcPr>
          <w:p w:rsidR="00CE21BD" w:rsidRPr="00CE21BD" w:rsidRDefault="00CE21BD" w:rsidP="0090503E">
            <w:r w:rsidRPr="00CE21BD">
              <w:t>2</w:t>
            </w:r>
          </w:p>
        </w:tc>
        <w:tc>
          <w:tcPr>
            <w:tcW w:w="2050" w:type="dxa"/>
          </w:tcPr>
          <w:p w:rsidR="00CE21BD" w:rsidRPr="00CE21BD" w:rsidRDefault="00CE21BD" w:rsidP="0090503E">
            <w:r w:rsidRPr="00CE21BD">
              <w:t>131</w:t>
            </w:r>
          </w:p>
        </w:tc>
      </w:tr>
      <w:tr w:rsidR="00CE21BD" w:rsidRPr="00CE21BD" w:rsidTr="00014BB3">
        <w:trPr>
          <w:trHeight w:val="121"/>
        </w:trPr>
        <w:tc>
          <w:tcPr>
            <w:tcW w:w="8156" w:type="dxa"/>
            <w:gridSpan w:val="4"/>
          </w:tcPr>
          <w:p w:rsidR="00CE21BD" w:rsidRPr="00CE21BD" w:rsidRDefault="000C3156" w:rsidP="0090503E">
            <w:r>
              <w:t xml:space="preserve">&gt; </w:t>
            </w:r>
            <w:r w:rsidR="00CE21BD" w:rsidRPr="00CE21BD">
              <w:t>3 fold resistance</w:t>
            </w:r>
          </w:p>
        </w:tc>
      </w:tr>
      <w:tr w:rsidR="00CE21BD" w:rsidRPr="00CE21BD" w:rsidTr="00014BB3">
        <w:trPr>
          <w:trHeight w:val="121"/>
        </w:trPr>
        <w:tc>
          <w:tcPr>
            <w:tcW w:w="2039" w:type="dxa"/>
          </w:tcPr>
          <w:p w:rsidR="00CE21BD" w:rsidRPr="00CE21BD" w:rsidRDefault="00CE21BD" w:rsidP="0090503E">
            <w:r w:rsidRPr="00CE21BD">
              <w:t>F43L</w:t>
            </w:r>
          </w:p>
        </w:tc>
        <w:tc>
          <w:tcPr>
            <w:tcW w:w="2039" w:type="dxa"/>
          </w:tcPr>
          <w:p w:rsidR="00CE21BD" w:rsidRPr="00CE21BD" w:rsidRDefault="00CE21BD" w:rsidP="0090503E">
            <w:r w:rsidRPr="00CE21BD">
              <w:t>27</w:t>
            </w:r>
          </w:p>
        </w:tc>
        <w:tc>
          <w:tcPr>
            <w:tcW w:w="2028" w:type="dxa"/>
          </w:tcPr>
          <w:p w:rsidR="00CE21BD" w:rsidRPr="00CE21BD" w:rsidRDefault="00CE21BD" w:rsidP="0090503E">
            <w:r w:rsidRPr="00CE21BD">
              <w:t>20</w:t>
            </w:r>
          </w:p>
        </w:tc>
        <w:tc>
          <w:tcPr>
            <w:tcW w:w="2050" w:type="dxa"/>
          </w:tcPr>
          <w:p w:rsidR="00CE21BD" w:rsidRPr="00CE21BD" w:rsidRDefault="00CE21BD" w:rsidP="0090503E">
            <w:r w:rsidRPr="00CE21BD">
              <w:t>17</w:t>
            </w:r>
          </w:p>
        </w:tc>
      </w:tr>
      <w:tr w:rsidR="00CE21BD" w:rsidRPr="00CE21BD" w:rsidTr="00014BB3">
        <w:trPr>
          <w:trHeight w:val="121"/>
        </w:trPr>
        <w:tc>
          <w:tcPr>
            <w:tcW w:w="2039" w:type="dxa"/>
          </w:tcPr>
          <w:p w:rsidR="00CE21BD" w:rsidRPr="00CE21BD" w:rsidRDefault="00CE21BD" w:rsidP="0090503E">
            <w:r w:rsidRPr="00CE21BD">
              <w:t>R155K</w:t>
            </w:r>
          </w:p>
        </w:tc>
        <w:tc>
          <w:tcPr>
            <w:tcW w:w="2039" w:type="dxa"/>
          </w:tcPr>
          <w:p w:rsidR="00CE21BD" w:rsidRPr="00CE21BD" w:rsidRDefault="00CE21BD" w:rsidP="0090503E">
            <w:r w:rsidRPr="00CE21BD">
              <w:t xml:space="preserve">51 </w:t>
            </w:r>
          </w:p>
        </w:tc>
        <w:tc>
          <w:tcPr>
            <w:tcW w:w="2028" w:type="dxa"/>
          </w:tcPr>
          <w:p w:rsidR="00CE21BD" w:rsidRPr="00CE21BD" w:rsidRDefault="00CE21BD" w:rsidP="0090503E">
            <w:r w:rsidRPr="00CE21BD">
              <w:t xml:space="preserve"> 37</w:t>
            </w:r>
          </w:p>
        </w:tc>
        <w:tc>
          <w:tcPr>
            <w:tcW w:w="2050" w:type="dxa"/>
          </w:tcPr>
          <w:p w:rsidR="00CE21BD" w:rsidRPr="00CE21BD" w:rsidRDefault="00CE21BD" w:rsidP="0090503E">
            <w:r w:rsidRPr="00CE21BD">
              <w:t xml:space="preserve">31 </w:t>
            </w:r>
          </w:p>
        </w:tc>
      </w:tr>
      <w:tr w:rsidR="00CE21BD" w:rsidRPr="00CE21BD" w:rsidTr="00014BB3">
        <w:trPr>
          <w:trHeight w:val="121"/>
        </w:trPr>
        <w:tc>
          <w:tcPr>
            <w:tcW w:w="2039" w:type="dxa"/>
          </w:tcPr>
          <w:p w:rsidR="00CE21BD" w:rsidRPr="00CE21BD" w:rsidRDefault="00CE21BD" w:rsidP="0090503E">
            <w:r w:rsidRPr="00CE21BD">
              <w:t>R155G</w:t>
            </w:r>
          </w:p>
        </w:tc>
        <w:tc>
          <w:tcPr>
            <w:tcW w:w="2039" w:type="dxa"/>
          </w:tcPr>
          <w:p w:rsidR="00CE21BD" w:rsidRPr="00CE21BD" w:rsidRDefault="00CE21BD" w:rsidP="0090503E">
            <w:r w:rsidRPr="00CE21BD">
              <w:t>19</w:t>
            </w:r>
          </w:p>
        </w:tc>
        <w:tc>
          <w:tcPr>
            <w:tcW w:w="2028" w:type="dxa"/>
          </w:tcPr>
          <w:p w:rsidR="00CE21BD" w:rsidRPr="00CE21BD" w:rsidRDefault="00CE21BD" w:rsidP="0090503E">
            <w:r w:rsidRPr="00CE21BD">
              <w:t>14</w:t>
            </w:r>
          </w:p>
        </w:tc>
        <w:tc>
          <w:tcPr>
            <w:tcW w:w="2050" w:type="dxa"/>
          </w:tcPr>
          <w:p w:rsidR="00CE21BD" w:rsidRPr="00CE21BD" w:rsidRDefault="00CE21BD" w:rsidP="0090503E">
            <w:r w:rsidRPr="00CE21BD">
              <w:t>2.0</w:t>
            </w:r>
          </w:p>
        </w:tc>
      </w:tr>
      <w:tr w:rsidR="00CE21BD" w:rsidRPr="00CE21BD" w:rsidTr="00014BB3">
        <w:trPr>
          <w:trHeight w:val="121"/>
        </w:trPr>
        <w:tc>
          <w:tcPr>
            <w:tcW w:w="2039" w:type="dxa"/>
          </w:tcPr>
          <w:p w:rsidR="00CE21BD" w:rsidRPr="00CE21BD" w:rsidRDefault="00CE21BD" w:rsidP="0090503E">
            <w:r w:rsidRPr="00CE21BD">
              <w:t>R155S</w:t>
            </w:r>
          </w:p>
        </w:tc>
        <w:tc>
          <w:tcPr>
            <w:tcW w:w="2039" w:type="dxa"/>
          </w:tcPr>
          <w:p w:rsidR="00CE21BD" w:rsidRPr="00CE21BD" w:rsidRDefault="00CE21BD" w:rsidP="0090503E">
            <w:r w:rsidRPr="00CE21BD">
              <w:t>10</w:t>
            </w:r>
          </w:p>
        </w:tc>
        <w:tc>
          <w:tcPr>
            <w:tcW w:w="2028" w:type="dxa"/>
          </w:tcPr>
          <w:p w:rsidR="00CE21BD" w:rsidRPr="00CE21BD" w:rsidRDefault="00CE21BD" w:rsidP="0090503E">
            <w:r w:rsidRPr="00CE21BD">
              <w:t>7</w:t>
            </w:r>
          </w:p>
        </w:tc>
        <w:tc>
          <w:tcPr>
            <w:tcW w:w="2050" w:type="dxa"/>
          </w:tcPr>
          <w:p w:rsidR="00CE21BD" w:rsidRPr="00CE21BD" w:rsidRDefault="00CE21BD" w:rsidP="0090503E">
            <w:r w:rsidRPr="00CE21BD">
              <w:t>2.1</w:t>
            </w:r>
          </w:p>
        </w:tc>
      </w:tr>
      <w:tr w:rsidR="00CE21BD" w:rsidRPr="00CE21BD" w:rsidTr="00014BB3">
        <w:trPr>
          <w:trHeight w:val="121"/>
        </w:trPr>
        <w:tc>
          <w:tcPr>
            <w:tcW w:w="2039" w:type="dxa"/>
          </w:tcPr>
          <w:p w:rsidR="00CE21BD" w:rsidRPr="00CE21BD" w:rsidRDefault="00CE21BD" w:rsidP="0090503E">
            <w:r w:rsidRPr="00CE21BD">
              <w:t>R155T</w:t>
            </w:r>
          </w:p>
        </w:tc>
        <w:tc>
          <w:tcPr>
            <w:tcW w:w="2039" w:type="dxa"/>
          </w:tcPr>
          <w:p w:rsidR="00CE21BD" w:rsidRPr="00CE21BD" w:rsidRDefault="00CE21BD" w:rsidP="0090503E">
            <w:r w:rsidRPr="00CE21BD">
              <w:t>10</w:t>
            </w:r>
          </w:p>
        </w:tc>
        <w:tc>
          <w:tcPr>
            <w:tcW w:w="2028" w:type="dxa"/>
          </w:tcPr>
          <w:p w:rsidR="00CE21BD" w:rsidRPr="00CE21BD" w:rsidRDefault="00CE21BD" w:rsidP="0090503E">
            <w:r w:rsidRPr="00CE21BD">
              <w:t>7</w:t>
            </w:r>
          </w:p>
        </w:tc>
        <w:tc>
          <w:tcPr>
            <w:tcW w:w="2050" w:type="dxa"/>
          </w:tcPr>
          <w:p w:rsidR="00CE21BD" w:rsidRPr="00CE21BD" w:rsidRDefault="00CE21BD" w:rsidP="0090503E">
            <w:r w:rsidRPr="00CE21BD">
              <w:t>5.1</w:t>
            </w:r>
          </w:p>
        </w:tc>
      </w:tr>
      <w:tr w:rsidR="00CE21BD" w:rsidRPr="00CE21BD" w:rsidTr="00014BB3">
        <w:trPr>
          <w:trHeight w:val="121"/>
        </w:trPr>
        <w:tc>
          <w:tcPr>
            <w:tcW w:w="2039" w:type="dxa"/>
          </w:tcPr>
          <w:p w:rsidR="00CE21BD" w:rsidRPr="00CE21BD" w:rsidRDefault="00CE21BD" w:rsidP="0090503E">
            <w:r w:rsidRPr="00CE21BD">
              <w:t>R155V</w:t>
            </w:r>
          </w:p>
        </w:tc>
        <w:tc>
          <w:tcPr>
            <w:tcW w:w="2039" w:type="dxa"/>
          </w:tcPr>
          <w:p w:rsidR="00CE21BD" w:rsidRPr="00CE21BD" w:rsidRDefault="00CE21BD" w:rsidP="0090503E">
            <w:r w:rsidRPr="00CE21BD">
              <w:t>6.3</w:t>
            </w:r>
          </w:p>
        </w:tc>
        <w:tc>
          <w:tcPr>
            <w:tcW w:w="2028" w:type="dxa"/>
          </w:tcPr>
          <w:p w:rsidR="00CE21BD" w:rsidRPr="00CE21BD" w:rsidRDefault="00CE21BD" w:rsidP="0090503E">
            <w:r w:rsidRPr="00CE21BD">
              <w:t>4</w:t>
            </w:r>
          </w:p>
        </w:tc>
        <w:tc>
          <w:tcPr>
            <w:tcW w:w="2050" w:type="dxa"/>
          </w:tcPr>
          <w:p w:rsidR="00CE21BD" w:rsidRPr="00CE21BD" w:rsidRDefault="00CE21BD" w:rsidP="0090503E">
            <w:r w:rsidRPr="00CE21BD">
              <w:t>20</w:t>
            </w:r>
          </w:p>
        </w:tc>
      </w:tr>
      <w:tr w:rsidR="00CE21BD" w:rsidRPr="00CE21BD" w:rsidTr="00014BB3">
        <w:trPr>
          <w:trHeight w:val="121"/>
        </w:trPr>
        <w:tc>
          <w:tcPr>
            <w:tcW w:w="2039" w:type="dxa"/>
          </w:tcPr>
          <w:p w:rsidR="00CE21BD" w:rsidRPr="00CE21BD" w:rsidRDefault="00CE21BD" w:rsidP="0090503E">
            <w:r w:rsidRPr="00CE21BD">
              <w:t>R155W</w:t>
            </w:r>
          </w:p>
        </w:tc>
        <w:tc>
          <w:tcPr>
            <w:tcW w:w="2039" w:type="dxa"/>
          </w:tcPr>
          <w:p w:rsidR="00CE21BD" w:rsidRPr="00CE21BD" w:rsidRDefault="00CE21BD" w:rsidP="0090503E">
            <w:r w:rsidRPr="00CE21BD">
              <w:t>16</w:t>
            </w:r>
          </w:p>
        </w:tc>
        <w:tc>
          <w:tcPr>
            <w:tcW w:w="2028" w:type="dxa"/>
          </w:tcPr>
          <w:p w:rsidR="00CE21BD" w:rsidRPr="00CE21BD" w:rsidRDefault="00CE21BD" w:rsidP="0090503E">
            <w:r w:rsidRPr="00CE21BD">
              <w:t>11</w:t>
            </w:r>
          </w:p>
        </w:tc>
        <w:tc>
          <w:tcPr>
            <w:tcW w:w="2050" w:type="dxa"/>
          </w:tcPr>
          <w:p w:rsidR="00CE21BD" w:rsidRPr="00CE21BD" w:rsidRDefault="00CE21BD" w:rsidP="0090503E">
            <w:r w:rsidRPr="00CE21BD">
              <w:t>5.3</w:t>
            </w:r>
          </w:p>
        </w:tc>
      </w:tr>
      <w:tr w:rsidR="00CE21BD" w:rsidRPr="00CE21BD" w:rsidTr="00014BB3">
        <w:trPr>
          <w:trHeight w:val="121"/>
        </w:trPr>
        <w:tc>
          <w:tcPr>
            <w:tcW w:w="2039" w:type="dxa"/>
          </w:tcPr>
          <w:p w:rsidR="00CE21BD" w:rsidRPr="00CE21BD" w:rsidRDefault="00CE21BD" w:rsidP="0090503E">
            <w:r w:rsidRPr="00CE21BD">
              <w:t>A156T</w:t>
            </w:r>
          </w:p>
        </w:tc>
        <w:tc>
          <w:tcPr>
            <w:tcW w:w="2039" w:type="dxa"/>
          </w:tcPr>
          <w:p w:rsidR="00CE21BD" w:rsidRPr="00CE21BD" w:rsidRDefault="00CE21BD" w:rsidP="0090503E">
            <w:r w:rsidRPr="00CE21BD">
              <w:t>24</w:t>
            </w:r>
          </w:p>
        </w:tc>
        <w:tc>
          <w:tcPr>
            <w:tcW w:w="2028" w:type="dxa"/>
          </w:tcPr>
          <w:p w:rsidR="00CE21BD" w:rsidRPr="00CE21BD" w:rsidRDefault="00CE21BD" w:rsidP="0090503E">
            <w:r w:rsidRPr="00CE21BD">
              <w:t>17</w:t>
            </w:r>
          </w:p>
        </w:tc>
        <w:tc>
          <w:tcPr>
            <w:tcW w:w="2050" w:type="dxa"/>
          </w:tcPr>
          <w:p w:rsidR="00CE21BD" w:rsidRPr="00CE21BD" w:rsidRDefault="00CE21BD" w:rsidP="0090503E">
            <w:r w:rsidRPr="00CE21BD">
              <w:t>5.2</w:t>
            </w:r>
          </w:p>
        </w:tc>
      </w:tr>
      <w:tr w:rsidR="00CE21BD" w:rsidRPr="00CE21BD" w:rsidTr="00014BB3">
        <w:trPr>
          <w:trHeight w:val="121"/>
        </w:trPr>
        <w:tc>
          <w:tcPr>
            <w:tcW w:w="2039" w:type="dxa"/>
          </w:tcPr>
          <w:p w:rsidR="00CE21BD" w:rsidRPr="00CE21BD" w:rsidRDefault="00CE21BD" w:rsidP="0090503E">
            <w:r w:rsidRPr="00CE21BD">
              <w:t>D168A</w:t>
            </w:r>
          </w:p>
        </w:tc>
        <w:tc>
          <w:tcPr>
            <w:tcW w:w="2039" w:type="dxa"/>
          </w:tcPr>
          <w:p w:rsidR="00CE21BD" w:rsidRPr="00CE21BD" w:rsidRDefault="00CE21BD" w:rsidP="0090503E">
            <w:r w:rsidRPr="00CE21BD">
              <w:t>70</w:t>
            </w:r>
          </w:p>
        </w:tc>
        <w:tc>
          <w:tcPr>
            <w:tcW w:w="2028" w:type="dxa"/>
          </w:tcPr>
          <w:p w:rsidR="00CE21BD" w:rsidRPr="00CE21BD" w:rsidRDefault="00CE21BD" w:rsidP="0090503E">
            <w:r w:rsidRPr="00CE21BD">
              <w:t>50</w:t>
            </w:r>
          </w:p>
        </w:tc>
        <w:tc>
          <w:tcPr>
            <w:tcW w:w="2050" w:type="dxa"/>
          </w:tcPr>
          <w:p w:rsidR="00CE21BD" w:rsidRPr="00CE21BD" w:rsidRDefault="00CE21BD" w:rsidP="0090503E">
            <w:r w:rsidRPr="00CE21BD">
              <w:t>35</w:t>
            </w:r>
          </w:p>
        </w:tc>
      </w:tr>
      <w:tr w:rsidR="00CE21BD" w:rsidRPr="00CE21BD" w:rsidTr="00014BB3">
        <w:trPr>
          <w:trHeight w:val="121"/>
        </w:trPr>
        <w:tc>
          <w:tcPr>
            <w:tcW w:w="2039" w:type="dxa"/>
          </w:tcPr>
          <w:p w:rsidR="00CE21BD" w:rsidRPr="00CE21BD" w:rsidRDefault="00CE21BD" w:rsidP="0090503E">
            <w:r w:rsidRPr="00CE21BD">
              <w:t>D168E</w:t>
            </w:r>
          </w:p>
        </w:tc>
        <w:tc>
          <w:tcPr>
            <w:tcW w:w="2039" w:type="dxa"/>
          </w:tcPr>
          <w:p w:rsidR="00CE21BD" w:rsidRPr="00CE21BD" w:rsidRDefault="00CE21BD" w:rsidP="0090503E">
            <w:r w:rsidRPr="00CE21BD">
              <w:t>20</w:t>
            </w:r>
          </w:p>
        </w:tc>
        <w:tc>
          <w:tcPr>
            <w:tcW w:w="2028" w:type="dxa"/>
          </w:tcPr>
          <w:p w:rsidR="00CE21BD" w:rsidRPr="00CE21BD" w:rsidRDefault="00CE21BD" w:rsidP="0090503E">
            <w:r w:rsidRPr="00CE21BD">
              <w:t xml:space="preserve">14 </w:t>
            </w:r>
          </w:p>
        </w:tc>
        <w:tc>
          <w:tcPr>
            <w:tcW w:w="2050" w:type="dxa"/>
          </w:tcPr>
          <w:p w:rsidR="00CE21BD" w:rsidRPr="00CE21BD" w:rsidRDefault="00CE21BD" w:rsidP="0090503E">
            <w:r w:rsidRPr="00CE21BD">
              <w:t>34</w:t>
            </w:r>
          </w:p>
        </w:tc>
      </w:tr>
      <w:tr w:rsidR="00CE21BD" w:rsidRPr="00CE21BD" w:rsidTr="00014BB3">
        <w:trPr>
          <w:trHeight w:val="121"/>
        </w:trPr>
        <w:tc>
          <w:tcPr>
            <w:tcW w:w="2039" w:type="dxa"/>
          </w:tcPr>
          <w:p w:rsidR="00CE21BD" w:rsidRPr="00CE21BD" w:rsidRDefault="00CE21BD" w:rsidP="0090503E">
            <w:r w:rsidRPr="00CE21BD">
              <w:t>D168F</w:t>
            </w:r>
          </w:p>
        </w:tc>
        <w:tc>
          <w:tcPr>
            <w:tcW w:w="2039" w:type="dxa"/>
          </w:tcPr>
          <w:p w:rsidR="00CE21BD" w:rsidRPr="00CE21BD" w:rsidRDefault="00CE21BD" w:rsidP="0090503E">
            <w:r w:rsidRPr="00CE21BD">
              <w:t>289</w:t>
            </w:r>
          </w:p>
        </w:tc>
        <w:tc>
          <w:tcPr>
            <w:tcW w:w="2028" w:type="dxa"/>
          </w:tcPr>
          <w:p w:rsidR="00CE21BD" w:rsidRPr="00CE21BD" w:rsidRDefault="00CE21BD" w:rsidP="0090503E">
            <w:r w:rsidRPr="00CE21BD">
              <w:t>206</w:t>
            </w:r>
          </w:p>
        </w:tc>
        <w:tc>
          <w:tcPr>
            <w:tcW w:w="2050" w:type="dxa"/>
          </w:tcPr>
          <w:p w:rsidR="00CE21BD" w:rsidRPr="00CE21BD" w:rsidRDefault="00CE21BD" w:rsidP="0090503E">
            <w:r w:rsidRPr="00CE21BD">
              <w:t>4</w:t>
            </w:r>
          </w:p>
        </w:tc>
      </w:tr>
      <w:tr w:rsidR="00CE21BD" w:rsidRPr="00CE21BD" w:rsidTr="00014BB3">
        <w:trPr>
          <w:trHeight w:val="121"/>
        </w:trPr>
        <w:tc>
          <w:tcPr>
            <w:tcW w:w="2039" w:type="dxa"/>
          </w:tcPr>
          <w:p w:rsidR="00CE21BD" w:rsidRPr="00CE21BD" w:rsidRDefault="00CE21BD" w:rsidP="0090503E">
            <w:r w:rsidRPr="00CE21BD">
              <w:t>D168H</w:t>
            </w:r>
          </w:p>
        </w:tc>
        <w:tc>
          <w:tcPr>
            <w:tcW w:w="2039" w:type="dxa"/>
          </w:tcPr>
          <w:p w:rsidR="00CE21BD" w:rsidRPr="00CE21BD" w:rsidRDefault="00CE21BD" w:rsidP="0090503E">
            <w:r w:rsidRPr="00CE21BD">
              <w:t>87</w:t>
            </w:r>
          </w:p>
        </w:tc>
        <w:tc>
          <w:tcPr>
            <w:tcW w:w="2028" w:type="dxa"/>
          </w:tcPr>
          <w:p w:rsidR="00CE21BD" w:rsidRPr="00CE21BD" w:rsidRDefault="00CE21BD" w:rsidP="0090503E">
            <w:r w:rsidRPr="00CE21BD">
              <w:t>62</w:t>
            </w:r>
          </w:p>
        </w:tc>
        <w:tc>
          <w:tcPr>
            <w:tcW w:w="2050" w:type="dxa"/>
          </w:tcPr>
          <w:p w:rsidR="00CE21BD" w:rsidRPr="00CE21BD" w:rsidRDefault="00CE21BD" w:rsidP="0090503E">
            <w:r w:rsidRPr="00CE21BD">
              <w:t>24</w:t>
            </w:r>
          </w:p>
        </w:tc>
      </w:tr>
      <w:tr w:rsidR="00CE21BD" w:rsidRPr="00CE21BD" w:rsidTr="00014BB3">
        <w:trPr>
          <w:trHeight w:val="121"/>
        </w:trPr>
        <w:tc>
          <w:tcPr>
            <w:tcW w:w="2039" w:type="dxa"/>
          </w:tcPr>
          <w:p w:rsidR="00CE21BD" w:rsidRPr="00CE21BD" w:rsidRDefault="00CE21BD" w:rsidP="0090503E">
            <w:r w:rsidRPr="00CE21BD">
              <w:lastRenderedPageBreak/>
              <w:t>D168N</w:t>
            </w:r>
          </w:p>
        </w:tc>
        <w:tc>
          <w:tcPr>
            <w:tcW w:w="2039" w:type="dxa"/>
          </w:tcPr>
          <w:p w:rsidR="00CE21BD" w:rsidRPr="00CE21BD" w:rsidRDefault="00CE21BD" w:rsidP="0090503E">
            <w:r w:rsidRPr="00CE21BD">
              <w:t>19</w:t>
            </w:r>
          </w:p>
        </w:tc>
        <w:tc>
          <w:tcPr>
            <w:tcW w:w="2028" w:type="dxa"/>
          </w:tcPr>
          <w:p w:rsidR="00CE21BD" w:rsidRPr="00CE21BD" w:rsidRDefault="00CE21BD" w:rsidP="0090503E">
            <w:r w:rsidRPr="00CE21BD">
              <w:t>13</w:t>
            </w:r>
          </w:p>
        </w:tc>
        <w:tc>
          <w:tcPr>
            <w:tcW w:w="2050" w:type="dxa"/>
          </w:tcPr>
          <w:p w:rsidR="00CE21BD" w:rsidRPr="00CE21BD" w:rsidRDefault="00CE21BD" w:rsidP="0090503E">
            <w:r w:rsidRPr="00CE21BD">
              <w:t>28</w:t>
            </w:r>
          </w:p>
        </w:tc>
      </w:tr>
      <w:tr w:rsidR="00CE21BD" w:rsidRPr="00CE21BD" w:rsidTr="00014BB3">
        <w:trPr>
          <w:trHeight w:val="121"/>
        </w:trPr>
        <w:tc>
          <w:tcPr>
            <w:tcW w:w="2039" w:type="dxa"/>
          </w:tcPr>
          <w:p w:rsidR="00CE21BD" w:rsidRPr="00CE21BD" w:rsidRDefault="00CE21BD" w:rsidP="0090503E">
            <w:r w:rsidRPr="00CE21BD">
              <w:t>D168V</w:t>
            </w:r>
          </w:p>
        </w:tc>
        <w:tc>
          <w:tcPr>
            <w:tcW w:w="2039" w:type="dxa"/>
          </w:tcPr>
          <w:p w:rsidR="00CE21BD" w:rsidRPr="00CE21BD" w:rsidRDefault="00CE21BD" w:rsidP="0090503E">
            <w:r w:rsidRPr="00CE21BD">
              <w:t xml:space="preserve">135 </w:t>
            </w:r>
          </w:p>
        </w:tc>
        <w:tc>
          <w:tcPr>
            <w:tcW w:w="2028" w:type="dxa"/>
          </w:tcPr>
          <w:p w:rsidR="00CE21BD" w:rsidRPr="00CE21BD" w:rsidRDefault="00CE21BD" w:rsidP="0090503E">
            <w:r w:rsidRPr="00CE21BD">
              <w:t xml:space="preserve">96 </w:t>
            </w:r>
          </w:p>
        </w:tc>
        <w:tc>
          <w:tcPr>
            <w:tcW w:w="2050" w:type="dxa"/>
          </w:tcPr>
          <w:p w:rsidR="00CE21BD" w:rsidRPr="00CE21BD" w:rsidRDefault="00CE21BD" w:rsidP="0090503E">
            <w:r w:rsidRPr="00CE21BD">
              <w:t xml:space="preserve">1.5 </w:t>
            </w:r>
          </w:p>
        </w:tc>
      </w:tr>
      <w:tr w:rsidR="00CE21BD" w:rsidRPr="00CE21BD" w:rsidTr="00014BB3">
        <w:trPr>
          <w:trHeight w:val="121"/>
        </w:trPr>
        <w:tc>
          <w:tcPr>
            <w:tcW w:w="2039" w:type="dxa"/>
          </w:tcPr>
          <w:p w:rsidR="00CE21BD" w:rsidRPr="00CE21BD" w:rsidRDefault="00CE21BD" w:rsidP="0090503E">
            <w:r w:rsidRPr="00CE21BD">
              <w:t>D168Y</w:t>
            </w:r>
          </w:p>
        </w:tc>
        <w:tc>
          <w:tcPr>
            <w:tcW w:w="2039" w:type="dxa"/>
          </w:tcPr>
          <w:p w:rsidR="00CE21BD" w:rsidRPr="00CE21BD" w:rsidRDefault="00CE21BD" w:rsidP="0090503E">
            <w:r w:rsidRPr="00CE21BD">
              <w:t>307</w:t>
            </w:r>
          </w:p>
        </w:tc>
        <w:tc>
          <w:tcPr>
            <w:tcW w:w="2028" w:type="dxa"/>
          </w:tcPr>
          <w:p w:rsidR="00CE21BD" w:rsidRPr="00CE21BD" w:rsidRDefault="00CE21BD" w:rsidP="0090503E">
            <w:r w:rsidRPr="00CE21BD">
              <w:t>219</w:t>
            </w:r>
          </w:p>
        </w:tc>
        <w:tc>
          <w:tcPr>
            <w:tcW w:w="2050" w:type="dxa"/>
          </w:tcPr>
          <w:p w:rsidR="00CE21BD" w:rsidRPr="00CE21BD" w:rsidRDefault="00CE21BD" w:rsidP="0090503E">
            <w:r w:rsidRPr="00CE21BD">
              <w:t>3.5</w:t>
            </w:r>
          </w:p>
        </w:tc>
      </w:tr>
      <w:tr w:rsidR="00CE21BD" w:rsidRPr="00CE21BD" w:rsidTr="00014BB3">
        <w:trPr>
          <w:trHeight w:val="121"/>
        </w:trPr>
        <w:tc>
          <w:tcPr>
            <w:tcW w:w="2039" w:type="dxa"/>
          </w:tcPr>
          <w:p w:rsidR="00CE21BD" w:rsidRPr="00CE21BD" w:rsidRDefault="00CE21BD" w:rsidP="0090503E">
            <w:r w:rsidRPr="00CE21BD">
              <w:t>Wild type 1b</w:t>
            </w:r>
          </w:p>
        </w:tc>
        <w:tc>
          <w:tcPr>
            <w:tcW w:w="2039" w:type="dxa"/>
          </w:tcPr>
          <w:p w:rsidR="00CE21BD" w:rsidRPr="00CE21BD" w:rsidRDefault="00CE21BD" w:rsidP="0090503E">
            <w:r w:rsidRPr="00CE21BD">
              <w:t>0.11</w:t>
            </w:r>
          </w:p>
        </w:tc>
        <w:tc>
          <w:tcPr>
            <w:tcW w:w="2028" w:type="dxa"/>
          </w:tcPr>
          <w:p w:rsidR="00CE21BD" w:rsidRPr="00CE21BD" w:rsidRDefault="00CE21BD" w:rsidP="0090503E">
            <w:r w:rsidRPr="00CE21BD">
              <w:t>-</w:t>
            </w:r>
          </w:p>
        </w:tc>
        <w:tc>
          <w:tcPr>
            <w:tcW w:w="2050" w:type="dxa"/>
          </w:tcPr>
          <w:p w:rsidR="00CE21BD" w:rsidRPr="00CE21BD" w:rsidRDefault="00CE21BD" w:rsidP="0090503E">
            <w:r w:rsidRPr="00CE21BD">
              <w:t>100</w:t>
            </w:r>
          </w:p>
        </w:tc>
      </w:tr>
      <w:tr w:rsidR="00CE21BD" w:rsidRPr="00CE21BD" w:rsidTr="00014BB3">
        <w:trPr>
          <w:trHeight w:val="121"/>
        </w:trPr>
        <w:tc>
          <w:tcPr>
            <w:tcW w:w="8156" w:type="dxa"/>
            <w:gridSpan w:val="4"/>
          </w:tcPr>
          <w:p w:rsidR="00CE21BD" w:rsidRPr="00CE21BD" w:rsidRDefault="00AE29C4" w:rsidP="0090503E">
            <w:r>
              <w:t xml:space="preserve">≤ </w:t>
            </w:r>
            <w:r w:rsidR="00CE21BD" w:rsidRPr="00CE21BD">
              <w:t>3 fold resistance</w:t>
            </w:r>
          </w:p>
        </w:tc>
      </w:tr>
      <w:tr w:rsidR="00CE21BD" w:rsidRPr="00CE21BD" w:rsidTr="00014BB3">
        <w:trPr>
          <w:trHeight w:val="121"/>
        </w:trPr>
        <w:tc>
          <w:tcPr>
            <w:tcW w:w="2039" w:type="dxa"/>
          </w:tcPr>
          <w:p w:rsidR="00CE21BD" w:rsidRPr="00CE21BD" w:rsidRDefault="00CE21BD" w:rsidP="0090503E">
            <w:r w:rsidRPr="00CE21BD">
              <w:t>T54A</w:t>
            </w:r>
          </w:p>
        </w:tc>
        <w:tc>
          <w:tcPr>
            <w:tcW w:w="2039" w:type="dxa"/>
          </w:tcPr>
          <w:p w:rsidR="00CE21BD" w:rsidRPr="00CE21BD" w:rsidRDefault="00CE21BD" w:rsidP="0090503E">
            <w:r w:rsidRPr="00CE21BD">
              <w:t>0.09</w:t>
            </w:r>
          </w:p>
        </w:tc>
        <w:tc>
          <w:tcPr>
            <w:tcW w:w="2028" w:type="dxa"/>
          </w:tcPr>
          <w:p w:rsidR="00CE21BD" w:rsidRPr="00CE21BD" w:rsidRDefault="00CE21BD" w:rsidP="0090503E">
            <w:r w:rsidRPr="00CE21BD">
              <w:t>0.8</w:t>
            </w:r>
          </w:p>
        </w:tc>
        <w:tc>
          <w:tcPr>
            <w:tcW w:w="2050" w:type="dxa"/>
          </w:tcPr>
          <w:p w:rsidR="00CE21BD" w:rsidRPr="00CE21BD" w:rsidRDefault="00CE21BD" w:rsidP="0090503E">
            <w:r w:rsidRPr="00CE21BD">
              <w:t>59</w:t>
            </w:r>
          </w:p>
        </w:tc>
      </w:tr>
      <w:tr w:rsidR="00CE21BD" w:rsidRPr="00CE21BD" w:rsidTr="00014BB3">
        <w:trPr>
          <w:trHeight w:val="121"/>
        </w:trPr>
        <w:tc>
          <w:tcPr>
            <w:tcW w:w="2039" w:type="dxa"/>
          </w:tcPr>
          <w:p w:rsidR="00CE21BD" w:rsidRPr="00CE21BD" w:rsidRDefault="00CE21BD" w:rsidP="0090503E">
            <w:r w:rsidRPr="00CE21BD">
              <w:t>T54S</w:t>
            </w:r>
          </w:p>
        </w:tc>
        <w:tc>
          <w:tcPr>
            <w:tcW w:w="2039" w:type="dxa"/>
          </w:tcPr>
          <w:p w:rsidR="00CE21BD" w:rsidRPr="00CE21BD" w:rsidRDefault="00CE21BD" w:rsidP="0090503E">
            <w:r w:rsidRPr="00CE21BD">
              <w:t>-</w:t>
            </w:r>
          </w:p>
        </w:tc>
        <w:tc>
          <w:tcPr>
            <w:tcW w:w="2028" w:type="dxa"/>
          </w:tcPr>
          <w:p w:rsidR="00CE21BD" w:rsidRPr="00CE21BD" w:rsidRDefault="00CE21BD" w:rsidP="0090503E">
            <w:r w:rsidRPr="00CE21BD">
              <w:t>-</w:t>
            </w:r>
          </w:p>
        </w:tc>
        <w:tc>
          <w:tcPr>
            <w:tcW w:w="2050" w:type="dxa"/>
          </w:tcPr>
          <w:p w:rsidR="00CE21BD" w:rsidRPr="00CE21BD" w:rsidRDefault="00926A16" w:rsidP="0090503E">
            <w:r>
              <w:t xml:space="preserve">&lt; </w:t>
            </w:r>
            <w:r w:rsidR="00F201F8">
              <w:t>0</w:t>
            </w:r>
            <w:r w:rsidR="00CE21BD" w:rsidRPr="00CE21BD">
              <w:t>.5</w:t>
            </w:r>
          </w:p>
        </w:tc>
      </w:tr>
      <w:tr w:rsidR="00CE21BD" w:rsidRPr="00CE21BD" w:rsidTr="00014BB3">
        <w:trPr>
          <w:trHeight w:val="121"/>
        </w:trPr>
        <w:tc>
          <w:tcPr>
            <w:tcW w:w="2039" w:type="dxa"/>
          </w:tcPr>
          <w:p w:rsidR="00CE21BD" w:rsidRPr="00CE21BD" w:rsidRDefault="00CE21BD" w:rsidP="0090503E">
            <w:r w:rsidRPr="00CE21BD">
              <w:t>V55A</w:t>
            </w:r>
          </w:p>
        </w:tc>
        <w:tc>
          <w:tcPr>
            <w:tcW w:w="2039" w:type="dxa"/>
          </w:tcPr>
          <w:p w:rsidR="00CE21BD" w:rsidRPr="00CE21BD" w:rsidRDefault="00CE21BD" w:rsidP="0090503E">
            <w:r w:rsidRPr="00CE21BD">
              <w:t>0.07</w:t>
            </w:r>
          </w:p>
        </w:tc>
        <w:tc>
          <w:tcPr>
            <w:tcW w:w="2028" w:type="dxa"/>
          </w:tcPr>
          <w:p w:rsidR="00CE21BD" w:rsidRPr="00CE21BD" w:rsidRDefault="00CE21BD" w:rsidP="0090503E">
            <w:r w:rsidRPr="00CE21BD">
              <w:t>0.6</w:t>
            </w:r>
          </w:p>
        </w:tc>
        <w:tc>
          <w:tcPr>
            <w:tcW w:w="2050" w:type="dxa"/>
          </w:tcPr>
          <w:p w:rsidR="00CE21BD" w:rsidRPr="00CE21BD" w:rsidRDefault="00CE21BD" w:rsidP="0090503E">
            <w:r w:rsidRPr="00CE21BD">
              <w:t>14</w:t>
            </w:r>
          </w:p>
        </w:tc>
      </w:tr>
      <w:tr w:rsidR="00CE21BD" w:rsidRPr="00CE21BD" w:rsidTr="00014BB3">
        <w:trPr>
          <w:trHeight w:val="121"/>
        </w:trPr>
        <w:tc>
          <w:tcPr>
            <w:tcW w:w="2039" w:type="dxa"/>
          </w:tcPr>
          <w:p w:rsidR="00CE21BD" w:rsidRPr="00CE21BD" w:rsidRDefault="00CE21BD" w:rsidP="0090503E">
            <w:r w:rsidRPr="00CE21BD">
              <w:t>A156S</w:t>
            </w:r>
          </w:p>
        </w:tc>
        <w:tc>
          <w:tcPr>
            <w:tcW w:w="2039" w:type="dxa"/>
          </w:tcPr>
          <w:p w:rsidR="00CE21BD" w:rsidRPr="00CE21BD" w:rsidRDefault="00CE21BD" w:rsidP="0090503E">
            <w:r w:rsidRPr="00CE21BD">
              <w:t>0.06</w:t>
            </w:r>
          </w:p>
        </w:tc>
        <w:tc>
          <w:tcPr>
            <w:tcW w:w="2028" w:type="dxa"/>
          </w:tcPr>
          <w:p w:rsidR="00CE21BD" w:rsidRPr="00CE21BD" w:rsidRDefault="00CE21BD" w:rsidP="0090503E">
            <w:r w:rsidRPr="00CE21BD">
              <w:t>0.5</w:t>
            </w:r>
          </w:p>
        </w:tc>
        <w:tc>
          <w:tcPr>
            <w:tcW w:w="2050" w:type="dxa"/>
          </w:tcPr>
          <w:p w:rsidR="00CE21BD" w:rsidRPr="00CE21BD" w:rsidRDefault="00CE21BD" w:rsidP="0090503E">
            <w:r w:rsidRPr="00CE21BD">
              <w:t>61</w:t>
            </w:r>
          </w:p>
        </w:tc>
      </w:tr>
      <w:tr w:rsidR="00CE21BD" w:rsidRPr="00CE21BD" w:rsidTr="00014BB3">
        <w:trPr>
          <w:trHeight w:val="121"/>
        </w:trPr>
        <w:tc>
          <w:tcPr>
            <w:tcW w:w="2039" w:type="dxa"/>
          </w:tcPr>
          <w:p w:rsidR="00CE21BD" w:rsidRPr="00CE21BD" w:rsidRDefault="00CE21BD" w:rsidP="0090503E">
            <w:r w:rsidRPr="00CE21BD">
              <w:t>V170A</w:t>
            </w:r>
          </w:p>
        </w:tc>
        <w:tc>
          <w:tcPr>
            <w:tcW w:w="2039" w:type="dxa"/>
          </w:tcPr>
          <w:p w:rsidR="00CE21BD" w:rsidRPr="00CE21BD" w:rsidRDefault="00CE21BD" w:rsidP="0090503E">
            <w:r w:rsidRPr="00CE21BD">
              <w:t>0.09</w:t>
            </w:r>
          </w:p>
        </w:tc>
        <w:tc>
          <w:tcPr>
            <w:tcW w:w="2028" w:type="dxa"/>
          </w:tcPr>
          <w:p w:rsidR="00CE21BD" w:rsidRPr="00CE21BD" w:rsidRDefault="00CE21BD" w:rsidP="0090503E">
            <w:r w:rsidRPr="00CE21BD">
              <w:t>1</w:t>
            </w:r>
          </w:p>
        </w:tc>
        <w:tc>
          <w:tcPr>
            <w:tcW w:w="2050" w:type="dxa"/>
          </w:tcPr>
          <w:p w:rsidR="00CE21BD" w:rsidRPr="00CE21BD" w:rsidRDefault="00CE21BD" w:rsidP="0090503E">
            <w:r w:rsidRPr="00CE21BD">
              <w:t>64</w:t>
            </w:r>
          </w:p>
        </w:tc>
      </w:tr>
      <w:tr w:rsidR="00CE21BD" w:rsidRPr="00CE21BD" w:rsidTr="00014BB3">
        <w:trPr>
          <w:trHeight w:val="121"/>
        </w:trPr>
        <w:tc>
          <w:tcPr>
            <w:tcW w:w="8156" w:type="dxa"/>
            <w:gridSpan w:val="4"/>
          </w:tcPr>
          <w:p w:rsidR="00CE21BD" w:rsidRPr="00CE21BD" w:rsidRDefault="000C3156" w:rsidP="0090503E">
            <w:r>
              <w:t xml:space="preserve">&gt; </w:t>
            </w:r>
            <w:r w:rsidR="00CE21BD" w:rsidRPr="00CE21BD">
              <w:t>3 fold resistance</w:t>
            </w:r>
          </w:p>
        </w:tc>
      </w:tr>
      <w:tr w:rsidR="00CE21BD" w:rsidRPr="00CE21BD" w:rsidTr="00014BB3">
        <w:trPr>
          <w:trHeight w:val="121"/>
        </w:trPr>
        <w:tc>
          <w:tcPr>
            <w:tcW w:w="2039" w:type="dxa"/>
          </w:tcPr>
          <w:p w:rsidR="00CE21BD" w:rsidRPr="00CE21BD" w:rsidRDefault="00CE21BD" w:rsidP="0090503E">
            <w:r w:rsidRPr="00CE21BD">
              <w:t>R155K</w:t>
            </w:r>
          </w:p>
        </w:tc>
        <w:tc>
          <w:tcPr>
            <w:tcW w:w="2039" w:type="dxa"/>
          </w:tcPr>
          <w:p w:rsidR="00CE21BD" w:rsidRPr="00CE21BD" w:rsidRDefault="00CE21BD" w:rsidP="0090503E">
            <w:r w:rsidRPr="00CE21BD">
              <w:t xml:space="preserve">4.4 </w:t>
            </w:r>
          </w:p>
        </w:tc>
        <w:tc>
          <w:tcPr>
            <w:tcW w:w="2028" w:type="dxa"/>
          </w:tcPr>
          <w:p w:rsidR="00CE21BD" w:rsidRPr="00CE21BD" w:rsidRDefault="00CE21BD" w:rsidP="0090503E">
            <w:r w:rsidRPr="00CE21BD">
              <w:t xml:space="preserve">40 </w:t>
            </w:r>
          </w:p>
        </w:tc>
        <w:tc>
          <w:tcPr>
            <w:tcW w:w="2050" w:type="dxa"/>
          </w:tcPr>
          <w:p w:rsidR="00CE21BD" w:rsidRPr="00CE21BD" w:rsidRDefault="00CE21BD" w:rsidP="0090503E">
            <w:r w:rsidRPr="00CE21BD">
              <w:t>73</w:t>
            </w:r>
          </w:p>
        </w:tc>
      </w:tr>
      <w:tr w:rsidR="00CE21BD" w:rsidRPr="00CE21BD" w:rsidTr="00014BB3">
        <w:trPr>
          <w:trHeight w:val="121"/>
        </w:trPr>
        <w:tc>
          <w:tcPr>
            <w:tcW w:w="2039" w:type="dxa"/>
          </w:tcPr>
          <w:p w:rsidR="00CE21BD" w:rsidRPr="00CE21BD" w:rsidRDefault="00CE21BD" w:rsidP="0090503E">
            <w:r w:rsidRPr="00CE21BD">
              <w:t>R155Q</w:t>
            </w:r>
          </w:p>
        </w:tc>
        <w:tc>
          <w:tcPr>
            <w:tcW w:w="2039" w:type="dxa"/>
          </w:tcPr>
          <w:p w:rsidR="00CE21BD" w:rsidRPr="00CE21BD" w:rsidRDefault="00CE21BD" w:rsidP="0090503E">
            <w:r w:rsidRPr="00CE21BD">
              <w:t>-</w:t>
            </w:r>
          </w:p>
        </w:tc>
        <w:tc>
          <w:tcPr>
            <w:tcW w:w="2028" w:type="dxa"/>
          </w:tcPr>
          <w:p w:rsidR="00CE21BD" w:rsidRPr="00CE21BD" w:rsidRDefault="00CE21BD" w:rsidP="0090503E">
            <w:r w:rsidRPr="00CE21BD">
              <w:t>-</w:t>
            </w:r>
          </w:p>
        </w:tc>
        <w:tc>
          <w:tcPr>
            <w:tcW w:w="2050" w:type="dxa"/>
          </w:tcPr>
          <w:p w:rsidR="00CE21BD" w:rsidRPr="00CE21BD" w:rsidRDefault="00926A16" w:rsidP="0090503E">
            <w:r>
              <w:t xml:space="preserve">&lt; </w:t>
            </w:r>
            <w:r w:rsidR="00F201F8">
              <w:t>0</w:t>
            </w:r>
            <w:r w:rsidR="00CE21BD" w:rsidRPr="00CE21BD">
              <w:t>.5</w:t>
            </w:r>
          </w:p>
        </w:tc>
      </w:tr>
      <w:tr w:rsidR="00CE21BD" w:rsidRPr="00CE21BD" w:rsidTr="00014BB3">
        <w:trPr>
          <w:trHeight w:val="121"/>
        </w:trPr>
        <w:tc>
          <w:tcPr>
            <w:tcW w:w="2039" w:type="dxa"/>
          </w:tcPr>
          <w:p w:rsidR="00CE21BD" w:rsidRPr="00CE21BD" w:rsidRDefault="00CE21BD" w:rsidP="0090503E">
            <w:r w:rsidRPr="00CE21BD">
              <w:t>A156T</w:t>
            </w:r>
          </w:p>
        </w:tc>
        <w:tc>
          <w:tcPr>
            <w:tcW w:w="2039" w:type="dxa"/>
          </w:tcPr>
          <w:p w:rsidR="00CE21BD" w:rsidRPr="00CE21BD" w:rsidRDefault="00CE21BD" w:rsidP="0090503E">
            <w:r w:rsidRPr="00CE21BD">
              <w:t>0.81</w:t>
            </w:r>
          </w:p>
        </w:tc>
        <w:tc>
          <w:tcPr>
            <w:tcW w:w="2028" w:type="dxa"/>
          </w:tcPr>
          <w:p w:rsidR="00CE21BD" w:rsidRPr="00CE21BD" w:rsidRDefault="00CE21BD" w:rsidP="0090503E">
            <w:r w:rsidRPr="00CE21BD">
              <w:t>7</w:t>
            </w:r>
          </w:p>
        </w:tc>
        <w:tc>
          <w:tcPr>
            <w:tcW w:w="2050" w:type="dxa"/>
          </w:tcPr>
          <w:p w:rsidR="00CE21BD" w:rsidRPr="00CE21BD" w:rsidRDefault="00CE21BD" w:rsidP="0090503E">
            <w:r w:rsidRPr="00CE21BD">
              <w:t>19</w:t>
            </w:r>
          </w:p>
        </w:tc>
      </w:tr>
      <w:tr w:rsidR="00CE21BD" w:rsidRPr="00CE21BD" w:rsidTr="00014BB3">
        <w:trPr>
          <w:trHeight w:val="121"/>
        </w:trPr>
        <w:tc>
          <w:tcPr>
            <w:tcW w:w="2039" w:type="dxa"/>
          </w:tcPr>
          <w:p w:rsidR="00CE21BD" w:rsidRPr="00CE21BD" w:rsidRDefault="00CE21BD" w:rsidP="0090503E">
            <w:r w:rsidRPr="00CE21BD">
              <w:t>D168A</w:t>
            </w:r>
          </w:p>
        </w:tc>
        <w:tc>
          <w:tcPr>
            <w:tcW w:w="2039" w:type="dxa"/>
          </w:tcPr>
          <w:p w:rsidR="00CE21BD" w:rsidRPr="00CE21BD" w:rsidRDefault="00CE21BD" w:rsidP="0090503E">
            <w:r w:rsidRPr="00CE21BD">
              <w:t>3.0</w:t>
            </w:r>
          </w:p>
        </w:tc>
        <w:tc>
          <w:tcPr>
            <w:tcW w:w="2028" w:type="dxa"/>
          </w:tcPr>
          <w:p w:rsidR="00CE21BD" w:rsidRPr="00CE21BD" w:rsidRDefault="00CE21BD" w:rsidP="0090503E">
            <w:r w:rsidRPr="00CE21BD">
              <w:t>27</w:t>
            </w:r>
          </w:p>
        </w:tc>
        <w:tc>
          <w:tcPr>
            <w:tcW w:w="2050" w:type="dxa"/>
          </w:tcPr>
          <w:p w:rsidR="00CE21BD" w:rsidRPr="00CE21BD" w:rsidRDefault="00CE21BD" w:rsidP="0090503E">
            <w:r w:rsidRPr="00CE21BD">
              <w:t>69</w:t>
            </w:r>
          </w:p>
        </w:tc>
      </w:tr>
      <w:tr w:rsidR="00CE21BD" w:rsidRPr="00CE21BD" w:rsidTr="00014BB3">
        <w:trPr>
          <w:trHeight w:val="121"/>
        </w:trPr>
        <w:tc>
          <w:tcPr>
            <w:tcW w:w="2039" w:type="dxa"/>
          </w:tcPr>
          <w:p w:rsidR="00CE21BD" w:rsidRPr="00CE21BD" w:rsidRDefault="00CE21BD" w:rsidP="0090503E">
            <w:r w:rsidRPr="00CE21BD">
              <w:t>D168E</w:t>
            </w:r>
          </w:p>
        </w:tc>
        <w:tc>
          <w:tcPr>
            <w:tcW w:w="2039" w:type="dxa"/>
          </w:tcPr>
          <w:p w:rsidR="00CE21BD" w:rsidRPr="00CE21BD" w:rsidRDefault="00CE21BD" w:rsidP="0090503E">
            <w:r w:rsidRPr="00CE21BD">
              <w:t>0.48</w:t>
            </w:r>
          </w:p>
        </w:tc>
        <w:tc>
          <w:tcPr>
            <w:tcW w:w="2028" w:type="dxa"/>
          </w:tcPr>
          <w:p w:rsidR="00CE21BD" w:rsidRPr="00CE21BD" w:rsidRDefault="00CE21BD" w:rsidP="0090503E">
            <w:r w:rsidRPr="00CE21BD">
              <w:t>4</w:t>
            </w:r>
          </w:p>
        </w:tc>
        <w:tc>
          <w:tcPr>
            <w:tcW w:w="2050" w:type="dxa"/>
          </w:tcPr>
          <w:p w:rsidR="00CE21BD" w:rsidRPr="00CE21BD" w:rsidRDefault="00CE21BD" w:rsidP="0090503E">
            <w:r w:rsidRPr="00CE21BD">
              <w:t>80</w:t>
            </w:r>
          </w:p>
        </w:tc>
      </w:tr>
      <w:tr w:rsidR="00CE21BD" w:rsidRPr="00CE21BD" w:rsidTr="00014BB3">
        <w:trPr>
          <w:trHeight w:val="121"/>
        </w:trPr>
        <w:tc>
          <w:tcPr>
            <w:tcW w:w="2039" w:type="dxa"/>
          </w:tcPr>
          <w:p w:rsidR="00CE21BD" w:rsidRPr="00CE21BD" w:rsidRDefault="00CE21BD" w:rsidP="0090503E">
            <w:r w:rsidRPr="00CE21BD">
              <w:t>D168H</w:t>
            </w:r>
          </w:p>
        </w:tc>
        <w:tc>
          <w:tcPr>
            <w:tcW w:w="2039" w:type="dxa"/>
          </w:tcPr>
          <w:p w:rsidR="00CE21BD" w:rsidRPr="00CE21BD" w:rsidRDefault="00CE21BD" w:rsidP="0090503E">
            <w:r w:rsidRPr="00CE21BD">
              <w:t>8.3</w:t>
            </w:r>
          </w:p>
        </w:tc>
        <w:tc>
          <w:tcPr>
            <w:tcW w:w="2028" w:type="dxa"/>
          </w:tcPr>
          <w:p w:rsidR="00CE21BD" w:rsidRPr="00CE21BD" w:rsidRDefault="00CE21BD" w:rsidP="0090503E">
            <w:r w:rsidRPr="00CE21BD">
              <w:t>76</w:t>
            </w:r>
          </w:p>
        </w:tc>
        <w:tc>
          <w:tcPr>
            <w:tcW w:w="2050" w:type="dxa"/>
          </w:tcPr>
          <w:p w:rsidR="00CE21BD" w:rsidRPr="00CE21BD" w:rsidRDefault="00CE21BD" w:rsidP="0090503E">
            <w:r w:rsidRPr="00CE21BD">
              <w:t>108</w:t>
            </w:r>
          </w:p>
        </w:tc>
      </w:tr>
      <w:tr w:rsidR="00CE21BD" w:rsidRPr="00CE21BD" w:rsidTr="00014BB3">
        <w:trPr>
          <w:trHeight w:val="121"/>
        </w:trPr>
        <w:tc>
          <w:tcPr>
            <w:tcW w:w="2039" w:type="dxa"/>
          </w:tcPr>
          <w:p w:rsidR="00CE21BD" w:rsidRPr="00CE21BD" w:rsidRDefault="00CE21BD" w:rsidP="0090503E">
            <w:r w:rsidRPr="00CE21BD">
              <w:t>D168K</w:t>
            </w:r>
          </w:p>
        </w:tc>
        <w:tc>
          <w:tcPr>
            <w:tcW w:w="2039" w:type="dxa"/>
          </w:tcPr>
          <w:p w:rsidR="00CE21BD" w:rsidRPr="00CE21BD" w:rsidRDefault="00CE21BD" w:rsidP="0090503E">
            <w:r w:rsidRPr="00CE21BD">
              <w:t>96</w:t>
            </w:r>
          </w:p>
        </w:tc>
        <w:tc>
          <w:tcPr>
            <w:tcW w:w="2028" w:type="dxa"/>
          </w:tcPr>
          <w:p w:rsidR="00CE21BD" w:rsidRPr="00CE21BD" w:rsidRDefault="00CE21BD" w:rsidP="0090503E">
            <w:r w:rsidRPr="00CE21BD">
              <w:t>882</w:t>
            </w:r>
          </w:p>
        </w:tc>
        <w:tc>
          <w:tcPr>
            <w:tcW w:w="2050" w:type="dxa"/>
          </w:tcPr>
          <w:p w:rsidR="00CE21BD" w:rsidRPr="00CE21BD" w:rsidRDefault="00CE21BD" w:rsidP="0090503E">
            <w:r w:rsidRPr="00CE21BD">
              <w:t>50</w:t>
            </w:r>
          </w:p>
        </w:tc>
      </w:tr>
      <w:tr w:rsidR="00CE21BD" w:rsidRPr="00CE21BD" w:rsidTr="00014BB3">
        <w:trPr>
          <w:trHeight w:val="121"/>
        </w:trPr>
        <w:tc>
          <w:tcPr>
            <w:tcW w:w="2039" w:type="dxa"/>
          </w:tcPr>
          <w:p w:rsidR="00CE21BD" w:rsidRPr="00CE21BD" w:rsidRDefault="00CE21BD" w:rsidP="0090503E">
            <w:r w:rsidRPr="00CE21BD">
              <w:t>D168T</w:t>
            </w:r>
          </w:p>
        </w:tc>
        <w:tc>
          <w:tcPr>
            <w:tcW w:w="2039" w:type="dxa"/>
          </w:tcPr>
          <w:p w:rsidR="00CE21BD" w:rsidRPr="00CE21BD" w:rsidRDefault="00CE21BD" w:rsidP="0090503E">
            <w:r w:rsidRPr="00CE21BD">
              <w:t>5.4</w:t>
            </w:r>
          </w:p>
        </w:tc>
        <w:tc>
          <w:tcPr>
            <w:tcW w:w="2028" w:type="dxa"/>
          </w:tcPr>
          <w:p w:rsidR="00CE21BD" w:rsidRPr="00CE21BD" w:rsidRDefault="00CE21BD" w:rsidP="0090503E">
            <w:r w:rsidRPr="00CE21BD">
              <w:t>49</w:t>
            </w:r>
          </w:p>
        </w:tc>
        <w:tc>
          <w:tcPr>
            <w:tcW w:w="2050" w:type="dxa"/>
          </w:tcPr>
          <w:p w:rsidR="00CE21BD" w:rsidRPr="00CE21BD" w:rsidRDefault="00CE21BD" w:rsidP="0090503E">
            <w:r w:rsidRPr="00CE21BD">
              <w:t>129</w:t>
            </w:r>
          </w:p>
        </w:tc>
      </w:tr>
      <w:tr w:rsidR="00CE21BD" w:rsidRPr="00CE21BD" w:rsidTr="00014BB3">
        <w:trPr>
          <w:trHeight w:val="121"/>
        </w:trPr>
        <w:tc>
          <w:tcPr>
            <w:tcW w:w="2039" w:type="dxa"/>
          </w:tcPr>
          <w:p w:rsidR="00CE21BD" w:rsidRPr="00CE21BD" w:rsidRDefault="00CE21BD" w:rsidP="0090503E">
            <w:r w:rsidRPr="00CE21BD">
              <w:t>D168V</w:t>
            </w:r>
          </w:p>
        </w:tc>
        <w:tc>
          <w:tcPr>
            <w:tcW w:w="2039" w:type="dxa"/>
          </w:tcPr>
          <w:p w:rsidR="00CE21BD" w:rsidRPr="00CE21BD" w:rsidRDefault="00CE21BD" w:rsidP="0090503E">
            <w:r w:rsidRPr="00CE21BD">
              <w:t xml:space="preserve">17 </w:t>
            </w:r>
          </w:p>
        </w:tc>
        <w:tc>
          <w:tcPr>
            <w:tcW w:w="2028" w:type="dxa"/>
          </w:tcPr>
          <w:p w:rsidR="00CE21BD" w:rsidRPr="00CE21BD" w:rsidRDefault="00CE21BD" w:rsidP="0090503E">
            <w:r w:rsidRPr="00CE21BD">
              <w:t xml:space="preserve">159 </w:t>
            </w:r>
          </w:p>
        </w:tc>
        <w:tc>
          <w:tcPr>
            <w:tcW w:w="2050" w:type="dxa"/>
          </w:tcPr>
          <w:p w:rsidR="00CE21BD" w:rsidRPr="00CE21BD" w:rsidRDefault="00CE21BD" w:rsidP="0090503E">
            <w:r w:rsidRPr="00CE21BD">
              <w:t xml:space="preserve">157 </w:t>
            </w:r>
          </w:p>
        </w:tc>
      </w:tr>
      <w:tr w:rsidR="00CE21BD" w:rsidRPr="00CE21BD" w:rsidTr="00014BB3">
        <w:trPr>
          <w:trHeight w:val="121"/>
        </w:trPr>
        <w:tc>
          <w:tcPr>
            <w:tcW w:w="2039" w:type="dxa"/>
          </w:tcPr>
          <w:p w:rsidR="00CE21BD" w:rsidRPr="00CE21BD" w:rsidRDefault="00CE21BD" w:rsidP="0090503E">
            <w:r w:rsidRPr="00CE21BD">
              <w:t>D168Y</w:t>
            </w:r>
          </w:p>
        </w:tc>
        <w:tc>
          <w:tcPr>
            <w:tcW w:w="2039" w:type="dxa"/>
          </w:tcPr>
          <w:p w:rsidR="00CE21BD" w:rsidRPr="00CE21BD" w:rsidRDefault="00CE21BD" w:rsidP="0090503E">
            <w:r w:rsidRPr="00CE21BD">
              <w:t>37</w:t>
            </w:r>
          </w:p>
        </w:tc>
        <w:tc>
          <w:tcPr>
            <w:tcW w:w="2028" w:type="dxa"/>
          </w:tcPr>
          <w:p w:rsidR="00CE21BD" w:rsidRPr="00CE21BD" w:rsidRDefault="00CE21BD" w:rsidP="0090503E">
            <w:r w:rsidRPr="00CE21BD">
              <w:t>337</w:t>
            </w:r>
          </w:p>
        </w:tc>
        <w:tc>
          <w:tcPr>
            <w:tcW w:w="2050" w:type="dxa"/>
          </w:tcPr>
          <w:p w:rsidR="00CE21BD" w:rsidRPr="00CE21BD" w:rsidRDefault="00CE21BD" w:rsidP="0090503E">
            <w:r w:rsidRPr="00CE21BD">
              <w:t>70</w:t>
            </w:r>
          </w:p>
        </w:tc>
      </w:tr>
    </w:tbl>
    <w:p w:rsidR="00CE21BD" w:rsidRPr="00CE21BD" w:rsidRDefault="00CE21BD" w:rsidP="00CE21BD">
      <w:r w:rsidRPr="00CE21BD">
        <w:t>Mutations in NS3/4A that conferred some resistance to paritaprevir were identified from in vitro studies (</w:t>
      </w:r>
      <w:r w:rsidR="00640225">
        <w:t>treatment emergent</w:t>
      </w:r>
      <w:r w:rsidRPr="00CE21BD">
        <w:t xml:space="preserve"> mutations in HCV replicon assays) and early clinical studies. For genotype 1a, variants at amino acid positions 43, 155, 156 and 168 generally conferred 7</w:t>
      </w:r>
      <w:r w:rsidR="00BF1FC5">
        <w:t xml:space="preserve"> to</w:t>
      </w:r>
      <w:r w:rsidRPr="00CE21BD">
        <w:t xml:space="preserve"> 219 fold resistance to paritaprevir, while substitutions at 36, 54 and 80 were only associated with small (</w:t>
      </w:r>
      <w:r w:rsidR="00AE29C4">
        <w:t xml:space="preserve">≤ </w:t>
      </w:r>
      <w:r w:rsidRPr="00CE21BD">
        <w:t>3</w:t>
      </w:r>
      <w:r w:rsidR="00BF1FC5">
        <w:t xml:space="preserve"> fold</w:t>
      </w:r>
      <w:r w:rsidRPr="00CE21BD">
        <w:t>) increases in resistance. However, resistance mutations V36M, F43L, Y56H or E357K in combination with R155K or D168 increased the fold-resistance of the latter mutation a further 2</w:t>
      </w:r>
      <w:r w:rsidR="0021113A">
        <w:t xml:space="preserve"> to </w:t>
      </w:r>
      <w:r w:rsidRPr="00CE21BD">
        <w:t xml:space="preserve">7 fold. In most cases the replication efficiency of the resistant 1a mutations was lower than that of </w:t>
      </w:r>
      <w:r w:rsidR="00C36BE1">
        <w:t xml:space="preserve">the wild type virus (see </w:t>
      </w:r>
      <w:r w:rsidR="00C36BE1">
        <w:lastRenderedPageBreak/>
        <w:t>Table 2</w:t>
      </w:r>
      <w:r w:rsidRPr="00CE21BD">
        <w:t xml:space="preserve">). NS3 variants V36L, T54S, Q80L/R and R155T/V/W were not observed as </w:t>
      </w:r>
      <w:r w:rsidR="00640225">
        <w:t>treatment emergent</w:t>
      </w:r>
      <w:r w:rsidRPr="00CE21BD">
        <w:t xml:space="preserve"> variants either in vitro or in clinical studies</w:t>
      </w:r>
      <w:r w:rsidR="00BF1FC5">
        <w:t>.</w:t>
      </w:r>
      <w:r w:rsidRPr="00BF1FC5">
        <w:rPr>
          <w:vertAlign w:val="superscript"/>
        </w:rPr>
        <w:footnoteReference w:id="8"/>
      </w:r>
    </w:p>
    <w:p w:rsidR="00CE21BD" w:rsidRPr="00CE21BD" w:rsidRDefault="00CE21BD" w:rsidP="00CE21BD">
      <w:r w:rsidRPr="00CE21BD">
        <w:t xml:space="preserve">The mutations of the genotype 1b strain associated with markedly increased resistance to paritaprevir were those having substitutions at amino acid positions 156 and 168, with substitutions A156T and D168A/H/V/Y reducing antiviral activity by </w:t>
      </w:r>
      <w:r w:rsidR="009C3D3A">
        <w:t xml:space="preserve">7 </w:t>
      </w:r>
      <w:r w:rsidRPr="00CE21BD">
        <w:t>and 2</w:t>
      </w:r>
      <w:r w:rsidR="009C3D3A">
        <w:t xml:space="preserve">7 </w:t>
      </w:r>
      <w:r w:rsidRPr="00CE21BD">
        <w:t>to 337</w:t>
      </w:r>
      <w:r w:rsidR="00BF1FC5">
        <w:t xml:space="preserve"> fold</w:t>
      </w:r>
      <w:r w:rsidRPr="00CE21BD">
        <w:t xml:space="preserve"> respectively (NS3 variants R155K and D168E/K/T were not observed as </w:t>
      </w:r>
      <w:r w:rsidR="00640225">
        <w:t>treatment emergent</w:t>
      </w:r>
      <w:r w:rsidRPr="00CE21BD">
        <w:t xml:space="preserve"> variants either in vitro or in clinical studies5). The combination of Y56H with D168A/V/Y reduced the activity of paritaprevir by an additional 12</w:t>
      </w:r>
      <w:r w:rsidR="0021113A">
        <w:t xml:space="preserve"> to </w:t>
      </w:r>
      <w:r w:rsidRPr="00CE21BD">
        <w:t>26</w:t>
      </w:r>
      <w:r w:rsidR="00BF1FC5">
        <w:t xml:space="preserve"> fold</w:t>
      </w:r>
      <w:r w:rsidRPr="00CE21BD">
        <w:t xml:space="preserve"> compared with the D168 substitution alone. Substitutions at amino acid positions 54, 55 and 170 were not notably more resistant to paritaprevir, while some substitutions at position 156 were associated with modestly increased resistance. The replication efficiency of the mutations conferring resistance to paritaprevir was </w:t>
      </w:r>
      <w:r w:rsidR="000C3156">
        <w:t xml:space="preserve">≥ </w:t>
      </w:r>
      <w:r w:rsidRPr="00CE21BD">
        <w:t>50% that of the wild type virus for variants R155K and D168V/H/K/T/Y.</w:t>
      </w:r>
    </w:p>
    <w:p w:rsidR="00CE21BD" w:rsidRPr="00CE21BD" w:rsidRDefault="00CE21BD" w:rsidP="00CE21BD">
      <w:r w:rsidRPr="00CE21BD">
        <w:t>Mutations at amino acid position 155 and 156 that are likely to confer resistance to paritaprevir based on the in vitro studies are also associated with resistance to most other NS3 protease inhibitors,</w:t>
      </w:r>
      <w:bookmarkStart w:id="52" w:name="_Ref471977534"/>
      <w:r w:rsidRPr="009C3D3A">
        <w:rPr>
          <w:vertAlign w:val="superscript"/>
        </w:rPr>
        <w:footnoteReference w:id="9"/>
      </w:r>
      <w:bookmarkEnd w:id="52"/>
      <w:r w:rsidRPr="00CE21BD">
        <w:t xml:space="preserve"> and hence patients that have failed therapy with other NS3/4A inhibitors may not be susceptible to paritaprevir (and vice versa). However, certain variants associated with resistance to telaprevir, boceprevir and a number of other NS3 inhibitors currently under development or more recently introduced to the market (V36A/M, T54A, V55A, Q80R/K, A156S, and V170A) may be susceptible to paritaprevir based on the results of the in vitro virology data. Mutations at position 168 are common to most macrocyclic NS3 inhibitors including paritaprevir, but these variants are susceptible to NS3 inhibitors having a linear chemical scaffold, such as telaprevir and boceprevir.</w:t>
      </w:r>
    </w:p>
    <w:p w:rsidR="00CE21BD" w:rsidRPr="00CE21BD" w:rsidRDefault="00CE21BD" w:rsidP="00CE21BD">
      <w:r w:rsidRPr="00CE21BD">
        <w:t>Ritonavir did not exhibit activity against HCV, and did not affect the antiviral efficacy of paritaprevir in</w:t>
      </w:r>
      <w:r w:rsidR="005F323A">
        <w:t xml:space="preserve"> a standard HCV replicon assay.</w:t>
      </w:r>
    </w:p>
    <w:p w:rsidR="00CE21BD" w:rsidRPr="00CE21BD" w:rsidRDefault="00CE21BD" w:rsidP="00CE21BD">
      <w:pPr>
        <w:pStyle w:val="Heading5"/>
      </w:pPr>
      <w:r w:rsidRPr="00CE21BD">
        <w:t>Secondary pharmacodynamics and safety pharmacology</w:t>
      </w:r>
    </w:p>
    <w:p w:rsidR="00CE21BD" w:rsidRPr="00CE21BD" w:rsidRDefault="00CE21BD" w:rsidP="00CE21BD">
      <w:r w:rsidRPr="00CE21BD">
        <w:t xml:space="preserve">Paritaprevir showed no relevant antiviral activity evident against </w:t>
      </w:r>
      <w:r w:rsidR="00E458BE">
        <w:t>human immunodeficiency virus</w:t>
      </w:r>
      <w:r w:rsidR="00E458BE" w:rsidRPr="00CE21BD">
        <w:t xml:space="preserve"> </w:t>
      </w:r>
      <w:r w:rsidR="00E458BE">
        <w:t>1 (</w:t>
      </w:r>
      <w:r w:rsidRPr="00CE21BD">
        <w:t>HIV-1</w:t>
      </w:r>
      <w:r w:rsidR="00E458BE">
        <w:t>)</w:t>
      </w:r>
      <w:r w:rsidRPr="00CE21BD">
        <w:t xml:space="preserve"> and </w:t>
      </w:r>
      <w:r w:rsidR="00E458BE">
        <w:t>hepatitis B virus</w:t>
      </w:r>
      <w:r w:rsidR="00E458BE" w:rsidRPr="00CE21BD">
        <w:t xml:space="preserve"> </w:t>
      </w:r>
      <w:r w:rsidR="00E458BE">
        <w:t>(</w:t>
      </w:r>
      <w:r w:rsidRPr="00CE21BD">
        <w:t>HBV</w:t>
      </w:r>
      <w:r w:rsidR="00E458BE">
        <w:t>)</w:t>
      </w:r>
      <w:r w:rsidRPr="00CE21BD">
        <w:t xml:space="preserve">. In a screen for secondary activity at 75 receptors, ion channels and transporters, paritaprevir displaced ligand binding to human recombinant δ-opioid receptors expressed in CHO cells by 77%. This occurred at a concentration of 10 </w:t>
      </w:r>
      <w:r w:rsidR="005F323A">
        <w:t>µ</w:t>
      </w:r>
      <w:r w:rsidRPr="00CE21BD">
        <w:t xml:space="preserve">M, which is approximately 380 times the clinical </w:t>
      </w:r>
      <w:r w:rsidR="003A33A4" w:rsidRPr="008912E8">
        <w:t>C</w:t>
      </w:r>
      <w:r w:rsidR="003A33A4" w:rsidRPr="003A33A4">
        <w:rPr>
          <w:vertAlign w:val="subscript"/>
        </w:rPr>
        <w:t>max</w:t>
      </w:r>
      <w:r w:rsidR="00630EF4">
        <w:t xml:space="preserve"> </w:t>
      </w:r>
      <w:r w:rsidRPr="00CE21BD">
        <w:t>(for unbound paritaprevir</w:t>
      </w:r>
      <w:r w:rsidRPr="005F323A">
        <w:rPr>
          <w:vertAlign w:val="superscript"/>
        </w:rPr>
        <w:footnoteReference w:id="10"/>
      </w:r>
      <w:r w:rsidR="005F323A">
        <w:t xml:space="preserve">) of 26.3 nM. No off </w:t>
      </w:r>
      <w:r w:rsidRPr="00CE21BD">
        <w:t>target activities are predicted during clinical use.</w:t>
      </w:r>
    </w:p>
    <w:p w:rsidR="00CE21BD" w:rsidRPr="00CE21BD" w:rsidRDefault="00CE21BD" w:rsidP="00CE21BD">
      <w:r w:rsidRPr="00CE21BD">
        <w:t xml:space="preserve">Specialised safety pharmacology studies covered the </w:t>
      </w:r>
      <w:r w:rsidR="002D05D0">
        <w:t>central nervous system (</w:t>
      </w:r>
      <w:r w:rsidRPr="00CE21BD">
        <w:t>CNS</w:t>
      </w:r>
      <w:r w:rsidR="002D05D0">
        <w:t>)</w:t>
      </w:r>
      <w:r w:rsidRPr="00CE21BD">
        <w:t>, cardiovascular, respiratory and gastrointestinal systems. Mild excita</w:t>
      </w:r>
      <w:r w:rsidR="005F323A">
        <w:t xml:space="preserve">tory effects were seen in a </w:t>
      </w:r>
      <w:r w:rsidR="00A35F17">
        <w:t>non-good laboratory practice</w:t>
      </w:r>
      <w:r w:rsidR="00A35F17" w:rsidRPr="00CE21BD">
        <w:t xml:space="preserve"> </w:t>
      </w:r>
      <w:r w:rsidR="00A35F17">
        <w:t>(</w:t>
      </w:r>
      <w:r w:rsidRPr="00CE21BD">
        <w:t>GLP</w:t>
      </w:r>
      <w:r w:rsidR="00A35F17">
        <w:t>)</w:t>
      </w:r>
      <w:r w:rsidRPr="00CE21BD">
        <w:t xml:space="preserve"> study in male rats dosed with paritaprevir (</w:t>
      </w:r>
      <w:r w:rsidR="000C3156">
        <w:t xml:space="preserve">≥ </w:t>
      </w:r>
      <w:r w:rsidRPr="00CE21BD">
        <w:t xml:space="preserve">100 mg/kg, in combination with 15 mg/kg ritonavir), but not in a GLP study in which exposures were 3.4 times the clinical </w:t>
      </w:r>
      <w:r w:rsidR="003A33A4" w:rsidRPr="008912E8">
        <w:t>C</w:t>
      </w:r>
      <w:r w:rsidR="003A33A4" w:rsidRPr="003A33A4">
        <w:rPr>
          <w:vertAlign w:val="subscript"/>
        </w:rPr>
        <w:t>max</w:t>
      </w:r>
      <w:r w:rsidR="00630EF4">
        <w:t xml:space="preserve"> </w:t>
      </w:r>
      <w:r w:rsidRPr="00CE21BD">
        <w:t xml:space="preserve">for paritaprevir, nor the repeat dose toxicity studies at exposures approximately 11 times the clinical </w:t>
      </w:r>
      <w:r w:rsidR="003A33A4" w:rsidRPr="008912E8">
        <w:t>C</w:t>
      </w:r>
      <w:r w:rsidR="003A33A4" w:rsidRPr="003A33A4">
        <w:rPr>
          <w:vertAlign w:val="subscript"/>
        </w:rPr>
        <w:t>max</w:t>
      </w:r>
      <w:r w:rsidRPr="00CE21BD">
        <w:t xml:space="preserve">. Inhibition of </w:t>
      </w:r>
      <w:r w:rsidR="007369FF">
        <w:t>h</w:t>
      </w:r>
      <w:r w:rsidR="007369FF" w:rsidRPr="00E355BF">
        <w:t xml:space="preserve">uman ether-a-go-go-related </w:t>
      </w:r>
      <w:r w:rsidR="007369FF" w:rsidRPr="00A35F17">
        <w:t>gene (potassium</w:t>
      </w:r>
      <w:r w:rsidR="007369FF">
        <w:t xml:space="preserve"> channel</w:t>
      </w:r>
      <w:r w:rsidR="007369FF" w:rsidRPr="007369FF">
        <w:t xml:space="preserve">) </w:t>
      </w:r>
      <w:r w:rsidRPr="007369FF">
        <w:t>hERG</w:t>
      </w:r>
      <w:r w:rsidRPr="00CE21BD">
        <w:t xml:space="preserve"> tail currents was only seen at very high concentrations (estimated </w:t>
      </w:r>
      <w:r w:rsidR="00014BB3">
        <w:t>IC</w:t>
      </w:r>
      <w:r w:rsidR="00014BB3" w:rsidRPr="00E355BF">
        <w:rPr>
          <w:vertAlign w:val="subscript"/>
        </w:rPr>
        <w:t>50</w:t>
      </w:r>
      <w:r w:rsidRPr="00CE21BD">
        <w:t xml:space="preserve"> corresponding to greater than 3</w:t>
      </w:r>
      <w:r w:rsidR="005F323A">
        <w:t>,</w:t>
      </w:r>
      <w:r w:rsidRPr="00CE21BD">
        <w:t xml:space="preserve">000 times the clinical </w:t>
      </w:r>
      <w:r w:rsidR="003A33A4" w:rsidRPr="008912E8">
        <w:t>C</w:t>
      </w:r>
      <w:r w:rsidR="003A33A4" w:rsidRPr="003A33A4">
        <w:rPr>
          <w:vertAlign w:val="subscript"/>
        </w:rPr>
        <w:t>max</w:t>
      </w:r>
      <w:r w:rsidR="00630EF4">
        <w:t xml:space="preserve"> </w:t>
      </w:r>
      <w:r w:rsidRPr="00CE21BD">
        <w:t xml:space="preserve">for unbound paritaprevir). A small, apparently </w:t>
      </w:r>
      <w:r w:rsidR="005F323A">
        <w:t>dose dependent</w:t>
      </w:r>
      <w:r w:rsidRPr="00CE21BD">
        <w:t xml:space="preserve"> increase in </w:t>
      </w:r>
      <w:r w:rsidR="007369FF" w:rsidRPr="00E355BF">
        <w:t xml:space="preserve">QT interval duration corrected for heart </w:t>
      </w:r>
      <w:r w:rsidR="007369FF" w:rsidRPr="007369FF">
        <w:t>rate (</w:t>
      </w:r>
      <w:r w:rsidRPr="007369FF">
        <w:t>QTc</w:t>
      </w:r>
      <w:r w:rsidR="007369FF" w:rsidRPr="007369FF">
        <w:t>)</w:t>
      </w:r>
      <w:r w:rsidRPr="007369FF">
        <w:t xml:space="preserve"> in</w:t>
      </w:r>
      <w:r w:rsidRPr="00CE21BD">
        <w:t xml:space="preserve"> anaesthetised dogs is considered unlikely to be related to treatment, as the increase continued during the washout period, and no effect was seen in a subsequent GLP study in conscious dogs at exposures 66 times the clinical </w:t>
      </w:r>
      <w:r w:rsidR="003A33A4" w:rsidRPr="008912E8">
        <w:t>C</w:t>
      </w:r>
      <w:r w:rsidR="003A33A4" w:rsidRPr="003A33A4">
        <w:rPr>
          <w:vertAlign w:val="subscript"/>
        </w:rPr>
        <w:t>max</w:t>
      </w:r>
      <w:r w:rsidRPr="00CE21BD">
        <w:t xml:space="preserve">, nor in the 9 month repeat dose toxicity study at exposure levels 76 times the clinical </w:t>
      </w:r>
      <w:r w:rsidR="003A33A4" w:rsidRPr="008912E8">
        <w:t>C</w:t>
      </w:r>
      <w:r w:rsidR="003A33A4" w:rsidRPr="003A33A4">
        <w:rPr>
          <w:vertAlign w:val="subscript"/>
        </w:rPr>
        <w:t>max</w:t>
      </w:r>
      <w:r w:rsidR="00BF1FC5">
        <w:t>.</w:t>
      </w:r>
    </w:p>
    <w:p w:rsidR="00CE21BD" w:rsidRPr="00CE21BD" w:rsidRDefault="00CE21BD" w:rsidP="00CE21BD">
      <w:r w:rsidRPr="00CE21BD">
        <w:lastRenderedPageBreak/>
        <w:t xml:space="preserve">There were no significant effects on respiratory function in conscious rats dosed with paritaprevir/ritonavir up to 500/15 mg/kg, at maximum exposure levels (associated with the </w:t>
      </w:r>
      <w:r w:rsidR="00A35F17">
        <w:t>maximum dose</w:t>
      </w:r>
      <w:r w:rsidR="00A35F17" w:rsidRPr="00CE21BD">
        <w:t xml:space="preserve"> </w:t>
      </w:r>
      <w:r w:rsidR="00A35F17">
        <w:t>(</w:t>
      </w:r>
      <w:r w:rsidRPr="00CE21BD">
        <w:t>MD</w:t>
      </w:r>
      <w:r w:rsidR="00A35F17">
        <w:t>)</w:t>
      </w:r>
      <w:r w:rsidRPr="00CE21BD">
        <w:t xml:space="preserve"> group dosed at 150/15 mg/kg) approximately equal to the clinical </w:t>
      </w:r>
      <w:r w:rsidR="003A33A4" w:rsidRPr="008912E8">
        <w:t>C</w:t>
      </w:r>
      <w:r w:rsidR="003A33A4" w:rsidRPr="003A33A4">
        <w:rPr>
          <w:vertAlign w:val="subscript"/>
        </w:rPr>
        <w:t>max</w:t>
      </w:r>
      <w:r w:rsidR="005F323A">
        <w:t>.</w:t>
      </w:r>
    </w:p>
    <w:p w:rsidR="00CE21BD" w:rsidRPr="00CE21BD" w:rsidRDefault="00CE21BD" w:rsidP="00CE21BD">
      <w:r w:rsidRPr="00CE21BD">
        <w:t xml:space="preserve">Potential effects on gastrointestinal motility were not adequately investigated as the exposure associated with an oral paritaprevir dose of 300 mg/kg (without ritonavir) was only 0.15 times the clinical </w:t>
      </w:r>
      <w:r w:rsidR="003A33A4" w:rsidRPr="008912E8">
        <w:t>C</w:t>
      </w:r>
      <w:r w:rsidR="003A33A4" w:rsidRPr="003A33A4">
        <w:rPr>
          <w:vertAlign w:val="subscript"/>
        </w:rPr>
        <w:t>max</w:t>
      </w:r>
      <w:r w:rsidRPr="00CE21BD">
        <w:t xml:space="preserve"> and the study did not include a positive control. Emesis was observed in one of six ferrets dosed orally with 75 mg/kg paritaprevir (5.5 times the clinical </w:t>
      </w:r>
      <w:r w:rsidR="003A33A4" w:rsidRPr="008912E8">
        <w:t>C</w:t>
      </w:r>
      <w:r w:rsidR="003A33A4" w:rsidRPr="003A33A4">
        <w:rPr>
          <w:vertAlign w:val="subscript"/>
        </w:rPr>
        <w:t>max</w:t>
      </w:r>
      <w:r w:rsidRPr="00CE21BD">
        <w:t xml:space="preserve">), and there was a </w:t>
      </w:r>
      <w:r w:rsidR="005F323A">
        <w:t>dose related</w:t>
      </w:r>
      <w:r w:rsidRPr="00CE21BD">
        <w:t xml:space="preserve"> increase in emesis in repeat dose studies in dogs. This effect appeared to be mild, with no adverse consequences on food intake or body weight gain. It is a frequently observed response to test article administration in this species. Overall, a markedly adverse effect on the gastrointestinal tract is considered to be unlikely based on the results of repeat dose toxicity st</w:t>
      </w:r>
      <w:r w:rsidR="005F323A">
        <w:t>udies in mice, rats and dogs co</w:t>
      </w:r>
      <w:r w:rsidR="005F323A">
        <w:noBreakHyphen/>
      </w:r>
      <w:r w:rsidRPr="00CE21BD">
        <w:t>dosed with paritaprevir and ritonavir, in which the treatment was well tolerated.</w:t>
      </w:r>
    </w:p>
    <w:p w:rsidR="004334C7" w:rsidRPr="004334C7" w:rsidRDefault="00CE21BD" w:rsidP="004334C7">
      <w:r w:rsidRPr="00CE21BD">
        <w:t>Paritaprevir is not expected to have any notable adverse effects on CNS, respiratory, gastrointestinal or cardiovascular function during clinical use.</w:t>
      </w:r>
    </w:p>
    <w:p w:rsidR="008E7846" w:rsidRDefault="008E7846" w:rsidP="008E7846">
      <w:pPr>
        <w:pStyle w:val="Heading3"/>
      </w:pPr>
      <w:bookmarkStart w:id="53" w:name="_Toc247691513"/>
      <w:bookmarkStart w:id="54" w:name="_Toc314842497"/>
      <w:bookmarkStart w:id="55" w:name="_Toc480811561"/>
      <w:r>
        <w:t>Pharmacokinetics</w:t>
      </w:r>
      <w:bookmarkEnd w:id="53"/>
      <w:bookmarkEnd w:id="54"/>
      <w:r w:rsidR="001B7DBF">
        <w:t xml:space="preserve">- </w:t>
      </w:r>
      <w:r w:rsidR="008B6F3C">
        <w:t>paritaprevir</w:t>
      </w:r>
      <w:bookmarkEnd w:id="55"/>
    </w:p>
    <w:p w:rsidR="001B7DBF" w:rsidRPr="001B7DBF" w:rsidRDefault="001B7DBF" w:rsidP="001B7DBF">
      <w:bookmarkStart w:id="56" w:name="_Toc247691514"/>
      <w:bookmarkStart w:id="57" w:name="_Toc314842498"/>
      <w:r w:rsidRPr="001B7DBF">
        <w:t>Paritaprevir is a high molecular weight, lipophilic compound with a moderate apparent intestinal permeability (based on in vitro data). It is subject to active efflux, and to moderate to high rates of metabolism by CYP3A4, resulting in high first pass hepatic metabolism. Markedly increased levels of systemic exposure were achieved in animal studies by using non-aqueous formulations, and by co-dosing with ritonavir to minimise the effects of first pass metabolism and active efflux. The non-aqueous formulations selected for paritaprevir were also appropriate for ritonavir, which is also a high molecular weight, lipophilic compound.</w:t>
      </w:r>
    </w:p>
    <w:p w:rsidR="001B7DBF" w:rsidRPr="001B7DBF" w:rsidRDefault="001B7DBF" w:rsidP="001B7DBF">
      <w:r w:rsidRPr="001B7DBF">
        <w:t xml:space="preserve">The plasma kinetics of paritaprevir (alone or when co-administered with ritonavir) were examined after single </w:t>
      </w:r>
      <w:r w:rsidR="00A35F17">
        <w:t xml:space="preserve">per </w:t>
      </w:r>
      <w:r w:rsidR="00A35F17" w:rsidRPr="00A35F17">
        <w:t>oral (</w:t>
      </w:r>
      <w:r w:rsidRPr="00A35F17">
        <w:t>PO</w:t>
      </w:r>
      <w:r w:rsidR="00A35F17" w:rsidRPr="00A35F17">
        <w:t>)</w:t>
      </w:r>
      <w:r w:rsidRPr="00A35F17">
        <w:t xml:space="preserve"> doses</w:t>
      </w:r>
      <w:r w:rsidRPr="001B7DBF">
        <w:t xml:space="preserve"> in mice, rats, rabbits, dogs and monkeys, and after single </w:t>
      </w:r>
      <w:r w:rsidR="00A35F17" w:rsidRPr="00A35F17">
        <w:t>intravenous (</w:t>
      </w:r>
      <w:r w:rsidRPr="00A35F17">
        <w:t>IV</w:t>
      </w:r>
      <w:r w:rsidR="00A35F17" w:rsidRPr="00A35F17">
        <w:t>)</w:t>
      </w:r>
      <w:r w:rsidRPr="00A35F17">
        <w:t xml:space="preserve"> doses in rats</w:t>
      </w:r>
      <w:r w:rsidRPr="001B7DBF">
        <w:t>, rabbits, dogs and monkeys. Oral absorption in bile duct cannulated rats was low (15.3%). Bioavailability estimates are generally unrelia</w:t>
      </w:r>
      <w:r w:rsidR="005F323A">
        <w:t>ble, since in most cases the co</w:t>
      </w:r>
      <w:r w:rsidR="005F323A">
        <w:noBreakHyphen/>
      </w:r>
      <w:r w:rsidRPr="001B7DBF">
        <w:t>administration of ritonavir was not consistent between oral and intravenous dosing, but the value of 41% in the dog is not subject to this limitation. In most species, paritaprevir kinetics were characterised by a high plasma clearance (</w:t>
      </w:r>
      <w:r w:rsidR="000C3156">
        <w:t xml:space="preserve">≥ </w:t>
      </w:r>
      <w:r w:rsidRPr="001B7DBF">
        <w:t>1.9 L/kg/h), moderate volume of distribution (</w:t>
      </w:r>
      <w:r w:rsidR="000C3156">
        <w:t xml:space="preserve">≥ </w:t>
      </w:r>
      <w:r w:rsidRPr="001B7DBF">
        <w:t>0.52 L/kg) and an apparent elimination half-life after IV dosing of approximately 0.4 h</w:t>
      </w:r>
      <w:r w:rsidR="005F323A">
        <w:t>ours</w:t>
      </w:r>
      <w:r w:rsidRPr="001B7DBF">
        <w:t>. Clearance values were somewhat lower in the dog (0.1 L/h/kg), and elimination half-life was 1.2 h. A pronounced food effect was evident in this species, with plasma exposures being six</w:t>
      </w:r>
      <w:r w:rsidR="00BF1FC5">
        <w:t xml:space="preserve"> fold</w:t>
      </w:r>
      <w:r w:rsidRPr="001B7DBF">
        <w:t xml:space="preserve"> higher in fasted dogs. Only very low systemic exposures could be achieved in the rabbit, even following parenteral administration. Plasma kinetics in mice, rats and dogs showed no consistent gender difference, and no evidence of accumulation with multiple dosing. Exposures increased with dose, but showed saturation at higher doses.</w:t>
      </w:r>
    </w:p>
    <w:p w:rsidR="001B7DBF" w:rsidRPr="001B7DBF" w:rsidRDefault="001B7DBF" w:rsidP="001B7DBF">
      <w:r w:rsidRPr="001B7DBF">
        <w:t>In all species paritaprevir was highly bound to plasma proteins in vitro over the concentration range 0.1</w:t>
      </w:r>
      <w:r w:rsidR="0021113A">
        <w:t xml:space="preserve"> to </w:t>
      </w:r>
      <w:r w:rsidRPr="001B7DBF">
        <w:t xml:space="preserve">10 </w:t>
      </w:r>
      <w:r w:rsidR="005F323A">
        <w:t>µ</w:t>
      </w:r>
      <w:r w:rsidR="005F323A" w:rsidRPr="00CE21BD">
        <w:t>M</w:t>
      </w:r>
      <w:r w:rsidRPr="001B7DBF">
        <w:t>. The mean value in humans from two independent experiments was 98.63% (mean unbound fraction</w:t>
      </w:r>
      <w:r w:rsidR="00BF1FC5">
        <w:t xml:space="preserve"> = </w:t>
      </w:r>
      <w:r w:rsidRPr="001B7DBF">
        <w:t>0.0137), and was similar in animals. In one study the mean fraction unbound was slightly lower in dogs than in the other species, but this was not confirmed in a second experiment. There were no meaningful differences in protein binding in the plasma from human subjects with varying degrees of renal or hepatic impairment. Paritaprevir preferentially distributed to the plasma compartment in humans and animals (blood to plasma concentration ratio 0.58</w:t>
      </w:r>
      <w:r w:rsidR="0021113A">
        <w:t xml:space="preserve"> to </w:t>
      </w:r>
      <w:r w:rsidRPr="001B7DBF">
        <w:t>1.0; human value</w:t>
      </w:r>
      <w:r w:rsidR="00BF1FC5">
        <w:t xml:space="preserve"> = </w:t>
      </w:r>
      <w:r w:rsidRPr="001B7DBF">
        <w:t xml:space="preserve">0.68. Tissue distribution of radioactivity in pigmented rats following oral administration of radiolabelled paritaprevir was mainly limited to the gastrointestinal </w:t>
      </w:r>
      <w:r w:rsidRPr="001B7DBF">
        <w:lastRenderedPageBreak/>
        <w:t>tract and excretory organs, w</w:t>
      </w:r>
      <w:r w:rsidR="005F323A">
        <w:t xml:space="preserve">ith no penetration of the blood </w:t>
      </w:r>
      <w:r w:rsidRPr="001B7DBF">
        <w:t>brain barrier, lens of the eye and uveal tract or testes, and no evidence of accumulation or retention. Exposure levels in the liver were higher than in plasma for mice, rats and dogs, with liver:</w:t>
      </w:r>
      <w:r w:rsidR="005F323A">
        <w:t xml:space="preserve"> </w:t>
      </w:r>
      <w:r w:rsidRPr="001B7DBF">
        <w:t>plasma ratios following its oral co-administration with ritonavir in rats and dogs being approximately 2800</w:t>
      </w:r>
      <w:r w:rsidR="0021113A">
        <w:t xml:space="preserve"> to </w:t>
      </w:r>
      <w:r w:rsidRPr="001B7DBF">
        <w:t>5400 and 6</w:t>
      </w:r>
      <w:r w:rsidR="0021113A">
        <w:t xml:space="preserve"> to </w:t>
      </w:r>
      <w:r w:rsidRPr="001B7DBF">
        <w:t>14, respectively, and approximately 350 following</w:t>
      </w:r>
      <w:r w:rsidR="005F323A">
        <w:t xml:space="preserve"> IV administration to FVB mice.</w:t>
      </w:r>
    </w:p>
    <w:p w:rsidR="001B7DBF" w:rsidRPr="001B7DBF" w:rsidRDefault="001B7DBF" w:rsidP="001B7DBF">
      <w:r w:rsidRPr="001B7DBF">
        <w:t>The main metabolic pathways for paritapr</w:t>
      </w:r>
      <w:r w:rsidR="005F323A">
        <w:t xml:space="preserve">evir biotransformation </w:t>
      </w:r>
      <w:r w:rsidR="005F323A" w:rsidRPr="00A35F17">
        <w:t xml:space="preserve">were CYP </w:t>
      </w:r>
      <w:r w:rsidRPr="00A35F17">
        <w:t>mediated</w:t>
      </w:r>
      <w:r w:rsidRPr="001B7DBF">
        <w:t xml:space="preserve"> oxidation of the olefinic linker or the phenanthridine or methylpyrazinyl groups, and amide hydrolysis at the acyl cyclopropane-sulfonamide and pyrazine-2-carboxyamide moieties. Unchanged paritaprevir was by far the dominant circulating species in humans and laboratory animals, and none of the metabolites circulating in plasma exceeded 10% of total </w:t>
      </w:r>
      <w:r w:rsidR="009F7EDA">
        <w:t>drug related</w:t>
      </w:r>
      <w:r w:rsidRPr="001B7DBF">
        <w:t xml:space="preserve"> material. With the exception of the acyl cyclopropane-sulfonamide hydrolysis product M29, all circulating human metabolites were also seen in the plasma of at least one animal species. In vitro studies indicated a major role for CYP3A4 in the oxidative metabolism of paritaprevir. Following oral dosing, paritaprevir was predominantly excreted in the bile and eliminated via the faeces in mice, rats, dogs and human subjects. The predominant faecal metabolite in humans as well as in rats and dogs was the amide hydrolysis product M29, which was probably formed as a result of intestinal metabolism.</w:t>
      </w:r>
      <w:r w:rsidR="008B6F3C">
        <w:t xml:space="preserve"> </w:t>
      </w:r>
      <w:r w:rsidRPr="001B7DBF">
        <w:t>Urinary excretion was 0.8% in mice, 2.1% in rats, 3.8% in dogs and 8.8% in humans, predominantly in the form of M13, the methylpyrazine-2-carboxylic acid. Overall, the pharmacokinetic profile of paritaprevir in mice, rats and dogs is considered adequately comparable for these animal species to serve as models for toxicity.</w:t>
      </w:r>
    </w:p>
    <w:p w:rsidR="001B7DBF" w:rsidRPr="001B7DBF" w:rsidRDefault="001B7DBF" w:rsidP="001B7DBF">
      <w:pPr>
        <w:pStyle w:val="Heading4"/>
      </w:pPr>
      <w:bookmarkStart w:id="58" w:name="_Toc294861725"/>
      <w:r w:rsidRPr="001B7DBF">
        <w:t>Pharmacokinetic drug interactions</w:t>
      </w:r>
      <w:bookmarkEnd w:id="58"/>
    </w:p>
    <w:p w:rsidR="001B7DBF" w:rsidRPr="001B7DBF" w:rsidRDefault="001B7DBF" w:rsidP="001B7DBF">
      <w:pPr>
        <w:pStyle w:val="Heading5"/>
      </w:pPr>
      <w:r w:rsidRPr="001B7DBF">
        <w:t xml:space="preserve">Effects of other drugs on </w:t>
      </w:r>
      <w:r w:rsidR="008B6F3C">
        <w:t>paritaprevir</w:t>
      </w:r>
    </w:p>
    <w:p w:rsidR="001B7DBF" w:rsidRPr="001B7DBF" w:rsidRDefault="001B7DBF" w:rsidP="001B7DBF">
      <w:r w:rsidRPr="001B7DBF">
        <w:t>Paritaprevir is metabolised by CYP3A4 and is a substrate for P</w:t>
      </w:r>
      <w:r w:rsidRPr="001B7DBF">
        <w:noBreakHyphen/>
        <w:t>glycoprotein</w:t>
      </w:r>
      <w:r w:rsidR="00C75F81">
        <w:t xml:space="preserve"> (P-gp)</w:t>
      </w:r>
      <w:r w:rsidRPr="001B7DBF">
        <w:t xml:space="preserve"> and </w:t>
      </w:r>
      <w:r w:rsidR="00A35F17">
        <w:t xml:space="preserve">breast cancer resistance </w:t>
      </w:r>
      <w:r w:rsidR="00A35F17" w:rsidRPr="00A35F17">
        <w:t>protein (</w:t>
      </w:r>
      <w:r w:rsidRPr="00A35F17">
        <w:t>BCRP</w:t>
      </w:r>
      <w:r w:rsidR="00A35F17" w:rsidRPr="00A35F17">
        <w:t>)</w:t>
      </w:r>
      <w:r w:rsidRPr="00A35F17">
        <w:t>. Therefore</w:t>
      </w:r>
      <w:r w:rsidRPr="001B7DBF">
        <w:t xml:space="preserve"> inhibitors/inducers of these CYP enzymes and transporters may affect paritaprevir exposure levels. The CYP3A4 inhibitor ritonavir was included in the V</w:t>
      </w:r>
      <w:r w:rsidR="00C36BE1" w:rsidRPr="001B7DBF">
        <w:t>iekira</w:t>
      </w:r>
      <w:r w:rsidRPr="001B7DBF">
        <w:t xml:space="preserve"> P</w:t>
      </w:r>
      <w:r w:rsidR="00C36BE1" w:rsidRPr="001B7DBF">
        <w:t>ak</w:t>
      </w:r>
      <w:r w:rsidRPr="001B7DBF">
        <w:t xml:space="preserve"> formulation to increase systemic exposure to paritaprevir, but this was further increased by co-administration with the CYP3A4/</w:t>
      </w:r>
      <w:r w:rsidR="00C75F81">
        <w:t>P-gp</w:t>
      </w:r>
      <w:r w:rsidRPr="001B7DBF">
        <w:t xml:space="preserve"> inhibitor ketoconazole. In addition, co-administration with the CYP3A4 inducer carbamazepine markedly reduced plasma concentrations of paritaprevir (AUC decreased by 71%). Based on this effect strong inducers of CYP3A4 are contraindicated during treatment with paritaprevir.</w:t>
      </w:r>
    </w:p>
    <w:p w:rsidR="001B7DBF" w:rsidRPr="001B7DBF" w:rsidRDefault="001B7DBF" w:rsidP="001B7DBF">
      <w:r w:rsidRPr="001B7DBF">
        <w:t xml:space="preserve">Paritaprevir is also a substrate for the hepatic organic anion transporting polypeptides </w:t>
      </w:r>
      <w:r w:rsidR="001E24B1">
        <w:t xml:space="preserve">(OATP) </w:t>
      </w:r>
      <w:r w:rsidRPr="001B7DBF">
        <w:t>OATP1B1 and OATP1B3 (but not OCT1), and studies in gene knockout mice indicated a combined contribution from multiple efflux transporters to the elimination of paritaprevir in this species. This was confirmed in clinical studies, which reported that paritaprevir concentrations were increased by co-administration of atazanavir and cyclosporin. Overall, the results of the in vitro studies are in agreement with the clinical findings.</w:t>
      </w:r>
    </w:p>
    <w:p w:rsidR="001B7DBF" w:rsidRPr="001B7DBF" w:rsidRDefault="001B7DBF" w:rsidP="001B7DBF">
      <w:pPr>
        <w:pStyle w:val="Heading5"/>
      </w:pPr>
      <w:r w:rsidRPr="001B7DBF">
        <w:t xml:space="preserve">Effects of </w:t>
      </w:r>
      <w:r w:rsidR="008B6F3C">
        <w:t>paritaprevir</w:t>
      </w:r>
      <w:r w:rsidRPr="001B7DBF">
        <w:t xml:space="preserve"> on other drugs</w:t>
      </w:r>
    </w:p>
    <w:p w:rsidR="001B7DBF" w:rsidRPr="001B7DBF" w:rsidRDefault="001B7DBF" w:rsidP="001B7DBF">
      <w:r w:rsidRPr="001B7DBF">
        <w:t xml:space="preserve">Paritaprevir was a weak competitive inhibitor of CYP2C8 and </w:t>
      </w:r>
      <w:r w:rsidR="00A35F17">
        <w:t>UDP</w:t>
      </w:r>
      <w:r w:rsidR="00A35F17">
        <w:noBreakHyphen/>
        <w:t>glucuronosyltransferase family member A1 (</w:t>
      </w:r>
      <w:r w:rsidRPr="001B7DBF">
        <w:t>UGT1A1</w:t>
      </w:r>
      <w:r w:rsidR="00A35F17">
        <w:t>)</w:t>
      </w:r>
      <w:r w:rsidRPr="001B7DBF">
        <w:t>, but neither effect is anticipated to be clinically relevant.</w:t>
      </w:r>
      <w:r w:rsidR="008B6F3C">
        <w:t xml:space="preserve"> </w:t>
      </w:r>
      <w:r w:rsidRPr="001B7DBF">
        <w:t xml:space="preserve">Co-administration of the UGT1A1 substrate raltegravir with the </w:t>
      </w:r>
      <w:r w:rsidR="00237CBE">
        <w:t>3DAA</w:t>
      </w:r>
      <w:r w:rsidRPr="001B7DBF">
        <w:t xml:space="preserve"> agents in combination increased plasma exposures by approximately one third, but this effect is most likely to be due to the dasabuvir component, with a possible contribution by ombitasvir. The potential for CYP3A4 induction is negated by the strong inhibitory action of ritonavir, as shown in clinical studies, where the exposure of the sensitive CYP3A4 substrate tacrolimus was markedly increased when administered in combination with the </w:t>
      </w:r>
      <w:r w:rsidR="00237CBE">
        <w:t>3DAA</w:t>
      </w:r>
      <w:r w:rsidRPr="001B7DBF">
        <w:t xml:space="preserve"> regimen (Study M13491).</w:t>
      </w:r>
    </w:p>
    <w:p w:rsidR="001B7DBF" w:rsidRPr="001B7DBF" w:rsidRDefault="001B7DBF" w:rsidP="001B7DBF">
      <w:r w:rsidRPr="001B7DBF">
        <w:lastRenderedPageBreak/>
        <w:t xml:space="preserve">Paritaprevir was an inhibitor of </w:t>
      </w:r>
      <w:r w:rsidR="00C75F81">
        <w:t>P-gp</w:t>
      </w:r>
      <w:r w:rsidRPr="001B7DBF">
        <w:t xml:space="preserve">, BCRP and </w:t>
      </w:r>
      <w:r w:rsidR="00A35F17">
        <w:t>m</w:t>
      </w:r>
      <w:r w:rsidR="00A35F17" w:rsidRPr="0059218C">
        <w:t xml:space="preserve">ultidrug resistance-associated protein </w:t>
      </w:r>
      <w:r w:rsidR="00A35F17" w:rsidRPr="00A35F17">
        <w:t>2 (</w:t>
      </w:r>
      <w:r w:rsidRPr="00A35F17">
        <w:t>MRP2</w:t>
      </w:r>
      <w:r w:rsidR="00A35F17" w:rsidRPr="00A35F17">
        <w:t>)</w:t>
      </w:r>
      <w:r w:rsidRPr="00A35F17">
        <w:t>. As</w:t>
      </w:r>
      <w:r w:rsidRPr="001B7DBF">
        <w:t xml:space="preserve"> the </w:t>
      </w:r>
      <w:r w:rsidR="00014BB3">
        <w:t>IC</w:t>
      </w:r>
      <w:r w:rsidR="00014BB3" w:rsidRPr="00E355BF">
        <w:rPr>
          <w:vertAlign w:val="subscript"/>
        </w:rPr>
        <w:t>50</w:t>
      </w:r>
      <w:r w:rsidRPr="001B7DBF">
        <w:t xml:space="preserve"> values (38.1, 0.59, 12 </w:t>
      </w:r>
      <w:r w:rsidR="005F323A">
        <w:t>µ</w:t>
      </w:r>
      <w:r w:rsidR="005F323A" w:rsidRPr="00CE21BD">
        <w:t>M</w:t>
      </w:r>
      <w:r w:rsidRPr="001B7DBF">
        <w:t xml:space="preserve">, respectively) were </w:t>
      </w:r>
      <w:r w:rsidR="00926A16">
        <w:t xml:space="preserve">&lt; </w:t>
      </w:r>
      <w:r w:rsidR="00F201F8">
        <w:t>0</w:t>
      </w:r>
      <w:r w:rsidRPr="001B7DBF">
        <w:t>.1 times the intestinal concentration, paritaprevir has the potential to affect the oral absorption of co-administered drugs that are substrates for these transporters</w:t>
      </w:r>
      <w:r w:rsidR="00C36BE1">
        <w:t>.</w:t>
      </w:r>
      <w:bookmarkStart w:id="59" w:name="_Ref471973080"/>
      <w:r w:rsidRPr="00C36BE1">
        <w:rPr>
          <w:vertAlign w:val="superscript"/>
        </w:rPr>
        <w:footnoteReference w:id="11"/>
      </w:r>
      <w:bookmarkEnd w:id="59"/>
      <w:r w:rsidRPr="001B7DBF">
        <w:t xml:space="preserve"> However, co</w:t>
      </w:r>
      <w:r w:rsidRPr="001B7DBF">
        <w:noBreakHyphen/>
        <w:t xml:space="preserve">administration of paritaprevir (as part of the </w:t>
      </w:r>
      <w:r w:rsidR="00237CBE">
        <w:t>3DAA</w:t>
      </w:r>
      <w:r w:rsidRPr="001B7DBF">
        <w:t xml:space="preserve"> regimen) with the </w:t>
      </w:r>
      <w:r w:rsidR="00C75F81">
        <w:t>P-gp</w:t>
      </w:r>
      <w:r w:rsidRPr="001B7DBF">
        <w:t xml:space="preserve"> substrate, digoxin, was not associated with clinically relevant increases in the plasma concentration of</w:t>
      </w:r>
      <w:r w:rsidR="00C36BE1">
        <w:t xml:space="preserve"> this </w:t>
      </w:r>
      <w:r w:rsidR="00C75F81">
        <w:t>P-gp</w:t>
      </w:r>
      <w:r w:rsidR="00C36BE1">
        <w:t xml:space="preserve"> substrate.</w:t>
      </w:r>
    </w:p>
    <w:p w:rsidR="004334C7" w:rsidRDefault="001B7DBF" w:rsidP="004334C7">
      <w:r w:rsidRPr="001B7DBF">
        <w:t>Paritaprevir also inhibited the hepatic anion transporters OATP1B1, OATP1B3 and OATP2B1 (</w:t>
      </w:r>
      <w:r w:rsidR="00014BB3">
        <w:t>IC</w:t>
      </w:r>
      <w:r w:rsidR="00014BB3" w:rsidRPr="00E355BF">
        <w:rPr>
          <w:vertAlign w:val="subscript"/>
        </w:rPr>
        <w:t>50</w:t>
      </w:r>
      <w:r w:rsidRPr="001B7DBF">
        <w:t xml:space="preserve"> values 0.031, 0.017 and 0.2 </w:t>
      </w:r>
      <w:r w:rsidR="005F323A">
        <w:t>µ</w:t>
      </w:r>
      <w:r w:rsidR="005F323A" w:rsidRPr="00CE21BD">
        <w:t>M</w:t>
      </w:r>
      <w:r w:rsidRPr="001B7DBF">
        <w:t xml:space="preserve">, respectively). As the </w:t>
      </w:r>
      <w:r w:rsidR="00014BB3">
        <w:t>IC</w:t>
      </w:r>
      <w:r w:rsidR="00014BB3" w:rsidRPr="00E355BF">
        <w:rPr>
          <w:vertAlign w:val="subscript"/>
        </w:rPr>
        <w:t>50</w:t>
      </w:r>
      <w:r w:rsidRPr="001B7DBF">
        <w:t xml:space="preserve"> values for paritaprevir against these transporters are </w:t>
      </w:r>
      <w:r w:rsidR="00926A16">
        <w:t xml:space="preserve">&lt; </w:t>
      </w:r>
      <w:r w:rsidR="00C36BE1">
        <w:t>2</w:t>
      </w:r>
      <w:r w:rsidRPr="001B7DBF">
        <w:t>5</w:t>
      </w:r>
      <w:r w:rsidR="00BF1FC5">
        <w:t xml:space="preserve"> fold</w:t>
      </w:r>
      <w:r w:rsidRPr="001B7DBF">
        <w:t xml:space="preserve"> the unbound hepatic inlet concentration</w:t>
      </w:r>
      <w:r w:rsidR="00C36BE1">
        <w:t>,</w:t>
      </w:r>
      <w:r w:rsidRPr="00C36BE1">
        <w:rPr>
          <w:vertAlign w:val="superscript"/>
        </w:rPr>
        <w:footnoteReference w:id="12"/>
      </w:r>
      <w:r w:rsidRPr="001B7DBF">
        <w:t xml:space="preserve"> paritaprevir has the potential to alter the disposition of co-administered drugs that are substrates for these hepatic transporters. The AUCs of pravastatin (an OATP1B1 substrate) and rosuvastatin (an OATP1B1/B3 and BCRP substrate) were increased (by 82% and 159%, respectively) when these compounds were co-administered with paritaprevir (in combination with ombitasvir, dasabuvir and ritonavir) in human subjects. It is not possible to determine the relative contributions of each individual </w:t>
      </w:r>
      <w:r w:rsidR="00237CBE">
        <w:t>3DAA</w:t>
      </w:r>
      <w:r w:rsidRPr="001B7DBF">
        <w:t xml:space="preserve"> agent to this effect, as dasabuvir and ritonavir were also likel</w:t>
      </w:r>
      <w:r w:rsidR="0098169C">
        <w:t>y to contribute to this effect.</w:t>
      </w:r>
    </w:p>
    <w:p w:rsidR="001B5C90" w:rsidRDefault="008E7846" w:rsidP="001B5C90">
      <w:pPr>
        <w:pStyle w:val="Heading3"/>
      </w:pPr>
      <w:bookmarkStart w:id="60" w:name="_Toc480811562"/>
      <w:r>
        <w:t>Toxicology</w:t>
      </w:r>
      <w:bookmarkEnd w:id="56"/>
      <w:bookmarkEnd w:id="57"/>
      <w:r w:rsidR="00C36BE1">
        <w:t xml:space="preserve"> - paritaprevir</w:t>
      </w:r>
      <w:bookmarkEnd w:id="60"/>
    </w:p>
    <w:p w:rsidR="001B7DBF" w:rsidRPr="001B7DBF" w:rsidRDefault="001B7DBF" w:rsidP="001B7DBF">
      <w:pPr>
        <w:pStyle w:val="Heading4"/>
      </w:pPr>
      <w:bookmarkStart w:id="61" w:name="_Toc294861727"/>
      <w:r w:rsidRPr="001B7DBF">
        <w:t>Acute toxicity</w:t>
      </w:r>
      <w:bookmarkEnd w:id="61"/>
    </w:p>
    <w:p w:rsidR="001B7DBF" w:rsidRPr="001B7DBF" w:rsidRDefault="001B7DBF" w:rsidP="001B7DBF">
      <w:r w:rsidRPr="001B7DBF">
        <w:t xml:space="preserve">Paritaprevir had a very low oral toxicity in single dose toxicity studies in rats and dogs (oral doses of up to 600 mg/kg and 100 mg/kg, respectively). There were no remarkable findings associated with plasma exposures up to 9 and 41 times the clinical exposure (based on AUC). In the rat study, the liver to plasma concentration ratio </w:t>
      </w:r>
      <w:r w:rsidR="00C36BE1">
        <w:t>for paritaprevir was up to 900.</w:t>
      </w:r>
    </w:p>
    <w:p w:rsidR="001B7DBF" w:rsidRPr="001B7DBF" w:rsidRDefault="001B7DBF" w:rsidP="001B7DBF">
      <w:pPr>
        <w:pStyle w:val="Heading4"/>
      </w:pPr>
      <w:bookmarkStart w:id="62" w:name="_Toc294861728"/>
      <w:r w:rsidRPr="001B7DBF">
        <w:t>Repeat-dose toxicity</w:t>
      </w:r>
      <w:bookmarkEnd w:id="62"/>
    </w:p>
    <w:p w:rsidR="001B7DBF" w:rsidRPr="001B7DBF" w:rsidRDefault="001B7DBF" w:rsidP="001B7DBF">
      <w:r w:rsidRPr="001B7DBF">
        <w:t>Pivotal repeat-dose toxicity studies were of up to six months duration in mice, three months duration in rats and 9 months duration in dogs, and were conducted under GLP conditions. The duration of the pivotal studies, the species used group sizes and the use of both sexes was consistent with ICH guidelines</w:t>
      </w:r>
      <w:r w:rsidR="00C36BE1">
        <w:t>.</w:t>
      </w:r>
      <w:bookmarkStart w:id="63" w:name="_Ref471973266"/>
      <w:r w:rsidRPr="00C36BE1">
        <w:rPr>
          <w:vertAlign w:val="superscript"/>
        </w:rPr>
        <w:footnoteReference w:id="13"/>
      </w:r>
      <w:bookmarkEnd w:id="63"/>
      <w:r w:rsidRPr="001B7DBF">
        <w:t xml:space="preserve"> The clinical route (PO) and dosing frequency was used in all studies, except that in the nine month dog study the highest dosage group received two divided doses rather than a single daily dose. This is not expected to significantly affect the validity of the toxicity studies. Paritaprevir was co-administered with the CYP3A4 inhibitor ritonavir as a pharmacokinetic booster. The doses of ritonavir in the repeat dose toxicity studies were selected to optimise exposure to paritaprevir for each nonclinical species, and were capped at this level to enable paritaprevir toxicity to be explored without being confounded by ritonavir toxicity. Doses of paritaprevir were generally acceptable, achieving high relative exposures to paritaprevir (see </w:t>
      </w:r>
      <w:r w:rsidR="00C36BE1">
        <w:t xml:space="preserve">Table 3 </w:t>
      </w:r>
      <w:r w:rsidRPr="009C3E30">
        <w:t xml:space="preserve">and </w:t>
      </w:r>
      <w:r w:rsidR="009C3E30" w:rsidRPr="009C3E30">
        <w:t xml:space="preserve">Figure </w:t>
      </w:r>
      <w:r w:rsidR="00B03483">
        <w:t>8</w:t>
      </w:r>
      <w:r w:rsidRPr="009C3E30">
        <w:t>). In the</w:t>
      </w:r>
      <w:r w:rsidRPr="001B7DBF">
        <w:t xml:space="preserve"> earlier studies in rats, saturation of plasma exposure to paritaprevir was identified as limiting the usefulness of this species, and so the CD-1 mouse was chosen to be the rodent species for the remaind</w:t>
      </w:r>
      <w:r w:rsidR="009C3E30">
        <w:t>er of the toxicology programme.</w:t>
      </w:r>
    </w:p>
    <w:p w:rsidR="001B7DBF" w:rsidRPr="001B7DBF" w:rsidRDefault="00C36BE1" w:rsidP="00FF289D">
      <w:pPr>
        <w:pStyle w:val="Tabletitle0"/>
      </w:pPr>
      <w:r>
        <w:lastRenderedPageBreak/>
        <w:t xml:space="preserve">Table 3: </w:t>
      </w:r>
      <w:r w:rsidR="001B7DBF" w:rsidRPr="001B7DBF">
        <w:t>Relative exposure</w:t>
      </w:r>
    </w:p>
    <w:tbl>
      <w:tblPr>
        <w:tblStyle w:val="TableTGAblue"/>
        <w:tblW w:w="8499" w:type="dxa"/>
        <w:tblLayout w:type="fixed"/>
        <w:tblLook w:val="01E0" w:firstRow="1" w:lastRow="1" w:firstColumn="1" w:lastColumn="1" w:noHBand="0" w:noVBand="0"/>
      </w:tblPr>
      <w:tblGrid>
        <w:gridCol w:w="1274"/>
        <w:gridCol w:w="1669"/>
        <w:gridCol w:w="1276"/>
        <w:gridCol w:w="1276"/>
        <w:gridCol w:w="1559"/>
        <w:gridCol w:w="1445"/>
      </w:tblGrid>
      <w:tr w:rsidR="001B7DBF" w:rsidRPr="0059143C" w:rsidTr="0090503E">
        <w:trPr>
          <w:cnfStyle w:val="100000000000" w:firstRow="1" w:lastRow="0" w:firstColumn="0" w:lastColumn="0" w:oddVBand="0" w:evenVBand="0" w:oddHBand="0" w:evenHBand="0" w:firstRowFirstColumn="0" w:firstRowLastColumn="0" w:lastRowFirstColumn="0" w:lastRowLastColumn="0"/>
          <w:trHeight w:val="137"/>
        </w:trPr>
        <w:tc>
          <w:tcPr>
            <w:tcW w:w="1274" w:type="dxa"/>
          </w:tcPr>
          <w:p w:rsidR="001B7DBF" w:rsidRPr="0059143C" w:rsidRDefault="001B7DBF" w:rsidP="0090503E">
            <w:pPr>
              <w:ind w:left="0"/>
            </w:pPr>
            <w:r w:rsidRPr="0059143C">
              <w:t>Species</w:t>
            </w:r>
          </w:p>
        </w:tc>
        <w:tc>
          <w:tcPr>
            <w:tcW w:w="1669" w:type="dxa"/>
          </w:tcPr>
          <w:p w:rsidR="001B7DBF" w:rsidRPr="0059143C" w:rsidRDefault="001B7DBF" w:rsidP="0090503E">
            <w:pPr>
              <w:ind w:left="2"/>
            </w:pPr>
            <w:r w:rsidRPr="0059143C">
              <w:t>Study duration</w:t>
            </w:r>
          </w:p>
        </w:tc>
        <w:tc>
          <w:tcPr>
            <w:tcW w:w="1276" w:type="dxa"/>
          </w:tcPr>
          <w:p w:rsidR="001B7DBF" w:rsidRPr="0059143C" w:rsidRDefault="001B7DBF" w:rsidP="0090503E">
            <w:pPr>
              <w:ind w:left="0"/>
            </w:pPr>
            <w:r w:rsidRPr="0059143C">
              <w:t>Analyte</w:t>
            </w:r>
          </w:p>
        </w:tc>
        <w:tc>
          <w:tcPr>
            <w:tcW w:w="1276" w:type="dxa"/>
          </w:tcPr>
          <w:p w:rsidR="001B7DBF" w:rsidRPr="0059143C" w:rsidRDefault="001B7DBF" w:rsidP="0090503E">
            <w:pPr>
              <w:ind w:left="34"/>
            </w:pPr>
            <w:r w:rsidRPr="0059143C">
              <w:t>Dose</w:t>
            </w:r>
            <w:r w:rsidR="0090503E">
              <w:t xml:space="preserve"> </w:t>
            </w:r>
            <w:r w:rsidRPr="0059143C">
              <w:t>(mg/kg/day)</w:t>
            </w:r>
          </w:p>
        </w:tc>
        <w:tc>
          <w:tcPr>
            <w:tcW w:w="1559" w:type="dxa"/>
          </w:tcPr>
          <w:p w:rsidR="001B7DBF" w:rsidRPr="0059143C" w:rsidRDefault="00926A16" w:rsidP="0090503E">
            <w:pPr>
              <w:ind w:left="34"/>
            </w:pPr>
            <w:r w:rsidRPr="00CC0301">
              <w:t>AUC</w:t>
            </w:r>
            <w:r w:rsidRPr="00926A16">
              <w:rPr>
                <w:vertAlign w:val="subscript"/>
              </w:rPr>
              <w:t>0–24 h</w:t>
            </w:r>
            <w:r w:rsidR="0090503E">
              <w:rPr>
                <w:vertAlign w:val="subscript"/>
              </w:rPr>
              <w:t xml:space="preserve"> </w:t>
            </w:r>
            <w:r w:rsidR="001B7DBF" w:rsidRPr="009C3E30">
              <w:t>(</w:t>
            </w:r>
            <w:r w:rsidR="00913482" w:rsidRPr="009C3E30">
              <w:t>µg</w:t>
            </w:r>
            <w:r w:rsidR="001B7DBF" w:rsidRPr="009C3E30">
              <w:t>∙h/mL</w:t>
            </w:r>
            <w:r w:rsidR="001B7DBF" w:rsidRPr="0059143C">
              <w:t>)</w:t>
            </w:r>
          </w:p>
        </w:tc>
        <w:tc>
          <w:tcPr>
            <w:tcW w:w="1445" w:type="dxa"/>
          </w:tcPr>
          <w:p w:rsidR="001B7DBF" w:rsidRPr="0059143C" w:rsidRDefault="001B7DBF" w:rsidP="0090503E">
            <w:r w:rsidRPr="0059143C">
              <w:t>Exposure ratio#</w:t>
            </w:r>
          </w:p>
        </w:tc>
      </w:tr>
      <w:tr w:rsidR="001B7DBF" w:rsidRPr="0059143C" w:rsidTr="0090503E">
        <w:trPr>
          <w:trHeight w:val="216"/>
        </w:trPr>
        <w:tc>
          <w:tcPr>
            <w:tcW w:w="1274" w:type="dxa"/>
            <w:vMerge w:val="restart"/>
          </w:tcPr>
          <w:p w:rsidR="001B7DBF" w:rsidRPr="0059143C" w:rsidRDefault="001B7DBF" w:rsidP="0090503E">
            <w:pPr>
              <w:ind w:left="0"/>
            </w:pPr>
            <w:r w:rsidRPr="0059143C">
              <w:t>Mouse</w:t>
            </w:r>
            <w:r w:rsidRPr="0059143C">
              <w:br/>
              <w:t>(Transgenic)</w:t>
            </w:r>
          </w:p>
        </w:tc>
        <w:tc>
          <w:tcPr>
            <w:tcW w:w="1669" w:type="dxa"/>
            <w:vMerge w:val="restart"/>
          </w:tcPr>
          <w:p w:rsidR="001B7DBF" w:rsidRPr="0059143C" w:rsidRDefault="001B7DBF" w:rsidP="0090503E">
            <w:pPr>
              <w:ind w:left="2"/>
            </w:pPr>
            <w:r w:rsidRPr="0059143C">
              <w:t>4 weeks</w:t>
            </w:r>
          </w:p>
          <w:p w:rsidR="001B7DBF" w:rsidRPr="0059143C" w:rsidRDefault="001B7DBF" w:rsidP="0090503E">
            <w:pPr>
              <w:ind w:left="2"/>
            </w:pPr>
            <w:r w:rsidRPr="0059143C">
              <w:t>(Day 28)</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51</w:t>
            </w:r>
          </w:p>
        </w:tc>
        <w:tc>
          <w:tcPr>
            <w:tcW w:w="1445" w:type="dxa"/>
          </w:tcPr>
          <w:p w:rsidR="001B7DBF" w:rsidRPr="0059143C" w:rsidRDefault="001B7DBF" w:rsidP="0090503E">
            <w:r w:rsidRPr="0059143C">
              <w:t>7.3</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100</w:t>
            </w:r>
          </w:p>
        </w:tc>
        <w:tc>
          <w:tcPr>
            <w:tcW w:w="1559" w:type="dxa"/>
          </w:tcPr>
          <w:p w:rsidR="001B7DBF" w:rsidRPr="0059143C" w:rsidRDefault="001B7DBF" w:rsidP="0090503E">
            <w:pPr>
              <w:ind w:left="34"/>
            </w:pPr>
            <w:r w:rsidRPr="0059143C">
              <w:t>131</w:t>
            </w:r>
          </w:p>
        </w:tc>
        <w:tc>
          <w:tcPr>
            <w:tcW w:w="1445" w:type="dxa"/>
          </w:tcPr>
          <w:p w:rsidR="001B7DBF" w:rsidRPr="0059143C" w:rsidRDefault="001B7DBF" w:rsidP="0090503E">
            <w:r w:rsidRPr="0059143C">
              <w:t>19</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300</w:t>
            </w:r>
          </w:p>
        </w:tc>
        <w:tc>
          <w:tcPr>
            <w:tcW w:w="1559" w:type="dxa"/>
          </w:tcPr>
          <w:p w:rsidR="001B7DBF" w:rsidRPr="0059143C" w:rsidRDefault="001B7DBF" w:rsidP="0090503E">
            <w:pPr>
              <w:ind w:left="34"/>
            </w:pPr>
            <w:r w:rsidRPr="0059143C">
              <w:t>344</w:t>
            </w:r>
          </w:p>
        </w:tc>
        <w:tc>
          <w:tcPr>
            <w:tcW w:w="1445" w:type="dxa"/>
          </w:tcPr>
          <w:p w:rsidR="001B7DBF" w:rsidRPr="0059143C" w:rsidRDefault="001B7DBF" w:rsidP="0090503E">
            <w:r w:rsidRPr="0059143C">
              <w:t>49</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450</w:t>
            </w:r>
          </w:p>
        </w:tc>
        <w:tc>
          <w:tcPr>
            <w:tcW w:w="1559" w:type="dxa"/>
          </w:tcPr>
          <w:p w:rsidR="001B7DBF" w:rsidRPr="0059143C" w:rsidRDefault="001B7DBF" w:rsidP="0090503E">
            <w:pPr>
              <w:ind w:left="34"/>
            </w:pPr>
            <w:r w:rsidRPr="0059143C">
              <w:t>421</w:t>
            </w:r>
          </w:p>
        </w:tc>
        <w:tc>
          <w:tcPr>
            <w:tcW w:w="1445" w:type="dxa"/>
          </w:tcPr>
          <w:p w:rsidR="001B7DBF" w:rsidRPr="0059143C" w:rsidRDefault="001B7DBF" w:rsidP="0090503E">
            <w:r w:rsidRPr="0059143C">
              <w:t>60</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49.5</w:t>
            </w:r>
          </w:p>
        </w:tc>
        <w:tc>
          <w:tcPr>
            <w:tcW w:w="1445" w:type="dxa"/>
          </w:tcPr>
          <w:p w:rsidR="001B7DBF" w:rsidRPr="0059143C" w:rsidRDefault="001B7DBF" w:rsidP="0090503E">
            <w:r w:rsidRPr="0059143C">
              <w:t>5.2</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val="restart"/>
          </w:tcPr>
          <w:p w:rsidR="001B7DBF" w:rsidRPr="0059143C" w:rsidRDefault="001B7DBF" w:rsidP="0090503E">
            <w:pPr>
              <w:ind w:left="2"/>
            </w:pPr>
            <w:r w:rsidRPr="0059143C">
              <w:t>6 months</w:t>
            </w:r>
            <w:r w:rsidR="0090503E">
              <w:t xml:space="preserve"> </w:t>
            </w:r>
            <w:r w:rsidRPr="0059143C">
              <w:t>[carcinogenicity]</w:t>
            </w:r>
          </w:p>
          <w:p w:rsidR="001B7DBF" w:rsidRPr="0059143C" w:rsidRDefault="001B7DBF" w:rsidP="0090503E">
            <w:pPr>
              <w:ind w:left="2"/>
            </w:pPr>
            <w:r w:rsidRPr="0059143C">
              <w:t>(Day 87)</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6</w:t>
            </w:r>
          </w:p>
        </w:tc>
        <w:tc>
          <w:tcPr>
            <w:tcW w:w="1559" w:type="dxa"/>
          </w:tcPr>
          <w:p w:rsidR="001B7DBF" w:rsidRPr="0059143C" w:rsidRDefault="001B7DBF" w:rsidP="0090503E">
            <w:pPr>
              <w:ind w:left="34"/>
            </w:pPr>
            <w:r w:rsidRPr="0059143C">
              <w:t>1.56</w:t>
            </w:r>
          </w:p>
        </w:tc>
        <w:tc>
          <w:tcPr>
            <w:tcW w:w="1445" w:type="dxa"/>
          </w:tcPr>
          <w:p w:rsidR="001B7DBF" w:rsidRPr="0059143C" w:rsidRDefault="001B7DBF" w:rsidP="0090503E">
            <w:r w:rsidRPr="0059143C">
              <w:t>0.22</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60</w:t>
            </w:r>
          </w:p>
        </w:tc>
        <w:tc>
          <w:tcPr>
            <w:tcW w:w="1559" w:type="dxa"/>
          </w:tcPr>
          <w:p w:rsidR="001B7DBF" w:rsidRPr="0059143C" w:rsidRDefault="001B7DBF" w:rsidP="0090503E">
            <w:pPr>
              <w:ind w:left="34"/>
            </w:pPr>
            <w:r w:rsidRPr="0059143C">
              <w:t>121</w:t>
            </w:r>
          </w:p>
        </w:tc>
        <w:tc>
          <w:tcPr>
            <w:tcW w:w="1445" w:type="dxa"/>
          </w:tcPr>
          <w:p w:rsidR="001B7DBF" w:rsidRPr="0059143C" w:rsidRDefault="001B7DBF" w:rsidP="0090503E">
            <w:r w:rsidRPr="0059143C">
              <w:t>17</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300</w:t>
            </w:r>
          </w:p>
        </w:tc>
        <w:tc>
          <w:tcPr>
            <w:tcW w:w="1559" w:type="dxa"/>
          </w:tcPr>
          <w:p w:rsidR="001B7DBF" w:rsidRPr="0059143C" w:rsidRDefault="001B7DBF" w:rsidP="0090503E">
            <w:pPr>
              <w:ind w:left="34"/>
            </w:pPr>
            <w:r w:rsidRPr="0059143C">
              <w:t>269</w:t>
            </w:r>
          </w:p>
        </w:tc>
        <w:tc>
          <w:tcPr>
            <w:tcW w:w="1445" w:type="dxa"/>
          </w:tcPr>
          <w:p w:rsidR="001B7DBF" w:rsidRPr="0059143C" w:rsidRDefault="001B7DBF" w:rsidP="0090503E">
            <w:r w:rsidRPr="0059143C">
              <w:t>38</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44.5</w:t>
            </w:r>
          </w:p>
        </w:tc>
        <w:tc>
          <w:tcPr>
            <w:tcW w:w="1445" w:type="dxa"/>
          </w:tcPr>
          <w:p w:rsidR="001B7DBF" w:rsidRPr="0059143C" w:rsidRDefault="001B7DBF" w:rsidP="0090503E">
            <w:r w:rsidRPr="0059143C">
              <w:t>4.7</w:t>
            </w:r>
          </w:p>
        </w:tc>
      </w:tr>
      <w:tr w:rsidR="001B7DBF" w:rsidRPr="0059143C" w:rsidTr="0090503E">
        <w:trPr>
          <w:trHeight w:val="216"/>
        </w:trPr>
        <w:tc>
          <w:tcPr>
            <w:tcW w:w="1274" w:type="dxa"/>
            <w:vMerge w:val="restart"/>
          </w:tcPr>
          <w:p w:rsidR="001B7DBF" w:rsidRPr="0059143C" w:rsidRDefault="001B7DBF" w:rsidP="0090503E">
            <w:pPr>
              <w:ind w:left="0"/>
            </w:pPr>
            <w:r w:rsidRPr="0059143C">
              <w:t>Mouse</w:t>
            </w:r>
            <w:r w:rsidRPr="0059143C">
              <w:br/>
              <w:t>(CD-1)</w:t>
            </w:r>
          </w:p>
        </w:tc>
        <w:tc>
          <w:tcPr>
            <w:tcW w:w="1669" w:type="dxa"/>
            <w:vMerge w:val="restart"/>
          </w:tcPr>
          <w:p w:rsidR="001B7DBF" w:rsidRPr="0059143C" w:rsidRDefault="001B7DBF" w:rsidP="0090503E">
            <w:pPr>
              <w:ind w:left="2"/>
            </w:pPr>
            <w:r w:rsidRPr="0059143C">
              <w:t>6 months</w:t>
            </w:r>
          </w:p>
          <w:p w:rsidR="001B7DBF" w:rsidRPr="0059143C" w:rsidRDefault="001B7DBF" w:rsidP="0090503E">
            <w:pPr>
              <w:ind w:left="2"/>
            </w:pPr>
            <w:r w:rsidRPr="0059143C">
              <w:t>(Day 182)</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33.5</w:t>
            </w:r>
          </w:p>
        </w:tc>
        <w:tc>
          <w:tcPr>
            <w:tcW w:w="1445" w:type="dxa"/>
          </w:tcPr>
          <w:p w:rsidR="001B7DBF" w:rsidRPr="0059143C" w:rsidRDefault="001B7DBF" w:rsidP="0090503E">
            <w:r w:rsidRPr="0059143C">
              <w:t>4.8</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100</w:t>
            </w:r>
          </w:p>
        </w:tc>
        <w:tc>
          <w:tcPr>
            <w:tcW w:w="1559" w:type="dxa"/>
          </w:tcPr>
          <w:p w:rsidR="001B7DBF" w:rsidRPr="0059143C" w:rsidRDefault="001B7DBF" w:rsidP="0090503E">
            <w:pPr>
              <w:ind w:left="34"/>
            </w:pPr>
            <w:r w:rsidRPr="0059143C">
              <w:t>220</w:t>
            </w:r>
          </w:p>
        </w:tc>
        <w:tc>
          <w:tcPr>
            <w:tcW w:w="1445" w:type="dxa"/>
          </w:tcPr>
          <w:p w:rsidR="001B7DBF" w:rsidRPr="0059143C" w:rsidRDefault="001B7DBF" w:rsidP="0090503E">
            <w:r w:rsidRPr="0059143C">
              <w:t>32</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300</w:t>
            </w:r>
          </w:p>
        </w:tc>
        <w:tc>
          <w:tcPr>
            <w:tcW w:w="1559" w:type="dxa"/>
          </w:tcPr>
          <w:p w:rsidR="001B7DBF" w:rsidRPr="0059143C" w:rsidRDefault="001B7DBF" w:rsidP="0090503E">
            <w:pPr>
              <w:ind w:left="34"/>
            </w:pPr>
            <w:r w:rsidRPr="0059143C">
              <w:t>305</w:t>
            </w:r>
          </w:p>
        </w:tc>
        <w:tc>
          <w:tcPr>
            <w:tcW w:w="1445" w:type="dxa"/>
          </w:tcPr>
          <w:p w:rsidR="001B7DBF" w:rsidRPr="0059143C" w:rsidRDefault="001B7DBF" w:rsidP="0090503E">
            <w:r w:rsidRPr="0059143C">
              <w:t>44</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30.4</w:t>
            </w:r>
          </w:p>
        </w:tc>
        <w:tc>
          <w:tcPr>
            <w:tcW w:w="1445" w:type="dxa"/>
          </w:tcPr>
          <w:p w:rsidR="001B7DBF" w:rsidRPr="0059143C" w:rsidRDefault="001B7DBF" w:rsidP="0090503E">
            <w:r w:rsidRPr="0059143C">
              <w:t>3.2</w:t>
            </w:r>
          </w:p>
        </w:tc>
      </w:tr>
      <w:tr w:rsidR="001B7DBF" w:rsidRPr="0059143C" w:rsidTr="0090503E">
        <w:trPr>
          <w:trHeight w:val="216"/>
        </w:trPr>
        <w:tc>
          <w:tcPr>
            <w:tcW w:w="1274" w:type="dxa"/>
            <w:vMerge w:val="restart"/>
          </w:tcPr>
          <w:p w:rsidR="001B7DBF" w:rsidRPr="0059143C" w:rsidRDefault="001B7DBF" w:rsidP="0090503E">
            <w:pPr>
              <w:ind w:left="0"/>
            </w:pPr>
            <w:r w:rsidRPr="0059143C">
              <w:t>Rat</w:t>
            </w:r>
            <w:r w:rsidRPr="0059143C">
              <w:br/>
              <w:t>(SD)</w:t>
            </w:r>
          </w:p>
        </w:tc>
        <w:tc>
          <w:tcPr>
            <w:tcW w:w="1669" w:type="dxa"/>
            <w:vMerge w:val="restart"/>
          </w:tcPr>
          <w:p w:rsidR="001B7DBF" w:rsidRPr="0059143C" w:rsidRDefault="001B7DBF" w:rsidP="0090503E">
            <w:pPr>
              <w:ind w:left="2"/>
            </w:pPr>
            <w:r w:rsidRPr="0059143C">
              <w:t>1 day</w:t>
            </w:r>
          </w:p>
          <w:p w:rsidR="001B7DBF" w:rsidRPr="0059143C" w:rsidRDefault="001B7DBF" w:rsidP="0090503E">
            <w:pPr>
              <w:ind w:left="2"/>
            </w:pPr>
            <w:r w:rsidRPr="0059143C">
              <w:t>(Micronucleus)</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500</w:t>
            </w:r>
          </w:p>
        </w:tc>
        <w:tc>
          <w:tcPr>
            <w:tcW w:w="1559" w:type="dxa"/>
          </w:tcPr>
          <w:p w:rsidR="001B7DBF" w:rsidRPr="0059143C" w:rsidRDefault="001B7DBF" w:rsidP="0090503E">
            <w:pPr>
              <w:ind w:left="34"/>
            </w:pPr>
            <w:r w:rsidRPr="0059143C">
              <w:t>33.1</w:t>
            </w:r>
          </w:p>
        </w:tc>
        <w:tc>
          <w:tcPr>
            <w:tcW w:w="1445" w:type="dxa"/>
          </w:tcPr>
          <w:p w:rsidR="001B7DBF" w:rsidRPr="0059143C" w:rsidRDefault="001B7DBF" w:rsidP="0090503E">
            <w:r w:rsidRPr="0059143C">
              <w:t>4.7</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1000</w:t>
            </w:r>
          </w:p>
        </w:tc>
        <w:tc>
          <w:tcPr>
            <w:tcW w:w="1559" w:type="dxa"/>
          </w:tcPr>
          <w:p w:rsidR="001B7DBF" w:rsidRPr="0059143C" w:rsidRDefault="001B7DBF" w:rsidP="0090503E">
            <w:pPr>
              <w:ind w:left="34"/>
            </w:pPr>
            <w:r w:rsidRPr="0059143C">
              <w:t>87.1</w:t>
            </w:r>
          </w:p>
        </w:tc>
        <w:tc>
          <w:tcPr>
            <w:tcW w:w="1445" w:type="dxa"/>
          </w:tcPr>
          <w:p w:rsidR="001B7DBF" w:rsidRPr="0059143C" w:rsidRDefault="001B7DBF" w:rsidP="0090503E">
            <w:r w:rsidRPr="0059143C">
              <w:t>12</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2000</w:t>
            </w:r>
          </w:p>
        </w:tc>
        <w:tc>
          <w:tcPr>
            <w:tcW w:w="1559" w:type="dxa"/>
          </w:tcPr>
          <w:p w:rsidR="001B7DBF" w:rsidRPr="0059143C" w:rsidRDefault="001B7DBF" w:rsidP="0090503E">
            <w:pPr>
              <w:ind w:left="34"/>
            </w:pPr>
            <w:r w:rsidRPr="0059143C">
              <w:t>83.3</w:t>
            </w:r>
          </w:p>
        </w:tc>
        <w:tc>
          <w:tcPr>
            <w:tcW w:w="1445" w:type="dxa"/>
          </w:tcPr>
          <w:p w:rsidR="001B7DBF" w:rsidRPr="0059143C" w:rsidRDefault="001B7DBF" w:rsidP="0090503E">
            <w:r w:rsidRPr="0059143C">
              <w:t>12</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val="restart"/>
          </w:tcPr>
          <w:p w:rsidR="001B7DBF" w:rsidRPr="0059143C" w:rsidRDefault="001B7DBF" w:rsidP="0090503E">
            <w:pPr>
              <w:ind w:left="2"/>
            </w:pPr>
            <w:r w:rsidRPr="0059143C">
              <w:t>13 weeks</w:t>
            </w:r>
          </w:p>
          <w:p w:rsidR="001B7DBF" w:rsidRPr="0059143C" w:rsidRDefault="001B7DBF" w:rsidP="0090503E">
            <w:pPr>
              <w:ind w:left="2"/>
            </w:pPr>
            <w:r w:rsidRPr="0059143C">
              <w:t>(Day 87)</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100</w:t>
            </w:r>
          </w:p>
        </w:tc>
        <w:tc>
          <w:tcPr>
            <w:tcW w:w="1559" w:type="dxa"/>
          </w:tcPr>
          <w:p w:rsidR="001B7DBF" w:rsidRPr="0059143C" w:rsidRDefault="001B7DBF" w:rsidP="0090503E">
            <w:pPr>
              <w:ind w:left="34"/>
            </w:pPr>
            <w:r w:rsidRPr="0059143C">
              <w:t>73.9</w:t>
            </w:r>
          </w:p>
        </w:tc>
        <w:tc>
          <w:tcPr>
            <w:tcW w:w="1445" w:type="dxa"/>
          </w:tcPr>
          <w:p w:rsidR="001B7DBF" w:rsidRPr="0059143C" w:rsidRDefault="001B7DBF" w:rsidP="0090503E">
            <w:r w:rsidRPr="0059143C">
              <w:t>11</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300</w:t>
            </w:r>
          </w:p>
        </w:tc>
        <w:tc>
          <w:tcPr>
            <w:tcW w:w="1559" w:type="dxa"/>
          </w:tcPr>
          <w:p w:rsidR="001B7DBF" w:rsidRPr="0059143C" w:rsidRDefault="001B7DBF" w:rsidP="0090503E">
            <w:pPr>
              <w:ind w:left="34"/>
            </w:pPr>
            <w:r w:rsidRPr="0059143C">
              <w:t>104.4</w:t>
            </w:r>
          </w:p>
        </w:tc>
        <w:tc>
          <w:tcPr>
            <w:tcW w:w="1445" w:type="dxa"/>
          </w:tcPr>
          <w:p w:rsidR="001B7DBF" w:rsidRPr="0059143C" w:rsidRDefault="001B7DBF" w:rsidP="0090503E">
            <w:r w:rsidRPr="0059143C">
              <w:t>15</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450</w:t>
            </w:r>
          </w:p>
        </w:tc>
        <w:tc>
          <w:tcPr>
            <w:tcW w:w="1559" w:type="dxa"/>
          </w:tcPr>
          <w:p w:rsidR="001B7DBF" w:rsidRPr="0059143C" w:rsidRDefault="001B7DBF" w:rsidP="0090503E">
            <w:pPr>
              <w:ind w:left="34"/>
            </w:pPr>
            <w:r w:rsidRPr="0059143C">
              <w:t>91.4</w:t>
            </w:r>
          </w:p>
        </w:tc>
        <w:tc>
          <w:tcPr>
            <w:tcW w:w="1445" w:type="dxa"/>
          </w:tcPr>
          <w:p w:rsidR="001B7DBF" w:rsidRPr="0059143C" w:rsidRDefault="001B7DBF" w:rsidP="0090503E">
            <w:r w:rsidRPr="0059143C">
              <w:t>13</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val="restart"/>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15</w:t>
            </w:r>
          </w:p>
        </w:tc>
        <w:tc>
          <w:tcPr>
            <w:tcW w:w="1559" w:type="dxa"/>
          </w:tcPr>
          <w:p w:rsidR="001B7DBF" w:rsidRPr="0059143C" w:rsidRDefault="001B7DBF" w:rsidP="0090503E">
            <w:pPr>
              <w:ind w:left="34"/>
            </w:pPr>
            <w:r w:rsidRPr="0059143C">
              <w:t>15</w:t>
            </w:r>
          </w:p>
        </w:tc>
        <w:tc>
          <w:tcPr>
            <w:tcW w:w="1445" w:type="dxa"/>
          </w:tcPr>
          <w:p w:rsidR="001B7DBF" w:rsidRPr="0059143C" w:rsidRDefault="001B7DBF" w:rsidP="0090503E">
            <w:r w:rsidRPr="0059143C">
              <w:t>1.5</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43.8</w:t>
            </w:r>
          </w:p>
        </w:tc>
        <w:tc>
          <w:tcPr>
            <w:tcW w:w="1445" w:type="dxa"/>
          </w:tcPr>
          <w:p w:rsidR="001B7DBF" w:rsidRPr="0059143C" w:rsidRDefault="001B7DBF" w:rsidP="0090503E">
            <w:r w:rsidRPr="0059143C">
              <w:t>4.6</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45</w:t>
            </w:r>
          </w:p>
        </w:tc>
        <w:tc>
          <w:tcPr>
            <w:tcW w:w="1559" w:type="dxa"/>
          </w:tcPr>
          <w:p w:rsidR="001B7DBF" w:rsidRPr="0059143C" w:rsidRDefault="001B7DBF" w:rsidP="0090503E">
            <w:pPr>
              <w:ind w:left="34"/>
            </w:pPr>
            <w:r w:rsidRPr="0059143C">
              <w:t>58</w:t>
            </w:r>
          </w:p>
        </w:tc>
        <w:tc>
          <w:tcPr>
            <w:tcW w:w="1445" w:type="dxa"/>
          </w:tcPr>
          <w:p w:rsidR="001B7DBF" w:rsidRPr="0059143C" w:rsidRDefault="001B7DBF" w:rsidP="0090503E">
            <w:r w:rsidRPr="0059143C">
              <w:t>6.1</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val="restart"/>
          </w:tcPr>
          <w:p w:rsidR="001B7DBF" w:rsidRPr="0059143C" w:rsidRDefault="001B7DBF" w:rsidP="0090503E">
            <w:pPr>
              <w:ind w:left="2"/>
            </w:pPr>
            <w:r w:rsidRPr="0059143C">
              <w:t>2 years</w:t>
            </w:r>
          </w:p>
          <w:p w:rsidR="001B7DBF" w:rsidRPr="0059143C" w:rsidRDefault="001B7DBF" w:rsidP="0090503E">
            <w:pPr>
              <w:ind w:left="2"/>
            </w:pPr>
            <w:r w:rsidRPr="0059143C">
              <w:t>[carcinogenic</w:t>
            </w:r>
            <w:r w:rsidRPr="0059143C">
              <w:lastRenderedPageBreak/>
              <w:t>ity]</w:t>
            </w:r>
          </w:p>
          <w:p w:rsidR="001B7DBF" w:rsidRPr="0059143C" w:rsidRDefault="001B7DBF" w:rsidP="0090503E">
            <w:pPr>
              <w:ind w:left="2"/>
            </w:pPr>
            <w:r w:rsidRPr="0059143C">
              <w:t>(day 182)</w:t>
            </w:r>
          </w:p>
        </w:tc>
        <w:tc>
          <w:tcPr>
            <w:tcW w:w="1276" w:type="dxa"/>
            <w:vMerge w:val="restart"/>
          </w:tcPr>
          <w:p w:rsidR="001B7DBF" w:rsidRPr="0059143C" w:rsidRDefault="008B6F3C" w:rsidP="0090503E">
            <w:pPr>
              <w:ind w:left="0"/>
            </w:pPr>
            <w:r>
              <w:lastRenderedPageBreak/>
              <w:t>paritaprevir</w:t>
            </w:r>
          </w:p>
        </w:tc>
        <w:tc>
          <w:tcPr>
            <w:tcW w:w="1276" w:type="dxa"/>
          </w:tcPr>
          <w:p w:rsidR="001B7DBF" w:rsidRPr="0059143C" w:rsidRDefault="001B7DBF" w:rsidP="0090503E">
            <w:pPr>
              <w:ind w:left="34"/>
            </w:pPr>
            <w:r w:rsidRPr="0059143C">
              <w:t>6</w:t>
            </w:r>
          </w:p>
        </w:tc>
        <w:tc>
          <w:tcPr>
            <w:tcW w:w="1559" w:type="dxa"/>
          </w:tcPr>
          <w:p w:rsidR="001B7DBF" w:rsidRPr="0059143C" w:rsidRDefault="001B7DBF" w:rsidP="0090503E">
            <w:pPr>
              <w:ind w:left="34"/>
            </w:pPr>
            <w:r w:rsidRPr="0059143C">
              <w:t>0.66</w:t>
            </w:r>
          </w:p>
        </w:tc>
        <w:tc>
          <w:tcPr>
            <w:tcW w:w="1445" w:type="dxa"/>
          </w:tcPr>
          <w:p w:rsidR="001B7DBF" w:rsidRPr="0059143C" w:rsidRDefault="001B7DBF" w:rsidP="0090503E">
            <w:r w:rsidRPr="0059143C">
              <w:t>0.094</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60</w:t>
            </w:r>
          </w:p>
        </w:tc>
        <w:tc>
          <w:tcPr>
            <w:tcW w:w="1559" w:type="dxa"/>
          </w:tcPr>
          <w:p w:rsidR="001B7DBF" w:rsidRPr="0059143C" w:rsidRDefault="001B7DBF" w:rsidP="0090503E">
            <w:pPr>
              <w:ind w:left="34"/>
            </w:pPr>
            <w:r w:rsidRPr="0059143C">
              <w:t>65</w:t>
            </w:r>
          </w:p>
        </w:tc>
        <w:tc>
          <w:tcPr>
            <w:tcW w:w="1445" w:type="dxa"/>
          </w:tcPr>
          <w:p w:rsidR="001B7DBF" w:rsidRPr="0059143C" w:rsidRDefault="001B7DBF" w:rsidP="0090503E">
            <w:r w:rsidRPr="0059143C">
              <w:t>9</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300</w:t>
            </w:r>
          </w:p>
        </w:tc>
        <w:tc>
          <w:tcPr>
            <w:tcW w:w="1559" w:type="dxa"/>
          </w:tcPr>
          <w:p w:rsidR="001B7DBF" w:rsidRPr="0059143C" w:rsidRDefault="001B7DBF" w:rsidP="0090503E">
            <w:pPr>
              <w:ind w:left="34"/>
            </w:pPr>
            <w:r w:rsidRPr="0059143C">
              <w:t>53</w:t>
            </w:r>
          </w:p>
        </w:tc>
        <w:tc>
          <w:tcPr>
            <w:tcW w:w="1445" w:type="dxa"/>
          </w:tcPr>
          <w:p w:rsidR="001B7DBF" w:rsidRPr="0059143C" w:rsidRDefault="001B7DBF" w:rsidP="0090503E">
            <w:r w:rsidRPr="0059143C">
              <w:t>8</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30</w:t>
            </w:r>
          </w:p>
        </w:tc>
        <w:tc>
          <w:tcPr>
            <w:tcW w:w="1559" w:type="dxa"/>
          </w:tcPr>
          <w:p w:rsidR="001B7DBF" w:rsidRPr="0059143C" w:rsidRDefault="001B7DBF" w:rsidP="0090503E">
            <w:pPr>
              <w:ind w:left="34"/>
            </w:pPr>
            <w:r w:rsidRPr="0059143C">
              <w:t>43</w:t>
            </w:r>
          </w:p>
        </w:tc>
        <w:tc>
          <w:tcPr>
            <w:tcW w:w="1445" w:type="dxa"/>
          </w:tcPr>
          <w:p w:rsidR="001B7DBF" w:rsidRPr="0059143C" w:rsidRDefault="001B7DBF" w:rsidP="0090503E">
            <w:r w:rsidRPr="0059143C">
              <w:t>4.6</w:t>
            </w:r>
          </w:p>
        </w:tc>
      </w:tr>
      <w:tr w:rsidR="001B7DBF" w:rsidRPr="0059143C" w:rsidTr="0090503E">
        <w:trPr>
          <w:trHeight w:val="216"/>
        </w:trPr>
        <w:tc>
          <w:tcPr>
            <w:tcW w:w="1274" w:type="dxa"/>
            <w:vMerge w:val="restart"/>
          </w:tcPr>
          <w:p w:rsidR="001B7DBF" w:rsidRPr="0059143C" w:rsidRDefault="001B7DBF" w:rsidP="0090503E">
            <w:pPr>
              <w:ind w:left="0"/>
            </w:pPr>
            <w:r w:rsidRPr="0059143C">
              <w:t>Dog</w:t>
            </w:r>
            <w:r w:rsidR="0090503E">
              <w:t xml:space="preserve"> </w:t>
            </w:r>
            <w:r w:rsidRPr="0059143C">
              <w:t>(Beagle)</w:t>
            </w:r>
          </w:p>
        </w:tc>
        <w:tc>
          <w:tcPr>
            <w:tcW w:w="1669" w:type="dxa"/>
            <w:vMerge w:val="restart"/>
          </w:tcPr>
          <w:p w:rsidR="001B7DBF" w:rsidRPr="0059143C" w:rsidRDefault="001B7DBF" w:rsidP="0090503E">
            <w:pPr>
              <w:ind w:left="2"/>
            </w:pPr>
            <w:r w:rsidRPr="0059143C">
              <w:t>9 months</w:t>
            </w:r>
          </w:p>
          <w:p w:rsidR="001B7DBF" w:rsidRPr="0059143C" w:rsidRDefault="001B7DBF" w:rsidP="0090503E">
            <w:pPr>
              <w:ind w:left="2"/>
            </w:pPr>
            <w:r w:rsidRPr="0059143C">
              <w:t>(Week 39)</w:t>
            </w:r>
          </w:p>
        </w:tc>
        <w:tc>
          <w:tcPr>
            <w:tcW w:w="1276" w:type="dxa"/>
            <w:vMerge w:val="restart"/>
          </w:tcPr>
          <w:p w:rsidR="001B7DBF" w:rsidRPr="0059143C" w:rsidRDefault="008B6F3C" w:rsidP="0090503E">
            <w:pPr>
              <w:ind w:left="0"/>
            </w:pPr>
            <w:r>
              <w:t>paritaprevir</w:t>
            </w:r>
          </w:p>
        </w:tc>
        <w:tc>
          <w:tcPr>
            <w:tcW w:w="1276" w:type="dxa"/>
          </w:tcPr>
          <w:p w:rsidR="001B7DBF" w:rsidRPr="0059143C" w:rsidRDefault="001B7DBF" w:rsidP="0090503E">
            <w:pPr>
              <w:ind w:left="34"/>
            </w:pPr>
            <w:r w:rsidRPr="0059143C">
              <w:t>5</w:t>
            </w:r>
          </w:p>
        </w:tc>
        <w:tc>
          <w:tcPr>
            <w:tcW w:w="1559" w:type="dxa"/>
          </w:tcPr>
          <w:p w:rsidR="001B7DBF" w:rsidRPr="0059143C" w:rsidRDefault="001B7DBF" w:rsidP="0090503E">
            <w:pPr>
              <w:ind w:left="34"/>
            </w:pPr>
            <w:r w:rsidRPr="0059143C">
              <w:t>66</w:t>
            </w:r>
          </w:p>
        </w:tc>
        <w:tc>
          <w:tcPr>
            <w:tcW w:w="1445" w:type="dxa"/>
          </w:tcPr>
          <w:p w:rsidR="001B7DBF" w:rsidRPr="0059143C" w:rsidRDefault="001B7DBF" w:rsidP="0090503E">
            <w:r w:rsidRPr="0059143C">
              <w:t>9</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20</w:t>
            </w:r>
          </w:p>
        </w:tc>
        <w:tc>
          <w:tcPr>
            <w:tcW w:w="1559" w:type="dxa"/>
          </w:tcPr>
          <w:p w:rsidR="001B7DBF" w:rsidRPr="0059143C" w:rsidRDefault="001B7DBF" w:rsidP="0090503E">
            <w:pPr>
              <w:ind w:left="34"/>
            </w:pPr>
            <w:r w:rsidRPr="0059143C">
              <w:t>616</w:t>
            </w:r>
          </w:p>
        </w:tc>
        <w:tc>
          <w:tcPr>
            <w:tcW w:w="1445" w:type="dxa"/>
          </w:tcPr>
          <w:p w:rsidR="001B7DBF" w:rsidRPr="0059143C" w:rsidRDefault="001B7DBF" w:rsidP="0090503E">
            <w:r w:rsidRPr="0059143C">
              <w:t>88</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80</w:t>
            </w:r>
          </w:p>
        </w:tc>
        <w:tc>
          <w:tcPr>
            <w:tcW w:w="1559" w:type="dxa"/>
          </w:tcPr>
          <w:p w:rsidR="001B7DBF" w:rsidRPr="0059143C" w:rsidRDefault="001B7DBF" w:rsidP="0090503E">
            <w:pPr>
              <w:ind w:left="34"/>
            </w:pPr>
            <w:r w:rsidRPr="0059143C">
              <w:t>1495</w:t>
            </w:r>
          </w:p>
        </w:tc>
        <w:tc>
          <w:tcPr>
            <w:tcW w:w="1445" w:type="dxa"/>
          </w:tcPr>
          <w:p w:rsidR="001B7DBF" w:rsidRPr="0059143C" w:rsidRDefault="001B7DBF" w:rsidP="0090503E">
            <w:r w:rsidRPr="0059143C">
              <w:t>214</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val="restart"/>
          </w:tcPr>
          <w:p w:rsidR="001B7DBF" w:rsidRPr="0059143C" w:rsidRDefault="001B7DBF" w:rsidP="0090503E">
            <w:pPr>
              <w:ind w:left="0"/>
            </w:pPr>
            <w:r w:rsidRPr="0059143C">
              <w:t>Ritonavir</w:t>
            </w:r>
          </w:p>
        </w:tc>
        <w:tc>
          <w:tcPr>
            <w:tcW w:w="1276" w:type="dxa"/>
          </w:tcPr>
          <w:p w:rsidR="001B7DBF" w:rsidRPr="0059143C" w:rsidRDefault="001B7DBF" w:rsidP="0090503E">
            <w:pPr>
              <w:ind w:left="34"/>
            </w:pPr>
            <w:r w:rsidRPr="0059143C">
              <w:t>5</w:t>
            </w:r>
          </w:p>
        </w:tc>
        <w:tc>
          <w:tcPr>
            <w:tcW w:w="1559" w:type="dxa"/>
          </w:tcPr>
          <w:p w:rsidR="001B7DBF" w:rsidRPr="0059143C" w:rsidRDefault="001B7DBF" w:rsidP="0090503E">
            <w:pPr>
              <w:ind w:left="34"/>
            </w:pPr>
            <w:r w:rsidRPr="0059143C">
              <w:t>10.6</w:t>
            </w:r>
          </w:p>
        </w:tc>
        <w:tc>
          <w:tcPr>
            <w:tcW w:w="1445" w:type="dxa"/>
          </w:tcPr>
          <w:p w:rsidR="001B7DBF" w:rsidRPr="0059143C" w:rsidRDefault="001B7DBF" w:rsidP="0090503E">
            <w:r w:rsidRPr="0059143C">
              <w:t>1.1</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10</w:t>
            </w:r>
          </w:p>
        </w:tc>
        <w:tc>
          <w:tcPr>
            <w:tcW w:w="1559" w:type="dxa"/>
          </w:tcPr>
          <w:p w:rsidR="001B7DBF" w:rsidRPr="0059143C" w:rsidRDefault="001B7DBF" w:rsidP="0090503E">
            <w:pPr>
              <w:ind w:left="34"/>
            </w:pPr>
            <w:r w:rsidRPr="0059143C">
              <w:t>43</w:t>
            </w:r>
          </w:p>
        </w:tc>
        <w:tc>
          <w:tcPr>
            <w:tcW w:w="1445" w:type="dxa"/>
          </w:tcPr>
          <w:p w:rsidR="001B7DBF" w:rsidRPr="0059143C" w:rsidRDefault="001B7DBF" w:rsidP="0090503E">
            <w:r w:rsidRPr="0059143C">
              <w:t>4.6</w:t>
            </w:r>
          </w:p>
        </w:tc>
      </w:tr>
      <w:tr w:rsidR="001B7DBF" w:rsidRPr="0059143C" w:rsidTr="0090503E">
        <w:trPr>
          <w:trHeight w:val="216"/>
        </w:trPr>
        <w:tc>
          <w:tcPr>
            <w:tcW w:w="1274" w:type="dxa"/>
            <w:vMerge/>
          </w:tcPr>
          <w:p w:rsidR="001B7DBF" w:rsidRPr="0059143C" w:rsidRDefault="001B7DBF" w:rsidP="0090503E">
            <w:pPr>
              <w:ind w:left="0"/>
            </w:pPr>
          </w:p>
        </w:tc>
        <w:tc>
          <w:tcPr>
            <w:tcW w:w="1669" w:type="dxa"/>
            <w:vMerge/>
          </w:tcPr>
          <w:p w:rsidR="001B7DBF" w:rsidRPr="0059143C" w:rsidRDefault="001B7DBF" w:rsidP="0090503E">
            <w:pPr>
              <w:ind w:left="2"/>
            </w:pPr>
          </w:p>
        </w:tc>
        <w:tc>
          <w:tcPr>
            <w:tcW w:w="1276" w:type="dxa"/>
            <w:vMerge/>
          </w:tcPr>
          <w:p w:rsidR="001B7DBF" w:rsidRPr="0059143C" w:rsidRDefault="001B7DBF" w:rsidP="0090503E">
            <w:pPr>
              <w:ind w:left="0"/>
            </w:pPr>
          </w:p>
        </w:tc>
        <w:tc>
          <w:tcPr>
            <w:tcW w:w="1276" w:type="dxa"/>
          </w:tcPr>
          <w:p w:rsidR="001B7DBF" w:rsidRPr="0059143C" w:rsidRDefault="001B7DBF" w:rsidP="0090503E">
            <w:pPr>
              <w:ind w:left="34"/>
            </w:pPr>
            <w:r w:rsidRPr="0059143C">
              <w:t>20</w:t>
            </w:r>
          </w:p>
        </w:tc>
        <w:tc>
          <w:tcPr>
            <w:tcW w:w="1559" w:type="dxa"/>
          </w:tcPr>
          <w:p w:rsidR="001B7DBF" w:rsidRPr="0059143C" w:rsidRDefault="001B7DBF" w:rsidP="0090503E">
            <w:pPr>
              <w:ind w:left="34"/>
            </w:pPr>
            <w:r w:rsidRPr="0059143C">
              <w:t>38</w:t>
            </w:r>
          </w:p>
        </w:tc>
        <w:tc>
          <w:tcPr>
            <w:tcW w:w="1445" w:type="dxa"/>
          </w:tcPr>
          <w:p w:rsidR="001B7DBF" w:rsidRPr="0059143C" w:rsidRDefault="001B7DBF" w:rsidP="0090503E">
            <w:r w:rsidRPr="0059143C">
              <w:t>4.0</w:t>
            </w:r>
          </w:p>
        </w:tc>
      </w:tr>
      <w:tr w:rsidR="001B7DBF" w:rsidRPr="0059143C" w:rsidTr="0090503E">
        <w:trPr>
          <w:trHeight w:val="216"/>
        </w:trPr>
        <w:tc>
          <w:tcPr>
            <w:tcW w:w="1274" w:type="dxa"/>
            <w:vMerge w:val="restart"/>
          </w:tcPr>
          <w:p w:rsidR="001B7DBF" w:rsidRPr="0059143C" w:rsidRDefault="001B7DBF" w:rsidP="0090503E">
            <w:pPr>
              <w:ind w:left="0"/>
            </w:pPr>
            <w:r w:rsidRPr="0059143C">
              <w:t>Human</w:t>
            </w:r>
            <w:r w:rsidRPr="0059143C">
              <w:br/>
              <w:t>(healthy volunteers)</w:t>
            </w:r>
          </w:p>
        </w:tc>
        <w:tc>
          <w:tcPr>
            <w:tcW w:w="2945" w:type="dxa"/>
            <w:gridSpan w:val="2"/>
            <w:vMerge w:val="restart"/>
          </w:tcPr>
          <w:p w:rsidR="001B7DBF" w:rsidRPr="0059143C" w:rsidRDefault="001B7DBF" w:rsidP="0090503E">
            <w:pPr>
              <w:ind w:left="0"/>
            </w:pPr>
            <w:r w:rsidRPr="0059143C">
              <w:t>steady state</w:t>
            </w:r>
          </w:p>
        </w:tc>
        <w:tc>
          <w:tcPr>
            <w:tcW w:w="1276" w:type="dxa"/>
          </w:tcPr>
          <w:p w:rsidR="001B7DBF" w:rsidRPr="0059143C" w:rsidRDefault="001B7DBF" w:rsidP="0090503E">
            <w:pPr>
              <w:ind w:left="34"/>
            </w:pPr>
            <w:r w:rsidRPr="0059143C">
              <w:t>PAR 150 mg</w:t>
            </w:r>
          </w:p>
        </w:tc>
        <w:tc>
          <w:tcPr>
            <w:tcW w:w="1559" w:type="dxa"/>
          </w:tcPr>
          <w:p w:rsidR="001B7DBF" w:rsidRPr="0059143C" w:rsidRDefault="001B7DBF" w:rsidP="0090503E">
            <w:pPr>
              <w:ind w:left="34"/>
            </w:pPr>
            <w:r w:rsidRPr="0059143C">
              <w:t>6.99</w:t>
            </w:r>
          </w:p>
        </w:tc>
        <w:tc>
          <w:tcPr>
            <w:tcW w:w="1445" w:type="dxa"/>
            <w:vMerge w:val="restart"/>
          </w:tcPr>
          <w:p w:rsidR="001B7DBF" w:rsidRPr="0059143C" w:rsidRDefault="001B7DBF" w:rsidP="0090503E">
            <w:r w:rsidRPr="0059143C">
              <w:t>–</w:t>
            </w:r>
          </w:p>
        </w:tc>
      </w:tr>
      <w:tr w:rsidR="001B7DBF" w:rsidRPr="0059143C" w:rsidTr="0090503E">
        <w:trPr>
          <w:trHeight w:val="216"/>
        </w:trPr>
        <w:tc>
          <w:tcPr>
            <w:tcW w:w="1274" w:type="dxa"/>
            <w:vMerge/>
          </w:tcPr>
          <w:p w:rsidR="001B7DBF" w:rsidRPr="0059143C" w:rsidRDefault="001B7DBF" w:rsidP="0090503E">
            <w:pPr>
              <w:ind w:left="0"/>
            </w:pPr>
          </w:p>
        </w:tc>
        <w:tc>
          <w:tcPr>
            <w:tcW w:w="2945" w:type="dxa"/>
            <w:gridSpan w:val="2"/>
            <w:vMerge/>
          </w:tcPr>
          <w:p w:rsidR="001B7DBF" w:rsidRPr="0059143C" w:rsidRDefault="001B7DBF" w:rsidP="0090503E">
            <w:pPr>
              <w:ind w:left="0"/>
            </w:pPr>
          </w:p>
        </w:tc>
        <w:tc>
          <w:tcPr>
            <w:tcW w:w="1276" w:type="dxa"/>
          </w:tcPr>
          <w:p w:rsidR="001B7DBF" w:rsidRPr="0059143C" w:rsidRDefault="001B7DBF" w:rsidP="0090503E">
            <w:pPr>
              <w:ind w:left="34"/>
            </w:pPr>
            <w:r w:rsidRPr="0059143C">
              <w:t>RTV 100</w:t>
            </w:r>
          </w:p>
        </w:tc>
        <w:tc>
          <w:tcPr>
            <w:tcW w:w="1559" w:type="dxa"/>
          </w:tcPr>
          <w:p w:rsidR="001B7DBF" w:rsidRPr="0059143C" w:rsidRDefault="001B7DBF" w:rsidP="0090503E">
            <w:pPr>
              <w:ind w:left="34"/>
            </w:pPr>
            <w:r w:rsidRPr="0059143C">
              <w:t>9.47</w:t>
            </w:r>
          </w:p>
        </w:tc>
        <w:tc>
          <w:tcPr>
            <w:tcW w:w="1445" w:type="dxa"/>
            <w:vMerge/>
          </w:tcPr>
          <w:p w:rsidR="001B7DBF" w:rsidRPr="0059143C" w:rsidRDefault="001B7DBF" w:rsidP="0090503E"/>
        </w:tc>
      </w:tr>
    </w:tbl>
    <w:p w:rsidR="00C9747E" w:rsidRDefault="0059143C" w:rsidP="0090503E">
      <w:pPr>
        <w:pStyle w:val="TableDescription"/>
      </w:pPr>
      <w:r w:rsidRPr="0059143C">
        <w:t>#</w:t>
      </w:r>
      <w:r w:rsidR="00BF1FC5">
        <w:t xml:space="preserve"> = </w:t>
      </w:r>
      <w:r w:rsidRPr="0059143C">
        <w:t>animal:</w:t>
      </w:r>
      <w:r w:rsidR="00CB52CC">
        <w:t xml:space="preserve"> </w:t>
      </w:r>
      <w:r w:rsidRPr="0059143C">
        <w:t xml:space="preserve">human plasma </w:t>
      </w:r>
      <w:r w:rsidR="00926A16" w:rsidRPr="00CC0301">
        <w:t>AUC</w:t>
      </w:r>
      <w:r w:rsidR="00926A16" w:rsidRPr="00926A16">
        <w:rPr>
          <w:vertAlign w:val="subscript"/>
        </w:rPr>
        <w:t>0–24 h</w:t>
      </w:r>
      <w:r w:rsidRPr="0059143C">
        <w:t>; a</w:t>
      </w:r>
      <w:r w:rsidR="00BF1FC5">
        <w:t xml:space="preserve"> = </w:t>
      </w:r>
      <w:r w:rsidRPr="0059143C">
        <w:t xml:space="preserve">2 X AUC0-12 h (model predicted steady </w:t>
      </w:r>
      <w:r w:rsidR="000E1719">
        <w:t>state exposure for 600 </w:t>
      </w:r>
      <w:r w:rsidRPr="0059143C">
        <w:t xml:space="preserve">mg </w:t>
      </w:r>
      <w:r w:rsidR="000E1719">
        <w:t>twice daily (BD)</w:t>
      </w:r>
      <w:r w:rsidRPr="0059143C">
        <w:t xml:space="preserve"> ribavirin, taken from Module 5.3.3.5; RD131098;Table 64);plasma kinetic data from males and females were similar, so the mean AUC data have been combined</w:t>
      </w:r>
    </w:p>
    <w:p w:rsidR="0059143C" w:rsidRPr="0059143C" w:rsidRDefault="009C3E30" w:rsidP="0059143C">
      <w:pPr>
        <w:pStyle w:val="FigureTitle"/>
      </w:pPr>
      <w:r>
        <w:t xml:space="preserve">Figure </w:t>
      </w:r>
      <w:r w:rsidR="00B03483">
        <w:t>8</w:t>
      </w:r>
      <w:r w:rsidR="0059143C" w:rsidRPr="0059143C">
        <w:t xml:space="preserve">: </w:t>
      </w:r>
      <w:r w:rsidR="004D59A3">
        <w:t>P</w:t>
      </w:r>
      <w:r w:rsidR="008B6F3C">
        <w:t>aritaprevir</w:t>
      </w:r>
      <w:r>
        <w:t xml:space="preserve"> toxicokinetic data</w:t>
      </w:r>
    </w:p>
    <w:p w:rsidR="0059143C" w:rsidRDefault="0059143C" w:rsidP="0059143C">
      <w:r>
        <w:rPr>
          <w:noProof/>
          <w:lang w:eastAsia="en-AU"/>
        </w:rPr>
        <w:drawing>
          <wp:inline distT="0" distB="0" distL="0" distR="0" wp14:anchorId="67CEE4D0" wp14:editId="072CEC23">
            <wp:extent cx="5178959" cy="3577133"/>
            <wp:effectExtent l="0" t="0" r="3175" b="4445"/>
            <wp:docPr id="6" name="Picture 6" descr="Figure 8: Paritaprevir toxicokinet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87858" cy="3583280"/>
                    </a:xfrm>
                    <a:prstGeom prst="rect">
                      <a:avLst/>
                    </a:prstGeom>
                  </pic:spPr>
                </pic:pic>
              </a:graphicData>
            </a:graphic>
          </wp:inline>
        </w:drawing>
      </w:r>
    </w:p>
    <w:p w:rsidR="0059143C" w:rsidRPr="0059143C" w:rsidRDefault="0059143C" w:rsidP="0059143C">
      <w:pPr>
        <w:pStyle w:val="Heading5"/>
      </w:pPr>
      <w:r w:rsidRPr="0059143C">
        <w:lastRenderedPageBreak/>
        <w:t>Major toxicities</w:t>
      </w:r>
    </w:p>
    <w:p w:rsidR="0059143C" w:rsidRPr="0059143C" w:rsidRDefault="0059143C" w:rsidP="0059143C">
      <w:r w:rsidRPr="0059143C">
        <w:t>The major target organ for paritaprevir was the gall bladder. Most other toxicities observed in the repeat dose studies could be attributed to ritonavir.</w:t>
      </w:r>
    </w:p>
    <w:p w:rsidR="0059143C" w:rsidRPr="0059143C" w:rsidRDefault="0059143C" w:rsidP="0059143C">
      <w:pPr>
        <w:pStyle w:val="Heading6"/>
      </w:pPr>
      <w:r w:rsidRPr="0059143C">
        <w:t>Ritonavir</w:t>
      </w:r>
    </w:p>
    <w:p w:rsidR="0059143C" w:rsidRPr="0059143C" w:rsidRDefault="009C3E30" w:rsidP="0059143C">
      <w:r>
        <w:t xml:space="preserve">Repeat </w:t>
      </w:r>
      <w:r w:rsidR="0059143C" w:rsidRPr="0059143C">
        <w:t>dose toxicity studies with ritonavir were previously evaluated by the TGA.</w:t>
      </w:r>
      <w:r w:rsidR="008B6F3C">
        <w:t xml:space="preserve"> </w:t>
      </w:r>
      <w:r w:rsidR="0059143C" w:rsidRPr="0059143C">
        <w:t>Toxicological findings which are relevant to the doses of ritonavir co-administered with paritaprevir were hepatotoxicity in the rat, including multinucleated hepatocytes, hepatocytomegaly and single cell necrosis, and thyroid follicular cell hypertrophy, associated with elevated thyroid stimulating hormone concentrations. Biliary hyperplasia and chronic pericholangitis were seen at higher doses. Hepatic pathology was associated with increased serum enzyme activities. Ocular changes were seen in rodents at doses higher than those administered in the current application. Effects included retinal degeneration and hypertrophy of the retinal pigment epithelial (RPE) cells, and electroretinography carried out in one study showed changes indicative of compromised retinal function.</w:t>
      </w:r>
      <w:r w:rsidR="008B6F3C">
        <w:t xml:space="preserve"> </w:t>
      </w:r>
      <w:r w:rsidR="0059143C" w:rsidRPr="0059143C">
        <w:t>Retinal lesions were thought to be manifestations of phospholipidosis, and there was a widespread occurrence of microgranulomas in the 3 and 6 month rat studies, primarily in the liver, lungs and lymphoid tissues. In the dog, hepatotoxicity was manifest mainly as increased serum enzyme activities (</w:t>
      </w:r>
      <w:r w:rsidR="00286051">
        <w:t>for example</w:t>
      </w:r>
      <w:r>
        <w:t>, γ </w:t>
      </w:r>
      <w:r w:rsidR="0059143C" w:rsidRPr="0059143C">
        <w:t>glutamyltransferase) and hepatocytic hydropic degeneration, although pericholangitis was seen in one study.</w:t>
      </w:r>
      <w:r w:rsidR="008B6F3C">
        <w:t xml:space="preserve"> </w:t>
      </w:r>
      <w:r w:rsidR="0059143C" w:rsidRPr="0059143C">
        <w:t>Low incidences of testicular and prostatic degeneration/atrophy were also seen in this species, but there wer</w:t>
      </w:r>
      <w:r>
        <w:t>e no thyroid or ocular changes.</w:t>
      </w:r>
    </w:p>
    <w:p w:rsidR="0059143C" w:rsidRPr="0059143C" w:rsidRDefault="0059143C" w:rsidP="0059143C">
      <w:pPr>
        <w:pStyle w:val="Heading6"/>
      </w:pPr>
      <w:r w:rsidRPr="0059143C">
        <w:t>Paritaprevir</w:t>
      </w:r>
    </w:p>
    <w:p w:rsidR="0059143C" w:rsidRPr="0059143C" w:rsidRDefault="0059143C" w:rsidP="0059143C">
      <w:r w:rsidRPr="0059143C">
        <w:t>The main target organ for paritaprevir associated toxicity was the gallbladder.</w:t>
      </w:r>
      <w:r w:rsidR="008B6F3C">
        <w:t xml:space="preserve"> </w:t>
      </w:r>
      <w:r w:rsidRPr="0059143C">
        <w:t xml:space="preserve">In the six month repeat dose study in CD-1 mice, focal erosion or ulceration of the gall bladder epithelium was characterised by focal necrosis and loss of mucosal epithelial cells, transmural fibrosis and inflammation, extending into the lamina propria, tunica muscularis and serosa. Hypertrophic or hyperplastic tissue was often found adjacent to the areas of mucosal erosion. The effect showed only partial recovery. The effect was clearly associated with paritaprevir treatment, as it was not observed in the previously evaluated repeat dose studies with ritonavir, and showed a clearly </w:t>
      </w:r>
      <w:r w:rsidR="005F323A">
        <w:t>dose dependent</w:t>
      </w:r>
      <w:r w:rsidRPr="0059143C">
        <w:t xml:space="preserve"> effect. The </w:t>
      </w:r>
      <w:r w:rsidR="00AA71C5">
        <w:t xml:space="preserve">no observable adverse effect level </w:t>
      </w:r>
      <w:r w:rsidR="00AA71C5" w:rsidRPr="00AA71C5">
        <w:t>(</w:t>
      </w:r>
      <w:r w:rsidRPr="00AA71C5">
        <w:t>NOEL</w:t>
      </w:r>
      <w:r w:rsidR="00AA71C5" w:rsidRPr="00AA71C5">
        <w:t>)</w:t>
      </w:r>
      <w:r w:rsidRPr="00AA71C5">
        <w:t xml:space="preserve"> for</w:t>
      </w:r>
      <w:r w:rsidRPr="0059143C">
        <w:t xml:space="preserve"> paritaprevir was 30 mg/kg/day, which corresponds to systemic exposure (based on AUC) 4.8 times the clinical exposure. The </w:t>
      </w:r>
      <w:r w:rsidR="00AA71C5">
        <w:t xml:space="preserve">lowest observed </w:t>
      </w:r>
      <w:r w:rsidR="00AA71C5" w:rsidRPr="00AA71C5">
        <w:t>effect level (</w:t>
      </w:r>
      <w:r w:rsidRPr="00AA71C5">
        <w:t>LOEL</w:t>
      </w:r>
      <w:r w:rsidR="00AA71C5" w:rsidRPr="00AA71C5">
        <w:t>)</w:t>
      </w:r>
      <w:r w:rsidR="009C3E30" w:rsidRPr="00AA71C5">
        <w:t xml:space="preserve"> was</w:t>
      </w:r>
      <w:r w:rsidR="009C3E30">
        <w:t xml:space="preserve"> 60 mg/kg/day in the 6 </w:t>
      </w:r>
      <w:r w:rsidRPr="0059143C">
        <w:t>month carcinogenicity study in TgrasH2 transgenic mice (relative exposure 17 times the clinical exposure, based on AUC). There was no ind</w:t>
      </w:r>
      <w:r w:rsidR="009C3E30">
        <w:t>ication of progression to a pre</w:t>
      </w:r>
      <w:r w:rsidR="009C3E30">
        <w:noBreakHyphen/>
      </w:r>
      <w:r w:rsidRPr="0059143C">
        <w:t>neoplastic or neoplastic state in this model. However, the relevance of human c-Ha-ras gene overexpression to the progression of chronic inflammation and hypertrophy to carcinogenesis is unknown.</w:t>
      </w:r>
      <w:r w:rsidR="008B6F3C">
        <w:t xml:space="preserve"> </w:t>
      </w:r>
      <w:r w:rsidRPr="0059143C">
        <w:t>Gall bladder toxicity was not observed in the shorter duration studies, including the 13 week mouse study at doses up to 300 mg/kg/day, corresponding to systemic exposure 60 times the clinical AUC.</w:t>
      </w:r>
    </w:p>
    <w:p w:rsidR="0059143C" w:rsidRPr="0059143C" w:rsidRDefault="0059143C" w:rsidP="0059143C">
      <w:r w:rsidRPr="0059143C">
        <w:t>The rat does not have a gall bladder, so this species is not a suitable model for investigating gall bladder toxicity. Minimal focal mucosal degeneration and oedema was observed in the gall bladders of dogs in the 4 w</w:t>
      </w:r>
      <w:r w:rsidR="009C3E30">
        <w:t>eek study (paritaprevir dose 20 </w:t>
      </w:r>
      <w:r w:rsidRPr="0059143C">
        <w:t>mg/kg/day, 92 times the clinical AUC), but there was no evidence of progression in longer duration studies, and there were no gall bladder findings in the 13 week study. In the pivotal 9 month study, the NOEL for gall bladder changes was 20 mg/kg/day (88 times the clinical AUC), and only one male dosed with paritaprevir at 80 mg/kg/day for 9 months (214 times the clinical AUC) exhibited minimal epithelial necrosis. It is possible that the relatively lower severity of adverse gall bladder toxicity in this species is related to the correspondingly lower liver to plasma concentration ratio for paritaprevir.</w:t>
      </w:r>
    </w:p>
    <w:p w:rsidR="0059143C" w:rsidRPr="0059143C" w:rsidRDefault="0059143C" w:rsidP="0059143C">
      <w:pPr>
        <w:pStyle w:val="Heading5"/>
      </w:pPr>
      <w:bookmarkStart w:id="64" w:name="_Toc294861729"/>
      <w:r w:rsidRPr="0059143C">
        <w:lastRenderedPageBreak/>
        <w:t>Genotoxicity</w:t>
      </w:r>
      <w:bookmarkEnd w:id="64"/>
    </w:p>
    <w:p w:rsidR="0059143C" w:rsidRPr="0059143C" w:rsidRDefault="0059143C" w:rsidP="0059143C">
      <w:r w:rsidRPr="0059143C">
        <w:t>Genotoxicity studies were GLP compliant, and the range of studies and their design accorded with ICH guidelines</w:t>
      </w:r>
      <w:r w:rsidR="009C3E30">
        <w:t>,</w:t>
      </w:r>
      <w:bookmarkStart w:id="65" w:name="_Ref471973630"/>
      <w:r w:rsidRPr="009C3E30">
        <w:rPr>
          <w:vertAlign w:val="superscript"/>
        </w:rPr>
        <w:footnoteReference w:id="14"/>
      </w:r>
      <w:bookmarkEnd w:id="65"/>
      <w:r w:rsidRPr="0059143C">
        <w:t xml:space="preserve"> using appropriate concentrations or doses and controls. Paritaprevir did not induce mutations in a bacterial reverse mutation assay, but was clastogenic in human lymphocytes in vitro. No evidence of genotoxicity was found in an in vivo rat bone marrow micronucleus assay and an ex vivo liver Comet assay in rats in which liver exposure was confirmed. In rat tissue distribution studies, radioactivity was detected in the bone marrow 4 h</w:t>
      </w:r>
      <w:r w:rsidR="009C3E30">
        <w:t>ours</w:t>
      </w:r>
      <w:r w:rsidRPr="0059143C">
        <w:t xml:space="preserve"> after oral dosing, so the bone marrow is likely to have been exposed to paritaprevir in the micronucleus assay. The weight of evidence provided indicates a low potential for paritaprevir genotoxicity. In previously evaluated studies ritonavir was inactive in in vitro </w:t>
      </w:r>
      <w:r w:rsidRPr="00A35F17">
        <w:t>tests (S</w:t>
      </w:r>
      <w:r w:rsidR="00A35F17" w:rsidRPr="00A35F17">
        <w:t>almonella</w:t>
      </w:r>
      <w:r w:rsidRPr="00A35F17">
        <w:t xml:space="preserve"> typhimurium</w:t>
      </w:r>
      <w:r w:rsidRPr="0059143C">
        <w:t xml:space="preserve"> and mouse lymphoma cells) for gene mutation, and in in vitro (human lymphocytes) and in vivo (mouse micronucleus) tests for clastogenicity.</w:t>
      </w:r>
    </w:p>
    <w:p w:rsidR="0059143C" w:rsidRPr="0059143C" w:rsidRDefault="0059143C" w:rsidP="0059143C">
      <w:pPr>
        <w:pStyle w:val="Heading5"/>
      </w:pPr>
      <w:bookmarkStart w:id="66" w:name="_Toc294861730"/>
      <w:r w:rsidRPr="0059143C">
        <w:t>Carcinogenicity</w:t>
      </w:r>
      <w:bookmarkEnd w:id="66"/>
    </w:p>
    <w:p w:rsidR="0059143C" w:rsidRPr="0059143C" w:rsidRDefault="0059143C" w:rsidP="0059143C">
      <w:r w:rsidRPr="0059143C">
        <w:t>The carcinogenic potential of paritaprevir by the oral route was assessed in transgenic TgrasH2 transgenic mice</w:t>
      </w:r>
      <w:r w:rsidR="00AA71C5">
        <w:rPr>
          <w:rStyle w:val="FootnoteReference"/>
        </w:rPr>
        <w:footnoteReference w:id="15"/>
      </w:r>
      <w:r w:rsidRPr="0059143C">
        <w:t xml:space="preserve"> following daily dosing for 26</w:t>
      </w:r>
      <w:r w:rsidR="00AA71C5">
        <w:t xml:space="preserve"> weeks, and in a conventional 2 </w:t>
      </w:r>
      <w:r w:rsidRPr="0059143C">
        <w:t>year oral carcinogenicity study in rats. The choice of transgenic model is considered acceptable</w:t>
      </w:r>
      <w:r w:rsidR="009C3E30">
        <w:t>.</w:t>
      </w:r>
      <w:r w:rsidRPr="009C3E30">
        <w:rPr>
          <w:vertAlign w:val="superscript"/>
        </w:rPr>
        <w:footnoteReference w:id="16"/>
      </w:r>
      <w:r w:rsidRPr="0059143C">
        <w:t xml:space="preserve"> The group sizes used (25/sex) and duration of dosing (26 weeks) were appropriate for the species</w:t>
      </w:r>
      <w:r w:rsidR="009C3E30" w:rsidRPr="009C3E30">
        <w:rPr>
          <w:vertAlign w:val="superscript"/>
        </w:rPr>
        <w:t>,</w:t>
      </w:r>
      <w:bookmarkStart w:id="67" w:name="_Ref471973878"/>
      <w:r w:rsidRPr="009C3E30">
        <w:rPr>
          <w:vertAlign w:val="superscript"/>
        </w:rPr>
        <w:footnoteReference w:id="17"/>
      </w:r>
      <w:bookmarkEnd w:id="67"/>
      <w:r w:rsidRPr="009C3E30">
        <w:rPr>
          <w:vertAlign w:val="superscript"/>
        </w:rPr>
        <w:t>, </w:t>
      </w:r>
      <w:bookmarkStart w:id="68" w:name="_Ref471973903"/>
      <w:r w:rsidRPr="009C3E30">
        <w:rPr>
          <w:vertAlign w:val="superscript"/>
        </w:rPr>
        <w:footnoteReference w:id="18"/>
      </w:r>
      <w:bookmarkEnd w:id="68"/>
      <w:r w:rsidR="008B6F3C">
        <w:t xml:space="preserve"> </w:t>
      </w:r>
      <w:r w:rsidRPr="0059143C">
        <w:t>Group sizes and selection of dose levels in the 2 year rat study were appropriate. Overall, the carcinogenic potential testing was in accordance with the relevant ICH guidelines</w:t>
      </w:r>
      <w:proofErr w:type="gramStart"/>
      <w:r w:rsidR="009C3E30">
        <w:t>.</w:t>
      </w:r>
      <w:r w:rsidRPr="009C3E30">
        <w:rPr>
          <w:vertAlign w:val="superscript"/>
        </w:rPr>
        <w:footnoteReference w:id="19"/>
      </w:r>
      <w:r w:rsidRPr="009C3E30">
        <w:rPr>
          <w:vertAlign w:val="superscript"/>
        </w:rPr>
        <w:t>,</w:t>
      </w:r>
      <w:r w:rsidRPr="009C3E30">
        <w:rPr>
          <w:vertAlign w:val="superscript"/>
        </w:rPr>
        <w:footnoteReference w:id="20"/>
      </w:r>
      <w:r w:rsidRPr="009C3E30">
        <w:rPr>
          <w:vertAlign w:val="superscript"/>
        </w:rPr>
        <w:t>,</w:t>
      </w:r>
      <w:proofErr w:type="gramEnd"/>
      <w:r w:rsidRPr="009C3E30">
        <w:rPr>
          <w:vertAlign w:val="superscript"/>
        </w:rPr>
        <w:footnoteReference w:id="21"/>
      </w:r>
    </w:p>
    <w:p w:rsidR="0059143C" w:rsidRPr="0059143C" w:rsidRDefault="0059143C" w:rsidP="0059143C">
      <w:r w:rsidRPr="0059143C">
        <w:t>In the mouse study, a concurrent positive control group (N-nitroso-N-methylurea-treated) was included and tumours expected from administration of a mutagen were observed, confirming the validity of the st</w:t>
      </w:r>
      <w:r w:rsidR="009C3E30">
        <w:t xml:space="preserve">udy. There were no paritaprevir </w:t>
      </w:r>
      <w:r w:rsidRPr="0059143C">
        <w:t>related neoplastic findings in any of the treated groups (</w:t>
      </w:r>
      <w:r w:rsidR="00AE29C4">
        <w:t xml:space="preserve">≤ </w:t>
      </w:r>
      <w:r w:rsidRPr="0059143C">
        <w:t>300 mg/kg/day PO; systemic exposure 38 times the clinical AUC). There was no indication of progression of gall bladder inflammation or hyperplasia to a pre-neoplastic or neoplastic state in this model. However, the r</w:t>
      </w:r>
      <w:r w:rsidR="009C3E30">
        <w:t>elevance of human c</w:t>
      </w:r>
      <w:r w:rsidR="009C3E30">
        <w:noBreakHyphen/>
      </w:r>
      <w:r w:rsidRPr="0059143C">
        <w:t xml:space="preserve">Ha-ras gene overexpression to the progression of chronic inflammation and hypertrophy to carcinogenesis is unknown, and so the possibility of neoplastic progression cannot be excluded. However, the frequency and severity of gall bladder hyperplasia showed a clear </w:t>
      </w:r>
      <w:r w:rsidR="009C3E30">
        <w:t>dependence on time of exposure.</w:t>
      </w:r>
    </w:p>
    <w:p w:rsidR="0059143C" w:rsidRPr="0059143C" w:rsidRDefault="0059143C" w:rsidP="0059143C">
      <w:r w:rsidRPr="0059143C">
        <w:t xml:space="preserve">There were no </w:t>
      </w:r>
      <w:r w:rsidR="009C3E30">
        <w:t>treatment related</w:t>
      </w:r>
      <w:r w:rsidRPr="0059143C">
        <w:t xml:space="preserve"> increases in tumour development in the rat study at systemic exposure levels up to 9 times the clinical AUC, which is considered adequate.</w:t>
      </w:r>
    </w:p>
    <w:p w:rsidR="0059143C" w:rsidRPr="0059143C" w:rsidRDefault="0059143C" w:rsidP="0059143C">
      <w:pPr>
        <w:pStyle w:val="Heading5"/>
      </w:pPr>
      <w:r w:rsidRPr="0059143C">
        <w:t>Reproductive toxicity</w:t>
      </w:r>
    </w:p>
    <w:p w:rsidR="0059143C" w:rsidRPr="0059143C" w:rsidRDefault="00AA71C5" w:rsidP="0059143C">
      <w:r>
        <w:t>Good laboratory practice</w:t>
      </w:r>
      <w:r w:rsidR="009C3E30">
        <w:t xml:space="preserve"> </w:t>
      </w:r>
      <w:r w:rsidR="0059143C" w:rsidRPr="0059143C">
        <w:t xml:space="preserve">compliant reproductive toxicity studies were submitted and examined fertility (in rats), embryofetal toxicity (mouse and rat) and pre/postnatal development (rats). The mouse was selected over the rabbit as an initial toxicokinetic study identified vehicle tolerability problems. Adequate animal numbers were used during </w:t>
      </w:r>
      <w:r w:rsidR="0059143C" w:rsidRPr="0059143C">
        <w:lastRenderedPageBreak/>
        <w:t>appropriate gestational periods. Relative exposure in the</w:t>
      </w:r>
      <w:r>
        <w:t xml:space="preserve"> rat fertility study was only 3 </w:t>
      </w:r>
      <w:r w:rsidR="0059143C" w:rsidRPr="0059143C">
        <w:t>times the clinical AUC, but was somewhat higher in the embryofetal and pre/postnatal development studies in this species. Systemic exposure in the mouse embryofetal development study was up to 98 fold the clinical AUC. The clinical route (PO) was used in all studies.</w:t>
      </w:r>
    </w:p>
    <w:p w:rsidR="0059143C" w:rsidRPr="0059143C" w:rsidRDefault="0059143C" w:rsidP="0059143C">
      <w:r w:rsidRPr="0059143C">
        <w:t xml:space="preserve">Studies in rats found very limited placental transfer into fetal tissues, with measurable levels found only in the liver, at approximately one tenth the </w:t>
      </w:r>
      <w:proofErr w:type="gramStart"/>
      <w:r w:rsidRPr="0059143C">
        <w:t>concentration</w:t>
      </w:r>
      <w:proofErr w:type="gramEnd"/>
      <w:r w:rsidRPr="0059143C">
        <w:t xml:space="preserve"> in maternal plasma. Paritaprevir was detected in the milk of lactating rats, with </w:t>
      </w:r>
      <w:proofErr w:type="gramStart"/>
      <w:r w:rsidRPr="0059143C">
        <w:t>a milk</w:t>
      </w:r>
      <w:proofErr w:type="gramEnd"/>
      <w:r w:rsidRPr="0059143C">
        <w:t>:</w:t>
      </w:r>
      <w:r w:rsidR="009C3E30">
        <w:t xml:space="preserve"> </w:t>
      </w:r>
      <w:r w:rsidRPr="0059143C">
        <w:t xml:space="preserve">plasma radioactivity concentration ratio of 0.224 estimated at their respective </w:t>
      </w:r>
      <w:r w:rsidR="003A33A4" w:rsidRPr="008912E8">
        <w:t>C</w:t>
      </w:r>
      <w:r w:rsidR="003A33A4" w:rsidRPr="003A33A4">
        <w:rPr>
          <w:vertAlign w:val="subscript"/>
        </w:rPr>
        <w:t>max</w:t>
      </w:r>
      <w:r w:rsidR="00630EF4">
        <w:t xml:space="preserve"> </w:t>
      </w:r>
      <w:r w:rsidRPr="0059143C">
        <w:t>values. The hydrolysis product M13 was the dominant radioactive species (84.1% of total radioactivity).</w:t>
      </w:r>
    </w:p>
    <w:p w:rsidR="0059143C" w:rsidRPr="0059143C" w:rsidRDefault="0059143C" w:rsidP="0059143C">
      <w:r w:rsidRPr="0059143C">
        <w:t xml:space="preserve">There was no adverse effect on male or female fertility up to and including the highest dose combination (up to 300/30 mg/kg/day PO, associated with exposure approximately 3 times the clinical AUC). There were no </w:t>
      </w:r>
      <w:r w:rsidR="009C3E30">
        <w:t>treatment related</w:t>
      </w:r>
      <w:r w:rsidRPr="0059143C">
        <w:t xml:space="preserve"> embryofetal development findings in rats and mice at systemic exposures 8 and 98 fold the clinical AUC, respectively. Results from pre/postnatal development study in rats were unremarkable, with no evidence of </w:t>
      </w:r>
      <w:r w:rsidR="009C3E30">
        <w:t>treatment related</w:t>
      </w:r>
      <w:r w:rsidRPr="0059143C">
        <w:t xml:space="preserve"> toxicity up to and including the highest dose (300/30 mg/kg/day PO; systemic exposure17 times the clinical AUC).</w:t>
      </w:r>
    </w:p>
    <w:p w:rsidR="0059143C" w:rsidRPr="00EB69F1" w:rsidRDefault="00C36BE1" w:rsidP="00C36BE1">
      <w:pPr>
        <w:pStyle w:val="Tabletitle0"/>
      </w:pPr>
      <w:r>
        <w:t xml:space="preserve">Table 4: </w:t>
      </w:r>
      <w:r w:rsidR="0059143C" w:rsidRPr="00EB69F1">
        <w:t>Relative exposure</w:t>
      </w:r>
      <w:r w:rsidR="009C3E30">
        <w:t>; paritaprevir</w:t>
      </w:r>
    </w:p>
    <w:tbl>
      <w:tblPr>
        <w:tblStyle w:val="TableTGAblue"/>
        <w:tblW w:w="8534" w:type="dxa"/>
        <w:tblLayout w:type="fixed"/>
        <w:tblLook w:val="01E0" w:firstRow="1" w:lastRow="1" w:firstColumn="1" w:lastColumn="1" w:noHBand="0" w:noVBand="0"/>
      </w:tblPr>
      <w:tblGrid>
        <w:gridCol w:w="1789"/>
        <w:gridCol w:w="1789"/>
        <w:gridCol w:w="1652"/>
        <w:gridCol w:w="1652"/>
        <w:gridCol w:w="1652"/>
      </w:tblGrid>
      <w:tr w:rsidR="0059143C" w:rsidRPr="0059143C" w:rsidTr="00AA71C5">
        <w:trPr>
          <w:cnfStyle w:val="100000000000" w:firstRow="1" w:lastRow="0" w:firstColumn="0" w:lastColumn="0" w:oddVBand="0" w:evenVBand="0" w:oddHBand="0" w:evenHBand="0" w:firstRowFirstColumn="0" w:firstRowLastColumn="0" w:lastRowFirstColumn="0" w:lastRowLastColumn="0"/>
          <w:trHeight w:val="138"/>
        </w:trPr>
        <w:tc>
          <w:tcPr>
            <w:tcW w:w="1789" w:type="dxa"/>
          </w:tcPr>
          <w:p w:rsidR="0059143C" w:rsidRPr="0059143C" w:rsidRDefault="0059143C" w:rsidP="0090503E">
            <w:pPr>
              <w:ind w:left="0"/>
            </w:pPr>
            <w:r w:rsidRPr="0059143C">
              <w:t>Species</w:t>
            </w:r>
          </w:p>
        </w:tc>
        <w:tc>
          <w:tcPr>
            <w:tcW w:w="1789" w:type="dxa"/>
          </w:tcPr>
          <w:p w:rsidR="0059143C" w:rsidRPr="0059143C" w:rsidRDefault="0059143C" w:rsidP="0090503E">
            <w:pPr>
              <w:ind w:left="0"/>
            </w:pPr>
            <w:r w:rsidRPr="0059143C">
              <w:t>Study</w:t>
            </w:r>
          </w:p>
        </w:tc>
        <w:tc>
          <w:tcPr>
            <w:tcW w:w="1652" w:type="dxa"/>
          </w:tcPr>
          <w:p w:rsidR="0059143C" w:rsidRPr="0059143C" w:rsidRDefault="0059143C" w:rsidP="0090503E">
            <w:pPr>
              <w:ind w:left="108"/>
            </w:pPr>
            <w:r w:rsidRPr="0059143C">
              <w:t>Dose</w:t>
            </w:r>
            <w:r w:rsidR="0090503E">
              <w:t xml:space="preserve"> </w:t>
            </w:r>
            <w:r w:rsidRPr="0059143C">
              <w:t>(mg/kg/day)</w:t>
            </w:r>
          </w:p>
        </w:tc>
        <w:tc>
          <w:tcPr>
            <w:tcW w:w="1652" w:type="dxa"/>
          </w:tcPr>
          <w:p w:rsidR="0059143C" w:rsidRPr="0059143C" w:rsidRDefault="00926A16" w:rsidP="0090503E">
            <w:r w:rsidRPr="00CC0301">
              <w:t>AUC</w:t>
            </w:r>
            <w:r w:rsidRPr="00926A16">
              <w:rPr>
                <w:vertAlign w:val="subscript"/>
              </w:rPr>
              <w:t>0–24 h</w:t>
            </w:r>
            <w:r w:rsidR="0090503E">
              <w:rPr>
                <w:vertAlign w:val="subscript"/>
              </w:rPr>
              <w:t xml:space="preserve"> </w:t>
            </w:r>
            <w:r w:rsidR="0059143C" w:rsidRPr="0059143C">
              <w:t>(</w:t>
            </w:r>
            <w:r w:rsidR="00913482">
              <w:t>µ</w:t>
            </w:r>
            <w:r w:rsidR="00913482" w:rsidRPr="00E56F3B">
              <w:t>g</w:t>
            </w:r>
            <w:r w:rsidR="0059143C" w:rsidRPr="0059143C">
              <w:t>∙h/mL)</w:t>
            </w:r>
          </w:p>
        </w:tc>
        <w:tc>
          <w:tcPr>
            <w:tcW w:w="1652" w:type="dxa"/>
          </w:tcPr>
          <w:p w:rsidR="0059143C" w:rsidRPr="0059143C" w:rsidRDefault="0059143C" w:rsidP="0090503E">
            <w:r w:rsidRPr="0059143C">
              <w:t>Exposure ratio#</w:t>
            </w:r>
          </w:p>
        </w:tc>
      </w:tr>
      <w:tr w:rsidR="0059143C" w:rsidRPr="0059143C" w:rsidTr="00AA71C5">
        <w:trPr>
          <w:trHeight w:val="217"/>
        </w:trPr>
        <w:tc>
          <w:tcPr>
            <w:tcW w:w="1789" w:type="dxa"/>
            <w:vMerge w:val="restart"/>
          </w:tcPr>
          <w:p w:rsidR="0059143C" w:rsidRPr="0059143C" w:rsidRDefault="0059143C" w:rsidP="0090503E">
            <w:pPr>
              <w:ind w:left="0"/>
            </w:pPr>
            <w:r w:rsidRPr="0059143C">
              <w:t>Rat</w:t>
            </w:r>
            <w:r w:rsidR="0090503E">
              <w:t xml:space="preserve"> </w:t>
            </w:r>
            <w:r w:rsidRPr="0059143C">
              <w:t>(Crl:CD1[ICR])</w:t>
            </w:r>
          </w:p>
        </w:tc>
        <w:tc>
          <w:tcPr>
            <w:tcW w:w="1789" w:type="dxa"/>
            <w:vMerge w:val="restart"/>
          </w:tcPr>
          <w:p w:rsidR="0059143C" w:rsidRPr="0059143C" w:rsidRDefault="0059143C" w:rsidP="0090503E">
            <w:pPr>
              <w:ind w:left="0"/>
            </w:pPr>
            <w:r w:rsidRPr="0059143C">
              <w:t>Fertility</w:t>
            </w:r>
          </w:p>
        </w:tc>
        <w:tc>
          <w:tcPr>
            <w:tcW w:w="1652" w:type="dxa"/>
          </w:tcPr>
          <w:p w:rsidR="0059143C" w:rsidRPr="0059143C" w:rsidRDefault="0059143C" w:rsidP="0090503E">
            <w:pPr>
              <w:ind w:left="108"/>
            </w:pPr>
            <w:r w:rsidRPr="0059143C">
              <w:t xml:space="preserve"> PAR 30</w:t>
            </w:r>
          </w:p>
        </w:tc>
        <w:tc>
          <w:tcPr>
            <w:tcW w:w="1652" w:type="dxa"/>
          </w:tcPr>
          <w:p w:rsidR="0059143C" w:rsidRPr="0059143C" w:rsidRDefault="0059143C" w:rsidP="0090503E">
            <w:r w:rsidRPr="0059143C">
              <w:t>0.236</w:t>
            </w:r>
          </w:p>
        </w:tc>
        <w:tc>
          <w:tcPr>
            <w:tcW w:w="1652" w:type="dxa"/>
          </w:tcPr>
          <w:p w:rsidR="0059143C" w:rsidRPr="0059143C" w:rsidRDefault="0059143C" w:rsidP="0090503E">
            <w:r w:rsidRPr="0059143C">
              <w:t>0.03</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60</w:t>
            </w:r>
          </w:p>
        </w:tc>
        <w:tc>
          <w:tcPr>
            <w:tcW w:w="1652" w:type="dxa"/>
          </w:tcPr>
          <w:p w:rsidR="0059143C" w:rsidRPr="0059143C" w:rsidRDefault="0059143C" w:rsidP="0090503E">
            <w:r w:rsidRPr="0059143C">
              <w:t>14.44</w:t>
            </w:r>
          </w:p>
        </w:tc>
        <w:tc>
          <w:tcPr>
            <w:tcW w:w="1652" w:type="dxa"/>
          </w:tcPr>
          <w:p w:rsidR="0059143C" w:rsidRPr="0059143C" w:rsidRDefault="0059143C" w:rsidP="0090503E">
            <w:r w:rsidRPr="0059143C">
              <w:t>2</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300</w:t>
            </w:r>
          </w:p>
        </w:tc>
        <w:tc>
          <w:tcPr>
            <w:tcW w:w="1652" w:type="dxa"/>
          </w:tcPr>
          <w:p w:rsidR="0059143C" w:rsidRPr="0059143C" w:rsidRDefault="0059143C" w:rsidP="0090503E">
            <w:r w:rsidRPr="0059143C">
              <w:t>23.55</w:t>
            </w:r>
          </w:p>
        </w:tc>
        <w:tc>
          <w:tcPr>
            <w:tcW w:w="1652" w:type="dxa"/>
          </w:tcPr>
          <w:p w:rsidR="0059143C" w:rsidRPr="0059143C" w:rsidRDefault="0059143C" w:rsidP="0090503E">
            <w:r w:rsidRPr="0059143C">
              <w:t>3</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30</w:t>
            </w:r>
          </w:p>
        </w:tc>
        <w:tc>
          <w:tcPr>
            <w:tcW w:w="1652" w:type="dxa"/>
          </w:tcPr>
          <w:p w:rsidR="0059143C" w:rsidRPr="0059143C" w:rsidRDefault="0059143C" w:rsidP="0090503E">
            <w:r w:rsidRPr="0059143C">
              <w:t>21.7</w:t>
            </w:r>
          </w:p>
        </w:tc>
        <w:tc>
          <w:tcPr>
            <w:tcW w:w="1652" w:type="dxa"/>
          </w:tcPr>
          <w:p w:rsidR="0059143C" w:rsidRPr="0059143C" w:rsidRDefault="0059143C" w:rsidP="0090503E">
            <w:r w:rsidRPr="0059143C">
              <w:t>2</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val="restart"/>
          </w:tcPr>
          <w:p w:rsidR="0090503E" w:rsidRDefault="0059143C" w:rsidP="0090503E">
            <w:pPr>
              <w:ind w:left="0"/>
            </w:pPr>
            <w:r w:rsidRPr="0059143C">
              <w:t>Embryofetal development</w:t>
            </w:r>
            <w:r w:rsidR="0090503E">
              <w:t xml:space="preserve"> </w:t>
            </w:r>
          </w:p>
          <w:p w:rsidR="0059143C" w:rsidRPr="0059143C" w:rsidRDefault="0059143C" w:rsidP="0090503E">
            <w:pPr>
              <w:ind w:left="0"/>
            </w:pPr>
            <w:r w:rsidRPr="0059143C">
              <w:t>(main study)</w:t>
            </w:r>
          </w:p>
          <w:p w:rsidR="0059143C" w:rsidRPr="0059143C" w:rsidRDefault="0059143C" w:rsidP="0090503E">
            <w:pPr>
              <w:ind w:left="0"/>
            </w:pPr>
            <w:r w:rsidRPr="0059143C">
              <w:t>GD17</w:t>
            </w:r>
          </w:p>
        </w:tc>
        <w:tc>
          <w:tcPr>
            <w:tcW w:w="1652" w:type="dxa"/>
          </w:tcPr>
          <w:p w:rsidR="0059143C" w:rsidRPr="0059143C" w:rsidRDefault="0059143C" w:rsidP="0090503E">
            <w:pPr>
              <w:ind w:left="108"/>
            </w:pPr>
            <w:r w:rsidRPr="0059143C">
              <w:t>PAR 30</w:t>
            </w:r>
          </w:p>
        </w:tc>
        <w:tc>
          <w:tcPr>
            <w:tcW w:w="1652" w:type="dxa"/>
          </w:tcPr>
          <w:p w:rsidR="0059143C" w:rsidRPr="0059143C" w:rsidRDefault="0059143C" w:rsidP="0090503E">
            <w:r w:rsidRPr="0059143C">
              <w:t>2.31</w:t>
            </w:r>
          </w:p>
        </w:tc>
        <w:tc>
          <w:tcPr>
            <w:tcW w:w="1652" w:type="dxa"/>
          </w:tcPr>
          <w:p w:rsidR="0059143C" w:rsidRPr="0059143C" w:rsidRDefault="0059143C" w:rsidP="0090503E">
            <w:r w:rsidRPr="0059143C">
              <w:t>0.3</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15</w:t>
            </w:r>
          </w:p>
        </w:tc>
        <w:tc>
          <w:tcPr>
            <w:tcW w:w="1652" w:type="dxa"/>
          </w:tcPr>
          <w:p w:rsidR="0059143C" w:rsidRPr="0059143C" w:rsidRDefault="0059143C" w:rsidP="0090503E">
            <w:r w:rsidRPr="0059143C">
              <w:t>8.46</w:t>
            </w:r>
          </w:p>
        </w:tc>
        <w:tc>
          <w:tcPr>
            <w:tcW w:w="1652" w:type="dxa"/>
          </w:tcPr>
          <w:p w:rsidR="0059143C" w:rsidRPr="0059143C" w:rsidRDefault="0059143C" w:rsidP="0090503E">
            <w:r w:rsidRPr="0059143C">
              <w:t>0.9</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100</w:t>
            </w:r>
          </w:p>
        </w:tc>
        <w:tc>
          <w:tcPr>
            <w:tcW w:w="1652" w:type="dxa"/>
          </w:tcPr>
          <w:p w:rsidR="0059143C" w:rsidRPr="0059143C" w:rsidRDefault="0059143C" w:rsidP="0090503E">
            <w:r w:rsidRPr="0059143C">
              <w:t>45.2</w:t>
            </w:r>
          </w:p>
        </w:tc>
        <w:tc>
          <w:tcPr>
            <w:tcW w:w="1652" w:type="dxa"/>
          </w:tcPr>
          <w:p w:rsidR="0059143C" w:rsidRPr="0059143C" w:rsidRDefault="0059143C" w:rsidP="0090503E">
            <w:r w:rsidRPr="0059143C">
              <w:t>65</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15</w:t>
            </w:r>
          </w:p>
        </w:tc>
        <w:tc>
          <w:tcPr>
            <w:tcW w:w="1652" w:type="dxa"/>
          </w:tcPr>
          <w:p w:rsidR="0059143C" w:rsidRPr="0059143C" w:rsidRDefault="0059143C" w:rsidP="0090503E">
            <w:r w:rsidRPr="0059143C">
              <w:t>8.22</w:t>
            </w:r>
          </w:p>
        </w:tc>
        <w:tc>
          <w:tcPr>
            <w:tcW w:w="1652" w:type="dxa"/>
          </w:tcPr>
          <w:p w:rsidR="0059143C" w:rsidRPr="0059143C" w:rsidRDefault="0059143C" w:rsidP="0090503E">
            <w:r w:rsidRPr="0059143C">
              <w:t>0.9</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450</w:t>
            </w:r>
          </w:p>
        </w:tc>
        <w:tc>
          <w:tcPr>
            <w:tcW w:w="1652" w:type="dxa"/>
          </w:tcPr>
          <w:p w:rsidR="0059143C" w:rsidRPr="0059143C" w:rsidRDefault="0059143C" w:rsidP="0090503E">
            <w:r w:rsidRPr="0059143C">
              <w:t>58.6</w:t>
            </w:r>
          </w:p>
        </w:tc>
        <w:tc>
          <w:tcPr>
            <w:tcW w:w="1652" w:type="dxa"/>
          </w:tcPr>
          <w:p w:rsidR="0059143C" w:rsidRPr="0059143C" w:rsidRDefault="0059143C" w:rsidP="0090503E">
            <w:r w:rsidRPr="0059143C">
              <w:t>8</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45</w:t>
            </w:r>
          </w:p>
        </w:tc>
        <w:tc>
          <w:tcPr>
            <w:tcW w:w="1652" w:type="dxa"/>
          </w:tcPr>
          <w:p w:rsidR="0059143C" w:rsidRPr="0059143C" w:rsidRDefault="0059143C" w:rsidP="0090503E">
            <w:r w:rsidRPr="0059143C">
              <w:t>26.2</w:t>
            </w:r>
          </w:p>
        </w:tc>
        <w:tc>
          <w:tcPr>
            <w:tcW w:w="1652" w:type="dxa"/>
          </w:tcPr>
          <w:p w:rsidR="0059143C" w:rsidRPr="0059143C" w:rsidRDefault="0059143C" w:rsidP="0090503E">
            <w:r w:rsidRPr="0059143C">
              <w:t>2.8</w:t>
            </w:r>
          </w:p>
        </w:tc>
      </w:tr>
      <w:tr w:rsidR="0059143C" w:rsidRPr="0059143C" w:rsidTr="00AA71C5">
        <w:trPr>
          <w:trHeight w:val="217"/>
        </w:trPr>
        <w:tc>
          <w:tcPr>
            <w:tcW w:w="1789" w:type="dxa"/>
            <w:vMerge w:val="restart"/>
          </w:tcPr>
          <w:p w:rsidR="0059143C" w:rsidRPr="0059143C" w:rsidRDefault="0059143C" w:rsidP="0090503E">
            <w:pPr>
              <w:ind w:left="0"/>
            </w:pPr>
            <w:r w:rsidRPr="0059143C">
              <w:t>Mouse</w:t>
            </w:r>
          </w:p>
          <w:p w:rsidR="0059143C" w:rsidRPr="0059143C" w:rsidRDefault="0059143C" w:rsidP="0090503E">
            <w:pPr>
              <w:ind w:left="0"/>
            </w:pPr>
            <w:r w:rsidRPr="0059143C">
              <w:t>CD-1</w:t>
            </w:r>
          </w:p>
        </w:tc>
        <w:tc>
          <w:tcPr>
            <w:tcW w:w="1789" w:type="dxa"/>
            <w:vMerge w:val="restart"/>
          </w:tcPr>
          <w:p w:rsidR="0059143C" w:rsidRPr="0059143C" w:rsidRDefault="0059143C" w:rsidP="0090503E">
            <w:pPr>
              <w:ind w:left="0"/>
            </w:pPr>
            <w:r w:rsidRPr="0059143C">
              <w:t>Embryofetal development</w:t>
            </w:r>
          </w:p>
          <w:p w:rsidR="0059143C" w:rsidRPr="0059143C" w:rsidRDefault="0059143C" w:rsidP="0090503E">
            <w:pPr>
              <w:ind w:left="0"/>
            </w:pPr>
            <w:r w:rsidRPr="0059143C">
              <w:t>(main study)</w:t>
            </w:r>
          </w:p>
          <w:p w:rsidR="0059143C" w:rsidRPr="0059143C" w:rsidRDefault="0059143C" w:rsidP="0090503E">
            <w:pPr>
              <w:ind w:left="0"/>
            </w:pPr>
            <w:r w:rsidRPr="0059143C">
              <w:t>GD15</w:t>
            </w:r>
          </w:p>
        </w:tc>
        <w:tc>
          <w:tcPr>
            <w:tcW w:w="1652" w:type="dxa"/>
          </w:tcPr>
          <w:p w:rsidR="0059143C" w:rsidRPr="0059143C" w:rsidRDefault="0059143C" w:rsidP="0090503E">
            <w:pPr>
              <w:ind w:left="108"/>
            </w:pPr>
            <w:r w:rsidRPr="0059143C">
              <w:t>PAR 30</w:t>
            </w:r>
          </w:p>
        </w:tc>
        <w:tc>
          <w:tcPr>
            <w:tcW w:w="1652" w:type="dxa"/>
          </w:tcPr>
          <w:p w:rsidR="0059143C" w:rsidRPr="0059143C" w:rsidRDefault="0059143C" w:rsidP="0090503E">
            <w:r w:rsidRPr="0059143C">
              <w:t>224</w:t>
            </w:r>
          </w:p>
        </w:tc>
        <w:tc>
          <w:tcPr>
            <w:tcW w:w="1652" w:type="dxa"/>
          </w:tcPr>
          <w:p w:rsidR="0059143C" w:rsidRPr="0059143C" w:rsidRDefault="0059143C" w:rsidP="0090503E">
            <w:r w:rsidRPr="0059143C">
              <w:t>32</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100</w:t>
            </w:r>
          </w:p>
        </w:tc>
        <w:tc>
          <w:tcPr>
            <w:tcW w:w="1652" w:type="dxa"/>
          </w:tcPr>
          <w:p w:rsidR="0059143C" w:rsidRPr="0059143C" w:rsidRDefault="0059143C" w:rsidP="0090503E">
            <w:r w:rsidRPr="0059143C">
              <w:t>631</w:t>
            </w:r>
          </w:p>
        </w:tc>
        <w:tc>
          <w:tcPr>
            <w:tcW w:w="1652" w:type="dxa"/>
          </w:tcPr>
          <w:p w:rsidR="0059143C" w:rsidRPr="0059143C" w:rsidRDefault="0059143C" w:rsidP="0090503E">
            <w:r w:rsidRPr="0059143C">
              <w:t>90</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300</w:t>
            </w:r>
          </w:p>
        </w:tc>
        <w:tc>
          <w:tcPr>
            <w:tcW w:w="1652" w:type="dxa"/>
          </w:tcPr>
          <w:p w:rsidR="0059143C" w:rsidRPr="0059143C" w:rsidRDefault="0059143C" w:rsidP="0090503E">
            <w:r w:rsidRPr="0059143C">
              <w:t>686</w:t>
            </w:r>
          </w:p>
        </w:tc>
        <w:tc>
          <w:tcPr>
            <w:tcW w:w="1652" w:type="dxa"/>
          </w:tcPr>
          <w:p w:rsidR="0059143C" w:rsidRPr="0059143C" w:rsidRDefault="0059143C" w:rsidP="0090503E">
            <w:r w:rsidRPr="0059143C">
              <w:t>98</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30</w:t>
            </w:r>
          </w:p>
        </w:tc>
        <w:tc>
          <w:tcPr>
            <w:tcW w:w="1652" w:type="dxa"/>
          </w:tcPr>
          <w:p w:rsidR="0059143C" w:rsidRPr="0059143C" w:rsidRDefault="0059143C" w:rsidP="0090503E">
            <w:r w:rsidRPr="0059143C">
              <w:t>49.7</w:t>
            </w:r>
          </w:p>
        </w:tc>
        <w:tc>
          <w:tcPr>
            <w:tcW w:w="1652" w:type="dxa"/>
          </w:tcPr>
          <w:p w:rsidR="0059143C" w:rsidRPr="0059143C" w:rsidRDefault="0059143C" w:rsidP="0090503E">
            <w:r w:rsidRPr="0059143C">
              <w:t>5.2</w:t>
            </w:r>
          </w:p>
        </w:tc>
      </w:tr>
      <w:tr w:rsidR="0059143C" w:rsidRPr="0059143C" w:rsidTr="00AA71C5">
        <w:trPr>
          <w:trHeight w:val="217"/>
        </w:trPr>
        <w:tc>
          <w:tcPr>
            <w:tcW w:w="1789" w:type="dxa"/>
            <w:vMerge w:val="restart"/>
          </w:tcPr>
          <w:p w:rsidR="0059143C" w:rsidRPr="0059143C" w:rsidRDefault="0059143C" w:rsidP="0090503E">
            <w:pPr>
              <w:ind w:left="0"/>
            </w:pPr>
            <w:r w:rsidRPr="0059143C">
              <w:lastRenderedPageBreak/>
              <w:t>Rat</w:t>
            </w:r>
            <w:r w:rsidR="0090503E">
              <w:t xml:space="preserve"> </w:t>
            </w:r>
            <w:r w:rsidRPr="0059143C">
              <w:t>(Crl:CD1[ICR])</w:t>
            </w:r>
          </w:p>
        </w:tc>
        <w:tc>
          <w:tcPr>
            <w:tcW w:w="1789" w:type="dxa"/>
            <w:vMerge w:val="restart"/>
          </w:tcPr>
          <w:p w:rsidR="0059143C" w:rsidRPr="0059143C" w:rsidRDefault="0059143C" w:rsidP="0090503E">
            <w:pPr>
              <w:ind w:left="0"/>
            </w:pPr>
            <w:r w:rsidRPr="0059143C">
              <w:t>Pre/postnatal development</w:t>
            </w:r>
          </w:p>
        </w:tc>
        <w:tc>
          <w:tcPr>
            <w:tcW w:w="1652" w:type="dxa"/>
          </w:tcPr>
          <w:p w:rsidR="0059143C" w:rsidRPr="0059143C" w:rsidRDefault="0059143C" w:rsidP="0090503E">
            <w:pPr>
              <w:ind w:left="108"/>
            </w:pPr>
            <w:r w:rsidRPr="0059143C">
              <w:t xml:space="preserve"> PAR 30</w:t>
            </w:r>
          </w:p>
        </w:tc>
        <w:tc>
          <w:tcPr>
            <w:tcW w:w="1652" w:type="dxa"/>
          </w:tcPr>
          <w:p w:rsidR="0059143C" w:rsidRPr="0059143C" w:rsidRDefault="0059143C" w:rsidP="0090503E">
            <w:r w:rsidRPr="0059143C">
              <w:t xml:space="preserve">0.345* </w:t>
            </w:r>
          </w:p>
        </w:tc>
        <w:tc>
          <w:tcPr>
            <w:tcW w:w="1652" w:type="dxa"/>
          </w:tcPr>
          <w:p w:rsidR="0059143C" w:rsidRPr="0059143C" w:rsidRDefault="0059143C" w:rsidP="0090503E">
            <w:r w:rsidRPr="0059143C">
              <w:t>0.05</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30</w:t>
            </w:r>
          </w:p>
        </w:tc>
        <w:tc>
          <w:tcPr>
            <w:tcW w:w="1652" w:type="dxa"/>
          </w:tcPr>
          <w:p w:rsidR="0059143C" w:rsidRPr="0059143C" w:rsidRDefault="0059143C" w:rsidP="0090503E">
            <w:r w:rsidRPr="0059143C">
              <w:t xml:space="preserve">18.1* </w:t>
            </w:r>
          </w:p>
        </w:tc>
        <w:tc>
          <w:tcPr>
            <w:tcW w:w="1652" w:type="dxa"/>
          </w:tcPr>
          <w:p w:rsidR="0059143C" w:rsidRPr="0059143C" w:rsidRDefault="0059143C" w:rsidP="0090503E">
            <w:r w:rsidRPr="0059143C">
              <w:t>1.9</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60</w:t>
            </w:r>
          </w:p>
        </w:tc>
        <w:tc>
          <w:tcPr>
            <w:tcW w:w="1652" w:type="dxa"/>
          </w:tcPr>
          <w:p w:rsidR="0059143C" w:rsidRPr="0059143C" w:rsidRDefault="0059143C" w:rsidP="0090503E">
            <w:r w:rsidRPr="0059143C">
              <w:t xml:space="preserve">5.36* </w:t>
            </w:r>
          </w:p>
        </w:tc>
        <w:tc>
          <w:tcPr>
            <w:tcW w:w="1652" w:type="dxa"/>
          </w:tcPr>
          <w:p w:rsidR="0059143C" w:rsidRPr="0059143C" w:rsidRDefault="0059143C" w:rsidP="0090503E">
            <w:r w:rsidRPr="0059143C">
              <w:t>0.8</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30</w:t>
            </w:r>
          </w:p>
        </w:tc>
        <w:tc>
          <w:tcPr>
            <w:tcW w:w="1652" w:type="dxa"/>
          </w:tcPr>
          <w:p w:rsidR="0059143C" w:rsidRPr="0059143C" w:rsidRDefault="0059143C" w:rsidP="0090503E">
            <w:r w:rsidRPr="0059143C">
              <w:t xml:space="preserve">20.2* </w:t>
            </w:r>
          </w:p>
        </w:tc>
        <w:tc>
          <w:tcPr>
            <w:tcW w:w="1652" w:type="dxa"/>
          </w:tcPr>
          <w:p w:rsidR="0059143C" w:rsidRPr="0059143C" w:rsidRDefault="0059143C" w:rsidP="0090503E">
            <w:r w:rsidRPr="0059143C">
              <w:t>2</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PAR 300</w:t>
            </w:r>
          </w:p>
        </w:tc>
        <w:tc>
          <w:tcPr>
            <w:tcW w:w="1652" w:type="dxa"/>
          </w:tcPr>
          <w:p w:rsidR="0059143C" w:rsidRPr="0059143C" w:rsidRDefault="0059143C" w:rsidP="0090503E">
            <w:r w:rsidRPr="0059143C">
              <w:t xml:space="preserve">116* </w:t>
            </w:r>
          </w:p>
        </w:tc>
        <w:tc>
          <w:tcPr>
            <w:tcW w:w="1652" w:type="dxa"/>
          </w:tcPr>
          <w:p w:rsidR="0059143C" w:rsidRPr="0059143C" w:rsidRDefault="0059143C" w:rsidP="0090503E">
            <w:r w:rsidRPr="0059143C">
              <w:t>17</w:t>
            </w:r>
          </w:p>
        </w:tc>
      </w:tr>
      <w:tr w:rsidR="0059143C" w:rsidRPr="0059143C" w:rsidTr="00AA71C5">
        <w:trPr>
          <w:trHeight w:val="217"/>
        </w:trPr>
        <w:tc>
          <w:tcPr>
            <w:tcW w:w="1789" w:type="dxa"/>
            <w:vMerge/>
          </w:tcPr>
          <w:p w:rsidR="0059143C" w:rsidRPr="0059143C" w:rsidRDefault="0059143C" w:rsidP="0090503E">
            <w:pPr>
              <w:ind w:left="0"/>
            </w:pPr>
          </w:p>
        </w:tc>
        <w:tc>
          <w:tcPr>
            <w:tcW w:w="1789" w:type="dxa"/>
            <w:vMerge/>
          </w:tcPr>
          <w:p w:rsidR="0059143C" w:rsidRPr="0059143C" w:rsidRDefault="0059143C" w:rsidP="0090503E">
            <w:pPr>
              <w:ind w:left="0"/>
            </w:pPr>
          </w:p>
        </w:tc>
        <w:tc>
          <w:tcPr>
            <w:tcW w:w="1652" w:type="dxa"/>
          </w:tcPr>
          <w:p w:rsidR="0059143C" w:rsidRPr="0059143C" w:rsidRDefault="0059143C" w:rsidP="0090503E">
            <w:pPr>
              <w:ind w:left="108"/>
            </w:pPr>
            <w:r w:rsidRPr="0059143C">
              <w:t>RTV 30</w:t>
            </w:r>
          </w:p>
        </w:tc>
        <w:tc>
          <w:tcPr>
            <w:tcW w:w="1652" w:type="dxa"/>
          </w:tcPr>
          <w:p w:rsidR="0059143C" w:rsidRPr="0059143C" w:rsidRDefault="0059143C" w:rsidP="0090503E">
            <w:r w:rsidRPr="0059143C">
              <w:t xml:space="preserve">17* </w:t>
            </w:r>
          </w:p>
        </w:tc>
        <w:tc>
          <w:tcPr>
            <w:tcW w:w="1652" w:type="dxa"/>
          </w:tcPr>
          <w:p w:rsidR="0059143C" w:rsidRPr="0059143C" w:rsidRDefault="0059143C" w:rsidP="0090503E">
            <w:r w:rsidRPr="0059143C">
              <w:t>1.8</w:t>
            </w:r>
          </w:p>
        </w:tc>
      </w:tr>
      <w:tr w:rsidR="0059143C" w:rsidRPr="0059143C" w:rsidTr="00AA71C5">
        <w:trPr>
          <w:trHeight w:val="217"/>
        </w:trPr>
        <w:tc>
          <w:tcPr>
            <w:tcW w:w="1789" w:type="dxa"/>
          </w:tcPr>
          <w:p w:rsidR="0059143C" w:rsidRPr="0059143C" w:rsidRDefault="0059143C" w:rsidP="0090503E">
            <w:pPr>
              <w:ind w:left="0"/>
            </w:pPr>
            <w:r w:rsidRPr="0059143C">
              <w:t>Human</w:t>
            </w:r>
            <w:r w:rsidRPr="0059143C">
              <w:br/>
              <w:t>(healthy volunteers)</w:t>
            </w:r>
          </w:p>
        </w:tc>
        <w:tc>
          <w:tcPr>
            <w:tcW w:w="1789" w:type="dxa"/>
          </w:tcPr>
          <w:p w:rsidR="0059143C" w:rsidRPr="0059143C" w:rsidRDefault="0059143C" w:rsidP="0090503E">
            <w:pPr>
              <w:ind w:left="0"/>
            </w:pPr>
            <w:r w:rsidRPr="0059143C">
              <w:t>steady state PAR</w:t>
            </w:r>
          </w:p>
        </w:tc>
        <w:tc>
          <w:tcPr>
            <w:tcW w:w="1652" w:type="dxa"/>
          </w:tcPr>
          <w:p w:rsidR="0059143C" w:rsidRPr="0059143C" w:rsidRDefault="0059143C" w:rsidP="0090503E">
            <w:pPr>
              <w:ind w:left="108"/>
            </w:pPr>
            <w:r w:rsidRPr="0059143C">
              <w:t>150 mg/day</w:t>
            </w:r>
          </w:p>
        </w:tc>
        <w:tc>
          <w:tcPr>
            <w:tcW w:w="1652" w:type="dxa"/>
          </w:tcPr>
          <w:p w:rsidR="0059143C" w:rsidRPr="0059143C" w:rsidRDefault="0059143C" w:rsidP="0090503E">
            <w:r w:rsidRPr="0059143C">
              <w:t>6.99</w:t>
            </w:r>
          </w:p>
          <w:p w:rsidR="0059143C" w:rsidRPr="0059143C" w:rsidRDefault="0059143C" w:rsidP="0090503E"/>
        </w:tc>
        <w:tc>
          <w:tcPr>
            <w:tcW w:w="1652" w:type="dxa"/>
          </w:tcPr>
          <w:p w:rsidR="0059143C" w:rsidRPr="0059143C" w:rsidRDefault="0059143C" w:rsidP="0090503E">
            <w:r w:rsidRPr="0059143C">
              <w:t>–</w:t>
            </w:r>
          </w:p>
        </w:tc>
      </w:tr>
      <w:tr w:rsidR="0059143C" w:rsidRPr="0059143C" w:rsidTr="00AA71C5">
        <w:trPr>
          <w:trHeight w:val="217"/>
        </w:trPr>
        <w:tc>
          <w:tcPr>
            <w:tcW w:w="1789" w:type="dxa"/>
          </w:tcPr>
          <w:p w:rsidR="0059143C" w:rsidRPr="0059143C" w:rsidRDefault="0059143C" w:rsidP="0090503E">
            <w:pPr>
              <w:ind w:left="0"/>
            </w:pPr>
            <w:r w:rsidRPr="0059143C">
              <w:t>Human</w:t>
            </w:r>
            <w:r w:rsidRPr="0059143C">
              <w:br/>
              <w:t>(healthy volunteers)</w:t>
            </w:r>
          </w:p>
        </w:tc>
        <w:tc>
          <w:tcPr>
            <w:tcW w:w="1789" w:type="dxa"/>
          </w:tcPr>
          <w:p w:rsidR="0059143C" w:rsidRPr="0059143C" w:rsidRDefault="0059143C" w:rsidP="0090503E">
            <w:pPr>
              <w:ind w:left="0"/>
            </w:pPr>
            <w:r w:rsidRPr="0059143C">
              <w:t>steady state RTV</w:t>
            </w:r>
          </w:p>
        </w:tc>
        <w:tc>
          <w:tcPr>
            <w:tcW w:w="1652" w:type="dxa"/>
          </w:tcPr>
          <w:p w:rsidR="0059143C" w:rsidRPr="0059143C" w:rsidRDefault="0059143C" w:rsidP="0090503E">
            <w:pPr>
              <w:ind w:left="108"/>
            </w:pPr>
            <w:r w:rsidRPr="0059143C">
              <w:t>100 mg/day</w:t>
            </w:r>
          </w:p>
        </w:tc>
        <w:tc>
          <w:tcPr>
            <w:tcW w:w="1652" w:type="dxa"/>
          </w:tcPr>
          <w:p w:rsidR="0059143C" w:rsidRPr="0059143C" w:rsidRDefault="0059143C" w:rsidP="0090503E">
            <w:r w:rsidRPr="0059143C">
              <w:t>9.47</w:t>
            </w:r>
          </w:p>
        </w:tc>
        <w:tc>
          <w:tcPr>
            <w:tcW w:w="1652" w:type="dxa"/>
          </w:tcPr>
          <w:p w:rsidR="0059143C" w:rsidRPr="0059143C" w:rsidRDefault="0059143C" w:rsidP="0090503E">
            <w:r w:rsidRPr="0059143C">
              <w:t>-</w:t>
            </w:r>
          </w:p>
        </w:tc>
      </w:tr>
    </w:tbl>
    <w:p w:rsidR="0059143C" w:rsidRDefault="0059143C" w:rsidP="0059143C">
      <w:pPr>
        <w:pStyle w:val="TableDescription"/>
      </w:pPr>
      <w:r w:rsidRPr="0059143C">
        <w:t>#</w:t>
      </w:r>
      <w:r w:rsidR="00BF1FC5">
        <w:t xml:space="preserve"> = </w:t>
      </w:r>
      <w:r w:rsidRPr="0059143C">
        <w:t>animal:</w:t>
      </w:r>
      <w:r w:rsidR="00CB52CC">
        <w:t xml:space="preserve"> </w:t>
      </w:r>
      <w:r w:rsidRPr="0059143C">
        <w:t xml:space="preserve">human plasma </w:t>
      </w:r>
      <w:r w:rsidR="00926A16" w:rsidRPr="00CC0301">
        <w:t>AUC</w:t>
      </w:r>
      <w:r w:rsidR="00926A16" w:rsidRPr="00926A16">
        <w:rPr>
          <w:vertAlign w:val="subscript"/>
        </w:rPr>
        <w:t>0–24 h</w:t>
      </w:r>
      <w:r w:rsidRPr="0059143C">
        <w:t>. *</w:t>
      </w:r>
      <w:r w:rsidR="00BF1FC5">
        <w:t xml:space="preserve"> = </w:t>
      </w:r>
      <w:r w:rsidRPr="0059143C">
        <w:t>maternal plasma AUC</w:t>
      </w:r>
    </w:p>
    <w:p w:rsidR="0059143C" w:rsidRPr="0059143C" w:rsidRDefault="0059143C" w:rsidP="0059143C">
      <w:pPr>
        <w:pStyle w:val="Heading6"/>
      </w:pPr>
      <w:r w:rsidRPr="0059143C">
        <w:t>Pregnancy classification</w:t>
      </w:r>
    </w:p>
    <w:p w:rsidR="0059143C" w:rsidRPr="0059143C" w:rsidRDefault="0059143C" w:rsidP="0059143C">
      <w:r w:rsidRPr="0059143C">
        <w:t>The sponsor has proposed Pregnancy Category B1</w:t>
      </w:r>
      <w:bookmarkStart w:id="69" w:name="_Ref471920543"/>
      <w:r w:rsidR="009C3E30">
        <w:rPr>
          <w:rStyle w:val="FootnoteReference"/>
        </w:rPr>
        <w:footnoteReference w:id="22"/>
      </w:r>
      <w:bookmarkEnd w:id="69"/>
      <w:r w:rsidRPr="0059143C">
        <w:t xml:space="preserve"> for paritaprevir. The reference regarding animal data in the pregnancy category statement for B1 is consistent with the results from the nonclinical assessment. This category would be appropriate if the clinical data indicates that paritaprevir has indeed been taken by a limited number of pregnant women and women of childbearing age without an evidence of an increase in the frequency of malformation or indirect harmful effects. When combined with ritonavir (</w:t>
      </w:r>
      <w:r w:rsidR="00AA71C5">
        <w:t>Pregnancy C</w:t>
      </w:r>
      <w:r w:rsidR="00AA71C5" w:rsidRPr="0059143C">
        <w:t xml:space="preserve">ategory </w:t>
      </w:r>
      <w:r w:rsidRPr="0059143C">
        <w:t>B3</w:t>
      </w:r>
      <w:bookmarkStart w:id="70" w:name="_Ref471981098"/>
      <w:r w:rsidR="009C3E30">
        <w:rPr>
          <w:rStyle w:val="FootnoteReference"/>
        </w:rPr>
        <w:footnoteReference w:id="23"/>
      </w:r>
      <w:bookmarkEnd w:id="70"/>
      <w:r w:rsidRPr="0059143C">
        <w:t>) or ribavirin (</w:t>
      </w:r>
      <w:r w:rsidR="00AA71C5">
        <w:t>Pregnancy C</w:t>
      </w:r>
      <w:r w:rsidR="00AA71C5" w:rsidRPr="0059143C">
        <w:t xml:space="preserve">ategory </w:t>
      </w:r>
      <w:r w:rsidRPr="0059143C">
        <w:t>X</w:t>
      </w:r>
      <w:bookmarkStart w:id="71" w:name="_Ref471920561"/>
      <w:r w:rsidR="009C3E30">
        <w:rPr>
          <w:rStyle w:val="FootnoteReference"/>
        </w:rPr>
        <w:footnoteReference w:id="24"/>
      </w:r>
      <w:bookmarkEnd w:id="71"/>
      <w:r w:rsidRPr="0059143C">
        <w:t>) then the higher pregnancy category takes precedence. This is discussed in the evaluation of the combination products Viekira P</w:t>
      </w:r>
      <w:r w:rsidR="000C3156" w:rsidRPr="0059143C">
        <w:t>ak</w:t>
      </w:r>
      <w:r w:rsidRPr="0059143C">
        <w:t xml:space="preserve"> and Viekira P</w:t>
      </w:r>
      <w:r w:rsidR="000C3156" w:rsidRPr="0059143C">
        <w:t>ak</w:t>
      </w:r>
      <w:r w:rsidRPr="0059143C">
        <w:t>–RBV.</w:t>
      </w:r>
    </w:p>
    <w:p w:rsidR="0059143C" w:rsidRPr="0059143C" w:rsidRDefault="0059143C" w:rsidP="0059143C">
      <w:pPr>
        <w:pStyle w:val="Heading6"/>
      </w:pPr>
      <w:r w:rsidRPr="0059143C">
        <w:t>Photosafety</w:t>
      </w:r>
    </w:p>
    <w:p w:rsidR="0059143C" w:rsidRPr="0059143C" w:rsidRDefault="0059143C" w:rsidP="0059143C">
      <w:r w:rsidRPr="0059143C">
        <w:t>No no</w:t>
      </w:r>
      <w:r w:rsidR="000C3156">
        <w:t>nclinical p</w:t>
      </w:r>
      <w:r w:rsidRPr="0059143C">
        <w:t>hototoxicity studies have been submitted based on supporting clinical safety information from Phase III clinical studies. Although paritaprevir absorbs light in the range 290</w:t>
      </w:r>
      <w:r w:rsidR="0021113A">
        <w:t xml:space="preserve"> to </w:t>
      </w:r>
      <w:r w:rsidRPr="0059143C">
        <w:t>700 nm and maximal molar extinct</w:t>
      </w:r>
      <w:r w:rsidR="000C3156">
        <w:t>ion coefficient values exceed 1 x </w:t>
      </w:r>
      <w:r w:rsidRPr="0059143C">
        <w:t>10</w:t>
      </w:r>
      <w:r w:rsidRPr="000C3156">
        <w:rPr>
          <w:vertAlign w:val="superscript"/>
        </w:rPr>
        <w:t>3</w:t>
      </w:r>
      <w:r w:rsidR="000C3156">
        <w:t> </w:t>
      </w:r>
      <w:r w:rsidRPr="0059143C">
        <w:t>Lmol</w:t>
      </w:r>
      <w:r w:rsidRPr="000C3156">
        <w:rPr>
          <w:vertAlign w:val="superscript"/>
        </w:rPr>
        <w:t>-1</w:t>
      </w:r>
      <w:r w:rsidRPr="0059143C">
        <w:t>cm</w:t>
      </w:r>
      <w:r w:rsidRPr="000C3156">
        <w:rPr>
          <w:vertAlign w:val="superscript"/>
        </w:rPr>
        <w:t>-1</w:t>
      </w:r>
      <w:r w:rsidRPr="0059143C">
        <w:t>, the results of photostability testing, DEREK in silico photosafety prediction modelling</w:t>
      </w:r>
      <w:r w:rsidR="00AA71C5">
        <w:rPr>
          <w:rStyle w:val="FootnoteReference"/>
        </w:rPr>
        <w:footnoteReference w:id="25"/>
      </w:r>
      <w:r w:rsidRPr="0059143C">
        <w:t xml:space="preserve">, the lack of detectable radioactivity in the skin or eye in tissue distribution studies and the absence of skin or ocular toxicity in repeat dose oral toxicity </w:t>
      </w:r>
      <w:r w:rsidRPr="0059143C">
        <w:lastRenderedPageBreak/>
        <w:t>studies are supportive of the lack of phototoxicity potential. The sponsor’s justification for the lack of nonclinical phototoxicity data is in accordance with the relevant guideline, based on the lack of distribution to exposed tissues.</w:t>
      </w:r>
      <w:bookmarkStart w:id="72" w:name="_Ref471974969"/>
      <w:r w:rsidRPr="000C3156">
        <w:rPr>
          <w:vertAlign w:val="superscript"/>
        </w:rPr>
        <w:footnoteReference w:id="26"/>
      </w:r>
      <w:bookmarkEnd w:id="72"/>
    </w:p>
    <w:p w:rsidR="0059143C" w:rsidRDefault="0059143C" w:rsidP="0059143C">
      <w:pPr>
        <w:pStyle w:val="Heading5"/>
      </w:pPr>
      <w:r w:rsidRPr="0059143C">
        <w:t>Impurities</w:t>
      </w:r>
    </w:p>
    <w:p w:rsidR="0059143C" w:rsidRPr="0059143C" w:rsidRDefault="0059143C" w:rsidP="0059143C">
      <w:r w:rsidRPr="0059143C">
        <w:t>The proposed specifications for impurities and degradants in the drug substance are below ICH levels,</w:t>
      </w:r>
      <w:bookmarkStart w:id="73" w:name="_Ref471981418"/>
      <w:r w:rsidR="000C3156" w:rsidRPr="000C3156">
        <w:rPr>
          <w:vertAlign w:val="superscript"/>
        </w:rPr>
        <w:footnoteReference w:id="27"/>
      </w:r>
      <w:bookmarkEnd w:id="73"/>
      <w:r w:rsidRPr="0059143C">
        <w:t xml:space="preserve"> or have been adequately qualified.</w:t>
      </w:r>
    </w:p>
    <w:p w:rsidR="0059143C" w:rsidRPr="0059143C" w:rsidRDefault="0059143C" w:rsidP="0059143C">
      <w:pPr>
        <w:pStyle w:val="Heading5"/>
      </w:pPr>
      <w:r w:rsidRPr="0059143C">
        <w:t>Paediatric use</w:t>
      </w:r>
    </w:p>
    <w:p w:rsidR="0059143C" w:rsidRPr="0059143C" w:rsidRDefault="0059143C" w:rsidP="000C3156">
      <w:r w:rsidRPr="0059143C">
        <w:t>No studies in juvenile animals were submitted. The sponsor justified the absence of such studies on the absence of any toxicological finding that would be considered to be more severe or to manifest differently to that in an adult, and no anticipated differences in metabolism between the ad</w:t>
      </w:r>
      <w:r w:rsidR="000C3156">
        <w:t>ult and paediatric populations.</w:t>
      </w:r>
    </w:p>
    <w:p w:rsidR="001B7DBF" w:rsidRDefault="008E7846" w:rsidP="001B7DBF">
      <w:pPr>
        <w:pStyle w:val="Heading3"/>
      </w:pPr>
      <w:bookmarkStart w:id="74" w:name="_Toc247691515"/>
      <w:bookmarkStart w:id="75" w:name="_Toc314842499"/>
      <w:bookmarkStart w:id="76" w:name="_Toc480811563"/>
      <w:r>
        <w:t>Nonclinical summary and conclusions</w:t>
      </w:r>
      <w:bookmarkEnd w:id="74"/>
      <w:bookmarkEnd w:id="75"/>
      <w:r w:rsidR="001B7DBF">
        <w:t xml:space="preserve">- </w:t>
      </w:r>
      <w:r w:rsidR="008B6F3C">
        <w:t>paritaprevir</w:t>
      </w:r>
      <w:bookmarkEnd w:id="76"/>
    </w:p>
    <w:p w:rsidR="00CE21BD" w:rsidRPr="00CE21BD" w:rsidRDefault="00CE21BD" w:rsidP="00CE21BD">
      <w:pPr>
        <w:pStyle w:val="ListBullet"/>
      </w:pPr>
      <w:r w:rsidRPr="00CE21BD">
        <w:t>The overall quality of the submitted dossier for the pa</w:t>
      </w:r>
      <w:r w:rsidR="000C3156">
        <w:t>ritaprevir component of Viekira </w:t>
      </w:r>
      <w:r w:rsidRPr="00CE21BD">
        <w:t>P</w:t>
      </w:r>
      <w:r w:rsidR="000C3156" w:rsidRPr="00CE21BD">
        <w:t>ak</w:t>
      </w:r>
      <w:r w:rsidRPr="00CE21BD">
        <w:t xml:space="preserve"> and Viekira P</w:t>
      </w:r>
      <w:r w:rsidR="000C3156" w:rsidRPr="00CE21BD">
        <w:t>ak</w:t>
      </w:r>
      <w:r w:rsidRPr="00CE21BD">
        <w:t>–RBV was high. All pivotal safety studies were conducted under GLP conditions.</w:t>
      </w:r>
    </w:p>
    <w:p w:rsidR="00CE21BD" w:rsidRPr="00CE21BD" w:rsidRDefault="00CE21BD" w:rsidP="00CE21BD">
      <w:pPr>
        <w:pStyle w:val="ListBullet"/>
      </w:pPr>
      <w:r w:rsidRPr="00CE21BD">
        <w:t>In vitro, paritaprevir inhibited the activity of NS3/4A protease from HCV strains of genotypes 1a, 1b and 4a with nanomolar potency and inhibited the replication of these strains in subgenomic HCV replicon assays. Paritaprevir had lower potency at NS3/4A protease from other HCV genotypes (2a, 2b and 3a</w:t>
      </w:r>
      <w:r w:rsidR="00514939">
        <w:t>).</w:t>
      </w:r>
    </w:p>
    <w:p w:rsidR="00CE21BD" w:rsidRPr="00CE21BD" w:rsidRDefault="00CE21BD" w:rsidP="00CE21BD">
      <w:pPr>
        <w:pStyle w:val="ListBullet"/>
      </w:pPr>
      <w:r w:rsidRPr="00CE21BD">
        <w:t>NS3 mutations F43L, R155G/K/S, A156T and D168A/E/F/H/N/V/Y, or combinations of V36M, F43L, Y56H or E357K with R155 or D168 variants conferred resistance to paritaprevir genotype 1a, and A156T, D168A/H/V/Y, either alone or in combination w</w:t>
      </w:r>
      <w:r w:rsidR="000C3156">
        <w:t xml:space="preserve">ith Y56H for genotype 1b. Cross </w:t>
      </w:r>
      <w:r w:rsidRPr="00CE21BD">
        <w:t>resistance may be seen with some other NS3 protease inhibitors, as mutations at R155 and A156 are also associated with resistance to most other NS3 protease inhibitors, while mutations at D168 are common to most macrocyclic NS3 inhibitors.</w:t>
      </w:r>
      <w:r w:rsidR="008B6F3C">
        <w:t xml:space="preserve"> </w:t>
      </w:r>
      <w:r w:rsidRPr="00CE21BD">
        <w:t>However, certain variants associated with resistance to telaprevir, boceprevir and a number of other NS3 inhibitors having a linear scaffold (V36A/M, T54A, V55A, Q80R/K, A156S, and V170A) may be susceptible to paritaprevir based on the results of the in vitro virology data.</w:t>
      </w:r>
    </w:p>
    <w:p w:rsidR="00CE21BD" w:rsidRPr="00CE21BD" w:rsidRDefault="00CE21BD" w:rsidP="00CE21BD">
      <w:pPr>
        <w:pStyle w:val="ListBullet"/>
      </w:pPr>
      <w:r w:rsidRPr="00CE21BD">
        <w:t>Paritaprevir showed no relevant antiviral activity evident against HIV-1 and HBV, and protease activity was highly specific for HCV NS3. No off-target activities are predicted during clinical use.</w:t>
      </w:r>
    </w:p>
    <w:p w:rsidR="00CE21BD" w:rsidRPr="00CE21BD" w:rsidRDefault="00CE21BD" w:rsidP="00CE21BD">
      <w:pPr>
        <w:pStyle w:val="ListBullet"/>
      </w:pPr>
      <w:r w:rsidRPr="00CE21BD">
        <w:t>Based on findings in the combined set of safety studies, paritaprevir is not expected to have any adverse effects on CNS, respiratory, gastrointestinal or cardiovascular function during clinical use.</w:t>
      </w:r>
    </w:p>
    <w:p w:rsidR="00CE21BD" w:rsidRPr="00CE21BD" w:rsidRDefault="00CE21BD" w:rsidP="00CE21BD">
      <w:pPr>
        <w:pStyle w:val="ListBullet"/>
      </w:pPr>
      <w:r w:rsidRPr="00CE21BD">
        <w:t xml:space="preserve">Paritaprevir is a high molecular weight, lipophilic compound subject to active efflux, and to moderate to high rates of metabolism by CYP3A4, resulting in high first pass hepatic metabolism. Absorption in rats was low, while oral bioavailability was moderate in the dog, and there was a pronounced food effect in this species. Markedly increased levels of systemic exposure were achieved in animals by co-dosing with the CYP3A4 inhibitor ritonavir, and this corresponds to the clinical situation. Plasma protein binding by paritaprevir was very high, but was similar in all species. In rats, tissue distribution of radioactively labelled material was mainly limited to the </w:t>
      </w:r>
      <w:r w:rsidRPr="00CE21BD">
        <w:lastRenderedPageBreak/>
        <w:t>gastrointestinal tract and excretory organs. Liver concentrations were higher than plasma levels in mice, rats an</w:t>
      </w:r>
      <w:r w:rsidR="000C3156">
        <w:t>d dogs.</w:t>
      </w:r>
    </w:p>
    <w:p w:rsidR="00CE21BD" w:rsidRPr="00CE21BD" w:rsidRDefault="00CE21BD" w:rsidP="00CE21BD">
      <w:pPr>
        <w:pStyle w:val="ListBullet"/>
      </w:pPr>
      <w:r w:rsidRPr="00CE21BD">
        <w:t>Routes of metabolism were similar a</w:t>
      </w:r>
      <w:r w:rsidR="000C3156">
        <w:t xml:space="preserve">cross species, and included CYP </w:t>
      </w:r>
      <w:r w:rsidRPr="00CE21BD">
        <w:t xml:space="preserve">mediated oxidation and amide hydrolysis. Unchanged paritaprevir was the dominant circulating species, and none of the metabolites circulating in plasma exceeded 10% of total </w:t>
      </w:r>
      <w:r w:rsidR="009F7EDA">
        <w:t>drug related</w:t>
      </w:r>
      <w:r w:rsidRPr="00CE21BD">
        <w:t xml:space="preserve"> material. Following oral dosing, paritaprevir was predominantly excreted in the bile and eliminated via the faeces </w:t>
      </w:r>
      <w:r w:rsidR="000C3156">
        <w:t>in mice, rats, dogs and humans.</w:t>
      </w:r>
    </w:p>
    <w:p w:rsidR="00CE21BD" w:rsidRPr="00CE21BD" w:rsidRDefault="00CE21BD" w:rsidP="00CE21BD">
      <w:pPr>
        <w:pStyle w:val="ListBullet"/>
      </w:pPr>
      <w:r w:rsidRPr="00CE21BD">
        <w:t xml:space="preserve">Inducers or inhibitors of CYP3A4, </w:t>
      </w:r>
      <w:r w:rsidR="00C75F81">
        <w:t>P-gp</w:t>
      </w:r>
      <w:r w:rsidRPr="00CE21BD">
        <w:t xml:space="preserve">, BCRP and the hepatic organic anion transporter proteins OATP1B1 and OATP1B3 may alter the systemic and/or hepatic exposure to paritaprevir. In vitro studies indicate paritaprevir has the potential to affect the oral absorption of co-administered drugs that are substrates for </w:t>
      </w:r>
      <w:r w:rsidR="00C75F81">
        <w:t>P-gp</w:t>
      </w:r>
      <w:r w:rsidRPr="00CE21BD">
        <w:t>, BCRP and MRP2, and affect the disposition of co</w:t>
      </w:r>
      <w:r w:rsidRPr="00CE21BD">
        <w:noBreakHyphen/>
        <w:t>administered drugs that are substrates for OATP1B1 andOATP1B3.</w:t>
      </w:r>
    </w:p>
    <w:p w:rsidR="00CE21BD" w:rsidRPr="00CE21BD" w:rsidRDefault="00CE21BD" w:rsidP="00CE21BD">
      <w:pPr>
        <w:pStyle w:val="ListBullet"/>
      </w:pPr>
      <w:r w:rsidRPr="00CE21BD">
        <w:t>Paritaprevir had a very low oral toxicity in single dose toxicity studies in rats and dogs in which plasma exposures reached up to 9 and 41 times the clinical e</w:t>
      </w:r>
      <w:r w:rsidR="000C3156">
        <w:t>xposure (based on AUC).</w:t>
      </w:r>
    </w:p>
    <w:p w:rsidR="00CE21BD" w:rsidRPr="00CE21BD" w:rsidRDefault="000C3156" w:rsidP="00CE21BD">
      <w:pPr>
        <w:pStyle w:val="ListBullet"/>
      </w:pPr>
      <w:r>
        <w:t xml:space="preserve">GLP compliant repeat </w:t>
      </w:r>
      <w:r w:rsidR="00CE21BD" w:rsidRPr="00CE21BD">
        <w:t>dose toxicity studies were conducted in mice (up to 6 months), rats (up to 3 months) and dogs (up to 9 months), using the oral route, and with ritonavir co-administration. The gallbladder was a target for toxicity in mice, characterised by focal erosion or ulceration, inflammation and epithelial hyperplasia. The effect was seen in two 6 month studies with a NOEL of</w:t>
      </w:r>
      <w:r w:rsidR="008B6F3C">
        <w:t xml:space="preserve"> </w:t>
      </w:r>
      <w:r w:rsidR="00CE21BD" w:rsidRPr="00CE21BD">
        <w:t>30 mg/kg/day (systemic exposure 4.8 times the clinical AUC) and a LOEL of 60 mg/kg/day (17 times the clinical AUC), but was not seen in studies of up to 13 weeks duration. Gall bladder toxicity was less severe in dogs, and the NOEL in the 9 month study was 20 mg/kg/day (88 times the clinical AUC), which may be reflective of the lower liver to plasma concentration ratio for paritaprevir in this species compared to the mouse. Rat studies are not relevant, since thi</w:t>
      </w:r>
      <w:r>
        <w:t>s species lacks a gall bladder.</w:t>
      </w:r>
    </w:p>
    <w:p w:rsidR="00CE21BD" w:rsidRPr="00CE21BD" w:rsidRDefault="00CE21BD" w:rsidP="00CE21BD">
      <w:pPr>
        <w:pStyle w:val="ListBullet"/>
      </w:pPr>
      <w:r w:rsidRPr="00CE21BD">
        <w:t>Paritaprevir was not genotoxic in a bacterial reverse mutation assay, in in vivo bone marrow micronucleus and ex vivo liver Comet assays in rats, but it was clastogenic in human lymphocytes in vitro. Overall, the weight of evidence provided indicates a low potential</w:t>
      </w:r>
      <w:r w:rsidR="000C3156">
        <w:t xml:space="preserve"> for paritaprevir genotoxicity.</w:t>
      </w:r>
    </w:p>
    <w:p w:rsidR="00CE21BD" w:rsidRPr="00CE21BD" w:rsidRDefault="00CE21BD" w:rsidP="00CE21BD">
      <w:pPr>
        <w:pStyle w:val="ListBullet"/>
      </w:pPr>
      <w:r w:rsidRPr="00CE21BD">
        <w:t xml:space="preserve">No </w:t>
      </w:r>
      <w:r w:rsidR="009F7EDA">
        <w:t>drug related</w:t>
      </w:r>
      <w:r w:rsidRPr="00CE21BD">
        <w:t xml:space="preserve"> tumours were evident in transgenic TgrasH2 mice treated for 6 months with paritaprevir. Although there was no indication of progression of gall bladder inflammation or hyperplasia to a pre-neoplastic or neoplastic state, the relevance of human c-Ha-ras gene overexpression to the progression of chronic inflammation and hypertrophy to carcinogenesis is unknown, and so the possibility of neoplastic progression cannot be excluded. A standard 2 year rat carcinogenicity assay found no </w:t>
      </w:r>
      <w:r w:rsidR="009C3E30">
        <w:t>treatment related</w:t>
      </w:r>
      <w:r w:rsidR="000C3156">
        <w:t xml:space="preserve"> neoplasia.</w:t>
      </w:r>
    </w:p>
    <w:p w:rsidR="00CE21BD" w:rsidRPr="00CE21BD" w:rsidRDefault="000C3156" w:rsidP="00CE21BD">
      <w:pPr>
        <w:pStyle w:val="ListBullet"/>
      </w:pPr>
      <w:r>
        <w:t xml:space="preserve">GLP </w:t>
      </w:r>
      <w:r w:rsidR="00CE21BD" w:rsidRPr="00CE21BD">
        <w:t>compliant reproductive toxicity studies were submitted and examined fertility (in rats), embryofetal toxicity (mouse and rat) and pre/postnatal development (rats). The mouse was selected over the rabbit as an initial toxicokinetic study identified vehicle tolerability problems. Adequate animal numbers were used during appropriate gestational periods. Relative exposure in the rat fertility study was only 3 times the clinical AUC, but was somewhat higher in the embryofetal and pre/postnatal development studies in this species. Systemic exposure in the mouse embryofetal development study was up to 98 fold the clinical AUC. The clinical route (PO) was used in all studies.</w:t>
      </w:r>
    </w:p>
    <w:p w:rsidR="00CE21BD" w:rsidRPr="00CE21BD" w:rsidRDefault="00CE21BD" w:rsidP="00CE21BD">
      <w:pPr>
        <w:pStyle w:val="ListBullet"/>
      </w:pPr>
      <w:r w:rsidRPr="00CE21BD">
        <w:t xml:space="preserve">In reproductive toxicity studies, placental transfer into fetal rat tissues was very limited, with measurable levels found only in the liver. Paritaprevir and its hydrolysis product M13 were detected in the milk of lactating rats. There was no adverse effect </w:t>
      </w:r>
      <w:r w:rsidRPr="00CE21BD">
        <w:lastRenderedPageBreak/>
        <w:t xml:space="preserve">on male or female fertility in this species at systemic exposures approximately 3 times the clinical AUC, and no </w:t>
      </w:r>
      <w:r w:rsidR="009C3E30">
        <w:t>treatment related</w:t>
      </w:r>
      <w:r w:rsidRPr="00CE21BD">
        <w:t xml:space="preserve"> embryofetal development findings in rats and mice at systemic exposures 9 and 180 fold the clinical AUC, respectively. No evidence of toxicity was seen in the offspring of rats dosed at up to 300 mg/kg/day in the peri/postnatal toxicity study (systemic exposure17 times the clinical AUC).</w:t>
      </w:r>
    </w:p>
    <w:p w:rsidR="00CE21BD" w:rsidRPr="00CE21BD" w:rsidRDefault="00CE21BD" w:rsidP="00CE21BD">
      <w:pPr>
        <w:pStyle w:val="ListBullet"/>
      </w:pPr>
      <w:r w:rsidRPr="00CE21BD">
        <w:t>The phototoxic potential for paritaprevir was not investigated, but is considered to be negligible.</w:t>
      </w:r>
    </w:p>
    <w:p w:rsidR="009A3C3D" w:rsidRDefault="009A3C3D" w:rsidP="0098169C">
      <w:pPr>
        <w:pStyle w:val="Heading3"/>
      </w:pPr>
      <w:bookmarkStart w:id="77" w:name="_Toc480811564"/>
      <w:r w:rsidRPr="009A3C3D">
        <w:t>Ombitasvir</w:t>
      </w:r>
      <w:bookmarkEnd w:id="77"/>
    </w:p>
    <w:p w:rsidR="009A3C3D" w:rsidRPr="009A3C3D" w:rsidRDefault="009A3C3D" w:rsidP="009A3C3D">
      <w:r w:rsidRPr="009A3C3D">
        <w:t xml:space="preserve">The overall quality of the nonclinical dossier for the ombitasvir part of Viekira </w:t>
      </w:r>
      <w:r w:rsidR="000C3156">
        <w:t>Pak</w:t>
      </w:r>
      <w:r w:rsidRPr="009A3C3D">
        <w:t xml:space="preserve"> and Viekira </w:t>
      </w:r>
      <w:r w:rsidR="000C3156">
        <w:t>Pak</w:t>
      </w:r>
      <w:r w:rsidRPr="009A3C3D">
        <w:t>-RBV was high. All relevant safety and toxicity studies were conducted according to GLP standards.</w:t>
      </w:r>
    </w:p>
    <w:p w:rsidR="009A3C3D" w:rsidRPr="009A3C3D" w:rsidRDefault="009A3C3D" w:rsidP="009A3C3D">
      <w:r w:rsidRPr="009A3C3D">
        <w:t>The sponsor included a number of studies on ombitasvir that were not evaluated and excluded from the overall assessment (Study Nos. R&amp;D/14/0208, R&amp;D/14/0093, R&amp;D/14/0271, R&amp;D/14</w:t>
      </w:r>
      <w:r w:rsidR="000C3156">
        <w:t>/0085, R&amp;D/14/0091, R&amp;D/14/0086 and</w:t>
      </w:r>
      <w:r w:rsidRPr="009A3C3D">
        <w:t xml:space="preserve"> R&amp;D/14/0087). As these studies mostly pertained to environmental toxicity assessments, these were not considered relevant to the current application.</w:t>
      </w:r>
    </w:p>
    <w:p w:rsidR="00475C4E" w:rsidRDefault="00475C4E" w:rsidP="00475C4E">
      <w:pPr>
        <w:pStyle w:val="Heading3"/>
      </w:pPr>
      <w:bookmarkStart w:id="78" w:name="_Toc480811565"/>
      <w:r w:rsidRPr="00020030">
        <w:t>Pharmacology</w:t>
      </w:r>
      <w:r w:rsidR="00AA71C5">
        <w:t xml:space="preserve"> </w:t>
      </w:r>
      <w:r w:rsidR="009A3C3D">
        <w:t xml:space="preserve">- </w:t>
      </w:r>
      <w:r w:rsidR="009A3C3D" w:rsidRPr="009A3C3D">
        <w:t>Ombitasvir</w:t>
      </w:r>
      <w:bookmarkEnd w:id="78"/>
    </w:p>
    <w:p w:rsidR="009A3C3D" w:rsidRPr="009A3C3D" w:rsidRDefault="009A3C3D" w:rsidP="009A3C3D">
      <w:pPr>
        <w:pStyle w:val="Heading4"/>
      </w:pPr>
      <w:r w:rsidRPr="009A3C3D">
        <w:t>Primary pharmacology</w:t>
      </w:r>
      <w:r w:rsidR="00294D29">
        <w:t xml:space="preserve"> - </w:t>
      </w:r>
      <w:r w:rsidR="00294D29" w:rsidRPr="009A3C3D">
        <w:t>ombitasvir</w:t>
      </w:r>
    </w:p>
    <w:p w:rsidR="009A3C3D" w:rsidRPr="009A3C3D" w:rsidRDefault="009A3C3D" w:rsidP="009A3C3D">
      <w:r w:rsidRPr="009A3C3D">
        <w:t>All submitted pharmacodynamic studies were conducted under in vitro conditions, with no nonclinical proof-of-concept studies provided to show effects of ombitasvir in animal models of HCV infection.</w:t>
      </w:r>
    </w:p>
    <w:p w:rsidR="009A3C3D" w:rsidRPr="009A3C3D" w:rsidRDefault="00772535" w:rsidP="009A3C3D">
      <w:pPr>
        <w:pStyle w:val="Heading5"/>
      </w:pPr>
      <w:r>
        <w:t>Antiviral</w:t>
      </w:r>
      <w:r w:rsidR="009A3C3D" w:rsidRPr="009A3C3D">
        <w:t xml:space="preserve"> efficacy</w:t>
      </w:r>
      <w:r w:rsidR="00294D29">
        <w:t xml:space="preserve"> - </w:t>
      </w:r>
      <w:r w:rsidR="00294D29" w:rsidRPr="009A3C3D">
        <w:t>ombitasvir</w:t>
      </w:r>
    </w:p>
    <w:p w:rsidR="009A3C3D" w:rsidRPr="009A3C3D" w:rsidRDefault="009A3C3D" w:rsidP="009A3C3D">
      <w:r w:rsidRPr="009A3C3D">
        <w:t xml:space="preserve">Efficacy studies showed that ombitasvir was a highly potent </w:t>
      </w:r>
      <w:r w:rsidR="00772535">
        <w:t>antiviral</w:t>
      </w:r>
      <w:r w:rsidRPr="009A3C3D">
        <w:t xml:space="preserve"> agent against six genotypes of NS5A. This was demonstrated using a HCV expression system consisting of Huh-7 cells transfected with the different genotype HCV replicons. Picomolar inhibition of viral replication was demonstrated for all tested genotypes (</w:t>
      </w:r>
      <w:r w:rsidR="00202E0D">
        <w:t>genotype</w:t>
      </w:r>
      <w:r w:rsidRPr="009A3C3D">
        <w:t>s 1a-H77, 1b-Con1, 2a, 2a JFH-</w:t>
      </w:r>
      <w:r w:rsidR="000C3156">
        <w:t xml:space="preserve">1, 2b, 3a, 4a; </w:t>
      </w:r>
      <w:r w:rsidR="00014BB3">
        <w:t>EC</w:t>
      </w:r>
      <w:r w:rsidR="00014BB3" w:rsidRPr="00E355BF">
        <w:rPr>
          <w:vertAlign w:val="subscript"/>
        </w:rPr>
        <w:t>50</w:t>
      </w:r>
      <w:r w:rsidR="000C3156">
        <w:t xml:space="preserve"> range: 0.2 to</w:t>
      </w:r>
      <w:r w:rsidRPr="009A3C3D">
        <w:t xml:space="preserve"> 4.5 pM), except for</w:t>
      </w:r>
      <w:r w:rsidR="009F6EED">
        <w:t xml:space="preserve"> genotype</w:t>
      </w:r>
      <w:r w:rsidRPr="009A3C3D">
        <w:t xml:space="preserve"> 6a which was the least sensitive (</w:t>
      </w:r>
      <w:r w:rsidR="00014BB3">
        <w:t>EC</w:t>
      </w:r>
      <w:r w:rsidR="00014BB3" w:rsidRPr="00E355BF">
        <w:rPr>
          <w:vertAlign w:val="subscript"/>
        </w:rPr>
        <w:t>50</w:t>
      </w:r>
      <w:r w:rsidRPr="009A3C3D">
        <w:t xml:space="preserve">: 366 pM). Inhibitory potency was also found to be partially abrogated by the presence of 40% human plasma by </w:t>
      </w:r>
      <w:r w:rsidR="00F201F8">
        <w:t>approximately</w:t>
      </w:r>
      <w:r w:rsidR="00BF1FC5">
        <w:t xml:space="preserve"> </w:t>
      </w:r>
      <w:r w:rsidRPr="009A3C3D">
        <w:t xml:space="preserve">12 fold, suggesting that in vitro measures of potency may over-represent the likely potency of ombitasvir in a clinical setting. Ombitasvir showed no evidence of being cytotoxic in a </w:t>
      </w:r>
      <w:r w:rsidRPr="008D14BE">
        <w:t>standard MTT</w:t>
      </w:r>
      <w:r w:rsidRPr="009A3C3D">
        <w:t xml:space="preserve"> assay</w:t>
      </w:r>
      <w:r w:rsidR="008D14BE">
        <w:rPr>
          <w:rStyle w:val="FootnoteReference"/>
        </w:rPr>
        <w:footnoteReference w:id="28"/>
      </w:r>
      <w:r w:rsidRPr="009A3C3D">
        <w:t xml:space="preserve">, with a calculated therapeutic index (Ratio </w:t>
      </w:r>
      <w:r w:rsidRPr="00B144F3">
        <w:t>of TD</w:t>
      </w:r>
      <w:r w:rsidRPr="00B144F3">
        <w:rPr>
          <w:vertAlign w:val="subscript"/>
        </w:rPr>
        <w:t>50</w:t>
      </w:r>
      <w:r w:rsidR="00342051">
        <w:rPr>
          <w:rStyle w:val="FootnoteReference"/>
        </w:rPr>
        <w:footnoteReference w:id="29"/>
      </w:r>
      <w:r w:rsidRPr="00B144F3">
        <w:t>:</w:t>
      </w:r>
      <w:r w:rsidR="00014BB3" w:rsidRPr="00B144F3">
        <w:t>EC</w:t>
      </w:r>
      <w:r w:rsidR="00014BB3" w:rsidRPr="00B144F3">
        <w:rPr>
          <w:vertAlign w:val="subscript"/>
        </w:rPr>
        <w:t>50</w:t>
      </w:r>
      <w:r w:rsidRPr="009A3C3D">
        <w:t xml:space="preserve">) 2 million fold. Co-treatment of Huh-7 cells expressing </w:t>
      </w:r>
      <w:r w:rsidR="00202E0D">
        <w:t>genotype</w:t>
      </w:r>
      <w:r w:rsidRPr="009A3C3D">
        <w:t xml:space="preserve"> 1b-Con1 with interferon–α for a 3 week period showed synergistic reduction of HCV RNA. Negligible </w:t>
      </w:r>
      <w:r w:rsidR="00772535">
        <w:t>antiviral</w:t>
      </w:r>
      <w:r w:rsidRPr="009A3C3D">
        <w:t xml:space="preserve"> activity was noted by human major metabolites of ombitasvir, M23, M29, M36 and M37 against </w:t>
      </w:r>
      <w:r w:rsidR="00202E0D">
        <w:t>genotype</w:t>
      </w:r>
      <w:r w:rsidR="00AA71C5">
        <w:t>s 1a-H77 and 1b</w:t>
      </w:r>
      <w:r w:rsidR="00AA71C5">
        <w:noBreakHyphen/>
      </w:r>
      <w:r w:rsidRPr="009A3C3D">
        <w:t>Con1. Metabolites M29 and M36 showed negligible activity against genotypes 2a, 2b, 3a, 4a, 5a and 6a.</w:t>
      </w:r>
    </w:p>
    <w:p w:rsidR="009A3C3D" w:rsidRPr="009A3C3D" w:rsidRDefault="009A3C3D" w:rsidP="009A3C3D">
      <w:pPr>
        <w:pStyle w:val="Heading5"/>
      </w:pPr>
      <w:r w:rsidRPr="009A3C3D">
        <w:t>Resistance and cross-resistance</w:t>
      </w:r>
      <w:r w:rsidR="00294D29">
        <w:t xml:space="preserve"> - </w:t>
      </w:r>
      <w:r w:rsidR="00294D29" w:rsidRPr="009A3C3D">
        <w:t>ombitasvir</w:t>
      </w:r>
    </w:p>
    <w:p w:rsidR="009A3C3D" w:rsidRPr="009A3C3D" w:rsidRDefault="009A3C3D" w:rsidP="009A3C3D">
      <w:r w:rsidRPr="009A3C3D">
        <w:t xml:space="preserve">Resistance to ombitasvir was assessed in all HCV genotypes, although emphasis was placed on the dominant HCV </w:t>
      </w:r>
      <w:r w:rsidR="000C3156" w:rsidRPr="009A3C3D">
        <w:t>genotypes</w:t>
      </w:r>
      <w:r w:rsidRPr="009A3C3D">
        <w:t xml:space="preserve"> 1a and 1b. Mutations of NS5A that conferred resistance to ombitasvir were identified under conditions of chronic and high exposure to </w:t>
      </w:r>
      <w:r w:rsidRPr="009A3C3D">
        <w:lastRenderedPageBreak/>
        <w:t xml:space="preserve">ombitasvir (3 weeks and up to 1000 times the </w:t>
      </w:r>
      <w:r w:rsidR="00014BB3">
        <w:t>EC</w:t>
      </w:r>
      <w:r w:rsidR="00014BB3" w:rsidRPr="00E355BF">
        <w:rPr>
          <w:vertAlign w:val="subscript"/>
        </w:rPr>
        <w:t>50</w:t>
      </w:r>
      <w:r w:rsidRPr="009A3C3D">
        <w:t xml:space="preserve">). Mutations at residues M28, Q30 and Y93 were found to be the most prevalent for </w:t>
      </w:r>
      <w:r w:rsidR="00202E0D">
        <w:t>genotype</w:t>
      </w:r>
      <w:r w:rsidRPr="009A3C3D">
        <w:t xml:space="preserve"> 1a and L28 and Y93 for </w:t>
      </w:r>
      <w:r w:rsidR="00202E0D">
        <w:t>genotype</w:t>
      </w:r>
      <w:r w:rsidRPr="009A3C3D">
        <w:t xml:space="preserve"> 1b.Extent of resistance was high for </w:t>
      </w:r>
      <w:r w:rsidR="00202E0D">
        <w:t>genotype</w:t>
      </w:r>
      <w:r w:rsidRPr="009A3C3D">
        <w:t xml:space="preserve"> 1a mutants of the Y93H, M28T, Y93C and Q30R variants, showing re</w:t>
      </w:r>
      <w:r w:rsidR="000C3156">
        <w:t>sistance 41000, 8900, 1700 and 810 fold</w:t>
      </w:r>
      <w:r w:rsidRPr="009A3C3D">
        <w:t xml:space="preserve"> the </w:t>
      </w:r>
      <w:r w:rsidR="00014BB3">
        <w:t>EC</w:t>
      </w:r>
      <w:r w:rsidR="00014BB3" w:rsidRPr="00E355BF">
        <w:rPr>
          <w:vertAlign w:val="subscript"/>
        </w:rPr>
        <w:t>50</w:t>
      </w:r>
      <w:r w:rsidRPr="009A3C3D">
        <w:t xml:space="preserve"> (2.7 pM in WT 1a-H77), while for </w:t>
      </w:r>
      <w:r w:rsidR="00202E0D">
        <w:t>genotype</w:t>
      </w:r>
      <w:r w:rsidRPr="009A3C3D">
        <w:t xml:space="preserve"> 1b mutants L28T an</w:t>
      </w:r>
      <w:r w:rsidR="000C3156">
        <w:t>d Y93H conferred resistance 430 and 50 fold</w:t>
      </w:r>
      <w:r w:rsidRPr="009A3C3D">
        <w:t xml:space="preserve"> the </w:t>
      </w:r>
      <w:r w:rsidR="00014BB3">
        <w:t>EC</w:t>
      </w:r>
      <w:r w:rsidR="00014BB3" w:rsidRPr="00E355BF">
        <w:rPr>
          <w:vertAlign w:val="subscript"/>
        </w:rPr>
        <w:t>50</w:t>
      </w:r>
      <w:r w:rsidRPr="009A3C3D">
        <w:t xml:space="preserve"> (1.2 pM in WT 1b-Con1). Of the emergent mutants, the M28T mutant of </w:t>
      </w:r>
      <w:r w:rsidR="00202E0D">
        <w:t>genotype</w:t>
      </w:r>
      <w:r w:rsidRPr="009A3C3D">
        <w:t xml:space="preserve"> 1a showed substantial resistance to ombitasvir but no impairment to viral replication efficiency. For </w:t>
      </w:r>
      <w:r w:rsidR="00202E0D">
        <w:t>genotype</w:t>
      </w:r>
      <w:r w:rsidRPr="009A3C3D">
        <w:t xml:space="preserve"> 1b mutant</w:t>
      </w:r>
      <w:r w:rsidR="000C3156">
        <w:t xml:space="preserve"> L31F conferred approximately 9 </w:t>
      </w:r>
      <w:r w:rsidRPr="009A3C3D">
        <w:t>fold resistance to ombitasvir and a slight increase (</w:t>
      </w:r>
      <w:r w:rsidR="00F201F8">
        <w:t xml:space="preserve">approximately </w:t>
      </w:r>
      <w:r w:rsidRPr="009A3C3D">
        <w:t>30%) in replication efficiency. For the other HCV genotypes, mutations at residue 28 (Genotype 2a: F28S;</w:t>
      </w:r>
      <w:r w:rsidR="009F6EED">
        <w:t xml:space="preserve"> genotype</w:t>
      </w:r>
      <w:r w:rsidRPr="009A3C3D">
        <w:t xml:space="preserve"> 2b: L28F;</w:t>
      </w:r>
      <w:r w:rsidR="009F6EED">
        <w:t xml:space="preserve"> genotype</w:t>
      </w:r>
      <w:r w:rsidRPr="009A3C3D">
        <w:t xml:space="preserve"> 3a: M28T;</w:t>
      </w:r>
      <w:r w:rsidR="009F6EED">
        <w:t xml:space="preserve"> genotype</w:t>
      </w:r>
      <w:r w:rsidRPr="009A3C3D">
        <w:t xml:space="preserve"> 4a: L2</w:t>
      </w:r>
      <w:r w:rsidR="000C3156">
        <w:t>8V;</w:t>
      </w:r>
      <w:r w:rsidR="009F6EED">
        <w:t xml:space="preserve"> genotype</w:t>
      </w:r>
      <w:r w:rsidR="000C3156">
        <w:t xml:space="preserve"> 5a: L28I) and 93 </w:t>
      </w:r>
      <w:proofErr w:type="gramStart"/>
      <w:r w:rsidR="000C3156">
        <w:t>(</w:t>
      </w:r>
      <w:r w:rsidR="009F6EED">
        <w:t xml:space="preserve"> genotype</w:t>
      </w:r>
      <w:proofErr w:type="gramEnd"/>
      <w:r w:rsidR="000C3156">
        <w:t xml:space="preserve"> 2b and</w:t>
      </w:r>
      <w:r w:rsidR="009F6EED">
        <w:t xml:space="preserve"> genotype</w:t>
      </w:r>
      <w:r w:rsidRPr="009A3C3D">
        <w:t xml:space="preserve"> 3a: Y93H) were the most prevalent and brought about resistances ranging between </w:t>
      </w:r>
      <w:r w:rsidR="00F201F8">
        <w:t xml:space="preserve">approximately </w:t>
      </w:r>
      <w:r w:rsidR="000C3156">
        <w:t>20 and up to 6700 fold</w:t>
      </w:r>
      <w:r w:rsidRPr="009A3C3D">
        <w:t xml:space="preserve"> the </w:t>
      </w:r>
      <w:r w:rsidR="00014BB3">
        <w:t>EC</w:t>
      </w:r>
      <w:r w:rsidR="00014BB3" w:rsidRPr="00E355BF">
        <w:rPr>
          <w:vertAlign w:val="subscript"/>
        </w:rPr>
        <w:t>50</w:t>
      </w:r>
      <w:r w:rsidRPr="009A3C3D">
        <w:t>. Substitutions at residues 30 and 93 are known to occur with other NS5a inhibitors. In particular, substitution of the Y93 residue is regarded as a class-defining resistance mutation because it is frequently observed with inhibitor substances.</w:t>
      </w:r>
      <w:bookmarkStart w:id="79" w:name="_Ref471977652"/>
      <w:r w:rsidRPr="000C3156">
        <w:rPr>
          <w:vertAlign w:val="superscript"/>
        </w:rPr>
        <w:footnoteReference w:id="30"/>
      </w:r>
      <w:bookmarkEnd w:id="79"/>
    </w:p>
    <w:p w:rsidR="009A3C3D" w:rsidRPr="009A3C3D" w:rsidRDefault="000C3156" w:rsidP="009A3C3D">
      <w:r>
        <w:t xml:space="preserve">Cross </w:t>
      </w:r>
      <w:r w:rsidR="009A3C3D" w:rsidRPr="009A3C3D">
        <w:t>resistance was assessed against known mutant variants of NS3 protease and NS5B polymerase and found no difference in ombitasvir sensitivity between these variants an</w:t>
      </w:r>
      <w:r>
        <w:t>d wild type forms of 1a and 1b.</w:t>
      </w:r>
    </w:p>
    <w:p w:rsidR="009A3C3D" w:rsidRPr="009A3C3D" w:rsidRDefault="009A3C3D" w:rsidP="009A3C3D">
      <w:pPr>
        <w:pStyle w:val="Heading4"/>
      </w:pPr>
      <w:r w:rsidRPr="009A3C3D">
        <w:t>Secondary pharmacodynamics and safety pharmacology</w:t>
      </w:r>
      <w:r w:rsidR="00294D29">
        <w:t xml:space="preserve"> - </w:t>
      </w:r>
      <w:r w:rsidR="00294D29" w:rsidRPr="009A3C3D">
        <w:t>ombitasvir</w:t>
      </w:r>
    </w:p>
    <w:p w:rsidR="009A3C3D" w:rsidRPr="009A3C3D" w:rsidRDefault="000C3156" w:rsidP="009A3C3D">
      <w:r>
        <w:t xml:space="preserve">High </w:t>
      </w:r>
      <w:r w:rsidR="009A3C3D" w:rsidRPr="009A3C3D">
        <w:t>throughput screening assays were performed with ombitasvir and three hum</w:t>
      </w:r>
      <w:r>
        <w:t>an major metabolites (M29, M36 and</w:t>
      </w:r>
      <w:r w:rsidR="009A3C3D" w:rsidRPr="009A3C3D">
        <w:t xml:space="preserve"> M23) against a standard battery of protein targets. Whilst the parent compound showed weak affinity for </w:t>
      </w:r>
      <w:r w:rsidR="00D4378C" w:rsidRPr="00D4378C">
        <w:t>neurokinin2 (</w:t>
      </w:r>
      <w:r w:rsidR="009A3C3D" w:rsidRPr="00D4378C">
        <w:t>NK2</w:t>
      </w:r>
      <w:r w:rsidR="00D4378C" w:rsidRPr="00D4378C">
        <w:t>)</w:t>
      </w:r>
      <w:r w:rsidR="009A3C3D" w:rsidRPr="009A3C3D">
        <w:t xml:space="preserve"> receptors, all three metabolites have significant affinity for numerous secondary targets. M29 inhibited ligand binding </w:t>
      </w:r>
      <w:r w:rsidR="009A3C3D" w:rsidRPr="00681B9E">
        <w:t>of P2Y receptors</w:t>
      </w:r>
      <w:r w:rsidR="00681B9E" w:rsidRPr="00681B9E">
        <w:rPr>
          <w:rStyle w:val="FootnoteReference"/>
        </w:rPr>
        <w:footnoteReference w:id="31"/>
      </w:r>
      <w:r w:rsidR="009A3C3D" w:rsidRPr="00681B9E">
        <w:t xml:space="preserve"> (</w:t>
      </w:r>
      <w:r w:rsidR="00F201F8" w:rsidRPr="00681B9E">
        <w:t>approximately</w:t>
      </w:r>
      <w:r w:rsidR="00F201F8">
        <w:t xml:space="preserve"> </w:t>
      </w:r>
      <w:r w:rsidR="009A3C3D" w:rsidRPr="009A3C3D">
        <w:t>50% inhibition of specific binding), M36 significantly inhibited the dopamine transporter (</w:t>
      </w:r>
      <w:r w:rsidR="00F201F8">
        <w:t xml:space="preserve">approximately </w:t>
      </w:r>
      <w:r w:rsidR="009A3C3D" w:rsidRPr="009A3C3D">
        <w:t xml:space="preserve">75.1% inhibition; </w:t>
      </w:r>
      <w:r w:rsidR="00014BB3">
        <w:t>IC</w:t>
      </w:r>
      <w:r w:rsidR="00014BB3" w:rsidRPr="00E355BF">
        <w:rPr>
          <w:vertAlign w:val="subscript"/>
        </w:rPr>
        <w:t>50</w:t>
      </w:r>
      <w:r w:rsidR="00CB52CC">
        <w:t> </w:t>
      </w:r>
      <w:r w:rsidR="009A3C3D" w:rsidRPr="009A3C3D">
        <w:t>3.2 </w:t>
      </w:r>
      <w:r w:rsidR="005F323A">
        <w:t>µ</w:t>
      </w:r>
      <w:r w:rsidR="005F323A" w:rsidRPr="00CE21BD">
        <w:t>M</w:t>
      </w:r>
      <w:r w:rsidR="009A3C3D" w:rsidRPr="009A3C3D">
        <w:t xml:space="preserve">), while M23 competed for the ligand of </w:t>
      </w:r>
      <w:r w:rsidR="00681B9E">
        <w:t>gamma aminobutyric acid (GABA)</w:t>
      </w:r>
      <w:r w:rsidR="009A3C3D" w:rsidRPr="009A3C3D">
        <w:t>-gated Cl</w:t>
      </w:r>
      <w:r w:rsidR="009A3C3D" w:rsidRPr="000C3156">
        <w:rPr>
          <w:vertAlign w:val="superscript"/>
        </w:rPr>
        <w:t>-</w:t>
      </w:r>
      <w:r w:rsidR="009A3C3D" w:rsidRPr="009A3C3D">
        <w:t xml:space="preserve"> channels (97.4% inhibition; </w:t>
      </w:r>
      <w:r w:rsidR="00014BB3">
        <w:t>IC</w:t>
      </w:r>
      <w:r w:rsidR="00014BB3" w:rsidRPr="00E355BF">
        <w:rPr>
          <w:vertAlign w:val="subscript"/>
        </w:rPr>
        <w:t>50</w:t>
      </w:r>
      <w:r w:rsidR="009A3C3D" w:rsidRPr="009A3C3D">
        <w:t xml:space="preserve"> 1.5 </w:t>
      </w:r>
      <w:r w:rsidR="005F323A">
        <w:t>µ</w:t>
      </w:r>
      <w:r w:rsidR="005F323A" w:rsidRPr="00CE21BD">
        <w:t>M</w:t>
      </w:r>
      <w:r w:rsidR="009A3C3D" w:rsidRPr="009A3C3D">
        <w:t>) and showed significant binding for A3, BZD, BB, CB1, 5-HT5a, sigma, and Na</w:t>
      </w:r>
      <w:r w:rsidR="009A3C3D" w:rsidRPr="000C3156">
        <w:rPr>
          <w:vertAlign w:val="superscript"/>
        </w:rPr>
        <w:t>+</w:t>
      </w:r>
      <w:r>
        <w:t xml:space="preserve"> channel site </w:t>
      </w:r>
      <w:r w:rsidR="009A3C3D" w:rsidRPr="009A3C3D">
        <w:t>2. However, taking into consideration the high plasma protein binding exhibited by ombitasvir, M29 and M36 (</w:t>
      </w:r>
      <w:r>
        <w:t xml:space="preserve">&gt; </w:t>
      </w:r>
      <w:r w:rsidR="009A3C3D" w:rsidRPr="009A3C3D">
        <w:t>98%), circulating levels of unbound M23, M29 and M36 (AUC</w:t>
      </w:r>
      <w:r>
        <w:t> </w:t>
      </w:r>
      <w:r w:rsidR="00BF1FC5">
        <w:t xml:space="preserve">= </w:t>
      </w:r>
      <w:r w:rsidR="009A3C3D" w:rsidRPr="009A3C3D">
        <w:t xml:space="preserve">0.194, 0.669, 0.442 </w:t>
      </w:r>
      <w:r w:rsidR="00913482">
        <w:t>µ</w:t>
      </w:r>
      <w:r w:rsidR="00913482" w:rsidRPr="00E56F3B">
        <w:t>g</w:t>
      </w:r>
      <w:r w:rsidR="009A3C3D" w:rsidRPr="009A3C3D">
        <w:t>.h/mL, respectively) are going to be at least 1000</w:t>
      </w:r>
      <w:r w:rsidR="00BF1FC5">
        <w:t xml:space="preserve"> fold</w:t>
      </w:r>
      <w:r w:rsidR="009A3C3D" w:rsidRPr="009A3C3D">
        <w:t xml:space="preserve"> lower than any of the off-target </w:t>
      </w:r>
      <w:r w:rsidR="00014BB3">
        <w:t>IC</w:t>
      </w:r>
      <w:r w:rsidR="00014BB3" w:rsidRPr="00E355BF">
        <w:rPr>
          <w:vertAlign w:val="subscript"/>
        </w:rPr>
        <w:t>50</w:t>
      </w:r>
      <w:r w:rsidR="009A3C3D" w:rsidRPr="009A3C3D">
        <w:t xml:space="preserve"> values. Therefore, off-target effects by ombitasvir and its major metabolites are not anticipated.</w:t>
      </w:r>
    </w:p>
    <w:p w:rsidR="009A3C3D" w:rsidRPr="004334C7" w:rsidRDefault="009A3C3D" w:rsidP="00475C4E">
      <w:r w:rsidRPr="009A3C3D">
        <w:t xml:space="preserve">Specialised safety pharmacology studies covered the cardiovascular, respiratory, </w:t>
      </w:r>
      <w:proofErr w:type="gramStart"/>
      <w:r w:rsidRPr="009A3C3D">
        <w:t>gastrointestinal</w:t>
      </w:r>
      <w:proofErr w:type="gramEnd"/>
      <w:r w:rsidRPr="009A3C3D">
        <w:t xml:space="preserve"> and central nervous systems, with most conducted according to GLP principles. None of these studies revealed specific hazards or organ system toxicities. One of the in vitro hERG channel assay studies reported modest reduction of channel currents by ombitasvir (</w:t>
      </w:r>
      <w:r w:rsidR="00014BB3">
        <w:t>IC</w:t>
      </w:r>
      <w:r w:rsidR="00014BB3" w:rsidRPr="00E355BF">
        <w:rPr>
          <w:vertAlign w:val="subscript"/>
        </w:rPr>
        <w:t>50</w:t>
      </w:r>
      <w:r w:rsidR="00BF1FC5">
        <w:t xml:space="preserve"> = </w:t>
      </w:r>
      <w:r w:rsidRPr="009A3C3D">
        <w:t xml:space="preserve">5.1 </w:t>
      </w:r>
      <w:r w:rsidR="005F323A">
        <w:t>µ</w:t>
      </w:r>
      <w:r w:rsidR="005F323A" w:rsidRPr="00CE21BD">
        <w:t>M</w:t>
      </w:r>
      <w:r w:rsidRPr="009A3C3D">
        <w:t xml:space="preserve"> or 4.56 </w:t>
      </w:r>
      <w:r w:rsidR="00913482">
        <w:t>µ</w:t>
      </w:r>
      <w:r w:rsidR="00913482" w:rsidRPr="00E56F3B">
        <w:t>g</w:t>
      </w:r>
      <w:r w:rsidRPr="009A3C3D">
        <w:t>/mL); however, in vivo investigations in dogs did not show ombitasvir to be arrhythmogenic at a maximum plasma level of 2.6</w:t>
      </w:r>
      <w:r w:rsidR="000C3156">
        <w:t xml:space="preserve"> </w:t>
      </w:r>
      <w:r w:rsidRPr="009A3C3D">
        <w:t>±</w:t>
      </w:r>
      <w:r w:rsidR="000C3156">
        <w:t xml:space="preserve"> </w:t>
      </w:r>
      <w:r w:rsidRPr="009A3C3D">
        <w:t xml:space="preserve">0.35 </w:t>
      </w:r>
      <w:r w:rsidR="00913482">
        <w:t>µ</w:t>
      </w:r>
      <w:r w:rsidR="00913482" w:rsidRPr="00E56F3B">
        <w:t>g</w:t>
      </w:r>
      <w:r w:rsidRPr="009A3C3D">
        <w:t>/mL that was achieved with 60 mg/kg, PO at 6 h</w:t>
      </w:r>
      <w:r w:rsidR="000C3156">
        <w:t>ours</w:t>
      </w:r>
      <w:r w:rsidRPr="009A3C3D">
        <w:t xml:space="preserve"> post-dose.</w:t>
      </w:r>
    </w:p>
    <w:p w:rsidR="00475C4E" w:rsidRDefault="00475C4E" w:rsidP="00475C4E">
      <w:pPr>
        <w:pStyle w:val="Heading3"/>
      </w:pPr>
      <w:bookmarkStart w:id="80" w:name="_Toc480811566"/>
      <w:r>
        <w:lastRenderedPageBreak/>
        <w:t>Pharmacokinetics</w:t>
      </w:r>
      <w:r w:rsidR="009A3C3D">
        <w:t xml:space="preserve"> - </w:t>
      </w:r>
      <w:r w:rsidR="000C3156">
        <w:t>o</w:t>
      </w:r>
      <w:r w:rsidR="009A3C3D" w:rsidRPr="009A3C3D">
        <w:t>mbitasvir</w:t>
      </w:r>
      <w:bookmarkEnd w:id="80"/>
    </w:p>
    <w:p w:rsidR="009A3C3D" w:rsidRDefault="009A3C3D" w:rsidP="009A3C3D">
      <w:pPr>
        <w:pStyle w:val="Heading4"/>
      </w:pPr>
      <w:r w:rsidRPr="009A3C3D">
        <w:t>Absorption</w:t>
      </w:r>
      <w:r w:rsidR="00294D29">
        <w:t xml:space="preserve"> - </w:t>
      </w:r>
      <w:r w:rsidR="00294D29" w:rsidRPr="009A3C3D">
        <w:t>ombitasvir</w:t>
      </w:r>
    </w:p>
    <w:p w:rsidR="009A3C3D" w:rsidRPr="009A3C3D" w:rsidRDefault="009A3C3D" w:rsidP="009A3C3D">
      <w:r w:rsidRPr="009A3C3D">
        <w:t>Ombitasvir, as a large (MW: 894.1 g/mol) lipophilic molecule, was minimally soluble in aqueous solutions. Inclusion of three different surfactants to customised diluents improved solubility, and subsequently oral bioavailability, in the tested animal species. Generally, however, bioavailability was low in most tested species (rats, dogs, monkeys and rabbits). Plasma exposure was highest in mice (</w:t>
      </w:r>
      <w:r w:rsidR="00F201F8">
        <w:t xml:space="preserve">approximately </w:t>
      </w:r>
      <w:r w:rsidRPr="009A3C3D">
        <w:t>3</w:t>
      </w:r>
      <w:r w:rsidR="000C3156">
        <w:t xml:space="preserve"> </w:t>
      </w:r>
      <w:r w:rsidRPr="009A3C3D">
        <w:t>x higher AUCs than for rats), which was the rationale for using mice as the preferred species in repeat dose toxicity studies.</w:t>
      </w:r>
      <w:r w:rsidR="008B6F3C">
        <w:t xml:space="preserve"> </w:t>
      </w:r>
      <w:r w:rsidRPr="009A3C3D">
        <w:t>Low clearance (</w:t>
      </w:r>
      <w:r w:rsidR="00926A16">
        <w:t xml:space="preserve">&lt; </w:t>
      </w:r>
      <w:r w:rsidR="00F201F8">
        <w:t>0</w:t>
      </w:r>
      <w:r w:rsidRPr="009A3C3D">
        <w:t>.5 L/h/kg) was noted in all tested species. Elimination half-lives</w:t>
      </w:r>
      <w:r w:rsidR="00681B9E">
        <w:t xml:space="preserve"> </w:t>
      </w:r>
      <w:r w:rsidR="00681B9E" w:rsidRPr="00681B9E">
        <w:t>(t½)</w:t>
      </w:r>
      <w:r w:rsidRPr="009A3C3D">
        <w:t xml:space="preserve"> were longer in rodents (</w:t>
      </w:r>
      <w:r w:rsidR="00F201F8">
        <w:t>approximately</w:t>
      </w:r>
      <w:r w:rsidR="00BF1FC5">
        <w:t xml:space="preserve"> </w:t>
      </w:r>
      <w:r w:rsidRPr="009A3C3D">
        <w:t>10 h</w:t>
      </w:r>
      <w:r w:rsidR="000C3156">
        <w:t>ours</w:t>
      </w:r>
      <w:r w:rsidRPr="009A3C3D">
        <w:t>) compared to other tested species (</w:t>
      </w:r>
      <w:r w:rsidR="00F201F8">
        <w:t>approximately</w:t>
      </w:r>
      <w:r w:rsidR="00BF1FC5">
        <w:t xml:space="preserve"> </w:t>
      </w:r>
      <w:r w:rsidRPr="009A3C3D">
        <w:t xml:space="preserve">7 h </w:t>
      </w:r>
      <w:r w:rsidR="000C3156">
        <w:t>compared with</w:t>
      </w:r>
      <w:r w:rsidRPr="009A3C3D">
        <w:t xml:space="preserve">. </w:t>
      </w:r>
      <w:r w:rsidRPr="00681B9E">
        <w:t>clinical t½:</w:t>
      </w:r>
      <w:r w:rsidRPr="009A3C3D">
        <w:t xml:space="preserve"> 21 h</w:t>
      </w:r>
      <w:r w:rsidR="000C3156">
        <w:t>ours</w:t>
      </w:r>
      <w:r w:rsidRPr="009A3C3D">
        <w:t>). Pre</w:t>
      </w:r>
      <w:r w:rsidR="000C3156">
        <w:t>-</w:t>
      </w:r>
      <w:r w:rsidRPr="009A3C3D">
        <w:t xml:space="preserve">treatment with ritonavir augmented ombitasvir plasma levels, but there was no evidence of direct interference when ritonavir was co-administered with ombitasvir. Gender differences were observed in mice with males having plasma levels </w:t>
      </w:r>
      <w:r w:rsidR="00F201F8">
        <w:t>approximately</w:t>
      </w:r>
      <w:r w:rsidR="00BF1FC5">
        <w:t xml:space="preserve"> </w:t>
      </w:r>
      <w:r w:rsidRPr="009A3C3D">
        <w:t>2 times higher than females. For this reason mouse toxicity studies used doses twice as high for female animals. Accumulation was generally not evident in mice. In rats and dogs, however, there was a progressive increase in AUC values over time. Out of all the animal models used, pharmacokinetic parameters of mice aligned closest with the clinical absorption profile of ombitasvir.</w:t>
      </w:r>
    </w:p>
    <w:p w:rsidR="009A3C3D" w:rsidRDefault="009A3C3D" w:rsidP="009A3C3D">
      <w:pPr>
        <w:pStyle w:val="Heading4"/>
      </w:pPr>
      <w:r w:rsidRPr="009A3C3D">
        <w:t>Distribution</w:t>
      </w:r>
      <w:r w:rsidR="00294D29">
        <w:t xml:space="preserve"> - </w:t>
      </w:r>
      <w:r w:rsidR="00294D29" w:rsidRPr="009A3C3D">
        <w:t>ombitasvir</w:t>
      </w:r>
    </w:p>
    <w:p w:rsidR="009A3C3D" w:rsidRPr="009A3C3D" w:rsidRDefault="009A3C3D" w:rsidP="009A3C3D">
      <w:r w:rsidRPr="009A3C3D">
        <w:t>Plasma protein binding by ombitasvir was very high across all tested species (</w:t>
      </w:r>
      <w:r w:rsidR="000C3156">
        <w:t xml:space="preserve">&gt; </w:t>
      </w:r>
      <w:r w:rsidRPr="009A3C3D">
        <w:t>99%). Binding of major human metabolites, A-1538855 (M29) and A-1548255 (M36), was also high when tested against human and mouse plasma (</w:t>
      </w:r>
      <w:r w:rsidR="000C3156">
        <w:t xml:space="preserve">≥ </w:t>
      </w:r>
      <w:r w:rsidRPr="009A3C3D">
        <w:t xml:space="preserve">96%). Ombitasvir showed low partitioning into RBC from whole blood in all species (Blood to plasma ratio: </w:t>
      </w:r>
      <w:r w:rsidR="00926A16">
        <w:t xml:space="preserve">&lt; </w:t>
      </w:r>
      <w:r w:rsidR="00F201F8">
        <w:t>0</w:t>
      </w:r>
      <w:r w:rsidRPr="009A3C3D">
        <w:t>.5). Tissue distribution in rats was slow and did not permeate across the blood brain barrier or into the lens of the eye. Complete elimination from plasma occurred by 24 to 48 h</w:t>
      </w:r>
      <w:r w:rsidR="000C3156">
        <w:t>ours</w:t>
      </w:r>
      <w:r w:rsidRPr="009A3C3D">
        <w:t xml:space="preserve"> post dose, whilst for tissues radioactivity was below levels of</w:t>
      </w:r>
      <w:r>
        <w:t xml:space="preserve"> </w:t>
      </w:r>
      <w:r w:rsidRPr="009A3C3D">
        <w:t>quantification by 168 h</w:t>
      </w:r>
      <w:r w:rsidR="000C3156">
        <w:t>ours post</w:t>
      </w:r>
      <w:r w:rsidR="000C3156">
        <w:noBreakHyphen/>
      </w:r>
      <w:r w:rsidRPr="009A3C3D">
        <w:t>dose. Studies in pregnant rats found extensive distribution of radiolabelled ombitasvir into the amniotic sac and placenta; however, actual placental transfer was not apparent (Fetal:</w:t>
      </w:r>
      <w:r w:rsidR="00CB52CC">
        <w:t xml:space="preserve"> </w:t>
      </w:r>
      <w:r w:rsidRPr="009A3C3D">
        <w:t xml:space="preserve">maternal plasma ratio </w:t>
      </w:r>
      <w:r w:rsidR="00926A16">
        <w:t xml:space="preserve">&lt; </w:t>
      </w:r>
      <w:r w:rsidR="00F201F8">
        <w:t>0</w:t>
      </w:r>
      <w:r w:rsidRPr="009A3C3D">
        <w:t>.1).</w:t>
      </w:r>
    </w:p>
    <w:p w:rsidR="009A3C3D" w:rsidRDefault="009A3C3D" w:rsidP="009A3C3D">
      <w:pPr>
        <w:pStyle w:val="Heading4"/>
      </w:pPr>
      <w:r w:rsidRPr="009A3C3D">
        <w:t>Metabolism</w:t>
      </w:r>
      <w:r w:rsidR="00294D29">
        <w:t xml:space="preserve"> - </w:t>
      </w:r>
      <w:r w:rsidR="00294D29" w:rsidRPr="009A3C3D">
        <w:t>ombitasvir</w:t>
      </w:r>
    </w:p>
    <w:p w:rsidR="009A3C3D" w:rsidRPr="009A3C3D" w:rsidRDefault="009A3C3D" w:rsidP="009A3C3D">
      <w:r w:rsidRPr="009A3C3D">
        <w:t xml:space="preserve">Very low biotransformation of </w:t>
      </w:r>
      <w:r w:rsidRPr="00294D29">
        <w:rPr>
          <w:vertAlign w:val="superscript"/>
        </w:rPr>
        <w:t>3</w:t>
      </w:r>
      <w:r w:rsidRPr="009A3C3D">
        <w:t>H</w:t>
      </w:r>
      <w:r w:rsidRPr="009A3C3D">
        <w:noBreakHyphen/>
        <w:t>ombitasvir was noted with liver microsomes sourced from rats, dogs, monkeys and humans (</w:t>
      </w:r>
      <w:r w:rsidR="000C3156">
        <w:t xml:space="preserve">&gt; </w:t>
      </w:r>
      <w:r w:rsidRPr="009A3C3D">
        <w:t>85% of parent compound remained at t</w:t>
      </w:r>
      <w:r w:rsidR="00294D29">
        <w:t> = 30 </w:t>
      </w:r>
      <w:r w:rsidRPr="009A3C3D">
        <w:t>mins). Characterisation of this activity identified CYP 3A4, 2C8 and 3A5 as potential contributors to the metabolism of ombitasvir. Efforts to identify major metabolites found M23, a dianiline amine hydrolysis product of ombitasvir, to be the only metabolite common to all tested species. T-butyl oxidation and demethylation of M23 forms a variety of downstream metabolites, including the human-only plasma metabolites M29, M36 and M37, which were only seen under in vivo conditions.</w:t>
      </w:r>
    </w:p>
    <w:p w:rsidR="009A3C3D" w:rsidRDefault="009A3C3D" w:rsidP="009A3C3D">
      <w:pPr>
        <w:pStyle w:val="Heading4"/>
      </w:pPr>
      <w:r w:rsidRPr="009A3C3D">
        <w:t>Excretion</w:t>
      </w:r>
      <w:r w:rsidR="00294D29">
        <w:t xml:space="preserve"> - </w:t>
      </w:r>
      <w:r w:rsidR="00294D29" w:rsidRPr="009A3C3D">
        <w:t>ombitasvir</w:t>
      </w:r>
    </w:p>
    <w:p w:rsidR="009A3C3D" w:rsidRPr="009A3C3D" w:rsidRDefault="009A3C3D" w:rsidP="009A3C3D">
      <w:r w:rsidRPr="009A3C3D">
        <w:t>For all tested species (mouse, rat, dog and humans) ombitasvir and its metabolites were excreted through the faeces, with biliary transport identified as the likely pathway for excretion.</w:t>
      </w:r>
    </w:p>
    <w:p w:rsidR="009A3C3D" w:rsidRPr="009A3C3D" w:rsidRDefault="009A3C3D" w:rsidP="009A3C3D">
      <w:pPr>
        <w:pStyle w:val="Heading4"/>
      </w:pPr>
      <w:r w:rsidRPr="009A3C3D">
        <w:lastRenderedPageBreak/>
        <w:t>Conclusion</w:t>
      </w:r>
      <w:r w:rsidR="00294D29">
        <w:t xml:space="preserve"> - </w:t>
      </w:r>
      <w:r w:rsidR="00294D29" w:rsidRPr="009A3C3D">
        <w:t>ombitasvir</w:t>
      </w:r>
    </w:p>
    <w:p w:rsidR="009A3C3D" w:rsidRPr="009A3C3D" w:rsidRDefault="009A3C3D" w:rsidP="009A3C3D">
      <w:r w:rsidRPr="009A3C3D">
        <w:t>There were sufficient similarities in the absorption profiles, level of plasma protein binding, extent of biotransformation and elimination pathways of ombitasvir in mice relative to the human pharmacokinetic profile for ombitasvir, to allow these animal models to serve as the predominant testing species appropriate models for assessing toxicity. The sponsor addressed uncertainties on the two major metabolites unique to human plasma (M29 and M36) in a series of exploratory studies in mice that were considered appropriate.</w:t>
      </w:r>
    </w:p>
    <w:p w:rsidR="009A3C3D" w:rsidRPr="009A3C3D" w:rsidRDefault="009A3C3D" w:rsidP="009A3C3D">
      <w:pPr>
        <w:pStyle w:val="Heading4"/>
      </w:pPr>
      <w:r w:rsidRPr="009A3C3D">
        <w:t>Pharmacokinetic drug interactions</w:t>
      </w:r>
      <w:r w:rsidR="00294D29">
        <w:t xml:space="preserve"> - </w:t>
      </w:r>
      <w:r w:rsidR="00294D29" w:rsidRPr="009A3C3D">
        <w:t>ombitasvir</w:t>
      </w:r>
    </w:p>
    <w:p w:rsidR="009A3C3D" w:rsidRPr="009A3C3D" w:rsidRDefault="009A3C3D" w:rsidP="009A3C3D">
      <w:r w:rsidRPr="009A3C3D">
        <w:t>Ombitasvir was not found to be a significant inducer of the liver enzymes CYP1A2, 2B6 and 3A4, nor was it found to have significant inhibitory activity against CYPs 1A2, 2B6, 2C9, 2C19, 2D6 and 3A4. Moderate inhibition of CYP 2C8 (</w:t>
      </w:r>
      <w:r w:rsidR="00014BB3">
        <w:t>IC</w:t>
      </w:r>
      <w:r w:rsidR="00014BB3" w:rsidRPr="00E355BF">
        <w:rPr>
          <w:vertAlign w:val="subscript"/>
        </w:rPr>
        <w:t>50</w:t>
      </w:r>
      <w:r w:rsidRPr="009A3C3D">
        <w:t xml:space="preserve"> </w:t>
      </w:r>
      <w:r w:rsidR="00F201F8">
        <w:t>approximately</w:t>
      </w:r>
      <w:r w:rsidR="00BF1FC5">
        <w:t xml:space="preserve"> </w:t>
      </w:r>
      <w:r w:rsidRPr="009A3C3D">
        <w:t xml:space="preserve">7.4 </w:t>
      </w:r>
      <w:r w:rsidR="005F323A">
        <w:t>µ</w:t>
      </w:r>
      <w:r w:rsidR="005F323A" w:rsidRPr="00CE21BD">
        <w:t>M</w:t>
      </w:r>
      <w:r w:rsidRPr="009A3C3D">
        <w:t>) and UGT1A1 was noted (</w:t>
      </w:r>
      <w:r w:rsidR="00014BB3">
        <w:t>IC</w:t>
      </w:r>
      <w:r w:rsidR="00014BB3" w:rsidRPr="00E355BF">
        <w:rPr>
          <w:vertAlign w:val="subscript"/>
        </w:rPr>
        <w:t>50</w:t>
      </w:r>
      <w:r w:rsidRPr="009A3C3D">
        <w:t xml:space="preserve"> </w:t>
      </w:r>
      <w:r w:rsidR="00F201F8">
        <w:t>approximately</w:t>
      </w:r>
      <w:r w:rsidR="00BF1FC5">
        <w:t xml:space="preserve"> </w:t>
      </w:r>
      <w:r w:rsidRPr="009A3C3D">
        <w:t xml:space="preserve">2.12 </w:t>
      </w:r>
      <w:r w:rsidR="005F323A">
        <w:t>µ</w:t>
      </w:r>
      <w:r w:rsidR="005F323A" w:rsidRPr="00CE21BD">
        <w:t>M</w:t>
      </w:r>
      <w:r w:rsidRPr="009A3C3D">
        <w:t>). In vitro investigations showed that ombitasvir was not a substrate or inhibitor of efflux (</w:t>
      </w:r>
      <w:r w:rsidR="00C75F81">
        <w:t>P-gp</w:t>
      </w:r>
      <w:r w:rsidR="00CC38A0" w:rsidRPr="009A3C3D">
        <w:t xml:space="preserve"> </w:t>
      </w:r>
      <w:r w:rsidR="00CC38A0">
        <w:t>(</w:t>
      </w:r>
      <w:r w:rsidRPr="009A3C3D">
        <w:t>P-gp</w:t>
      </w:r>
      <w:r w:rsidR="00CC38A0">
        <w:t>)</w:t>
      </w:r>
      <w:r w:rsidRPr="009A3C3D">
        <w:t xml:space="preserve">, BCRP, MRP2, MATE1, MATE2K) or uptake (OATP1B1, OATP1B3, OAT1, </w:t>
      </w:r>
      <w:r w:rsidR="002D05D0">
        <w:rPr>
          <w:rStyle w:val="st"/>
        </w:rPr>
        <w:t>organic anion transporter3</w:t>
      </w:r>
      <w:r w:rsidR="002D05D0" w:rsidRPr="009A3C3D">
        <w:t xml:space="preserve"> </w:t>
      </w:r>
      <w:r w:rsidRPr="009A3C3D">
        <w:t>OAT3, OCT1, OCT2) transporters. However, mice lacking P-gp and BCRP had several folds higher plasma levels of radiolabelled ombitasvir compared to wild-type mouse strains, suggesting that ombitasvir may be a substrate of one or both of these transporters. No further exploratory investigations were conducted to ascertain which of the two transporters were responsible. Overall, ombitasvir has minor drug interaction potential, with interaction possible with CYP2C8 and UGT1A1 and potential as a substrate of either P-gp and/or BCRP.</w:t>
      </w:r>
    </w:p>
    <w:p w:rsidR="00475C4E" w:rsidRDefault="00475C4E" w:rsidP="00475C4E">
      <w:pPr>
        <w:pStyle w:val="Heading3"/>
      </w:pPr>
      <w:bookmarkStart w:id="81" w:name="_Toc480811567"/>
      <w:r>
        <w:t>Toxicology</w:t>
      </w:r>
      <w:r w:rsidR="0098169C">
        <w:t xml:space="preserve"> - </w:t>
      </w:r>
      <w:r w:rsidR="0098169C" w:rsidRPr="009A3C3D">
        <w:t>Ombitasvir</w:t>
      </w:r>
      <w:bookmarkEnd w:id="81"/>
    </w:p>
    <w:p w:rsidR="009A3C3D" w:rsidRPr="009A3C3D" w:rsidRDefault="009A3C3D" w:rsidP="009A3C3D">
      <w:pPr>
        <w:pStyle w:val="Heading4"/>
      </w:pPr>
      <w:r w:rsidRPr="009A3C3D">
        <w:t>Acute toxicity</w:t>
      </w:r>
      <w:r w:rsidR="00294D29">
        <w:t xml:space="preserve"> - </w:t>
      </w:r>
      <w:r w:rsidR="00294D29" w:rsidRPr="009A3C3D">
        <w:t>ombitasvir</w:t>
      </w:r>
    </w:p>
    <w:p w:rsidR="009A3C3D" w:rsidRPr="009A3C3D" w:rsidRDefault="009A3C3D" w:rsidP="009A3C3D">
      <w:r w:rsidRPr="009A3C3D">
        <w:t>No single dose toxicity studies were conducted with ombitasvir. In view of the absence of acute toxicities noted in the repeat-dose toxicity and safety pharmacology studies, the lack of dedicated single dose toxicity studies is considered acceptable.</w:t>
      </w:r>
    </w:p>
    <w:p w:rsidR="009A3C3D" w:rsidRPr="009A3C3D" w:rsidRDefault="009A3C3D" w:rsidP="009A3C3D">
      <w:pPr>
        <w:pStyle w:val="Heading4"/>
      </w:pPr>
      <w:r w:rsidRPr="009A3C3D">
        <w:t>Repeat-dose toxicity</w:t>
      </w:r>
      <w:r w:rsidR="00294D29">
        <w:t xml:space="preserve"> - </w:t>
      </w:r>
      <w:r w:rsidR="00294D29" w:rsidRPr="009A3C3D">
        <w:t>ombitasvir</w:t>
      </w:r>
    </w:p>
    <w:p w:rsidR="009A3C3D" w:rsidRPr="009A3C3D" w:rsidRDefault="009A3C3D" w:rsidP="009A3C3D">
      <w:r w:rsidRPr="009A3C3D">
        <w:t xml:space="preserve">The sponsor submitted a number of repeat dose toxicity studies that were conducted in mice, rats and dogs. All studies used the clinical route (oral) and all pivotal studies were </w:t>
      </w:r>
      <w:r w:rsidR="00926A16">
        <w:t>GLP compliant</w:t>
      </w:r>
      <w:r w:rsidRPr="009A3C3D">
        <w:t>. Study durations employed for the pivotal studies were appropriate for the proposed period of use of the clinical product (3 months) with the pivotal mouse study being of 6 months duration, the rat was 3 months and the dog was 6 months duration. Design aspects of the studies were generally consistent with relevant guidelines on repeat dose toxicity testing</w:t>
      </w:r>
      <w:r w:rsidR="00CC38A0">
        <w:t>.</w:t>
      </w:r>
      <w:r w:rsidR="00CC38A0">
        <w:rPr>
          <w:rStyle w:val="FootnoteReference"/>
        </w:rPr>
        <w:footnoteReference w:id="32"/>
      </w:r>
    </w:p>
    <w:p w:rsidR="009A3C3D" w:rsidRPr="009A3C3D" w:rsidRDefault="009A3C3D" w:rsidP="009A3C3D">
      <w:pPr>
        <w:pStyle w:val="Heading5"/>
      </w:pPr>
      <w:r w:rsidRPr="009A3C3D">
        <w:t>Relative exposure</w:t>
      </w:r>
      <w:r w:rsidR="00294D29">
        <w:t xml:space="preserve"> - </w:t>
      </w:r>
      <w:r w:rsidR="00294D29" w:rsidRPr="009A3C3D">
        <w:t>ombitasvir</w:t>
      </w:r>
    </w:p>
    <w:p w:rsidR="009A3C3D" w:rsidRPr="009A3C3D" w:rsidRDefault="009A3C3D" w:rsidP="009A3C3D">
      <w:r w:rsidRPr="009A3C3D">
        <w:t xml:space="preserve">Relative exposure ratios are calculated based on clinical </w:t>
      </w:r>
      <w:r w:rsidR="00CC38A0" w:rsidRPr="009A3C3D">
        <w:t>AUC</w:t>
      </w:r>
      <w:r w:rsidR="00CC38A0" w:rsidRPr="00AD3555">
        <w:rPr>
          <w:vertAlign w:val="subscript"/>
        </w:rPr>
        <w:t>0-24h</w:t>
      </w:r>
      <w:r w:rsidRPr="009A3C3D">
        <w:t xml:space="preserve"> values that were determined from a study in healthy volunteers (Study No. </w:t>
      </w:r>
      <w:proofErr w:type="gramStart"/>
      <w:r w:rsidRPr="009A3C3D">
        <w:t>R&amp;D/14/0050).</w:t>
      </w:r>
      <w:proofErr w:type="gramEnd"/>
      <w:r w:rsidRPr="009A3C3D">
        <w:t xml:space="preserve"> Exposures attained in the pivotal toxicity studies were adequate multi</w:t>
      </w:r>
      <w:r w:rsidR="00CC38A0">
        <w:t>ples of clinical plasma levels.</w:t>
      </w:r>
    </w:p>
    <w:p w:rsidR="009A3C3D" w:rsidRPr="009A3C3D" w:rsidRDefault="00C36BE1" w:rsidP="00FF289D">
      <w:pPr>
        <w:pStyle w:val="Tabletitle0"/>
      </w:pPr>
      <w:r>
        <w:lastRenderedPageBreak/>
        <w:t>Table 5:</w:t>
      </w:r>
      <w:r w:rsidR="009A3C3D">
        <w:t xml:space="preserve"> </w:t>
      </w:r>
      <w:r w:rsidR="009A3C3D" w:rsidRPr="009A3C3D">
        <w:t>Relative exposure to ombitasvir in repeat-dose toxicity and carcinogenicity studies</w:t>
      </w:r>
      <w:r w:rsidR="00CC38A0">
        <w:t xml:space="preserve"> </w:t>
      </w:r>
      <w:r w:rsidR="005B05BF">
        <w:t xml:space="preserve">- </w:t>
      </w:r>
      <w:r w:rsidR="005B05BF" w:rsidRPr="009A3C3D">
        <w:t>ombitasvir</w:t>
      </w:r>
    </w:p>
    <w:tbl>
      <w:tblPr>
        <w:tblStyle w:val="TableTGAblue"/>
        <w:tblW w:w="8542" w:type="dxa"/>
        <w:tblLayout w:type="fixed"/>
        <w:tblLook w:val="01E0" w:firstRow="1" w:lastRow="1" w:firstColumn="1" w:lastColumn="1" w:noHBand="0" w:noVBand="0"/>
      </w:tblPr>
      <w:tblGrid>
        <w:gridCol w:w="2061"/>
        <w:gridCol w:w="1449"/>
        <w:gridCol w:w="1029"/>
        <w:gridCol w:w="1334"/>
        <w:gridCol w:w="1316"/>
        <w:gridCol w:w="1353"/>
      </w:tblGrid>
      <w:tr w:rsidR="00D349F6" w:rsidRPr="00D76AE5" w:rsidTr="0090503E">
        <w:trPr>
          <w:cnfStyle w:val="100000000000" w:firstRow="1" w:lastRow="0" w:firstColumn="0" w:lastColumn="0" w:oddVBand="0" w:evenVBand="0" w:oddHBand="0" w:evenHBand="0" w:firstRowFirstColumn="0" w:firstRowLastColumn="0" w:lastRowFirstColumn="0" w:lastRowLastColumn="0"/>
          <w:trHeight w:val="178"/>
        </w:trPr>
        <w:tc>
          <w:tcPr>
            <w:tcW w:w="2061" w:type="dxa"/>
          </w:tcPr>
          <w:p w:rsidR="00D349F6" w:rsidRPr="00D76AE5" w:rsidRDefault="00D349F6" w:rsidP="0090503E">
            <w:pPr>
              <w:ind w:left="0"/>
              <w:rPr>
                <w:sz w:val="20"/>
                <w:szCs w:val="20"/>
              </w:rPr>
            </w:pPr>
            <w:r w:rsidRPr="00D76AE5">
              <w:rPr>
                <w:sz w:val="20"/>
                <w:szCs w:val="20"/>
              </w:rPr>
              <w:t>Species</w:t>
            </w:r>
          </w:p>
        </w:tc>
        <w:tc>
          <w:tcPr>
            <w:tcW w:w="1449" w:type="dxa"/>
          </w:tcPr>
          <w:p w:rsidR="00D349F6" w:rsidRPr="00D76AE5" w:rsidRDefault="00D349F6" w:rsidP="0090503E">
            <w:pPr>
              <w:ind w:left="0"/>
              <w:rPr>
                <w:sz w:val="20"/>
                <w:szCs w:val="20"/>
              </w:rPr>
            </w:pPr>
            <w:r w:rsidRPr="00D76AE5">
              <w:rPr>
                <w:sz w:val="20"/>
                <w:szCs w:val="20"/>
              </w:rPr>
              <w:t>Study duration</w:t>
            </w:r>
          </w:p>
        </w:tc>
        <w:tc>
          <w:tcPr>
            <w:tcW w:w="1029" w:type="dxa"/>
          </w:tcPr>
          <w:p w:rsidR="00D349F6" w:rsidRPr="00D76AE5" w:rsidRDefault="00D349F6" w:rsidP="0090503E">
            <w:pPr>
              <w:ind w:left="0"/>
              <w:rPr>
                <w:sz w:val="20"/>
                <w:szCs w:val="20"/>
              </w:rPr>
            </w:pPr>
            <w:r w:rsidRPr="00D76AE5">
              <w:rPr>
                <w:sz w:val="20"/>
                <w:szCs w:val="20"/>
              </w:rPr>
              <w:t>Sex</w:t>
            </w:r>
          </w:p>
        </w:tc>
        <w:tc>
          <w:tcPr>
            <w:tcW w:w="1334" w:type="dxa"/>
          </w:tcPr>
          <w:p w:rsidR="00D349F6" w:rsidRPr="00D76AE5" w:rsidRDefault="00D349F6" w:rsidP="0090503E">
            <w:pPr>
              <w:rPr>
                <w:sz w:val="20"/>
                <w:szCs w:val="20"/>
              </w:rPr>
            </w:pPr>
            <w:r w:rsidRPr="00D76AE5">
              <w:rPr>
                <w:sz w:val="20"/>
                <w:szCs w:val="20"/>
              </w:rPr>
              <w:t>Dose (mg/kg/day)</w:t>
            </w:r>
          </w:p>
        </w:tc>
        <w:tc>
          <w:tcPr>
            <w:tcW w:w="1316" w:type="dxa"/>
          </w:tcPr>
          <w:p w:rsidR="00D349F6" w:rsidRPr="00D76AE5" w:rsidRDefault="00926A16" w:rsidP="0090503E">
            <w:pPr>
              <w:rPr>
                <w:sz w:val="20"/>
                <w:szCs w:val="20"/>
              </w:rPr>
            </w:pPr>
            <w:r w:rsidRPr="00D76AE5">
              <w:rPr>
                <w:sz w:val="20"/>
                <w:szCs w:val="20"/>
              </w:rPr>
              <w:t>AUC</w:t>
            </w:r>
            <w:r w:rsidRPr="00D76AE5">
              <w:rPr>
                <w:sz w:val="20"/>
                <w:szCs w:val="20"/>
                <w:vertAlign w:val="subscript"/>
              </w:rPr>
              <w:t>0–24 h</w:t>
            </w:r>
            <w:r w:rsidR="00D349F6" w:rsidRPr="00D76AE5">
              <w:rPr>
                <w:sz w:val="20"/>
                <w:szCs w:val="20"/>
              </w:rPr>
              <w:t xml:space="preserve"> (</w:t>
            </w:r>
            <w:r w:rsidR="00913482" w:rsidRPr="00D76AE5">
              <w:rPr>
                <w:sz w:val="20"/>
                <w:szCs w:val="20"/>
              </w:rPr>
              <w:t>µg</w:t>
            </w:r>
            <w:r w:rsidR="00D349F6" w:rsidRPr="00D76AE5">
              <w:rPr>
                <w:sz w:val="20"/>
                <w:szCs w:val="20"/>
              </w:rPr>
              <w:t>.h/mL)</w:t>
            </w:r>
          </w:p>
        </w:tc>
        <w:tc>
          <w:tcPr>
            <w:tcW w:w="1353" w:type="dxa"/>
          </w:tcPr>
          <w:p w:rsidR="00D349F6" w:rsidRPr="00D76AE5" w:rsidRDefault="00D349F6" w:rsidP="0090503E">
            <w:pPr>
              <w:rPr>
                <w:sz w:val="20"/>
                <w:szCs w:val="20"/>
              </w:rPr>
            </w:pPr>
            <w:r w:rsidRPr="00D76AE5">
              <w:rPr>
                <w:sz w:val="20"/>
                <w:szCs w:val="20"/>
              </w:rPr>
              <w:t>Exposure ratio#</w:t>
            </w:r>
          </w:p>
        </w:tc>
      </w:tr>
      <w:tr w:rsidR="00D349F6" w:rsidRPr="00D76AE5" w:rsidTr="0090503E">
        <w:trPr>
          <w:trHeight w:val="280"/>
        </w:trPr>
        <w:tc>
          <w:tcPr>
            <w:tcW w:w="2061" w:type="dxa"/>
            <w:vMerge w:val="restart"/>
          </w:tcPr>
          <w:p w:rsidR="00D349F6" w:rsidRPr="00D76AE5" w:rsidRDefault="00D349F6" w:rsidP="0090503E">
            <w:pPr>
              <w:ind w:left="0"/>
              <w:rPr>
                <w:sz w:val="20"/>
                <w:szCs w:val="20"/>
              </w:rPr>
            </w:pPr>
            <w:r w:rsidRPr="00D76AE5">
              <w:rPr>
                <w:sz w:val="20"/>
                <w:szCs w:val="20"/>
              </w:rPr>
              <w:t>Mouse [Tg(Hras)]</w:t>
            </w:r>
            <w:r w:rsidR="0090503E" w:rsidRPr="00D76AE5">
              <w:rPr>
                <w:sz w:val="20"/>
                <w:szCs w:val="20"/>
              </w:rPr>
              <w:t xml:space="preserve"> </w:t>
            </w:r>
          </w:p>
          <w:p w:rsidR="00D349F6" w:rsidRPr="00D76AE5" w:rsidRDefault="00D349F6" w:rsidP="0090503E">
            <w:pPr>
              <w:ind w:left="0"/>
              <w:rPr>
                <w:sz w:val="20"/>
                <w:szCs w:val="20"/>
              </w:rPr>
            </w:pPr>
            <w:r w:rsidRPr="00D76AE5">
              <w:rPr>
                <w:sz w:val="20"/>
                <w:szCs w:val="20"/>
              </w:rPr>
              <w:t>Study No. R&amp;D/12/574</w:t>
            </w:r>
          </w:p>
        </w:tc>
        <w:tc>
          <w:tcPr>
            <w:tcW w:w="1449" w:type="dxa"/>
            <w:vMerge w:val="restart"/>
          </w:tcPr>
          <w:p w:rsidR="00D349F6" w:rsidRPr="00D76AE5" w:rsidRDefault="00D349F6" w:rsidP="0090503E">
            <w:pPr>
              <w:ind w:left="0"/>
              <w:rPr>
                <w:sz w:val="20"/>
                <w:szCs w:val="20"/>
              </w:rPr>
            </w:pPr>
            <w:r w:rsidRPr="00D76AE5">
              <w:rPr>
                <w:sz w:val="20"/>
                <w:szCs w:val="20"/>
              </w:rPr>
              <w:t>26 week</w:t>
            </w:r>
          </w:p>
          <w:p w:rsidR="00D349F6" w:rsidRPr="00D76AE5" w:rsidRDefault="00D349F6" w:rsidP="0090503E">
            <w:pPr>
              <w:ind w:left="0"/>
              <w:rPr>
                <w:sz w:val="20"/>
                <w:szCs w:val="20"/>
              </w:rPr>
            </w:pPr>
            <w:r w:rsidRPr="00D76AE5">
              <w:rPr>
                <w:sz w:val="20"/>
                <w:szCs w:val="20"/>
              </w:rPr>
              <w:t>[Carcinogenicity]</w:t>
            </w: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male</w:t>
            </w:r>
          </w:p>
        </w:tc>
        <w:tc>
          <w:tcPr>
            <w:tcW w:w="1334" w:type="dxa"/>
          </w:tcPr>
          <w:p w:rsidR="00D349F6" w:rsidRPr="00D76AE5" w:rsidRDefault="00D349F6" w:rsidP="0090503E">
            <w:pPr>
              <w:rPr>
                <w:sz w:val="20"/>
                <w:szCs w:val="20"/>
              </w:rPr>
            </w:pPr>
            <w:r w:rsidRPr="00D76AE5">
              <w:rPr>
                <w:sz w:val="20"/>
                <w:szCs w:val="20"/>
              </w:rPr>
              <w:t>2.5</w:t>
            </w:r>
          </w:p>
        </w:tc>
        <w:tc>
          <w:tcPr>
            <w:tcW w:w="1316" w:type="dxa"/>
          </w:tcPr>
          <w:p w:rsidR="00D349F6" w:rsidRPr="00D76AE5" w:rsidRDefault="00D349F6" w:rsidP="0090503E">
            <w:pPr>
              <w:rPr>
                <w:sz w:val="20"/>
                <w:szCs w:val="20"/>
              </w:rPr>
            </w:pPr>
            <w:r w:rsidRPr="00D76AE5">
              <w:rPr>
                <w:sz w:val="20"/>
                <w:szCs w:val="20"/>
              </w:rPr>
              <w:t>2.67</w:t>
            </w:r>
          </w:p>
        </w:tc>
        <w:tc>
          <w:tcPr>
            <w:tcW w:w="1353" w:type="dxa"/>
          </w:tcPr>
          <w:p w:rsidR="00D349F6" w:rsidRPr="00D76AE5" w:rsidRDefault="00D349F6" w:rsidP="0090503E">
            <w:pPr>
              <w:rPr>
                <w:sz w:val="20"/>
                <w:szCs w:val="20"/>
              </w:rPr>
            </w:pPr>
            <w:r w:rsidRPr="00D76AE5">
              <w:rPr>
                <w:sz w:val="20"/>
                <w:szCs w:val="20"/>
              </w:rPr>
              <w:t>2</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10</w:t>
            </w:r>
          </w:p>
        </w:tc>
        <w:tc>
          <w:tcPr>
            <w:tcW w:w="1316" w:type="dxa"/>
          </w:tcPr>
          <w:p w:rsidR="00D349F6" w:rsidRPr="00D76AE5" w:rsidRDefault="00D349F6" w:rsidP="0090503E">
            <w:pPr>
              <w:rPr>
                <w:sz w:val="20"/>
                <w:szCs w:val="20"/>
              </w:rPr>
            </w:pPr>
            <w:r w:rsidRPr="00D76AE5">
              <w:rPr>
                <w:sz w:val="20"/>
                <w:szCs w:val="20"/>
              </w:rPr>
              <w:t>10.7</w:t>
            </w:r>
          </w:p>
        </w:tc>
        <w:tc>
          <w:tcPr>
            <w:tcW w:w="1353" w:type="dxa"/>
          </w:tcPr>
          <w:p w:rsidR="00D349F6" w:rsidRPr="00D76AE5" w:rsidRDefault="00D349F6" w:rsidP="0090503E">
            <w:pPr>
              <w:rPr>
                <w:sz w:val="20"/>
                <w:szCs w:val="20"/>
              </w:rPr>
            </w:pPr>
            <w:r w:rsidRPr="00D76AE5">
              <w:rPr>
                <w:sz w:val="20"/>
                <w:szCs w:val="20"/>
              </w:rPr>
              <w:t>7.5</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150</w:t>
            </w:r>
          </w:p>
        </w:tc>
        <w:tc>
          <w:tcPr>
            <w:tcW w:w="1316" w:type="dxa"/>
          </w:tcPr>
          <w:p w:rsidR="00D349F6" w:rsidRPr="00D76AE5" w:rsidRDefault="00D349F6" w:rsidP="0090503E">
            <w:pPr>
              <w:rPr>
                <w:sz w:val="20"/>
                <w:szCs w:val="20"/>
              </w:rPr>
            </w:pPr>
            <w:r w:rsidRPr="00D76AE5">
              <w:rPr>
                <w:sz w:val="20"/>
                <w:szCs w:val="20"/>
              </w:rPr>
              <w:t>36.6</w:t>
            </w:r>
          </w:p>
        </w:tc>
        <w:tc>
          <w:tcPr>
            <w:tcW w:w="1353" w:type="dxa"/>
          </w:tcPr>
          <w:p w:rsidR="00D349F6" w:rsidRPr="00D76AE5" w:rsidRDefault="00D349F6" w:rsidP="0090503E">
            <w:pPr>
              <w:rPr>
                <w:sz w:val="20"/>
                <w:szCs w:val="20"/>
              </w:rPr>
            </w:pPr>
            <w:r w:rsidRPr="00D76AE5">
              <w:rPr>
                <w:sz w:val="20"/>
                <w:szCs w:val="20"/>
              </w:rPr>
              <w:t>26</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female</w:t>
            </w:r>
          </w:p>
        </w:tc>
        <w:tc>
          <w:tcPr>
            <w:tcW w:w="1334" w:type="dxa"/>
          </w:tcPr>
          <w:p w:rsidR="00D349F6" w:rsidRPr="00D76AE5" w:rsidRDefault="00D349F6" w:rsidP="0090503E">
            <w:pPr>
              <w:rPr>
                <w:sz w:val="20"/>
                <w:szCs w:val="20"/>
              </w:rPr>
            </w:pPr>
            <w:r w:rsidRPr="00D76AE5">
              <w:rPr>
                <w:sz w:val="20"/>
                <w:szCs w:val="20"/>
              </w:rPr>
              <w:t>5</w:t>
            </w:r>
          </w:p>
        </w:tc>
        <w:tc>
          <w:tcPr>
            <w:tcW w:w="1316" w:type="dxa"/>
          </w:tcPr>
          <w:p w:rsidR="00D349F6" w:rsidRPr="00D76AE5" w:rsidRDefault="00D349F6" w:rsidP="0090503E">
            <w:pPr>
              <w:rPr>
                <w:sz w:val="20"/>
                <w:szCs w:val="20"/>
              </w:rPr>
            </w:pPr>
            <w:r w:rsidRPr="00D76AE5">
              <w:rPr>
                <w:sz w:val="20"/>
                <w:szCs w:val="20"/>
              </w:rPr>
              <w:t>2.98</w:t>
            </w:r>
          </w:p>
        </w:tc>
        <w:tc>
          <w:tcPr>
            <w:tcW w:w="1353" w:type="dxa"/>
          </w:tcPr>
          <w:p w:rsidR="00D349F6" w:rsidRPr="00D76AE5" w:rsidRDefault="00D349F6" w:rsidP="0090503E">
            <w:pPr>
              <w:rPr>
                <w:sz w:val="20"/>
                <w:szCs w:val="20"/>
              </w:rPr>
            </w:pPr>
            <w:r w:rsidRPr="00D76AE5">
              <w:rPr>
                <w:sz w:val="20"/>
                <w:szCs w:val="20"/>
              </w:rPr>
              <w:t>2.1</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AB00D9" w:rsidP="0090503E">
            <w:pPr>
              <w:rPr>
                <w:sz w:val="20"/>
                <w:szCs w:val="20"/>
              </w:rPr>
            </w:pPr>
            <w:r w:rsidRPr="00D76AE5">
              <w:rPr>
                <w:sz w:val="20"/>
                <w:szCs w:val="20"/>
              </w:rPr>
              <w:t>20</w:t>
            </w:r>
          </w:p>
        </w:tc>
        <w:tc>
          <w:tcPr>
            <w:tcW w:w="1316" w:type="dxa"/>
          </w:tcPr>
          <w:p w:rsidR="00D349F6" w:rsidRPr="00D76AE5" w:rsidRDefault="00D349F6" w:rsidP="0090503E">
            <w:pPr>
              <w:rPr>
                <w:sz w:val="20"/>
                <w:szCs w:val="20"/>
              </w:rPr>
            </w:pPr>
            <w:r w:rsidRPr="00D76AE5">
              <w:rPr>
                <w:sz w:val="20"/>
                <w:szCs w:val="20"/>
              </w:rPr>
              <w:t>12.4</w:t>
            </w:r>
          </w:p>
        </w:tc>
        <w:tc>
          <w:tcPr>
            <w:tcW w:w="1353" w:type="dxa"/>
          </w:tcPr>
          <w:p w:rsidR="00D349F6" w:rsidRPr="00D76AE5" w:rsidRDefault="00D349F6" w:rsidP="0090503E">
            <w:pPr>
              <w:rPr>
                <w:sz w:val="20"/>
                <w:szCs w:val="20"/>
              </w:rPr>
            </w:pPr>
            <w:r w:rsidRPr="00D76AE5">
              <w:rPr>
                <w:sz w:val="20"/>
                <w:szCs w:val="20"/>
              </w:rPr>
              <w:t>8.7</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150</w:t>
            </w:r>
          </w:p>
        </w:tc>
        <w:tc>
          <w:tcPr>
            <w:tcW w:w="1316" w:type="dxa"/>
          </w:tcPr>
          <w:p w:rsidR="00D349F6" w:rsidRPr="00D76AE5" w:rsidRDefault="00D349F6" w:rsidP="0090503E">
            <w:pPr>
              <w:rPr>
                <w:sz w:val="20"/>
                <w:szCs w:val="20"/>
              </w:rPr>
            </w:pPr>
            <w:r w:rsidRPr="00D76AE5">
              <w:rPr>
                <w:sz w:val="20"/>
                <w:szCs w:val="20"/>
              </w:rPr>
              <w:t>37</w:t>
            </w:r>
          </w:p>
        </w:tc>
        <w:tc>
          <w:tcPr>
            <w:tcW w:w="1353" w:type="dxa"/>
          </w:tcPr>
          <w:p w:rsidR="00D349F6" w:rsidRPr="00D76AE5" w:rsidRDefault="00D349F6" w:rsidP="0090503E">
            <w:pPr>
              <w:rPr>
                <w:sz w:val="20"/>
                <w:szCs w:val="20"/>
              </w:rPr>
            </w:pPr>
            <w:r w:rsidRPr="00D76AE5">
              <w:rPr>
                <w:sz w:val="20"/>
                <w:szCs w:val="20"/>
              </w:rPr>
              <w:t>26</w:t>
            </w:r>
          </w:p>
        </w:tc>
      </w:tr>
      <w:tr w:rsidR="00D349F6" w:rsidRPr="00D76AE5" w:rsidTr="0090503E">
        <w:trPr>
          <w:trHeight w:val="280"/>
        </w:trPr>
        <w:tc>
          <w:tcPr>
            <w:tcW w:w="2061" w:type="dxa"/>
            <w:vMerge w:val="restart"/>
          </w:tcPr>
          <w:p w:rsidR="00D349F6" w:rsidRPr="00D76AE5" w:rsidRDefault="00D349F6" w:rsidP="0090503E">
            <w:pPr>
              <w:ind w:left="0"/>
              <w:rPr>
                <w:sz w:val="20"/>
                <w:szCs w:val="20"/>
              </w:rPr>
            </w:pPr>
            <w:r w:rsidRPr="00D76AE5">
              <w:rPr>
                <w:sz w:val="20"/>
                <w:szCs w:val="20"/>
              </w:rPr>
              <w:t>Mouse</w:t>
            </w:r>
          </w:p>
          <w:p w:rsidR="00D349F6" w:rsidRPr="00D76AE5" w:rsidRDefault="00D349F6" w:rsidP="0090503E">
            <w:pPr>
              <w:ind w:left="0"/>
              <w:rPr>
                <w:sz w:val="20"/>
                <w:szCs w:val="20"/>
              </w:rPr>
            </w:pPr>
            <w:r w:rsidRPr="00D76AE5">
              <w:rPr>
                <w:sz w:val="20"/>
                <w:szCs w:val="20"/>
              </w:rPr>
              <w:t>[CD-1]</w:t>
            </w:r>
          </w:p>
          <w:p w:rsidR="00D349F6" w:rsidRPr="00D76AE5" w:rsidRDefault="00D349F6" w:rsidP="0090503E">
            <w:pPr>
              <w:ind w:left="0"/>
              <w:rPr>
                <w:sz w:val="20"/>
                <w:szCs w:val="20"/>
              </w:rPr>
            </w:pPr>
          </w:p>
          <w:p w:rsidR="00D349F6" w:rsidRPr="00D76AE5" w:rsidRDefault="00D349F6" w:rsidP="0090503E">
            <w:pPr>
              <w:ind w:left="0"/>
              <w:rPr>
                <w:sz w:val="20"/>
                <w:szCs w:val="20"/>
              </w:rPr>
            </w:pPr>
            <w:r w:rsidRPr="00D76AE5">
              <w:rPr>
                <w:sz w:val="20"/>
                <w:szCs w:val="20"/>
              </w:rPr>
              <w:t>Study No. R&amp;D/11/561</w:t>
            </w:r>
          </w:p>
        </w:tc>
        <w:tc>
          <w:tcPr>
            <w:tcW w:w="1449" w:type="dxa"/>
            <w:vMerge w:val="restart"/>
          </w:tcPr>
          <w:p w:rsidR="00D349F6" w:rsidRPr="00D76AE5" w:rsidRDefault="00D349F6" w:rsidP="0090503E">
            <w:pPr>
              <w:ind w:left="0"/>
              <w:rPr>
                <w:sz w:val="20"/>
                <w:szCs w:val="20"/>
              </w:rPr>
            </w:pPr>
            <w:r w:rsidRPr="00D76AE5">
              <w:rPr>
                <w:sz w:val="20"/>
                <w:szCs w:val="20"/>
              </w:rPr>
              <w:t>6 month</w:t>
            </w:r>
          </w:p>
          <w:p w:rsidR="00D349F6" w:rsidRPr="00D76AE5" w:rsidRDefault="00D349F6" w:rsidP="0090503E">
            <w:pPr>
              <w:ind w:left="0"/>
              <w:rPr>
                <w:sz w:val="20"/>
                <w:szCs w:val="20"/>
              </w:rPr>
            </w:pPr>
            <w:r w:rsidRPr="00D76AE5">
              <w:rPr>
                <w:sz w:val="20"/>
                <w:szCs w:val="20"/>
              </w:rPr>
              <w:t>[Pivotal toxicity]</w:t>
            </w:r>
          </w:p>
          <w:p w:rsidR="00D349F6" w:rsidRPr="00D76AE5" w:rsidRDefault="00D349F6" w:rsidP="0090503E">
            <w:pPr>
              <w:ind w:left="0"/>
              <w:rPr>
                <w:sz w:val="20"/>
                <w:szCs w:val="20"/>
              </w:rPr>
            </w:pPr>
          </w:p>
          <w:p w:rsidR="00D349F6" w:rsidRPr="00D76AE5" w:rsidRDefault="00D349F6" w:rsidP="0090503E">
            <w:pPr>
              <w:ind w:left="0"/>
              <w:rPr>
                <w:sz w:val="20"/>
                <w:szCs w:val="20"/>
              </w:rPr>
            </w:pPr>
            <w:r w:rsidRPr="00D76AE5">
              <w:rPr>
                <w:sz w:val="20"/>
                <w:szCs w:val="20"/>
              </w:rPr>
              <w:t>Sampling day: 182</w:t>
            </w: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male</w:t>
            </w:r>
          </w:p>
        </w:tc>
        <w:tc>
          <w:tcPr>
            <w:tcW w:w="1334" w:type="dxa"/>
          </w:tcPr>
          <w:p w:rsidR="00D349F6" w:rsidRPr="00D76AE5" w:rsidRDefault="00D349F6" w:rsidP="0090503E">
            <w:pPr>
              <w:rPr>
                <w:sz w:val="20"/>
                <w:szCs w:val="20"/>
              </w:rPr>
            </w:pPr>
            <w:r w:rsidRPr="00D76AE5">
              <w:rPr>
                <w:sz w:val="20"/>
                <w:szCs w:val="20"/>
              </w:rPr>
              <w:t>5</w:t>
            </w:r>
          </w:p>
        </w:tc>
        <w:tc>
          <w:tcPr>
            <w:tcW w:w="1316" w:type="dxa"/>
          </w:tcPr>
          <w:p w:rsidR="00D349F6" w:rsidRPr="00D76AE5" w:rsidRDefault="00D349F6" w:rsidP="0090503E">
            <w:pPr>
              <w:rPr>
                <w:sz w:val="20"/>
                <w:szCs w:val="20"/>
              </w:rPr>
            </w:pPr>
            <w:r w:rsidRPr="00D76AE5">
              <w:rPr>
                <w:sz w:val="20"/>
                <w:szCs w:val="20"/>
              </w:rPr>
              <w:t>3.57</w:t>
            </w:r>
          </w:p>
        </w:tc>
        <w:tc>
          <w:tcPr>
            <w:tcW w:w="1353" w:type="dxa"/>
          </w:tcPr>
          <w:p w:rsidR="00D349F6" w:rsidRPr="00D76AE5" w:rsidRDefault="00D349F6" w:rsidP="0090503E">
            <w:pPr>
              <w:rPr>
                <w:sz w:val="20"/>
                <w:szCs w:val="20"/>
              </w:rPr>
            </w:pPr>
            <w:r w:rsidRPr="00D76AE5">
              <w:rPr>
                <w:sz w:val="20"/>
                <w:szCs w:val="20"/>
              </w:rPr>
              <w:t>2.5</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20</w:t>
            </w:r>
          </w:p>
        </w:tc>
        <w:tc>
          <w:tcPr>
            <w:tcW w:w="1316" w:type="dxa"/>
          </w:tcPr>
          <w:p w:rsidR="00D349F6" w:rsidRPr="00D76AE5" w:rsidRDefault="00D349F6" w:rsidP="0090503E">
            <w:pPr>
              <w:rPr>
                <w:sz w:val="20"/>
                <w:szCs w:val="20"/>
              </w:rPr>
            </w:pPr>
            <w:r w:rsidRPr="00D76AE5">
              <w:rPr>
                <w:sz w:val="20"/>
                <w:szCs w:val="20"/>
              </w:rPr>
              <w:t>10.5</w:t>
            </w:r>
          </w:p>
        </w:tc>
        <w:tc>
          <w:tcPr>
            <w:tcW w:w="1353" w:type="dxa"/>
          </w:tcPr>
          <w:p w:rsidR="00D349F6" w:rsidRPr="00D76AE5" w:rsidRDefault="00D349F6" w:rsidP="0090503E">
            <w:pPr>
              <w:rPr>
                <w:sz w:val="20"/>
                <w:szCs w:val="20"/>
              </w:rPr>
            </w:pPr>
            <w:r w:rsidRPr="00D76AE5">
              <w:rPr>
                <w:sz w:val="20"/>
                <w:szCs w:val="20"/>
              </w:rPr>
              <w:t>7.4</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200</w:t>
            </w:r>
          </w:p>
        </w:tc>
        <w:tc>
          <w:tcPr>
            <w:tcW w:w="1316" w:type="dxa"/>
          </w:tcPr>
          <w:p w:rsidR="00D349F6" w:rsidRPr="00D76AE5" w:rsidRDefault="00D349F6" w:rsidP="0090503E">
            <w:pPr>
              <w:rPr>
                <w:sz w:val="20"/>
                <w:szCs w:val="20"/>
              </w:rPr>
            </w:pPr>
            <w:r w:rsidRPr="00D76AE5">
              <w:rPr>
                <w:sz w:val="20"/>
                <w:szCs w:val="20"/>
              </w:rPr>
              <w:t>40.8</w:t>
            </w:r>
          </w:p>
        </w:tc>
        <w:tc>
          <w:tcPr>
            <w:tcW w:w="1353" w:type="dxa"/>
          </w:tcPr>
          <w:p w:rsidR="00D349F6" w:rsidRPr="00D76AE5" w:rsidRDefault="00D349F6" w:rsidP="0090503E">
            <w:pPr>
              <w:rPr>
                <w:sz w:val="20"/>
                <w:szCs w:val="20"/>
              </w:rPr>
            </w:pPr>
            <w:r w:rsidRPr="00D76AE5">
              <w:rPr>
                <w:sz w:val="20"/>
                <w:szCs w:val="20"/>
              </w:rPr>
              <w:t>29</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female</w:t>
            </w:r>
          </w:p>
        </w:tc>
        <w:tc>
          <w:tcPr>
            <w:tcW w:w="1334" w:type="dxa"/>
          </w:tcPr>
          <w:p w:rsidR="00D349F6" w:rsidRPr="00D76AE5" w:rsidRDefault="00AB00D9" w:rsidP="0090503E">
            <w:pPr>
              <w:rPr>
                <w:sz w:val="20"/>
                <w:szCs w:val="20"/>
              </w:rPr>
            </w:pPr>
            <w:r w:rsidRPr="00D76AE5">
              <w:rPr>
                <w:sz w:val="20"/>
                <w:szCs w:val="20"/>
              </w:rPr>
              <w:t>10</w:t>
            </w:r>
          </w:p>
        </w:tc>
        <w:tc>
          <w:tcPr>
            <w:tcW w:w="1316" w:type="dxa"/>
          </w:tcPr>
          <w:p w:rsidR="00D349F6" w:rsidRPr="00D76AE5" w:rsidRDefault="00D349F6" w:rsidP="0090503E">
            <w:pPr>
              <w:rPr>
                <w:sz w:val="20"/>
                <w:szCs w:val="20"/>
              </w:rPr>
            </w:pPr>
            <w:r w:rsidRPr="00D76AE5">
              <w:rPr>
                <w:sz w:val="20"/>
                <w:szCs w:val="20"/>
              </w:rPr>
              <w:t>3.38</w:t>
            </w:r>
          </w:p>
        </w:tc>
        <w:tc>
          <w:tcPr>
            <w:tcW w:w="1353" w:type="dxa"/>
          </w:tcPr>
          <w:p w:rsidR="00D349F6" w:rsidRPr="00D76AE5" w:rsidRDefault="00D349F6" w:rsidP="0090503E">
            <w:pPr>
              <w:rPr>
                <w:sz w:val="20"/>
                <w:szCs w:val="20"/>
              </w:rPr>
            </w:pPr>
            <w:r w:rsidRPr="00D76AE5">
              <w:rPr>
                <w:sz w:val="20"/>
                <w:szCs w:val="20"/>
              </w:rPr>
              <w:t>2.4</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40</w:t>
            </w:r>
          </w:p>
        </w:tc>
        <w:tc>
          <w:tcPr>
            <w:tcW w:w="1316" w:type="dxa"/>
          </w:tcPr>
          <w:p w:rsidR="00D349F6" w:rsidRPr="00D76AE5" w:rsidRDefault="00D349F6" w:rsidP="0090503E">
            <w:pPr>
              <w:rPr>
                <w:sz w:val="20"/>
                <w:szCs w:val="20"/>
              </w:rPr>
            </w:pPr>
            <w:r w:rsidRPr="00D76AE5">
              <w:rPr>
                <w:sz w:val="20"/>
                <w:szCs w:val="20"/>
              </w:rPr>
              <w:t>17.9</w:t>
            </w:r>
          </w:p>
        </w:tc>
        <w:tc>
          <w:tcPr>
            <w:tcW w:w="1353" w:type="dxa"/>
          </w:tcPr>
          <w:p w:rsidR="00D349F6" w:rsidRPr="00D76AE5" w:rsidRDefault="00D349F6" w:rsidP="0090503E">
            <w:pPr>
              <w:rPr>
                <w:sz w:val="20"/>
                <w:szCs w:val="20"/>
              </w:rPr>
            </w:pPr>
            <w:r w:rsidRPr="00D76AE5">
              <w:rPr>
                <w:sz w:val="20"/>
                <w:szCs w:val="20"/>
              </w:rPr>
              <w:t>12.6</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200</w:t>
            </w:r>
          </w:p>
        </w:tc>
        <w:tc>
          <w:tcPr>
            <w:tcW w:w="1316" w:type="dxa"/>
          </w:tcPr>
          <w:p w:rsidR="00D349F6" w:rsidRPr="00D76AE5" w:rsidRDefault="00D349F6" w:rsidP="0090503E">
            <w:pPr>
              <w:rPr>
                <w:sz w:val="20"/>
                <w:szCs w:val="20"/>
              </w:rPr>
            </w:pPr>
            <w:r w:rsidRPr="00D76AE5">
              <w:rPr>
                <w:sz w:val="20"/>
                <w:szCs w:val="20"/>
              </w:rPr>
              <w:t>32.1</w:t>
            </w:r>
          </w:p>
        </w:tc>
        <w:tc>
          <w:tcPr>
            <w:tcW w:w="1353" w:type="dxa"/>
          </w:tcPr>
          <w:p w:rsidR="00D349F6" w:rsidRPr="00D76AE5" w:rsidRDefault="00D349F6" w:rsidP="0090503E">
            <w:pPr>
              <w:rPr>
                <w:sz w:val="20"/>
                <w:szCs w:val="20"/>
              </w:rPr>
            </w:pPr>
            <w:r w:rsidRPr="00D76AE5">
              <w:rPr>
                <w:sz w:val="20"/>
                <w:szCs w:val="20"/>
              </w:rPr>
              <w:t>23</w:t>
            </w:r>
          </w:p>
        </w:tc>
      </w:tr>
      <w:tr w:rsidR="00D349F6" w:rsidRPr="00D76AE5" w:rsidTr="0090503E">
        <w:trPr>
          <w:trHeight w:val="366"/>
        </w:trPr>
        <w:tc>
          <w:tcPr>
            <w:tcW w:w="2061" w:type="dxa"/>
            <w:vMerge w:val="restart"/>
          </w:tcPr>
          <w:p w:rsidR="00D349F6" w:rsidRPr="00D76AE5" w:rsidRDefault="00D349F6" w:rsidP="0090503E">
            <w:pPr>
              <w:ind w:left="0"/>
              <w:rPr>
                <w:sz w:val="20"/>
                <w:szCs w:val="20"/>
              </w:rPr>
            </w:pPr>
            <w:r w:rsidRPr="00D76AE5">
              <w:rPr>
                <w:sz w:val="20"/>
                <w:szCs w:val="20"/>
              </w:rPr>
              <w:t>Rat [SD]</w:t>
            </w:r>
          </w:p>
          <w:p w:rsidR="00D349F6" w:rsidRPr="00D76AE5" w:rsidRDefault="00D349F6" w:rsidP="0090503E">
            <w:pPr>
              <w:ind w:left="0"/>
              <w:rPr>
                <w:sz w:val="20"/>
                <w:szCs w:val="20"/>
              </w:rPr>
            </w:pPr>
            <w:r w:rsidRPr="00D76AE5">
              <w:rPr>
                <w:sz w:val="20"/>
                <w:szCs w:val="20"/>
              </w:rPr>
              <w:t>Study No. R&amp;D/10/1472</w:t>
            </w:r>
          </w:p>
        </w:tc>
        <w:tc>
          <w:tcPr>
            <w:tcW w:w="1449" w:type="dxa"/>
            <w:vMerge w:val="restart"/>
          </w:tcPr>
          <w:p w:rsidR="00D349F6" w:rsidRPr="00D76AE5" w:rsidRDefault="00D349F6" w:rsidP="0090503E">
            <w:pPr>
              <w:ind w:left="0"/>
              <w:rPr>
                <w:sz w:val="20"/>
                <w:szCs w:val="20"/>
              </w:rPr>
            </w:pPr>
            <w:r w:rsidRPr="00D76AE5">
              <w:rPr>
                <w:sz w:val="20"/>
                <w:szCs w:val="20"/>
              </w:rPr>
              <w:t>3 month</w:t>
            </w:r>
          </w:p>
          <w:p w:rsidR="00D349F6" w:rsidRPr="00D76AE5" w:rsidRDefault="00D349F6" w:rsidP="0090503E">
            <w:pPr>
              <w:ind w:left="0"/>
              <w:rPr>
                <w:sz w:val="20"/>
                <w:szCs w:val="20"/>
              </w:rPr>
            </w:pPr>
            <w:r w:rsidRPr="00D76AE5">
              <w:rPr>
                <w:sz w:val="20"/>
                <w:szCs w:val="20"/>
              </w:rPr>
              <w:t>[Pivotal toxicity]</w:t>
            </w:r>
          </w:p>
          <w:p w:rsidR="00D349F6" w:rsidRPr="00D76AE5" w:rsidRDefault="00D349F6" w:rsidP="0090503E">
            <w:pPr>
              <w:ind w:left="0"/>
              <w:rPr>
                <w:sz w:val="20"/>
                <w:szCs w:val="20"/>
              </w:rPr>
            </w:pPr>
          </w:p>
          <w:p w:rsidR="00D349F6" w:rsidRPr="00D76AE5" w:rsidRDefault="00D349F6" w:rsidP="0090503E">
            <w:pPr>
              <w:ind w:left="0"/>
              <w:rPr>
                <w:sz w:val="20"/>
                <w:szCs w:val="20"/>
              </w:rPr>
            </w:pPr>
            <w:r w:rsidRPr="00D76AE5">
              <w:rPr>
                <w:sz w:val="20"/>
                <w:szCs w:val="20"/>
              </w:rPr>
              <w:t>Sampling day: 91</w:t>
            </w: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male</w:t>
            </w:r>
            <w:r w:rsidR="00D349F6" w:rsidRPr="00D76AE5">
              <w:rPr>
                <w:sz w:val="20"/>
                <w:szCs w:val="20"/>
              </w:rPr>
              <w:t>/</w:t>
            </w:r>
            <w:r w:rsidR="0090503E" w:rsidRPr="00D76AE5">
              <w:rPr>
                <w:sz w:val="20"/>
                <w:szCs w:val="20"/>
              </w:rPr>
              <w:t xml:space="preserve"> </w:t>
            </w:r>
            <w:r w:rsidRPr="00D76AE5">
              <w:rPr>
                <w:rFonts w:ascii="Times New Roman" w:hAnsi="Times New Roman"/>
                <w:sz w:val="20"/>
                <w:szCs w:val="20"/>
              </w:rPr>
              <w:t>female</w:t>
            </w:r>
          </w:p>
        </w:tc>
        <w:tc>
          <w:tcPr>
            <w:tcW w:w="1334" w:type="dxa"/>
          </w:tcPr>
          <w:p w:rsidR="00D349F6" w:rsidRPr="00D76AE5" w:rsidRDefault="00D349F6" w:rsidP="0090503E">
            <w:pPr>
              <w:rPr>
                <w:sz w:val="20"/>
                <w:szCs w:val="20"/>
              </w:rPr>
            </w:pPr>
            <w:r w:rsidRPr="00D76AE5">
              <w:rPr>
                <w:sz w:val="20"/>
                <w:szCs w:val="20"/>
              </w:rPr>
              <w:t>10</w:t>
            </w:r>
          </w:p>
        </w:tc>
        <w:tc>
          <w:tcPr>
            <w:tcW w:w="1316" w:type="dxa"/>
          </w:tcPr>
          <w:p w:rsidR="00D349F6" w:rsidRPr="00D76AE5" w:rsidRDefault="00D349F6" w:rsidP="0090503E">
            <w:pPr>
              <w:rPr>
                <w:sz w:val="20"/>
                <w:szCs w:val="20"/>
              </w:rPr>
            </w:pPr>
            <w:r w:rsidRPr="00D76AE5">
              <w:rPr>
                <w:sz w:val="20"/>
                <w:szCs w:val="20"/>
              </w:rPr>
              <w:t>10.7/9.2</w:t>
            </w:r>
          </w:p>
        </w:tc>
        <w:tc>
          <w:tcPr>
            <w:tcW w:w="1353" w:type="dxa"/>
          </w:tcPr>
          <w:p w:rsidR="00D349F6" w:rsidRPr="00D76AE5" w:rsidRDefault="00D349F6" w:rsidP="0090503E">
            <w:pPr>
              <w:rPr>
                <w:sz w:val="20"/>
                <w:szCs w:val="20"/>
              </w:rPr>
            </w:pPr>
            <w:r w:rsidRPr="00D76AE5">
              <w:rPr>
                <w:sz w:val="20"/>
                <w:szCs w:val="20"/>
              </w:rPr>
              <w:t>7.5/6.5</w:t>
            </w:r>
          </w:p>
        </w:tc>
      </w:tr>
      <w:tr w:rsidR="00D349F6" w:rsidRPr="00D76AE5" w:rsidTr="0090503E">
        <w:trPr>
          <w:trHeight w:val="46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30</w:t>
            </w:r>
          </w:p>
        </w:tc>
        <w:tc>
          <w:tcPr>
            <w:tcW w:w="1316" w:type="dxa"/>
          </w:tcPr>
          <w:p w:rsidR="00D349F6" w:rsidRPr="00D76AE5" w:rsidRDefault="00D349F6" w:rsidP="0090503E">
            <w:pPr>
              <w:rPr>
                <w:sz w:val="20"/>
                <w:szCs w:val="20"/>
              </w:rPr>
            </w:pPr>
            <w:r w:rsidRPr="00D76AE5">
              <w:rPr>
                <w:sz w:val="20"/>
                <w:szCs w:val="20"/>
              </w:rPr>
              <w:t>20.4/25.4</w:t>
            </w:r>
          </w:p>
        </w:tc>
        <w:tc>
          <w:tcPr>
            <w:tcW w:w="1353" w:type="dxa"/>
          </w:tcPr>
          <w:p w:rsidR="00D349F6" w:rsidRPr="00D76AE5" w:rsidRDefault="00D349F6" w:rsidP="0090503E">
            <w:pPr>
              <w:rPr>
                <w:sz w:val="20"/>
                <w:szCs w:val="20"/>
              </w:rPr>
            </w:pPr>
            <w:r w:rsidRPr="00D76AE5">
              <w:rPr>
                <w:sz w:val="20"/>
                <w:szCs w:val="20"/>
              </w:rPr>
              <w:t>14.4/18</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300</w:t>
            </w:r>
          </w:p>
        </w:tc>
        <w:tc>
          <w:tcPr>
            <w:tcW w:w="1316" w:type="dxa"/>
          </w:tcPr>
          <w:p w:rsidR="00D349F6" w:rsidRPr="00D76AE5" w:rsidRDefault="00D349F6" w:rsidP="0090503E">
            <w:pPr>
              <w:rPr>
                <w:sz w:val="20"/>
                <w:szCs w:val="20"/>
              </w:rPr>
            </w:pPr>
            <w:r w:rsidRPr="00D76AE5">
              <w:rPr>
                <w:sz w:val="20"/>
                <w:szCs w:val="20"/>
              </w:rPr>
              <w:t>22.4/35.3</w:t>
            </w:r>
          </w:p>
        </w:tc>
        <w:tc>
          <w:tcPr>
            <w:tcW w:w="1353" w:type="dxa"/>
          </w:tcPr>
          <w:p w:rsidR="00D349F6" w:rsidRPr="00D76AE5" w:rsidRDefault="00D349F6" w:rsidP="0090503E">
            <w:pPr>
              <w:rPr>
                <w:sz w:val="20"/>
                <w:szCs w:val="20"/>
              </w:rPr>
            </w:pPr>
            <w:r w:rsidRPr="00D76AE5">
              <w:rPr>
                <w:sz w:val="20"/>
                <w:szCs w:val="20"/>
              </w:rPr>
              <w:t>16/25</w:t>
            </w:r>
          </w:p>
        </w:tc>
      </w:tr>
      <w:tr w:rsidR="00D349F6" w:rsidRPr="00D76AE5" w:rsidTr="0090503E">
        <w:trPr>
          <w:trHeight w:val="280"/>
        </w:trPr>
        <w:tc>
          <w:tcPr>
            <w:tcW w:w="2061" w:type="dxa"/>
            <w:vMerge w:val="restart"/>
          </w:tcPr>
          <w:p w:rsidR="00D349F6" w:rsidRPr="00D76AE5" w:rsidRDefault="00D349F6" w:rsidP="0090503E">
            <w:pPr>
              <w:ind w:left="0"/>
              <w:rPr>
                <w:sz w:val="20"/>
                <w:szCs w:val="20"/>
              </w:rPr>
            </w:pPr>
            <w:r w:rsidRPr="00D76AE5">
              <w:rPr>
                <w:sz w:val="20"/>
                <w:szCs w:val="20"/>
              </w:rPr>
              <w:t>Dog [Beagle]</w:t>
            </w:r>
          </w:p>
          <w:p w:rsidR="00D349F6" w:rsidRPr="00D76AE5" w:rsidRDefault="00D349F6" w:rsidP="0090503E">
            <w:pPr>
              <w:ind w:left="0"/>
              <w:rPr>
                <w:sz w:val="20"/>
                <w:szCs w:val="20"/>
              </w:rPr>
            </w:pPr>
            <w:r w:rsidRPr="00D76AE5">
              <w:rPr>
                <w:sz w:val="20"/>
                <w:szCs w:val="20"/>
              </w:rPr>
              <w:t>Study No. R&amp;D/10/1371</w:t>
            </w:r>
          </w:p>
        </w:tc>
        <w:tc>
          <w:tcPr>
            <w:tcW w:w="1449" w:type="dxa"/>
            <w:vMerge w:val="restart"/>
          </w:tcPr>
          <w:p w:rsidR="00D349F6" w:rsidRPr="00D76AE5" w:rsidRDefault="00D349F6" w:rsidP="0090503E">
            <w:pPr>
              <w:ind w:left="0"/>
              <w:rPr>
                <w:sz w:val="20"/>
                <w:szCs w:val="20"/>
              </w:rPr>
            </w:pPr>
            <w:r w:rsidRPr="00D76AE5">
              <w:rPr>
                <w:sz w:val="20"/>
                <w:szCs w:val="20"/>
              </w:rPr>
              <w:t>6 month</w:t>
            </w:r>
          </w:p>
          <w:p w:rsidR="00D349F6" w:rsidRPr="00D76AE5" w:rsidRDefault="00D349F6" w:rsidP="0090503E">
            <w:pPr>
              <w:ind w:left="0"/>
              <w:rPr>
                <w:sz w:val="20"/>
                <w:szCs w:val="20"/>
              </w:rPr>
            </w:pPr>
            <w:r w:rsidRPr="00D76AE5">
              <w:rPr>
                <w:sz w:val="20"/>
                <w:szCs w:val="20"/>
              </w:rPr>
              <w:t>[Pivotal toxicity]</w:t>
            </w:r>
          </w:p>
          <w:p w:rsidR="00D349F6" w:rsidRPr="00D76AE5" w:rsidRDefault="00D349F6" w:rsidP="0090503E">
            <w:pPr>
              <w:ind w:left="0"/>
              <w:rPr>
                <w:sz w:val="20"/>
                <w:szCs w:val="20"/>
              </w:rPr>
            </w:pPr>
            <w:r w:rsidRPr="00D76AE5">
              <w:rPr>
                <w:sz w:val="20"/>
                <w:szCs w:val="20"/>
              </w:rPr>
              <w:t>Sampling day: 189</w:t>
            </w:r>
          </w:p>
        </w:tc>
        <w:tc>
          <w:tcPr>
            <w:tcW w:w="1029" w:type="dxa"/>
            <w:vMerge w:val="restart"/>
          </w:tcPr>
          <w:p w:rsidR="00D349F6" w:rsidRPr="00D76AE5" w:rsidRDefault="005B05BF" w:rsidP="0090503E">
            <w:pPr>
              <w:ind w:left="0"/>
              <w:rPr>
                <w:sz w:val="20"/>
                <w:szCs w:val="20"/>
              </w:rPr>
            </w:pPr>
            <w:r w:rsidRPr="00D76AE5">
              <w:rPr>
                <w:rFonts w:ascii="Times New Roman" w:hAnsi="Times New Roman"/>
                <w:sz w:val="20"/>
                <w:szCs w:val="20"/>
              </w:rPr>
              <w:t>male</w:t>
            </w:r>
            <w:r w:rsidR="00D349F6" w:rsidRPr="00D76AE5">
              <w:rPr>
                <w:sz w:val="20"/>
                <w:szCs w:val="20"/>
              </w:rPr>
              <w:t>/</w:t>
            </w:r>
            <w:r w:rsidRPr="00D76AE5">
              <w:rPr>
                <w:sz w:val="20"/>
                <w:szCs w:val="20"/>
              </w:rPr>
              <w:br/>
            </w:r>
            <w:r w:rsidRPr="00D76AE5">
              <w:rPr>
                <w:rFonts w:ascii="Times New Roman" w:hAnsi="Times New Roman"/>
                <w:sz w:val="20"/>
                <w:szCs w:val="20"/>
              </w:rPr>
              <w:t>female</w:t>
            </w:r>
          </w:p>
        </w:tc>
        <w:tc>
          <w:tcPr>
            <w:tcW w:w="1334" w:type="dxa"/>
          </w:tcPr>
          <w:p w:rsidR="00D349F6" w:rsidRPr="00D76AE5" w:rsidRDefault="00D349F6" w:rsidP="0090503E">
            <w:pPr>
              <w:rPr>
                <w:sz w:val="20"/>
                <w:szCs w:val="20"/>
              </w:rPr>
            </w:pPr>
            <w:r w:rsidRPr="00D76AE5">
              <w:rPr>
                <w:sz w:val="20"/>
                <w:szCs w:val="20"/>
              </w:rPr>
              <w:t>4</w:t>
            </w:r>
          </w:p>
        </w:tc>
        <w:tc>
          <w:tcPr>
            <w:tcW w:w="1316" w:type="dxa"/>
          </w:tcPr>
          <w:p w:rsidR="00D349F6" w:rsidRPr="00D76AE5" w:rsidRDefault="00D349F6" w:rsidP="0090503E">
            <w:pPr>
              <w:rPr>
                <w:sz w:val="20"/>
                <w:szCs w:val="20"/>
              </w:rPr>
            </w:pPr>
            <w:r w:rsidRPr="00D76AE5">
              <w:rPr>
                <w:sz w:val="20"/>
                <w:szCs w:val="20"/>
              </w:rPr>
              <w:t>8.5/6</w:t>
            </w:r>
          </w:p>
        </w:tc>
        <w:tc>
          <w:tcPr>
            <w:tcW w:w="1353" w:type="dxa"/>
          </w:tcPr>
          <w:p w:rsidR="00D349F6" w:rsidRPr="00D76AE5" w:rsidRDefault="00D349F6" w:rsidP="0090503E">
            <w:pPr>
              <w:rPr>
                <w:sz w:val="20"/>
                <w:szCs w:val="20"/>
              </w:rPr>
            </w:pPr>
            <w:r w:rsidRPr="00D76AE5">
              <w:rPr>
                <w:sz w:val="20"/>
                <w:szCs w:val="20"/>
              </w:rPr>
              <w:t>6/4.2</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20</w:t>
            </w:r>
          </w:p>
        </w:tc>
        <w:tc>
          <w:tcPr>
            <w:tcW w:w="1316" w:type="dxa"/>
          </w:tcPr>
          <w:p w:rsidR="00D349F6" w:rsidRPr="00D76AE5" w:rsidRDefault="00D349F6" w:rsidP="0090503E">
            <w:pPr>
              <w:rPr>
                <w:sz w:val="20"/>
                <w:szCs w:val="20"/>
              </w:rPr>
            </w:pPr>
            <w:r w:rsidRPr="00D76AE5">
              <w:rPr>
                <w:sz w:val="20"/>
                <w:szCs w:val="20"/>
              </w:rPr>
              <w:t>54/41.5</w:t>
            </w:r>
          </w:p>
        </w:tc>
        <w:tc>
          <w:tcPr>
            <w:tcW w:w="1353" w:type="dxa"/>
          </w:tcPr>
          <w:p w:rsidR="00D349F6" w:rsidRPr="00D76AE5" w:rsidRDefault="00D349F6" w:rsidP="0090503E">
            <w:pPr>
              <w:rPr>
                <w:sz w:val="20"/>
                <w:szCs w:val="20"/>
              </w:rPr>
            </w:pPr>
            <w:r w:rsidRPr="00D76AE5">
              <w:rPr>
                <w:sz w:val="20"/>
                <w:szCs w:val="20"/>
              </w:rPr>
              <w:t>38/29</w:t>
            </w:r>
          </w:p>
        </w:tc>
      </w:tr>
      <w:tr w:rsidR="00D349F6" w:rsidRPr="00D76AE5" w:rsidTr="0090503E">
        <w:trPr>
          <w:trHeight w:val="280"/>
        </w:trPr>
        <w:tc>
          <w:tcPr>
            <w:tcW w:w="2061" w:type="dxa"/>
            <w:vMerge/>
          </w:tcPr>
          <w:p w:rsidR="00D349F6" w:rsidRPr="00D76AE5" w:rsidRDefault="00D349F6" w:rsidP="0090503E">
            <w:pPr>
              <w:ind w:left="0"/>
              <w:rPr>
                <w:sz w:val="20"/>
                <w:szCs w:val="20"/>
              </w:rPr>
            </w:pPr>
          </w:p>
        </w:tc>
        <w:tc>
          <w:tcPr>
            <w:tcW w:w="1449" w:type="dxa"/>
            <w:vMerge/>
          </w:tcPr>
          <w:p w:rsidR="00D349F6" w:rsidRPr="00D76AE5" w:rsidRDefault="00D349F6" w:rsidP="0090503E">
            <w:pPr>
              <w:ind w:left="0"/>
              <w:rPr>
                <w:sz w:val="20"/>
                <w:szCs w:val="20"/>
              </w:rPr>
            </w:pPr>
          </w:p>
        </w:tc>
        <w:tc>
          <w:tcPr>
            <w:tcW w:w="1029" w:type="dxa"/>
            <w:vMerge/>
          </w:tcPr>
          <w:p w:rsidR="00D349F6" w:rsidRPr="00D76AE5" w:rsidRDefault="00D349F6" w:rsidP="0090503E">
            <w:pPr>
              <w:ind w:left="0"/>
              <w:rPr>
                <w:sz w:val="20"/>
                <w:szCs w:val="20"/>
              </w:rPr>
            </w:pPr>
          </w:p>
        </w:tc>
        <w:tc>
          <w:tcPr>
            <w:tcW w:w="1334" w:type="dxa"/>
          </w:tcPr>
          <w:p w:rsidR="00D349F6" w:rsidRPr="00D76AE5" w:rsidRDefault="00D349F6" w:rsidP="0090503E">
            <w:pPr>
              <w:rPr>
                <w:sz w:val="20"/>
                <w:szCs w:val="20"/>
              </w:rPr>
            </w:pPr>
            <w:r w:rsidRPr="00D76AE5">
              <w:rPr>
                <w:sz w:val="20"/>
                <w:szCs w:val="20"/>
              </w:rPr>
              <w:t>100</w:t>
            </w:r>
          </w:p>
        </w:tc>
        <w:tc>
          <w:tcPr>
            <w:tcW w:w="1316" w:type="dxa"/>
          </w:tcPr>
          <w:p w:rsidR="00D349F6" w:rsidRPr="00D76AE5" w:rsidRDefault="00D349F6" w:rsidP="0090503E">
            <w:pPr>
              <w:rPr>
                <w:sz w:val="20"/>
                <w:szCs w:val="20"/>
              </w:rPr>
            </w:pPr>
            <w:r w:rsidRPr="00D76AE5">
              <w:rPr>
                <w:sz w:val="20"/>
                <w:szCs w:val="20"/>
              </w:rPr>
              <w:t>90/</w:t>
            </w:r>
            <w:r w:rsidR="00AB00D9" w:rsidRPr="00D76AE5">
              <w:rPr>
                <w:sz w:val="20"/>
                <w:szCs w:val="20"/>
              </w:rPr>
              <w:t>77</w:t>
            </w:r>
          </w:p>
        </w:tc>
        <w:tc>
          <w:tcPr>
            <w:tcW w:w="1353" w:type="dxa"/>
          </w:tcPr>
          <w:p w:rsidR="00D349F6" w:rsidRPr="00D76AE5" w:rsidRDefault="00D349F6" w:rsidP="0090503E">
            <w:pPr>
              <w:rPr>
                <w:sz w:val="20"/>
                <w:szCs w:val="20"/>
              </w:rPr>
            </w:pPr>
            <w:r w:rsidRPr="00D76AE5">
              <w:rPr>
                <w:sz w:val="20"/>
                <w:szCs w:val="20"/>
              </w:rPr>
              <w:t>63.4/58.</w:t>
            </w:r>
            <w:r w:rsidR="00AB00D9" w:rsidRPr="00D76AE5">
              <w:rPr>
                <w:sz w:val="20"/>
                <w:szCs w:val="20"/>
              </w:rPr>
              <w:t>2</w:t>
            </w:r>
          </w:p>
        </w:tc>
      </w:tr>
      <w:tr w:rsidR="00D349F6" w:rsidRPr="00D76AE5" w:rsidTr="0090503E">
        <w:trPr>
          <w:trHeight w:val="280"/>
        </w:trPr>
        <w:tc>
          <w:tcPr>
            <w:tcW w:w="2061" w:type="dxa"/>
          </w:tcPr>
          <w:p w:rsidR="00D349F6" w:rsidRPr="00D76AE5" w:rsidRDefault="00D349F6" w:rsidP="0090503E">
            <w:pPr>
              <w:ind w:left="0"/>
              <w:rPr>
                <w:sz w:val="20"/>
                <w:szCs w:val="20"/>
              </w:rPr>
            </w:pPr>
            <w:r w:rsidRPr="00D76AE5">
              <w:rPr>
                <w:sz w:val="20"/>
                <w:szCs w:val="20"/>
              </w:rPr>
              <w:t>Study R&amp;D/14/0500</w:t>
            </w:r>
          </w:p>
          <w:p w:rsidR="00D349F6" w:rsidRPr="00D76AE5" w:rsidRDefault="00D349F6" w:rsidP="0090503E">
            <w:pPr>
              <w:ind w:left="0"/>
              <w:rPr>
                <w:sz w:val="20"/>
                <w:szCs w:val="20"/>
              </w:rPr>
            </w:pPr>
            <w:r w:rsidRPr="00D76AE5">
              <w:rPr>
                <w:sz w:val="20"/>
                <w:szCs w:val="20"/>
              </w:rPr>
              <w:t>Human (healthy volunteers)</w:t>
            </w:r>
          </w:p>
        </w:tc>
        <w:tc>
          <w:tcPr>
            <w:tcW w:w="1449" w:type="dxa"/>
          </w:tcPr>
          <w:p w:rsidR="00D349F6" w:rsidRPr="00D76AE5" w:rsidRDefault="00D349F6" w:rsidP="0090503E">
            <w:pPr>
              <w:ind w:left="0"/>
              <w:rPr>
                <w:sz w:val="20"/>
                <w:szCs w:val="20"/>
              </w:rPr>
            </w:pPr>
            <w:r w:rsidRPr="00D76AE5">
              <w:rPr>
                <w:sz w:val="20"/>
                <w:szCs w:val="20"/>
              </w:rPr>
              <w:t>Steady state</w:t>
            </w:r>
          </w:p>
        </w:tc>
        <w:tc>
          <w:tcPr>
            <w:tcW w:w="1029" w:type="dxa"/>
          </w:tcPr>
          <w:p w:rsidR="00D349F6" w:rsidRPr="00D76AE5" w:rsidRDefault="00D349F6" w:rsidP="0090503E">
            <w:pPr>
              <w:ind w:left="0"/>
              <w:rPr>
                <w:sz w:val="20"/>
                <w:szCs w:val="20"/>
              </w:rPr>
            </w:pPr>
            <w:r w:rsidRPr="00D76AE5">
              <w:rPr>
                <w:sz w:val="20"/>
                <w:szCs w:val="20"/>
              </w:rPr>
              <w:t>–</w:t>
            </w:r>
          </w:p>
        </w:tc>
        <w:tc>
          <w:tcPr>
            <w:tcW w:w="1334" w:type="dxa"/>
          </w:tcPr>
          <w:p w:rsidR="00D349F6" w:rsidRPr="00D76AE5" w:rsidRDefault="00D349F6" w:rsidP="0090503E">
            <w:pPr>
              <w:rPr>
                <w:sz w:val="20"/>
                <w:szCs w:val="20"/>
              </w:rPr>
            </w:pPr>
            <w:r w:rsidRPr="00D76AE5">
              <w:rPr>
                <w:sz w:val="20"/>
                <w:szCs w:val="20"/>
              </w:rPr>
              <w:t>25 mg/day</w:t>
            </w:r>
          </w:p>
        </w:tc>
        <w:tc>
          <w:tcPr>
            <w:tcW w:w="1316" w:type="dxa"/>
          </w:tcPr>
          <w:p w:rsidR="00D349F6" w:rsidRPr="00D76AE5" w:rsidRDefault="00D349F6" w:rsidP="0090503E">
            <w:pPr>
              <w:rPr>
                <w:sz w:val="20"/>
                <w:szCs w:val="20"/>
              </w:rPr>
            </w:pPr>
            <w:r w:rsidRPr="00D76AE5">
              <w:rPr>
                <w:sz w:val="20"/>
                <w:szCs w:val="20"/>
              </w:rPr>
              <w:t>1.42</w:t>
            </w:r>
          </w:p>
        </w:tc>
        <w:tc>
          <w:tcPr>
            <w:tcW w:w="1353" w:type="dxa"/>
          </w:tcPr>
          <w:p w:rsidR="00D349F6" w:rsidRPr="00D76AE5" w:rsidRDefault="00D349F6" w:rsidP="0090503E">
            <w:pPr>
              <w:rPr>
                <w:sz w:val="20"/>
                <w:szCs w:val="20"/>
              </w:rPr>
            </w:pPr>
            <w:r w:rsidRPr="00D76AE5">
              <w:rPr>
                <w:sz w:val="20"/>
                <w:szCs w:val="20"/>
              </w:rPr>
              <w:t>–</w:t>
            </w:r>
          </w:p>
        </w:tc>
      </w:tr>
    </w:tbl>
    <w:p w:rsidR="00D349F6" w:rsidRPr="00D349F6" w:rsidRDefault="00D349F6" w:rsidP="00D76AE5">
      <w:pPr>
        <w:pStyle w:val="TableDescription"/>
      </w:pPr>
      <w:r w:rsidRPr="00D349F6">
        <w:t>#</w:t>
      </w:r>
      <w:r w:rsidR="00BF1FC5">
        <w:t xml:space="preserve"> = </w:t>
      </w:r>
      <w:r w:rsidRPr="00D349F6">
        <w:t>animal</w:t>
      </w:r>
      <w:proofErr w:type="gramStart"/>
      <w:r w:rsidRPr="00D349F6">
        <w:t>:human</w:t>
      </w:r>
      <w:proofErr w:type="gramEnd"/>
      <w:r w:rsidRPr="00D349F6">
        <w:t xml:space="preserve"> plasma </w:t>
      </w:r>
      <w:r w:rsidR="00926A16" w:rsidRPr="00CC0301">
        <w:t>AUC</w:t>
      </w:r>
      <w:r w:rsidR="00926A16" w:rsidRPr="00926A16">
        <w:rPr>
          <w:vertAlign w:val="subscript"/>
        </w:rPr>
        <w:t>0–24 h</w:t>
      </w:r>
      <w:r w:rsidRPr="00D349F6">
        <w:t xml:space="preserve"> ; Bolded</w:t>
      </w:r>
      <w:r w:rsidR="00BF1FC5">
        <w:t xml:space="preserve"> = </w:t>
      </w:r>
      <w:r w:rsidRPr="00D349F6">
        <w:t>NOAEL</w:t>
      </w:r>
    </w:p>
    <w:p w:rsidR="00D349F6" w:rsidRPr="00581FFD" w:rsidRDefault="00D349F6" w:rsidP="00D76AE5">
      <w:r w:rsidRPr="00581FFD">
        <w:lastRenderedPageBreak/>
        <w:t>Also exposures attained in mouse toxicity stud</w:t>
      </w:r>
      <w:r w:rsidR="00CC38A0">
        <w:t>ies on human metabolites M29 (A</w:t>
      </w:r>
      <w:r w:rsidR="00CC38A0">
        <w:noBreakHyphen/>
      </w:r>
      <w:r w:rsidRPr="00581FFD">
        <w:t>1538855) and M36 (A-1548255) were adequate multiples of levels reported in human subjects (</w:t>
      </w:r>
      <w:r w:rsidR="000C3156">
        <w:t xml:space="preserve">&gt; </w:t>
      </w:r>
      <w:r w:rsidRPr="00581FFD">
        <w:t xml:space="preserve">20 </w:t>
      </w:r>
      <w:proofErr w:type="gramStart"/>
      <w:r w:rsidRPr="00581FFD">
        <w:t>times</w:t>
      </w:r>
      <w:proofErr w:type="gramEnd"/>
      <w:r w:rsidRPr="00581FFD">
        <w:t xml:space="preserve"> clinical AUC levels). Relative exposure is summarised </w:t>
      </w:r>
      <w:r w:rsidR="00CC38A0">
        <w:t>in Table 6.</w:t>
      </w:r>
    </w:p>
    <w:p w:rsidR="00D349F6" w:rsidRPr="00D349F6" w:rsidRDefault="008D1B95" w:rsidP="00FF289D">
      <w:pPr>
        <w:pStyle w:val="Tabletitle0"/>
      </w:pPr>
      <w:r>
        <w:t>Table 6:</w:t>
      </w:r>
      <w:r w:rsidR="00D349F6">
        <w:t xml:space="preserve"> </w:t>
      </w:r>
      <w:r w:rsidR="00D349F6" w:rsidRPr="00D349F6">
        <w:t>Relative exposure to ombitasvir metabolites M29 and M36 in mouse toxicity studies</w:t>
      </w:r>
      <w:r w:rsidR="005B05BF">
        <w:t xml:space="preserve"> - ombitasvir</w:t>
      </w:r>
    </w:p>
    <w:tbl>
      <w:tblPr>
        <w:tblStyle w:val="TableTGAblue"/>
        <w:tblW w:w="8632" w:type="dxa"/>
        <w:tblLayout w:type="fixed"/>
        <w:tblLook w:val="01E0" w:firstRow="1" w:lastRow="1" w:firstColumn="1" w:lastColumn="1" w:noHBand="0" w:noVBand="0"/>
      </w:tblPr>
      <w:tblGrid>
        <w:gridCol w:w="3410"/>
        <w:gridCol w:w="2387"/>
        <w:gridCol w:w="1398"/>
        <w:gridCol w:w="1437"/>
      </w:tblGrid>
      <w:tr w:rsidR="00D349F6" w:rsidRPr="00D76AE5" w:rsidTr="00D349F6">
        <w:trPr>
          <w:cnfStyle w:val="100000000000" w:firstRow="1" w:lastRow="0" w:firstColumn="0" w:lastColumn="0" w:oddVBand="0" w:evenVBand="0" w:oddHBand="0" w:evenHBand="0" w:firstRowFirstColumn="0" w:firstRowLastColumn="0" w:lastRowFirstColumn="0" w:lastRowLastColumn="0"/>
        </w:trPr>
        <w:tc>
          <w:tcPr>
            <w:tcW w:w="3410" w:type="dxa"/>
          </w:tcPr>
          <w:p w:rsidR="00D349F6" w:rsidRPr="00D76AE5" w:rsidRDefault="00D349F6" w:rsidP="00D76AE5">
            <w:pPr>
              <w:rPr>
                <w:sz w:val="20"/>
                <w:szCs w:val="20"/>
              </w:rPr>
            </w:pPr>
            <w:r w:rsidRPr="00D76AE5">
              <w:rPr>
                <w:sz w:val="20"/>
                <w:szCs w:val="20"/>
              </w:rPr>
              <w:t>Study details</w:t>
            </w:r>
          </w:p>
        </w:tc>
        <w:tc>
          <w:tcPr>
            <w:tcW w:w="2387" w:type="dxa"/>
          </w:tcPr>
          <w:p w:rsidR="00D349F6" w:rsidRPr="00D76AE5" w:rsidRDefault="00D349F6" w:rsidP="00D76AE5">
            <w:pPr>
              <w:rPr>
                <w:sz w:val="20"/>
                <w:szCs w:val="20"/>
              </w:rPr>
            </w:pPr>
            <w:r w:rsidRPr="00D76AE5">
              <w:rPr>
                <w:sz w:val="20"/>
                <w:szCs w:val="20"/>
              </w:rPr>
              <w:t>Dose</w:t>
            </w:r>
            <w:r w:rsidR="00D76AE5">
              <w:rPr>
                <w:sz w:val="20"/>
                <w:szCs w:val="20"/>
              </w:rPr>
              <w:t xml:space="preserve"> </w:t>
            </w:r>
            <w:r w:rsidRPr="00D76AE5">
              <w:rPr>
                <w:sz w:val="20"/>
                <w:szCs w:val="20"/>
              </w:rPr>
              <w:t>(mg/kg/day)</w:t>
            </w:r>
          </w:p>
        </w:tc>
        <w:tc>
          <w:tcPr>
            <w:tcW w:w="1398" w:type="dxa"/>
          </w:tcPr>
          <w:p w:rsidR="00D349F6" w:rsidRPr="00D76AE5" w:rsidRDefault="00926A16" w:rsidP="00D76AE5">
            <w:pPr>
              <w:rPr>
                <w:sz w:val="20"/>
                <w:szCs w:val="20"/>
              </w:rPr>
            </w:pPr>
            <w:r w:rsidRPr="00D76AE5">
              <w:rPr>
                <w:sz w:val="20"/>
                <w:szCs w:val="20"/>
              </w:rPr>
              <w:t>AUC</w:t>
            </w:r>
            <w:r w:rsidRPr="00D76AE5">
              <w:rPr>
                <w:sz w:val="20"/>
                <w:szCs w:val="20"/>
                <w:vertAlign w:val="subscript"/>
              </w:rPr>
              <w:t>0–24 h</w:t>
            </w:r>
            <w:r w:rsidR="00D76AE5">
              <w:rPr>
                <w:sz w:val="20"/>
                <w:szCs w:val="20"/>
                <w:vertAlign w:val="subscript"/>
              </w:rPr>
              <w:t xml:space="preserve"> </w:t>
            </w:r>
            <w:r w:rsidR="00D349F6" w:rsidRPr="00D76AE5">
              <w:rPr>
                <w:sz w:val="20"/>
                <w:szCs w:val="20"/>
              </w:rPr>
              <w:t>(</w:t>
            </w:r>
            <w:r w:rsidR="00913482" w:rsidRPr="00D76AE5">
              <w:rPr>
                <w:sz w:val="20"/>
                <w:szCs w:val="20"/>
              </w:rPr>
              <w:t>µg</w:t>
            </w:r>
            <w:r w:rsidR="00D349F6" w:rsidRPr="00D76AE5">
              <w:rPr>
                <w:sz w:val="20"/>
                <w:szCs w:val="20"/>
              </w:rPr>
              <w:t>.h/mL)</w:t>
            </w:r>
          </w:p>
        </w:tc>
        <w:tc>
          <w:tcPr>
            <w:tcW w:w="1437" w:type="dxa"/>
          </w:tcPr>
          <w:p w:rsidR="00D349F6" w:rsidRPr="00D76AE5" w:rsidRDefault="00D349F6" w:rsidP="00D76AE5">
            <w:pPr>
              <w:rPr>
                <w:sz w:val="20"/>
                <w:szCs w:val="20"/>
              </w:rPr>
            </w:pPr>
            <w:r w:rsidRPr="00D76AE5">
              <w:rPr>
                <w:sz w:val="20"/>
                <w:szCs w:val="20"/>
              </w:rPr>
              <w:t>Exposure ratio#</w:t>
            </w:r>
          </w:p>
        </w:tc>
      </w:tr>
      <w:tr w:rsidR="00D349F6" w:rsidRPr="00D76AE5" w:rsidTr="00D349F6">
        <w:trPr>
          <w:trHeight w:val="227"/>
        </w:trPr>
        <w:tc>
          <w:tcPr>
            <w:tcW w:w="3410" w:type="dxa"/>
            <w:vMerge w:val="restart"/>
          </w:tcPr>
          <w:p w:rsidR="00D349F6" w:rsidRPr="00D76AE5" w:rsidRDefault="00D349F6" w:rsidP="00D76AE5">
            <w:pPr>
              <w:rPr>
                <w:sz w:val="20"/>
                <w:szCs w:val="20"/>
              </w:rPr>
            </w:pPr>
            <w:r w:rsidRPr="00D76AE5">
              <w:rPr>
                <w:sz w:val="20"/>
                <w:szCs w:val="20"/>
              </w:rPr>
              <w:t>Study No. R&amp;D/13/760</w:t>
            </w:r>
          </w:p>
          <w:p w:rsidR="00D349F6" w:rsidRPr="00D76AE5" w:rsidRDefault="00D349F6" w:rsidP="00D76AE5">
            <w:pPr>
              <w:rPr>
                <w:sz w:val="20"/>
                <w:szCs w:val="20"/>
              </w:rPr>
            </w:pPr>
          </w:p>
          <w:p w:rsidR="00D349F6" w:rsidRPr="00D76AE5" w:rsidRDefault="00D349F6" w:rsidP="00D76AE5">
            <w:pPr>
              <w:rPr>
                <w:sz w:val="20"/>
                <w:szCs w:val="20"/>
              </w:rPr>
            </w:pPr>
            <w:r w:rsidRPr="00D76AE5">
              <w:rPr>
                <w:sz w:val="20"/>
                <w:szCs w:val="20"/>
              </w:rPr>
              <w:t>4 week repeat dose toxicity</w:t>
            </w:r>
          </w:p>
          <w:p w:rsidR="00D349F6" w:rsidRPr="00D76AE5" w:rsidRDefault="00D349F6" w:rsidP="00D76AE5">
            <w:pPr>
              <w:rPr>
                <w:sz w:val="20"/>
                <w:szCs w:val="20"/>
              </w:rPr>
            </w:pPr>
            <w:r w:rsidRPr="00D76AE5">
              <w:rPr>
                <w:sz w:val="20"/>
                <w:szCs w:val="20"/>
              </w:rPr>
              <w:t xml:space="preserve">[M29; Clinical AUC: 0.669 </w:t>
            </w:r>
            <w:r w:rsidR="00913482" w:rsidRPr="00D76AE5">
              <w:rPr>
                <w:sz w:val="20"/>
                <w:szCs w:val="20"/>
              </w:rPr>
              <w:t>µg</w:t>
            </w:r>
            <w:r w:rsidRPr="00D76AE5">
              <w:rPr>
                <w:sz w:val="20"/>
                <w:szCs w:val="20"/>
              </w:rPr>
              <w:t>.h/mL]</w:t>
            </w:r>
          </w:p>
        </w:tc>
        <w:tc>
          <w:tcPr>
            <w:tcW w:w="2387" w:type="dxa"/>
          </w:tcPr>
          <w:p w:rsidR="00D349F6" w:rsidRPr="00D76AE5" w:rsidRDefault="00D349F6" w:rsidP="00D76AE5">
            <w:pPr>
              <w:rPr>
                <w:sz w:val="20"/>
                <w:szCs w:val="20"/>
              </w:rPr>
            </w:pPr>
            <w:r w:rsidRPr="00D76AE5">
              <w:rPr>
                <w:sz w:val="20"/>
                <w:szCs w:val="20"/>
              </w:rPr>
              <w:t>1</w:t>
            </w:r>
          </w:p>
        </w:tc>
        <w:tc>
          <w:tcPr>
            <w:tcW w:w="1398" w:type="dxa"/>
          </w:tcPr>
          <w:p w:rsidR="00D349F6" w:rsidRPr="00D76AE5" w:rsidRDefault="00D349F6" w:rsidP="00D76AE5">
            <w:pPr>
              <w:rPr>
                <w:sz w:val="20"/>
                <w:szCs w:val="20"/>
              </w:rPr>
            </w:pPr>
            <w:r w:rsidRPr="00D76AE5">
              <w:rPr>
                <w:sz w:val="20"/>
                <w:szCs w:val="20"/>
              </w:rPr>
              <w:t>3.49</w:t>
            </w:r>
          </w:p>
        </w:tc>
        <w:tc>
          <w:tcPr>
            <w:tcW w:w="1437" w:type="dxa"/>
          </w:tcPr>
          <w:p w:rsidR="00D349F6" w:rsidRPr="00D76AE5" w:rsidRDefault="00D349F6" w:rsidP="00D76AE5">
            <w:pPr>
              <w:rPr>
                <w:sz w:val="20"/>
                <w:szCs w:val="20"/>
              </w:rPr>
            </w:pPr>
            <w:r w:rsidRPr="00D76AE5">
              <w:rPr>
                <w:sz w:val="20"/>
                <w:szCs w:val="20"/>
              </w:rPr>
              <w:t>5.2</w:t>
            </w:r>
          </w:p>
        </w:tc>
      </w:tr>
      <w:tr w:rsidR="00D349F6" w:rsidRPr="00D76AE5" w:rsidTr="00D349F6">
        <w:trPr>
          <w:trHeight w:val="227"/>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2</w:t>
            </w:r>
          </w:p>
        </w:tc>
        <w:tc>
          <w:tcPr>
            <w:tcW w:w="1398" w:type="dxa"/>
          </w:tcPr>
          <w:p w:rsidR="00D349F6" w:rsidRPr="00D76AE5" w:rsidRDefault="00D349F6" w:rsidP="00D76AE5">
            <w:pPr>
              <w:rPr>
                <w:sz w:val="20"/>
                <w:szCs w:val="20"/>
              </w:rPr>
            </w:pPr>
            <w:r w:rsidRPr="00D76AE5">
              <w:rPr>
                <w:sz w:val="20"/>
                <w:szCs w:val="20"/>
              </w:rPr>
              <w:t>7.03</w:t>
            </w:r>
          </w:p>
        </w:tc>
        <w:tc>
          <w:tcPr>
            <w:tcW w:w="1437" w:type="dxa"/>
          </w:tcPr>
          <w:p w:rsidR="00D349F6" w:rsidRPr="00D76AE5" w:rsidRDefault="00D349F6" w:rsidP="00D76AE5">
            <w:pPr>
              <w:rPr>
                <w:sz w:val="20"/>
                <w:szCs w:val="20"/>
              </w:rPr>
            </w:pPr>
            <w:r w:rsidRPr="00D76AE5">
              <w:rPr>
                <w:sz w:val="20"/>
                <w:szCs w:val="20"/>
              </w:rPr>
              <w:t>10.5</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3.5/3.0</w:t>
            </w:r>
          </w:p>
        </w:tc>
        <w:tc>
          <w:tcPr>
            <w:tcW w:w="1398" w:type="dxa"/>
          </w:tcPr>
          <w:p w:rsidR="00D349F6" w:rsidRPr="00D76AE5" w:rsidRDefault="00D349F6" w:rsidP="00D76AE5">
            <w:pPr>
              <w:rPr>
                <w:sz w:val="20"/>
                <w:szCs w:val="20"/>
              </w:rPr>
            </w:pPr>
            <w:r w:rsidRPr="00D76AE5">
              <w:rPr>
                <w:sz w:val="20"/>
                <w:szCs w:val="20"/>
              </w:rPr>
              <w:t>15.8/18.1</w:t>
            </w:r>
          </w:p>
        </w:tc>
        <w:tc>
          <w:tcPr>
            <w:tcW w:w="1437" w:type="dxa"/>
          </w:tcPr>
          <w:p w:rsidR="00D349F6" w:rsidRPr="00D76AE5" w:rsidRDefault="00D349F6" w:rsidP="00D76AE5">
            <w:pPr>
              <w:rPr>
                <w:sz w:val="20"/>
                <w:szCs w:val="20"/>
              </w:rPr>
            </w:pPr>
            <w:r w:rsidRPr="00D76AE5">
              <w:rPr>
                <w:sz w:val="20"/>
                <w:szCs w:val="20"/>
              </w:rPr>
              <w:t>24/27</w:t>
            </w:r>
          </w:p>
        </w:tc>
      </w:tr>
      <w:tr w:rsidR="00D349F6" w:rsidRPr="00D76AE5" w:rsidTr="00D349F6">
        <w:trPr>
          <w:trHeight w:val="331"/>
        </w:trPr>
        <w:tc>
          <w:tcPr>
            <w:tcW w:w="3410" w:type="dxa"/>
            <w:vMerge w:val="restart"/>
          </w:tcPr>
          <w:p w:rsidR="00D349F6" w:rsidRPr="00D76AE5" w:rsidRDefault="00D349F6" w:rsidP="00D76AE5">
            <w:pPr>
              <w:rPr>
                <w:sz w:val="20"/>
                <w:szCs w:val="20"/>
              </w:rPr>
            </w:pPr>
            <w:r w:rsidRPr="00D76AE5">
              <w:rPr>
                <w:sz w:val="20"/>
                <w:szCs w:val="20"/>
              </w:rPr>
              <w:t>Study No. R&amp;D/13/701</w:t>
            </w:r>
          </w:p>
          <w:p w:rsidR="00D349F6" w:rsidRPr="00D76AE5" w:rsidRDefault="00D349F6" w:rsidP="00D76AE5">
            <w:pPr>
              <w:rPr>
                <w:sz w:val="20"/>
                <w:szCs w:val="20"/>
              </w:rPr>
            </w:pPr>
          </w:p>
          <w:p w:rsidR="00D349F6" w:rsidRPr="00D76AE5" w:rsidRDefault="00D349F6" w:rsidP="00D76AE5">
            <w:pPr>
              <w:rPr>
                <w:sz w:val="20"/>
                <w:szCs w:val="20"/>
              </w:rPr>
            </w:pPr>
            <w:r w:rsidRPr="00D76AE5">
              <w:rPr>
                <w:sz w:val="20"/>
                <w:szCs w:val="20"/>
              </w:rPr>
              <w:t>4 week repeat dose toxicity</w:t>
            </w:r>
          </w:p>
          <w:p w:rsidR="00D349F6" w:rsidRPr="00D76AE5" w:rsidRDefault="00D349F6" w:rsidP="00D76AE5">
            <w:pPr>
              <w:rPr>
                <w:sz w:val="20"/>
                <w:szCs w:val="20"/>
              </w:rPr>
            </w:pPr>
            <w:r w:rsidRPr="00D76AE5">
              <w:rPr>
                <w:sz w:val="20"/>
                <w:szCs w:val="20"/>
              </w:rPr>
              <w:t xml:space="preserve">[M36; Clinical AUC: 0.442 </w:t>
            </w:r>
            <w:r w:rsidR="00913482" w:rsidRPr="00D76AE5">
              <w:rPr>
                <w:sz w:val="20"/>
                <w:szCs w:val="20"/>
              </w:rPr>
              <w:t>µg</w:t>
            </w:r>
            <w:r w:rsidRPr="00D76AE5">
              <w:rPr>
                <w:sz w:val="20"/>
                <w:szCs w:val="20"/>
              </w:rPr>
              <w:t>.h/mL]</w:t>
            </w:r>
          </w:p>
        </w:tc>
        <w:tc>
          <w:tcPr>
            <w:tcW w:w="2387" w:type="dxa"/>
          </w:tcPr>
          <w:p w:rsidR="00D349F6" w:rsidRPr="00D76AE5" w:rsidRDefault="00D349F6" w:rsidP="00D76AE5">
            <w:pPr>
              <w:rPr>
                <w:sz w:val="20"/>
                <w:szCs w:val="20"/>
              </w:rPr>
            </w:pPr>
            <w:r w:rsidRPr="00D76AE5">
              <w:rPr>
                <w:sz w:val="20"/>
                <w:szCs w:val="20"/>
              </w:rPr>
              <w:t>1.5</w:t>
            </w:r>
          </w:p>
        </w:tc>
        <w:tc>
          <w:tcPr>
            <w:tcW w:w="1398" w:type="dxa"/>
          </w:tcPr>
          <w:p w:rsidR="00D349F6" w:rsidRPr="00D76AE5" w:rsidRDefault="00D349F6" w:rsidP="00D76AE5">
            <w:pPr>
              <w:rPr>
                <w:sz w:val="20"/>
                <w:szCs w:val="20"/>
              </w:rPr>
            </w:pPr>
            <w:r w:rsidRPr="00D76AE5">
              <w:rPr>
                <w:sz w:val="20"/>
                <w:szCs w:val="20"/>
              </w:rPr>
              <w:t>3.07</w:t>
            </w:r>
          </w:p>
        </w:tc>
        <w:tc>
          <w:tcPr>
            <w:tcW w:w="1437" w:type="dxa"/>
          </w:tcPr>
          <w:p w:rsidR="00D349F6" w:rsidRPr="00D76AE5" w:rsidRDefault="00D349F6" w:rsidP="00D76AE5">
            <w:pPr>
              <w:rPr>
                <w:sz w:val="20"/>
                <w:szCs w:val="20"/>
              </w:rPr>
            </w:pPr>
            <w:r w:rsidRPr="00D76AE5">
              <w:rPr>
                <w:sz w:val="20"/>
                <w:szCs w:val="20"/>
              </w:rPr>
              <w:t>7</w:t>
            </w:r>
          </w:p>
        </w:tc>
      </w:tr>
      <w:tr w:rsidR="00D349F6" w:rsidRPr="00D76AE5" w:rsidTr="00D349F6">
        <w:trPr>
          <w:trHeight w:val="22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3</w:t>
            </w:r>
          </w:p>
        </w:tc>
        <w:tc>
          <w:tcPr>
            <w:tcW w:w="1398" w:type="dxa"/>
          </w:tcPr>
          <w:p w:rsidR="00D349F6" w:rsidRPr="00D76AE5" w:rsidRDefault="00D349F6" w:rsidP="00D76AE5">
            <w:pPr>
              <w:rPr>
                <w:sz w:val="20"/>
                <w:szCs w:val="20"/>
              </w:rPr>
            </w:pPr>
            <w:r w:rsidRPr="00D76AE5">
              <w:rPr>
                <w:sz w:val="20"/>
                <w:szCs w:val="20"/>
              </w:rPr>
              <w:t>6.55</w:t>
            </w:r>
          </w:p>
        </w:tc>
        <w:tc>
          <w:tcPr>
            <w:tcW w:w="1437" w:type="dxa"/>
          </w:tcPr>
          <w:p w:rsidR="00D349F6" w:rsidRPr="00D76AE5" w:rsidRDefault="00D349F6" w:rsidP="00D76AE5">
            <w:pPr>
              <w:rPr>
                <w:sz w:val="20"/>
                <w:szCs w:val="20"/>
              </w:rPr>
            </w:pPr>
            <w:r w:rsidRPr="00D76AE5">
              <w:rPr>
                <w:sz w:val="20"/>
                <w:szCs w:val="20"/>
              </w:rPr>
              <w:t>15</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6</w:t>
            </w:r>
          </w:p>
        </w:tc>
        <w:tc>
          <w:tcPr>
            <w:tcW w:w="1398" w:type="dxa"/>
          </w:tcPr>
          <w:p w:rsidR="00D349F6" w:rsidRPr="00D76AE5" w:rsidRDefault="00D349F6" w:rsidP="00D76AE5">
            <w:pPr>
              <w:rPr>
                <w:sz w:val="20"/>
                <w:szCs w:val="20"/>
              </w:rPr>
            </w:pPr>
            <w:r w:rsidRPr="00D76AE5">
              <w:rPr>
                <w:sz w:val="20"/>
                <w:szCs w:val="20"/>
              </w:rPr>
              <w:t>16.8</w:t>
            </w:r>
          </w:p>
        </w:tc>
        <w:tc>
          <w:tcPr>
            <w:tcW w:w="1437" w:type="dxa"/>
          </w:tcPr>
          <w:p w:rsidR="00D349F6" w:rsidRPr="00D76AE5" w:rsidRDefault="00D349F6" w:rsidP="00D76AE5">
            <w:pPr>
              <w:rPr>
                <w:sz w:val="20"/>
                <w:szCs w:val="20"/>
              </w:rPr>
            </w:pPr>
            <w:r w:rsidRPr="00D76AE5">
              <w:rPr>
                <w:sz w:val="20"/>
                <w:szCs w:val="20"/>
              </w:rPr>
              <w:t>38</w:t>
            </w:r>
          </w:p>
        </w:tc>
      </w:tr>
      <w:tr w:rsidR="00D349F6" w:rsidRPr="00D76AE5" w:rsidTr="00D349F6">
        <w:trPr>
          <w:trHeight w:val="183"/>
        </w:trPr>
        <w:tc>
          <w:tcPr>
            <w:tcW w:w="3410" w:type="dxa"/>
            <w:vMerge w:val="restart"/>
          </w:tcPr>
          <w:p w:rsidR="00D349F6" w:rsidRPr="00D76AE5" w:rsidRDefault="00D349F6" w:rsidP="00D76AE5">
            <w:pPr>
              <w:rPr>
                <w:sz w:val="20"/>
                <w:szCs w:val="20"/>
              </w:rPr>
            </w:pPr>
            <w:r w:rsidRPr="00D76AE5">
              <w:rPr>
                <w:sz w:val="20"/>
                <w:szCs w:val="20"/>
              </w:rPr>
              <w:t>Study No. R&amp;D/13/548</w:t>
            </w:r>
          </w:p>
          <w:p w:rsidR="00D349F6" w:rsidRPr="00D76AE5" w:rsidRDefault="00D349F6" w:rsidP="00D76AE5">
            <w:pPr>
              <w:rPr>
                <w:sz w:val="20"/>
                <w:szCs w:val="20"/>
              </w:rPr>
            </w:pPr>
          </w:p>
          <w:p w:rsidR="00D349F6" w:rsidRPr="00D76AE5" w:rsidRDefault="00D349F6" w:rsidP="00D76AE5">
            <w:pPr>
              <w:rPr>
                <w:sz w:val="20"/>
                <w:szCs w:val="20"/>
              </w:rPr>
            </w:pPr>
            <w:r w:rsidRPr="00D76AE5">
              <w:rPr>
                <w:sz w:val="20"/>
                <w:szCs w:val="20"/>
              </w:rPr>
              <w:t>Developmental toxicity study</w:t>
            </w:r>
          </w:p>
          <w:p w:rsidR="00D349F6" w:rsidRPr="00D76AE5" w:rsidRDefault="00D349F6" w:rsidP="00D76AE5">
            <w:pPr>
              <w:rPr>
                <w:sz w:val="20"/>
                <w:szCs w:val="20"/>
              </w:rPr>
            </w:pPr>
            <w:r w:rsidRPr="00D76AE5">
              <w:rPr>
                <w:sz w:val="20"/>
                <w:szCs w:val="20"/>
              </w:rPr>
              <w:t xml:space="preserve">[M29; Clinical AUC: 0.669 </w:t>
            </w:r>
            <w:r w:rsidR="00913482" w:rsidRPr="00D76AE5">
              <w:rPr>
                <w:sz w:val="20"/>
                <w:szCs w:val="20"/>
              </w:rPr>
              <w:t>µg</w:t>
            </w:r>
            <w:r w:rsidRPr="00D76AE5">
              <w:rPr>
                <w:sz w:val="20"/>
                <w:szCs w:val="20"/>
              </w:rPr>
              <w:t>.h/mL]</w:t>
            </w:r>
          </w:p>
        </w:tc>
        <w:tc>
          <w:tcPr>
            <w:tcW w:w="2387" w:type="dxa"/>
          </w:tcPr>
          <w:p w:rsidR="00D349F6" w:rsidRPr="00D76AE5" w:rsidRDefault="00D349F6" w:rsidP="00D76AE5">
            <w:pPr>
              <w:rPr>
                <w:sz w:val="20"/>
                <w:szCs w:val="20"/>
              </w:rPr>
            </w:pPr>
            <w:r w:rsidRPr="00D76AE5">
              <w:rPr>
                <w:sz w:val="20"/>
                <w:szCs w:val="20"/>
              </w:rPr>
              <w:t>1</w:t>
            </w:r>
          </w:p>
        </w:tc>
        <w:tc>
          <w:tcPr>
            <w:tcW w:w="1398" w:type="dxa"/>
          </w:tcPr>
          <w:p w:rsidR="00D349F6" w:rsidRPr="00D76AE5" w:rsidRDefault="00D349F6" w:rsidP="00D76AE5">
            <w:pPr>
              <w:rPr>
                <w:sz w:val="20"/>
                <w:szCs w:val="20"/>
              </w:rPr>
            </w:pPr>
            <w:r w:rsidRPr="00D76AE5">
              <w:rPr>
                <w:sz w:val="20"/>
                <w:szCs w:val="20"/>
              </w:rPr>
              <w:t>2.24</w:t>
            </w:r>
          </w:p>
        </w:tc>
        <w:tc>
          <w:tcPr>
            <w:tcW w:w="1437" w:type="dxa"/>
          </w:tcPr>
          <w:p w:rsidR="00D349F6" w:rsidRPr="00D76AE5" w:rsidRDefault="00D349F6" w:rsidP="00D76AE5">
            <w:pPr>
              <w:rPr>
                <w:sz w:val="20"/>
                <w:szCs w:val="20"/>
              </w:rPr>
            </w:pPr>
            <w:r w:rsidRPr="00D76AE5">
              <w:rPr>
                <w:sz w:val="20"/>
                <w:szCs w:val="20"/>
              </w:rPr>
              <w:t>3.3</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2.5</w:t>
            </w:r>
          </w:p>
        </w:tc>
        <w:tc>
          <w:tcPr>
            <w:tcW w:w="1398" w:type="dxa"/>
          </w:tcPr>
          <w:p w:rsidR="00D349F6" w:rsidRPr="00D76AE5" w:rsidRDefault="00D349F6" w:rsidP="00D76AE5">
            <w:pPr>
              <w:rPr>
                <w:sz w:val="20"/>
                <w:szCs w:val="20"/>
              </w:rPr>
            </w:pPr>
            <w:r w:rsidRPr="00D76AE5">
              <w:rPr>
                <w:sz w:val="20"/>
                <w:szCs w:val="20"/>
              </w:rPr>
              <w:t>7.76</w:t>
            </w:r>
          </w:p>
        </w:tc>
        <w:tc>
          <w:tcPr>
            <w:tcW w:w="1437" w:type="dxa"/>
          </w:tcPr>
          <w:p w:rsidR="00D349F6" w:rsidRPr="00D76AE5" w:rsidRDefault="00D349F6" w:rsidP="00D76AE5">
            <w:pPr>
              <w:rPr>
                <w:sz w:val="20"/>
                <w:szCs w:val="20"/>
              </w:rPr>
            </w:pPr>
            <w:r w:rsidRPr="00D76AE5">
              <w:rPr>
                <w:sz w:val="20"/>
                <w:szCs w:val="20"/>
              </w:rPr>
              <w:t>11.6</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4.5</w:t>
            </w:r>
          </w:p>
        </w:tc>
        <w:tc>
          <w:tcPr>
            <w:tcW w:w="1398" w:type="dxa"/>
          </w:tcPr>
          <w:p w:rsidR="00D349F6" w:rsidRPr="00D76AE5" w:rsidRDefault="00D349F6" w:rsidP="00D76AE5">
            <w:pPr>
              <w:rPr>
                <w:sz w:val="20"/>
                <w:szCs w:val="20"/>
              </w:rPr>
            </w:pPr>
            <w:r w:rsidRPr="00D76AE5">
              <w:rPr>
                <w:sz w:val="20"/>
                <w:szCs w:val="20"/>
              </w:rPr>
              <w:t>17.4</w:t>
            </w:r>
          </w:p>
        </w:tc>
        <w:tc>
          <w:tcPr>
            <w:tcW w:w="1437" w:type="dxa"/>
          </w:tcPr>
          <w:p w:rsidR="00D349F6" w:rsidRPr="00D76AE5" w:rsidRDefault="00D349F6" w:rsidP="00D76AE5">
            <w:pPr>
              <w:rPr>
                <w:sz w:val="20"/>
                <w:szCs w:val="20"/>
              </w:rPr>
            </w:pPr>
            <w:r w:rsidRPr="00D76AE5">
              <w:rPr>
                <w:sz w:val="20"/>
                <w:szCs w:val="20"/>
              </w:rPr>
              <w:t>26</w:t>
            </w:r>
          </w:p>
        </w:tc>
      </w:tr>
      <w:tr w:rsidR="00D349F6" w:rsidRPr="00D76AE5" w:rsidTr="00D349F6">
        <w:trPr>
          <w:trHeight w:val="183"/>
        </w:trPr>
        <w:tc>
          <w:tcPr>
            <w:tcW w:w="3410" w:type="dxa"/>
            <w:vMerge w:val="restart"/>
          </w:tcPr>
          <w:p w:rsidR="00D349F6" w:rsidRPr="00D76AE5" w:rsidRDefault="00D349F6" w:rsidP="00D76AE5">
            <w:pPr>
              <w:rPr>
                <w:sz w:val="20"/>
                <w:szCs w:val="20"/>
              </w:rPr>
            </w:pPr>
            <w:r w:rsidRPr="00D76AE5">
              <w:rPr>
                <w:sz w:val="20"/>
                <w:szCs w:val="20"/>
              </w:rPr>
              <w:t>Study No. R&amp;D/13/549</w:t>
            </w:r>
          </w:p>
          <w:p w:rsidR="00D349F6" w:rsidRPr="00D76AE5" w:rsidRDefault="00D349F6" w:rsidP="00D76AE5">
            <w:pPr>
              <w:rPr>
                <w:sz w:val="20"/>
                <w:szCs w:val="20"/>
              </w:rPr>
            </w:pPr>
          </w:p>
          <w:p w:rsidR="00D349F6" w:rsidRPr="00D76AE5" w:rsidRDefault="00D349F6" w:rsidP="00D76AE5">
            <w:pPr>
              <w:rPr>
                <w:sz w:val="20"/>
                <w:szCs w:val="20"/>
              </w:rPr>
            </w:pPr>
            <w:r w:rsidRPr="00D76AE5">
              <w:rPr>
                <w:sz w:val="20"/>
                <w:szCs w:val="20"/>
              </w:rPr>
              <w:t>Developmental toxicity study</w:t>
            </w:r>
          </w:p>
          <w:p w:rsidR="00D349F6" w:rsidRPr="00D76AE5" w:rsidRDefault="00D349F6" w:rsidP="00D76AE5">
            <w:pPr>
              <w:rPr>
                <w:sz w:val="20"/>
                <w:szCs w:val="20"/>
              </w:rPr>
            </w:pPr>
            <w:r w:rsidRPr="00D76AE5">
              <w:rPr>
                <w:sz w:val="20"/>
                <w:szCs w:val="20"/>
              </w:rPr>
              <w:t xml:space="preserve">[M36; Clinical AUC: 0.442 </w:t>
            </w:r>
            <w:r w:rsidR="00913482" w:rsidRPr="00D76AE5">
              <w:rPr>
                <w:sz w:val="20"/>
                <w:szCs w:val="20"/>
              </w:rPr>
              <w:t>µg</w:t>
            </w:r>
            <w:r w:rsidRPr="00D76AE5">
              <w:rPr>
                <w:sz w:val="20"/>
                <w:szCs w:val="20"/>
              </w:rPr>
              <w:t>.h/mL]</w:t>
            </w:r>
          </w:p>
        </w:tc>
        <w:tc>
          <w:tcPr>
            <w:tcW w:w="2387" w:type="dxa"/>
          </w:tcPr>
          <w:p w:rsidR="00D349F6" w:rsidRPr="00D76AE5" w:rsidRDefault="00D349F6" w:rsidP="00D76AE5">
            <w:pPr>
              <w:rPr>
                <w:sz w:val="20"/>
                <w:szCs w:val="20"/>
              </w:rPr>
            </w:pPr>
            <w:r w:rsidRPr="00D76AE5">
              <w:rPr>
                <w:sz w:val="20"/>
                <w:szCs w:val="20"/>
              </w:rPr>
              <w:t>1.5</w:t>
            </w:r>
          </w:p>
        </w:tc>
        <w:tc>
          <w:tcPr>
            <w:tcW w:w="1398" w:type="dxa"/>
          </w:tcPr>
          <w:p w:rsidR="00D349F6" w:rsidRPr="00D76AE5" w:rsidRDefault="00D349F6" w:rsidP="00D76AE5">
            <w:pPr>
              <w:rPr>
                <w:sz w:val="20"/>
                <w:szCs w:val="20"/>
              </w:rPr>
            </w:pPr>
            <w:r w:rsidRPr="00D76AE5">
              <w:rPr>
                <w:sz w:val="20"/>
                <w:szCs w:val="20"/>
              </w:rPr>
              <w:t>1.68</w:t>
            </w:r>
          </w:p>
        </w:tc>
        <w:tc>
          <w:tcPr>
            <w:tcW w:w="1437" w:type="dxa"/>
          </w:tcPr>
          <w:p w:rsidR="00D349F6" w:rsidRPr="00D76AE5" w:rsidRDefault="00D349F6" w:rsidP="00D76AE5">
            <w:pPr>
              <w:rPr>
                <w:sz w:val="20"/>
                <w:szCs w:val="20"/>
              </w:rPr>
            </w:pPr>
            <w:r w:rsidRPr="00D76AE5">
              <w:rPr>
                <w:sz w:val="20"/>
                <w:szCs w:val="20"/>
              </w:rPr>
              <w:t>3.8</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3</w:t>
            </w:r>
          </w:p>
        </w:tc>
        <w:tc>
          <w:tcPr>
            <w:tcW w:w="1398" w:type="dxa"/>
          </w:tcPr>
          <w:p w:rsidR="00D349F6" w:rsidRPr="00D76AE5" w:rsidRDefault="00D349F6" w:rsidP="00D76AE5">
            <w:pPr>
              <w:rPr>
                <w:sz w:val="20"/>
                <w:szCs w:val="20"/>
              </w:rPr>
            </w:pPr>
            <w:r w:rsidRPr="00D76AE5">
              <w:rPr>
                <w:sz w:val="20"/>
                <w:szCs w:val="20"/>
              </w:rPr>
              <w:t>4.65</w:t>
            </w:r>
          </w:p>
        </w:tc>
        <w:tc>
          <w:tcPr>
            <w:tcW w:w="1437" w:type="dxa"/>
          </w:tcPr>
          <w:p w:rsidR="00D349F6" w:rsidRPr="00D76AE5" w:rsidRDefault="00D349F6" w:rsidP="00D76AE5">
            <w:pPr>
              <w:rPr>
                <w:sz w:val="20"/>
                <w:szCs w:val="20"/>
              </w:rPr>
            </w:pPr>
            <w:r w:rsidRPr="00D76AE5">
              <w:rPr>
                <w:sz w:val="20"/>
                <w:szCs w:val="20"/>
              </w:rPr>
              <w:t>10.5</w:t>
            </w:r>
          </w:p>
        </w:tc>
      </w:tr>
      <w:tr w:rsidR="00D349F6" w:rsidRPr="00D76AE5" w:rsidTr="00D349F6">
        <w:trPr>
          <w:trHeight w:val="183"/>
        </w:trPr>
        <w:tc>
          <w:tcPr>
            <w:tcW w:w="3410" w:type="dxa"/>
            <w:vMerge/>
          </w:tcPr>
          <w:p w:rsidR="00D349F6" w:rsidRPr="00D76AE5" w:rsidRDefault="00D349F6" w:rsidP="00D76AE5">
            <w:pPr>
              <w:rPr>
                <w:sz w:val="20"/>
                <w:szCs w:val="20"/>
              </w:rPr>
            </w:pPr>
          </w:p>
        </w:tc>
        <w:tc>
          <w:tcPr>
            <w:tcW w:w="2387" w:type="dxa"/>
          </w:tcPr>
          <w:p w:rsidR="00D349F6" w:rsidRPr="00D76AE5" w:rsidRDefault="00D349F6" w:rsidP="00D76AE5">
            <w:pPr>
              <w:rPr>
                <w:sz w:val="20"/>
                <w:szCs w:val="20"/>
              </w:rPr>
            </w:pPr>
            <w:r w:rsidRPr="00D76AE5">
              <w:rPr>
                <w:sz w:val="20"/>
                <w:szCs w:val="20"/>
              </w:rPr>
              <w:t>6</w:t>
            </w:r>
          </w:p>
        </w:tc>
        <w:tc>
          <w:tcPr>
            <w:tcW w:w="1398" w:type="dxa"/>
          </w:tcPr>
          <w:p w:rsidR="00D349F6" w:rsidRPr="00D76AE5" w:rsidRDefault="00D349F6" w:rsidP="00D76AE5">
            <w:pPr>
              <w:rPr>
                <w:sz w:val="20"/>
                <w:szCs w:val="20"/>
              </w:rPr>
            </w:pPr>
            <w:r w:rsidRPr="00D76AE5">
              <w:rPr>
                <w:sz w:val="20"/>
                <w:szCs w:val="20"/>
              </w:rPr>
              <w:t>11.6</w:t>
            </w:r>
          </w:p>
        </w:tc>
        <w:tc>
          <w:tcPr>
            <w:tcW w:w="1437" w:type="dxa"/>
          </w:tcPr>
          <w:p w:rsidR="00D349F6" w:rsidRPr="00D76AE5" w:rsidRDefault="00D349F6" w:rsidP="00D76AE5">
            <w:pPr>
              <w:rPr>
                <w:sz w:val="20"/>
                <w:szCs w:val="20"/>
              </w:rPr>
            </w:pPr>
            <w:r w:rsidRPr="00D76AE5">
              <w:rPr>
                <w:sz w:val="20"/>
                <w:szCs w:val="20"/>
              </w:rPr>
              <w:t>26</w:t>
            </w:r>
          </w:p>
        </w:tc>
      </w:tr>
    </w:tbl>
    <w:p w:rsidR="00D349F6" w:rsidRPr="00D349F6" w:rsidRDefault="00D349F6" w:rsidP="00D349F6">
      <w:pPr>
        <w:pStyle w:val="TableDescription"/>
      </w:pPr>
      <w:r w:rsidRPr="00D349F6">
        <w:t>#</w:t>
      </w:r>
      <w:r w:rsidR="00BF1FC5">
        <w:t xml:space="preserve"> = </w:t>
      </w:r>
      <w:r w:rsidRPr="00D349F6">
        <w:t>animal:</w:t>
      </w:r>
      <w:r w:rsidR="001B21A9">
        <w:t xml:space="preserve"> </w:t>
      </w:r>
      <w:r w:rsidRPr="00D349F6">
        <w:t xml:space="preserve">human plasma </w:t>
      </w:r>
      <w:r w:rsidR="00926A16" w:rsidRPr="00CC0301">
        <w:t>AUC</w:t>
      </w:r>
      <w:r w:rsidR="00926A16" w:rsidRPr="00926A16">
        <w:rPr>
          <w:vertAlign w:val="subscript"/>
        </w:rPr>
        <w:t>0–24 </w:t>
      </w:r>
      <w:proofErr w:type="gramStart"/>
      <w:r w:rsidR="00926A16" w:rsidRPr="00926A16">
        <w:rPr>
          <w:vertAlign w:val="subscript"/>
        </w:rPr>
        <w:t>h</w:t>
      </w:r>
      <w:r w:rsidRPr="00D349F6">
        <w:t xml:space="preserve"> ;</w:t>
      </w:r>
      <w:proofErr w:type="gramEnd"/>
      <w:r w:rsidRPr="00D349F6">
        <w:t xml:space="preserve"> Bolded</w:t>
      </w:r>
      <w:r w:rsidR="00BF1FC5">
        <w:t xml:space="preserve"> = </w:t>
      </w:r>
      <w:r w:rsidRPr="00D349F6">
        <w:t>NOAEL</w:t>
      </w:r>
    </w:p>
    <w:p w:rsidR="00D349F6" w:rsidRPr="00D349F6" w:rsidRDefault="00D349F6" w:rsidP="00D349F6">
      <w:pPr>
        <w:pStyle w:val="Heading5"/>
      </w:pPr>
      <w:r w:rsidRPr="00D349F6">
        <w:t>Major toxicities</w:t>
      </w:r>
      <w:r w:rsidR="005B05BF">
        <w:t xml:space="preserve"> - ombitasvir</w:t>
      </w:r>
    </w:p>
    <w:p w:rsidR="00D349F6" w:rsidRPr="00D349F6" w:rsidRDefault="00D349F6" w:rsidP="00D349F6">
      <w:r w:rsidRPr="00D349F6">
        <w:t>No specific targeted toxicities were evident in any of the repeat dose toxicity studies. Clinical signs were minor or sporadic and generally non-dose dependent in nature.</w:t>
      </w:r>
    </w:p>
    <w:p w:rsidR="00D349F6" w:rsidRPr="00D349F6" w:rsidRDefault="00D349F6" w:rsidP="00D349F6">
      <w:r w:rsidRPr="00D349F6">
        <w:t>In the mouse dif</w:t>
      </w:r>
      <w:r w:rsidR="005B05BF">
        <w:t xml:space="preserve">ferences between the ombitasvir </w:t>
      </w:r>
      <w:r w:rsidR="00CC38A0">
        <w:t xml:space="preserve">treated and vehicle </w:t>
      </w:r>
      <w:r w:rsidRPr="00D349F6">
        <w:t>treated groups could not be distinguish</w:t>
      </w:r>
      <w:r w:rsidR="005B05BF">
        <w:t>ed nor could distinct treatment</w:t>
      </w:r>
      <w:r w:rsidRPr="00D349F6">
        <w:t xml:space="preserve"> and </w:t>
      </w:r>
      <w:r w:rsidR="005F323A">
        <w:t>dose dependent</w:t>
      </w:r>
      <w:r w:rsidRPr="00D349F6">
        <w:t xml:space="preserve"> effects be discerned. In one of the non-GLP studies (Study No. R&amp;D/10/493) there were small but significant elevations to liver enzymes (</w:t>
      </w:r>
      <w:r w:rsidR="008363B5">
        <w:t xml:space="preserve">alanine </w:t>
      </w:r>
      <w:r w:rsidR="008363B5" w:rsidRPr="008363B5">
        <w:t>aminotransferase (</w:t>
      </w:r>
      <w:r w:rsidRPr="008363B5">
        <w:t>ALT</w:t>
      </w:r>
      <w:r w:rsidR="008363B5" w:rsidRPr="008363B5">
        <w:t>)</w:t>
      </w:r>
      <w:r w:rsidRPr="008363B5">
        <w:t xml:space="preserve">, </w:t>
      </w:r>
      <w:r w:rsidR="008363B5">
        <w:t xml:space="preserve">aspartate </w:t>
      </w:r>
      <w:r w:rsidR="008363B5" w:rsidRPr="008363B5">
        <w:t>aminotransferase (</w:t>
      </w:r>
      <w:r w:rsidRPr="008363B5">
        <w:t>AST</w:t>
      </w:r>
      <w:r w:rsidR="008363B5" w:rsidRPr="008363B5">
        <w:t>)</w:t>
      </w:r>
      <w:r w:rsidRPr="008363B5">
        <w:t xml:space="preserve"> a</w:t>
      </w:r>
      <w:r w:rsidRPr="00D349F6">
        <w:t xml:space="preserve">nd </w:t>
      </w:r>
      <w:r w:rsidR="00CC38A0">
        <w:t xml:space="preserve">glutamate </w:t>
      </w:r>
      <w:r w:rsidR="00CC38A0" w:rsidRPr="00CC38A0">
        <w:t>dehydrogenase (GLDH)</w:t>
      </w:r>
      <w:r w:rsidRPr="00CC38A0">
        <w:t xml:space="preserve"> in males</w:t>
      </w:r>
      <w:r w:rsidRPr="00D349F6">
        <w:t xml:space="preserve"> that received ombitasvir doses of 28.5 and 95.1 mg/kg/day for 2 weeks. Histopathological examinations also showed (minimal to mild) liver necrosis in these groups; however, there were no corresponding changes in female mice. Since these effects were not seen in mouse studies at higher doses and longer duration, these are not considered toxicologically significant.</w:t>
      </w:r>
    </w:p>
    <w:p w:rsidR="00D349F6" w:rsidRPr="00D349F6" w:rsidRDefault="00D349F6" w:rsidP="00D349F6">
      <w:r w:rsidRPr="00D349F6">
        <w:lastRenderedPageBreak/>
        <w:t xml:space="preserve">No specific toxicities were identified in the rat repeat dose studies. </w:t>
      </w:r>
      <w:r w:rsidR="009C3E30">
        <w:t>Treatment related</w:t>
      </w:r>
      <w:r w:rsidRPr="00D349F6">
        <w:t xml:space="preserve"> changes in rats were minimal with sporadic findings that were not consistent for all treated groups. Similar to findings from a non-pivotal mouse study, there were apparent </w:t>
      </w:r>
      <w:r w:rsidR="005F323A">
        <w:t>dose dependent</w:t>
      </w:r>
      <w:r w:rsidRPr="00D349F6">
        <w:t xml:space="preserve"> elevations in AST (and to a lesser degree, ALT) levels in male (but not female) treated rats (Study No. </w:t>
      </w:r>
      <w:proofErr w:type="gramStart"/>
      <w:r w:rsidRPr="00D349F6">
        <w:t>R&amp;D/09/1241).</w:t>
      </w:r>
      <w:proofErr w:type="gramEnd"/>
      <w:r w:rsidRPr="00D349F6">
        <w:t xml:space="preserve"> This was accompanied by observed hepatocytic necrosis </w:t>
      </w:r>
      <w:r w:rsidR="005B05BF">
        <w:t>in the high dose treated males.</w:t>
      </w:r>
    </w:p>
    <w:p w:rsidR="00D349F6" w:rsidRPr="00D349F6" w:rsidRDefault="00D349F6" w:rsidP="00D349F6">
      <w:r w:rsidRPr="00D349F6">
        <w:t>High incidence of vacuolation of villi in duodena and jejuna of dogs in the 6 month pivotal study appeared to be related to ombitasvir treatment. No other associated effects were present (</w:t>
      </w:r>
      <w:r w:rsidR="009F7EDA">
        <w:t>for example</w:t>
      </w:r>
      <w:r w:rsidRPr="00D349F6">
        <w:t xml:space="preserve"> GIT disturbances or abnormal excreta) but the effect was seen in nearly all animals from both the male and female m</w:t>
      </w:r>
      <w:r w:rsidR="005B05BF">
        <w:t>edium and high dose groups (20 and</w:t>
      </w:r>
      <w:r w:rsidRPr="00D349F6">
        <w:t xml:space="preserve"> 100 mg/kg/day). A 3 month GLP study in dogs also reported histopathological changes to the jejunum (dilated lacteals) in high dose group males and females (100 mg/kg/day), which also coincided with treatment- and </w:t>
      </w:r>
      <w:r w:rsidR="005F323A">
        <w:t>dose dependent</w:t>
      </w:r>
      <w:r w:rsidRPr="00D349F6">
        <w:t xml:space="preserve"> occurrence of mucoid faeces. The toxicological significance of these findings and their relevance to clinical use are uncertain. Effects seen at these doses (20 and 100 mg/kg/day) were representative of </w:t>
      </w:r>
      <w:r w:rsidR="005B05BF">
        <w:t xml:space="preserve">plasma exposures of at least 34 and 61 </w:t>
      </w:r>
      <w:r w:rsidRPr="00D349F6">
        <w:t>times the clinical AUC and thus were at levels not anticipated to be attained clinically, and not of toxicological concern. At the NOAEL for the pivotal dog study (4 mg/kg/day) the relative exposure was 4</w:t>
      </w:r>
      <w:r w:rsidR="0021113A">
        <w:t xml:space="preserve"> to </w:t>
      </w:r>
      <w:r w:rsidRPr="00D349F6">
        <w:t>6 t</w:t>
      </w:r>
      <w:r w:rsidR="005B05BF">
        <w:t>imes the clinical AUC.</w:t>
      </w:r>
    </w:p>
    <w:p w:rsidR="00D349F6" w:rsidRPr="00D349F6" w:rsidRDefault="00D349F6" w:rsidP="00D349F6">
      <w:r w:rsidRPr="00D349F6">
        <w:t xml:space="preserve">Additional toxicity studies on the nonclinical safety of the human metabolites M29 and M36 found no evidence of adverse effects at up to 4 weeks exposure in mice. Overall, treatment related changes to ombitasvir were minor and sporadic in nature, were not consistently seen in both sexes or found to be </w:t>
      </w:r>
      <w:r w:rsidR="005F323A">
        <w:t>dose dependent</w:t>
      </w:r>
      <w:r w:rsidRPr="00D349F6">
        <w:t>. Therefore ombitasvir is not anticipated to exert any targeted toxicities when used at the proposed clinical dose levels.</w:t>
      </w:r>
    </w:p>
    <w:p w:rsidR="00D349F6" w:rsidRPr="00D349F6" w:rsidRDefault="00D349F6" w:rsidP="00D349F6">
      <w:pPr>
        <w:pStyle w:val="Heading4"/>
      </w:pPr>
      <w:r w:rsidRPr="00D349F6">
        <w:t>Genotoxicity</w:t>
      </w:r>
      <w:r w:rsidR="005B05BF">
        <w:t xml:space="preserve"> -</w:t>
      </w:r>
      <w:r w:rsidR="00CC38A0">
        <w:t xml:space="preserve"> </w:t>
      </w:r>
      <w:r w:rsidR="005B05BF">
        <w:t>ombitasvir</w:t>
      </w:r>
    </w:p>
    <w:p w:rsidR="00D349F6" w:rsidRPr="00D349F6" w:rsidRDefault="00D349F6" w:rsidP="00D349F6">
      <w:r w:rsidRPr="00D349F6">
        <w:t>Ombitasvir was not shown to be mutagenic in a bacterial reverse mutation assay or clastogenic in in vitro (using human lymphocytes) and in vivo clastogenicity assays (using mouse micronucleus assay). Studies were generally consistent with guideline recommendation as outlined in 3BS6a and al</w:t>
      </w:r>
      <w:r w:rsidR="005B05BF">
        <w:t>l studies were GLP compliant.</w:t>
      </w:r>
    </w:p>
    <w:p w:rsidR="00D349F6" w:rsidRPr="00D349F6" w:rsidRDefault="00D349F6" w:rsidP="00D349F6">
      <w:r w:rsidRPr="00D349F6">
        <w:t xml:space="preserve">Human (plasma) metabolites of ombitasvir, A-1538855 (M29) and A-1548255 (M36) were also negative for mutagenicity and clastogenicity in a bacterial reverse mutation assay (Study No. </w:t>
      </w:r>
      <w:proofErr w:type="gramStart"/>
      <w:r w:rsidRPr="00D349F6">
        <w:t>R&amp;D/13/487) and in an in vitro chromosomal aberration assay (Study No.</w:t>
      </w:r>
      <w:proofErr w:type="gramEnd"/>
      <w:r w:rsidRPr="00D349F6">
        <w:t xml:space="preserve"> </w:t>
      </w:r>
      <w:proofErr w:type="gramStart"/>
      <w:r w:rsidRPr="00D349F6">
        <w:t>R&amp;D/13/485), respectively.</w:t>
      </w:r>
      <w:proofErr w:type="gramEnd"/>
      <w:r w:rsidRPr="00D349F6">
        <w:t xml:space="preserve"> Concentrations tested in the chromosomal aberration assay were high enough to exceed those measured in plasma at clinical steady state following a single 25 mg oral dose of ombitasvir (Highest tested concentration of ombitasvir 400 </w:t>
      </w:r>
      <w:r w:rsidR="00913482">
        <w:t>µ</w:t>
      </w:r>
      <w:r w:rsidR="00913482" w:rsidRPr="00E56F3B">
        <w:t>g</w:t>
      </w:r>
      <w:r w:rsidRPr="00D349F6">
        <w:t xml:space="preserve">/mL </w:t>
      </w:r>
      <w:r w:rsidR="000C3156">
        <w:t>compared with</w:t>
      </w:r>
      <w:r w:rsidRPr="00D349F6">
        <w:t xml:space="preserve">. </w:t>
      </w:r>
      <w:r w:rsidR="00F201F8">
        <w:t>approximately</w:t>
      </w:r>
      <w:r w:rsidR="00BF1FC5">
        <w:t xml:space="preserve"> </w:t>
      </w:r>
      <w:r w:rsidR="003A33A4" w:rsidRPr="008912E8">
        <w:t>C</w:t>
      </w:r>
      <w:r w:rsidR="003A33A4" w:rsidRPr="003A33A4">
        <w:rPr>
          <w:vertAlign w:val="subscript"/>
        </w:rPr>
        <w:t>max</w:t>
      </w:r>
      <w:r w:rsidR="00630EF4">
        <w:t xml:space="preserve"> </w:t>
      </w:r>
      <w:r w:rsidR="005B05BF">
        <w:t xml:space="preserve">for M29 and M36 of </w:t>
      </w:r>
      <w:r w:rsidR="00CC38A0">
        <w:t>&lt; </w:t>
      </w:r>
      <w:r w:rsidR="005B05BF">
        <w:t>100 </w:t>
      </w:r>
      <w:r w:rsidRPr="00D349F6">
        <w:t xml:space="preserve">ng/mL or </w:t>
      </w:r>
      <w:r w:rsidRPr="00CC38A0">
        <w:t xml:space="preserve">at </w:t>
      </w:r>
      <w:r w:rsidR="00CC38A0">
        <w:t>plasma concentration after 24 hours</w:t>
      </w:r>
      <w:r w:rsidR="00CC38A0" w:rsidRPr="00CC38A0">
        <w:t xml:space="preserve"> </w:t>
      </w:r>
      <w:r w:rsidR="00CC38A0">
        <w:t>(</w:t>
      </w:r>
      <w:r w:rsidRPr="00CC38A0">
        <w:t>C</w:t>
      </w:r>
      <w:r w:rsidRPr="00CC38A0">
        <w:rPr>
          <w:vertAlign w:val="subscript"/>
        </w:rPr>
        <w:t>24h</w:t>
      </w:r>
      <w:r w:rsidR="00CC38A0">
        <w:t>)</w:t>
      </w:r>
      <w:r w:rsidRPr="00CC38A0">
        <w:t xml:space="preserve"> </w:t>
      </w:r>
      <w:r w:rsidR="00F201F8" w:rsidRPr="00CC38A0">
        <w:t>approximately</w:t>
      </w:r>
      <w:r w:rsidR="00BF1FC5">
        <w:t xml:space="preserve"> </w:t>
      </w:r>
      <w:r w:rsidR="005B05BF">
        <w:t>30 to</w:t>
      </w:r>
      <w:r w:rsidRPr="00D349F6">
        <w:t xml:space="preserve"> 50 ng/mL).</w:t>
      </w:r>
    </w:p>
    <w:p w:rsidR="00D349F6" w:rsidRPr="00D349F6" w:rsidRDefault="00D349F6" w:rsidP="00D349F6">
      <w:r w:rsidRPr="00D349F6">
        <w:t>The genotoxic potential of ombitasvir impurities was not</w:t>
      </w:r>
      <w:r w:rsidR="001B21A9">
        <w:t xml:space="preserve"> </w:t>
      </w:r>
      <w:r w:rsidRPr="00D349F6">
        <w:t>determined</w:t>
      </w:r>
      <w:r w:rsidR="00356984">
        <w:rPr>
          <w:rStyle w:val="FootnoteReference"/>
        </w:rPr>
        <w:footnoteReference w:id="33"/>
      </w:r>
      <w:r w:rsidRPr="00D349F6">
        <w:t xml:space="preserve">; however, bone marrow samples were collected from mice used in a 4 week repeat-dose toxicity study to assess clastogenicity at a later stage if required. The Nonclinical Summary stated that there were no structural alerts when the impurities were run through either DEREK or CaseUltra in silico software for predictions of likely genotoxicity; however no further detail was provided. Discussion on the adequacy of impurity qualification studies </w:t>
      </w:r>
      <w:r w:rsidR="005B05BF">
        <w:t>was presented.</w:t>
      </w:r>
    </w:p>
    <w:p w:rsidR="00D349F6" w:rsidRPr="00D349F6" w:rsidRDefault="00D349F6" w:rsidP="00D349F6">
      <w:pPr>
        <w:pStyle w:val="Heading4"/>
      </w:pPr>
      <w:r w:rsidRPr="00D349F6">
        <w:lastRenderedPageBreak/>
        <w:t>Carcinogenicity</w:t>
      </w:r>
      <w:r w:rsidR="005B05BF">
        <w:t xml:space="preserve"> - ombitasvir</w:t>
      </w:r>
    </w:p>
    <w:p w:rsidR="00D349F6" w:rsidRPr="00D349F6" w:rsidRDefault="00D349F6" w:rsidP="00D349F6">
      <w:r w:rsidRPr="00D349F6">
        <w:t>Ombitasvir was not found to be carcinogenic in a 26 week study using transgenic mice (CByB6F1-Tg</w:t>
      </w:r>
      <w:r w:rsidR="005B05BF">
        <w:t xml:space="preserve"> </w:t>
      </w:r>
      <w:r w:rsidRPr="00D349F6">
        <w:t>(HRAS</w:t>
      </w:r>
      <w:proofErr w:type="gramStart"/>
      <w:r w:rsidRPr="00D349F6">
        <w:t>)2Jic</w:t>
      </w:r>
      <w:proofErr w:type="gramEnd"/>
      <w:r w:rsidRPr="00D349F6">
        <w:t xml:space="preserve">; Tg Hras). The study design (group sizes, use of </w:t>
      </w:r>
      <w:r w:rsidR="00CC023F">
        <w:t>toxicokinetic</w:t>
      </w:r>
      <w:r w:rsidRPr="00D349F6">
        <w:t xml:space="preserve"> cohorts and duration of study) was appropriate and consistent with ICH guideline recommendations on carcinogenicity testing</w:t>
      </w:r>
      <w:r w:rsidR="0031482D">
        <w:t>.</w:t>
      </w:r>
      <w:r w:rsidR="0031482D">
        <w:rPr>
          <w:rStyle w:val="FootnoteReference"/>
        </w:rPr>
        <w:footnoteReference w:id="34"/>
      </w:r>
      <w:proofErr w:type="gramStart"/>
      <w:r w:rsidR="0031482D">
        <w:t xml:space="preserve">, </w:t>
      </w:r>
      <w:proofErr w:type="gramEnd"/>
      <w:r w:rsidR="0031482D">
        <w:rPr>
          <w:rStyle w:val="FootnoteReference"/>
        </w:rPr>
        <w:footnoteReference w:id="35"/>
      </w:r>
      <w:r w:rsidR="0031482D">
        <w:t xml:space="preserve">, </w:t>
      </w:r>
      <w:r w:rsidR="0031482D">
        <w:rPr>
          <w:rStyle w:val="FootnoteReference"/>
        </w:rPr>
        <w:footnoteReference w:id="36"/>
      </w:r>
      <w:r w:rsidRPr="00D349F6">
        <w:t xml:space="preserve"> Dose selection was based on a one month repeat dose toxicity study in these mice (Study No. R&amp;D/10/096), in which the highest tested dose (150 mg/kg/day) was well tolerated by animals and deemed the highest dose in the carcinogenicity study. The relative plasma exposure (based on AUC) at this dose was approximately 29 times the clinical AUC, which is acceptable. The sponsor also indicated that the in-life part of the 2 year rat carcinogenicity study was completed and that the finalised report will be avail</w:t>
      </w:r>
      <w:r w:rsidR="005B05BF">
        <w:t>able by April 2015.</w:t>
      </w:r>
    </w:p>
    <w:p w:rsidR="00D349F6" w:rsidRPr="00D349F6" w:rsidRDefault="00D349F6" w:rsidP="00D349F6">
      <w:r w:rsidRPr="00D349F6">
        <w:t xml:space="preserve">Survival rates were similar across all dose groups and negative controls. Aside from a few spontaneous tumour and non-neoplastic observations, there were no specific neoplastic or other histopathological findings that could be clearly ascribed to the effects of treatment. The positive control group (N-nitroso-N-methylurea, </w:t>
      </w:r>
      <w:r w:rsidR="0031482D">
        <w:t>(</w:t>
      </w:r>
      <w:r w:rsidRPr="00D349F6">
        <w:t>NMU</w:t>
      </w:r>
      <w:r w:rsidR="0031482D">
        <w:t>)</w:t>
      </w:r>
      <w:r w:rsidRPr="00D349F6">
        <w:t>) showed a higher incidence of tumours and a higher number of mortalities, confirming that the exposure period and experimental systems used were sufficient for assessing carcinogenicity. Overall, based on the findings from this study, as well as the negative genotoxicity findings, ombitasvir is not anticipated to pose a carcinogenic risk.</w:t>
      </w:r>
    </w:p>
    <w:p w:rsidR="00D349F6" w:rsidRPr="00D349F6" w:rsidRDefault="00D349F6" w:rsidP="00D349F6">
      <w:pPr>
        <w:pStyle w:val="Heading4"/>
      </w:pPr>
      <w:r w:rsidRPr="00D349F6">
        <w:t>Reproductive toxicity</w:t>
      </w:r>
      <w:r w:rsidR="005B05BF">
        <w:t xml:space="preserve"> - ombitasvir</w:t>
      </w:r>
    </w:p>
    <w:p w:rsidR="00D349F6" w:rsidRPr="00D349F6" w:rsidRDefault="00D349F6" w:rsidP="00D349F6">
      <w:r w:rsidRPr="00D349F6">
        <w:t>Reproductive toxicity of ombitasvir was determined in mice</w:t>
      </w:r>
      <w:r w:rsidR="005B05BF">
        <w:t xml:space="preserve"> and rabbits using standard GLP </w:t>
      </w:r>
      <w:r w:rsidRPr="00D349F6">
        <w:t>compliant studies that encompassed all stages of development (fertility, embryofetal development and peri-/postnatal development) and included almost all relevant exposure periods. Study designs were generally satisfactory with regard to group sizes, timing and duration of treatment, as per the relevant Note for Guidance on reproductive toxicity</w:t>
      </w:r>
      <w:r w:rsidR="003652C3">
        <w:t>.</w:t>
      </w:r>
      <w:r w:rsidR="003652C3">
        <w:rPr>
          <w:rStyle w:val="FootnoteReference"/>
        </w:rPr>
        <w:footnoteReference w:id="37"/>
      </w:r>
      <w:r w:rsidRPr="00D349F6">
        <w:t xml:space="preserve"> Mice instead of rats were used as the primary rodent species in these studies because higher systemic exposures to ombitasvir are attained with mice than rats (or monkeys).</w:t>
      </w:r>
    </w:p>
    <w:p w:rsidR="00D349F6" w:rsidRPr="00D349F6" w:rsidRDefault="00D349F6" w:rsidP="00D349F6">
      <w:r w:rsidRPr="00D349F6">
        <w:t xml:space="preserve">Dosing in mice was sufficiently high with relative exposures (based on either AUC or </w:t>
      </w:r>
      <w:r w:rsidR="000E1719">
        <w:t>body surface area</w:t>
      </w:r>
      <w:r w:rsidR="000E1719" w:rsidRPr="00D349F6">
        <w:t xml:space="preserve"> </w:t>
      </w:r>
      <w:r w:rsidR="000E1719">
        <w:t>(</w:t>
      </w:r>
      <w:r w:rsidRPr="00D349F6">
        <w:t>BSA</w:t>
      </w:r>
      <w:r w:rsidR="000E1719">
        <w:t>)</w:t>
      </w:r>
      <w:r w:rsidRPr="00D349F6">
        <w:t>) up to 40 times higher than clinical levels. Relative exposures for rabbits however were low when expressed as a function of plasma levels (</w:t>
      </w:r>
      <w:r w:rsidR="00926A16">
        <w:t xml:space="preserve">&lt; </w:t>
      </w:r>
      <w:r w:rsidRPr="00D349F6">
        <w:t>5 times clinical AUC).</w:t>
      </w:r>
    </w:p>
    <w:p w:rsidR="00D349F6" w:rsidRPr="00D349F6" w:rsidRDefault="00D349F6" w:rsidP="00FF289D">
      <w:pPr>
        <w:pStyle w:val="Tabletitle0"/>
      </w:pPr>
      <w:r>
        <w:t xml:space="preserve">Table </w:t>
      </w:r>
      <w:r w:rsidR="008D1B95">
        <w:t xml:space="preserve">7: </w:t>
      </w:r>
      <w:r w:rsidRPr="00D349F6">
        <w:t>Relative exposure in reproductive toxicity studies based on plasma levels (AUC0-24h)</w:t>
      </w:r>
      <w:r w:rsidR="005B05BF">
        <w:t xml:space="preserve"> - ombitasvir</w:t>
      </w:r>
    </w:p>
    <w:tbl>
      <w:tblPr>
        <w:tblStyle w:val="TableTGAblue"/>
        <w:tblW w:w="8742" w:type="dxa"/>
        <w:tblLayout w:type="fixed"/>
        <w:tblLook w:val="01E0" w:firstRow="1" w:lastRow="1" w:firstColumn="1" w:lastColumn="1" w:noHBand="0" w:noVBand="0"/>
      </w:tblPr>
      <w:tblGrid>
        <w:gridCol w:w="1884"/>
        <w:gridCol w:w="1882"/>
        <w:gridCol w:w="1739"/>
        <w:gridCol w:w="1739"/>
        <w:gridCol w:w="1498"/>
      </w:tblGrid>
      <w:tr w:rsidR="00D349F6" w:rsidRPr="00D76AE5" w:rsidTr="005B05BF">
        <w:trPr>
          <w:cnfStyle w:val="100000000000" w:firstRow="1" w:lastRow="0" w:firstColumn="0" w:lastColumn="0" w:oddVBand="0" w:evenVBand="0" w:oddHBand="0" w:evenHBand="0" w:firstRowFirstColumn="0" w:firstRowLastColumn="0" w:lastRowFirstColumn="0" w:lastRowLastColumn="0"/>
          <w:trHeight w:val="714"/>
        </w:trPr>
        <w:tc>
          <w:tcPr>
            <w:tcW w:w="1884" w:type="dxa"/>
          </w:tcPr>
          <w:p w:rsidR="00D349F6" w:rsidRPr="00D76AE5" w:rsidRDefault="00D349F6" w:rsidP="00D76AE5">
            <w:pPr>
              <w:rPr>
                <w:sz w:val="20"/>
                <w:szCs w:val="20"/>
              </w:rPr>
            </w:pPr>
            <w:r w:rsidRPr="00D76AE5">
              <w:rPr>
                <w:sz w:val="20"/>
                <w:szCs w:val="20"/>
              </w:rPr>
              <w:t>Species</w:t>
            </w:r>
          </w:p>
        </w:tc>
        <w:tc>
          <w:tcPr>
            <w:tcW w:w="1882" w:type="dxa"/>
          </w:tcPr>
          <w:p w:rsidR="00D349F6" w:rsidRPr="00D76AE5" w:rsidRDefault="00D349F6" w:rsidP="00D76AE5">
            <w:pPr>
              <w:rPr>
                <w:sz w:val="20"/>
                <w:szCs w:val="20"/>
              </w:rPr>
            </w:pPr>
            <w:r w:rsidRPr="00D76AE5">
              <w:rPr>
                <w:sz w:val="20"/>
                <w:szCs w:val="20"/>
              </w:rPr>
              <w:t>Study</w:t>
            </w:r>
          </w:p>
        </w:tc>
        <w:tc>
          <w:tcPr>
            <w:tcW w:w="1739" w:type="dxa"/>
          </w:tcPr>
          <w:p w:rsidR="00D349F6" w:rsidRPr="00D76AE5" w:rsidRDefault="00D349F6" w:rsidP="00D76AE5">
            <w:pPr>
              <w:ind w:left="0"/>
              <w:rPr>
                <w:sz w:val="20"/>
                <w:szCs w:val="20"/>
              </w:rPr>
            </w:pPr>
            <w:r w:rsidRPr="00D76AE5">
              <w:rPr>
                <w:sz w:val="20"/>
                <w:szCs w:val="20"/>
              </w:rPr>
              <w:t>Dose</w:t>
            </w:r>
            <w:r w:rsidR="00D76AE5">
              <w:rPr>
                <w:sz w:val="20"/>
                <w:szCs w:val="20"/>
              </w:rPr>
              <w:t xml:space="preserve"> </w:t>
            </w:r>
            <w:r w:rsidRPr="00D76AE5">
              <w:rPr>
                <w:sz w:val="20"/>
                <w:szCs w:val="20"/>
              </w:rPr>
              <w:t>(mg/kg/day)</w:t>
            </w:r>
          </w:p>
        </w:tc>
        <w:tc>
          <w:tcPr>
            <w:tcW w:w="1739" w:type="dxa"/>
          </w:tcPr>
          <w:p w:rsidR="00D349F6" w:rsidRPr="00D76AE5" w:rsidRDefault="00926A16" w:rsidP="00D76AE5">
            <w:pPr>
              <w:rPr>
                <w:sz w:val="20"/>
                <w:szCs w:val="20"/>
              </w:rPr>
            </w:pPr>
            <w:r w:rsidRPr="00D76AE5">
              <w:rPr>
                <w:sz w:val="20"/>
                <w:szCs w:val="20"/>
              </w:rPr>
              <w:t>AUC</w:t>
            </w:r>
            <w:r w:rsidRPr="00D76AE5">
              <w:rPr>
                <w:sz w:val="20"/>
                <w:szCs w:val="20"/>
                <w:vertAlign w:val="subscript"/>
              </w:rPr>
              <w:t>0–24 h</w:t>
            </w:r>
            <w:r w:rsidR="00D76AE5">
              <w:rPr>
                <w:sz w:val="20"/>
                <w:szCs w:val="20"/>
                <w:vertAlign w:val="subscript"/>
              </w:rPr>
              <w:t xml:space="preserve"> </w:t>
            </w:r>
            <w:r w:rsidR="00D349F6" w:rsidRPr="00D76AE5">
              <w:rPr>
                <w:sz w:val="20"/>
                <w:szCs w:val="20"/>
              </w:rPr>
              <w:t>(</w:t>
            </w:r>
            <w:r w:rsidR="00913482" w:rsidRPr="00D76AE5">
              <w:rPr>
                <w:sz w:val="20"/>
                <w:szCs w:val="20"/>
              </w:rPr>
              <w:t>µg</w:t>
            </w:r>
            <w:r w:rsidR="00D349F6" w:rsidRPr="00D76AE5">
              <w:rPr>
                <w:sz w:val="20"/>
                <w:szCs w:val="20"/>
              </w:rPr>
              <w:t>.h/mL)</w:t>
            </w:r>
          </w:p>
        </w:tc>
        <w:tc>
          <w:tcPr>
            <w:tcW w:w="1498" w:type="dxa"/>
          </w:tcPr>
          <w:p w:rsidR="00D349F6" w:rsidRPr="00D76AE5" w:rsidRDefault="00D349F6" w:rsidP="00D76AE5">
            <w:pPr>
              <w:rPr>
                <w:sz w:val="20"/>
                <w:szCs w:val="20"/>
              </w:rPr>
            </w:pPr>
            <w:r w:rsidRPr="00D76AE5">
              <w:rPr>
                <w:sz w:val="20"/>
                <w:szCs w:val="20"/>
              </w:rPr>
              <w:t>Relative Exposure#</w:t>
            </w:r>
          </w:p>
        </w:tc>
      </w:tr>
      <w:tr w:rsidR="00D349F6" w:rsidRPr="00D76AE5" w:rsidTr="005B05BF">
        <w:trPr>
          <w:trHeight w:val="220"/>
        </w:trPr>
        <w:tc>
          <w:tcPr>
            <w:tcW w:w="1884" w:type="dxa"/>
            <w:vMerge w:val="restart"/>
          </w:tcPr>
          <w:p w:rsidR="00D349F6" w:rsidRPr="00D76AE5" w:rsidRDefault="00D349F6" w:rsidP="00D76AE5">
            <w:pPr>
              <w:rPr>
                <w:sz w:val="20"/>
                <w:szCs w:val="20"/>
              </w:rPr>
            </w:pPr>
            <w:r w:rsidRPr="00D76AE5">
              <w:rPr>
                <w:sz w:val="20"/>
                <w:szCs w:val="20"/>
              </w:rPr>
              <w:t>Mouse</w:t>
            </w:r>
          </w:p>
          <w:p w:rsidR="00D349F6" w:rsidRPr="00D76AE5" w:rsidRDefault="00D349F6" w:rsidP="00D76AE5">
            <w:pPr>
              <w:rPr>
                <w:sz w:val="20"/>
                <w:szCs w:val="20"/>
              </w:rPr>
            </w:pPr>
            <w:r w:rsidRPr="00D76AE5">
              <w:rPr>
                <w:sz w:val="20"/>
                <w:szCs w:val="20"/>
              </w:rPr>
              <w:t>(CD-1)</w:t>
            </w:r>
          </w:p>
        </w:tc>
        <w:tc>
          <w:tcPr>
            <w:tcW w:w="1882" w:type="dxa"/>
            <w:vMerge w:val="restart"/>
          </w:tcPr>
          <w:p w:rsidR="00D349F6" w:rsidRPr="00D76AE5" w:rsidRDefault="00D349F6" w:rsidP="00D76AE5">
            <w:pPr>
              <w:rPr>
                <w:sz w:val="20"/>
                <w:szCs w:val="20"/>
              </w:rPr>
            </w:pPr>
            <w:r w:rsidRPr="00D76AE5">
              <w:rPr>
                <w:sz w:val="20"/>
                <w:szCs w:val="20"/>
              </w:rPr>
              <w:t>Embryofetal development</w:t>
            </w:r>
          </w:p>
          <w:p w:rsidR="00D349F6" w:rsidRPr="00D76AE5" w:rsidRDefault="00D349F6" w:rsidP="00D76AE5">
            <w:pPr>
              <w:rPr>
                <w:sz w:val="20"/>
                <w:szCs w:val="20"/>
              </w:rPr>
            </w:pPr>
            <w:r w:rsidRPr="00D76AE5">
              <w:rPr>
                <w:sz w:val="20"/>
                <w:szCs w:val="20"/>
              </w:rPr>
              <w:t>(R&amp;D/11/369)</w:t>
            </w:r>
          </w:p>
        </w:tc>
        <w:tc>
          <w:tcPr>
            <w:tcW w:w="1739" w:type="dxa"/>
          </w:tcPr>
          <w:p w:rsidR="00D349F6" w:rsidRPr="00D76AE5" w:rsidRDefault="00D349F6" w:rsidP="00D76AE5">
            <w:pPr>
              <w:ind w:left="0"/>
              <w:rPr>
                <w:sz w:val="20"/>
                <w:szCs w:val="20"/>
              </w:rPr>
            </w:pPr>
            <w:r w:rsidRPr="00D76AE5">
              <w:rPr>
                <w:sz w:val="20"/>
                <w:szCs w:val="20"/>
              </w:rPr>
              <w:t>15</w:t>
            </w:r>
          </w:p>
        </w:tc>
        <w:tc>
          <w:tcPr>
            <w:tcW w:w="1739" w:type="dxa"/>
          </w:tcPr>
          <w:p w:rsidR="00D349F6" w:rsidRPr="00D76AE5" w:rsidRDefault="00D349F6" w:rsidP="00D76AE5">
            <w:pPr>
              <w:rPr>
                <w:sz w:val="20"/>
                <w:szCs w:val="20"/>
              </w:rPr>
            </w:pPr>
            <w:r w:rsidRPr="00D76AE5">
              <w:rPr>
                <w:sz w:val="20"/>
                <w:szCs w:val="20"/>
              </w:rPr>
              <w:t>13.6</w:t>
            </w:r>
          </w:p>
        </w:tc>
        <w:tc>
          <w:tcPr>
            <w:tcW w:w="1498" w:type="dxa"/>
          </w:tcPr>
          <w:p w:rsidR="00D349F6" w:rsidRPr="00D76AE5" w:rsidRDefault="00D349F6" w:rsidP="00D76AE5">
            <w:pPr>
              <w:rPr>
                <w:sz w:val="20"/>
                <w:szCs w:val="20"/>
              </w:rPr>
            </w:pPr>
            <w:r w:rsidRPr="00D76AE5">
              <w:rPr>
                <w:sz w:val="20"/>
                <w:szCs w:val="20"/>
              </w:rPr>
              <w:t>10</w:t>
            </w:r>
          </w:p>
        </w:tc>
      </w:tr>
      <w:tr w:rsidR="00D349F6" w:rsidRPr="00D76AE5" w:rsidTr="005B05BF">
        <w:trPr>
          <w:trHeight w:val="220"/>
        </w:trPr>
        <w:tc>
          <w:tcPr>
            <w:tcW w:w="1884" w:type="dxa"/>
            <w:vMerge/>
          </w:tcPr>
          <w:p w:rsidR="00D349F6" w:rsidRPr="00D76AE5" w:rsidRDefault="00D349F6" w:rsidP="00D76AE5">
            <w:pPr>
              <w:rPr>
                <w:sz w:val="20"/>
                <w:szCs w:val="20"/>
              </w:rPr>
            </w:pPr>
          </w:p>
        </w:tc>
        <w:tc>
          <w:tcPr>
            <w:tcW w:w="1882" w:type="dxa"/>
            <w:vMerge/>
          </w:tcPr>
          <w:p w:rsidR="00D349F6" w:rsidRPr="00D76AE5" w:rsidRDefault="00D349F6" w:rsidP="00D76AE5">
            <w:pPr>
              <w:rPr>
                <w:sz w:val="20"/>
                <w:szCs w:val="20"/>
              </w:rPr>
            </w:pPr>
          </w:p>
        </w:tc>
        <w:tc>
          <w:tcPr>
            <w:tcW w:w="1739" w:type="dxa"/>
          </w:tcPr>
          <w:p w:rsidR="00D349F6" w:rsidRPr="00D76AE5" w:rsidRDefault="00D349F6" w:rsidP="00D76AE5">
            <w:pPr>
              <w:ind w:left="0"/>
              <w:rPr>
                <w:sz w:val="20"/>
                <w:szCs w:val="20"/>
              </w:rPr>
            </w:pPr>
            <w:r w:rsidRPr="00D76AE5">
              <w:rPr>
                <w:sz w:val="20"/>
                <w:szCs w:val="20"/>
              </w:rPr>
              <w:t>50</w:t>
            </w:r>
          </w:p>
        </w:tc>
        <w:tc>
          <w:tcPr>
            <w:tcW w:w="1739" w:type="dxa"/>
          </w:tcPr>
          <w:p w:rsidR="00D349F6" w:rsidRPr="00D76AE5" w:rsidRDefault="00D349F6" w:rsidP="00D76AE5">
            <w:pPr>
              <w:rPr>
                <w:sz w:val="20"/>
                <w:szCs w:val="20"/>
              </w:rPr>
            </w:pPr>
            <w:r w:rsidRPr="00D76AE5">
              <w:rPr>
                <w:sz w:val="20"/>
                <w:szCs w:val="20"/>
              </w:rPr>
              <w:t>40</w:t>
            </w:r>
          </w:p>
        </w:tc>
        <w:tc>
          <w:tcPr>
            <w:tcW w:w="1498" w:type="dxa"/>
          </w:tcPr>
          <w:p w:rsidR="00D349F6" w:rsidRPr="00D76AE5" w:rsidRDefault="00D349F6" w:rsidP="00D76AE5">
            <w:pPr>
              <w:rPr>
                <w:sz w:val="20"/>
                <w:szCs w:val="20"/>
              </w:rPr>
            </w:pPr>
            <w:r w:rsidRPr="00D76AE5">
              <w:rPr>
                <w:sz w:val="20"/>
                <w:szCs w:val="20"/>
              </w:rPr>
              <w:t>28</w:t>
            </w:r>
          </w:p>
        </w:tc>
      </w:tr>
      <w:tr w:rsidR="00D349F6" w:rsidRPr="00D76AE5" w:rsidTr="005B05BF">
        <w:trPr>
          <w:trHeight w:val="220"/>
        </w:trPr>
        <w:tc>
          <w:tcPr>
            <w:tcW w:w="1884" w:type="dxa"/>
            <w:vMerge/>
          </w:tcPr>
          <w:p w:rsidR="00D349F6" w:rsidRPr="00D76AE5" w:rsidRDefault="00D349F6" w:rsidP="00D76AE5">
            <w:pPr>
              <w:rPr>
                <w:sz w:val="20"/>
                <w:szCs w:val="20"/>
              </w:rPr>
            </w:pPr>
          </w:p>
        </w:tc>
        <w:tc>
          <w:tcPr>
            <w:tcW w:w="1882" w:type="dxa"/>
            <w:vMerge/>
          </w:tcPr>
          <w:p w:rsidR="00D349F6" w:rsidRPr="00D76AE5" w:rsidRDefault="00D349F6" w:rsidP="00D76AE5">
            <w:pPr>
              <w:rPr>
                <w:sz w:val="20"/>
                <w:szCs w:val="20"/>
              </w:rPr>
            </w:pPr>
          </w:p>
        </w:tc>
        <w:tc>
          <w:tcPr>
            <w:tcW w:w="1739" w:type="dxa"/>
          </w:tcPr>
          <w:p w:rsidR="00D349F6" w:rsidRPr="00D76AE5" w:rsidRDefault="00D349F6" w:rsidP="00D76AE5">
            <w:pPr>
              <w:ind w:left="0"/>
              <w:rPr>
                <w:sz w:val="20"/>
                <w:szCs w:val="20"/>
              </w:rPr>
            </w:pPr>
            <w:r w:rsidRPr="00D76AE5">
              <w:rPr>
                <w:sz w:val="20"/>
                <w:szCs w:val="20"/>
              </w:rPr>
              <w:t>150</w:t>
            </w:r>
          </w:p>
        </w:tc>
        <w:tc>
          <w:tcPr>
            <w:tcW w:w="1739" w:type="dxa"/>
          </w:tcPr>
          <w:p w:rsidR="00D349F6" w:rsidRPr="00D76AE5" w:rsidRDefault="00D349F6" w:rsidP="00D76AE5">
            <w:pPr>
              <w:rPr>
                <w:sz w:val="20"/>
                <w:szCs w:val="20"/>
              </w:rPr>
            </w:pPr>
            <w:r w:rsidRPr="00D76AE5">
              <w:rPr>
                <w:sz w:val="20"/>
                <w:szCs w:val="20"/>
              </w:rPr>
              <w:t>38</w:t>
            </w:r>
          </w:p>
        </w:tc>
        <w:tc>
          <w:tcPr>
            <w:tcW w:w="1498" w:type="dxa"/>
          </w:tcPr>
          <w:p w:rsidR="00D349F6" w:rsidRPr="00D76AE5" w:rsidRDefault="00D349F6" w:rsidP="00D76AE5">
            <w:pPr>
              <w:rPr>
                <w:sz w:val="20"/>
                <w:szCs w:val="20"/>
              </w:rPr>
            </w:pPr>
            <w:r w:rsidRPr="00D76AE5">
              <w:rPr>
                <w:sz w:val="20"/>
                <w:szCs w:val="20"/>
              </w:rPr>
              <w:t>27</w:t>
            </w:r>
          </w:p>
        </w:tc>
      </w:tr>
      <w:tr w:rsidR="00D349F6" w:rsidRPr="00D76AE5" w:rsidTr="005B05BF">
        <w:trPr>
          <w:trHeight w:val="309"/>
        </w:trPr>
        <w:tc>
          <w:tcPr>
            <w:tcW w:w="1884" w:type="dxa"/>
            <w:vMerge w:val="restart"/>
          </w:tcPr>
          <w:p w:rsidR="00D349F6" w:rsidRPr="00D76AE5" w:rsidRDefault="00D349F6" w:rsidP="00D76AE5">
            <w:pPr>
              <w:rPr>
                <w:sz w:val="20"/>
                <w:szCs w:val="20"/>
              </w:rPr>
            </w:pPr>
            <w:r w:rsidRPr="00D76AE5">
              <w:rPr>
                <w:sz w:val="20"/>
                <w:szCs w:val="20"/>
              </w:rPr>
              <w:lastRenderedPageBreak/>
              <w:t>Rabbit</w:t>
            </w:r>
            <w:r w:rsidRPr="00D76AE5">
              <w:rPr>
                <w:sz w:val="20"/>
                <w:szCs w:val="20"/>
              </w:rPr>
              <w:br/>
              <w:t>(NZW)</w:t>
            </w:r>
          </w:p>
        </w:tc>
        <w:tc>
          <w:tcPr>
            <w:tcW w:w="1882" w:type="dxa"/>
            <w:vMerge w:val="restart"/>
          </w:tcPr>
          <w:p w:rsidR="00D349F6" w:rsidRPr="00D76AE5" w:rsidRDefault="00D349F6" w:rsidP="00D76AE5">
            <w:pPr>
              <w:rPr>
                <w:sz w:val="20"/>
                <w:szCs w:val="20"/>
              </w:rPr>
            </w:pPr>
            <w:r w:rsidRPr="00D76AE5">
              <w:rPr>
                <w:sz w:val="20"/>
                <w:szCs w:val="20"/>
              </w:rPr>
              <w:t>Embryofetal development</w:t>
            </w:r>
          </w:p>
          <w:p w:rsidR="00D349F6" w:rsidRPr="00D76AE5" w:rsidRDefault="00D349F6" w:rsidP="00D76AE5">
            <w:pPr>
              <w:rPr>
                <w:sz w:val="20"/>
                <w:szCs w:val="20"/>
              </w:rPr>
            </w:pPr>
            <w:r w:rsidRPr="00D76AE5">
              <w:rPr>
                <w:sz w:val="20"/>
                <w:szCs w:val="20"/>
              </w:rPr>
              <w:t>(R&amp;D/11/406)</w:t>
            </w:r>
          </w:p>
        </w:tc>
        <w:tc>
          <w:tcPr>
            <w:tcW w:w="1739" w:type="dxa"/>
          </w:tcPr>
          <w:p w:rsidR="00D349F6" w:rsidRPr="00D76AE5" w:rsidRDefault="00D349F6" w:rsidP="00D76AE5">
            <w:pPr>
              <w:ind w:left="0"/>
              <w:rPr>
                <w:sz w:val="20"/>
                <w:szCs w:val="20"/>
              </w:rPr>
            </w:pPr>
            <w:r w:rsidRPr="00D76AE5">
              <w:rPr>
                <w:sz w:val="20"/>
                <w:szCs w:val="20"/>
              </w:rPr>
              <w:t>10</w:t>
            </w:r>
          </w:p>
        </w:tc>
        <w:tc>
          <w:tcPr>
            <w:tcW w:w="1739" w:type="dxa"/>
          </w:tcPr>
          <w:p w:rsidR="00D349F6" w:rsidRPr="00D76AE5" w:rsidRDefault="00D349F6" w:rsidP="00D76AE5">
            <w:pPr>
              <w:rPr>
                <w:sz w:val="20"/>
                <w:szCs w:val="20"/>
              </w:rPr>
            </w:pPr>
            <w:r w:rsidRPr="00D76AE5">
              <w:rPr>
                <w:sz w:val="20"/>
                <w:szCs w:val="20"/>
              </w:rPr>
              <w:t>3.4</w:t>
            </w:r>
          </w:p>
        </w:tc>
        <w:tc>
          <w:tcPr>
            <w:tcW w:w="1498" w:type="dxa"/>
          </w:tcPr>
          <w:p w:rsidR="00D349F6" w:rsidRPr="00D76AE5" w:rsidRDefault="00D349F6" w:rsidP="00D76AE5">
            <w:pPr>
              <w:rPr>
                <w:sz w:val="20"/>
                <w:szCs w:val="20"/>
              </w:rPr>
            </w:pPr>
            <w:r w:rsidRPr="00D76AE5">
              <w:rPr>
                <w:sz w:val="20"/>
                <w:szCs w:val="20"/>
              </w:rPr>
              <w:t>2.4</w:t>
            </w:r>
          </w:p>
        </w:tc>
      </w:tr>
      <w:tr w:rsidR="00D349F6" w:rsidRPr="00D76AE5" w:rsidTr="005B05BF">
        <w:trPr>
          <w:trHeight w:val="185"/>
        </w:trPr>
        <w:tc>
          <w:tcPr>
            <w:tcW w:w="1884" w:type="dxa"/>
            <w:vMerge/>
          </w:tcPr>
          <w:p w:rsidR="00D349F6" w:rsidRPr="00D76AE5" w:rsidRDefault="00D349F6" w:rsidP="00D76AE5">
            <w:pPr>
              <w:rPr>
                <w:sz w:val="20"/>
                <w:szCs w:val="20"/>
              </w:rPr>
            </w:pPr>
          </w:p>
        </w:tc>
        <w:tc>
          <w:tcPr>
            <w:tcW w:w="1882" w:type="dxa"/>
            <w:vMerge/>
          </w:tcPr>
          <w:p w:rsidR="00D349F6" w:rsidRPr="00D76AE5" w:rsidRDefault="00D349F6" w:rsidP="00D76AE5">
            <w:pPr>
              <w:rPr>
                <w:sz w:val="20"/>
                <w:szCs w:val="20"/>
              </w:rPr>
            </w:pPr>
          </w:p>
        </w:tc>
        <w:tc>
          <w:tcPr>
            <w:tcW w:w="1739" w:type="dxa"/>
          </w:tcPr>
          <w:p w:rsidR="00D349F6" w:rsidRPr="00D76AE5" w:rsidRDefault="00D349F6" w:rsidP="00D76AE5">
            <w:pPr>
              <w:ind w:left="0"/>
              <w:rPr>
                <w:sz w:val="20"/>
                <w:szCs w:val="20"/>
              </w:rPr>
            </w:pPr>
            <w:r w:rsidRPr="00D76AE5">
              <w:rPr>
                <w:sz w:val="20"/>
                <w:szCs w:val="20"/>
              </w:rPr>
              <w:t>60</w:t>
            </w:r>
          </w:p>
        </w:tc>
        <w:tc>
          <w:tcPr>
            <w:tcW w:w="1739" w:type="dxa"/>
          </w:tcPr>
          <w:p w:rsidR="00D349F6" w:rsidRPr="00D76AE5" w:rsidRDefault="00D349F6" w:rsidP="00D76AE5">
            <w:pPr>
              <w:rPr>
                <w:sz w:val="20"/>
                <w:szCs w:val="20"/>
              </w:rPr>
            </w:pPr>
            <w:r w:rsidRPr="00D76AE5">
              <w:rPr>
                <w:sz w:val="20"/>
                <w:szCs w:val="20"/>
              </w:rPr>
              <w:t>6.3</w:t>
            </w:r>
          </w:p>
        </w:tc>
        <w:tc>
          <w:tcPr>
            <w:tcW w:w="1498" w:type="dxa"/>
          </w:tcPr>
          <w:p w:rsidR="00D349F6" w:rsidRPr="00D76AE5" w:rsidRDefault="00D349F6" w:rsidP="00D76AE5">
            <w:pPr>
              <w:rPr>
                <w:sz w:val="20"/>
                <w:szCs w:val="20"/>
              </w:rPr>
            </w:pPr>
            <w:r w:rsidRPr="00D76AE5">
              <w:rPr>
                <w:sz w:val="20"/>
                <w:szCs w:val="20"/>
              </w:rPr>
              <w:t>4.4</w:t>
            </w:r>
          </w:p>
        </w:tc>
      </w:tr>
      <w:tr w:rsidR="00D349F6" w:rsidRPr="00D76AE5" w:rsidTr="005B05BF">
        <w:trPr>
          <w:trHeight w:val="220"/>
        </w:trPr>
        <w:tc>
          <w:tcPr>
            <w:tcW w:w="1884" w:type="dxa"/>
          </w:tcPr>
          <w:p w:rsidR="00D349F6" w:rsidRPr="00D76AE5" w:rsidRDefault="00D349F6" w:rsidP="00D76AE5">
            <w:pPr>
              <w:rPr>
                <w:sz w:val="20"/>
                <w:szCs w:val="20"/>
              </w:rPr>
            </w:pPr>
            <w:r w:rsidRPr="00D76AE5">
              <w:rPr>
                <w:sz w:val="20"/>
                <w:szCs w:val="20"/>
              </w:rPr>
              <w:t>Human^</w:t>
            </w:r>
            <w:r w:rsidRPr="00D76AE5">
              <w:rPr>
                <w:sz w:val="20"/>
                <w:szCs w:val="20"/>
              </w:rPr>
              <w:br/>
              <w:t>(healthy volunteers)</w:t>
            </w:r>
          </w:p>
        </w:tc>
        <w:tc>
          <w:tcPr>
            <w:tcW w:w="1882" w:type="dxa"/>
          </w:tcPr>
          <w:p w:rsidR="00D349F6" w:rsidRPr="00D76AE5" w:rsidRDefault="00D349F6" w:rsidP="00D76AE5">
            <w:pPr>
              <w:rPr>
                <w:sz w:val="20"/>
                <w:szCs w:val="20"/>
              </w:rPr>
            </w:pPr>
            <w:r w:rsidRPr="00D76AE5">
              <w:rPr>
                <w:sz w:val="20"/>
                <w:szCs w:val="20"/>
              </w:rPr>
              <w:t>steady state</w:t>
            </w:r>
          </w:p>
        </w:tc>
        <w:tc>
          <w:tcPr>
            <w:tcW w:w="1739" w:type="dxa"/>
          </w:tcPr>
          <w:p w:rsidR="00D349F6" w:rsidRPr="00D76AE5" w:rsidRDefault="00D349F6" w:rsidP="00D76AE5">
            <w:pPr>
              <w:ind w:left="0"/>
              <w:rPr>
                <w:sz w:val="20"/>
                <w:szCs w:val="20"/>
              </w:rPr>
            </w:pPr>
            <w:r w:rsidRPr="00D76AE5">
              <w:rPr>
                <w:sz w:val="20"/>
                <w:szCs w:val="20"/>
              </w:rPr>
              <w:t>25 mg</w:t>
            </w:r>
          </w:p>
        </w:tc>
        <w:tc>
          <w:tcPr>
            <w:tcW w:w="1739" w:type="dxa"/>
          </w:tcPr>
          <w:p w:rsidR="00D349F6" w:rsidRPr="00D76AE5" w:rsidRDefault="00D349F6" w:rsidP="00D76AE5">
            <w:pPr>
              <w:rPr>
                <w:sz w:val="20"/>
                <w:szCs w:val="20"/>
              </w:rPr>
            </w:pPr>
            <w:r w:rsidRPr="00D76AE5">
              <w:rPr>
                <w:sz w:val="20"/>
                <w:szCs w:val="20"/>
              </w:rPr>
              <w:t>1.42</w:t>
            </w:r>
          </w:p>
        </w:tc>
        <w:tc>
          <w:tcPr>
            <w:tcW w:w="1498" w:type="dxa"/>
          </w:tcPr>
          <w:p w:rsidR="00D349F6" w:rsidRPr="00D76AE5" w:rsidRDefault="00D349F6" w:rsidP="00D76AE5">
            <w:pPr>
              <w:rPr>
                <w:sz w:val="20"/>
                <w:szCs w:val="20"/>
              </w:rPr>
            </w:pPr>
            <w:r w:rsidRPr="00D76AE5">
              <w:rPr>
                <w:sz w:val="20"/>
                <w:szCs w:val="20"/>
              </w:rPr>
              <w:t>–</w:t>
            </w:r>
          </w:p>
        </w:tc>
      </w:tr>
    </w:tbl>
    <w:p w:rsidR="00D349F6" w:rsidRPr="00D349F6" w:rsidRDefault="00D349F6" w:rsidP="00D349F6">
      <w:pPr>
        <w:pStyle w:val="TableDescription"/>
      </w:pPr>
      <w:r w:rsidRPr="00D349F6">
        <w:t>#</w:t>
      </w:r>
      <w:r w:rsidR="00BF1FC5">
        <w:t xml:space="preserve"> = </w:t>
      </w:r>
      <w:r w:rsidRPr="00D349F6">
        <w:t>animal:</w:t>
      </w:r>
      <w:r w:rsidR="001B21A9">
        <w:t xml:space="preserve"> </w:t>
      </w:r>
      <w:r w:rsidRPr="00D349F6">
        <w:t xml:space="preserve">human plasma </w:t>
      </w:r>
      <w:r w:rsidR="00926A16" w:rsidRPr="00CC0301">
        <w:t>AUC</w:t>
      </w:r>
      <w:r w:rsidR="00926A16" w:rsidRPr="00926A16">
        <w:rPr>
          <w:vertAlign w:val="subscript"/>
        </w:rPr>
        <w:t>0–24 </w:t>
      </w:r>
      <w:proofErr w:type="gramStart"/>
      <w:r w:rsidR="00926A16" w:rsidRPr="00926A16">
        <w:rPr>
          <w:vertAlign w:val="subscript"/>
        </w:rPr>
        <w:t>h</w:t>
      </w:r>
      <w:r w:rsidRPr="00D349F6">
        <w:t xml:space="preserve"> ;</w:t>
      </w:r>
      <w:proofErr w:type="gramEnd"/>
      <w:r w:rsidRPr="00D349F6">
        <w:t xml:space="preserve"> ^Based on PK parameters derived from healthy volunteers (Study No. R&amp;D/14/0050)</w:t>
      </w:r>
    </w:p>
    <w:p w:rsidR="00D349F6" w:rsidRPr="00D349F6" w:rsidRDefault="00D349F6" w:rsidP="00FF289D">
      <w:pPr>
        <w:pStyle w:val="Tabletitle0"/>
      </w:pPr>
      <w:r>
        <w:t>Table</w:t>
      </w:r>
      <w:r w:rsidR="008D1B95">
        <w:t xml:space="preserve"> 8:</w:t>
      </w:r>
      <w:r>
        <w:t xml:space="preserve"> </w:t>
      </w:r>
      <w:r w:rsidRPr="00D349F6">
        <w:t>Relative exposure in reproductive toxicity studies based on body surface area (BSA) comparisons when plasma data were not available</w:t>
      </w:r>
      <w:r w:rsidR="005B05BF">
        <w:t xml:space="preserve"> - ombitasvir</w:t>
      </w:r>
    </w:p>
    <w:tbl>
      <w:tblPr>
        <w:tblStyle w:val="TableTGAblue"/>
        <w:tblW w:w="8626" w:type="dxa"/>
        <w:tblLayout w:type="fixed"/>
        <w:tblLook w:val="01E0" w:firstRow="1" w:lastRow="1" w:firstColumn="1" w:lastColumn="1" w:noHBand="0" w:noVBand="0"/>
      </w:tblPr>
      <w:tblGrid>
        <w:gridCol w:w="1809"/>
        <w:gridCol w:w="1807"/>
        <w:gridCol w:w="1670"/>
        <w:gridCol w:w="1670"/>
        <w:gridCol w:w="1670"/>
      </w:tblGrid>
      <w:tr w:rsidR="00D349F6" w:rsidRPr="00D76AE5" w:rsidTr="005B05BF">
        <w:trPr>
          <w:cnfStyle w:val="100000000000" w:firstRow="1" w:lastRow="0" w:firstColumn="0" w:lastColumn="0" w:oddVBand="0" w:evenVBand="0" w:oddHBand="0" w:evenHBand="0" w:firstRowFirstColumn="0" w:firstRowLastColumn="0" w:lastRowFirstColumn="0" w:lastRowLastColumn="0"/>
          <w:trHeight w:val="662"/>
        </w:trPr>
        <w:tc>
          <w:tcPr>
            <w:tcW w:w="1809" w:type="dxa"/>
          </w:tcPr>
          <w:p w:rsidR="00D349F6" w:rsidRPr="00D76AE5" w:rsidRDefault="00D349F6" w:rsidP="00D349F6">
            <w:pPr>
              <w:spacing w:line="240" w:lineRule="auto"/>
              <w:ind w:left="0" w:right="0"/>
              <w:rPr>
                <w:sz w:val="20"/>
                <w:szCs w:val="20"/>
              </w:rPr>
            </w:pPr>
            <w:r w:rsidRPr="00D76AE5">
              <w:rPr>
                <w:sz w:val="20"/>
                <w:szCs w:val="20"/>
              </w:rPr>
              <w:t>Species</w:t>
            </w:r>
          </w:p>
        </w:tc>
        <w:tc>
          <w:tcPr>
            <w:tcW w:w="1807" w:type="dxa"/>
          </w:tcPr>
          <w:p w:rsidR="00D349F6" w:rsidRPr="00D76AE5" w:rsidRDefault="00D349F6" w:rsidP="00D349F6">
            <w:pPr>
              <w:spacing w:line="240" w:lineRule="auto"/>
              <w:ind w:left="0" w:right="0"/>
              <w:rPr>
                <w:sz w:val="20"/>
                <w:szCs w:val="20"/>
              </w:rPr>
            </w:pPr>
            <w:r w:rsidRPr="00D76AE5">
              <w:rPr>
                <w:sz w:val="20"/>
                <w:szCs w:val="20"/>
              </w:rPr>
              <w:t>Study</w:t>
            </w:r>
          </w:p>
        </w:tc>
        <w:tc>
          <w:tcPr>
            <w:tcW w:w="1670" w:type="dxa"/>
          </w:tcPr>
          <w:p w:rsidR="00D349F6" w:rsidRPr="00D76AE5" w:rsidRDefault="00D349F6" w:rsidP="00D76AE5">
            <w:pPr>
              <w:spacing w:line="240" w:lineRule="auto"/>
              <w:ind w:left="0" w:right="0"/>
              <w:rPr>
                <w:sz w:val="20"/>
                <w:szCs w:val="20"/>
              </w:rPr>
            </w:pPr>
            <w:r w:rsidRPr="00D76AE5">
              <w:rPr>
                <w:sz w:val="20"/>
                <w:szCs w:val="20"/>
              </w:rPr>
              <w:t>Dose</w:t>
            </w:r>
            <w:r w:rsidR="00D76AE5">
              <w:rPr>
                <w:sz w:val="20"/>
                <w:szCs w:val="20"/>
              </w:rPr>
              <w:t xml:space="preserve"> </w:t>
            </w:r>
            <w:r w:rsidRPr="00D76AE5">
              <w:rPr>
                <w:sz w:val="20"/>
                <w:szCs w:val="20"/>
              </w:rPr>
              <w:t>(mg/kg/day)</w:t>
            </w:r>
          </w:p>
        </w:tc>
        <w:tc>
          <w:tcPr>
            <w:tcW w:w="1670" w:type="dxa"/>
          </w:tcPr>
          <w:p w:rsidR="00D349F6" w:rsidRPr="00D76AE5" w:rsidRDefault="00D349F6" w:rsidP="00D76AE5">
            <w:pPr>
              <w:spacing w:line="240" w:lineRule="auto"/>
              <w:ind w:left="0" w:right="0"/>
              <w:rPr>
                <w:sz w:val="20"/>
                <w:szCs w:val="20"/>
              </w:rPr>
            </w:pPr>
            <w:r w:rsidRPr="00D76AE5">
              <w:rPr>
                <w:sz w:val="20"/>
                <w:szCs w:val="20"/>
              </w:rPr>
              <w:t>Dose</w:t>
            </w:r>
            <w:r w:rsidR="00D76AE5">
              <w:rPr>
                <w:sz w:val="20"/>
                <w:szCs w:val="20"/>
              </w:rPr>
              <w:t xml:space="preserve"> </w:t>
            </w:r>
            <w:r w:rsidRPr="00D76AE5">
              <w:rPr>
                <w:sz w:val="20"/>
                <w:szCs w:val="20"/>
              </w:rPr>
              <w:t>(mg/m2/day)</w:t>
            </w:r>
          </w:p>
        </w:tc>
        <w:tc>
          <w:tcPr>
            <w:tcW w:w="1670" w:type="dxa"/>
          </w:tcPr>
          <w:p w:rsidR="00D349F6" w:rsidRPr="00D76AE5" w:rsidRDefault="00D349F6" w:rsidP="00D349F6">
            <w:pPr>
              <w:spacing w:line="240" w:lineRule="auto"/>
              <w:ind w:left="0" w:right="0"/>
              <w:rPr>
                <w:sz w:val="20"/>
                <w:szCs w:val="20"/>
              </w:rPr>
            </w:pPr>
            <w:r w:rsidRPr="00D76AE5">
              <w:rPr>
                <w:sz w:val="20"/>
                <w:szCs w:val="20"/>
              </w:rPr>
              <w:t>Dose ratio#</w:t>
            </w:r>
          </w:p>
        </w:tc>
      </w:tr>
      <w:tr w:rsidR="00D349F6" w:rsidRPr="00D76AE5" w:rsidTr="005B05BF">
        <w:trPr>
          <w:trHeight w:val="230"/>
        </w:trPr>
        <w:tc>
          <w:tcPr>
            <w:tcW w:w="1809" w:type="dxa"/>
            <w:vMerge w:val="restart"/>
          </w:tcPr>
          <w:p w:rsidR="00D349F6" w:rsidRPr="00D76AE5" w:rsidRDefault="00D349F6" w:rsidP="00D349F6">
            <w:pPr>
              <w:spacing w:line="240" w:lineRule="auto"/>
              <w:ind w:left="0" w:right="0"/>
              <w:rPr>
                <w:sz w:val="20"/>
                <w:szCs w:val="20"/>
              </w:rPr>
            </w:pPr>
            <w:r w:rsidRPr="00D76AE5">
              <w:rPr>
                <w:sz w:val="20"/>
                <w:szCs w:val="20"/>
              </w:rPr>
              <w:t>Mouse</w:t>
            </w:r>
            <w:r w:rsidRPr="00D76AE5">
              <w:rPr>
                <w:sz w:val="20"/>
                <w:szCs w:val="20"/>
              </w:rPr>
              <w:br/>
              <w:t>(CD-1)</w:t>
            </w:r>
          </w:p>
        </w:tc>
        <w:tc>
          <w:tcPr>
            <w:tcW w:w="1807" w:type="dxa"/>
            <w:vMerge w:val="restart"/>
          </w:tcPr>
          <w:p w:rsidR="00D349F6" w:rsidRPr="00D76AE5" w:rsidRDefault="00D349F6" w:rsidP="00D349F6">
            <w:pPr>
              <w:spacing w:line="240" w:lineRule="auto"/>
              <w:ind w:left="0" w:right="0"/>
              <w:rPr>
                <w:sz w:val="20"/>
                <w:szCs w:val="20"/>
              </w:rPr>
            </w:pPr>
            <w:r w:rsidRPr="00D76AE5">
              <w:rPr>
                <w:sz w:val="20"/>
                <w:szCs w:val="20"/>
              </w:rPr>
              <w:t>Fertility</w:t>
            </w:r>
          </w:p>
        </w:tc>
        <w:tc>
          <w:tcPr>
            <w:tcW w:w="1670" w:type="dxa"/>
          </w:tcPr>
          <w:p w:rsidR="00D349F6" w:rsidRPr="00D76AE5" w:rsidRDefault="00D349F6" w:rsidP="00D349F6">
            <w:pPr>
              <w:spacing w:line="240" w:lineRule="auto"/>
              <w:ind w:left="0" w:right="0"/>
              <w:rPr>
                <w:sz w:val="20"/>
                <w:szCs w:val="20"/>
              </w:rPr>
            </w:pPr>
            <w:r w:rsidRPr="00D76AE5">
              <w:rPr>
                <w:sz w:val="20"/>
                <w:szCs w:val="20"/>
              </w:rPr>
              <w:t>10</w:t>
            </w:r>
          </w:p>
        </w:tc>
        <w:tc>
          <w:tcPr>
            <w:tcW w:w="1670" w:type="dxa"/>
          </w:tcPr>
          <w:p w:rsidR="00D349F6" w:rsidRPr="00D76AE5" w:rsidRDefault="00D349F6" w:rsidP="00D349F6">
            <w:pPr>
              <w:spacing w:line="240" w:lineRule="auto"/>
              <w:ind w:left="0" w:right="0"/>
              <w:rPr>
                <w:sz w:val="20"/>
                <w:szCs w:val="20"/>
              </w:rPr>
            </w:pPr>
            <w:r w:rsidRPr="00D76AE5">
              <w:rPr>
                <w:sz w:val="20"/>
                <w:szCs w:val="20"/>
              </w:rPr>
              <w:t>30</w:t>
            </w:r>
          </w:p>
        </w:tc>
        <w:tc>
          <w:tcPr>
            <w:tcW w:w="1670" w:type="dxa"/>
          </w:tcPr>
          <w:p w:rsidR="00D349F6" w:rsidRPr="00D76AE5" w:rsidRDefault="00D349F6" w:rsidP="00D349F6">
            <w:pPr>
              <w:spacing w:line="240" w:lineRule="auto"/>
              <w:ind w:left="0" w:right="0"/>
              <w:rPr>
                <w:sz w:val="20"/>
                <w:szCs w:val="20"/>
              </w:rPr>
            </w:pPr>
            <w:r w:rsidRPr="00D76AE5">
              <w:rPr>
                <w:sz w:val="20"/>
                <w:szCs w:val="20"/>
              </w:rPr>
              <w:t>1.8</w:t>
            </w:r>
          </w:p>
        </w:tc>
      </w:tr>
      <w:tr w:rsidR="00D349F6" w:rsidRPr="00D76AE5" w:rsidTr="005B05BF">
        <w:trPr>
          <w:trHeight w:val="225"/>
        </w:trPr>
        <w:tc>
          <w:tcPr>
            <w:tcW w:w="1809" w:type="dxa"/>
            <w:vMerge/>
          </w:tcPr>
          <w:p w:rsidR="00D349F6" w:rsidRPr="00D76AE5" w:rsidRDefault="00D349F6" w:rsidP="00D349F6">
            <w:pPr>
              <w:spacing w:line="240" w:lineRule="auto"/>
              <w:ind w:left="0" w:right="0"/>
              <w:rPr>
                <w:sz w:val="20"/>
                <w:szCs w:val="20"/>
              </w:rPr>
            </w:pPr>
          </w:p>
        </w:tc>
        <w:tc>
          <w:tcPr>
            <w:tcW w:w="1807" w:type="dxa"/>
            <w:vMerge/>
          </w:tcPr>
          <w:p w:rsidR="00D349F6" w:rsidRPr="00D76AE5" w:rsidRDefault="00D349F6" w:rsidP="00D349F6">
            <w:pPr>
              <w:spacing w:line="240" w:lineRule="auto"/>
              <w:ind w:left="0" w:right="0"/>
              <w:rPr>
                <w:sz w:val="20"/>
                <w:szCs w:val="20"/>
              </w:rPr>
            </w:pPr>
          </w:p>
        </w:tc>
        <w:tc>
          <w:tcPr>
            <w:tcW w:w="1670" w:type="dxa"/>
          </w:tcPr>
          <w:p w:rsidR="00D349F6" w:rsidRPr="00D76AE5" w:rsidRDefault="00D349F6" w:rsidP="00D349F6">
            <w:pPr>
              <w:spacing w:line="240" w:lineRule="auto"/>
              <w:ind w:left="0" w:right="0"/>
              <w:rPr>
                <w:sz w:val="20"/>
                <w:szCs w:val="20"/>
              </w:rPr>
            </w:pPr>
            <w:r w:rsidRPr="00D76AE5">
              <w:rPr>
                <w:sz w:val="20"/>
                <w:szCs w:val="20"/>
              </w:rPr>
              <w:t>40</w:t>
            </w:r>
          </w:p>
        </w:tc>
        <w:tc>
          <w:tcPr>
            <w:tcW w:w="1670" w:type="dxa"/>
          </w:tcPr>
          <w:p w:rsidR="00D349F6" w:rsidRPr="00D76AE5" w:rsidRDefault="00D349F6" w:rsidP="00D349F6">
            <w:pPr>
              <w:spacing w:line="240" w:lineRule="auto"/>
              <w:ind w:left="0" w:right="0"/>
              <w:rPr>
                <w:sz w:val="20"/>
                <w:szCs w:val="20"/>
              </w:rPr>
            </w:pPr>
            <w:r w:rsidRPr="00D76AE5">
              <w:rPr>
                <w:sz w:val="20"/>
                <w:szCs w:val="20"/>
              </w:rPr>
              <w:t>120</w:t>
            </w:r>
          </w:p>
        </w:tc>
        <w:tc>
          <w:tcPr>
            <w:tcW w:w="1670" w:type="dxa"/>
          </w:tcPr>
          <w:p w:rsidR="00D349F6" w:rsidRPr="00D76AE5" w:rsidRDefault="00D349F6" w:rsidP="00D349F6">
            <w:pPr>
              <w:spacing w:line="240" w:lineRule="auto"/>
              <w:ind w:left="0" w:right="0"/>
              <w:rPr>
                <w:sz w:val="20"/>
                <w:szCs w:val="20"/>
              </w:rPr>
            </w:pPr>
            <w:r w:rsidRPr="00D76AE5">
              <w:rPr>
                <w:sz w:val="20"/>
                <w:szCs w:val="20"/>
              </w:rPr>
              <w:t>7.3</w:t>
            </w:r>
          </w:p>
        </w:tc>
      </w:tr>
      <w:tr w:rsidR="00D349F6" w:rsidRPr="00D76AE5" w:rsidTr="005B05BF">
        <w:trPr>
          <w:trHeight w:val="225"/>
        </w:trPr>
        <w:tc>
          <w:tcPr>
            <w:tcW w:w="1809" w:type="dxa"/>
            <w:vMerge/>
          </w:tcPr>
          <w:p w:rsidR="00D349F6" w:rsidRPr="00D76AE5" w:rsidRDefault="00D349F6" w:rsidP="00D349F6">
            <w:pPr>
              <w:spacing w:line="240" w:lineRule="auto"/>
              <w:ind w:left="0" w:right="0"/>
              <w:rPr>
                <w:sz w:val="20"/>
                <w:szCs w:val="20"/>
              </w:rPr>
            </w:pPr>
          </w:p>
        </w:tc>
        <w:tc>
          <w:tcPr>
            <w:tcW w:w="1807" w:type="dxa"/>
            <w:vMerge/>
          </w:tcPr>
          <w:p w:rsidR="00D349F6" w:rsidRPr="00D76AE5" w:rsidRDefault="00D349F6" w:rsidP="00D349F6">
            <w:pPr>
              <w:spacing w:line="240" w:lineRule="auto"/>
              <w:ind w:left="0" w:right="0"/>
              <w:rPr>
                <w:sz w:val="20"/>
                <w:szCs w:val="20"/>
              </w:rPr>
            </w:pPr>
          </w:p>
        </w:tc>
        <w:tc>
          <w:tcPr>
            <w:tcW w:w="1670" w:type="dxa"/>
          </w:tcPr>
          <w:p w:rsidR="00D349F6" w:rsidRPr="00D76AE5" w:rsidRDefault="00D349F6" w:rsidP="00D349F6">
            <w:pPr>
              <w:spacing w:line="240" w:lineRule="auto"/>
              <w:ind w:left="0" w:right="0"/>
              <w:rPr>
                <w:sz w:val="20"/>
                <w:szCs w:val="20"/>
              </w:rPr>
            </w:pPr>
            <w:r w:rsidRPr="00D76AE5">
              <w:rPr>
                <w:sz w:val="20"/>
                <w:szCs w:val="20"/>
              </w:rPr>
              <w:t>200</w:t>
            </w:r>
          </w:p>
        </w:tc>
        <w:tc>
          <w:tcPr>
            <w:tcW w:w="1670" w:type="dxa"/>
          </w:tcPr>
          <w:p w:rsidR="00D349F6" w:rsidRPr="00D76AE5" w:rsidRDefault="00D349F6" w:rsidP="00D349F6">
            <w:pPr>
              <w:spacing w:line="240" w:lineRule="auto"/>
              <w:ind w:left="0" w:right="0"/>
              <w:rPr>
                <w:sz w:val="20"/>
                <w:szCs w:val="20"/>
              </w:rPr>
            </w:pPr>
            <w:r w:rsidRPr="00D76AE5">
              <w:rPr>
                <w:sz w:val="20"/>
                <w:szCs w:val="20"/>
              </w:rPr>
              <w:t>600</w:t>
            </w:r>
          </w:p>
        </w:tc>
        <w:tc>
          <w:tcPr>
            <w:tcW w:w="1670" w:type="dxa"/>
          </w:tcPr>
          <w:p w:rsidR="00D349F6" w:rsidRPr="00D76AE5" w:rsidRDefault="00D349F6" w:rsidP="00D349F6">
            <w:pPr>
              <w:spacing w:line="240" w:lineRule="auto"/>
              <w:ind w:left="0" w:right="0"/>
              <w:rPr>
                <w:sz w:val="20"/>
                <w:szCs w:val="20"/>
              </w:rPr>
            </w:pPr>
            <w:r w:rsidRPr="00D76AE5">
              <w:rPr>
                <w:sz w:val="20"/>
                <w:szCs w:val="20"/>
              </w:rPr>
              <w:t>36.4</w:t>
            </w:r>
          </w:p>
        </w:tc>
      </w:tr>
      <w:tr w:rsidR="00D349F6" w:rsidRPr="00D76AE5" w:rsidTr="005B05BF">
        <w:trPr>
          <w:trHeight w:val="225"/>
        </w:trPr>
        <w:tc>
          <w:tcPr>
            <w:tcW w:w="1809" w:type="dxa"/>
            <w:vMerge/>
          </w:tcPr>
          <w:p w:rsidR="00D349F6" w:rsidRPr="00D76AE5" w:rsidRDefault="00D349F6" w:rsidP="00D349F6">
            <w:pPr>
              <w:spacing w:line="240" w:lineRule="auto"/>
              <w:ind w:left="0" w:right="0"/>
              <w:rPr>
                <w:sz w:val="20"/>
                <w:szCs w:val="20"/>
              </w:rPr>
            </w:pPr>
          </w:p>
        </w:tc>
        <w:tc>
          <w:tcPr>
            <w:tcW w:w="1807" w:type="dxa"/>
            <w:vMerge w:val="restart"/>
          </w:tcPr>
          <w:p w:rsidR="00D349F6" w:rsidRPr="00D76AE5" w:rsidRDefault="00D349F6" w:rsidP="00D349F6">
            <w:pPr>
              <w:spacing w:line="240" w:lineRule="auto"/>
              <w:ind w:left="0" w:right="0"/>
              <w:rPr>
                <w:sz w:val="20"/>
                <w:szCs w:val="20"/>
              </w:rPr>
            </w:pPr>
            <w:r w:rsidRPr="00D76AE5">
              <w:rPr>
                <w:sz w:val="20"/>
                <w:szCs w:val="20"/>
              </w:rPr>
              <w:t>Peri-/postnatal development</w:t>
            </w:r>
          </w:p>
          <w:p w:rsidR="00D349F6" w:rsidRPr="00D76AE5" w:rsidRDefault="00D349F6" w:rsidP="00D349F6">
            <w:pPr>
              <w:spacing w:line="240" w:lineRule="auto"/>
              <w:ind w:left="0" w:right="0"/>
              <w:rPr>
                <w:sz w:val="20"/>
                <w:szCs w:val="20"/>
              </w:rPr>
            </w:pPr>
            <w:r w:rsidRPr="00D76AE5">
              <w:rPr>
                <w:sz w:val="20"/>
                <w:szCs w:val="20"/>
              </w:rPr>
              <w:t>(R&amp;D/)</w:t>
            </w:r>
          </w:p>
        </w:tc>
        <w:tc>
          <w:tcPr>
            <w:tcW w:w="1670" w:type="dxa"/>
          </w:tcPr>
          <w:p w:rsidR="00D349F6" w:rsidRPr="00D76AE5" w:rsidRDefault="00D349F6" w:rsidP="00D349F6">
            <w:pPr>
              <w:spacing w:line="240" w:lineRule="auto"/>
              <w:ind w:left="0" w:right="0"/>
              <w:rPr>
                <w:sz w:val="20"/>
                <w:szCs w:val="20"/>
              </w:rPr>
            </w:pPr>
            <w:r w:rsidRPr="00D76AE5">
              <w:rPr>
                <w:sz w:val="20"/>
                <w:szCs w:val="20"/>
              </w:rPr>
              <w:t>10</w:t>
            </w:r>
          </w:p>
        </w:tc>
        <w:tc>
          <w:tcPr>
            <w:tcW w:w="1670" w:type="dxa"/>
          </w:tcPr>
          <w:p w:rsidR="00D349F6" w:rsidRPr="00D76AE5" w:rsidRDefault="00D349F6" w:rsidP="00D349F6">
            <w:pPr>
              <w:spacing w:line="240" w:lineRule="auto"/>
              <w:ind w:left="0" w:right="0"/>
              <w:rPr>
                <w:sz w:val="20"/>
                <w:szCs w:val="20"/>
              </w:rPr>
            </w:pPr>
            <w:r w:rsidRPr="00D76AE5">
              <w:rPr>
                <w:sz w:val="20"/>
                <w:szCs w:val="20"/>
              </w:rPr>
              <w:t>30</w:t>
            </w:r>
          </w:p>
        </w:tc>
        <w:tc>
          <w:tcPr>
            <w:tcW w:w="1670" w:type="dxa"/>
          </w:tcPr>
          <w:p w:rsidR="00D349F6" w:rsidRPr="00D76AE5" w:rsidRDefault="00D349F6" w:rsidP="00D349F6">
            <w:pPr>
              <w:spacing w:line="240" w:lineRule="auto"/>
              <w:ind w:left="0" w:right="0"/>
              <w:rPr>
                <w:sz w:val="20"/>
                <w:szCs w:val="20"/>
              </w:rPr>
            </w:pPr>
            <w:r w:rsidRPr="00D76AE5">
              <w:rPr>
                <w:sz w:val="20"/>
                <w:szCs w:val="20"/>
              </w:rPr>
              <w:t>1.8</w:t>
            </w:r>
          </w:p>
        </w:tc>
      </w:tr>
      <w:tr w:rsidR="00D349F6" w:rsidRPr="00D76AE5" w:rsidTr="005B05BF">
        <w:trPr>
          <w:trHeight w:val="225"/>
        </w:trPr>
        <w:tc>
          <w:tcPr>
            <w:tcW w:w="1809" w:type="dxa"/>
            <w:vMerge/>
          </w:tcPr>
          <w:p w:rsidR="00D349F6" w:rsidRPr="00D76AE5" w:rsidRDefault="00D349F6" w:rsidP="00D349F6">
            <w:pPr>
              <w:spacing w:line="240" w:lineRule="auto"/>
              <w:ind w:left="0" w:right="0"/>
              <w:rPr>
                <w:sz w:val="20"/>
                <w:szCs w:val="20"/>
              </w:rPr>
            </w:pPr>
          </w:p>
        </w:tc>
        <w:tc>
          <w:tcPr>
            <w:tcW w:w="1807" w:type="dxa"/>
            <w:vMerge/>
          </w:tcPr>
          <w:p w:rsidR="00D349F6" w:rsidRPr="00D76AE5" w:rsidRDefault="00D349F6" w:rsidP="00D349F6">
            <w:pPr>
              <w:spacing w:line="240" w:lineRule="auto"/>
              <w:ind w:left="0" w:right="0"/>
              <w:rPr>
                <w:sz w:val="20"/>
                <w:szCs w:val="20"/>
              </w:rPr>
            </w:pPr>
          </w:p>
        </w:tc>
        <w:tc>
          <w:tcPr>
            <w:tcW w:w="1670" w:type="dxa"/>
          </w:tcPr>
          <w:p w:rsidR="00D349F6" w:rsidRPr="00D76AE5" w:rsidRDefault="00D349F6" w:rsidP="00D349F6">
            <w:pPr>
              <w:spacing w:line="240" w:lineRule="auto"/>
              <w:ind w:left="0" w:right="0"/>
              <w:rPr>
                <w:sz w:val="20"/>
                <w:szCs w:val="20"/>
              </w:rPr>
            </w:pPr>
            <w:r w:rsidRPr="00D76AE5">
              <w:rPr>
                <w:sz w:val="20"/>
                <w:szCs w:val="20"/>
              </w:rPr>
              <w:t>40</w:t>
            </w:r>
          </w:p>
        </w:tc>
        <w:tc>
          <w:tcPr>
            <w:tcW w:w="1670" w:type="dxa"/>
          </w:tcPr>
          <w:p w:rsidR="00D349F6" w:rsidRPr="00D76AE5" w:rsidRDefault="00D349F6" w:rsidP="00D349F6">
            <w:pPr>
              <w:spacing w:line="240" w:lineRule="auto"/>
              <w:ind w:left="0" w:right="0"/>
              <w:rPr>
                <w:sz w:val="20"/>
                <w:szCs w:val="20"/>
              </w:rPr>
            </w:pPr>
            <w:r w:rsidRPr="00D76AE5">
              <w:rPr>
                <w:sz w:val="20"/>
                <w:szCs w:val="20"/>
              </w:rPr>
              <w:t>120</w:t>
            </w:r>
          </w:p>
        </w:tc>
        <w:tc>
          <w:tcPr>
            <w:tcW w:w="1670" w:type="dxa"/>
          </w:tcPr>
          <w:p w:rsidR="00D349F6" w:rsidRPr="00D76AE5" w:rsidRDefault="00D349F6" w:rsidP="00D349F6">
            <w:pPr>
              <w:spacing w:line="240" w:lineRule="auto"/>
              <w:ind w:left="0" w:right="0"/>
              <w:rPr>
                <w:sz w:val="20"/>
                <w:szCs w:val="20"/>
              </w:rPr>
            </w:pPr>
            <w:r w:rsidRPr="00D76AE5">
              <w:rPr>
                <w:sz w:val="20"/>
                <w:szCs w:val="20"/>
              </w:rPr>
              <w:t>7.3</w:t>
            </w:r>
          </w:p>
        </w:tc>
      </w:tr>
      <w:tr w:rsidR="00D349F6" w:rsidRPr="00D76AE5" w:rsidTr="005B05BF">
        <w:trPr>
          <w:trHeight w:val="225"/>
        </w:trPr>
        <w:tc>
          <w:tcPr>
            <w:tcW w:w="1809" w:type="dxa"/>
            <w:vMerge/>
          </w:tcPr>
          <w:p w:rsidR="00D349F6" w:rsidRPr="00D76AE5" w:rsidRDefault="00D349F6" w:rsidP="00D349F6">
            <w:pPr>
              <w:spacing w:line="240" w:lineRule="auto"/>
              <w:ind w:left="0" w:right="0"/>
              <w:rPr>
                <w:sz w:val="20"/>
                <w:szCs w:val="20"/>
              </w:rPr>
            </w:pPr>
          </w:p>
        </w:tc>
        <w:tc>
          <w:tcPr>
            <w:tcW w:w="1807" w:type="dxa"/>
            <w:vMerge/>
          </w:tcPr>
          <w:p w:rsidR="00D349F6" w:rsidRPr="00D76AE5" w:rsidRDefault="00D349F6" w:rsidP="00D349F6">
            <w:pPr>
              <w:spacing w:line="240" w:lineRule="auto"/>
              <w:ind w:left="0" w:right="0"/>
              <w:rPr>
                <w:sz w:val="20"/>
                <w:szCs w:val="20"/>
              </w:rPr>
            </w:pPr>
          </w:p>
        </w:tc>
        <w:tc>
          <w:tcPr>
            <w:tcW w:w="1670" w:type="dxa"/>
          </w:tcPr>
          <w:p w:rsidR="00D349F6" w:rsidRPr="00D76AE5" w:rsidRDefault="00D349F6" w:rsidP="00D349F6">
            <w:pPr>
              <w:spacing w:line="240" w:lineRule="auto"/>
              <w:ind w:left="0" w:right="0"/>
              <w:rPr>
                <w:sz w:val="20"/>
                <w:szCs w:val="20"/>
              </w:rPr>
            </w:pPr>
            <w:r w:rsidRPr="00D76AE5">
              <w:rPr>
                <w:sz w:val="20"/>
                <w:szCs w:val="20"/>
              </w:rPr>
              <w:t>200</w:t>
            </w:r>
          </w:p>
        </w:tc>
        <w:tc>
          <w:tcPr>
            <w:tcW w:w="1670" w:type="dxa"/>
          </w:tcPr>
          <w:p w:rsidR="00D349F6" w:rsidRPr="00D76AE5" w:rsidRDefault="00D349F6" w:rsidP="00D349F6">
            <w:pPr>
              <w:spacing w:line="240" w:lineRule="auto"/>
              <w:ind w:left="0" w:right="0"/>
              <w:rPr>
                <w:sz w:val="20"/>
                <w:szCs w:val="20"/>
              </w:rPr>
            </w:pPr>
            <w:r w:rsidRPr="00D76AE5">
              <w:rPr>
                <w:sz w:val="20"/>
                <w:szCs w:val="20"/>
              </w:rPr>
              <w:t>600</w:t>
            </w:r>
          </w:p>
        </w:tc>
        <w:tc>
          <w:tcPr>
            <w:tcW w:w="1670" w:type="dxa"/>
          </w:tcPr>
          <w:p w:rsidR="00D349F6" w:rsidRPr="00D76AE5" w:rsidRDefault="00D349F6" w:rsidP="00D349F6">
            <w:pPr>
              <w:spacing w:line="240" w:lineRule="auto"/>
              <w:ind w:left="0" w:right="0"/>
              <w:rPr>
                <w:sz w:val="20"/>
                <w:szCs w:val="20"/>
              </w:rPr>
            </w:pPr>
            <w:r w:rsidRPr="00D76AE5">
              <w:rPr>
                <w:sz w:val="20"/>
                <w:szCs w:val="20"/>
              </w:rPr>
              <w:t>36.4</w:t>
            </w:r>
          </w:p>
        </w:tc>
      </w:tr>
      <w:tr w:rsidR="00D349F6" w:rsidRPr="00D76AE5" w:rsidTr="005B05BF">
        <w:trPr>
          <w:trHeight w:val="225"/>
        </w:trPr>
        <w:tc>
          <w:tcPr>
            <w:tcW w:w="1809" w:type="dxa"/>
          </w:tcPr>
          <w:p w:rsidR="00D349F6" w:rsidRPr="00D76AE5" w:rsidRDefault="00D349F6" w:rsidP="00D76AE5">
            <w:pPr>
              <w:spacing w:line="240" w:lineRule="auto"/>
              <w:ind w:left="0" w:right="0"/>
              <w:rPr>
                <w:sz w:val="20"/>
                <w:szCs w:val="20"/>
              </w:rPr>
            </w:pPr>
            <w:r w:rsidRPr="00D76AE5">
              <w:rPr>
                <w:sz w:val="20"/>
                <w:szCs w:val="20"/>
              </w:rPr>
              <w:t>Human^</w:t>
            </w:r>
            <w:r w:rsidR="00D76AE5">
              <w:rPr>
                <w:sz w:val="20"/>
                <w:szCs w:val="20"/>
              </w:rPr>
              <w:t xml:space="preserve"> </w:t>
            </w:r>
            <w:r w:rsidRPr="00D76AE5">
              <w:rPr>
                <w:sz w:val="20"/>
                <w:szCs w:val="20"/>
              </w:rPr>
              <w:t>(healthy volunteers)</w:t>
            </w:r>
          </w:p>
        </w:tc>
        <w:tc>
          <w:tcPr>
            <w:tcW w:w="1807" w:type="dxa"/>
          </w:tcPr>
          <w:p w:rsidR="00D349F6" w:rsidRPr="00D76AE5" w:rsidRDefault="00D349F6" w:rsidP="00D349F6">
            <w:pPr>
              <w:spacing w:line="240" w:lineRule="auto"/>
              <w:ind w:left="0" w:right="0"/>
              <w:rPr>
                <w:sz w:val="20"/>
                <w:szCs w:val="20"/>
              </w:rPr>
            </w:pPr>
            <w:r w:rsidRPr="00D76AE5">
              <w:rPr>
                <w:sz w:val="20"/>
                <w:szCs w:val="20"/>
              </w:rPr>
              <w:t>steady state</w:t>
            </w:r>
          </w:p>
        </w:tc>
        <w:tc>
          <w:tcPr>
            <w:tcW w:w="1670" w:type="dxa"/>
          </w:tcPr>
          <w:p w:rsidR="00D349F6" w:rsidRPr="00D76AE5" w:rsidRDefault="00D349F6" w:rsidP="00D349F6">
            <w:pPr>
              <w:spacing w:line="240" w:lineRule="auto"/>
              <w:ind w:left="0" w:right="0"/>
              <w:rPr>
                <w:sz w:val="20"/>
                <w:szCs w:val="20"/>
              </w:rPr>
            </w:pPr>
            <w:r w:rsidRPr="00D76AE5">
              <w:rPr>
                <w:sz w:val="20"/>
                <w:szCs w:val="20"/>
              </w:rPr>
              <w:t>25 mg/day</w:t>
            </w:r>
          </w:p>
        </w:tc>
        <w:tc>
          <w:tcPr>
            <w:tcW w:w="1670" w:type="dxa"/>
          </w:tcPr>
          <w:p w:rsidR="00D349F6" w:rsidRPr="00D76AE5" w:rsidRDefault="00D349F6" w:rsidP="00D349F6">
            <w:pPr>
              <w:spacing w:line="240" w:lineRule="auto"/>
              <w:ind w:left="0" w:right="0"/>
              <w:rPr>
                <w:sz w:val="20"/>
                <w:szCs w:val="20"/>
              </w:rPr>
            </w:pPr>
            <w:r w:rsidRPr="00D76AE5">
              <w:rPr>
                <w:sz w:val="20"/>
                <w:szCs w:val="20"/>
              </w:rPr>
              <w:t>16.5</w:t>
            </w:r>
          </w:p>
        </w:tc>
        <w:tc>
          <w:tcPr>
            <w:tcW w:w="1670" w:type="dxa"/>
          </w:tcPr>
          <w:p w:rsidR="00D349F6" w:rsidRPr="00D76AE5" w:rsidRDefault="00D349F6" w:rsidP="00D349F6">
            <w:pPr>
              <w:spacing w:line="240" w:lineRule="auto"/>
              <w:ind w:left="0" w:right="0"/>
              <w:rPr>
                <w:sz w:val="20"/>
                <w:szCs w:val="20"/>
              </w:rPr>
            </w:pPr>
            <w:r w:rsidRPr="00D76AE5">
              <w:rPr>
                <w:sz w:val="20"/>
                <w:szCs w:val="20"/>
              </w:rPr>
              <w:t>–</w:t>
            </w:r>
          </w:p>
        </w:tc>
      </w:tr>
    </w:tbl>
    <w:p w:rsidR="00D349F6" w:rsidRPr="00D349F6" w:rsidRDefault="00D349F6" w:rsidP="00D349F6">
      <w:pPr>
        <w:pStyle w:val="TableDescription"/>
      </w:pPr>
      <w:r w:rsidRPr="00D349F6">
        <w:t># Dose ratio</w:t>
      </w:r>
      <w:r w:rsidR="00BF1FC5">
        <w:t xml:space="preserve"> = </w:t>
      </w:r>
      <w:r w:rsidRPr="00D349F6">
        <w:t>animal dose (mg/m2/day): human dose (mg/m2/day); ^Based on PK parameters derived from healthy volunteers (Study No. R&amp;D/14/0050)</w:t>
      </w:r>
    </w:p>
    <w:p w:rsidR="00E62596" w:rsidRPr="00E62596" w:rsidRDefault="00E62596" w:rsidP="00E62596">
      <w:r w:rsidRPr="00E62596">
        <w:t>Placental transfer was negligible in mice and rabbits (fe</w:t>
      </w:r>
      <w:r w:rsidR="005B05BF">
        <w:t xml:space="preserve">tal-maternal plasma ratio </w:t>
      </w:r>
      <w:r w:rsidR="00926A16">
        <w:t xml:space="preserve">&lt; </w:t>
      </w:r>
      <w:r w:rsidR="005B05BF">
        <w:t>0.1</w:t>
      </w:r>
      <w:r w:rsidRPr="00E62596">
        <w:t>).</w:t>
      </w:r>
    </w:p>
    <w:p w:rsidR="00E62596" w:rsidRPr="00E62596" w:rsidRDefault="00E62596" w:rsidP="00E62596">
      <w:r w:rsidRPr="00E62596">
        <w:t>Excretion of ombitasvir in milk was demonstrated in rats (Milk:</w:t>
      </w:r>
      <w:r w:rsidR="005B05BF">
        <w:t xml:space="preserve"> </w:t>
      </w:r>
      <w:r w:rsidRPr="00E62596">
        <w:t>plasma ratio: 3.93), of which levels declined to below quantification limits by 48 h</w:t>
      </w:r>
      <w:r w:rsidR="005B05BF">
        <w:t xml:space="preserve">ours post </w:t>
      </w:r>
      <w:r w:rsidRPr="00E62596">
        <w:t>dose. Characterisation of the metabolites excreted in milk found that although unchanged ombitasvir was the predominant species present, low levels of metabolites M19, M23, M24 and M26 were also detected in milk.</w:t>
      </w:r>
    </w:p>
    <w:p w:rsidR="00E62596" w:rsidRPr="00E62596" w:rsidRDefault="00E62596" w:rsidP="00E62596">
      <w:r w:rsidRPr="00E62596">
        <w:t xml:space="preserve">No differences were observed in the mating and fertility parameters of ombitasvir and vehicle treated groups. Oestrus cycling was not affected, and although sperm quality and characteristics were not assessed, absence of adverse outcomes on mating indices and pregnancy rates suggest no effect on male reproductive function. Overall, ombitasvir did not affect male or female fertility in mice, with the NOAEL established at </w:t>
      </w:r>
      <w:r w:rsidR="000C3156">
        <w:t xml:space="preserve">≥ </w:t>
      </w:r>
      <w:r w:rsidRPr="00E62596">
        <w:t>200 mg/kg/day, PO (</w:t>
      </w:r>
      <w:r w:rsidR="00F201F8">
        <w:t xml:space="preserve">approximately </w:t>
      </w:r>
      <w:r w:rsidRPr="00E62596">
        <w:t>36 times the clinical AUC).</w:t>
      </w:r>
    </w:p>
    <w:p w:rsidR="00E62596" w:rsidRPr="00E62596" w:rsidRDefault="00E62596" w:rsidP="00E62596">
      <w:r w:rsidRPr="00E62596">
        <w:t>In embryofetal development studies ombitasvir had no adverse effects on mouse and rabbit litter parameters. Maternal clinical signs were generally minor (</w:t>
      </w:r>
      <w:r w:rsidR="009F7EDA">
        <w:t>for example</w:t>
      </w:r>
      <w:r w:rsidRPr="00E62596">
        <w:t xml:space="preserve"> soft faeces in rabbits) or sporadic in nature and thus considered unrelated to treatment. In the mouse, sporadic external abnormalities were not </w:t>
      </w:r>
      <w:r w:rsidR="005F323A">
        <w:t>dose dependent</w:t>
      </w:r>
      <w:r w:rsidRPr="00E62596">
        <w:t xml:space="preserve"> and occurred at lower than historical control rates. In rabbits there were a numb</w:t>
      </w:r>
      <w:r w:rsidR="005B05BF">
        <w:t xml:space="preserve">er of malformations noted at </w:t>
      </w:r>
      <w:r w:rsidR="005B05BF">
        <w:lastRenderedPageBreak/>
        <w:t>60 </w:t>
      </w:r>
      <w:r w:rsidRPr="00E62596">
        <w:t xml:space="preserve">mg/kg/day (at a relative exposure ratio 4.4 times the clinical AUC) including microphthalmia, micrognathia and cleft palate. While incidences of these abnormalities were higher than historical control rates and suggested a treatment-dependent cause, corresponding fetal plasma levels of ombitasvir were negligible (fetal: maternal plasma ratio </w:t>
      </w:r>
      <w:r w:rsidR="00F201F8">
        <w:t>approximately</w:t>
      </w:r>
      <w:r w:rsidR="00BF1FC5">
        <w:t xml:space="preserve"> </w:t>
      </w:r>
      <w:r w:rsidRPr="00E62596">
        <w:t xml:space="preserve">0.01, based on mean plasma concentrations) and therefore embryofetal harm at these exposure levels would be expected to be remote. </w:t>
      </w:r>
      <w:r w:rsidR="005B05BF">
        <w:t xml:space="preserve">Furthermore, a preliminary dose </w:t>
      </w:r>
      <w:r w:rsidRPr="00E62596">
        <w:t>range finding embryofetal development study did not observe developmental abnormalities in a higher dose group (200 mg/kg/day).</w:t>
      </w:r>
    </w:p>
    <w:p w:rsidR="00E62596" w:rsidRPr="00E62596" w:rsidRDefault="00E62596" w:rsidP="00E62596">
      <w:r w:rsidRPr="00E62596">
        <w:t>A peri-/postnatal development study in mice found no evidence of impairments to functional development or developmental milestones (</w:t>
      </w:r>
      <w:r w:rsidR="005B05BF">
        <w:t>that is</w:t>
      </w:r>
      <w:r w:rsidRPr="00E62596">
        <w:t xml:space="preserve"> behaviour, motor activity, sexual maturity and subsequent fertility) in pups. One male and one female pup each from the high dose treated group were found dead several days after maternal treatment had ceased (postnatal day 23 and 26, respectively with maternal treatment ceased on postnatal day 20). As no other clinical signs were noted these deaths are not considered related to ombitasvir treatment. Whilst ombitasvir excretion in milk was not determined in mice, in this study ombitasvir was still detected in the plasma of pups the day after treatment of dams was ceased, suggesting significant levels of ombitasvir are passed through milk. </w:t>
      </w:r>
      <w:r w:rsidRPr="005D37D7">
        <w:t>As F1 generation</w:t>
      </w:r>
      <w:r w:rsidRPr="00E62596">
        <w:t xml:space="preserve"> pups went on to successfully mate with no detrimental effect on litter parameters, the NOAEL for postnatal developmental effects in mice was established at </w:t>
      </w:r>
      <w:r w:rsidR="000C3156">
        <w:t xml:space="preserve">≥ </w:t>
      </w:r>
      <w:r w:rsidRPr="00E62596">
        <w:t>200 mg/kg/day, PO (</w:t>
      </w:r>
      <w:r w:rsidR="00F201F8">
        <w:t xml:space="preserve">approximately </w:t>
      </w:r>
      <w:r w:rsidRPr="00E62596">
        <w:t>36 times the clinical AUC).</w:t>
      </w:r>
    </w:p>
    <w:p w:rsidR="00E62596" w:rsidRPr="00E62596" w:rsidRDefault="00E62596" w:rsidP="00E62596">
      <w:pPr>
        <w:pStyle w:val="Heading5"/>
      </w:pPr>
      <w:r w:rsidRPr="00E62596">
        <w:t>Pregnancy classification</w:t>
      </w:r>
      <w:r w:rsidR="005B05BF">
        <w:t xml:space="preserve"> – ombitasvir</w:t>
      </w:r>
    </w:p>
    <w:p w:rsidR="00E62596" w:rsidRPr="00E62596" w:rsidRDefault="00E62596" w:rsidP="00E62596">
      <w:r w:rsidRPr="00E62596">
        <w:t>The sponsor has proposed Pregnancy Category B1</w:t>
      </w:r>
      <w:r w:rsidR="005B05BF" w:rsidRPr="005B05BF">
        <w:rPr>
          <w:vertAlign w:val="superscript"/>
        </w:rPr>
        <w:fldChar w:fldCharType="begin"/>
      </w:r>
      <w:r w:rsidR="005B05BF" w:rsidRPr="005B05BF">
        <w:rPr>
          <w:vertAlign w:val="superscript"/>
        </w:rPr>
        <w:instrText xml:space="preserve"> NOTEREF _Ref471920543 \h </w:instrText>
      </w:r>
      <w:r w:rsidR="005B05BF">
        <w:rPr>
          <w:vertAlign w:val="superscript"/>
        </w:rPr>
        <w:instrText xml:space="preserve"> \* MERGEFORMAT </w:instrText>
      </w:r>
      <w:r w:rsidR="005B05BF" w:rsidRPr="005B05BF">
        <w:rPr>
          <w:vertAlign w:val="superscript"/>
        </w:rPr>
      </w:r>
      <w:r w:rsidR="005B05BF" w:rsidRPr="005B05BF">
        <w:rPr>
          <w:vertAlign w:val="superscript"/>
        </w:rPr>
        <w:fldChar w:fldCharType="separate"/>
      </w:r>
      <w:r w:rsidR="005B05BF" w:rsidRPr="005B05BF">
        <w:rPr>
          <w:vertAlign w:val="superscript"/>
        </w:rPr>
        <w:t>20</w:t>
      </w:r>
      <w:r w:rsidR="005B05BF" w:rsidRPr="005B05BF">
        <w:rPr>
          <w:vertAlign w:val="superscript"/>
        </w:rPr>
        <w:fldChar w:fldCharType="end"/>
      </w:r>
      <w:r w:rsidRPr="00E62596">
        <w:t xml:space="preserve"> for Viekira </w:t>
      </w:r>
      <w:r w:rsidR="000C3156">
        <w:t>Pak</w:t>
      </w:r>
      <w:r w:rsidRPr="00E62596">
        <w:t xml:space="preserve"> and Category X</w:t>
      </w:r>
      <w:r w:rsidR="005B05BF" w:rsidRPr="005B05BF">
        <w:rPr>
          <w:vertAlign w:val="superscript"/>
        </w:rPr>
        <w:fldChar w:fldCharType="begin"/>
      </w:r>
      <w:r w:rsidR="005B05BF" w:rsidRPr="005B05BF">
        <w:rPr>
          <w:vertAlign w:val="superscript"/>
        </w:rPr>
        <w:instrText xml:space="preserve"> NOTEREF _Ref471920561 \h </w:instrText>
      </w:r>
      <w:r w:rsidR="005B05BF">
        <w:rPr>
          <w:vertAlign w:val="superscript"/>
        </w:rPr>
        <w:instrText xml:space="preserve"> \* MERGEFORMAT </w:instrText>
      </w:r>
      <w:r w:rsidR="005B05BF" w:rsidRPr="005B05BF">
        <w:rPr>
          <w:vertAlign w:val="superscript"/>
        </w:rPr>
      </w:r>
      <w:r w:rsidR="005B05BF" w:rsidRPr="005B05BF">
        <w:rPr>
          <w:vertAlign w:val="superscript"/>
        </w:rPr>
        <w:fldChar w:fldCharType="separate"/>
      </w:r>
      <w:r w:rsidR="005B05BF" w:rsidRPr="005B05BF">
        <w:rPr>
          <w:vertAlign w:val="superscript"/>
        </w:rPr>
        <w:t>22</w:t>
      </w:r>
      <w:r w:rsidR="005B05BF" w:rsidRPr="005B05BF">
        <w:rPr>
          <w:vertAlign w:val="superscript"/>
        </w:rPr>
        <w:fldChar w:fldCharType="end"/>
      </w:r>
      <w:r w:rsidRPr="00E62596">
        <w:t xml:space="preserve"> for Viekira </w:t>
      </w:r>
      <w:r w:rsidR="000C3156">
        <w:t>Pak</w:t>
      </w:r>
      <w:r w:rsidRPr="00E62596">
        <w:t>-RBV based on its inclusion of ribavirin</w:t>
      </w:r>
      <w:r w:rsidR="005D37D7">
        <w:t>, which itself has a P</w:t>
      </w:r>
      <w:r w:rsidR="005B05BF">
        <w:t>regnancy C</w:t>
      </w:r>
      <w:r w:rsidRPr="00E62596">
        <w:t>ategory of X.</w:t>
      </w:r>
      <w:r w:rsidR="008B6F3C">
        <w:t xml:space="preserve"> </w:t>
      </w:r>
      <w:r w:rsidRPr="00E62596">
        <w:t xml:space="preserve">As there were no adverse embryofetal development findings noted in mice or rabbit treated with ombitasvir, a </w:t>
      </w:r>
      <w:r w:rsidR="00092009">
        <w:t>Pregnancy C</w:t>
      </w:r>
      <w:r w:rsidR="00092009" w:rsidRPr="00E62596">
        <w:t xml:space="preserve">ategory </w:t>
      </w:r>
      <w:r w:rsidRPr="00E62596">
        <w:t xml:space="preserve">B1 category for ombitasvir is considered acceptable. On whether a </w:t>
      </w:r>
      <w:r w:rsidR="00092009">
        <w:t>Pregnancy C</w:t>
      </w:r>
      <w:r w:rsidR="00092009" w:rsidRPr="00E62596">
        <w:t>ategory</w:t>
      </w:r>
      <w:r w:rsidRPr="00E62596">
        <w:t xml:space="preserve"> B1 is acceptable for the Viekira </w:t>
      </w:r>
      <w:r w:rsidR="000C3156">
        <w:t>Pak</w:t>
      </w:r>
      <w:r w:rsidRPr="00E62596">
        <w:t xml:space="preserve"> combination will depend on whether findings from embryofetal development studies with paritaprevir, ritonavir and/or dasbuvir are also consistent with </w:t>
      </w:r>
      <w:r w:rsidR="005D37D7">
        <w:t>Pregnancy C</w:t>
      </w:r>
      <w:r w:rsidR="005D37D7" w:rsidRPr="00E62596">
        <w:t>ategory</w:t>
      </w:r>
      <w:r w:rsidRPr="00E62596">
        <w:t xml:space="preserve"> B1.</w:t>
      </w:r>
    </w:p>
    <w:p w:rsidR="00E62596" w:rsidRPr="00E62596" w:rsidRDefault="00E62596" w:rsidP="00E62596">
      <w:pPr>
        <w:pStyle w:val="Heading4"/>
      </w:pPr>
      <w:r w:rsidRPr="00E62596">
        <w:t>Local tolerance</w:t>
      </w:r>
    </w:p>
    <w:p w:rsidR="00E62596" w:rsidRPr="00E62596" w:rsidRDefault="00E62596" w:rsidP="00E62596">
      <w:r w:rsidRPr="00E62596">
        <w:t xml:space="preserve">The sponsor did not conduct dedicated local tolerance studies on ombitasvir. Histopathological changes in duodenal and jejunal tissue (dilated lacteals and vacuolation of villi) noted in the pivotal 6 month dog study were of uncertain toxicological significance since they were not accompanied by other associated </w:t>
      </w:r>
      <w:r w:rsidR="009C3E30">
        <w:t>treatment related</w:t>
      </w:r>
      <w:r w:rsidRPr="00E62596">
        <w:t xml:space="preserve"> changes and occurred at exposure levels at least 34 times the clinical AUC. Overall, ombitasvir was found to be well tolerated when administered by the clinical route of administration.</w:t>
      </w:r>
    </w:p>
    <w:p w:rsidR="00E62596" w:rsidRPr="00E62596" w:rsidRDefault="00E62596" w:rsidP="005B05BF">
      <w:pPr>
        <w:pStyle w:val="Heading4"/>
      </w:pPr>
      <w:r w:rsidRPr="00E62596">
        <w:t>Impurities</w:t>
      </w:r>
      <w:r w:rsidR="005B05BF">
        <w:t xml:space="preserve"> -</w:t>
      </w:r>
      <w:r w:rsidR="005B05BF" w:rsidRPr="005B05BF">
        <w:t xml:space="preserve"> </w:t>
      </w:r>
      <w:r w:rsidR="005B05BF">
        <w:t>ombitasvir</w:t>
      </w:r>
    </w:p>
    <w:p w:rsidR="00E62596" w:rsidRPr="00E62596" w:rsidRDefault="00E62596" w:rsidP="00E62596">
      <w:r w:rsidRPr="00E62596">
        <w:t xml:space="preserve">The proposed specifications for drug substance and drug product ombitasvir impurities that were above ICH qualification thresholds </w:t>
      </w:r>
      <w:r w:rsidR="005B05BF">
        <w:t>have been adequately qualified.</w:t>
      </w:r>
    </w:p>
    <w:p w:rsidR="00E62596" w:rsidRPr="00E62596" w:rsidRDefault="00E62596" w:rsidP="00E62596">
      <w:pPr>
        <w:pStyle w:val="Heading4"/>
      </w:pPr>
      <w:r w:rsidRPr="00E62596">
        <w:t>Paediatric use</w:t>
      </w:r>
      <w:r w:rsidR="005B05BF">
        <w:t xml:space="preserve"> - ombitasvir</w:t>
      </w:r>
    </w:p>
    <w:p w:rsidR="00E62596" w:rsidRPr="00E62596" w:rsidRDefault="00E62596" w:rsidP="00E62596">
      <w:r w:rsidRPr="00E62596">
        <w:t>The sponsor did not propose a paediatric indication for Viekira Pak/Viekira Pak-RBV nor did they provide nonclinical juvenile toxicity studies.</w:t>
      </w:r>
    </w:p>
    <w:p w:rsidR="00475C4E" w:rsidRDefault="00475C4E" w:rsidP="00475C4E">
      <w:pPr>
        <w:pStyle w:val="Heading3"/>
      </w:pPr>
      <w:bookmarkStart w:id="82" w:name="_Toc480811568"/>
      <w:r>
        <w:t>Nonclinical summary and conclusions</w:t>
      </w:r>
      <w:r w:rsidR="0098169C">
        <w:t xml:space="preserve"> - </w:t>
      </w:r>
      <w:r w:rsidR="0098169C" w:rsidRPr="009A3C3D">
        <w:t>Ombitasvir</w:t>
      </w:r>
      <w:bookmarkEnd w:id="82"/>
    </w:p>
    <w:p w:rsidR="009A3C3D" w:rsidRPr="009A3C3D" w:rsidRDefault="009A3C3D" w:rsidP="009A3C3D">
      <w:pPr>
        <w:pStyle w:val="ListBullet"/>
      </w:pPr>
      <w:r w:rsidRPr="009A3C3D">
        <w:t xml:space="preserve">AbbVie Pty. Ltd. has applied to register Viekira </w:t>
      </w:r>
      <w:r w:rsidR="000C3156">
        <w:t>Pak</w:t>
      </w:r>
      <w:r w:rsidRPr="009A3C3D">
        <w:t xml:space="preserve"> and Viekira </w:t>
      </w:r>
      <w:r w:rsidR="000C3156">
        <w:t>Pak</w:t>
      </w:r>
      <w:r w:rsidRPr="009A3C3D">
        <w:t xml:space="preserve">-RBV, which contain a fixed-dose combination </w:t>
      </w:r>
      <w:r w:rsidR="003A33A4">
        <w:t>tablet of paritaprevir</w:t>
      </w:r>
      <w:r w:rsidRPr="009A3C3D">
        <w:t xml:space="preserve">, ritonavir and ombitasvir, and a separate tablet containing dasabuvir. The latter product, </w:t>
      </w:r>
      <w:r w:rsidR="000C3156">
        <w:t>Pak</w:t>
      </w:r>
      <w:r w:rsidRPr="009A3C3D">
        <w:t xml:space="preserve">-RBV also includes </w:t>
      </w:r>
      <w:r w:rsidRPr="009A3C3D">
        <w:lastRenderedPageBreak/>
        <w:t>ribavirin tablets. This evaluation report concerns nonclinical data submitted to support the inclusion of the HCV NS5A inhibitor</w:t>
      </w:r>
      <w:r w:rsidR="002D05D0">
        <w:t>,</w:t>
      </w:r>
      <w:r w:rsidRPr="009A3C3D">
        <w:t xml:space="preserve"> ombitasvir.</w:t>
      </w:r>
      <w:r w:rsidR="008B6F3C">
        <w:t xml:space="preserve"> </w:t>
      </w:r>
      <w:r w:rsidRPr="009A3C3D">
        <w:t xml:space="preserve">The quality of </w:t>
      </w:r>
      <w:r w:rsidR="00F30389">
        <w:t>nonclinical</w:t>
      </w:r>
      <w:r w:rsidRPr="009A3C3D">
        <w:t xml:space="preserve"> data was found to be generally high and all relevant pivotal safety studies were conducted according to GLP.</w:t>
      </w:r>
    </w:p>
    <w:p w:rsidR="009A3C3D" w:rsidRPr="009A3C3D" w:rsidRDefault="009A3C3D" w:rsidP="009A3C3D">
      <w:pPr>
        <w:pStyle w:val="ListBullet"/>
      </w:pPr>
      <w:r w:rsidRPr="009A3C3D">
        <w:t>Ombitasvir displayed picomolar potency against replicons expressing NS5A from HCV genotypes 1a, 1b, 2a, 2b, 3a, 4a, 5a and 6a (</w:t>
      </w:r>
      <w:r w:rsidR="00014BB3">
        <w:t>EC</w:t>
      </w:r>
      <w:r w:rsidR="00014BB3" w:rsidRPr="00E355BF">
        <w:rPr>
          <w:vertAlign w:val="subscript"/>
        </w:rPr>
        <w:t>50</w:t>
      </w:r>
      <w:r w:rsidRPr="009A3C3D">
        <w:t xml:space="preserve"> range for inhibition of viral </w:t>
      </w:r>
      <w:r w:rsidR="005B05BF">
        <w:t>replication: 1 to</w:t>
      </w:r>
      <w:r w:rsidRPr="009A3C3D">
        <w:t xml:space="preserve"> 366 pM). Human metabolites, M29 and M36, inhibited viral replication of HCV genotypes with substantially lower potency than parent ombitasvir (</w:t>
      </w:r>
      <w:r w:rsidR="00014BB3">
        <w:t>EC</w:t>
      </w:r>
      <w:r w:rsidR="00014BB3" w:rsidRPr="00E355BF">
        <w:rPr>
          <w:vertAlign w:val="subscript"/>
        </w:rPr>
        <w:t>50</w:t>
      </w:r>
      <w:r w:rsidRPr="009A3C3D">
        <w:t xml:space="preserve"> values </w:t>
      </w:r>
      <w:r w:rsidR="00F30389">
        <w:t>≥ </w:t>
      </w:r>
      <w:r w:rsidRPr="009A3C3D">
        <w:t>279,000</w:t>
      </w:r>
      <w:r w:rsidR="00BF1FC5">
        <w:t xml:space="preserve"> fold</w:t>
      </w:r>
      <w:r w:rsidRPr="009A3C3D">
        <w:t xml:space="preserve"> higher than ombitasvir).</w:t>
      </w:r>
    </w:p>
    <w:p w:rsidR="009A3C3D" w:rsidRPr="009A3C3D" w:rsidRDefault="009A3C3D" w:rsidP="009A3C3D">
      <w:pPr>
        <w:pStyle w:val="ListBullet"/>
      </w:pPr>
      <w:r w:rsidRPr="009A3C3D">
        <w:t>Characterisation of resistant variants identified high prevalence of mutations at sites Q30R, Y93H/Y93C and M28T/M28V for genotype 1a and sites Y93H and L28T for genotype 1b.</w:t>
      </w:r>
      <w:r w:rsidR="008B6F3C">
        <w:t xml:space="preserve"> </w:t>
      </w:r>
      <w:r w:rsidRPr="009A3C3D">
        <w:t>These mutations conferred resistance to ombitasvir that was 810</w:t>
      </w:r>
      <w:r w:rsidR="00BF1FC5">
        <w:t xml:space="preserve"> fold</w:t>
      </w:r>
      <w:r w:rsidRPr="009A3C3D">
        <w:t xml:space="preserve"> (Q30R), 41</w:t>
      </w:r>
      <w:r w:rsidR="005B05BF">
        <w:t>,</w:t>
      </w:r>
      <w:r w:rsidRPr="009A3C3D">
        <w:t>000</w:t>
      </w:r>
      <w:r w:rsidR="00BF1FC5">
        <w:t xml:space="preserve"> fold</w:t>
      </w:r>
      <w:r w:rsidRPr="009A3C3D">
        <w:t xml:space="preserve"> (Y93H), and 8</w:t>
      </w:r>
      <w:r w:rsidR="005B05BF">
        <w:t>,</w:t>
      </w:r>
      <w:r w:rsidRPr="009A3C3D">
        <w:t>900</w:t>
      </w:r>
      <w:r w:rsidR="00BF1FC5">
        <w:t xml:space="preserve"> fold</w:t>
      </w:r>
      <w:r w:rsidRPr="009A3C3D">
        <w:t xml:space="preserve"> resistant (M28T) to ombitasvi</w:t>
      </w:r>
      <w:r w:rsidR="005B05BF">
        <w:t>r for genotype 1a, and 430 fold</w:t>
      </w:r>
      <w:r w:rsidRPr="009A3C3D">
        <w:t xml:space="preserve"> (L28T) and 50</w:t>
      </w:r>
      <w:r w:rsidR="00BF1FC5">
        <w:t xml:space="preserve"> fold</w:t>
      </w:r>
      <w:r w:rsidR="005B05BF">
        <w:t xml:space="preserve"> </w:t>
      </w:r>
      <w:r w:rsidRPr="009A3C3D">
        <w:t>resistant (Y93H) for genotype 1b. In most cases these mutations also impaired replication efficiencies, with the exception of the M28T mutant in which efficiencies were not affected. Resistant variants of genotypes 2a, 2b, 3a, 4a, 5a and 6a were also reported at similar residue sites of substitution but the extent of resistance was lower than that seen for</w:t>
      </w:r>
      <w:r w:rsidR="009F6EED">
        <w:t xml:space="preserve"> genotype</w:t>
      </w:r>
      <w:r w:rsidRPr="009A3C3D">
        <w:t xml:space="preserve"> 1a.</w:t>
      </w:r>
    </w:p>
    <w:p w:rsidR="009A3C3D" w:rsidRPr="009A3C3D" w:rsidRDefault="009A3C3D" w:rsidP="009A3C3D">
      <w:pPr>
        <w:pStyle w:val="ListBullet"/>
      </w:pPr>
      <w:r w:rsidRPr="009A3C3D">
        <w:t>While ombitasvir did not have any significant off-target effects, three of its major human metabolites had affinity for unrelated targets. M29 inhibited P2Y receptor binding (</w:t>
      </w:r>
      <w:r w:rsidR="00F201F8">
        <w:t xml:space="preserve">approximately </w:t>
      </w:r>
      <w:r w:rsidRPr="009A3C3D">
        <w:t>50% of specific binding), M36 inhibited the dopamine transporter (</w:t>
      </w:r>
      <w:r w:rsidR="00014BB3">
        <w:t>IC</w:t>
      </w:r>
      <w:r w:rsidR="00014BB3" w:rsidRPr="00E355BF">
        <w:rPr>
          <w:vertAlign w:val="subscript"/>
        </w:rPr>
        <w:t>50</w:t>
      </w:r>
      <w:r w:rsidRPr="009A3C3D">
        <w:t xml:space="preserve"> 3.2 </w:t>
      </w:r>
      <w:r w:rsidR="005F323A">
        <w:t>µ</w:t>
      </w:r>
      <w:r w:rsidR="005F323A" w:rsidRPr="00CE21BD">
        <w:t>M</w:t>
      </w:r>
      <w:r w:rsidR="00F30389">
        <w:t xml:space="preserve">), while M23 inhibited GABA </w:t>
      </w:r>
      <w:r w:rsidRPr="009A3C3D">
        <w:t>gated chloride channels (</w:t>
      </w:r>
      <w:r w:rsidR="00014BB3">
        <w:t>IC</w:t>
      </w:r>
      <w:r w:rsidR="00014BB3" w:rsidRPr="00E355BF">
        <w:rPr>
          <w:vertAlign w:val="subscript"/>
        </w:rPr>
        <w:t>50</w:t>
      </w:r>
      <w:r w:rsidR="00F30389">
        <w:t> 1.5 </w:t>
      </w:r>
      <w:r w:rsidR="005F323A">
        <w:t>µ</w:t>
      </w:r>
      <w:r w:rsidR="005F323A" w:rsidRPr="00CE21BD">
        <w:t>M</w:t>
      </w:r>
      <w:r w:rsidRPr="009A3C3D">
        <w:t>). Safety pharmacology studies did not reveal any significant or clinically relevant effects on the CNS, cardiovascular, gastrointestinal or respiratory systems.</w:t>
      </w:r>
    </w:p>
    <w:p w:rsidR="009A3C3D" w:rsidRPr="009A3C3D" w:rsidRDefault="009A3C3D" w:rsidP="009A3C3D">
      <w:pPr>
        <w:pStyle w:val="ListBullet"/>
      </w:pPr>
      <w:r w:rsidRPr="009A3C3D">
        <w:t>Ombitasvir demonstrated low bioavailability (</w:t>
      </w:r>
      <w:r w:rsidR="00926A16">
        <w:t xml:space="preserve">&lt; </w:t>
      </w:r>
      <w:r w:rsidRPr="009A3C3D">
        <w:t>50%), slow absorption (</w:t>
      </w:r>
      <w:r w:rsidR="00630EF4" w:rsidRPr="003E036A">
        <w:t>T</w:t>
      </w:r>
      <w:r w:rsidR="00630EF4" w:rsidRPr="00630EF4">
        <w:rPr>
          <w:vertAlign w:val="subscript"/>
        </w:rPr>
        <w:t>max</w:t>
      </w:r>
      <w:r w:rsidRPr="009A3C3D">
        <w:t xml:space="preserve"> </w:t>
      </w:r>
      <w:r w:rsidR="000C3156">
        <w:t xml:space="preserve">&gt; </w:t>
      </w:r>
      <w:r w:rsidRPr="009A3C3D">
        <w:t>3 h</w:t>
      </w:r>
      <w:r w:rsidR="005B05BF">
        <w:t>ours</w:t>
      </w:r>
      <w:r w:rsidRPr="009A3C3D">
        <w:t xml:space="preserve"> for most species) and low clearance.</w:t>
      </w:r>
      <w:r w:rsidR="008B6F3C">
        <w:t xml:space="preserve"> </w:t>
      </w:r>
      <w:r w:rsidRPr="009A3C3D">
        <w:t>High plasma protein binding was noted for both ombitasvir (</w:t>
      </w:r>
      <w:r w:rsidR="000C3156">
        <w:t xml:space="preserve">&gt; </w:t>
      </w:r>
      <w:r w:rsidRPr="009A3C3D">
        <w:t>99%) and its major human metabolites (</w:t>
      </w:r>
      <w:r w:rsidR="000C3156">
        <w:t xml:space="preserve">&gt; </w:t>
      </w:r>
      <w:r w:rsidRPr="009A3C3D">
        <w:t>95%) in all tested species. Omb</w:t>
      </w:r>
      <w:r w:rsidR="005B05BF">
        <w:t xml:space="preserve">itasvir did not cross the blood </w:t>
      </w:r>
      <w:r w:rsidRPr="009A3C3D">
        <w:t xml:space="preserve">brain barrier or bind to </w:t>
      </w:r>
      <w:proofErr w:type="gramStart"/>
      <w:r w:rsidRPr="009A3C3D">
        <w:t>pigmented</w:t>
      </w:r>
      <w:proofErr w:type="gramEnd"/>
      <w:r w:rsidRPr="009A3C3D">
        <w:t xml:space="preserve"> tissue. Biotransformation, likely carried out by CYPs 3A4, 2C8 and 3A5, was low (</w:t>
      </w:r>
      <w:r w:rsidR="000C3156">
        <w:t xml:space="preserve">&gt; </w:t>
      </w:r>
      <w:r w:rsidRPr="009A3C3D">
        <w:t>90% of parent remained after a 4 h</w:t>
      </w:r>
      <w:r w:rsidR="005B05BF">
        <w:t>our</w:t>
      </w:r>
      <w:r w:rsidRPr="009A3C3D">
        <w:t xml:space="preserve"> incubation with hepatocytes). Excretion was chiefly through the faecal route, with biliary excretion likely involved. Drug interaction potential is likely to be low, although possible interactions were highlighted with CYP2C8 and UGT1A1.</w:t>
      </w:r>
    </w:p>
    <w:p w:rsidR="009A3C3D" w:rsidRPr="009A3C3D" w:rsidRDefault="009A3C3D" w:rsidP="009A3C3D">
      <w:pPr>
        <w:pStyle w:val="ListBullet"/>
      </w:pPr>
      <w:r w:rsidRPr="009A3C3D">
        <w:t xml:space="preserve">Repeat dose toxicity studies were conducted in mice </w:t>
      </w:r>
      <w:r w:rsidR="005B05BF">
        <w:t>(up to 6 months), rats (up to 3 </w:t>
      </w:r>
      <w:r w:rsidRPr="009A3C3D">
        <w:t xml:space="preserve">months) and dogs (up to 6 months) using the clinical (oral) route. In the rodent studies, changes were sporadic and were not found to be related to ombitasvir treatment. In dogs, a high incidence of histological changes to duodena and jejuna (vacuolation of villi and dilated lacteals) was deemed </w:t>
      </w:r>
      <w:r w:rsidR="009C3E30">
        <w:t>treatment related</w:t>
      </w:r>
      <w:r w:rsidRPr="009A3C3D">
        <w:t xml:space="preserve"> but occurre</w:t>
      </w:r>
      <w:r w:rsidR="005B05BF">
        <w:t xml:space="preserve">d at plasma levels that were 34 and 60 </w:t>
      </w:r>
      <w:r w:rsidRPr="009A3C3D">
        <w:t>times the clinical AUC and are therefore unlikely to be of significant toxicological concern.</w:t>
      </w:r>
    </w:p>
    <w:p w:rsidR="009A3C3D" w:rsidRPr="009A3C3D" w:rsidRDefault="009A3C3D" w:rsidP="009A3C3D">
      <w:pPr>
        <w:pStyle w:val="ListBullet"/>
      </w:pPr>
      <w:r w:rsidRPr="009A3C3D">
        <w:t xml:space="preserve">Ombitasvir and its major human plasma metabolites, M29 and M36, were not found to be mutagenic or clastogenic in a standard battery of in vitro and in vivo genotoxicity assays. Ombitasvir was not found to be carcinogenic in a 26 week transgenic mouse study. A 2 year rat carcinogenicity study is currently </w:t>
      </w:r>
      <w:r w:rsidR="00F30389" w:rsidRPr="009A3C3D">
        <w:t>ongoing;</w:t>
      </w:r>
      <w:r w:rsidRPr="009A3C3D">
        <w:t xml:space="preserve"> the study report should be submitted when available.</w:t>
      </w:r>
    </w:p>
    <w:p w:rsidR="009A3C3D" w:rsidRPr="009A3C3D" w:rsidRDefault="009A3C3D" w:rsidP="009A3C3D">
      <w:pPr>
        <w:pStyle w:val="ListBullet"/>
      </w:pPr>
      <w:r w:rsidRPr="009A3C3D">
        <w:t>Although placental transfer was found to be negligible in mice and rabbits, milk transfer of ombitasvir and its metabolites was demonstrated in rats and implied in mice. Ombitasvir did not affect the fertilities of either male or female treated mice. Fetal malformations seen in rabbits at doses that were 4.4 times the clinical AUC were regarded as unlikely to be toxicologically related since fetal plasma levels of ombitasvir were negligible and exposure was low (fetal:</w:t>
      </w:r>
      <w:r w:rsidR="005B05BF">
        <w:t xml:space="preserve"> </w:t>
      </w:r>
      <w:r w:rsidRPr="009A3C3D">
        <w:t xml:space="preserve">maternal plasma ratio </w:t>
      </w:r>
      <w:r w:rsidR="00F201F8">
        <w:lastRenderedPageBreak/>
        <w:t>approximately</w:t>
      </w:r>
      <w:r w:rsidR="00BF1FC5">
        <w:t xml:space="preserve"> </w:t>
      </w:r>
      <w:r w:rsidRPr="009A3C3D">
        <w:t xml:space="preserve">0.01). There was no evidence of </w:t>
      </w:r>
      <w:r w:rsidR="009C3E30">
        <w:t>treatment related</w:t>
      </w:r>
      <w:r w:rsidRPr="009A3C3D">
        <w:t xml:space="preserve"> effects on developmental milestones and fertilities of rat pups exposed to ombitasvir during the peri/postnatal period.</w:t>
      </w:r>
    </w:p>
    <w:p w:rsidR="009A3C3D" w:rsidRPr="009A3C3D" w:rsidRDefault="009A3C3D" w:rsidP="009A3C3D">
      <w:pPr>
        <w:pStyle w:val="ListBullet"/>
      </w:pPr>
      <w:r w:rsidRPr="009A3C3D">
        <w:t xml:space="preserve">Overall, there were no major deficiencies identified in the nonclinical dossier of Viekira </w:t>
      </w:r>
      <w:r w:rsidR="005B05BF">
        <w:t>Pak that related to ombitasvir.</w:t>
      </w:r>
    </w:p>
    <w:p w:rsidR="00E62596" w:rsidRDefault="00E62596" w:rsidP="0098169C">
      <w:pPr>
        <w:pStyle w:val="Heading3"/>
      </w:pPr>
      <w:bookmarkStart w:id="83" w:name="_Toc480811569"/>
      <w:r w:rsidRPr="00DA5815">
        <w:t>Dasabuvir</w:t>
      </w:r>
      <w:bookmarkEnd w:id="83"/>
    </w:p>
    <w:p w:rsidR="00E62596" w:rsidRPr="00E62596" w:rsidRDefault="00E62596" w:rsidP="00E62596">
      <w:r w:rsidRPr="00E62596">
        <w:t xml:space="preserve">The overall quality of the submitted dossier for the dasabuvir component of Viekira </w:t>
      </w:r>
      <w:r w:rsidR="000C3156">
        <w:t>Pak</w:t>
      </w:r>
      <w:r w:rsidRPr="00E62596">
        <w:t xml:space="preserve"> and Viekira </w:t>
      </w:r>
      <w:r w:rsidR="000C3156">
        <w:t>Pak</w:t>
      </w:r>
      <w:r w:rsidRPr="00E62596">
        <w:t>-RBV was high. All pivotal safety studies were conducted under GLP conditions.</w:t>
      </w:r>
    </w:p>
    <w:p w:rsidR="00475C4E" w:rsidRDefault="00475C4E" w:rsidP="00475C4E">
      <w:pPr>
        <w:pStyle w:val="Heading3"/>
      </w:pPr>
      <w:bookmarkStart w:id="84" w:name="_Toc480811570"/>
      <w:r w:rsidRPr="00020030">
        <w:t>Pharmacology</w:t>
      </w:r>
      <w:r w:rsidR="0098169C">
        <w:t xml:space="preserve"> -</w:t>
      </w:r>
      <w:r w:rsidR="00E62596">
        <w:t xml:space="preserve"> </w:t>
      </w:r>
      <w:r w:rsidR="00E62596" w:rsidRPr="00DA5815">
        <w:rPr>
          <w:kern w:val="2"/>
        </w:rPr>
        <w:t>dasabuvir</w:t>
      </w:r>
      <w:bookmarkEnd w:id="84"/>
    </w:p>
    <w:p w:rsidR="00E62596" w:rsidRPr="00E62596" w:rsidRDefault="00E62596" w:rsidP="00E62596">
      <w:pPr>
        <w:pStyle w:val="Heading4"/>
      </w:pPr>
      <w:r w:rsidRPr="00E62596">
        <w:t>Primary pharmacology</w:t>
      </w:r>
      <w:r w:rsidR="005B05BF">
        <w:t xml:space="preserve"> –</w:t>
      </w:r>
      <w:r w:rsidR="005B05BF" w:rsidRPr="005B05BF">
        <w:rPr>
          <w:kern w:val="2"/>
        </w:rPr>
        <w:t xml:space="preserve"> </w:t>
      </w:r>
      <w:r w:rsidR="005B05BF">
        <w:rPr>
          <w:kern w:val="2"/>
        </w:rPr>
        <w:t>dasabuvir</w:t>
      </w:r>
    </w:p>
    <w:p w:rsidR="00E62596" w:rsidRPr="00E62596" w:rsidRDefault="00E62596" w:rsidP="00E62596">
      <w:r w:rsidRPr="00E62596">
        <w:t xml:space="preserve">Dasabuvir was developed as a non-nucleoside inhibitor of the NS5B RNA-dependent RNA polymerase of HCV. Inhibition of NS5B is intended to impair HCV replication. The efficacy studies submitted assessed the inhibitory activity of dasabuvir in in vitro enzyme assays and standard subgenomic HCV replicon assays. No </w:t>
      </w:r>
      <w:proofErr w:type="gramStart"/>
      <w:r w:rsidRPr="00E62596">
        <w:t>proof of concept studies were</w:t>
      </w:r>
      <w:proofErr w:type="gramEnd"/>
      <w:r w:rsidRPr="00E62596">
        <w:t xml:space="preserve"> conducted in animal models of HCV. This is not considered a major deficiency</w:t>
      </w:r>
      <w:r w:rsidR="005B05BF">
        <w:t>.</w:t>
      </w:r>
      <w:r w:rsidRPr="005B05BF">
        <w:rPr>
          <w:vertAlign w:val="superscript"/>
        </w:rPr>
        <w:footnoteReference w:id="38"/>
      </w:r>
    </w:p>
    <w:p w:rsidR="00E62596" w:rsidRPr="00E62596" w:rsidRDefault="00E62596" w:rsidP="00E62596">
      <w:r w:rsidRPr="00E62596">
        <w:t xml:space="preserve">In vitro, dasabuvir inhibited the activity of NS5B polymerase from HCV strains of genotypes 1a and 1b with nanomolar </w:t>
      </w:r>
      <w:r w:rsidR="005B05BF">
        <w:t>potency (</w:t>
      </w:r>
      <w:r w:rsidR="00014BB3">
        <w:t>IC</w:t>
      </w:r>
      <w:r w:rsidR="00014BB3" w:rsidRPr="00E355BF">
        <w:rPr>
          <w:vertAlign w:val="subscript"/>
        </w:rPr>
        <w:t>50</w:t>
      </w:r>
      <w:r w:rsidR="005B05BF">
        <w:t xml:space="preserve"> 4.2 nM [range 2.2 to </w:t>
      </w:r>
      <w:r w:rsidRPr="00E62596">
        <w:t>10.7 nM; n</w:t>
      </w:r>
      <w:r w:rsidR="00BF1FC5">
        <w:t xml:space="preserve"> = </w:t>
      </w:r>
      <w:r w:rsidRPr="00E62596">
        <w:t xml:space="preserve">7]; approximately equivalent to the clinical free </w:t>
      </w:r>
      <w:r w:rsidR="00BF1FC5" w:rsidRPr="00CE21BD">
        <w:t>C</w:t>
      </w:r>
      <w:r w:rsidR="00BF1FC5" w:rsidRPr="00BF1FC5">
        <w:rPr>
          <w:vertAlign w:val="subscript"/>
        </w:rPr>
        <w:t>min</w:t>
      </w:r>
      <w:r w:rsidRPr="00E62596">
        <w:t xml:space="preserve"> of 5.5 nM</w:t>
      </w:r>
      <w:r w:rsidR="005B05BF">
        <w:t>).</w:t>
      </w:r>
      <w:r w:rsidRPr="005B05BF">
        <w:rPr>
          <w:vertAlign w:val="superscript"/>
        </w:rPr>
        <w:footnoteReference w:id="39"/>
      </w:r>
      <w:r w:rsidRPr="00E62596">
        <w:t xml:space="preserve"> Dasabuvir had lower potency (</w:t>
      </w:r>
      <w:r w:rsidR="000C3156">
        <w:t xml:space="preserve">&gt; </w:t>
      </w:r>
      <w:r w:rsidRPr="00E62596">
        <w:t xml:space="preserve">200 times) at polymerases from other HCV genotypes (2a, 2b, 3a and 4a). Dasabuvir is unlikely to be active against these genotypes at the proposed clinical dose. The </w:t>
      </w:r>
      <w:r w:rsidR="00014BB3">
        <w:t>EC</w:t>
      </w:r>
      <w:r w:rsidR="00014BB3" w:rsidRPr="00E355BF">
        <w:rPr>
          <w:vertAlign w:val="subscript"/>
        </w:rPr>
        <w:t>50</w:t>
      </w:r>
      <w:r w:rsidRPr="00E62596">
        <w:t xml:space="preserve"> of dasabuvir against standard laboratory genotype 1a and 1b strains (H77 and Con1, respectively) in subgenomic HCV replicon assays was 7.7 nM and 1.8 nM, respectively. The potency of dasabuvir in subgenomic HCV replicon assays was reduced by </w:t>
      </w:r>
      <w:r w:rsidR="00F201F8">
        <w:t xml:space="preserve">approximately </w:t>
      </w:r>
      <w:r w:rsidRPr="00E62596">
        <w:t>12 fold in the presence of 40% human plasma. Dasabuvir had similar efficacy against a panel of genotype 1a and 1b isolates in the HCV subgenomic replicon</w:t>
      </w:r>
      <w:r w:rsidR="005B05BF">
        <w:t xml:space="preserve"> assay; </w:t>
      </w:r>
      <w:r w:rsidR="00014BB3">
        <w:t>EC</w:t>
      </w:r>
      <w:r w:rsidR="00014BB3" w:rsidRPr="00E355BF">
        <w:rPr>
          <w:vertAlign w:val="subscript"/>
        </w:rPr>
        <w:t>50</w:t>
      </w:r>
      <w:r w:rsidR="005B05BF">
        <w:t xml:space="preserve"> 0.77 nM (range 0.4 to </w:t>
      </w:r>
      <w:r w:rsidRPr="00E62596">
        <w:t>2.1 nM; n</w:t>
      </w:r>
      <w:r w:rsidR="00BF1FC5">
        <w:t xml:space="preserve"> = </w:t>
      </w:r>
      <w:r w:rsidR="005B05BF">
        <w:t xml:space="preserve">11) and 0.46 nM (range 0.2 to </w:t>
      </w:r>
      <w:r w:rsidRPr="00E62596">
        <w:t>2.0 nM; n</w:t>
      </w:r>
      <w:r w:rsidR="005B05BF">
        <w:t> = 10), respectively.</w:t>
      </w:r>
    </w:p>
    <w:p w:rsidR="00E62596" w:rsidRPr="00E62596" w:rsidRDefault="00E62596" w:rsidP="00E62596">
      <w:r w:rsidRPr="00E62596">
        <w:t>The M1</w:t>
      </w:r>
      <w:r w:rsidR="005B05BF">
        <w:t xml:space="preserve"> metabolite of dasabuvir had 30 to </w:t>
      </w:r>
      <w:r w:rsidRPr="00E62596">
        <w:t xml:space="preserve">40% lower potency than dasabuvir against standard genotype 1a and 1b laboratory strains in the subgenomic HCV replicon assay. Given the </w:t>
      </w:r>
      <w:r w:rsidR="003A33A4" w:rsidRPr="008912E8">
        <w:t>C</w:t>
      </w:r>
      <w:r w:rsidR="003A33A4" w:rsidRPr="003A33A4">
        <w:rPr>
          <w:vertAlign w:val="subscript"/>
        </w:rPr>
        <w:t>max</w:t>
      </w:r>
      <w:r w:rsidR="00630EF4">
        <w:t xml:space="preserve"> </w:t>
      </w:r>
      <w:r w:rsidRPr="00E62596">
        <w:t xml:space="preserve">for M1 (1.3 </w:t>
      </w:r>
      <w:r w:rsidR="005F323A">
        <w:t>µ</w:t>
      </w:r>
      <w:r w:rsidR="005F323A" w:rsidRPr="00CE21BD">
        <w:t>M</w:t>
      </w:r>
      <w:r w:rsidRPr="00E62596">
        <w:t xml:space="preserve">) in human subjects is higher than the </w:t>
      </w:r>
      <w:r w:rsidR="00014BB3">
        <w:t>EC</w:t>
      </w:r>
      <w:r w:rsidR="00014BB3" w:rsidRPr="00E355BF">
        <w:rPr>
          <w:vertAlign w:val="subscript"/>
        </w:rPr>
        <w:t>50</w:t>
      </w:r>
      <w:r w:rsidRPr="00E62596">
        <w:t xml:space="preserve"> against these genotypes in the replicon assay (143 nM and 26 nM against genotype 1a-H77 and genotype 1b-Con1, respectively, in the presence of human plasma), this metabolite is likely to contribute to the antiviral activity of dasabuvir.</w:t>
      </w:r>
    </w:p>
    <w:p w:rsidR="00E62596" w:rsidRPr="00E62596" w:rsidRDefault="00E62596" w:rsidP="00E62596">
      <w:pPr>
        <w:pStyle w:val="Heading5"/>
      </w:pPr>
      <w:r w:rsidRPr="00E62596">
        <w:t>Resistance and cross-resistance</w:t>
      </w:r>
      <w:r w:rsidR="005B05BF">
        <w:t xml:space="preserve"> – </w:t>
      </w:r>
      <w:r w:rsidR="005B05BF">
        <w:rPr>
          <w:kern w:val="2"/>
        </w:rPr>
        <w:t>dasabuvir</w:t>
      </w:r>
    </w:p>
    <w:p w:rsidR="00E62596" w:rsidRPr="00E62596" w:rsidRDefault="00E62596" w:rsidP="00E62596">
      <w:r w:rsidRPr="00E62596">
        <w:t>Mutations in NS5B that conferred some resistance to dasabuvir were identified f</w:t>
      </w:r>
      <w:r w:rsidR="005B05BF">
        <w:t xml:space="preserve">rom in vitro studies (treatment </w:t>
      </w:r>
      <w:r w:rsidRPr="00E62596">
        <w:t>emergent mutations in HCV replicon assays) and early clinical studies, as well as from literature reports of mutations conferring resistance to other NS5B polymerase inhibitors. Mutations at C316, S368, A395, N411, M414, E446 (genotype 1a only), Y448, A553, G554, S556 or D559 (or combinations of these) conferred resistance to dasabuvir (</w:t>
      </w:r>
      <w:r w:rsidR="00014BB3">
        <w:t>EC</w:t>
      </w:r>
      <w:r w:rsidR="00014BB3" w:rsidRPr="00E355BF">
        <w:rPr>
          <w:vertAlign w:val="subscript"/>
        </w:rPr>
        <w:t>50</w:t>
      </w:r>
      <w:r w:rsidRPr="00E62596">
        <w:t xml:space="preserve"> </w:t>
      </w:r>
      <w:r w:rsidR="000C3156">
        <w:t xml:space="preserve">&gt; </w:t>
      </w:r>
      <w:r w:rsidR="005B05BF">
        <w:t>5.5 nM) (Table 9).</w:t>
      </w:r>
    </w:p>
    <w:p w:rsidR="00E62596" w:rsidRPr="00E62596" w:rsidRDefault="00E62596" w:rsidP="00E62596">
      <w:r w:rsidRPr="00E62596">
        <w:lastRenderedPageBreak/>
        <w:t>Mutations C326Y and M414T have been reported to confer resistance to the nonnucleoside inhibitor, JTK-853</w:t>
      </w:r>
      <w:bookmarkStart w:id="85" w:name="_Ref471977715"/>
      <w:r w:rsidRPr="005B05BF">
        <w:rPr>
          <w:vertAlign w:val="superscript"/>
        </w:rPr>
        <w:footnoteReference w:id="40"/>
      </w:r>
      <w:bookmarkEnd w:id="85"/>
      <w:r w:rsidRPr="00E62596">
        <w:t xml:space="preserve"> (not yet registered), that binds with the palm site and β-hairpin region of the HCV p</w:t>
      </w:r>
      <w:r w:rsidR="005B05BF">
        <w:t xml:space="preserve">olymerase. Therefore, treatment </w:t>
      </w:r>
      <w:r w:rsidRPr="00E62596">
        <w:t>emergent dasabuvir resistant strains may also be resistant to JTK</w:t>
      </w:r>
      <w:r w:rsidRPr="00E62596">
        <w:noBreakHyphen/>
        <w:t>853, and vice versa.</w:t>
      </w:r>
    </w:p>
    <w:p w:rsidR="00E62596" w:rsidRPr="00E62596" w:rsidRDefault="008D1B95" w:rsidP="00FF289D">
      <w:pPr>
        <w:pStyle w:val="Tabletitle0"/>
      </w:pPr>
      <w:r>
        <w:t>Table 9:</w:t>
      </w:r>
      <w:r w:rsidR="00E62596" w:rsidRPr="00E62596">
        <w:t xml:space="preserve"> Mutations in NS5B that conferred resistance to dasabuvir in HCV replicon assays</w:t>
      </w:r>
    </w:p>
    <w:tbl>
      <w:tblPr>
        <w:tblStyle w:val="TableTGAblue"/>
        <w:tblW w:w="8683" w:type="dxa"/>
        <w:tblLayout w:type="fixed"/>
        <w:tblLook w:val="01E0" w:firstRow="1" w:lastRow="1" w:firstColumn="1" w:lastColumn="1" w:noHBand="0" w:noVBand="0"/>
      </w:tblPr>
      <w:tblGrid>
        <w:gridCol w:w="1743"/>
        <w:gridCol w:w="2598"/>
        <w:gridCol w:w="1692"/>
        <w:gridCol w:w="2650"/>
      </w:tblGrid>
      <w:tr w:rsidR="00E62596" w:rsidRPr="00D76AE5" w:rsidTr="00F30389">
        <w:trPr>
          <w:cnfStyle w:val="100000000000" w:firstRow="1" w:lastRow="0" w:firstColumn="0" w:lastColumn="0" w:oddVBand="0" w:evenVBand="0" w:oddHBand="0" w:evenHBand="0" w:firstRowFirstColumn="0" w:firstRowLastColumn="0" w:lastRowFirstColumn="0" w:lastRowLastColumn="0"/>
          <w:trHeight w:val="165"/>
        </w:trPr>
        <w:tc>
          <w:tcPr>
            <w:tcW w:w="1743" w:type="dxa"/>
          </w:tcPr>
          <w:p w:rsidR="00E62596" w:rsidRPr="00D76AE5" w:rsidRDefault="00E62596" w:rsidP="00D76AE5">
            <w:pPr>
              <w:rPr>
                <w:sz w:val="20"/>
                <w:szCs w:val="20"/>
              </w:rPr>
            </w:pPr>
            <w:r w:rsidRPr="00D76AE5">
              <w:rPr>
                <w:sz w:val="20"/>
                <w:szCs w:val="20"/>
              </w:rPr>
              <w:t>Mutation</w:t>
            </w:r>
          </w:p>
        </w:tc>
        <w:tc>
          <w:tcPr>
            <w:tcW w:w="2598" w:type="dxa"/>
          </w:tcPr>
          <w:p w:rsidR="00E62596" w:rsidRPr="00D76AE5" w:rsidRDefault="00E62596" w:rsidP="00D76AE5">
            <w:pPr>
              <w:rPr>
                <w:sz w:val="20"/>
                <w:szCs w:val="20"/>
              </w:rPr>
            </w:pPr>
            <w:r w:rsidRPr="00D76AE5">
              <w:rPr>
                <w:sz w:val="20"/>
                <w:szCs w:val="20"/>
              </w:rPr>
              <w:t>Fold loss of activity</w:t>
            </w:r>
          </w:p>
        </w:tc>
        <w:tc>
          <w:tcPr>
            <w:tcW w:w="1692" w:type="dxa"/>
          </w:tcPr>
          <w:p w:rsidR="00E62596" w:rsidRPr="00D76AE5" w:rsidRDefault="00E62596" w:rsidP="00D76AE5">
            <w:pPr>
              <w:rPr>
                <w:sz w:val="20"/>
                <w:szCs w:val="20"/>
              </w:rPr>
            </w:pPr>
            <w:r w:rsidRPr="00D76AE5">
              <w:rPr>
                <w:sz w:val="20"/>
                <w:szCs w:val="20"/>
              </w:rPr>
              <w:t>Mutation</w:t>
            </w:r>
          </w:p>
        </w:tc>
        <w:tc>
          <w:tcPr>
            <w:tcW w:w="2650" w:type="dxa"/>
          </w:tcPr>
          <w:p w:rsidR="00E62596" w:rsidRPr="00D76AE5" w:rsidRDefault="00E62596" w:rsidP="00D76AE5">
            <w:pPr>
              <w:rPr>
                <w:sz w:val="20"/>
                <w:szCs w:val="20"/>
              </w:rPr>
            </w:pPr>
            <w:r w:rsidRPr="00D76AE5">
              <w:rPr>
                <w:sz w:val="20"/>
                <w:szCs w:val="20"/>
              </w:rPr>
              <w:t>Fold loss of activity</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C316Y</w:t>
            </w:r>
          </w:p>
        </w:tc>
        <w:tc>
          <w:tcPr>
            <w:tcW w:w="2598" w:type="dxa"/>
          </w:tcPr>
          <w:p w:rsidR="00E62596" w:rsidRPr="00D76AE5" w:rsidRDefault="00E62596" w:rsidP="00D76AE5">
            <w:pPr>
              <w:rPr>
                <w:sz w:val="20"/>
                <w:szCs w:val="20"/>
              </w:rPr>
            </w:pPr>
            <w:r w:rsidRPr="00D76AE5">
              <w:rPr>
                <w:sz w:val="20"/>
                <w:szCs w:val="20"/>
              </w:rPr>
              <w:t>190</w:t>
            </w:r>
            <w:r w:rsidR="00926A16" w:rsidRPr="00D76AE5">
              <w:rPr>
                <w:sz w:val="20"/>
                <w:szCs w:val="20"/>
              </w:rPr>
              <w:t xml:space="preserve"> to </w:t>
            </w:r>
            <w:r w:rsidRPr="00D76AE5">
              <w:rPr>
                <w:sz w:val="20"/>
                <w:szCs w:val="20"/>
              </w:rPr>
              <w:t>1472 (1a), 1200</w:t>
            </w:r>
            <w:r w:rsidR="00926A16" w:rsidRPr="00D76AE5">
              <w:rPr>
                <w:sz w:val="20"/>
                <w:szCs w:val="20"/>
              </w:rPr>
              <w:t xml:space="preserve"> to </w:t>
            </w:r>
            <w:r w:rsidRPr="00D76AE5">
              <w:rPr>
                <w:sz w:val="20"/>
                <w:szCs w:val="20"/>
              </w:rPr>
              <w:t>1569 (1b)</w:t>
            </w:r>
          </w:p>
        </w:tc>
        <w:tc>
          <w:tcPr>
            <w:tcW w:w="1692" w:type="dxa"/>
          </w:tcPr>
          <w:p w:rsidR="00E62596" w:rsidRPr="00D76AE5" w:rsidRDefault="00E62596" w:rsidP="00D76AE5">
            <w:pPr>
              <w:rPr>
                <w:sz w:val="20"/>
                <w:szCs w:val="20"/>
              </w:rPr>
            </w:pPr>
            <w:r w:rsidRPr="00D76AE5">
              <w:rPr>
                <w:sz w:val="20"/>
                <w:szCs w:val="20"/>
              </w:rPr>
              <w:t>E446Q</w:t>
            </w:r>
          </w:p>
        </w:tc>
        <w:tc>
          <w:tcPr>
            <w:tcW w:w="2650" w:type="dxa"/>
          </w:tcPr>
          <w:p w:rsidR="00E62596" w:rsidRPr="00D76AE5" w:rsidRDefault="00E62596" w:rsidP="00D76AE5">
            <w:pPr>
              <w:rPr>
                <w:sz w:val="20"/>
                <w:szCs w:val="20"/>
              </w:rPr>
            </w:pPr>
            <w:r w:rsidRPr="00D76AE5">
              <w:rPr>
                <w:sz w:val="20"/>
                <w:szCs w:val="20"/>
              </w:rPr>
              <w:t>17 (1a)</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C316H</w:t>
            </w:r>
          </w:p>
        </w:tc>
        <w:tc>
          <w:tcPr>
            <w:tcW w:w="2598" w:type="dxa"/>
          </w:tcPr>
          <w:p w:rsidR="00E62596" w:rsidRPr="00D76AE5" w:rsidRDefault="00E62596" w:rsidP="00D76AE5">
            <w:pPr>
              <w:rPr>
                <w:sz w:val="20"/>
                <w:szCs w:val="20"/>
              </w:rPr>
            </w:pPr>
            <w:r w:rsidRPr="00D76AE5">
              <w:rPr>
                <w:sz w:val="20"/>
                <w:szCs w:val="20"/>
              </w:rPr>
              <w:t>229 (1b)</w:t>
            </w:r>
          </w:p>
        </w:tc>
        <w:tc>
          <w:tcPr>
            <w:tcW w:w="1692" w:type="dxa"/>
          </w:tcPr>
          <w:p w:rsidR="00E62596" w:rsidRPr="00D76AE5" w:rsidRDefault="00E62596" w:rsidP="00D76AE5">
            <w:pPr>
              <w:rPr>
                <w:sz w:val="20"/>
                <w:szCs w:val="20"/>
              </w:rPr>
            </w:pPr>
            <w:r w:rsidRPr="00D76AE5">
              <w:rPr>
                <w:sz w:val="20"/>
                <w:szCs w:val="20"/>
              </w:rPr>
              <w:t>Y448C</w:t>
            </w:r>
          </w:p>
        </w:tc>
        <w:tc>
          <w:tcPr>
            <w:tcW w:w="2650" w:type="dxa"/>
          </w:tcPr>
          <w:p w:rsidR="00E62596" w:rsidRPr="00D76AE5" w:rsidRDefault="00E62596" w:rsidP="00D76AE5">
            <w:pPr>
              <w:rPr>
                <w:sz w:val="20"/>
                <w:szCs w:val="20"/>
              </w:rPr>
            </w:pPr>
            <w:r w:rsidRPr="00D76AE5">
              <w:rPr>
                <w:sz w:val="20"/>
                <w:szCs w:val="20"/>
              </w:rPr>
              <w:t>400</w:t>
            </w:r>
            <w:r w:rsidR="00926A16" w:rsidRPr="00D76AE5">
              <w:rPr>
                <w:sz w:val="20"/>
                <w:szCs w:val="20"/>
              </w:rPr>
              <w:t xml:space="preserve"> to </w:t>
            </w:r>
            <w:r w:rsidRPr="00D76AE5">
              <w:rPr>
                <w:sz w:val="20"/>
                <w:szCs w:val="20"/>
              </w:rPr>
              <w:t>940 (1a), 200</w:t>
            </w:r>
            <w:r w:rsidR="00926A16" w:rsidRPr="00D76AE5">
              <w:rPr>
                <w:sz w:val="20"/>
                <w:szCs w:val="20"/>
              </w:rPr>
              <w:t xml:space="preserve"> to </w:t>
            </w:r>
            <w:r w:rsidRPr="00D76AE5">
              <w:rPr>
                <w:sz w:val="20"/>
                <w:szCs w:val="20"/>
              </w:rPr>
              <w:t>414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A395G</w:t>
            </w:r>
          </w:p>
        </w:tc>
        <w:tc>
          <w:tcPr>
            <w:tcW w:w="2598" w:type="dxa"/>
          </w:tcPr>
          <w:p w:rsidR="00E62596" w:rsidRPr="00D76AE5" w:rsidRDefault="00E62596" w:rsidP="00D76AE5">
            <w:pPr>
              <w:rPr>
                <w:sz w:val="20"/>
                <w:szCs w:val="20"/>
              </w:rPr>
            </w:pPr>
            <w:r w:rsidRPr="00D76AE5">
              <w:rPr>
                <w:sz w:val="20"/>
                <w:szCs w:val="20"/>
              </w:rPr>
              <w:t>10 (1a)</w:t>
            </w:r>
          </w:p>
        </w:tc>
        <w:tc>
          <w:tcPr>
            <w:tcW w:w="1692" w:type="dxa"/>
          </w:tcPr>
          <w:p w:rsidR="00E62596" w:rsidRPr="00D76AE5" w:rsidRDefault="00E62596" w:rsidP="00D76AE5">
            <w:pPr>
              <w:rPr>
                <w:sz w:val="20"/>
                <w:szCs w:val="20"/>
              </w:rPr>
            </w:pPr>
            <w:r w:rsidRPr="00D76AE5">
              <w:rPr>
                <w:sz w:val="20"/>
                <w:szCs w:val="20"/>
              </w:rPr>
              <w:t>Y448H</w:t>
            </w:r>
          </w:p>
        </w:tc>
        <w:tc>
          <w:tcPr>
            <w:tcW w:w="2650" w:type="dxa"/>
          </w:tcPr>
          <w:p w:rsidR="00E62596" w:rsidRPr="00D76AE5" w:rsidRDefault="00E62596" w:rsidP="00D76AE5">
            <w:pPr>
              <w:rPr>
                <w:sz w:val="20"/>
                <w:szCs w:val="20"/>
              </w:rPr>
            </w:pPr>
            <w:r w:rsidRPr="00D76AE5">
              <w:rPr>
                <w:sz w:val="20"/>
                <w:szCs w:val="20"/>
              </w:rPr>
              <w:t>250</w:t>
            </w:r>
            <w:r w:rsidR="00926A16" w:rsidRPr="00D76AE5">
              <w:rPr>
                <w:sz w:val="20"/>
                <w:szCs w:val="20"/>
              </w:rPr>
              <w:t xml:space="preserve"> to </w:t>
            </w:r>
            <w:r w:rsidRPr="00D76AE5">
              <w:rPr>
                <w:sz w:val="20"/>
                <w:szCs w:val="20"/>
              </w:rPr>
              <w:t>975 (1a), 11</w:t>
            </w:r>
            <w:r w:rsidR="00926A16" w:rsidRPr="00D76AE5">
              <w:rPr>
                <w:sz w:val="20"/>
                <w:szCs w:val="20"/>
              </w:rPr>
              <w:t xml:space="preserve"> to </w:t>
            </w:r>
            <w:r w:rsidRPr="00D76AE5">
              <w:rPr>
                <w:sz w:val="20"/>
                <w:szCs w:val="20"/>
              </w:rPr>
              <w:t>100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S368T</w:t>
            </w:r>
          </w:p>
        </w:tc>
        <w:tc>
          <w:tcPr>
            <w:tcW w:w="2598" w:type="dxa"/>
          </w:tcPr>
          <w:p w:rsidR="00E62596" w:rsidRPr="00D76AE5" w:rsidRDefault="00E62596" w:rsidP="00D76AE5">
            <w:pPr>
              <w:rPr>
                <w:sz w:val="20"/>
                <w:szCs w:val="20"/>
              </w:rPr>
            </w:pPr>
            <w:r w:rsidRPr="00D76AE5">
              <w:rPr>
                <w:sz w:val="20"/>
                <w:szCs w:val="20"/>
              </w:rPr>
              <w:t>65</w:t>
            </w:r>
            <w:r w:rsidR="00926A16" w:rsidRPr="00D76AE5">
              <w:rPr>
                <w:sz w:val="20"/>
                <w:szCs w:val="20"/>
              </w:rPr>
              <w:t xml:space="preserve"> to </w:t>
            </w:r>
            <w:r w:rsidRPr="00D76AE5">
              <w:rPr>
                <w:sz w:val="20"/>
                <w:szCs w:val="20"/>
              </w:rPr>
              <w:t>139 (1b)</w:t>
            </w:r>
          </w:p>
        </w:tc>
        <w:tc>
          <w:tcPr>
            <w:tcW w:w="1692" w:type="dxa"/>
          </w:tcPr>
          <w:p w:rsidR="00E62596" w:rsidRPr="00D76AE5" w:rsidRDefault="00E62596" w:rsidP="00D76AE5">
            <w:pPr>
              <w:rPr>
                <w:sz w:val="20"/>
                <w:szCs w:val="20"/>
              </w:rPr>
            </w:pPr>
            <w:r w:rsidRPr="00D76AE5">
              <w:rPr>
                <w:sz w:val="20"/>
                <w:szCs w:val="20"/>
              </w:rPr>
              <w:t>A553T</w:t>
            </w:r>
          </w:p>
        </w:tc>
        <w:tc>
          <w:tcPr>
            <w:tcW w:w="2650" w:type="dxa"/>
          </w:tcPr>
          <w:p w:rsidR="00E62596" w:rsidRPr="00D76AE5" w:rsidRDefault="00E62596" w:rsidP="00D76AE5">
            <w:pPr>
              <w:rPr>
                <w:sz w:val="20"/>
                <w:szCs w:val="20"/>
              </w:rPr>
            </w:pPr>
            <w:r w:rsidRPr="00D76AE5">
              <w:rPr>
                <w:sz w:val="20"/>
                <w:szCs w:val="20"/>
              </w:rPr>
              <w:t>152 (1a), 120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N411S</w:t>
            </w:r>
          </w:p>
        </w:tc>
        <w:tc>
          <w:tcPr>
            <w:tcW w:w="2598" w:type="dxa"/>
          </w:tcPr>
          <w:p w:rsidR="00E62596" w:rsidRPr="00D76AE5" w:rsidRDefault="00E62596" w:rsidP="00D76AE5">
            <w:pPr>
              <w:rPr>
                <w:sz w:val="20"/>
                <w:szCs w:val="20"/>
              </w:rPr>
            </w:pPr>
            <w:r w:rsidRPr="00D76AE5">
              <w:rPr>
                <w:sz w:val="20"/>
                <w:szCs w:val="20"/>
              </w:rPr>
              <w:t>12</w:t>
            </w:r>
            <w:r w:rsidR="00926A16" w:rsidRPr="00D76AE5">
              <w:rPr>
                <w:sz w:val="20"/>
                <w:szCs w:val="20"/>
              </w:rPr>
              <w:t xml:space="preserve"> to </w:t>
            </w:r>
            <w:r w:rsidRPr="00D76AE5">
              <w:rPr>
                <w:sz w:val="20"/>
                <w:szCs w:val="20"/>
              </w:rPr>
              <w:t>84 (1b)</w:t>
            </w:r>
          </w:p>
        </w:tc>
        <w:tc>
          <w:tcPr>
            <w:tcW w:w="1692" w:type="dxa"/>
          </w:tcPr>
          <w:p w:rsidR="00E62596" w:rsidRPr="00D76AE5" w:rsidRDefault="00E62596" w:rsidP="00D76AE5">
            <w:pPr>
              <w:rPr>
                <w:sz w:val="20"/>
                <w:szCs w:val="20"/>
              </w:rPr>
            </w:pPr>
            <w:r w:rsidRPr="00D76AE5">
              <w:rPr>
                <w:sz w:val="20"/>
                <w:szCs w:val="20"/>
              </w:rPr>
              <w:t>A553V</w:t>
            </w:r>
          </w:p>
        </w:tc>
        <w:tc>
          <w:tcPr>
            <w:tcW w:w="2650" w:type="dxa"/>
          </w:tcPr>
          <w:p w:rsidR="00E62596" w:rsidRPr="00D76AE5" w:rsidRDefault="00E62596" w:rsidP="00D76AE5">
            <w:pPr>
              <w:rPr>
                <w:sz w:val="20"/>
                <w:szCs w:val="20"/>
              </w:rPr>
            </w:pPr>
            <w:r w:rsidRPr="00D76AE5">
              <w:rPr>
                <w:sz w:val="20"/>
                <w:szCs w:val="20"/>
              </w:rPr>
              <w:t>24</w:t>
            </w:r>
            <w:r w:rsidR="0021113A" w:rsidRPr="00D76AE5">
              <w:rPr>
                <w:sz w:val="20"/>
                <w:szCs w:val="20"/>
              </w:rPr>
              <w:t xml:space="preserve"> to </w:t>
            </w:r>
            <w:r w:rsidRPr="00D76AE5">
              <w:rPr>
                <w:sz w:val="20"/>
                <w:szCs w:val="20"/>
              </w:rPr>
              <w:t>120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M414I</w:t>
            </w:r>
          </w:p>
        </w:tc>
        <w:tc>
          <w:tcPr>
            <w:tcW w:w="2598" w:type="dxa"/>
          </w:tcPr>
          <w:p w:rsidR="00E62596" w:rsidRPr="00D76AE5" w:rsidRDefault="00E62596" w:rsidP="00D76AE5">
            <w:pPr>
              <w:rPr>
                <w:sz w:val="20"/>
                <w:szCs w:val="20"/>
              </w:rPr>
            </w:pPr>
            <w:r w:rsidRPr="00D76AE5">
              <w:rPr>
                <w:sz w:val="20"/>
                <w:szCs w:val="20"/>
              </w:rPr>
              <w:t>8 (1a), 17 (1b)</w:t>
            </w:r>
          </w:p>
        </w:tc>
        <w:tc>
          <w:tcPr>
            <w:tcW w:w="1692" w:type="dxa"/>
          </w:tcPr>
          <w:p w:rsidR="00E62596" w:rsidRPr="00D76AE5" w:rsidRDefault="00E62596" w:rsidP="00D76AE5">
            <w:pPr>
              <w:rPr>
                <w:sz w:val="20"/>
                <w:szCs w:val="20"/>
              </w:rPr>
            </w:pPr>
            <w:r w:rsidRPr="00D76AE5">
              <w:rPr>
                <w:sz w:val="20"/>
                <w:szCs w:val="20"/>
              </w:rPr>
              <w:t>G554S</w:t>
            </w:r>
          </w:p>
        </w:tc>
        <w:tc>
          <w:tcPr>
            <w:tcW w:w="2650" w:type="dxa"/>
          </w:tcPr>
          <w:p w:rsidR="00E62596" w:rsidRPr="00D76AE5" w:rsidRDefault="00E62596" w:rsidP="00D76AE5">
            <w:pPr>
              <w:rPr>
                <w:sz w:val="20"/>
                <w:szCs w:val="20"/>
              </w:rPr>
            </w:pPr>
            <w:r w:rsidRPr="00D76AE5">
              <w:rPr>
                <w:sz w:val="20"/>
                <w:szCs w:val="20"/>
              </w:rPr>
              <w:t>198 (1a)</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M414T</w:t>
            </w:r>
          </w:p>
        </w:tc>
        <w:tc>
          <w:tcPr>
            <w:tcW w:w="2598" w:type="dxa"/>
          </w:tcPr>
          <w:p w:rsidR="00E62596" w:rsidRPr="00D76AE5" w:rsidRDefault="00E62596" w:rsidP="00D76AE5">
            <w:pPr>
              <w:rPr>
                <w:sz w:val="20"/>
                <w:szCs w:val="20"/>
              </w:rPr>
            </w:pPr>
            <w:r w:rsidRPr="00D76AE5">
              <w:rPr>
                <w:sz w:val="20"/>
                <w:szCs w:val="20"/>
              </w:rPr>
              <w:t>32</w:t>
            </w:r>
            <w:r w:rsidR="00926A16" w:rsidRPr="00D76AE5">
              <w:rPr>
                <w:sz w:val="20"/>
                <w:szCs w:val="20"/>
              </w:rPr>
              <w:t xml:space="preserve"> to </w:t>
            </w:r>
            <w:r w:rsidRPr="00D76AE5">
              <w:rPr>
                <w:sz w:val="20"/>
                <w:szCs w:val="20"/>
              </w:rPr>
              <w:t>61 (1a), 26</w:t>
            </w:r>
            <w:r w:rsidR="00926A16" w:rsidRPr="00D76AE5">
              <w:rPr>
                <w:sz w:val="20"/>
                <w:szCs w:val="20"/>
              </w:rPr>
              <w:t xml:space="preserve"> to </w:t>
            </w:r>
            <w:r w:rsidRPr="00D76AE5">
              <w:rPr>
                <w:sz w:val="20"/>
                <w:szCs w:val="20"/>
              </w:rPr>
              <w:t>270 (1b)</w:t>
            </w:r>
          </w:p>
        </w:tc>
        <w:tc>
          <w:tcPr>
            <w:tcW w:w="1692" w:type="dxa"/>
          </w:tcPr>
          <w:p w:rsidR="00E62596" w:rsidRPr="00D76AE5" w:rsidRDefault="00E62596" w:rsidP="00D76AE5">
            <w:pPr>
              <w:rPr>
                <w:sz w:val="20"/>
                <w:szCs w:val="20"/>
              </w:rPr>
            </w:pPr>
            <w:r w:rsidRPr="00D76AE5">
              <w:rPr>
                <w:sz w:val="20"/>
                <w:szCs w:val="20"/>
              </w:rPr>
              <w:t>S556G</w:t>
            </w:r>
          </w:p>
        </w:tc>
        <w:tc>
          <w:tcPr>
            <w:tcW w:w="2650" w:type="dxa"/>
          </w:tcPr>
          <w:p w:rsidR="00E62596" w:rsidRPr="00D76AE5" w:rsidRDefault="00E62596" w:rsidP="00D76AE5">
            <w:pPr>
              <w:rPr>
                <w:sz w:val="20"/>
                <w:szCs w:val="20"/>
              </w:rPr>
            </w:pPr>
            <w:r w:rsidRPr="00D76AE5">
              <w:rPr>
                <w:sz w:val="20"/>
                <w:szCs w:val="20"/>
              </w:rPr>
              <w:t>27</w:t>
            </w:r>
            <w:r w:rsidR="00926A16" w:rsidRPr="00D76AE5">
              <w:rPr>
                <w:sz w:val="20"/>
                <w:szCs w:val="20"/>
              </w:rPr>
              <w:t xml:space="preserve"> to </w:t>
            </w:r>
            <w:r w:rsidRPr="00D76AE5">
              <w:rPr>
                <w:sz w:val="20"/>
                <w:szCs w:val="20"/>
              </w:rPr>
              <w:t>84 (1a), 12</w:t>
            </w:r>
            <w:r w:rsidR="00926A16" w:rsidRPr="00D76AE5">
              <w:rPr>
                <w:sz w:val="20"/>
                <w:szCs w:val="20"/>
              </w:rPr>
              <w:t xml:space="preserve"> to </w:t>
            </w:r>
            <w:r w:rsidRPr="00D76AE5">
              <w:rPr>
                <w:sz w:val="20"/>
                <w:szCs w:val="20"/>
              </w:rPr>
              <w:t>32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M414V</w:t>
            </w:r>
          </w:p>
        </w:tc>
        <w:tc>
          <w:tcPr>
            <w:tcW w:w="2598" w:type="dxa"/>
          </w:tcPr>
          <w:p w:rsidR="00E62596" w:rsidRPr="00D76AE5" w:rsidRDefault="00E62596" w:rsidP="00D76AE5">
            <w:pPr>
              <w:rPr>
                <w:sz w:val="20"/>
                <w:szCs w:val="20"/>
              </w:rPr>
            </w:pPr>
            <w:r w:rsidRPr="00D76AE5">
              <w:rPr>
                <w:sz w:val="20"/>
                <w:szCs w:val="20"/>
              </w:rPr>
              <w:t>5 (1a), 18 (1b)</w:t>
            </w:r>
          </w:p>
        </w:tc>
        <w:tc>
          <w:tcPr>
            <w:tcW w:w="1692" w:type="dxa"/>
          </w:tcPr>
          <w:p w:rsidR="00E62596" w:rsidRPr="00D76AE5" w:rsidRDefault="00E62596" w:rsidP="00D76AE5">
            <w:pPr>
              <w:rPr>
                <w:sz w:val="20"/>
                <w:szCs w:val="20"/>
              </w:rPr>
            </w:pPr>
            <w:r w:rsidRPr="00D76AE5">
              <w:rPr>
                <w:sz w:val="20"/>
                <w:szCs w:val="20"/>
              </w:rPr>
              <w:t>S556R</w:t>
            </w:r>
          </w:p>
        </w:tc>
        <w:tc>
          <w:tcPr>
            <w:tcW w:w="2650" w:type="dxa"/>
          </w:tcPr>
          <w:p w:rsidR="00E62596" w:rsidRPr="00D76AE5" w:rsidRDefault="00E62596" w:rsidP="00D76AE5">
            <w:pPr>
              <w:rPr>
                <w:sz w:val="20"/>
                <w:szCs w:val="20"/>
              </w:rPr>
            </w:pPr>
            <w:r w:rsidRPr="00D76AE5">
              <w:rPr>
                <w:sz w:val="20"/>
                <w:szCs w:val="20"/>
              </w:rPr>
              <w:t>261 (1a), 3 (1b)</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N444K</w:t>
            </w:r>
          </w:p>
        </w:tc>
        <w:tc>
          <w:tcPr>
            <w:tcW w:w="2598" w:type="dxa"/>
          </w:tcPr>
          <w:p w:rsidR="00E62596" w:rsidRPr="00D76AE5" w:rsidRDefault="00E62596" w:rsidP="00D76AE5">
            <w:pPr>
              <w:rPr>
                <w:sz w:val="20"/>
                <w:szCs w:val="20"/>
              </w:rPr>
            </w:pPr>
            <w:r w:rsidRPr="00D76AE5">
              <w:rPr>
                <w:sz w:val="20"/>
                <w:szCs w:val="20"/>
              </w:rPr>
              <w:t>23 (1a)</w:t>
            </w:r>
          </w:p>
        </w:tc>
        <w:tc>
          <w:tcPr>
            <w:tcW w:w="1692" w:type="dxa"/>
          </w:tcPr>
          <w:p w:rsidR="00E62596" w:rsidRPr="00D76AE5" w:rsidRDefault="00E62596" w:rsidP="00D76AE5">
            <w:pPr>
              <w:rPr>
                <w:sz w:val="20"/>
                <w:szCs w:val="20"/>
              </w:rPr>
            </w:pPr>
            <w:r w:rsidRPr="00D76AE5">
              <w:rPr>
                <w:sz w:val="20"/>
                <w:szCs w:val="20"/>
              </w:rPr>
              <w:t>D559G</w:t>
            </w:r>
          </w:p>
        </w:tc>
        <w:tc>
          <w:tcPr>
            <w:tcW w:w="2650" w:type="dxa"/>
          </w:tcPr>
          <w:p w:rsidR="00E62596" w:rsidRPr="00D76AE5" w:rsidRDefault="00E62596" w:rsidP="00D76AE5">
            <w:pPr>
              <w:rPr>
                <w:sz w:val="20"/>
                <w:szCs w:val="20"/>
              </w:rPr>
            </w:pPr>
            <w:r w:rsidRPr="00D76AE5">
              <w:rPr>
                <w:sz w:val="20"/>
                <w:szCs w:val="20"/>
              </w:rPr>
              <w:t xml:space="preserve">110 (1b) </w:t>
            </w:r>
          </w:p>
        </w:tc>
      </w:tr>
      <w:tr w:rsidR="00E62596" w:rsidRPr="00D76AE5" w:rsidTr="00F30389">
        <w:trPr>
          <w:trHeight w:val="83"/>
        </w:trPr>
        <w:tc>
          <w:tcPr>
            <w:tcW w:w="1743" w:type="dxa"/>
          </w:tcPr>
          <w:p w:rsidR="00E62596" w:rsidRPr="00D76AE5" w:rsidRDefault="00E62596" w:rsidP="00D76AE5">
            <w:pPr>
              <w:rPr>
                <w:sz w:val="20"/>
                <w:szCs w:val="20"/>
              </w:rPr>
            </w:pPr>
            <w:r w:rsidRPr="00D76AE5">
              <w:rPr>
                <w:sz w:val="20"/>
                <w:szCs w:val="20"/>
              </w:rPr>
              <w:t>E446K</w:t>
            </w:r>
          </w:p>
        </w:tc>
        <w:tc>
          <w:tcPr>
            <w:tcW w:w="2598" w:type="dxa"/>
          </w:tcPr>
          <w:p w:rsidR="00E62596" w:rsidRPr="00D76AE5" w:rsidRDefault="00E62596" w:rsidP="00D76AE5">
            <w:pPr>
              <w:rPr>
                <w:sz w:val="20"/>
                <w:szCs w:val="20"/>
              </w:rPr>
            </w:pPr>
            <w:r w:rsidRPr="00D76AE5">
              <w:rPr>
                <w:sz w:val="20"/>
                <w:szCs w:val="20"/>
              </w:rPr>
              <w:t>54 (1a)</w:t>
            </w:r>
          </w:p>
        </w:tc>
        <w:tc>
          <w:tcPr>
            <w:tcW w:w="1692" w:type="dxa"/>
          </w:tcPr>
          <w:p w:rsidR="00E62596" w:rsidRPr="00D76AE5" w:rsidRDefault="00E62596" w:rsidP="00D76AE5">
            <w:pPr>
              <w:rPr>
                <w:sz w:val="20"/>
                <w:szCs w:val="20"/>
              </w:rPr>
            </w:pPr>
            <w:r w:rsidRPr="00D76AE5">
              <w:rPr>
                <w:sz w:val="20"/>
                <w:szCs w:val="20"/>
              </w:rPr>
              <w:t>Y561H</w:t>
            </w:r>
          </w:p>
        </w:tc>
        <w:tc>
          <w:tcPr>
            <w:tcW w:w="2650" w:type="dxa"/>
          </w:tcPr>
          <w:p w:rsidR="00E62596" w:rsidRPr="00D76AE5" w:rsidRDefault="00E62596" w:rsidP="00D76AE5">
            <w:pPr>
              <w:rPr>
                <w:sz w:val="20"/>
                <w:szCs w:val="20"/>
              </w:rPr>
            </w:pPr>
            <w:r w:rsidRPr="00D76AE5">
              <w:rPr>
                <w:sz w:val="20"/>
                <w:szCs w:val="20"/>
              </w:rPr>
              <w:t>21 (1a)</w:t>
            </w:r>
          </w:p>
        </w:tc>
      </w:tr>
    </w:tbl>
    <w:p w:rsidR="00E62596" w:rsidRPr="00E62596" w:rsidRDefault="00E62596" w:rsidP="00D76AE5">
      <w:r w:rsidRPr="00E62596">
        <w:t>Mutations at M423 (to M423V/T/I) in the polymerase thumb domain have been reported to confer resistance to the nonnucleoside polymerase inhibitors, NNI-1</w:t>
      </w:r>
      <w:r w:rsidR="00AE29C4">
        <w:t>,</w:t>
      </w:r>
      <w:bookmarkStart w:id="86" w:name="_Ref471977760"/>
      <w:r w:rsidRPr="00AE29C4">
        <w:rPr>
          <w:vertAlign w:val="superscript"/>
        </w:rPr>
        <w:footnoteReference w:id="41"/>
      </w:r>
      <w:bookmarkEnd w:id="86"/>
      <w:r w:rsidRPr="00E62596">
        <w:t xml:space="preserve"> filibuvir</w:t>
      </w:r>
      <w:r w:rsidR="00AE29C4">
        <w:t>,</w:t>
      </w:r>
      <w:bookmarkStart w:id="87" w:name="_Ref471977788"/>
      <w:r w:rsidRPr="00AE29C4">
        <w:rPr>
          <w:vertAlign w:val="superscript"/>
        </w:rPr>
        <w:footnoteReference w:id="42"/>
      </w:r>
      <w:bookmarkEnd w:id="87"/>
      <w:r w:rsidRPr="00E62596">
        <w:t xml:space="preserve"> lomibuvir</w:t>
      </w:r>
      <w:bookmarkStart w:id="88" w:name="_Ref471977816"/>
      <w:r w:rsidRPr="00AE29C4">
        <w:rPr>
          <w:vertAlign w:val="superscript"/>
        </w:rPr>
        <w:footnoteReference w:id="43"/>
      </w:r>
      <w:bookmarkEnd w:id="88"/>
      <w:r w:rsidRPr="00E62596">
        <w:t xml:space="preserve"> and VX-222</w:t>
      </w:r>
      <w:bookmarkStart w:id="89" w:name="_Ref471977864"/>
      <w:r w:rsidRPr="00AE29C4">
        <w:rPr>
          <w:vertAlign w:val="superscript"/>
        </w:rPr>
        <w:footnoteReference w:id="44"/>
      </w:r>
      <w:bookmarkEnd w:id="89"/>
      <w:r w:rsidRPr="00E62596">
        <w:t xml:space="preserve"> and the mutation P459L has been reported to confer resistance to the nonnucleoside inhibitor, TMC647055</w:t>
      </w:r>
      <w:r w:rsidR="00AE29C4">
        <w:t>.</w:t>
      </w:r>
      <w:bookmarkStart w:id="90" w:name="_Ref471921539"/>
      <w:r w:rsidRPr="00AE29C4">
        <w:rPr>
          <w:vertAlign w:val="superscript"/>
        </w:rPr>
        <w:footnoteReference w:id="45"/>
      </w:r>
      <w:bookmarkEnd w:id="90"/>
      <w:r w:rsidRPr="00E62596">
        <w:t xml:space="preserve"> The M423T and P495L mutations had no effect on dasabuvir </w:t>
      </w:r>
      <w:r w:rsidR="00B727C1" w:rsidRPr="00E62596">
        <w:t>potency;</w:t>
      </w:r>
      <w:r w:rsidRPr="00E62596">
        <w:t xml:space="preserve"> suggesting dasabuvir may be effective in patients carrying HCV genotypes 1a and 1b that are resistant to NNI-1, filibuvir, lomibuvir and VX-222 by virtue of a M423T mutation and TMC647055 by virtue of a P495L mutation. Unfortunately, the efficacy of dasabuvir against other mutations conferring resistance to these inhibitors (L419M, R422K, M426A, I482L/N/T, A486S/T/V, L392I and V494A) was not assessed. Therefore, it is unknown if dasabuvir will be effective against genotype 1a </w:t>
      </w:r>
      <w:r w:rsidRPr="00E62596">
        <w:lastRenderedPageBreak/>
        <w:t>and 1b HCV strains that are resistant to these other nonnucleoside inhibitors. Future studies with dasabuvir should assess efficacy against these mutant variants.</w:t>
      </w:r>
    </w:p>
    <w:p w:rsidR="00E62596" w:rsidRPr="00E62596" w:rsidRDefault="00E62596" w:rsidP="00E62596">
      <w:r w:rsidRPr="00E62596">
        <w:t>The S282T mutation which has been reported to confer resistance to the NS5B polymerase nucleoside inhibitor, sofosbuvir</w:t>
      </w:r>
      <w:r w:rsidR="00AE29C4">
        <w:t>,</w:t>
      </w:r>
      <w:bookmarkStart w:id="91" w:name="_Ref471978000"/>
      <w:r w:rsidRPr="00AE29C4">
        <w:rPr>
          <w:vertAlign w:val="superscript"/>
        </w:rPr>
        <w:footnoteReference w:id="46"/>
      </w:r>
      <w:bookmarkEnd w:id="91"/>
      <w:r w:rsidRPr="00E62596">
        <w:t xml:space="preserve"> did not confer resistance to dasabuvir. The S96T mutation, which has also been reported to confer resistance to nucleoside NS5B polymerase inhibitors</w:t>
      </w:r>
      <w:r w:rsidR="00F344F8">
        <w:t xml:space="preserve"> </w:t>
      </w:r>
      <w:r w:rsidR="00AE29C4" w:rsidRPr="00AE29C4">
        <w:rPr>
          <w:vertAlign w:val="superscript"/>
        </w:rPr>
        <w:fldChar w:fldCharType="begin"/>
      </w:r>
      <w:r w:rsidR="00AE29C4" w:rsidRPr="00AE29C4">
        <w:rPr>
          <w:vertAlign w:val="superscript"/>
        </w:rPr>
        <w:instrText xml:space="preserve"> NOTEREF _Ref471921539 \h  \* MERGEFORMAT </w:instrText>
      </w:r>
      <w:r w:rsidR="00AE29C4" w:rsidRPr="00AE29C4">
        <w:rPr>
          <w:vertAlign w:val="superscript"/>
        </w:rPr>
      </w:r>
      <w:r w:rsidR="00AE29C4" w:rsidRPr="00AE29C4">
        <w:rPr>
          <w:vertAlign w:val="superscript"/>
        </w:rPr>
        <w:fldChar w:fldCharType="separate"/>
      </w:r>
      <w:proofErr w:type="gramStart"/>
      <w:r w:rsidR="00AE29C4" w:rsidRPr="00AE29C4">
        <w:rPr>
          <w:vertAlign w:val="superscript"/>
        </w:rPr>
        <w:t>33</w:t>
      </w:r>
      <w:proofErr w:type="gramEnd"/>
      <w:r w:rsidR="00AE29C4" w:rsidRPr="00AE29C4">
        <w:rPr>
          <w:vertAlign w:val="superscript"/>
        </w:rPr>
        <w:fldChar w:fldCharType="end"/>
      </w:r>
      <w:r w:rsidRPr="00E62596">
        <w:t xml:space="preserve"> did not confer resistance to dasabuvir, suggesting dasabuvir may still be active in genotype 1a and 1b variants that are resistant to nucleoside inhibitors.</w:t>
      </w:r>
    </w:p>
    <w:p w:rsidR="00E62596" w:rsidRPr="00E62596" w:rsidRDefault="00E62596" w:rsidP="00E62596">
      <w:pPr>
        <w:pStyle w:val="Heading5"/>
      </w:pPr>
      <w:r w:rsidRPr="00E62596">
        <w:t>Combination studies</w:t>
      </w:r>
      <w:r w:rsidR="00AE29C4">
        <w:t xml:space="preserve"> - </w:t>
      </w:r>
      <w:r w:rsidR="00AE29C4">
        <w:rPr>
          <w:kern w:val="2"/>
        </w:rPr>
        <w:t>dasabuvir</w:t>
      </w:r>
    </w:p>
    <w:p w:rsidR="00E62596" w:rsidRPr="00E62596" w:rsidRDefault="00E62596" w:rsidP="00E62596">
      <w:r w:rsidRPr="00E62596">
        <w:t>Dasabuvir showed additive to synergistic antiviral activity when tested in combination with ombitasvir at most concentrations, with only slight antagonism evident at the lowest concentrations tested. Dasabuvir and ribavirin in combination showed additive to synergistic activity.</w:t>
      </w:r>
    </w:p>
    <w:p w:rsidR="00E62596" w:rsidRPr="00E62596" w:rsidRDefault="00C75F81" w:rsidP="00E62596">
      <w:pPr>
        <w:pStyle w:val="Heading4"/>
      </w:pPr>
      <w:r>
        <w:t>Secondary pharmacodynamics</w:t>
      </w:r>
    </w:p>
    <w:p w:rsidR="00E62596" w:rsidRPr="00E62596" w:rsidRDefault="00E62596" w:rsidP="00E62596">
      <w:r w:rsidRPr="00E62596">
        <w:t>Dasabuvir had no significant inhibitory activity against a number of human and mammalian DNA-dependent DNA polymerases and DNA-dependent RNA polymerases, and an RNA-dependent DNA polymerase (</w:t>
      </w:r>
      <w:r w:rsidR="00014BB3">
        <w:t>IC</w:t>
      </w:r>
      <w:r w:rsidR="00014BB3" w:rsidRPr="00E355BF">
        <w:rPr>
          <w:vertAlign w:val="subscript"/>
        </w:rPr>
        <w:t>50</w:t>
      </w:r>
      <w:r w:rsidRPr="00E62596">
        <w:t xml:space="preserve"> values </w:t>
      </w:r>
      <w:r w:rsidR="000C3156">
        <w:t xml:space="preserve">≥ </w:t>
      </w:r>
      <w:r w:rsidRPr="00E62596">
        <w:t xml:space="preserve">76 </w:t>
      </w:r>
      <w:r w:rsidR="005F323A">
        <w:t>µ</w:t>
      </w:r>
      <w:r w:rsidR="005F323A" w:rsidRPr="00CE21BD">
        <w:t>M</w:t>
      </w:r>
      <w:r w:rsidRPr="00E62596">
        <w:t xml:space="preserve">; </w:t>
      </w:r>
      <w:r w:rsidR="000C3156">
        <w:t xml:space="preserve">&gt; </w:t>
      </w:r>
      <w:r w:rsidRPr="00E62596">
        <w:t>3</w:t>
      </w:r>
      <w:r w:rsidR="00AE29C4">
        <w:t>,</w:t>
      </w:r>
      <w:r w:rsidRPr="00E62596">
        <w:t xml:space="preserve">600 times the clinical free </w:t>
      </w:r>
      <w:r w:rsidR="003A33A4" w:rsidRPr="008912E8">
        <w:t>C</w:t>
      </w:r>
      <w:r w:rsidR="003A33A4" w:rsidRPr="003A33A4">
        <w:rPr>
          <w:vertAlign w:val="subscript"/>
        </w:rPr>
        <w:t>max</w:t>
      </w:r>
      <w:r w:rsidRPr="00E62596">
        <w:t>). Therefore, dasabuvir is not expected to interfere with DNA replication or transcription in host cells. In in vitro assays, dasabuvir had no antiviral activity against HIV-1 or HBV strains at concentrations significantly greater than would be expected clinically. Therefore, dasabuvir is not expected to have an effect on HIV-1 or HBV infection.</w:t>
      </w:r>
    </w:p>
    <w:p w:rsidR="00E62596" w:rsidRPr="00E62596" w:rsidRDefault="00E62596" w:rsidP="00E62596">
      <w:r w:rsidRPr="00E62596">
        <w:t>In a screen of 80 mammalian receptors, ion channels and transporters, neither dasabuvir nor M1 had any clinically-relevant inhibitory activity. No off-target activities are predicted during clinical use.</w:t>
      </w:r>
    </w:p>
    <w:p w:rsidR="00E62596" w:rsidRPr="00E62596" w:rsidRDefault="00E62596" w:rsidP="00E62596">
      <w:pPr>
        <w:pStyle w:val="Heading4"/>
      </w:pPr>
      <w:r w:rsidRPr="00E62596">
        <w:t>Safety pharmacology</w:t>
      </w:r>
      <w:r w:rsidR="00AE29C4">
        <w:t xml:space="preserve"> – </w:t>
      </w:r>
      <w:r w:rsidR="00AE29C4">
        <w:rPr>
          <w:kern w:val="2"/>
        </w:rPr>
        <w:t>dasabuvir</w:t>
      </w:r>
    </w:p>
    <w:p w:rsidR="00E62596" w:rsidRPr="00E62596" w:rsidRDefault="00E62596" w:rsidP="00E62596">
      <w:r w:rsidRPr="00E62596">
        <w:t xml:space="preserve">Specialised safety pharmacology studies covered the CNS, cardiovascular, respiratory and gastrointestinal systems. No significant effects on CNS, respiratory or gastrointestinal function was seen in rats with </w:t>
      </w:r>
      <w:r w:rsidR="00AE29C4">
        <w:t xml:space="preserve">≤ </w:t>
      </w:r>
      <w:r w:rsidRPr="00E62596">
        <w:t xml:space="preserve">30 mg/kg PO dasabuvir (exposure ratio based on </w:t>
      </w:r>
      <w:r w:rsidR="003A33A4" w:rsidRPr="008912E8">
        <w:t>C</w:t>
      </w:r>
      <w:r w:rsidR="003A33A4" w:rsidRPr="003A33A4">
        <w:rPr>
          <w:vertAlign w:val="subscript"/>
        </w:rPr>
        <w:t>max</w:t>
      </w:r>
      <w:r w:rsidR="00630EF4">
        <w:t xml:space="preserve"> </w:t>
      </w:r>
      <w:r w:rsidRPr="00B727C1">
        <w:t>[ER</w:t>
      </w:r>
      <w:r w:rsidR="003A33A4" w:rsidRPr="00B727C1">
        <w:t>C</w:t>
      </w:r>
      <w:r w:rsidR="003A33A4" w:rsidRPr="00B727C1">
        <w:rPr>
          <w:vertAlign w:val="subscript"/>
        </w:rPr>
        <w:t>max</w:t>
      </w:r>
      <w:r w:rsidRPr="00B727C1">
        <w:t>] 5) in the</w:t>
      </w:r>
      <w:r w:rsidRPr="00E62596">
        <w:t xml:space="preserve"> safety pharmacology studies. In the re</w:t>
      </w:r>
      <w:r w:rsidR="00AE29C4">
        <w:t xml:space="preserve">peat </w:t>
      </w:r>
      <w:r w:rsidRPr="00E62596">
        <w:t xml:space="preserve">dose toxicity studies in which higher doses were used, there were no clinical signs of adverse CNS, respiratory or gastrointestinal effects in mice (at </w:t>
      </w:r>
      <w:r w:rsidR="00AE29C4">
        <w:t xml:space="preserve">≤ </w:t>
      </w:r>
      <w:r w:rsidRPr="00E62596">
        <w:t xml:space="preserve">5000 mg/kg PO), rats (at </w:t>
      </w:r>
      <w:r w:rsidR="00AE29C4">
        <w:t xml:space="preserve">≤ </w:t>
      </w:r>
      <w:r w:rsidRPr="00E62596">
        <w:t xml:space="preserve">400 mg/kg PO) or dogs (at </w:t>
      </w:r>
      <w:r w:rsidR="00AE29C4">
        <w:t xml:space="preserve">≤ </w:t>
      </w:r>
      <w:r w:rsidRPr="00E62596">
        <w:t>60 mg/kg PO). Exposures at these doses were 2</w:t>
      </w:r>
      <w:r w:rsidR="00AE29C4">
        <w:t xml:space="preserve">6 to </w:t>
      </w:r>
      <w:r w:rsidRPr="00E62596">
        <w:t xml:space="preserve">39 times the clinical </w:t>
      </w:r>
      <w:r w:rsidR="003A33A4" w:rsidRPr="008912E8">
        <w:t>C</w:t>
      </w:r>
      <w:r w:rsidR="003A33A4" w:rsidRPr="003A33A4">
        <w:rPr>
          <w:vertAlign w:val="subscript"/>
        </w:rPr>
        <w:t>max</w:t>
      </w:r>
      <w:r w:rsidR="00630EF4">
        <w:t xml:space="preserve"> </w:t>
      </w:r>
      <w:r w:rsidRPr="00E62596">
        <w:t xml:space="preserve">for dasabuvir, while the estimated exposures to M1 were 61 times the clinical </w:t>
      </w:r>
      <w:r w:rsidR="003A33A4" w:rsidRPr="008912E8">
        <w:t>C</w:t>
      </w:r>
      <w:r w:rsidR="003A33A4" w:rsidRPr="003A33A4">
        <w:rPr>
          <w:vertAlign w:val="subscript"/>
        </w:rPr>
        <w:t>max</w:t>
      </w:r>
      <w:r w:rsidR="00630EF4">
        <w:t xml:space="preserve"> </w:t>
      </w:r>
      <w:r w:rsidRPr="00E62596">
        <w:t xml:space="preserve">in mice, approximately equivalent to the </w:t>
      </w:r>
      <w:r w:rsidR="003A33A4" w:rsidRPr="008912E8">
        <w:t>C</w:t>
      </w:r>
      <w:r w:rsidR="003A33A4" w:rsidRPr="003A33A4">
        <w:rPr>
          <w:vertAlign w:val="subscript"/>
        </w:rPr>
        <w:t>max</w:t>
      </w:r>
      <w:r w:rsidR="00630EF4">
        <w:t xml:space="preserve"> </w:t>
      </w:r>
      <w:r w:rsidRPr="00E62596">
        <w:t>in rats and subclinical in dogs</w:t>
      </w:r>
      <w:bookmarkStart w:id="92" w:name="_Ref396215394"/>
      <w:r w:rsidR="00AE29C4">
        <w:t>.</w:t>
      </w:r>
      <w:bookmarkStart w:id="93" w:name="_Ref475955214"/>
      <w:r w:rsidRPr="00AE29C4">
        <w:rPr>
          <w:vertAlign w:val="superscript"/>
        </w:rPr>
        <w:footnoteReference w:id="47"/>
      </w:r>
      <w:bookmarkEnd w:id="92"/>
      <w:bookmarkEnd w:id="93"/>
    </w:p>
    <w:p w:rsidR="00E62596" w:rsidRPr="00E62596" w:rsidRDefault="00E62596" w:rsidP="00E62596">
      <w:r w:rsidRPr="00E62596">
        <w:t>In vitro, dasabuvir inhibited hERG K+ tail current (</w:t>
      </w:r>
      <w:r w:rsidR="00014BB3">
        <w:t>IC</w:t>
      </w:r>
      <w:r w:rsidR="00014BB3" w:rsidRPr="00E355BF">
        <w:rPr>
          <w:vertAlign w:val="subscript"/>
        </w:rPr>
        <w:t>50</w:t>
      </w:r>
      <w:r w:rsidRPr="00E62596">
        <w:t xml:space="preserve"> 0.3 </w:t>
      </w:r>
      <w:r w:rsidR="00913482">
        <w:t>µ</w:t>
      </w:r>
      <w:r w:rsidR="00913482" w:rsidRPr="00E56F3B">
        <w:t>g</w:t>
      </w:r>
      <w:r w:rsidRPr="00E62596">
        <w:t xml:space="preserve">/mL; 29 times the clinical free </w:t>
      </w:r>
      <w:r w:rsidR="003A33A4" w:rsidRPr="008912E8">
        <w:t>C</w:t>
      </w:r>
      <w:r w:rsidR="003A33A4" w:rsidRPr="003A33A4">
        <w:rPr>
          <w:vertAlign w:val="subscript"/>
        </w:rPr>
        <w:t>max</w:t>
      </w:r>
      <w:r w:rsidRPr="00E62596">
        <w:t xml:space="preserve">) but there was no effect on action potential duration in isolated dog Purkinje fibres (at </w:t>
      </w:r>
      <w:r w:rsidR="00AE29C4">
        <w:t xml:space="preserve">≤ </w:t>
      </w:r>
      <w:r w:rsidRPr="00E62596">
        <w:t xml:space="preserve">14.9 </w:t>
      </w:r>
      <w:r w:rsidR="00913482">
        <w:t>µ</w:t>
      </w:r>
      <w:r w:rsidR="00913482" w:rsidRPr="00E56F3B">
        <w:t>g</w:t>
      </w:r>
      <w:r w:rsidRPr="00E62596">
        <w:t xml:space="preserve">/mL; 1450 times the clinical free </w:t>
      </w:r>
      <w:r w:rsidR="003A33A4" w:rsidRPr="008912E8">
        <w:t>C</w:t>
      </w:r>
      <w:r w:rsidR="003A33A4" w:rsidRPr="003A33A4">
        <w:rPr>
          <w:vertAlign w:val="subscript"/>
        </w:rPr>
        <w:t>max</w:t>
      </w:r>
      <w:r w:rsidRPr="00E62596">
        <w:t>), and QT prolongation was not observed in dogs given IV or high oral doses of dasabuvir (ER</w:t>
      </w:r>
      <w:r w:rsidR="003A33A4" w:rsidRPr="008912E8">
        <w:t>C</w:t>
      </w:r>
      <w:r w:rsidR="003A33A4" w:rsidRPr="003A33A4">
        <w:rPr>
          <w:vertAlign w:val="subscript"/>
        </w:rPr>
        <w:t>max</w:t>
      </w:r>
      <w:r w:rsidR="00630EF4">
        <w:t xml:space="preserve"> </w:t>
      </w:r>
      <w:r w:rsidR="00AE29C4">
        <w:t xml:space="preserve">≤ </w:t>
      </w:r>
      <w:r w:rsidRPr="00E62596">
        <w:t>26</w:t>
      </w:r>
      <w:r w:rsidR="00AE29C4">
        <w:t>).</w:t>
      </w:r>
      <w:r w:rsidRPr="00AE29C4">
        <w:rPr>
          <w:vertAlign w:val="superscript"/>
        </w:rPr>
        <w:footnoteReference w:id="48"/>
      </w:r>
      <w:r w:rsidRPr="00E62596">
        <w:t xml:space="preserve"> Dasabuvir (at </w:t>
      </w:r>
      <w:r w:rsidR="00AE29C4">
        <w:t>≤ </w:t>
      </w:r>
      <w:r w:rsidRPr="00E62596">
        <w:t>15 mg/kg PO) did not induce emesis in ferrets (ER</w:t>
      </w:r>
      <w:r w:rsidR="003A33A4" w:rsidRPr="008912E8">
        <w:t>C</w:t>
      </w:r>
      <w:r w:rsidR="003A33A4" w:rsidRPr="003A33A4">
        <w:rPr>
          <w:vertAlign w:val="subscript"/>
        </w:rPr>
        <w:t>max</w:t>
      </w:r>
      <w:r w:rsidR="00630EF4">
        <w:t xml:space="preserve"> </w:t>
      </w:r>
      <w:r w:rsidR="00F201F8">
        <w:t xml:space="preserve">approximately </w:t>
      </w:r>
      <w:r w:rsidRPr="00E62596">
        <w:t xml:space="preserve">1). Overall, dasabuvir is not expected to have any adverse effects </w:t>
      </w:r>
      <w:r w:rsidRPr="00B727C1">
        <w:t>on CNS, respiratory</w:t>
      </w:r>
      <w:r w:rsidRPr="00E62596">
        <w:t xml:space="preserve">, gastrointestinal or cardiovascular function during clinical use. Unfortunately, the M1 metabolite is a very minor metabolite in dogs, and estimated exposures to this metabolite would have been subclinical at the highest tested dose in dogs. Furthermore, the potential for this metabolite to prolong the QT interval was not assessed in in vitro assays. Therefore, no </w:t>
      </w:r>
      <w:r w:rsidRPr="00E62596">
        <w:lastRenderedPageBreak/>
        <w:t xml:space="preserve">comment can be made from the Module 4 data as to the potential for M1 to affect </w:t>
      </w:r>
      <w:r w:rsidR="00973BDE">
        <w:t>electrocardiogram</w:t>
      </w:r>
      <w:r w:rsidR="00973BDE" w:rsidRPr="00E62596">
        <w:t xml:space="preserve"> </w:t>
      </w:r>
      <w:r w:rsidR="00973BDE">
        <w:t>(</w:t>
      </w:r>
      <w:r w:rsidRPr="00E62596">
        <w:t>ECG</w:t>
      </w:r>
      <w:r w:rsidR="00973BDE">
        <w:t>)</w:t>
      </w:r>
      <w:r w:rsidRPr="00E62596">
        <w:t xml:space="preserve"> parameters in patients.</w:t>
      </w:r>
    </w:p>
    <w:p w:rsidR="00CC0301" w:rsidRDefault="00CC0301" w:rsidP="00CC0301">
      <w:pPr>
        <w:pStyle w:val="Heading3"/>
      </w:pPr>
      <w:bookmarkStart w:id="94" w:name="_Toc480811571"/>
      <w:r>
        <w:t>Pharmacokinetics</w:t>
      </w:r>
      <w:r w:rsidR="0098169C">
        <w:t xml:space="preserve"> - </w:t>
      </w:r>
      <w:r w:rsidR="0098169C" w:rsidRPr="00DA5815">
        <w:t>Dasabuvir</w:t>
      </w:r>
      <w:bookmarkEnd w:id="94"/>
    </w:p>
    <w:p w:rsidR="00E62596" w:rsidRPr="00E62596" w:rsidRDefault="00E62596" w:rsidP="00E62596">
      <w:r w:rsidRPr="00E62596">
        <w:t>An in vitro study indicated dasabuvir had the potential for high oral absorption. In a regional absorption study in dogs, the greatest absorption was observed from the jejunum. The oral bioavailability of dasabuvir free acid was high in dogs (95.9%) and muc</w:t>
      </w:r>
      <w:r w:rsidR="00AE29C4">
        <w:t xml:space="preserve">h lower in rats and monkeys (20 to </w:t>
      </w:r>
      <w:r w:rsidRPr="00E62596">
        <w:t>25% and 4.5%, respectively). The rate of absorption was similar in animal species (mice, rats, rabbits, dogs and monkeys) and human subjects (</w:t>
      </w:r>
      <w:r w:rsidR="00630EF4" w:rsidRPr="003E036A">
        <w:t>T</w:t>
      </w:r>
      <w:r w:rsidR="00630EF4" w:rsidRPr="00630EF4">
        <w:rPr>
          <w:vertAlign w:val="subscript"/>
        </w:rPr>
        <w:t>max</w:t>
      </w:r>
      <w:r w:rsidR="00AE29C4">
        <w:t> 1 to 4 </w:t>
      </w:r>
      <w:r w:rsidRPr="00E62596">
        <w:t xml:space="preserve">h), though </w:t>
      </w:r>
      <w:r w:rsidR="003A33A4" w:rsidRPr="008912E8">
        <w:t>C</w:t>
      </w:r>
      <w:r w:rsidR="003A33A4" w:rsidRPr="003A33A4">
        <w:rPr>
          <w:vertAlign w:val="subscript"/>
        </w:rPr>
        <w:t>max</w:t>
      </w:r>
      <w:r w:rsidR="00630EF4">
        <w:t xml:space="preserve"> </w:t>
      </w:r>
      <w:r w:rsidRPr="00E62596">
        <w:t>tended to occur later at higher doses in dogs (</w:t>
      </w:r>
      <w:r w:rsidR="00630EF4" w:rsidRPr="003E036A">
        <w:t>T</w:t>
      </w:r>
      <w:r w:rsidR="00630EF4" w:rsidRPr="00630EF4">
        <w:rPr>
          <w:vertAlign w:val="subscript"/>
        </w:rPr>
        <w:t>max</w:t>
      </w:r>
      <w:r w:rsidR="00AE29C4">
        <w:t xml:space="preserve"> 7 to </w:t>
      </w:r>
      <w:r w:rsidRPr="00E62596">
        <w:t>15 h). Following IV dosing, the elimination half-life was similar in rats a</w:t>
      </w:r>
      <w:r w:rsidR="00AE29C4">
        <w:t xml:space="preserve">nd monkeys (t½ 2 to </w:t>
      </w:r>
      <w:r w:rsidRPr="00E62596">
        <w:t>4 h) and longer in dogs (</w:t>
      </w:r>
      <w:r w:rsidR="00F201F8">
        <w:t xml:space="preserve">approximately </w:t>
      </w:r>
      <w:r w:rsidRPr="00E62596">
        <w:t>20 h). The apparent half-life in human subjects was similar to that seen in rats and monkeys (5.9 h). There were no sex differences in pharmacokinetic parameters in mice, dogs and monkeys, while female rats had higher exposures (AUC) than their male counterparts at equivalent doses. The reason for this is unknown. Exposures to dasabuvir we</w:t>
      </w:r>
      <w:r w:rsidR="00AE29C4">
        <w:t xml:space="preserve">re lower with repeat once daily </w:t>
      </w:r>
      <w:r w:rsidRPr="00E62596">
        <w:t>dosing to mice and rats. This was not seen with twice daily dosing to rats or once daily dosing to dogs and monkeys. There was no evidence of accumulation in animal species or human subjects.</w:t>
      </w:r>
    </w:p>
    <w:p w:rsidR="00E62596" w:rsidRPr="00E62596" w:rsidRDefault="00E62596" w:rsidP="00E62596">
      <w:r w:rsidRPr="00E62596">
        <w:t>M1 was a major metabolite in mice, rabbits and human s</w:t>
      </w:r>
      <w:r w:rsidR="00AE29C4">
        <w:t xml:space="preserve">ubjects with exposures (AUC) 46 to </w:t>
      </w:r>
      <w:r w:rsidRPr="00E62596">
        <w:t xml:space="preserve">100% those of the parent, but was only a minor metabolite in </w:t>
      </w:r>
      <w:r w:rsidR="00AE29C4">
        <w:t xml:space="preserve">rats and monkeys (exposures 1.5 to </w:t>
      </w:r>
      <w:r w:rsidRPr="00E62596">
        <w:t xml:space="preserve">3% those of the parent). Only trace levels were seen in dogs (exposures </w:t>
      </w:r>
      <w:r w:rsidR="00F201F8">
        <w:t xml:space="preserve">approximately </w:t>
      </w:r>
      <w:r w:rsidRPr="00E62596">
        <w:t>0.05% those of the parent).</w:t>
      </w:r>
      <w:r w:rsidR="008B6F3C">
        <w:t xml:space="preserve"> </w:t>
      </w:r>
      <w:r w:rsidRPr="00E62596">
        <w:t>As a result, exposures to M1 were subclinical in the toxicity studies with dogs.</w:t>
      </w:r>
    </w:p>
    <w:p w:rsidR="00E62596" w:rsidRPr="00E62596" w:rsidRDefault="00E62596" w:rsidP="00E62596">
      <w:r w:rsidRPr="00E62596">
        <w:t>Plasma protein binding by</w:t>
      </w:r>
      <w:r w:rsidR="00AE29C4">
        <w:t xml:space="preserve"> dasabuvir and M1 was high (0.1 to </w:t>
      </w:r>
      <w:r w:rsidRPr="00E62596">
        <w:t xml:space="preserve">1.1% free </w:t>
      </w:r>
      <w:proofErr w:type="gramStart"/>
      <w:r w:rsidRPr="00E62596">
        <w:t>fraction</w:t>
      </w:r>
      <w:proofErr w:type="gramEnd"/>
      <w:r w:rsidRPr="00E62596">
        <w:t>) and independent of concentration in all species (mice, rats, dogs, monkeys and humans). There were no meaningful differences in protein binding in the plasma from human subjects with varying degrees of hepatic or renal impairment. Dasabuvir preferentially distributed into the plasma compartment in rat, dog, monkey and human blood (blood</w:t>
      </w:r>
      <w:r w:rsidR="00BF1FC5">
        <w:t xml:space="preserve"> to</w:t>
      </w:r>
      <w:r w:rsidR="00AE29C4">
        <w:t xml:space="preserve"> plasma ratio 0.6 to </w:t>
      </w:r>
      <w:r w:rsidRPr="00E62596">
        <w:t>0.7). The volume of distribution was greater than total body water in rats, dogs, monkeys and human subjects, suggesting extensive extravascular distribution. Consistent with this, tissue distribution in rats after oral administration of radiolabelled dasabuvir was rapid and wide. Highest concentrations were seen in organs involved in absorption and excretion (including the liver), as well as the Harderian gland and adrenal gland. There was minimal penetration of th</w:t>
      </w:r>
      <w:r w:rsidR="00AE29C4">
        <w:t xml:space="preserve">e blood </w:t>
      </w:r>
      <w:r w:rsidRPr="00E62596">
        <w:t xml:space="preserve">brain barrier (brain levels were </w:t>
      </w:r>
      <w:r w:rsidR="00F201F8">
        <w:t xml:space="preserve">approximately </w:t>
      </w:r>
      <w:r w:rsidRPr="00E62596">
        <w:t>10% of plasma levels). Liver concentrations of dasabuvir were higher than plasma levels (liver:</w:t>
      </w:r>
      <w:r w:rsidR="00AE29C4">
        <w:t xml:space="preserve"> </w:t>
      </w:r>
      <w:r w:rsidRPr="00E62596">
        <w:t>plasma ratios 36, 6.5 and 231 in rats, dogs and monkeys).</w:t>
      </w:r>
    </w:p>
    <w:p w:rsidR="00E62596" w:rsidRPr="00E62596" w:rsidRDefault="00E62596" w:rsidP="00E62596">
      <w:r w:rsidRPr="00E62596">
        <w:t xml:space="preserve">Metabolites of dasabuvir were formed by hydroxylation (to M1), followed by sulfation, glucuronidation, oxidation, oxidation and glucuronidation, or demethylation. Unchanged drug was the predominant circulating </w:t>
      </w:r>
      <w:r w:rsidR="009F7EDA">
        <w:t>drug related</w:t>
      </w:r>
      <w:r w:rsidRPr="00E62596">
        <w:t xml:space="preserve"> species in rats, dogs and humans, while both unchanged drug and M1 were significant circulating species in mice. No circulating metabolites were detectable in dogs. Aside from M11 and an unidentified metabolite (U1), all circulating human metabolites were also seen in the plasma of at least one animal species. In vitro studies indicated a major role for CYP2C8, a lesser role of CYP3A4 and a minor role for CYP2D6 in the formation of M1 from dasabuvir.</w:t>
      </w:r>
    </w:p>
    <w:p w:rsidR="00E62596" w:rsidRPr="00E62596" w:rsidRDefault="00E62596" w:rsidP="00E62596">
      <w:r w:rsidRPr="00E62596">
        <w:t>Following oral dosing, excretion of dasabuvir and/or its metabolites was predominantly via the faeces in mice, rats, dogs and human subjects. Following IV dosing, biliary excretion was significant in rats.</w:t>
      </w:r>
    </w:p>
    <w:p w:rsidR="00E62596" w:rsidRPr="00E62596" w:rsidRDefault="00E62596" w:rsidP="00E62596">
      <w:r w:rsidRPr="00E62596">
        <w:t xml:space="preserve">While the M1 metabolite is only a very minor metabolite in dogs, this metabolite is formed in other animal species used in the </w:t>
      </w:r>
      <w:r w:rsidR="00926A16">
        <w:t xml:space="preserve">toxicity studies. The two human </w:t>
      </w:r>
      <w:r w:rsidRPr="00E62596">
        <w:t xml:space="preserve">specific (circulating) metabolites are only minor </w:t>
      </w:r>
      <w:r w:rsidR="009F7EDA">
        <w:t>drug related</w:t>
      </w:r>
      <w:r w:rsidRPr="00E62596">
        <w:t xml:space="preserve"> species in human subjects and their absence in </w:t>
      </w:r>
      <w:r w:rsidRPr="00E62596">
        <w:lastRenderedPageBreak/>
        <w:t>animal species is not expected to impact the validity of the toxicity studies. Overall, the pharmacokinetic profile of dasabuvir in rats and dogs is considered adequately comparable for these animal species to serve as models for toxicity.</w:t>
      </w:r>
    </w:p>
    <w:p w:rsidR="00E62596" w:rsidRPr="00E62596" w:rsidRDefault="00E62596" w:rsidP="00CC0301">
      <w:pPr>
        <w:pStyle w:val="Heading4"/>
      </w:pPr>
      <w:r w:rsidRPr="00E62596">
        <w:t>Pharmacokinetic drug interactions</w:t>
      </w:r>
      <w:r w:rsidR="00926A16">
        <w:t xml:space="preserve"> - d</w:t>
      </w:r>
      <w:r w:rsidR="00926A16" w:rsidRPr="00DA5815">
        <w:t>asabuvir</w:t>
      </w:r>
    </w:p>
    <w:p w:rsidR="00E62596" w:rsidRPr="00E62596" w:rsidRDefault="00926A16" w:rsidP="00CC0301">
      <w:pPr>
        <w:pStyle w:val="Heading5"/>
      </w:pPr>
      <w:r>
        <w:t>Effect of other drugs on d</w:t>
      </w:r>
      <w:r w:rsidR="00E62596" w:rsidRPr="00E62596">
        <w:t>asabuvir</w:t>
      </w:r>
    </w:p>
    <w:p w:rsidR="00E62596" w:rsidRPr="00E62596" w:rsidRDefault="00E62596" w:rsidP="00E62596">
      <w:r w:rsidRPr="00E62596">
        <w:t xml:space="preserve">As dasabuvir is metabolised by CYP2C8 and 3A4 and is a substrate for </w:t>
      </w:r>
      <w:r w:rsidR="00C75F81">
        <w:t>P-gp</w:t>
      </w:r>
      <w:r w:rsidRPr="00E62596">
        <w:t xml:space="preserve"> and BCRP, inhibi</w:t>
      </w:r>
      <w:r w:rsidR="004A74CB">
        <w:t>tors/inducers of these CYP</w:t>
      </w:r>
      <w:r w:rsidRPr="00E62596">
        <w:t xml:space="preserve"> enzymes and transporters may alter the exposure of dasabuvir. While dasabuvir is not a substrate for OATP1B1 or OATP1B3, the M1 metabolite is (KM 1.30 </w:t>
      </w:r>
      <w:r w:rsidR="005F323A">
        <w:t>µ</w:t>
      </w:r>
      <w:r w:rsidR="005F323A" w:rsidRPr="00CE21BD">
        <w:t>M</w:t>
      </w:r>
      <w:r w:rsidRPr="00E62596">
        <w:t xml:space="preserve"> and 1.71 </w:t>
      </w:r>
      <w:r w:rsidR="005F323A">
        <w:t>µ</w:t>
      </w:r>
      <w:r w:rsidR="005F323A" w:rsidRPr="00CE21BD">
        <w:t>M</w:t>
      </w:r>
      <w:r w:rsidRPr="00E62596">
        <w:t>, respectively). The M1 metabolite was also a substrate for BCRP in vitro.</w:t>
      </w:r>
    </w:p>
    <w:p w:rsidR="00E62596" w:rsidRPr="00E62596" w:rsidRDefault="00E62596" w:rsidP="00E62596">
      <w:r w:rsidRPr="00E62596">
        <w:t>The clinical overview states that co-administration of dasabuvir with ketoconazole (a CYP3A/</w:t>
      </w:r>
      <w:r w:rsidR="00C75F81">
        <w:t>P-gp</w:t>
      </w:r>
      <w:r w:rsidRPr="00E62596">
        <w:t xml:space="preserve"> inhibitor) resulted in an increase (by 42%) in dasabuvir exposure (AUC) and the AUC of dasabuvir decreased by 70% with co-administration of the CYP3A inducer, carbamazepine in human subjects. The AUC of dasabuvir was decreased by 30% when this drug</w:t>
      </w:r>
      <w:r w:rsidR="00C75F81">
        <w:t xml:space="preserve"> was co-administered with the P-</w:t>
      </w:r>
      <w:r w:rsidRPr="00E62596">
        <w:t>g</w:t>
      </w:r>
      <w:r w:rsidR="00C75F81">
        <w:t>p</w:t>
      </w:r>
      <w:r w:rsidRPr="00E62596">
        <w:t>/BCRP/OATP1B1/OATP1B3 inhibitor, but was unaffected when dasabuvir was co-administered with the OATP1B1 inhibitor, atazanavir. Co-administration of dasabuvir with the CYP2C8 inhibitor, gemfibrozil, resulted in a 1</w:t>
      </w:r>
      <w:r w:rsidR="00926A16">
        <w:t>,</w:t>
      </w:r>
      <w:r w:rsidRPr="00E62596">
        <w:t>025% increase in dasabuvir exposures in patients. Overall, the in vivo data confirm the predictions from in vitro data.</w:t>
      </w:r>
    </w:p>
    <w:p w:rsidR="00E62596" w:rsidRPr="00E62596" w:rsidRDefault="00926A16" w:rsidP="00CC0301">
      <w:pPr>
        <w:pStyle w:val="Heading5"/>
      </w:pPr>
      <w:r>
        <w:t>Effect of d</w:t>
      </w:r>
      <w:r w:rsidR="00E62596" w:rsidRPr="00E62596">
        <w:t>asabuvir on other drugs</w:t>
      </w:r>
    </w:p>
    <w:p w:rsidR="00E62596" w:rsidRPr="00E62596" w:rsidRDefault="00E62596" w:rsidP="00E62596">
      <w:r w:rsidRPr="00E62596">
        <w:t xml:space="preserve">Dasabuvir was an inhibitor of </w:t>
      </w:r>
      <w:r w:rsidR="00C75F81">
        <w:t>P-gp</w:t>
      </w:r>
      <w:r w:rsidRPr="00E62596">
        <w:t xml:space="preserve">, BCRP and MRP2. As the </w:t>
      </w:r>
      <w:r w:rsidR="00014BB3">
        <w:t>IC</w:t>
      </w:r>
      <w:r w:rsidR="00014BB3" w:rsidRPr="00E355BF">
        <w:rPr>
          <w:vertAlign w:val="subscript"/>
        </w:rPr>
        <w:t>50</w:t>
      </w:r>
      <w:r w:rsidRPr="00E62596">
        <w:t xml:space="preserve"> values were </w:t>
      </w:r>
      <w:r w:rsidR="00926A16">
        <w:t xml:space="preserve">&lt; </w:t>
      </w:r>
      <w:r w:rsidR="00F201F8">
        <w:t>0</w:t>
      </w:r>
      <w:r w:rsidRPr="00E62596">
        <w:t xml:space="preserve">.1 times the intestinal concentration (16.7, 15.6 and 52 </w:t>
      </w:r>
      <w:r w:rsidR="005F323A">
        <w:t>µ</w:t>
      </w:r>
      <w:r w:rsidR="005F323A" w:rsidRPr="00CE21BD">
        <w:t>M</w:t>
      </w:r>
      <w:r w:rsidRPr="00E62596">
        <w:t>, respectively), dasabuvir has the potential to affect the oral absorption of co-administered drugs that are substrates for these transporters</w:t>
      </w:r>
      <w:r w:rsidR="00926A16">
        <w:t>.</w:t>
      </w:r>
      <w:r w:rsidR="00926A16" w:rsidRPr="00926A16">
        <w:rPr>
          <w:vertAlign w:val="superscript"/>
        </w:rPr>
        <w:fldChar w:fldCharType="begin"/>
      </w:r>
      <w:r w:rsidR="00926A16" w:rsidRPr="00926A16">
        <w:rPr>
          <w:vertAlign w:val="superscript"/>
        </w:rPr>
        <w:instrText xml:space="preserve"> NOTEREF _Ref471973080 \h </w:instrText>
      </w:r>
      <w:r w:rsidR="00926A16">
        <w:rPr>
          <w:vertAlign w:val="superscript"/>
        </w:rPr>
        <w:instrText xml:space="preserve"> \* MERGEFORMAT </w:instrText>
      </w:r>
      <w:r w:rsidR="00926A16" w:rsidRPr="00926A16">
        <w:rPr>
          <w:vertAlign w:val="superscript"/>
        </w:rPr>
      </w:r>
      <w:r w:rsidR="00926A16" w:rsidRPr="00926A16">
        <w:rPr>
          <w:vertAlign w:val="superscript"/>
        </w:rPr>
        <w:fldChar w:fldCharType="separate"/>
      </w:r>
      <w:r w:rsidR="00926A16" w:rsidRPr="00926A16">
        <w:rPr>
          <w:vertAlign w:val="superscript"/>
        </w:rPr>
        <w:t>10</w:t>
      </w:r>
      <w:r w:rsidR="00926A16" w:rsidRPr="00926A16">
        <w:rPr>
          <w:vertAlign w:val="superscript"/>
        </w:rPr>
        <w:fldChar w:fldCharType="end"/>
      </w:r>
      <w:r w:rsidR="00926A16">
        <w:rPr>
          <w:vertAlign w:val="superscript"/>
        </w:rPr>
        <w:t xml:space="preserve"> </w:t>
      </w:r>
      <w:r w:rsidRPr="00E62596">
        <w:t>However, co</w:t>
      </w:r>
      <w:r w:rsidRPr="00E62596">
        <w:noBreakHyphen/>
        <w:t xml:space="preserve">administration of dasabuvir with the </w:t>
      </w:r>
      <w:r w:rsidR="00C75F81">
        <w:t>P-gp</w:t>
      </w:r>
      <w:r w:rsidRPr="00E62596">
        <w:t xml:space="preserve"> substrate, digoxin, had no effect on the exposure of human subjects to the latter compound. Both dasabuvir and M1 were inhibitors of OATP1B1 and OATP1B3 (</w:t>
      </w:r>
      <w:r w:rsidR="00014BB3">
        <w:t>IC</w:t>
      </w:r>
      <w:r w:rsidR="00014BB3" w:rsidRPr="00E355BF">
        <w:rPr>
          <w:vertAlign w:val="subscript"/>
        </w:rPr>
        <w:t>50</w:t>
      </w:r>
      <w:r w:rsidRPr="00E62596">
        <w:t xml:space="preserve"> values 0.9 and 6.6 </w:t>
      </w:r>
      <w:r w:rsidR="005F323A">
        <w:t>µ</w:t>
      </w:r>
      <w:r w:rsidR="005F323A" w:rsidRPr="00CE21BD">
        <w:t>M</w:t>
      </w:r>
      <w:r w:rsidRPr="00E62596">
        <w:t xml:space="preserve"> for dasabuvir against OATP1B1 and OATP1B3, respectively, and 2.6 and 9.7 </w:t>
      </w:r>
      <w:r w:rsidR="005F323A">
        <w:t>µ</w:t>
      </w:r>
      <w:r w:rsidR="005F323A" w:rsidRPr="00CE21BD">
        <w:t>M</w:t>
      </w:r>
      <w:r w:rsidRPr="00E62596">
        <w:t xml:space="preserve"> for M1 against OATP1B1 and OATP1B3, respectively). As the </w:t>
      </w:r>
      <w:r w:rsidR="00014BB3">
        <w:t>IC</w:t>
      </w:r>
      <w:r w:rsidR="00014BB3" w:rsidRPr="00E355BF">
        <w:rPr>
          <w:vertAlign w:val="subscript"/>
        </w:rPr>
        <w:t>50</w:t>
      </w:r>
      <w:r w:rsidRPr="00E62596">
        <w:t xml:space="preserve"> values for dasabuvir against these transporters are </w:t>
      </w:r>
      <w:r w:rsidR="00926A16">
        <w:t xml:space="preserve">&lt; </w:t>
      </w:r>
      <w:r w:rsidR="00C36BE1">
        <w:t>2</w:t>
      </w:r>
      <w:r w:rsidRPr="00E62596">
        <w:t>5</w:t>
      </w:r>
      <w:r w:rsidR="00BF1FC5">
        <w:t xml:space="preserve"> fold</w:t>
      </w:r>
      <w:r w:rsidRPr="00E62596">
        <w:t xml:space="preserve"> the unbound hepatic inlet concentration</w:t>
      </w:r>
      <w:r w:rsidR="00926A16">
        <w:t>,</w:t>
      </w:r>
      <w:r w:rsidRPr="00926A16">
        <w:rPr>
          <w:vertAlign w:val="superscript"/>
        </w:rPr>
        <w:footnoteReference w:id="49"/>
      </w:r>
      <w:r w:rsidR="00926A16">
        <w:rPr>
          <w:vertAlign w:val="superscript"/>
        </w:rPr>
        <w:t xml:space="preserve"> </w:t>
      </w:r>
      <w:r w:rsidRPr="00E62596">
        <w:t>dasabuvir has the potential to alter the disposition of co-administered drugs that are substrates for these hepatic transporters. The AUCs of pravastatin (an OATP1B1 substrate) and rosuvastatin (an OATP1B1/B3 and BCRP substrate) were increased (by 82% and 159%, respectively) when these compounds were co-administered with dasabuvir (in combination with ombitasvir, paritaprevir and ritonavir) in human subjects. While dasabuvir is likely to contribute to this effect, it is also possible that one or more of the other drugs (</w:t>
      </w:r>
      <w:r w:rsidR="00286051">
        <w:t>for example</w:t>
      </w:r>
      <w:r w:rsidR="00926A16">
        <w:t xml:space="preserve"> </w:t>
      </w:r>
      <w:r w:rsidRPr="00E62596">
        <w:t>ritonavir or paritaprevir) also contribute to the increase in exposure to pravastatin and rosuvastatin.</w:t>
      </w:r>
    </w:p>
    <w:p w:rsidR="00E62596" w:rsidRPr="00E62596" w:rsidRDefault="00E62596" w:rsidP="00E62596">
      <w:r w:rsidRPr="00E62596">
        <w:t>Dasabuvir was an inhibitor of UGT1A1 (</w:t>
      </w:r>
      <w:r w:rsidR="00014BB3">
        <w:t>IC</w:t>
      </w:r>
      <w:r w:rsidR="00014BB3" w:rsidRPr="00E355BF">
        <w:rPr>
          <w:vertAlign w:val="subscript"/>
        </w:rPr>
        <w:t>50</w:t>
      </w:r>
      <w:r w:rsidRPr="00E62596">
        <w:t xml:space="preserve"> 0.92 </w:t>
      </w:r>
      <w:r w:rsidR="005F323A">
        <w:t>µ</w:t>
      </w:r>
      <w:r w:rsidR="005F323A" w:rsidRPr="00CE21BD">
        <w:t>M</w:t>
      </w:r>
      <w:r w:rsidRPr="00E62596">
        <w:t xml:space="preserve">). As the </w:t>
      </w:r>
      <w:r w:rsidR="00014BB3">
        <w:t>IC</w:t>
      </w:r>
      <w:r w:rsidR="00014BB3" w:rsidRPr="00E355BF">
        <w:rPr>
          <w:vertAlign w:val="subscript"/>
        </w:rPr>
        <w:t>50</w:t>
      </w:r>
      <w:r w:rsidRPr="00E62596">
        <w:t xml:space="preserve"> value is </w:t>
      </w:r>
      <w:r w:rsidR="00926A16">
        <w:t xml:space="preserve">&lt; </w:t>
      </w:r>
      <w:r w:rsidRPr="00E62596">
        <w:t xml:space="preserve">50 times the unbound clinical </w:t>
      </w:r>
      <w:r w:rsidR="003A33A4" w:rsidRPr="008912E8">
        <w:t>C</w:t>
      </w:r>
      <w:r w:rsidR="003A33A4" w:rsidRPr="003A33A4">
        <w:rPr>
          <w:vertAlign w:val="subscript"/>
        </w:rPr>
        <w:t>max</w:t>
      </w:r>
      <w:r w:rsidRPr="00E62596">
        <w:t xml:space="preserve"> dasabuvir has the potential</w:t>
      </w:r>
      <w:r w:rsidR="00926A16">
        <w:t xml:space="preserve"> to alter the disposition of co</w:t>
      </w:r>
      <w:r w:rsidR="00926A16">
        <w:noBreakHyphen/>
      </w:r>
      <w:r w:rsidRPr="00E62596">
        <w:t>administered drugs that are substrates for this enzyme. In a clinical drug-drug interaction study, an increase in raltegravir (an UGT1A1 substrate) exposure (AUC increased by 134%) was observed when this drug was co</w:t>
      </w:r>
      <w:r w:rsidRPr="00E62596">
        <w:noBreakHyphen/>
        <w:t>administered with dasabuvir (with ombitasvir, paritaprevir and ritonavir. Dasabuvir (and possibly ombitasvir) is likely to contribute to this effect. Thus, the in vivo data confirm the in vitro predictions.</w:t>
      </w:r>
    </w:p>
    <w:p w:rsidR="00E62596" w:rsidRPr="00E62596" w:rsidRDefault="00926A16" w:rsidP="00E62596">
      <w:r>
        <w:t xml:space="preserve">Dasabuvir had no clinically </w:t>
      </w:r>
      <w:r w:rsidR="00E62596" w:rsidRPr="00E62596">
        <w:t>relevant inhibition on CYP1A2, 2B6, 2C8, 2C9, 2C19, 2D6 and</w:t>
      </w:r>
      <w:r>
        <w:t xml:space="preserve"> 3A4 activity and no clinically </w:t>
      </w:r>
      <w:r w:rsidR="00E62596" w:rsidRPr="00E62596">
        <w:t xml:space="preserve">relevant effect on </w:t>
      </w:r>
      <w:r w:rsidR="006F5529">
        <w:rPr>
          <w:lang w:val="en"/>
        </w:rPr>
        <w:t>bile salt export pump</w:t>
      </w:r>
      <w:r w:rsidR="006F5529" w:rsidRPr="00E62596">
        <w:t xml:space="preserve"> </w:t>
      </w:r>
      <w:r w:rsidR="006F5529">
        <w:t>(</w:t>
      </w:r>
      <w:r w:rsidR="00E62596" w:rsidRPr="00E62596">
        <w:t>BSEP</w:t>
      </w:r>
      <w:r w:rsidR="006F5529">
        <w:t>)</w:t>
      </w:r>
      <w:r w:rsidR="00E62596" w:rsidRPr="00E62596">
        <w:t xml:space="preserve">, OAT1, OCT1, </w:t>
      </w:r>
      <w:r w:rsidR="00E62596" w:rsidRPr="00E62596">
        <w:lastRenderedPageBreak/>
        <w:t>OCT2, OAT3, MATE1 and MATE2K transporter ac</w:t>
      </w:r>
      <w:r>
        <w:t xml:space="preserve">tivity. Likewise, no clinically </w:t>
      </w:r>
      <w:r w:rsidR="00E62596" w:rsidRPr="00E62596">
        <w:t xml:space="preserve">relevant inhibition of CYP1A2, 2B6, 2D6, 3A4, 2A6, 2C8, 2C9 and 2C19 and UGT1A1 enzyme activity and BSEP, OCT1, OCT2, OAT1, OAT3, MATE1 and MATE2K transporter activity was observed with M1. Neither dasabuvir (at </w:t>
      </w:r>
      <w:r w:rsidR="00AE29C4">
        <w:t xml:space="preserve">≤ </w:t>
      </w:r>
      <w:r w:rsidR="00E62596" w:rsidRPr="00E62596">
        <w:t xml:space="preserve">10 </w:t>
      </w:r>
      <w:r w:rsidR="005F323A">
        <w:t>µ</w:t>
      </w:r>
      <w:r w:rsidR="005F323A" w:rsidRPr="00CE21BD">
        <w:t>M</w:t>
      </w:r>
      <w:r w:rsidR="00E62596" w:rsidRPr="00E62596">
        <w:t xml:space="preserve">; </w:t>
      </w:r>
      <w:r w:rsidR="00F201F8">
        <w:t xml:space="preserve">approximately </w:t>
      </w:r>
      <w:r w:rsidR="00E62596" w:rsidRPr="00E62596">
        <w:t xml:space="preserve">450 times the clinical free </w:t>
      </w:r>
      <w:r w:rsidR="003A33A4" w:rsidRPr="008912E8">
        <w:t>C</w:t>
      </w:r>
      <w:r w:rsidR="003A33A4" w:rsidRPr="003A33A4">
        <w:rPr>
          <w:vertAlign w:val="subscript"/>
        </w:rPr>
        <w:t>max</w:t>
      </w:r>
      <w:r w:rsidR="00E62596" w:rsidRPr="00E62596">
        <w:t xml:space="preserve">) nor M1 (at </w:t>
      </w:r>
      <w:r>
        <w:t>≤ </w:t>
      </w:r>
      <w:r w:rsidR="00E62596" w:rsidRPr="00E62596">
        <w:t xml:space="preserve">50 </w:t>
      </w:r>
      <w:r w:rsidR="005F323A">
        <w:t>µ</w:t>
      </w:r>
      <w:r w:rsidR="005F323A" w:rsidRPr="00CE21BD">
        <w:t>M</w:t>
      </w:r>
      <w:r w:rsidR="00E62596" w:rsidRPr="00E62596">
        <w:t>; 3</w:t>
      </w:r>
      <w:r>
        <w:t>,</w:t>
      </w:r>
      <w:r w:rsidR="00E62596" w:rsidRPr="00E62596">
        <w:t xml:space="preserve">800 times the clinical free </w:t>
      </w:r>
      <w:r w:rsidR="003A33A4" w:rsidRPr="008912E8">
        <w:t>C</w:t>
      </w:r>
      <w:r w:rsidR="003A33A4" w:rsidRPr="003A33A4">
        <w:rPr>
          <w:vertAlign w:val="subscript"/>
        </w:rPr>
        <w:t>max</w:t>
      </w:r>
      <w:r w:rsidR="00E62596" w:rsidRPr="00E62596">
        <w:t xml:space="preserve">) induced CYP1A2, 2B6 or 3A4 activity. While both </w:t>
      </w:r>
      <w:r>
        <w:t xml:space="preserve">dasabuvir and M1 were weak time </w:t>
      </w:r>
      <w:r w:rsidR="00E62596" w:rsidRPr="00E62596">
        <w:t>dependent inhibitors of CYP3A4, this is not expected to be cl</w:t>
      </w:r>
      <w:r>
        <w:t>inically relevant.</w:t>
      </w:r>
    </w:p>
    <w:p w:rsidR="00CC0301" w:rsidRDefault="00CC0301" w:rsidP="00CC0301">
      <w:pPr>
        <w:pStyle w:val="Heading3"/>
      </w:pPr>
      <w:bookmarkStart w:id="95" w:name="_Toc480811572"/>
      <w:r>
        <w:t>Toxicology</w:t>
      </w:r>
      <w:r w:rsidR="0098169C">
        <w:t xml:space="preserve"> - </w:t>
      </w:r>
      <w:r w:rsidR="00926A16">
        <w:t>d</w:t>
      </w:r>
      <w:r w:rsidR="0098169C" w:rsidRPr="00DA5815">
        <w:t>asabuvir</w:t>
      </w:r>
      <w:bookmarkEnd w:id="95"/>
    </w:p>
    <w:p w:rsidR="00E62596" w:rsidRPr="00E62596" w:rsidRDefault="00E62596" w:rsidP="00CC0301">
      <w:pPr>
        <w:pStyle w:val="Heading4"/>
      </w:pPr>
      <w:r w:rsidRPr="00E62596">
        <w:t>Acute toxicity</w:t>
      </w:r>
      <w:r w:rsidR="00926A16">
        <w:t xml:space="preserve"> - dasabuvir</w:t>
      </w:r>
    </w:p>
    <w:p w:rsidR="00E62596" w:rsidRPr="00E62596" w:rsidRDefault="00E62596" w:rsidP="00E62596">
      <w:r w:rsidRPr="00E62596">
        <w:t>No single dose toxicity studies were conducted with dasabuvir. This is considered acceptable as there is sufficient information from the safety pharmacology and repeat-dose toxicity studies to assess the acute toxicity of dasabuvir</w:t>
      </w:r>
      <w:r w:rsidRPr="00926A16">
        <w:rPr>
          <w:vertAlign w:val="superscript"/>
        </w:rPr>
        <w:footnoteReference w:id="50"/>
      </w:r>
      <w:r w:rsidR="00CC0301">
        <w:t>.</w:t>
      </w:r>
    </w:p>
    <w:p w:rsidR="00E62596" w:rsidRPr="00E62596" w:rsidRDefault="00E62596" w:rsidP="00CC0301">
      <w:pPr>
        <w:pStyle w:val="Heading4"/>
      </w:pPr>
      <w:r w:rsidRPr="00E62596">
        <w:t>Repeat-dose toxicity</w:t>
      </w:r>
    </w:p>
    <w:p w:rsidR="00E62596" w:rsidRPr="001C6E21" w:rsidRDefault="00926A16" w:rsidP="00E62596">
      <w:r>
        <w:t xml:space="preserve">Pivotal repeat </w:t>
      </w:r>
      <w:r w:rsidR="00E62596" w:rsidRPr="00E62596">
        <w:t xml:space="preserve">dose toxicity studies were of up to 3 months duration in mice, 6 months duration in rats and 9 months duration in dogs, and were conducted under GLP conditions. The duration of the pivotal studies, the species used group sizes and the </w:t>
      </w:r>
      <w:r w:rsidR="001B21A9" w:rsidRPr="00E62596">
        <w:t>use of both sexes was</w:t>
      </w:r>
      <w:r w:rsidR="00E62596" w:rsidRPr="00E62596">
        <w:t xml:space="preserve"> consistent with ICH guidelines</w:t>
      </w:r>
      <w:r>
        <w:t>.</w:t>
      </w:r>
      <w:r w:rsidRPr="00926A16">
        <w:rPr>
          <w:vertAlign w:val="superscript"/>
        </w:rPr>
        <w:fldChar w:fldCharType="begin"/>
      </w:r>
      <w:r w:rsidRPr="00926A16">
        <w:rPr>
          <w:vertAlign w:val="superscript"/>
        </w:rPr>
        <w:instrText xml:space="preserve"> NOTEREF _Ref471973266 \h </w:instrText>
      </w:r>
      <w:r>
        <w:rPr>
          <w:vertAlign w:val="superscript"/>
        </w:rPr>
        <w:instrText xml:space="preserve"> \* MERGEFORMAT </w:instrText>
      </w:r>
      <w:r w:rsidRPr="00926A16">
        <w:rPr>
          <w:vertAlign w:val="superscript"/>
        </w:rPr>
      </w:r>
      <w:r w:rsidRPr="00926A16">
        <w:rPr>
          <w:vertAlign w:val="superscript"/>
        </w:rPr>
        <w:fldChar w:fldCharType="separate"/>
      </w:r>
      <w:r w:rsidRPr="00926A16">
        <w:rPr>
          <w:vertAlign w:val="superscript"/>
        </w:rPr>
        <w:t>12</w:t>
      </w:r>
      <w:r w:rsidRPr="00926A16">
        <w:rPr>
          <w:vertAlign w:val="superscript"/>
        </w:rPr>
        <w:fldChar w:fldCharType="end"/>
      </w:r>
      <w:r w:rsidR="00E62596" w:rsidRPr="00E62596">
        <w:t xml:space="preserve"> While the clinical route (PO) was used in all studies, the clinical dosing regimen (twice daily) was only used in the pivotal rat study and shorter term mouse and rat studies. This is not expected to affect the validity of the toxicity studies, given the high exposures achieved and the significantly longer plasma half-life of dasabuvir in dogs than in r</w:t>
      </w:r>
      <w:r>
        <w:t>odents and human subjects (see p</w:t>
      </w:r>
      <w:r w:rsidR="00E62596" w:rsidRPr="00E62596">
        <w:t>harmacokinetics). Animals were exposed for the full 24 h</w:t>
      </w:r>
      <w:r>
        <w:t>ours</w:t>
      </w:r>
      <w:r w:rsidR="00E62596" w:rsidRPr="00E62596">
        <w:t>. Doses</w:t>
      </w:r>
      <w:r w:rsidR="008B6F3C">
        <w:t xml:space="preserve"> </w:t>
      </w:r>
      <w:r w:rsidR="00E62596" w:rsidRPr="00E62596">
        <w:t>used are considered generally acceptable, achieving high relative exposures to dasabuvir (Table 1</w:t>
      </w:r>
      <w:r w:rsidR="008D1B95">
        <w:t>0</w:t>
      </w:r>
      <w:r w:rsidR="00E62596" w:rsidRPr="00E62596">
        <w:t xml:space="preserve">). Doses in mice, however, were a little excessive, exceeding the limit dose as recommended in ICH </w:t>
      </w:r>
      <w:proofErr w:type="gramStart"/>
      <w:r w:rsidR="00E62596" w:rsidRPr="00E62596">
        <w:t>M3(</w:t>
      </w:r>
      <w:proofErr w:type="gramEnd"/>
      <w:r w:rsidR="00E62596" w:rsidRPr="00E62596">
        <w:t>R2).</w:t>
      </w:r>
      <w:r w:rsidR="006F5529" w:rsidRPr="006F5529">
        <w:rPr>
          <w:vertAlign w:val="superscript"/>
        </w:rPr>
        <w:fldChar w:fldCharType="begin"/>
      </w:r>
      <w:r w:rsidR="006F5529" w:rsidRPr="006F5529">
        <w:rPr>
          <w:vertAlign w:val="superscript"/>
        </w:rPr>
        <w:instrText xml:space="preserve"> NOTEREF _Ref471973266 \h </w:instrText>
      </w:r>
      <w:r w:rsidR="006F5529">
        <w:rPr>
          <w:vertAlign w:val="superscript"/>
        </w:rPr>
        <w:instrText xml:space="preserve"> \* MERGEFORMAT </w:instrText>
      </w:r>
      <w:r w:rsidR="006F5529" w:rsidRPr="006F5529">
        <w:rPr>
          <w:vertAlign w:val="superscript"/>
        </w:rPr>
      </w:r>
      <w:r w:rsidR="006F5529" w:rsidRPr="006F5529">
        <w:rPr>
          <w:vertAlign w:val="superscript"/>
        </w:rPr>
        <w:fldChar w:fldCharType="separate"/>
      </w:r>
      <w:r w:rsidR="006F5529" w:rsidRPr="006F5529">
        <w:rPr>
          <w:vertAlign w:val="superscript"/>
        </w:rPr>
        <w:t>12</w:t>
      </w:r>
      <w:r w:rsidR="006F5529" w:rsidRPr="006F5529">
        <w:rPr>
          <w:vertAlign w:val="superscript"/>
        </w:rPr>
        <w:fldChar w:fldCharType="end"/>
      </w:r>
      <w:r w:rsidR="00E62596" w:rsidRPr="006F5529">
        <w:rPr>
          <w:vertAlign w:val="superscript"/>
        </w:rPr>
        <w:t xml:space="preserve"> </w:t>
      </w:r>
      <w:r w:rsidR="00E62596" w:rsidRPr="00E62596">
        <w:t xml:space="preserve">Estimated exposures to M1 were up to </w:t>
      </w:r>
      <w:r w:rsidR="00F201F8">
        <w:t xml:space="preserve">approximately </w:t>
      </w:r>
      <w:r w:rsidR="00E62596" w:rsidRPr="00E62596">
        <w:t>30 times the clinical exposure in mice, but were generally subclinical in rats and dog</w:t>
      </w:r>
      <w:r w:rsidR="00E62596">
        <w:t>s</w:t>
      </w:r>
      <w:r w:rsidR="003566FC" w:rsidRPr="003566FC">
        <w:rPr>
          <w:vertAlign w:val="superscript"/>
        </w:rPr>
        <w:fldChar w:fldCharType="begin"/>
      </w:r>
      <w:r w:rsidR="003566FC" w:rsidRPr="009E2121">
        <w:rPr>
          <w:vertAlign w:val="superscript"/>
        </w:rPr>
        <w:instrText xml:space="preserve"> NOTEREF _Ref475955214 \h  \* MERGEFORMAT </w:instrText>
      </w:r>
      <w:r w:rsidR="003566FC" w:rsidRPr="003566FC">
        <w:rPr>
          <w:vertAlign w:val="superscript"/>
        </w:rPr>
      </w:r>
      <w:r w:rsidR="003566FC" w:rsidRPr="003566FC">
        <w:rPr>
          <w:vertAlign w:val="superscript"/>
        </w:rPr>
        <w:fldChar w:fldCharType="separate"/>
      </w:r>
      <w:r w:rsidR="003566FC" w:rsidRPr="009E2121">
        <w:rPr>
          <w:vertAlign w:val="superscript"/>
        </w:rPr>
        <w:t>45</w:t>
      </w:r>
      <w:r w:rsidR="003566FC" w:rsidRPr="003566FC">
        <w:rPr>
          <w:vertAlign w:val="superscript"/>
        </w:rPr>
        <w:fldChar w:fldCharType="end"/>
      </w:r>
      <w:r w:rsidR="00E62596">
        <w:t xml:space="preserve"> (</w:t>
      </w:r>
      <w:r>
        <w:t xml:space="preserve">based on a clinical AUC </w:t>
      </w:r>
      <w:proofErr w:type="gramStart"/>
      <w:r>
        <w:t>of 7.78 </w:t>
      </w:r>
      <w:r w:rsidR="00913482">
        <w:t>µ</w:t>
      </w:r>
      <w:r w:rsidR="00913482" w:rsidRPr="00E56F3B">
        <w:t>g</w:t>
      </w:r>
      <w:r w:rsidR="00E62596">
        <w:t>∙h/mL</w:t>
      </w:r>
      <w:proofErr w:type="gramEnd"/>
      <w:r w:rsidR="00E62596">
        <w:t xml:space="preserve"> for M1).</w:t>
      </w:r>
    </w:p>
    <w:p w:rsidR="00CC0301" w:rsidRPr="00CC0301" w:rsidRDefault="00CC0301" w:rsidP="00FF289D">
      <w:pPr>
        <w:pStyle w:val="Tabletitle0"/>
      </w:pPr>
      <w:r w:rsidRPr="00CC0301">
        <w:t>Table 1</w:t>
      </w:r>
      <w:r w:rsidR="008D1B95">
        <w:t>0:</w:t>
      </w:r>
      <w:r w:rsidRPr="00CC0301">
        <w:t xml:space="preserve"> Relative exposure in repeat-dose toxicity and carcinogenicity studies</w:t>
      </w:r>
      <w:r w:rsidR="00926A16">
        <w:t xml:space="preserve"> - dasabuvir</w:t>
      </w:r>
    </w:p>
    <w:tbl>
      <w:tblPr>
        <w:tblStyle w:val="TableTGAblue"/>
        <w:tblW w:w="8417" w:type="dxa"/>
        <w:tblLayout w:type="fixed"/>
        <w:tblLook w:val="01E0" w:firstRow="1" w:lastRow="1" w:firstColumn="1" w:lastColumn="1" w:noHBand="0" w:noVBand="0"/>
      </w:tblPr>
      <w:tblGrid>
        <w:gridCol w:w="1766"/>
        <w:gridCol w:w="1764"/>
        <w:gridCol w:w="1629"/>
        <w:gridCol w:w="1629"/>
        <w:gridCol w:w="1629"/>
      </w:tblGrid>
      <w:tr w:rsidR="00CC0301" w:rsidRPr="00D76AE5" w:rsidTr="009E2121">
        <w:trPr>
          <w:cnfStyle w:val="100000000000" w:firstRow="1" w:lastRow="0" w:firstColumn="0" w:lastColumn="0" w:oddVBand="0" w:evenVBand="0" w:oddHBand="0" w:evenHBand="0" w:firstRowFirstColumn="0" w:firstRowLastColumn="0" w:lastRowFirstColumn="0" w:lastRowLastColumn="0"/>
          <w:trHeight w:val="1164"/>
        </w:trPr>
        <w:tc>
          <w:tcPr>
            <w:tcW w:w="1766" w:type="dxa"/>
          </w:tcPr>
          <w:p w:rsidR="00CC0301" w:rsidRPr="00D76AE5" w:rsidRDefault="00CC0301" w:rsidP="00D76AE5">
            <w:pPr>
              <w:rPr>
                <w:sz w:val="20"/>
                <w:szCs w:val="20"/>
              </w:rPr>
            </w:pPr>
            <w:r w:rsidRPr="00D76AE5">
              <w:rPr>
                <w:sz w:val="20"/>
                <w:szCs w:val="20"/>
              </w:rPr>
              <w:t>Species</w:t>
            </w:r>
          </w:p>
        </w:tc>
        <w:tc>
          <w:tcPr>
            <w:tcW w:w="1764" w:type="dxa"/>
          </w:tcPr>
          <w:p w:rsidR="00CC0301" w:rsidRPr="00D76AE5" w:rsidRDefault="00CC0301" w:rsidP="00D76AE5">
            <w:pPr>
              <w:rPr>
                <w:sz w:val="20"/>
                <w:szCs w:val="20"/>
              </w:rPr>
            </w:pPr>
            <w:r w:rsidRPr="00D76AE5">
              <w:rPr>
                <w:sz w:val="20"/>
                <w:szCs w:val="20"/>
              </w:rPr>
              <w:t>Study duration</w:t>
            </w:r>
          </w:p>
        </w:tc>
        <w:tc>
          <w:tcPr>
            <w:tcW w:w="1629" w:type="dxa"/>
          </w:tcPr>
          <w:p w:rsidR="00CC0301" w:rsidRPr="00D76AE5" w:rsidRDefault="00CC0301" w:rsidP="00D76AE5">
            <w:pPr>
              <w:rPr>
                <w:sz w:val="20"/>
                <w:szCs w:val="20"/>
              </w:rPr>
            </w:pPr>
            <w:r w:rsidRPr="00D76AE5">
              <w:rPr>
                <w:sz w:val="20"/>
                <w:szCs w:val="20"/>
              </w:rPr>
              <w:t>Dose</w:t>
            </w:r>
            <w:r w:rsidR="00D76AE5">
              <w:rPr>
                <w:sz w:val="20"/>
                <w:szCs w:val="20"/>
              </w:rPr>
              <w:t xml:space="preserve"> </w:t>
            </w:r>
            <w:r w:rsidRPr="00D76AE5">
              <w:rPr>
                <w:sz w:val="20"/>
                <w:szCs w:val="20"/>
              </w:rPr>
              <w:t>(mg/kg/day)</w:t>
            </w:r>
          </w:p>
        </w:tc>
        <w:tc>
          <w:tcPr>
            <w:tcW w:w="1629" w:type="dxa"/>
          </w:tcPr>
          <w:p w:rsidR="00CC0301" w:rsidRPr="00D76AE5" w:rsidRDefault="00926A16" w:rsidP="00D76AE5">
            <w:pPr>
              <w:rPr>
                <w:sz w:val="20"/>
                <w:szCs w:val="20"/>
              </w:rPr>
            </w:pPr>
            <w:r w:rsidRPr="00D76AE5">
              <w:rPr>
                <w:sz w:val="20"/>
                <w:szCs w:val="20"/>
              </w:rPr>
              <w:t>AUC</w:t>
            </w:r>
            <w:r w:rsidRPr="00D76AE5">
              <w:rPr>
                <w:sz w:val="20"/>
                <w:szCs w:val="20"/>
                <w:vertAlign w:val="subscript"/>
              </w:rPr>
              <w:t>0–24 h</w:t>
            </w:r>
            <w:r w:rsidR="00D76AE5">
              <w:rPr>
                <w:sz w:val="20"/>
                <w:szCs w:val="20"/>
                <w:vertAlign w:val="subscript"/>
              </w:rPr>
              <w:t xml:space="preserve"> </w:t>
            </w:r>
            <w:r w:rsidR="00CC0301" w:rsidRPr="00D76AE5">
              <w:rPr>
                <w:sz w:val="20"/>
                <w:szCs w:val="20"/>
              </w:rPr>
              <w:t>(µg∙h/mL)</w:t>
            </w:r>
          </w:p>
        </w:tc>
        <w:tc>
          <w:tcPr>
            <w:tcW w:w="1629" w:type="dxa"/>
          </w:tcPr>
          <w:p w:rsidR="00CC0301" w:rsidRPr="00D76AE5" w:rsidRDefault="00CC0301" w:rsidP="00D76AE5">
            <w:pPr>
              <w:rPr>
                <w:sz w:val="20"/>
                <w:szCs w:val="20"/>
              </w:rPr>
            </w:pPr>
            <w:r w:rsidRPr="00D76AE5">
              <w:rPr>
                <w:sz w:val="20"/>
                <w:szCs w:val="20"/>
              </w:rPr>
              <w:t>Exposure ratio#</w:t>
            </w:r>
          </w:p>
        </w:tc>
      </w:tr>
      <w:tr w:rsidR="00CC0301" w:rsidRPr="00D76AE5" w:rsidTr="009E2121">
        <w:trPr>
          <w:trHeight w:val="364"/>
        </w:trPr>
        <w:tc>
          <w:tcPr>
            <w:tcW w:w="1766" w:type="dxa"/>
            <w:vMerge w:val="restart"/>
          </w:tcPr>
          <w:p w:rsidR="00CC0301" w:rsidRPr="00D76AE5" w:rsidRDefault="00CC0301" w:rsidP="00D76AE5">
            <w:pPr>
              <w:rPr>
                <w:sz w:val="20"/>
                <w:szCs w:val="20"/>
              </w:rPr>
            </w:pPr>
            <w:r w:rsidRPr="00D76AE5">
              <w:rPr>
                <w:sz w:val="20"/>
                <w:szCs w:val="20"/>
              </w:rPr>
              <w:t>Mouse</w:t>
            </w:r>
            <w:r w:rsidRPr="00D76AE5">
              <w:rPr>
                <w:sz w:val="20"/>
                <w:szCs w:val="20"/>
              </w:rPr>
              <w:br/>
              <w:t>(CD</w:t>
            </w:r>
            <w:r w:rsidRPr="00D76AE5">
              <w:rPr>
                <w:sz w:val="20"/>
                <w:szCs w:val="20"/>
              </w:rPr>
              <w:noBreakHyphen/>
              <w:t>1)</w:t>
            </w:r>
          </w:p>
        </w:tc>
        <w:tc>
          <w:tcPr>
            <w:tcW w:w="1764" w:type="dxa"/>
            <w:vMerge w:val="restart"/>
          </w:tcPr>
          <w:p w:rsidR="00CC0301" w:rsidRPr="00D76AE5" w:rsidRDefault="00CC0301" w:rsidP="00D76AE5">
            <w:pPr>
              <w:rPr>
                <w:sz w:val="20"/>
                <w:szCs w:val="20"/>
              </w:rPr>
            </w:pPr>
            <w:r w:rsidRPr="00D76AE5">
              <w:rPr>
                <w:sz w:val="20"/>
                <w:szCs w:val="20"/>
              </w:rPr>
              <w:t>13 weeks</w:t>
            </w:r>
            <w:r w:rsidRPr="00D76AE5">
              <w:rPr>
                <w:sz w:val="20"/>
                <w:szCs w:val="20"/>
              </w:rPr>
              <w:br/>
              <w:t>(R&amp;D/09/1187)</w:t>
            </w:r>
          </w:p>
        </w:tc>
        <w:tc>
          <w:tcPr>
            <w:tcW w:w="1629" w:type="dxa"/>
          </w:tcPr>
          <w:p w:rsidR="00CC0301" w:rsidRPr="00D76AE5" w:rsidRDefault="00CC0301" w:rsidP="00D76AE5">
            <w:pPr>
              <w:rPr>
                <w:sz w:val="20"/>
                <w:szCs w:val="20"/>
              </w:rPr>
            </w:pPr>
            <w:r w:rsidRPr="00D76AE5">
              <w:rPr>
                <w:sz w:val="20"/>
                <w:szCs w:val="20"/>
              </w:rPr>
              <w:t>600</w:t>
            </w:r>
          </w:p>
        </w:tc>
        <w:tc>
          <w:tcPr>
            <w:tcW w:w="1629" w:type="dxa"/>
          </w:tcPr>
          <w:p w:rsidR="00CC0301" w:rsidRPr="00D76AE5" w:rsidRDefault="00CC0301" w:rsidP="00D76AE5">
            <w:pPr>
              <w:rPr>
                <w:sz w:val="20"/>
                <w:szCs w:val="20"/>
              </w:rPr>
            </w:pPr>
            <w:r w:rsidRPr="00D76AE5">
              <w:rPr>
                <w:sz w:val="20"/>
                <w:szCs w:val="20"/>
              </w:rPr>
              <w:t>63.0</w:t>
            </w:r>
          </w:p>
        </w:tc>
        <w:tc>
          <w:tcPr>
            <w:tcW w:w="1629" w:type="dxa"/>
          </w:tcPr>
          <w:p w:rsidR="00CC0301" w:rsidRPr="00D76AE5" w:rsidRDefault="00CC0301" w:rsidP="00D76AE5">
            <w:pPr>
              <w:rPr>
                <w:sz w:val="20"/>
                <w:szCs w:val="20"/>
              </w:rPr>
            </w:pPr>
            <w:r w:rsidRPr="00D76AE5">
              <w:rPr>
                <w:sz w:val="20"/>
                <w:szCs w:val="20"/>
              </w:rPr>
              <w:t>5</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2000</w:t>
            </w:r>
          </w:p>
        </w:tc>
        <w:tc>
          <w:tcPr>
            <w:tcW w:w="1629" w:type="dxa"/>
          </w:tcPr>
          <w:p w:rsidR="00CC0301" w:rsidRPr="00D76AE5" w:rsidRDefault="00CC0301" w:rsidP="00D76AE5">
            <w:pPr>
              <w:rPr>
                <w:sz w:val="20"/>
                <w:szCs w:val="20"/>
              </w:rPr>
            </w:pPr>
            <w:r w:rsidRPr="00D76AE5">
              <w:rPr>
                <w:sz w:val="20"/>
                <w:szCs w:val="20"/>
              </w:rPr>
              <w:t>156</w:t>
            </w:r>
          </w:p>
        </w:tc>
        <w:tc>
          <w:tcPr>
            <w:tcW w:w="1629" w:type="dxa"/>
          </w:tcPr>
          <w:p w:rsidR="00CC0301" w:rsidRPr="00D76AE5" w:rsidRDefault="00CC0301" w:rsidP="00D76AE5">
            <w:pPr>
              <w:rPr>
                <w:sz w:val="20"/>
                <w:szCs w:val="20"/>
              </w:rPr>
            </w:pPr>
            <w:r w:rsidRPr="00D76AE5">
              <w:rPr>
                <w:sz w:val="20"/>
                <w:szCs w:val="20"/>
              </w:rPr>
              <w:t>11</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5000</w:t>
            </w:r>
          </w:p>
        </w:tc>
        <w:tc>
          <w:tcPr>
            <w:tcW w:w="1629" w:type="dxa"/>
          </w:tcPr>
          <w:p w:rsidR="00CC0301" w:rsidRPr="00D76AE5" w:rsidRDefault="00CC0301" w:rsidP="00D76AE5">
            <w:pPr>
              <w:rPr>
                <w:sz w:val="20"/>
                <w:szCs w:val="20"/>
              </w:rPr>
            </w:pPr>
            <w:r w:rsidRPr="00D76AE5">
              <w:rPr>
                <w:sz w:val="20"/>
                <w:szCs w:val="20"/>
              </w:rPr>
              <w:t>205</w:t>
            </w:r>
          </w:p>
        </w:tc>
        <w:tc>
          <w:tcPr>
            <w:tcW w:w="1629" w:type="dxa"/>
          </w:tcPr>
          <w:p w:rsidR="00CC0301" w:rsidRPr="00D76AE5" w:rsidRDefault="00CC0301" w:rsidP="00D76AE5">
            <w:pPr>
              <w:rPr>
                <w:sz w:val="20"/>
                <w:szCs w:val="20"/>
              </w:rPr>
            </w:pPr>
            <w:r w:rsidRPr="00D76AE5">
              <w:rPr>
                <w:sz w:val="20"/>
                <w:szCs w:val="20"/>
              </w:rPr>
              <w:t>15</w:t>
            </w:r>
          </w:p>
        </w:tc>
      </w:tr>
      <w:tr w:rsidR="00CC0301" w:rsidRPr="00D76AE5" w:rsidTr="009E2121">
        <w:trPr>
          <w:trHeight w:val="364"/>
        </w:trPr>
        <w:tc>
          <w:tcPr>
            <w:tcW w:w="1766" w:type="dxa"/>
            <w:vMerge w:val="restart"/>
          </w:tcPr>
          <w:p w:rsidR="00CC0301" w:rsidRPr="00D76AE5" w:rsidRDefault="00CC0301" w:rsidP="00D76AE5">
            <w:pPr>
              <w:rPr>
                <w:sz w:val="20"/>
                <w:szCs w:val="20"/>
              </w:rPr>
            </w:pPr>
            <w:r w:rsidRPr="00D76AE5">
              <w:rPr>
                <w:sz w:val="20"/>
                <w:szCs w:val="20"/>
              </w:rPr>
              <w:t>Mouse</w:t>
            </w:r>
            <w:r w:rsidRPr="00D76AE5">
              <w:rPr>
                <w:sz w:val="20"/>
                <w:szCs w:val="20"/>
              </w:rPr>
              <w:br/>
              <w:t>(TgHRAS)</w:t>
            </w:r>
          </w:p>
        </w:tc>
        <w:tc>
          <w:tcPr>
            <w:tcW w:w="1764" w:type="dxa"/>
            <w:vMerge w:val="restart"/>
          </w:tcPr>
          <w:p w:rsidR="00CC0301" w:rsidRPr="00D76AE5" w:rsidRDefault="00CC0301" w:rsidP="00D76AE5">
            <w:pPr>
              <w:rPr>
                <w:sz w:val="20"/>
                <w:szCs w:val="20"/>
              </w:rPr>
            </w:pPr>
            <w:r w:rsidRPr="00D76AE5">
              <w:rPr>
                <w:sz w:val="20"/>
                <w:szCs w:val="20"/>
              </w:rPr>
              <w:t>26 weeks</w:t>
            </w:r>
            <w:r w:rsidRPr="00D76AE5">
              <w:rPr>
                <w:sz w:val="20"/>
                <w:szCs w:val="20"/>
              </w:rPr>
              <w:br/>
              <w:t>(R&amp;D/12/262)</w:t>
            </w:r>
            <w:r w:rsidRPr="00D76AE5">
              <w:rPr>
                <w:sz w:val="20"/>
                <w:szCs w:val="20"/>
              </w:rPr>
              <w:br/>
            </w:r>
            <w:r w:rsidRPr="00D76AE5">
              <w:rPr>
                <w:sz w:val="20"/>
                <w:szCs w:val="20"/>
              </w:rPr>
              <w:lastRenderedPageBreak/>
              <w:t>[carcinogenicity]</w:t>
            </w:r>
          </w:p>
        </w:tc>
        <w:tc>
          <w:tcPr>
            <w:tcW w:w="1629" w:type="dxa"/>
          </w:tcPr>
          <w:p w:rsidR="00CC0301" w:rsidRPr="00D76AE5" w:rsidRDefault="00CC0301" w:rsidP="00D76AE5">
            <w:pPr>
              <w:rPr>
                <w:sz w:val="20"/>
                <w:szCs w:val="20"/>
              </w:rPr>
            </w:pPr>
            <w:r w:rsidRPr="00D76AE5">
              <w:rPr>
                <w:sz w:val="20"/>
                <w:szCs w:val="20"/>
              </w:rPr>
              <w:lastRenderedPageBreak/>
              <w:t>200</w:t>
            </w:r>
          </w:p>
        </w:tc>
        <w:tc>
          <w:tcPr>
            <w:tcW w:w="1629" w:type="dxa"/>
          </w:tcPr>
          <w:p w:rsidR="00CC0301" w:rsidRPr="00D76AE5" w:rsidRDefault="00CC0301" w:rsidP="00D76AE5">
            <w:pPr>
              <w:rPr>
                <w:sz w:val="20"/>
                <w:szCs w:val="20"/>
              </w:rPr>
            </w:pPr>
            <w:r w:rsidRPr="00D76AE5">
              <w:rPr>
                <w:sz w:val="20"/>
                <w:szCs w:val="20"/>
              </w:rPr>
              <w:t>51.2</w:t>
            </w:r>
          </w:p>
        </w:tc>
        <w:tc>
          <w:tcPr>
            <w:tcW w:w="1629" w:type="dxa"/>
          </w:tcPr>
          <w:p w:rsidR="00CC0301" w:rsidRPr="00D76AE5" w:rsidRDefault="00CC0301" w:rsidP="00D76AE5">
            <w:pPr>
              <w:rPr>
                <w:sz w:val="20"/>
                <w:szCs w:val="20"/>
              </w:rPr>
            </w:pPr>
            <w:r w:rsidRPr="00D76AE5">
              <w:rPr>
                <w:sz w:val="20"/>
                <w:szCs w:val="20"/>
              </w:rPr>
              <w:t>4</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600</w:t>
            </w:r>
          </w:p>
        </w:tc>
        <w:tc>
          <w:tcPr>
            <w:tcW w:w="1629" w:type="dxa"/>
          </w:tcPr>
          <w:p w:rsidR="00CC0301" w:rsidRPr="00D76AE5" w:rsidRDefault="00CC0301" w:rsidP="00D76AE5">
            <w:pPr>
              <w:rPr>
                <w:sz w:val="20"/>
                <w:szCs w:val="20"/>
              </w:rPr>
            </w:pPr>
            <w:r w:rsidRPr="00D76AE5">
              <w:rPr>
                <w:sz w:val="20"/>
                <w:szCs w:val="20"/>
              </w:rPr>
              <w:t>119</w:t>
            </w:r>
          </w:p>
        </w:tc>
        <w:tc>
          <w:tcPr>
            <w:tcW w:w="1629" w:type="dxa"/>
          </w:tcPr>
          <w:p w:rsidR="00CC0301" w:rsidRPr="00D76AE5" w:rsidRDefault="00CC0301" w:rsidP="00D76AE5">
            <w:pPr>
              <w:rPr>
                <w:sz w:val="20"/>
                <w:szCs w:val="20"/>
              </w:rPr>
            </w:pPr>
            <w:r w:rsidRPr="00D76AE5">
              <w:rPr>
                <w:sz w:val="20"/>
                <w:szCs w:val="20"/>
              </w:rPr>
              <w:t>9</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2000</w:t>
            </w:r>
          </w:p>
        </w:tc>
        <w:tc>
          <w:tcPr>
            <w:tcW w:w="1629" w:type="dxa"/>
          </w:tcPr>
          <w:p w:rsidR="00CC0301" w:rsidRPr="00D76AE5" w:rsidRDefault="00CC0301" w:rsidP="00D76AE5">
            <w:pPr>
              <w:rPr>
                <w:sz w:val="20"/>
                <w:szCs w:val="20"/>
              </w:rPr>
            </w:pPr>
            <w:r w:rsidRPr="00D76AE5">
              <w:rPr>
                <w:sz w:val="20"/>
                <w:szCs w:val="20"/>
              </w:rPr>
              <w:t>265</w:t>
            </w:r>
          </w:p>
        </w:tc>
        <w:tc>
          <w:tcPr>
            <w:tcW w:w="1629" w:type="dxa"/>
          </w:tcPr>
          <w:p w:rsidR="00CC0301" w:rsidRPr="00D76AE5" w:rsidRDefault="00CC0301" w:rsidP="00D76AE5">
            <w:pPr>
              <w:rPr>
                <w:sz w:val="20"/>
                <w:szCs w:val="20"/>
              </w:rPr>
            </w:pPr>
            <w:r w:rsidRPr="00D76AE5">
              <w:rPr>
                <w:sz w:val="20"/>
                <w:szCs w:val="20"/>
              </w:rPr>
              <w:t>19</w:t>
            </w:r>
          </w:p>
        </w:tc>
      </w:tr>
      <w:tr w:rsidR="00CC0301" w:rsidRPr="00D76AE5" w:rsidTr="009E2121">
        <w:trPr>
          <w:trHeight w:val="364"/>
        </w:trPr>
        <w:tc>
          <w:tcPr>
            <w:tcW w:w="1766" w:type="dxa"/>
            <w:vMerge w:val="restart"/>
          </w:tcPr>
          <w:p w:rsidR="00CC0301" w:rsidRPr="00D76AE5" w:rsidRDefault="00CC0301" w:rsidP="00D76AE5">
            <w:pPr>
              <w:rPr>
                <w:sz w:val="20"/>
                <w:szCs w:val="20"/>
              </w:rPr>
            </w:pPr>
            <w:r w:rsidRPr="00D76AE5">
              <w:rPr>
                <w:sz w:val="20"/>
                <w:szCs w:val="20"/>
              </w:rPr>
              <w:lastRenderedPageBreak/>
              <w:t>Rat</w:t>
            </w:r>
            <w:r w:rsidR="00D76AE5">
              <w:rPr>
                <w:sz w:val="20"/>
                <w:szCs w:val="20"/>
              </w:rPr>
              <w:t xml:space="preserve"> </w:t>
            </w:r>
            <w:r w:rsidRPr="00D76AE5">
              <w:rPr>
                <w:sz w:val="20"/>
                <w:szCs w:val="20"/>
              </w:rPr>
              <w:t>(SD)</w:t>
            </w:r>
          </w:p>
        </w:tc>
        <w:tc>
          <w:tcPr>
            <w:tcW w:w="1764" w:type="dxa"/>
            <w:vMerge w:val="restart"/>
          </w:tcPr>
          <w:p w:rsidR="00CC0301" w:rsidRPr="00D76AE5" w:rsidRDefault="00CC0301" w:rsidP="00D76AE5">
            <w:pPr>
              <w:rPr>
                <w:sz w:val="20"/>
                <w:szCs w:val="20"/>
              </w:rPr>
            </w:pPr>
            <w:r w:rsidRPr="00D76AE5">
              <w:rPr>
                <w:sz w:val="20"/>
                <w:szCs w:val="20"/>
              </w:rPr>
              <w:t>6 months</w:t>
            </w:r>
            <w:r w:rsidR="00D76AE5">
              <w:rPr>
                <w:sz w:val="20"/>
                <w:szCs w:val="20"/>
              </w:rPr>
              <w:t xml:space="preserve"> </w:t>
            </w:r>
            <w:r w:rsidRPr="00D76AE5">
              <w:rPr>
                <w:sz w:val="20"/>
                <w:szCs w:val="20"/>
              </w:rPr>
              <w:t>(R&amp;D/08/1422)</w:t>
            </w:r>
          </w:p>
        </w:tc>
        <w:tc>
          <w:tcPr>
            <w:tcW w:w="1629" w:type="dxa"/>
          </w:tcPr>
          <w:p w:rsidR="00CC0301" w:rsidRPr="00D76AE5" w:rsidRDefault="000E1719" w:rsidP="00D76AE5">
            <w:pPr>
              <w:rPr>
                <w:sz w:val="20"/>
                <w:szCs w:val="20"/>
              </w:rPr>
            </w:pPr>
            <w:r w:rsidRPr="00D76AE5">
              <w:rPr>
                <w:sz w:val="20"/>
                <w:szCs w:val="20"/>
              </w:rPr>
              <w:t>25 (BD)</w:t>
            </w:r>
          </w:p>
        </w:tc>
        <w:tc>
          <w:tcPr>
            <w:tcW w:w="1629" w:type="dxa"/>
          </w:tcPr>
          <w:p w:rsidR="00CC0301" w:rsidRPr="00D76AE5" w:rsidRDefault="00CC0301" w:rsidP="00D76AE5">
            <w:pPr>
              <w:rPr>
                <w:sz w:val="20"/>
                <w:szCs w:val="20"/>
              </w:rPr>
            </w:pPr>
            <w:r w:rsidRPr="00D76AE5">
              <w:rPr>
                <w:sz w:val="20"/>
                <w:szCs w:val="20"/>
              </w:rPr>
              <w:t>31.5/74.3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2/5</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100 (</w:t>
            </w:r>
            <w:r w:rsidR="000E1719" w:rsidRPr="00D76AE5">
              <w:rPr>
                <w:sz w:val="20"/>
                <w:szCs w:val="20"/>
              </w:rPr>
              <w:t>BD</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51.8/170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4/12</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400 (</w:t>
            </w:r>
            <w:r w:rsidR="000E1719" w:rsidRPr="00D76AE5">
              <w:rPr>
                <w:sz w:val="20"/>
                <w:szCs w:val="20"/>
              </w:rPr>
              <w:t>BD</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119/319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9/23</w:t>
            </w:r>
          </w:p>
        </w:tc>
      </w:tr>
      <w:tr w:rsidR="00CC0301" w:rsidRPr="00D76AE5" w:rsidTr="009E2121">
        <w:trPr>
          <w:trHeight w:val="364"/>
        </w:trPr>
        <w:tc>
          <w:tcPr>
            <w:tcW w:w="1766" w:type="dxa"/>
            <w:vMerge w:val="restart"/>
          </w:tcPr>
          <w:p w:rsidR="00CC0301" w:rsidRPr="00D76AE5" w:rsidRDefault="00CC0301" w:rsidP="00D76AE5">
            <w:pPr>
              <w:rPr>
                <w:sz w:val="20"/>
                <w:szCs w:val="20"/>
              </w:rPr>
            </w:pPr>
            <w:r w:rsidRPr="00D76AE5">
              <w:rPr>
                <w:sz w:val="20"/>
                <w:szCs w:val="20"/>
              </w:rPr>
              <w:t>Dog</w:t>
            </w:r>
            <w:r w:rsidR="00D76AE5">
              <w:rPr>
                <w:sz w:val="20"/>
                <w:szCs w:val="20"/>
              </w:rPr>
              <w:t xml:space="preserve"> </w:t>
            </w:r>
            <w:r w:rsidRPr="00D76AE5">
              <w:rPr>
                <w:sz w:val="20"/>
                <w:szCs w:val="20"/>
              </w:rPr>
              <w:t>(Beagle)</w:t>
            </w:r>
          </w:p>
        </w:tc>
        <w:tc>
          <w:tcPr>
            <w:tcW w:w="1764" w:type="dxa"/>
            <w:vMerge w:val="restart"/>
          </w:tcPr>
          <w:p w:rsidR="00CC0301" w:rsidRPr="00D76AE5" w:rsidRDefault="00CC0301" w:rsidP="00D76AE5">
            <w:pPr>
              <w:rPr>
                <w:sz w:val="20"/>
                <w:szCs w:val="20"/>
              </w:rPr>
            </w:pPr>
            <w:r w:rsidRPr="00D76AE5">
              <w:rPr>
                <w:sz w:val="20"/>
                <w:szCs w:val="20"/>
              </w:rPr>
              <w:t>9 months</w:t>
            </w:r>
            <w:r w:rsidR="00D76AE5">
              <w:rPr>
                <w:sz w:val="20"/>
                <w:szCs w:val="20"/>
              </w:rPr>
              <w:t xml:space="preserve"> </w:t>
            </w:r>
            <w:r w:rsidRPr="00D76AE5">
              <w:rPr>
                <w:sz w:val="20"/>
                <w:szCs w:val="20"/>
              </w:rPr>
              <w:t>(R&amp;D/09/310)</w:t>
            </w:r>
          </w:p>
        </w:tc>
        <w:tc>
          <w:tcPr>
            <w:tcW w:w="1629" w:type="dxa"/>
          </w:tcPr>
          <w:p w:rsidR="00CC0301" w:rsidRPr="00D76AE5" w:rsidRDefault="00CC0301" w:rsidP="00D76AE5">
            <w:pPr>
              <w:rPr>
                <w:sz w:val="20"/>
                <w:szCs w:val="20"/>
              </w:rPr>
            </w:pPr>
            <w:r w:rsidRPr="00D76AE5">
              <w:rPr>
                <w:sz w:val="20"/>
                <w:szCs w:val="20"/>
              </w:rPr>
              <w:t>10</w:t>
            </w:r>
          </w:p>
        </w:tc>
        <w:tc>
          <w:tcPr>
            <w:tcW w:w="1629" w:type="dxa"/>
          </w:tcPr>
          <w:p w:rsidR="00CC0301" w:rsidRPr="00D76AE5" w:rsidRDefault="00CC0301" w:rsidP="00D76AE5">
            <w:pPr>
              <w:rPr>
                <w:sz w:val="20"/>
                <w:szCs w:val="20"/>
              </w:rPr>
            </w:pPr>
            <w:r w:rsidRPr="00D76AE5">
              <w:rPr>
                <w:sz w:val="20"/>
                <w:szCs w:val="20"/>
              </w:rPr>
              <w:t>169</w:t>
            </w:r>
          </w:p>
        </w:tc>
        <w:tc>
          <w:tcPr>
            <w:tcW w:w="1629" w:type="dxa"/>
          </w:tcPr>
          <w:p w:rsidR="00CC0301" w:rsidRPr="00D76AE5" w:rsidRDefault="00CC0301" w:rsidP="00D76AE5">
            <w:pPr>
              <w:rPr>
                <w:sz w:val="20"/>
                <w:szCs w:val="20"/>
              </w:rPr>
            </w:pPr>
            <w:r w:rsidRPr="00D76AE5">
              <w:rPr>
                <w:sz w:val="20"/>
                <w:szCs w:val="20"/>
              </w:rPr>
              <w:t>12</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30</w:t>
            </w:r>
          </w:p>
        </w:tc>
        <w:tc>
          <w:tcPr>
            <w:tcW w:w="1629" w:type="dxa"/>
          </w:tcPr>
          <w:p w:rsidR="00CC0301" w:rsidRPr="00D76AE5" w:rsidRDefault="00CC0301" w:rsidP="00D76AE5">
            <w:pPr>
              <w:rPr>
                <w:sz w:val="20"/>
                <w:szCs w:val="20"/>
              </w:rPr>
            </w:pPr>
            <w:r w:rsidRPr="00D76AE5">
              <w:rPr>
                <w:sz w:val="20"/>
                <w:szCs w:val="20"/>
              </w:rPr>
              <w:t>520</w:t>
            </w:r>
          </w:p>
        </w:tc>
        <w:tc>
          <w:tcPr>
            <w:tcW w:w="1629" w:type="dxa"/>
          </w:tcPr>
          <w:p w:rsidR="00CC0301" w:rsidRPr="00D76AE5" w:rsidRDefault="00CC0301" w:rsidP="00D76AE5">
            <w:pPr>
              <w:rPr>
                <w:sz w:val="20"/>
                <w:szCs w:val="20"/>
              </w:rPr>
            </w:pPr>
            <w:r w:rsidRPr="00D76AE5">
              <w:rPr>
                <w:sz w:val="20"/>
                <w:szCs w:val="20"/>
              </w:rPr>
              <w:t>38</w:t>
            </w:r>
          </w:p>
        </w:tc>
      </w:tr>
      <w:tr w:rsidR="00CC0301" w:rsidRPr="00D76AE5" w:rsidTr="009E2121">
        <w:trPr>
          <w:trHeight w:val="364"/>
        </w:trPr>
        <w:tc>
          <w:tcPr>
            <w:tcW w:w="1766" w:type="dxa"/>
            <w:vMerge/>
          </w:tcPr>
          <w:p w:rsidR="00CC0301" w:rsidRPr="00D76AE5" w:rsidRDefault="00CC0301" w:rsidP="00D76AE5">
            <w:pPr>
              <w:rPr>
                <w:sz w:val="20"/>
                <w:szCs w:val="20"/>
              </w:rPr>
            </w:pPr>
          </w:p>
        </w:tc>
        <w:tc>
          <w:tcPr>
            <w:tcW w:w="1764" w:type="dxa"/>
            <w:vMerge/>
          </w:tcPr>
          <w:p w:rsidR="00CC0301" w:rsidRPr="00D76AE5" w:rsidRDefault="00CC0301" w:rsidP="00D76AE5">
            <w:pPr>
              <w:rPr>
                <w:sz w:val="20"/>
                <w:szCs w:val="20"/>
              </w:rPr>
            </w:pPr>
          </w:p>
        </w:tc>
        <w:tc>
          <w:tcPr>
            <w:tcW w:w="1629" w:type="dxa"/>
          </w:tcPr>
          <w:p w:rsidR="00CC0301" w:rsidRPr="00D76AE5" w:rsidRDefault="00CC0301" w:rsidP="00D76AE5">
            <w:pPr>
              <w:rPr>
                <w:sz w:val="20"/>
                <w:szCs w:val="20"/>
              </w:rPr>
            </w:pPr>
            <w:r w:rsidRPr="00D76AE5">
              <w:rPr>
                <w:sz w:val="20"/>
                <w:szCs w:val="20"/>
              </w:rPr>
              <w:t>60</w:t>
            </w:r>
          </w:p>
        </w:tc>
        <w:tc>
          <w:tcPr>
            <w:tcW w:w="1629" w:type="dxa"/>
          </w:tcPr>
          <w:p w:rsidR="00CC0301" w:rsidRPr="00D76AE5" w:rsidRDefault="00CC0301" w:rsidP="00D76AE5">
            <w:pPr>
              <w:rPr>
                <w:sz w:val="20"/>
                <w:szCs w:val="20"/>
              </w:rPr>
            </w:pPr>
            <w:r w:rsidRPr="00D76AE5">
              <w:rPr>
                <w:sz w:val="20"/>
                <w:szCs w:val="20"/>
              </w:rPr>
              <w:t>839</w:t>
            </w:r>
          </w:p>
        </w:tc>
        <w:tc>
          <w:tcPr>
            <w:tcW w:w="1629" w:type="dxa"/>
          </w:tcPr>
          <w:p w:rsidR="00CC0301" w:rsidRPr="00D76AE5" w:rsidRDefault="00CC0301" w:rsidP="00D76AE5">
            <w:pPr>
              <w:rPr>
                <w:sz w:val="20"/>
                <w:szCs w:val="20"/>
              </w:rPr>
            </w:pPr>
            <w:r w:rsidRPr="00D76AE5">
              <w:rPr>
                <w:sz w:val="20"/>
                <w:szCs w:val="20"/>
              </w:rPr>
              <w:t>61</w:t>
            </w:r>
          </w:p>
        </w:tc>
      </w:tr>
      <w:tr w:rsidR="00CC0301" w:rsidRPr="00D76AE5" w:rsidTr="009E2121">
        <w:trPr>
          <w:trHeight w:val="364"/>
        </w:trPr>
        <w:tc>
          <w:tcPr>
            <w:tcW w:w="1766" w:type="dxa"/>
          </w:tcPr>
          <w:p w:rsidR="00CC0301" w:rsidRPr="00D76AE5" w:rsidRDefault="00CC0301" w:rsidP="00D76AE5">
            <w:pPr>
              <w:rPr>
                <w:sz w:val="20"/>
                <w:szCs w:val="20"/>
              </w:rPr>
            </w:pPr>
            <w:r w:rsidRPr="00D76AE5">
              <w:rPr>
                <w:sz w:val="20"/>
                <w:szCs w:val="20"/>
              </w:rPr>
              <w:t>Human</w:t>
            </w:r>
            <w:r w:rsidR="00D76AE5">
              <w:rPr>
                <w:sz w:val="20"/>
                <w:szCs w:val="20"/>
              </w:rPr>
              <w:t xml:space="preserve"> </w:t>
            </w:r>
            <w:r w:rsidRPr="00D76AE5">
              <w:rPr>
                <w:sz w:val="20"/>
                <w:szCs w:val="20"/>
              </w:rPr>
              <w:t>(healthy volunteers)</w:t>
            </w:r>
          </w:p>
        </w:tc>
        <w:tc>
          <w:tcPr>
            <w:tcW w:w="1764" w:type="dxa"/>
          </w:tcPr>
          <w:p w:rsidR="00CC0301" w:rsidRPr="00D76AE5" w:rsidRDefault="00CC0301" w:rsidP="00D76AE5">
            <w:pPr>
              <w:rPr>
                <w:sz w:val="20"/>
                <w:szCs w:val="20"/>
              </w:rPr>
            </w:pPr>
            <w:r w:rsidRPr="00D76AE5">
              <w:rPr>
                <w:sz w:val="20"/>
                <w:szCs w:val="20"/>
              </w:rPr>
              <w:t>steady state</w:t>
            </w:r>
          </w:p>
        </w:tc>
        <w:tc>
          <w:tcPr>
            <w:tcW w:w="1629" w:type="dxa"/>
          </w:tcPr>
          <w:p w:rsidR="00CC0301" w:rsidRPr="00D76AE5" w:rsidRDefault="00CC0301" w:rsidP="00D76AE5">
            <w:pPr>
              <w:rPr>
                <w:sz w:val="20"/>
                <w:szCs w:val="20"/>
              </w:rPr>
            </w:pPr>
            <w:r w:rsidRPr="00D76AE5">
              <w:rPr>
                <w:sz w:val="20"/>
                <w:szCs w:val="20"/>
              </w:rPr>
              <w:t xml:space="preserve">[250 mg </w:t>
            </w:r>
            <w:r w:rsidR="000E1719" w:rsidRPr="00D76AE5">
              <w:rPr>
                <w:sz w:val="20"/>
                <w:szCs w:val="20"/>
              </w:rPr>
              <w:t>BD</w:t>
            </w:r>
            <w:r w:rsidRPr="00D76AE5">
              <w:rPr>
                <w:sz w:val="20"/>
                <w:szCs w:val="20"/>
              </w:rPr>
              <w:t>]</w:t>
            </w:r>
          </w:p>
        </w:tc>
        <w:tc>
          <w:tcPr>
            <w:tcW w:w="1629" w:type="dxa"/>
          </w:tcPr>
          <w:p w:rsidR="00CC0301" w:rsidRPr="00D76AE5" w:rsidRDefault="00CC0301" w:rsidP="00D76AE5">
            <w:pPr>
              <w:rPr>
                <w:sz w:val="20"/>
                <w:szCs w:val="20"/>
              </w:rPr>
            </w:pPr>
            <w:r w:rsidRPr="00D76AE5">
              <w:rPr>
                <w:sz w:val="20"/>
                <w:szCs w:val="20"/>
              </w:rPr>
              <w:t>13.7</w:t>
            </w:r>
          </w:p>
        </w:tc>
        <w:tc>
          <w:tcPr>
            <w:tcW w:w="1629" w:type="dxa"/>
          </w:tcPr>
          <w:p w:rsidR="00CC0301" w:rsidRPr="00D76AE5" w:rsidRDefault="00CC0301" w:rsidP="00D76AE5">
            <w:pPr>
              <w:rPr>
                <w:sz w:val="20"/>
                <w:szCs w:val="20"/>
              </w:rPr>
            </w:pPr>
            <w:r w:rsidRPr="00D76AE5">
              <w:rPr>
                <w:sz w:val="20"/>
                <w:szCs w:val="20"/>
              </w:rPr>
              <w:t>–</w:t>
            </w:r>
          </w:p>
        </w:tc>
      </w:tr>
    </w:tbl>
    <w:p w:rsidR="00CC0301" w:rsidRPr="00CC0301" w:rsidRDefault="00CC0301" w:rsidP="00CC0301">
      <w:pPr>
        <w:pStyle w:val="TableDescription"/>
      </w:pPr>
      <w:r w:rsidRPr="00CC0301">
        <w:t>#</w:t>
      </w:r>
      <w:r w:rsidR="00BF1FC5">
        <w:t xml:space="preserve"> = </w:t>
      </w:r>
      <w:r w:rsidRPr="00CC0301">
        <w:t>animal</w:t>
      </w:r>
      <w:proofErr w:type="gramStart"/>
      <w:r w:rsidRPr="00CC0301">
        <w:t>:human</w:t>
      </w:r>
      <w:proofErr w:type="gramEnd"/>
      <w:r w:rsidRPr="00CC0301">
        <w:t xml:space="preserve"> plasma </w:t>
      </w:r>
      <w:r w:rsidR="00926A16" w:rsidRPr="00CC0301">
        <w:t>AUC</w:t>
      </w:r>
      <w:r w:rsidR="00926A16" w:rsidRPr="00926A16">
        <w:rPr>
          <w:vertAlign w:val="subscript"/>
        </w:rPr>
        <w:t>0–24 h</w:t>
      </w:r>
      <w:r w:rsidRPr="00CC0301">
        <w:t>; animal data were obtained from the final day of dosing; average of male and female data for mice and dogs</w:t>
      </w:r>
    </w:p>
    <w:p w:rsidR="00CC0301" w:rsidRPr="00CC0301" w:rsidRDefault="00CC0301" w:rsidP="00CC0301">
      <w:pPr>
        <w:pStyle w:val="Heading5"/>
      </w:pPr>
      <w:r w:rsidRPr="00CC0301">
        <w:t>Major toxicities</w:t>
      </w:r>
      <w:r w:rsidR="00926A16">
        <w:t xml:space="preserve"> - dasabuvir</w:t>
      </w:r>
    </w:p>
    <w:p w:rsidR="00CC0301" w:rsidRPr="00CC0301" w:rsidRDefault="00CC0301" w:rsidP="00CC0301">
      <w:r w:rsidRPr="00CC0301">
        <w:t xml:space="preserve">No consistent target organs for toxicity were identified. The lungs were a target organ for toxicity in rats. An increased incidence and severity of alveolar histiocytosis was observed in rats treated with </w:t>
      </w:r>
      <w:r w:rsidR="000C3156">
        <w:t xml:space="preserve">≥ </w:t>
      </w:r>
      <w:r w:rsidRPr="00CC0301">
        <w:t xml:space="preserve">25 mg/kg </w:t>
      </w:r>
      <w:r w:rsidR="000E1719">
        <w:t>BD</w:t>
      </w:r>
      <w:r w:rsidRPr="00CC0301">
        <w:t xml:space="preserve"> PO dasabuvir (exposure ratio based on </w:t>
      </w:r>
      <w:r w:rsidRPr="006F5529">
        <w:t>AUC [ERAUC</w:t>
      </w:r>
      <w:r w:rsidR="00926A16" w:rsidRPr="006F5529">
        <w:t>] 2</w:t>
      </w:r>
      <w:r w:rsidR="00926A16">
        <w:t xml:space="preserve"> to </w:t>
      </w:r>
      <w:r w:rsidRPr="00CC0301">
        <w:t>5). A NOEL was not established and pulmonary histiocytosis had not completely rev</w:t>
      </w:r>
      <w:r w:rsidR="00926A16">
        <w:t xml:space="preserve">ersed after a 1 month treatment </w:t>
      </w:r>
      <w:r w:rsidRPr="00CC0301">
        <w:t>free period, though the severity had lessened over this period. This lesion is consistent with phospholipidosis. Phospholipidosis is a common finding for cationic amphiphilic drugs, which have been approved for a wide range of clinical indications. It is uncertain if phospholipidosis in animals is predictive for humans and it is also uncertain if it is merely an adaptive response or has toxicological implications</w:t>
      </w:r>
      <w:r w:rsidR="00926A16">
        <w:t>.</w:t>
      </w:r>
      <w:bookmarkStart w:id="96" w:name="_Ref471980654"/>
      <w:r w:rsidRPr="00926A16">
        <w:rPr>
          <w:vertAlign w:val="superscript"/>
        </w:rPr>
        <w:footnoteReference w:id="51"/>
      </w:r>
      <w:bookmarkEnd w:id="96"/>
      <w:proofErr w:type="gramStart"/>
      <w:r w:rsidRPr="00926A16">
        <w:rPr>
          <w:vertAlign w:val="superscript"/>
        </w:rPr>
        <w:t xml:space="preserve">, </w:t>
      </w:r>
      <w:bookmarkStart w:id="97" w:name="_Ref471980702"/>
      <w:proofErr w:type="gramEnd"/>
      <w:r w:rsidRPr="00926A16">
        <w:rPr>
          <w:vertAlign w:val="superscript"/>
        </w:rPr>
        <w:footnoteReference w:id="52"/>
      </w:r>
      <w:bookmarkEnd w:id="97"/>
      <w:r w:rsidRPr="00926A16">
        <w:rPr>
          <w:vertAlign w:val="superscript"/>
        </w:rPr>
        <w:t xml:space="preserve">, </w:t>
      </w:r>
      <w:bookmarkStart w:id="98" w:name="_Ref471980747"/>
      <w:r w:rsidRPr="00926A16">
        <w:rPr>
          <w:vertAlign w:val="superscript"/>
        </w:rPr>
        <w:footnoteReference w:id="53"/>
      </w:r>
      <w:bookmarkEnd w:id="98"/>
      <w:r w:rsidRPr="00CC0301">
        <w:t xml:space="preserve"> As there was no evidence of phospholipidosis in mice and dogs at much higher exposures, rats may be more sensitive to this effect, and the pulmonary changes are likely to have minimal clinical relevance. Phospholipidosis was also observed in rats treated with ritonavir. This should be considered when assessing the toxicity of the combination of drugs in Viekira </w:t>
      </w:r>
      <w:r w:rsidR="000C3156">
        <w:t>Pak</w:t>
      </w:r>
      <w:r w:rsidRPr="00CC0301">
        <w:t>.</w:t>
      </w:r>
    </w:p>
    <w:p w:rsidR="00CC0301" w:rsidRPr="00CC0301" w:rsidRDefault="00CC0301" w:rsidP="00CC0301">
      <w:r w:rsidRPr="00CC0301">
        <w:t>The NOAEL in mice and dogs was 5</w:t>
      </w:r>
      <w:r w:rsidR="00926A16">
        <w:t>,</w:t>
      </w:r>
      <w:r w:rsidRPr="00CC0301">
        <w:t xml:space="preserve">000 mg/kg/day and 30 mg/kg/day, respectively, resulting in respective exposures 15 and 38 times the clinical AUC. At higher exposures in </w:t>
      </w:r>
      <w:r w:rsidRPr="00CC0301">
        <w:lastRenderedPageBreak/>
        <w:t>mice, inflammation and irritation was evident in the gastrointestinal tract. This was associated with the oral administration of a large amount of material, resulting in a local irritant effect. These finding</w:t>
      </w:r>
      <w:r w:rsidR="00926A16">
        <w:t xml:space="preserve">s are not considered clinically </w:t>
      </w:r>
      <w:r w:rsidRPr="00CC0301">
        <w:t>relevant.</w:t>
      </w:r>
    </w:p>
    <w:p w:rsidR="00CC0301" w:rsidRPr="00CC0301" w:rsidRDefault="00CC0301" w:rsidP="00CC0301">
      <w:r w:rsidRPr="00CC0301">
        <w:t>At higher exposures in dogs, changes were evident in the adrenal gland (cortical hypertrophy/hyperplasia), liver (hepatocellular vacuolation) and lymphoid tissues (lymphoid depletion). Given the high exposures at which these occurred, the</w:t>
      </w:r>
      <w:r w:rsidR="00926A16">
        <w:t xml:space="preserve">y are not considered clinically </w:t>
      </w:r>
      <w:r w:rsidRPr="00CC0301">
        <w:t>relevant.</w:t>
      </w:r>
    </w:p>
    <w:p w:rsidR="00CC0301" w:rsidRPr="00CC0301" w:rsidRDefault="00CC0301" w:rsidP="00CC0301">
      <w:pPr>
        <w:pStyle w:val="Heading4"/>
      </w:pPr>
      <w:r w:rsidRPr="00CC0301">
        <w:t>Genotoxicity</w:t>
      </w:r>
      <w:r w:rsidR="006F5529">
        <w:t xml:space="preserve"> - dasabuvir</w:t>
      </w:r>
    </w:p>
    <w:p w:rsidR="00CC0301" w:rsidRPr="00CC0301" w:rsidRDefault="00CC0301" w:rsidP="00CC0301">
      <w:r w:rsidRPr="00CC0301">
        <w:t>The potential genotoxicity of dasabuvir was investigated in the standard battery of tests, conducted in accordance with ICH guidelines</w:t>
      </w:r>
      <w:r w:rsidR="00926A16">
        <w:t>.</w:t>
      </w:r>
      <w:r w:rsidR="00926A16" w:rsidRPr="00926A16">
        <w:rPr>
          <w:vertAlign w:val="superscript"/>
        </w:rPr>
        <w:fldChar w:fldCharType="begin"/>
      </w:r>
      <w:r w:rsidR="00926A16" w:rsidRPr="00926A16">
        <w:rPr>
          <w:vertAlign w:val="superscript"/>
        </w:rPr>
        <w:instrText xml:space="preserve"> NOTEREF _Ref471973630 \h </w:instrText>
      </w:r>
      <w:r w:rsidR="00926A16">
        <w:rPr>
          <w:vertAlign w:val="superscript"/>
        </w:rPr>
        <w:instrText xml:space="preserve"> \* MERGEFORMAT </w:instrText>
      </w:r>
      <w:r w:rsidR="00926A16" w:rsidRPr="00926A16">
        <w:rPr>
          <w:vertAlign w:val="superscript"/>
        </w:rPr>
      </w:r>
      <w:r w:rsidR="00926A16" w:rsidRPr="00926A16">
        <w:rPr>
          <w:vertAlign w:val="superscript"/>
        </w:rPr>
        <w:fldChar w:fldCharType="separate"/>
      </w:r>
      <w:r w:rsidR="00926A16" w:rsidRPr="00926A16">
        <w:rPr>
          <w:vertAlign w:val="superscript"/>
        </w:rPr>
        <w:t>13</w:t>
      </w:r>
      <w:r w:rsidR="00926A16" w:rsidRPr="00926A16">
        <w:rPr>
          <w:vertAlign w:val="superscript"/>
        </w:rPr>
        <w:fldChar w:fldCharType="end"/>
      </w:r>
      <w:r w:rsidRPr="00CC0301">
        <w:t xml:space="preserve"> All assays were appropriately validated and conducted under GLP conditions. Dasabuvir was not mutagenic in bacterial mutation assays or clastogenic in vitro (in human lymphocytes) or in vivo (in the rat micronucleus test). The potential genotoxicity of M1 is likely to have been adequately assessed in the in vitro assays (based on the levels of M1 formed in in vitro incubations with rat microsomes). Estimated exposures to M1 in the rat micronucleus study are</w:t>
      </w:r>
      <w:r w:rsidR="00FE3349">
        <w:t xml:space="preserve"> </w:t>
      </w:r>
      <w:r w:rsidRPr="00CC0301">
        <w:t>subclinical and therefore the clastogenic potential of M1 has not been adequately assessed</w:t>
      </w:r>
      <w:r w:rsidR="001B21A9">
        <w:t xml:space="preserve">. </w:t>
      </w:r>
      <w:r w:rsidRPr="00CC0301">
        <w:t>This is not considered to be a major deficiency</w:t>
      </w:r>
      <w:r w:rsidR="001B21A9">
        <w:t xml:space="preserve">. </w:t>
      </w:r>
      <w:r w:rsidRPr="00CC0301">
        <w:t xml:space="preserve">Given the absence of mutagenic and clastogenic activity in in vitro assays and the absence of </w:t>
      </w:r>
      <w:r w:rsidR="009F7EDA">
        <w:t>drug related</w:t>
      </w:r>
      <w:r w:rsidRPr="00CC0301">
        <w:t xml:space="preserve"> tumours in the mouse carcinogenicity study at relatively high exposures, the weight of evidence indicates both dasabuvir and M1 are not genotoxic.</w:t>
      </w:r>
    </w:p>
    <w:p w:rsidR="00CC0301" w:rsidRPr="00CC0301" w:rsidRDefault="00CC0301" w:rsidP="00CC0301">
      <w:pPr>
        <w:pStyle w:val="Heading4"/>
      </w:pPr>
      <w:r w:rsidRPr="00CC0301">
        <w:t>Carcinogenicity</w:t>
      </w:r>
      <w:r w:rsidR="006F5529">
        <w:t xml:space="preserve"> </w:t>
      </w:r>
      <w:r w:rsidR="00926A16">
        <w:t>- dasabuvir</w:t>
      </w:r>
    </w:p>
    <w:p w:rsidR="00CC0301" w:rsidRPr="00CC0301" w:rsidRDefault="00CC0301" w:rsidP="00CC0301">
      <w:r w:rsidRPr="00CC0301">
        <w:t>The carcinogenic potential of dasabuvir by the oral route was assessed in transgenic Tg.rasH2 mice following daily dosing for 26 weeks. Given the intended patient group and intended duration of dosing (12 weeks) in combination with the negative findings in genotoxicity studies, carcinogenicity studies in a single species is considered acceptable</w:t>
      </w:r>
      <w:r w:rsidR="00926A16">
        <w:t>.</w:t>
      </w:r>
      <w:r w:rsidRPr="00926A16">
        <w:rPr>
          <w:vertAlign w:val="superscript"/>
        </w:rPr>
        <w:footnoteReference w:id="54"/>
      </w:r>
      <w:r w:rsidRPr="00CC0301">
        <w:t xml:space="preserve"> The </w:t>
      </w:r>
      <w:r w:rsidR="00926A16">
        <w:t>sponsor</w:t>
      </w:r>
      <w:r w:rsidRPr="00CC0301">
        <w:t xml:space="preserve"> indicated a </w:t>
      </w:r>
      <w:r w:rsidR="00926A16">
        <w:t xml:space="preserve">2 year </w:t>
      </w:r>
      <w:r w:rsidRPr="00CC0301">
        <w:t xml:space="preserve">rat carcinogenicity study is currently in progress. This should be submitted to the TGA in a subsequent submission as soon as it is available. The choice of transgenic model is considered acceptable. The group sizes used (25/sex) and duration of dosing (26 weeks) </w:t>
      </w:r>
      <w:r w:rsidR="006F5529" w:rsidRPr="00CC0301">
        <w:t>was</w:t>
      </w:r>
      <w:r w:rsidRPr="00CC0301">
        <w:t xml:space="preserve"> appropriate for the </w:t>
      </w:r>
      <w:proofErr w:type="gramStart"/>
      <w:r w:rsidRPr="00CC0301">
        <w:t>species</w:t>
      </w:r>
      <w:r w:rsidR="00926A16">
        <w:t>.</w:t>
      </w:r>
      <w:r w:rsidR="00926A16" w:rsidRPr="00926A16">
        <w:rPr>
          <w:vertAlign w:val="superscript"/>
        </w:rPr>
        <w:t>,</w:t>
      </w:r>
      <w:proofErr w:type="gramEnd"/>
      <w:r w:rsidR="00926A16" w:rsidRPr="00926A16">
        <w:rPr>
          <w:vertAlign w:val="superscript"/>
        </w:rPr>
        <w:t xml:space="preserve"> </w:t>
      </w:r>
      <w:r w:rsidR="00926A16" w:rsidRPr="00926A16">
        <w:rPr>
          <w:vertAlign w:val="superscript"/>
        </w:rPr>
        <w:fldChar w:fldCharType="begin"/>
      </w:r>
      <w:r w:rsidR="00926A16" w:rsidRPr="00926A16">
        <w:rPr>
          <w:vertAlign w:val="superscript"/>
        </w:rPr>
        <w:instrText xml:space="preserve"> NOTEREF _Ref471973903 \h </w:instrText>
      </w:r>
      <w:r w:rsidR="00926A16">
        <w:rPr>
          <w:vertAlign w:val="superscript"/>
        </w:rPr>
        <w:instrText xml:space="preserve"> \* MERGEFORMAT </w:instrText>
      </w:r>
      <w:r w:rsidR="00926A16" w:rsidRPr="00926A16">
        <w:rPr>
          <w:vertAlign w:val="superscript"/>
        </w:rPr>
      </w:r>
      <w:r w:rsidR="00926A16" w:rsidRPr="00926A16">
        <w:rPr>
          <w:vertAlign w:val="superscript"/>
        </w:rPr>
        <w:fldChar w:fldCharType="separate"/>
      </w:r>
      <w:r w:rsidR="00926A16" w:rsidRPr="00926A16">
        <w:rPr>
          <w:vertAlign w:val="superscript"/>
        </w:rPr>
        <w:t>16</w:t>
      </w:r>
      <w:r w:rsidR="00926A16" w:rsidRPr="00926A16">
        <w:rPr>
          <w:vertAlign w:val="superscript"/>
        </w:rPr>
        <w:fldChar w:fldCharType="end"/>
      </w:r>
      <w:r w:rsidR="003566FC">
        <w:rPr>
          <w:vertAlign w:val="superscript"/>
        </w:rPr>
        <w:t xml:space="preserve">, </w:t>
      </w:r>
      <w:r w:rsidR="003566FC">
        <w:fldChar w:fldCharType="begin"/>
      </w:r>
      <w:r w:rsidR="003566FC">
        <w:rPr>
          <w:vertAlign w:val="superscript"/>
        </w:rPr>
        <w:instrText xml:space="preserve"> NOTEREF _Ref471973903 \h </w:instrText>
      </w:r>
      <w:r w:rsidR="003566FC">
        <w:fldChar w:fldCharType="separate"/>
      </w:r>
      <w:r w:rsidR="003566FC">
        <w:rPr>
          <w:vertAlign w:val="superscript"/>
        </w:rPr>
        <w:t>17</w:t>
      </w:r>
      <w:r w:rsidR="003566FC">
        <w:fldChar w:fldCharType="end"/>
      </w:r>
      <w:r w:rsidRPr="00CC0301">
        <w:t xml:space="preserve"> A concurrent positive control group (N-nitroso-N-methylurea-treated) was included and tumours expected from administration of a mutagen were observed, confirming the validity of the study. There were no dasabuvir-related neoplastic findings in any of the treated groups (</w:t>
      </w:r>
      <w:r w:rsidR="00926A16">
        <w:t>≤ </w:t>
      </w:r>
      <w:r w:rsidRPr="00CC0301">
        <w:t>2</w:t>
      </w:r>
      <w:r w:rsidR="00926A16">
        <w:t>,</w:t>
      </w:r>
      <w:r w:rsidRPr="00CC0301">
        <w:t xml:space="preserve">000 mg/kg/day PO; greater than the limit dose). The relative exposure at the highest tested dose was acceptable (ERAUC 19 for dasabuvir and estimated ERAUC 34 for M1). Therefore, based on this study, dasabuvir is not expected to pose a carcinogenic risk during clinical use. This should be confirmed with the </w:t>
      </w:r>
      <w:r w:rsidR="00926A16">
        <w:t xml:space="preserve">2 year </w:t>
      </w:r>
      <w:r w:rsidRPr="00CC0301">
        <w:t>rat carcinogenicity currently in progress.</w:t>
      </w:r>
    </w:p>
    <w:p w:rsidR="00CC0301" w:rsidRPr="00CC0301" w:rsidRDefault="00CC0301" w:rsidP="00CC0301">
      <w:pPr>
        <w:pStyle w:val="Heading4"/>
      </w:pPr>
      <w:r w:rsidRPr="00CC0301">
        <w:t>Reproductive toxicity</w:t>
      </w:r>
      <w:r w:rsidR="00926A16">
        <w:t xml:space="preserve"> - dasabuvir</w:t>
      </w:r>
    </w:p>
    <w:p w:rsidR="00CC0301" w:rsidRPr="00CC0301" w:rsidRDefault="00CC0301" w:rsidP="00CC0301">
      <w:r w:rsidRPr="00CC0301">
        <w:t xml:space="preserve">A standard set of </w:t>
      </w:r>
      <w:r w:rsidR="00926A16">
        <w:t>GLP compliant</w:t>
      </w:r>
      <w:r w:rsidRPr="00CC0301">
        <w:t xml:space="preserve"> reproductive toxicity studies was submitted and examined fertility (in rats), embryofetal toxicity (rats and rabbits) and pre/postnatal development (rats). Adequate animal numbers were used during appropriate gestational periods. Maximum doses in rats were acceptable, achieving several multiples of the clinical dasabuvir exposure (Table </w:t>
      </w:r>
      <w:r w:rsidR="008D1B95">
        <w:t>11</w:t>
      </w:r>
      <w:r w:rsidRPr="00CC0301">
        <w:t xml:space="preserve">). While exposure ratios in rabbits were generally low (maximum ERAUC 6), absorption was apparently saturated at the highest tested dose in the pivotal embryofetal development toxicity study, and therefore maximum exposures were achieved. Estimated exposure to M1 was approximately equivalent to the clinical </w:t>
      </w:r>
      <w:r w:rsidRPr="00CC0301">
        <w:lastRenderedPageBreak/>
        <w:t>AUC in rats and 5 times the clinical AUC in rabbits</w:t>
      </w:r>
      <w:r w:rsidRPr="00926A16">
        <w:rPr>
          <w:vertAlign w:val="superscript"/>
        </w:rPr>
        <w:footnoteReference w:id="55"/>
      </w:r>
      <w:r w:rsidRPr="00CC0301">
        <w:t xml:space="preserve"> at the highest tested doses. The clinical route (PO) was used in all studies with the clinical dosing regimen (twice daily) used in the rat studies.</w:t>
      </w:r>
    </w:p>
    <w:p w:rsidR="00CC0301" w:rsidRPr="00CC0301" w:rsidRDefault="00CC0301" w:rsidP="00CC0301">
      <w:r w:rsidRPr="00CC0301">
        <w:t>Fertility was unaffected in rats when treated males were paired with treated females (</w:t>
      </w:r>
      <w:r w:rsidR="00926A16">
        <w:t>≤ </w:t>
      </w:r>
      <w:r w:rsidRPr="00CC0301">
        <w:t xml:space="preserve">400 mg/kg </w:t>
      </w:r>
      <w:r w:rsidR="000E1719">
        <w:t>BD</w:t>
      </w:r>
      <w:r w:rsidRPr="00CC0301">
        <w:t>; ERAUC 12 in males and 18 in females). No adverse effects on fertility are predicted in patients. Placental transfer of dasabuvir and/or its metabolites was observed in rats and rabbits wi</w:t>
      </w:r>
      <w:r w:rsidR="00926A16">
        <w:t xml:space="preserve">th fetal levels of dasabuvir 11 to </w:t>
      </w:r>
      <w:r w:rsidRPr="00CC0301">
        <w:t>19% and 28</w:t>
      </w:r>
      <w:r w:rsidR="00926A16">
        <w:t xml:space="preserve"> to </w:t>
      </w:r>
      <w:r w:rsidRPr="00CC0301">
        <w:t xml:space="preserve">54% those of maternal levels in rats and rabbits, respectively. No adverse embryofetal effects were observed in either rats or rabbits at the highest tested doses; 400 mg/kg </w:t>
      </w:r>
      <w:r w:rsidR="000E1719">
        <w:t>BD</w:t>
      </w:r>
      <w:r w:rsidR="006F5529">
        <w:t xml:space="preserve"> PO (ERAUC </w:t>
      </w:r>
      <w:r w:rsidRPr="00CC0301">
        <w:t>24) in rats and 400 mg/kg/day PO (ERAUC 6) in rabbits.</w:t>
      </w:r>
    </w:p>
    <w:p w:rsidR="00CC0301" w:rsidRPr="00CC0301" w:rsidRDefault="00CC0301" w:rsidP="00FF289D">
      <w:pPr>
        <w:pStyle w:val="Tabletitle0"/>
      </w:pPr>
      <w:r w:rsidRPr="00CC0301">
        <w:t xml:space="preserve">Table </w:t>
      </w:r>
      <w:r w:rsidR="008D1B95">
        <w:t>11:</w:t>
      </w:r>
      <w:r w:rsidRPr="00CC0301">
        <w:t xml:space="preserve"> Relative exposure in reproductive toxicity studies</w:t>
      </w:r>
      <w:r w:rsidR="00926A16">
        <w:t xml:space="preserve"> - dasabuvir</w:t>
      </w:r>
    </w:p>
    <w:tbl>
      <w:tblPr>
        <w:tblStyle w:val="TableTGAblue"/>
        <w:tblW w:w="8302" w:type="dxa"/>
        <w:tblLayout w:type="fixed"/>
        <w:tblLook w:val="01E0" w:firstRow="1" w:lastRow="1" w:firstColumn="1" w:lastColumn="1" w:noHBand="0" w:noVBand="0"/>
      </w:tblPr>
      <w:tblGrid>
        <w:gridCol w:w="1741"/>
        <w:gridCol w:w="1740"/>
        <w:gridCol w:w="1607"/>
        <w:gridCol w:w="1607"/>
        <w:gridCol w:w="1607"/>
      </w:tblGrid>
      <w:tr w:rsidR="00CC0301" w:rsidRPr="00CC0301" w:rsidTr="006F5529">
        <w:trPr>
          <w:cnfStyle w:val="100000000000" w:firstRow="1" w:lastRow="0" w:firstColumn="0" w:lastColumn="0" w:oddVBand="0" w:evenVBand="0" w:oddHBand="0" w:evenHBand="0" w:firstRowFirstColumn="0" w:firstRowLastColumn="0" w:lastRowFirstColumn="0" w:lastRowLastColumn="0"/>
          <w:trHeight w:val="754"/>
        </w:trPr>
        <w:tc>
          <w:tcPr>
            <w:tcW w:w="1741" w:type="dxa"/>
          </w:tcPr>
          <w:p w:rsidR="00CC0301" w:rsidRPr="00D76AE5" w:rsidRDefault="00CC0301" w:rsidP="00D76AE5">
            <w:pPr>
              <w:rPr>
                <w:sz w:val="20"/>
                <w:szCs w:val="20"/>
              </w:rPr>
            </w:pPr>
            <w:r w:rsidRPr="00D76AE5">
              <w:rPr>
                <w:sz w:val="20"/>
                <w:szCs w:val="20"/>
              </w:rPr>
              <w:t>Species</w:t>
            </w:r>
          </w:p>
        </w:tc>
        <w:tc>
          <w:tcPr>
            <w:tcW w:w="1740" w:type="dxa"/>
          </w:tcPr>
          <w:p w:rsidR="00CC0301" w:rsidRPr="00D76AE5" w:rsidRDefault="00CC0301" w:rsidP="00D76AE5">
            <w:pPr>
              <w:rPr>
                <w:sz w:val="20"/>
                <w:szCs w:val="20"/>
              </w:rPr>
            </w:pPr>
            <w:r w:rsidRPr="00D76AE5">
              <w:rPr>
                <w:sz w:val="20"/>
                <w:szCs w:val="20"/>
              </w:rPr>
              <w:t>Study</w:t>
            </w:r>
          </w:p>
        </w:tc>
        <w:tc>
          <w:tcPr>
            <w:tcW w:w="1607" w:type="dxa"/>
          </w:tcPr>
          <w:p w:rsidR="00CC0301" w:rsidRPr="00D76AE5" w:rsidRDefault="00CC0301" w:rsidP="00D76AE5">
            <w:pPr>
              <w:rPr>
                <w:sz w:val="20"/>
                <w:szCs w:val="20"/>
              </w:rPr>
            </w:pPr>
            <w:r w:rsidRPr="00D76AE5">
              <w:rPr>
                <w:sz w:val="20"/>
                <w:szCs w:val="20"/>
              </w:rPr>
              <w:t>Dose</w:t>
            </w:r>
            <w:r w:rsidR="00D76AE5">
              <w:rPr>
                <w:sz w:val="20"/>
                <w:szCs w:val="20"/>
              </w:rPr>
              <w:t xml:space="preserve"> </w:t>
            </w:r>
            <w:r w:rsidRPr="00D76AE5">
              <w:rPr>
                <w:sz w:val="20"/>
                <w:szCs w:val="20"/>
              </w:rPr>
              <w:t>(mg/kg/day)</w:t>
            </w:r>
          </w:p>
        </w:tc>
        <w:tc>
          <w:tcPr>
            <w:tcW w:w="1607" w:type="dxa"/>
          </w:tcPr>
          <w:p w:rsidR="00CC0301" w:rsidRPr="00D76AE5" w:rsidRDefault="00926A16" w:rsidP="00D76AE5">
            <w:pPr>
              <w:rPr>
                <w:sz w:val="20"/>
                <w:szCs w:val="20"/>
              </w:rPr>
            </w:pPr>
            <w:r w:rsidRPr="00D76AE5">
              <w:rPr>
                <w:sz w:val="20"/>
                <w:szCs w:val="20"/>
              </w:rPr>
              <w:t>AUC</w:t>
            </w:r>
            <w:r w:rsidRPr="00D76AE5">
              <w:rPr>
                <w:sz w:val="20"/>
                <w:szCs w:val="20"/>
                <w:vertAlign w:val="subscript"/>
              </w:rPr>
              <w:t>0–24 h</w:t>
            </w:r>
            <w:r w:rsidR="00D76AE5">
              <w:rPr>
                <w:sz w:val="20"/>
                <w:szCs w:val="20"/>
                <w:vertAlign w:val="subscript"/>
              </w:rPr>
              <w:t xml:space="preserve"> </w:t>
            </w:r>
            <w:r w:rsidR="00CC0301" w:rsidRPr="00D76AE5">
              <w:rPr>
                <w:sz w:val="20"/>
                <w:szCs w:val="20"/>
              </w:rPr>
              <w:t>(</w:t>
            </w:r>
            <w:r w:rsidR="00913482" w:rsidRPr="00D76AE5">
              <w:rPr>
                <w:sz w:val="20"/>
                <w:szCs w:val="20"/>
              </w:rPr>
              <w:t>µg</w:t>
            </w:r>
            <w:r w:rsidR="00CC0301" w:rsidRPr="00D76AE5">
              <w:rPr>
                <w:sz w:val="20"/>
                <w:szCs w:val="20"/>
              </w:rPr>
              <w:t>∙h/mL)</w:t>
            </w:r>
          </w:p>
        </w:tc>
        <w:tc>
          <w:tcPr>
            <w:tcW w:w="1607" w:type="dxa"/>
          </w:tcPr>
          <w:p w:rsidR="00CC0301" w:rsidRPr="00D76AE5" w:rsidRDefault="00CC0301" w:rsidP="00D76AE5">
            <w:pPr>
              <w:rPr>
                <w:sz w:val="20"/>
                <w:szCs w:val="20"/>
              </w:rPr>
            </w:pPr>
            <w:r w:rsidRPr="00D76AE5">
              <w:rPr>
                <w:sz w:val="20"/>
                <w:szCs w:val="20"/>
              </w:rPr>
              <w:t>Exposure ratio#</w:t>
            </w:r>
          </w:p>
        </w:tc>
      </w:tr>
      <w:tr w:rsidR="00CC0301" w:rsidRPr="00CC0301" w:rsidTr="006F5529">
        <w:trPr>
          <w:trHeight w:val="228"/>
        </w:trPr>
        <w:tc>
          <w:tcPr>
            <w:tcW w:w="1741" w:type="dxa"/>
            <w:vMerge w:val="restart"/>
          </w:tcPr>
          <w:p w:rsidR="00CC0301" w:rsidRPr="00D76AE5" w:rsidRDefault="00CC0301" w:rsidP="00D76AE5">
            <w:pPr>
              <w:rPr>
                <w:sz w:val="20"/>
                <w:szCs w:val="20"/>
              </w:rPr>
            </w:pPr>
            <w:r w:rsidRPr="00D76AE5">
              <w:rPr>
                <w:sz w:val="20"/>
                <w:szCs w:val="20"/>
              </w:rPr>
              <w:t>Rat</w:t>
            </w:r>
            <w:r w:rsidR="00D76AE5">
              <w:rPr>
                <w:sz w:val="20"/>
                <w:szCs w:val="20"/>
              </w:rPr>
              <w:t xml:space="preserve"> </w:t>
            </w:r>
            <w:r w:rsidRPr="00D76AE5">
              <w:rPr>
                <w:sz w:val="20"/>
                <w:szCs w:val="20"/>
              </w:rPr>
              <w:t>(SD)</w:t>
            </w:r>
          </w:p>
        </w:tc>
        <w:tc>
          <w:tcPr>
            <w:tcW w:w="1740" w:type="dxa"/>
            <w:vMerge w:val="restart"/>
          </w:tcPr>
          <w:p w:rsidR="00CC0301" w:rsidRPr="00D76AE5" w:rsidRDefault="00CC0301" w:rsidP="00D76AE5">
            <w:pPr>
              <w:rPr>
                <w:sz w:val="20"/>
                <w:szCs w:val="20"/>
              </w:rPr>
            </w:pPr>
            <w:r w:rsidRPr="00D76AE5">
              <w:rPr>
                <w:sz w:val="20"/>
                <w:szCs w:val="20"/>
              </w:rPr>
              <w:t>Fertility</w:t>
            </w:r>
            <w:r w:rsidR="00D76AE5">
              <w:rPr>
                <w:sz w:val="20"/>
                <w:szCs w:val="20"/>
              </w:rPr>
              <w:t xml:space="preserve"> </w:t>
            </w:r>
            <w:r w:rsidRPr="00D76AE5">
              <w:rPr>
                <w:sz w:val="20"/>
                <w:szCs w:val="20"/>
              </w:rPr>
              <w:t>(R&amp;D/09/1012)</w:t>
            </w:r>
          </w:p>
        </w:tc>
        <w:tc>
          <w:tcPr>
            <w:tcW w:w="1607" w:type="dxa"/>
          </w:tcPr>
          <w:p w:rsidR="00CC0301" w:rsidRPr="00D76AE5" w:rsidRDefault="00CC0301" w:rsidP="00D76AE5">
            <w:pPr>
              <w:rPr>
                <w:sz w:val="20"/>
                <w:szCs w:val="20"/>
              </w:rPr>
            </w:pPr>
            <w:r w:rsidRPr="00D76AE5">
              <w:rPr>
                <w:sz w:val="20"/>
                <w:szCs w:val="20"/>
              </w:rPr>
              <w:t>30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34.7/60.0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2.5/4</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150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83.2/160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6/12</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400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162/250 (</w:t>
            </w:r>
            <w:r w:rsidR="005B05BF" w:rsidRPr="00D76AE5">
              <w:rPr>
                <w:rFonts w:ascii="Times New Roman" w:hAnsi="Times New Roman"/>
                <w:sz w:val="20"/>
                <w:szCs w:val="20"/>
              </w:rPr>
              <w:t>male</w:t>
            </w:r>
            <w:r w:rsidRPr="00D76AE5">
              <w:rPr>
                <w:sz w:val="20"/>
                <w:szCs w:val="20"/>
              </w:rPr>
              <w:t>/</w:t>
            </w:r>
            <w:r w:rsidR="005B05BF" w:rsidRPr="00D76AE5">
              <w:rPr>
                <w:rFonts w:ascii="Times New Roman" w:hAnsi="Times New Roman"/>
                <w:sz w:val="20"/>
                <w:szCs w:val="20"/>
              </w:rPr>
              <w:t>female</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12/18</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val="restart"/>
          </w:tcPr>
          <w:p w:rsidR="00CC0301" w:rsidRPr="00D76AE5" w:rsidRDefault="00CC0301" w:rsidP="00D76AE5">
            <w:pPr>
              <w:rPr>
                <w:sz w:val="20"/>
                <w:szCs w:val="20"/>
              </w:rPr>
            </w:pPr>
            <w:r w:rsidRPr="00D76AE5">
              <w:rPr>
                <w:sz w:val="20"/>
                <w:szCs w:val="20"/>
              </w:rPr>
              <w:t>Embryofetal development</w:t>
            </w:r>
            <w:r w:rsidR="00D76AE5">
              <w:rPr>
                <w:sz w:val="20"/>
                <w:szCs w:val="20"/>
              </w:rPr>
              <w:t xml:space="preserve"> </w:t>
            </w:r>
            <w:r w:rsidRPr="00D76AE5">
              <w:rPr>
                <w:sz w:val="20"/>
                <w:szCs w:val="20"/>
              </w:rPr>
              <w:t>(R&amp;D/09/105)</w:t>
            </w:r>
          </w:p>
        </w:tc>
        <w:tc>
          <w:tcPr>
            <w:tcW w:w="1607" w:type="dxa"/>
          </w:tcPr>
          <w:p w:rsidR="00CC0301" w:rsidRPr="00D76AE5" w:rsidRDefault="00CC0301" w:rsidP="00D76AE5">
            <w:pPr>
              <w:rPr>
                <w:sz w:val="20"/>
                <w:szCs w:val="20"/>
              </w:rPr>
            </w:pPr>
            <w:r w:rsidRPr="00D76AE5">
              <w:rPr>
                <w:sz w:val="20"/>
                <w:szCs w:val="20"/>
              </w:rPr>
              <w:t>30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59.1</w:t>
            </w:r>
          </w:p>
        </w:tc>
        <w:tc>
          <w:tcPr>
            <w:tcW w:w="1607" w:type="dxa"/>
          </w:tcPr>
          <w:p w:rsidR="00CC0301" w:rsidRPr="00D76AE5" w:rsidRDefault="00CC0301" w:rsidP="00D76AE5">
            <w:pPr>
              <w:rPr>
                <w:sz w:val="20"/>
                <w:szCs w:val="20"/>
              </w:rPr>
            </w:pPr>
            <w:r w:rsidRPr="00D76AE5">
              <w:rPr>
                <w:sz w:val="20"/>
                <w:szCs w:val="20"/>
              </w:rPr>
              <w:t>4</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150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212</w:t>
            </w:r>
          </w:p>
        </w:tc>
        <w:tc>
          <w:tcPr>
            <w:tcW w:w="1607" w:type="dxa"/>
          </w:tcPr>
          <w:p w:rsidR="00CC0301" w:rsidRPr="00D76AE5" w:rsidRDefault="00CC0301" w:rsidP="00D76AE5">
            <w:pPr>
              <w:rPr>
                <w:sz w:val="20"/>
                <w:szCs w:val="20"/>
              </w:rPr>
            </w:pPr>
            <w:r w:rsidRPr="00D76AE5">
              <w:rPr>
                <w:sz w:val="20"/>
                <w:szCs w:val="20"/>
              </w:rPr>
              <w:t>15</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400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329</w:t>
            </w:r>
          </w:p>
        </w:tc>
        <w:tc>
          <w:tcPr>
            <w:tcW w:w="1607" w:type="dxa"/>
          </w:tcPr>
          <w:p w:rsidR="00CC0301" w:rsidRPr="00D76AE5" w:rsidRDefault="00CC0301" w:rsidP="00D76AE5">
            <w:pPr>
              <w:rPr>
                <w:sz w:val="20"/>
                <w:szCs w:val="20"/>
              </w:rPr>
            </w:pPr>
            <w:r w:rsidRPr="00D76AE5">
              <w:rPr>
                <w:sz w:val="20"/>
                <w:szCs w:val="20"/>
              </w:rPr>
              <w:t>24</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val="restart"/>
          </w:tcPr>
          <w:p w:rsidR="00CC0301" w:rsidRPr="00D76AE5" w:rsidRDefault="00CC0301" w:rsidP="00D76AE5">
            <w:pPr>
              <w:rPr>
                <w:sz w:val="20"/>
                <w:szCs w:val="20"/>
              </w:rPr>
            </w:pPr>
            <w:r w:rsidRPr="00D76AE5">
              <w:rPr>
                <w:sz w:val="20"/>
                <w:szCs w:val="20"/>
              </w:rPr>
              <w:t>Pre-/postnatal development</w:t>
            </w:r>
            <w:r w:rsidR="00D76AE5">
              <w:rPr>
                <w:sz w:val="20"/>
                <w:szCs w:val="20"/>
              </w:rPr>
              <w:t xml:space="preserve"> </w:t>
            </w:r>
            <w:r w:rsidRPr="00D76AE5">
              <w:rPr>
                <w:sz w:val="20"/>
                <w:szCs w:val="20"/>
              </w:rPr>
              <w:t>(R&amp;D/12/272)</w:t>
            </w:r>
          </w:p>
        </w:tc>
        <w:tc>
          <w:tcPr>
            <w:tcW w:w="1607" w:type="dxa"/>
          </w:tcPr>
          <w:p w:rsidR="00CC0301" w:rsidRPr="00D76AE5" w:rsidRDefault="00CC0301" w:rsidP="00D76AE5">
            <w:pPr>
              <w:rPr>
                <w:sz w:val="20"/>
                <w:szCs w:val="20"/>
              </w:rPr>
            </w:pPr>
            <w:r w:rsidRPr="00D76AE5">
              <w:rPr>
                <w:sz w:val="20"/>
                <w:szCs w:val="20"/>
              </w:rPr>
              <w:t>25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76.3</w:t>
            </w:r>
          </w:p>
        </w:tc>
        <w:tc>
          <w:tcPr>
            <w:tcW w:w="1607" w:type="dxa"/>
          </w:tcPr>
          <w:p w:rsidR="00CC0301" w:rsidRPr="00D76AE5" w:rsidRDefault="00CC0301" w:rsidP="00D76AE5">
            <w:pPr>
              <w:rPr>
                <w:sz w:val="20"/>
                <w:szCs w:val="20"/>
              </w:rPr>
            </w:pPr>
            <w:r w:rsidRPr="00D76AE5">
              <w:rPr>
                <w:sz w:val="20"/>
                <w:szCs w:val="20"/>
              </w:rPr>
              <w:t>6</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100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223</w:t>
            </w:r>
          </w:p>
        </w:tc>
        <w:tc>
          <w:tcPr>
            <w:tcW w:w="1607" w:type="dxa"/>
          </w:tcPr>
          <w:p w:rsidR="00CC0301" w:rsidRPr="00D76AE5" w:rsidRDefault="00CC0301" w:rsidP="00D76AE5">
            <w:pPr>
              <w:rPr>
                <w:sz w:val="20"/>
                <w:szCs w:val="20"/>
              </w:rPr>
            </w:pPr>
            <w:r w:rsidRPr="00D76AE5">
              <w:rPr>
                <w:sz w:val="20"/>
                <w:szCs w:val="20"/>
              </w:rPr>
              <w:t>16</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400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302</w:t>
            </w:r>
          </w:p>
        </w:tc>
        <w:tc>
          <w:tcPr>
            <w:tcW w:w="1607" w:type="dxa"/>
          </w:tcPr>
          <w:p w:rsidR="00CC0301" w:rsidRPr="00D76AE5" w:rsidRDefault="00CC0301" w:rsidP="00D76AE5">
            <w:pPr>
              <w:rPr>
                <w:sz w:val="20"/>
                <w:szCs w:val="20"/>
              </w:rPr>
            </w:pPr>
            <w:r w:rsidRPr="00D76AE5">
              <w:rPr>
                <w:sz w:val="20"/>
                <w:szCs w:val="20"/>
              </w:rPr>
              <w:t>22</w:t>
            </w:r>
          </w:p>
        </w:tc>
      </w:tr>
      <w:tr w:rsidR="00CC0301" w:rsidRPr="00CC0301" w:rsidTr="006F5529">
        <w:trPr>
          <w:trHeight w:val="228"/>
        </w:trPr>
        <w:tc>
          <w:tcPr>
            <w:tcW w:w="1741" w:type="dxa"/>
            <w:vMerge w:val="restart"/>
          </w:tcPr>
          <w:p w:rsidR="00CC0301" w:rsidRPr="00D76AE5" w:rsidRDefault="00CC0301" w:rsidP="00D76AE5">
            <w:pPr>
              <w:rPr>
                <w:sz w:val="20"/>
                <w:szCs w:val="20"/>
              </w:rPr>
            </w:pPr>
            <w:r w:rsidRPr="00D76AE5">
              <w:rPr>
                <w:sz w:val="20"/>
                <w:szCs w:val="20"/>
              </w:rPr>
              <w:t>Rabbit</w:t>
            </w:r>
            <w:r w:rsidR="00D76AE5">
              <w:rPr>
                <w:sz w:val="20"/>
                <w:szCs w:val="20"/>
              </w:rPr>
              <w:t xml:space="preserve"> </w:t>
            </w:r>
            <w:r w:rsidRPr="00D76AE5">
              <w:rPr>
                <w:sz w:val="20"/>
                <w:szCs w:val="20"/>
              </w:rPr>
              <w:t>(NZW)</w:t>
            </w:r>
          </w:p>
        </w:tc>
        <w:tc>
          <w:tcPr>
            <w:tcW w:w="1740" w:type="dxa"/>
            <w:vMerge w:val="restart"/>
          </w:tcPr>
          <w:p w:rsidR="00CC0301" w:rsidRPr="00D76AE5" w:rsidRDefault="00CC0301" w:rsidP="00D76AE5">
            <w:pPr>
              <w:rPr>
                <w:sz w:val="20"/>
                <w:szCs w:val="20"/>
              </w:rPr>
            </w:pPr>
            <w:r w:rsidRPr="00D76AE5">
              <w:rPr>
                <w:sz w:val="20"/>
                <w:szCs w:val="20"/>
              </w:rPr>
              <w:t>Embryofetal development</w:t>
            </w:r>
            <w:r w:rsidR="00D76AE5">
              <w:rPr>
                <w:sz w:val="20"/>
                <w:szCs w:val="20"/>
              </w:rPr>
              <w:t xml:space="preserve"> </w:t>
            </w:r>
            <w:r w:rsidRPr="00D76AE5">
              <w:rPr>
                <w:sz w:val="20"/>
                <w:szCs w:val="20"/>
              </w:rPr>
              <w:t>(R&amp;D/09/104)</w:t>
            </w:r>
          </w:p>
        </w:tc>
        <w:tc>
          <w:tcPr>
            <w:tcW w:w="1607" w:type="dxa"/>
          </w:tcPr>
          <w:p w:rsidR="00CC0301" w:rsidRPr="00D76AE5" w:rsidRDefault="00CC0301" w:rsidP="00D76AE5">
            <w:pPr>
              <w:rPr>
                <w:sz w:val="20"/>
                <w:szCs w:val="20"/>
              </w:rPr>
            </w:pPr>
            <w:r w:rsidRPr="00D76AE5">
              <w:rPr>
                <w:sz w:val="20"/>
                <w:szCs w:val="20"/>
              </w:rPr>
              <w:t>100</w:t>
            </w:r>
          </w:p>
        </w:tc>
        <w:tc>
          <w:tcPr>
            <w:tcW w:w="1607" w:type="dxa"/>
          </w:tcPr>
          <w:p w:rsidR="00CC0301" w:rsidRPr="00D76AE5" w:rsidRDefault="00CC0301" w:rsidP="00D76AE5">
            <w:pPr>
              <w:rPr>
                <w:sz w:val="20"/>
                <w:szCs w:val="20"/>
              </w:rPr>
            </w:pPr>
            <w:r w:rsidRPr="00D76AE5">
              <w:rPr>
                <w:sz w:val="20"/>
                <w:szCs w:val="20"/>
              </w:rPr>
              <w:t>23.8</w:t>
            </w:r>
          </w:p>
        </w:tc>
        <w:tc>
          <w:tcPr>
            <w:tcW w:w="1607" w:type="dxa"/>
          </w:tcPr>
          <w:p w:rsidR="00CC0301" w:rsidRPr="00D76AE5" w:rsidRDefault="00CC0301" w:rsidP="00D76AE5">
            <w:pPr>
              <w:rPr>
                <w:sz w:val="20"/>
                <w:szCs w:val="20"/>
              </w:rPr>
            </w:pPr>
            <w:r w:rsidRPr="00D76AE5">
              <w:rPr>
                <w:sz w:val="20"/>
                <w:szCs w:val="20"/>
              </w:rPr>
              <w:t>1.7</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200</w:t>
            </w:r>
          </w:p>
        </w:tc>
        <w:tc>
          <w:tcPr>
            <w:tcW w:w="1607" w:type="dxa"/>
          </w:tcPr>
          <w:p w:rsidR="00CC0301" w:rsidRPr="00D76AE5" w:rsidRDefault="00CC0301" w:rsidP="00D76AE5">
            <w:pPr>
              <w:rPr>
                <w:sz w:val="20"/>
                <w:szCs w:val="20"/>
              </w:rPr>
            </w:pPr>
            <w:r w:rsidRPr="00D76AE5">
              <w:rPr>
                <w:sz w:val="20"/>
                <w:szCs w:val="20"/>
              </w:rPr>
              <w:t>37.1</w:t>
            </w:r>
          </w:p>
        </w:tc>
        <w:tc>
          <w:tcPr>
            <w:tcW w:w="1607" w:type="dxa"/>
          </w:tcPr>
          <w:p w:rsidR="00CC0301" w:rsidRPr="00D76AE5" w:rsidRDefault="00CC0301" w:rsidP="00D76AE5">
            <w:pPr>
              <w:rPr>
                <w:sz w:val="20"/>
                <w:szCs w:val="20"/>
              </w:rPr>
            </w:pPr>
            <w:r w:rsidRPr="00D76AE5">
              <w:rPr>
                <w:sz w:val="20"/>
                <w:szCs w:val="20"/>
              </w:rPr>
              <w:t>3</w:t>
            </w:r>
          </w:p>
        </w:tc>
      </w:tr>
      <w:tr w:rsidR="00CC0301" w:rsidRPr="00CC0301" w:rsidTr="006F5529">
        <w:trPr>
          <w:trHeight w:val="228"/>
        </w:trPr>
        <w:tc>
          <w:tcPr>
            <w:tcW w:w="1741" w:type="dxa"/>
            <w:vMerge/>
          </w:tcPr>
          <w:p w:rsidR="00CC0301" w:rsidRPr="00D76AE5" w:rsidRDefault="00CC0301" w:rsidP="00D76AE5">
            <w:pPr>
              <w:rPr>
                <w:sz w:val="20"/>
                <w:szCs w:val="20"/>
              </w:rPr>
            </w:pPr>
          </w:p>
        </w:tc>
        <w:tc>
          <w:tcPr>
            <w:tcW w:w="1740" w:type="dxa"/>
            <w:vMerge/>
          </w:tcPr>
          <w:p w:rsidR="00CC0301" w:rsidRPr="00D76AE5" w:rsidRDefault="00CC0301" w:rsidP="00D76AE5">
            <w:pPr>
              <w:rPr>
                <w:sz w:val="20"/>
                <w:szCs w:val="20"/>
              </w:rPr>
            </w:pPr>
          </w:p>
        </w:tc>
        <w:tc>
          <w:tcPr>
            <w:tcW w:w="1607" w:type="dxa"/>
          </w:tcPr>
          <w:p w:rsidR="00CC0301" w:rsidRPr="00D76AE5" w:rsidRDefault="00CC0301" w:rsidP="00D76AE5">
            <w:pPr>
              <w:rPr>
                <w:sz w:val="20"/>
                <w:szCs w:val="20"/>
              </w:rPr>
            </w:pPr>
            <w:r w:rsidRPr="00D76AE5">
              <w:rPr>
                <w:sz w:val="20"/>
                <w:szCs w:val="20"/>
              </w:rPr>
              <w:t>400</w:t>
            </w:r>
          </w:p>
        </w:tc>
        <w:tc>
          <w:tcPr>
            <w:tcW w:w="1607" w:type="dxa"/>
          </w:tcPr>
          <w:p w:rsidR="00CC0301" w:rsidRPr="00D76AE5" w:rsidRDefault="00CC0301" w:rsidP="00D76AE5">
            <w:pPr>
              <w:rPr>
                <w:sz w:val="20"/>
                <w:szCs w:val="20"/>
              </w:rPr>
            </w:pPr>
            <w:r w:rsidRPr="00D76AE5">
              <w:rPr>
                <w:sz w:val="20"/>
                <w:szCs w:val="20"/>
              </w:rPr>
              <w:t>83.5</w:t>
            </w:r>
          </w:p>
        </w:tc>
        <w:tc>
          <w:tcPr>
            <w:tcW w:w="1607" w:type="dxa"/>
          </w:tcPr>
          <w:p w:rsidR="00CC0301" w:rsidRPr="00D76AE5" w:rsidRDefault="00CC0301" w:rsidP="00D76AE5">
            <w:pPr>
              <w:rPr>
                <w:sz w:val="20"/>
                <w:szCs w:val="20"/>
              </w:rPr>
            </w:pPr>
            <w:r w:rsidRPr="00D76AE5">
              <w:rPr>
                <w:sz w:val="20"/>
                <w:szCs w:val="20"/>
              </w:rPr>
              <w:t>6</w:t>
            </w:r>
          </w:p>
        </w:tc>
      </w:tr>
      <w:tr w:rsidR="00CC0301" w:rsidRPr="00CC0301" w:rsidTr="006F5529">
        <w:trPr>
          <w:trHeight w:val="228"/>
        </w:trPr>
        <w:tc>
          <w:tcPr>
            <w:tcW w:w="1741" w:type="dxa"/>
          </w:tcPr>
          <w:p w:rsidR="00CC0301" w:rsidRPr="00D76AE5" w:rsidRDefault="00CC0301" w:rsidP="00D76AE5">
            <w:pPr>
              <w:rPr>
                <w:sz w:val="20"/>
                <w:szCs w:val="20"/>
              </w:rPr>
            </w:pPr>
            <w:r w:rsidRPr="00D76AE5">
              <w:rPr>
                <w:sz w:val="20"/>
                <w:szCs w:val="20"/>
              </w:rPr>
              <w:t>Human</w:t>
            </w:r>
            <w:r w:rsidR="00D76AE5">
              <w:rPr>
                <w:sz w:val="20"/>
                <w:szCs w:val="20"/>
              </w:rPr>
              <w:t xml:space="preserve"> </w:t>
            </w:r>
            <w:r w:rsidRPr="00D76AE5">
              <w:rPr>
                <w:sz w:val="20"/>
                <w:szCs w:val="20"/>
              </w:rPr>
              <w:t>(healthy volunteers)</w:t>
            </w:r>
          </w:p>
        </w:tc>
        <w:tc>
          <w:tcPr>
            <w:tcW w:w="1740" w:type="dxa"/>
          </w:tcPr>
          <w:p w:rsidR="00CC0301" w:rsidRPr="00D76AE5" w:rsidRDefault="00CC0301" w:rsidP="00D76AE5">
            <w:pPr>
              <w:rPr>
                <w:sz w:val="20"/>
                <w:szCs w:val="20"/>
              </w:rPr>
            </w:pPr>
            <w:r w:rsidRPr="00D76AE5">
              <w:rPr>
                <w:sz w:val="20"/>
                <w:szCs w:val="20"/>
              </w:rPr>
              <w:t>steady state</w:t>
            </w:r>
          </w:p>
        </w:tc>
        <w:tc>
          <w:tcPr>
            <w:tcW w:w="1607" w:type="dxa"/>
          </w:tcPr>
          <w:p w:rsidR="00CC0301" w:rsidRPr="00D76AE5" w:rsidRDefault="00CC0301" w:rsidP="00D76AE5">
            <w:pPr>
              <w:rPr>
                <w:sz w:val="20"/>
                <w:szCs w:val="20"/>
              </w:rPr>
            </w:pPr>
            <w:r w:rsidRPr="00D76AE5">
              <w:rPr>
                <w:sz w:val="20"/>
                <w:szCs w:val="20"/>
              </w:rPr>
              <w:t xml:space="preserve">[250 mg </w:t>
            </w:r>
            <w:r w:rsidR="000E1719" w:rsidRPr="00D76AE5">
              <w:rPr>
                <w:sz w:val="20"/>
                <w:szCs w:val="20"/>
              </w:rPr>
              <w:t>BD</w:t>
            </w:r>
            <w:r w:rsidRPr="00D76AE5">
              <w:rPr>
                <w:sz w:val="20"/>
                <w:szCs w:val="20"/>
              </w:rPr>
              <w:t>]</w:t>
            </w:r>
          </w:p>
        </w:tc>
        <w:tc>
          <w:tcPr>
            <w:tcW w:w="1607" w:type="dxa"/>
          </w:tcPr>
          <w:p w:rsidR="00CC0301" w:rsidRPr="00D76AE5" w:rsidRDefault="00CC0301" w:rsidP="00D76AE5">
            <w:pPr>
              <w:rPr>
                <w:sz w:val="20"/>
                <w:szCs w:val="20"/>
              </w:rPr>
            </w:pPr>
            <w:r w:rsidRPr="00D76AE5">
              <w:rPr>
                <w:sz w:val="20"/>
                <w:szCs w:val="20"/>
              </w:rPr>
              <w:t>13.7</w:t>
            </w:r>
          </w:p>
        </w:tc>
        <w:tc>
          <w:tcPr>
            <w:tcW w:w="1607" w:type="dxa"/>
          </w:tcPr>
          <w:p w:rsidR="00CC0301" w:rsidRPr="00D76AE5" w:rsidRDefault="00CC0301" w:rsidP="00D76AE5">
            <w:pPr>
              <w:rPr>
                <w:sz w:val="20"/>
                <w:szCs w:val="20"/>
              </w:rPr>
            </w:pPr>
            <w:r w:rsidRPr="00D76AE5">
              <w:rPr>
                <w:sz w:val="20"/>
                <w:szCs w:val="20"/>
              </w:rPr>
              <w:t>–</w:t>
            </w:r>
          </w:p>
        </w:tc>
      </w:tr>
    </w:tbl>
    <w:p w:rsidR="00A26E99" w:rsidRDefault="00CC0301" w:rsidP="00CC0301">
      <w:pPr>
        <w:pStyle w:val="TableDescription"/>
      </w:pPr>
      <w:r w:rsidRPr="00CC0301">
        <w:t>#</w:t>
      </w:r>
      <w:r w:rsidR="00BF1FC5">
        <w:t xml:space="preserve"> = </w:t>
      </w:r>
      <w:r w:rsidRPr="00CC0301">
        <w:t>animal:</w:t>
      </w:r>
      <w:r w:rsidR="001B21A9">
        <w:t xml:space="preserve"> </w:t>
      </w:r>
      <w:r w:rsidRPr="00CC0301">
        <w:t xml:space="preserve">human plasma </w:t>
      </w:r>
      <w:r w:rsidR="00926A16" w:rsidRPr="00CC0301">
        <w:t>AUC</w:t>
      </w:r>
      <w:r w:rsidR="00926A16" w:rsidRPr="00926A16">
        <w:rPr>
          <w:vertAlign w:val="subscript"/>
        </w:rPr>
        <w:t>0–24 h</w:t>
      </w:r>
    </w:p>
    <w:p w:rsidR="00CC0301" w:rsidRPr="00CC0301" w:rsidRDefault="00CC0301" w:rsidP="00CC0301">
      <w:r w:rsidRPr="00CC0301">
        <w:lastRenderedPageBreak/>
        <w:t xml:space="preserve">Transfer of </w:t>
      </w:r>
      <w:r w:rsidR="009F7EDA">
        <w:t>drug related</w:t>
      </w:r>
      <w:r w:rsidRPr="00CC0301">
        <w:t xml:space="preserve"> material into milk was shown to be very high in lactating rats (exposures to dasabuvir were similar in milk and maternal blood). The metabolite profile was similar to that in blood. Dasabuvir was d</w:t>
      </w:r>
      <w:r w:rsidR="00926A16">
        <w:t xml:space="preserve">etected in the plasma of breast </w:t>
      </w:r>
      <w:r w:rsidRPr="00CC0301">
        <w:t>fed pups with plasma levels 10</w:t>
      </w:r>
      <w:r w:rsidR="00926A16">
        <w:t xml:space="preserve"> to </w:t>
      </w:r>
      <w:r w:rsidRPr="00CC0301">
        <w:t>16% of maternal plasma levels. Nonetheless, no adverse effects on gestation length, parturition or postnatal development were evident in rats at high doses (</w:t>
      </w:r>
      <w:r w:rsidR="00AE29C4">
        <w:t xml:space="preserve">≤ </w:t>
      </w:r>
      <w:r w:rsidRPr="00CC0301">
        <w:t xml:space="preserve">400 mg/kg </w:t>
      </w:r>
      <w:r w:rsidR="000E1719">
        <w:t>BD</w:t>
      </w:r>
      <w:r w:rsidRPr="00CC0301">
        <w:t xml:space="preserve"> PO dasabuvir; ERAUC 22).</w:t>
      </w:r>
    </w:p>
    <w:p w:rsidR="00CC0301" w:rsidRPr="00CC0301" w:rsidRDefault="00CC0301" w:rsidP="00CC0301">
      <w:pPr>
        <w:pStyle w:val="Heading5"/>
      </w:pPr>
      <w:r w:rsidRPr="00CC0301">
        <w:t>Pregnancy classification</w:t>
      </w:r>
      <w:r w:rsidR="00926A16">
        <w:t xml:space="preserve"> - dasabuvir</w:t>
      </w:r>
    </w:p>
    <w:p w:rsidR="00CC0301" w:rsidRPr="00CC0301" w:rsidRDefault="00CC0301" w:rsidP="00CC0301">
      <w:r w:rsidRPr="00CC0301">
        <w:t xml:space="preserve">The sponsor has proposed Pregnancy Category B1 for Viekira </w:t>
      </w:r>
      <w:r w:rsidR="000C3156">
        <w:t>Pak</w:t>
      </w:r>
      <w:r w:rsidRPr="00CC0301">
        <w:t xml:space="preserve"> (which lacks ribavirin). This pregnancy category is consistent with the absence of any </w:t>
      </w:r>
      <w:r w:rsidR="009F7EDA">
        <w:t>drug related</w:t>
      </w:r>
      <w:r w:rsidRPr="00CC0301">
        <w:t xml:space="preserve"> findings in adequately conducted reproductive toxicity studies with dasabuvir. However, embryofetal development studies with paritaprevir, ritonavir and ombitasvir will also need to be considered to determine if this category is applicable. The sponsor has proposed Pregnancy Category X for Viekira </w:t>
      </w:r>
      <w:r w:rsidR="000C3156">
        <w:t>Pak</w:t>
      </w:r>
      <w:r w:rsidRPr="00CC0301">
        <w:t>-RBV. This is consistent with the pregnancy category for ribavirin</w:t>
      </w:r>
      <w:r w:rsidR="00926A16">
        <w:t xml:space="preserve"> and is considered appropriate.</w:t>
      </w:r>
    </w:p>
    <w:p w:rsidR="00CC0301" w:rsidRPr="00CC0301" w:rsidRDefault="00CC0301" w:rsidP="00CC0301">
      <w:pPr>
        <w:pStyle w:val="Heading4"/>
      </w:pPr>
      <w:r w:rsidRPr="00CC0301">
        <w:t>Phototoxicity</w:t>
      </w:r>
    </w:p>
    <w:p w:rsidR="00CC0301" w:rsidRPr="00CC0301" w:rsidRDefault="00CC0301" w:rsidP="00CC0301">
      <w:r w:rsidRPr="00CC0301">
        <w:t xml:space="preserve">The nonclinical overview states that dasabuvir absorbs light between 290 and 700 nm, with a maximal molar extinction coefficient of 1.9 </w:t>
      </w:r>
      <w:r w:rsidR="00926A16">
        <w:t>x</w:t>
      </w:r>
      <w:r w:rsidRPr="00CC0301">
        <w:t xml:space="preserve"> 10</w:t>
      </w:r>
      <w:r w:rsidRPr="005056D0">
        <w:rPr>
          <w:vertAlign w:val="superscript"/>
        </w:rPr>
        <w:t>4</w:t>
      </w:r>
      <w:r w:rsidRPr="00CC0301">
        <w:t xml:space="preserve"> M</w:t>
      </w:r>
      <w:r w:rsidRPr="005056D0">
        <w:rPr>
          <w:vertAlign w:val="superscript"/>
        </w:rPr>
        <w:t>-1</w:t>
      </w:r>
      <w:r w:rsidRPr="00CC0301">
        <w:t>cm</w:t>
      </w:r>
      <w:r w:rsidRPr="005056D0">
        <w:rPr>
          <w:vertAlign w:val="superscript"/>
        </w:rPr>
        <w:t>-1</w:t>
      </w:r>
      <w:r w:rsidRPr="00CC0301">
        <w:t xml:space="preserve"> at 290 nm, which exceeds the threshold cited in </w:t>
      </w:r>
      <w:r w:rsidRPr="006F5529">
        <w:t>ICH S10</w:t>
      </w:r>
      <w:r w:rsidR="003566FC">
        <w:t xml:space="preserve">. </w:t>
      </w:r>
      <w:r w:rsidR="003566FC" w:rsidRPr="009E2121">
        <w:rPr>
          <w:vertAlign w:val="superscript"/>
        </w:rPr>
        <w:fldChar w:fldCharType="begin"/>
      </w:r>
      <w:r w:rsidR="003566FC" w:rsidRPr="009E2121">
        <w:rPr>
          <w:vertAlign w:val="superscript"/>
        </w:rPr>
        <w:instrText xml:space="preserve"> NOTEREF _Ref471974969 \h  \* MERGEFORMAT </w:instrText>
      </w:r>
      <w:r w:rsidR="003566FC" w:rsidRPr="009E2121">
        <w:rPr>
          <w:vertAlign w:val="superscript"/>
        </w:rPr>
      </w:r>
      <w:r w:rsidR="003566FC" w:rsidRPr="009E2121">
        <w:rPr>
          <w:vertAlign w:val="superscript"/>
        </w:rPr>
        <w:fldChar w:fldCharType="separate"/>
      </w:r>
      <w:r w:rsidR="003566FC" w:rsidRPr="009E2121">
        <w:rPr>
          <w:vertAlign w:val="superscript"/>
        </w:rPr>
        <w:t>25</w:t>
      </w:r>
      <w:r w:rsidR="003566FC" w:rsidRPr="009E2121">
        <w:rPr>
          <w:vertAlign w:val="superscript"/>
        </w:rPr>
        <w:fldChar w:fldCharType="end"/>
      </w:r>
      <w:r w:rsidR="005056D0" w:rsidRPr="006F5529">
        <w:t xml:space="preserve"> </w:t>
      </w:r>
      <w:r w:rsidRPr="006F5529">
        <w:t>In the</w:t>
      </w:r>
      <w:r w:rsidRPr="00CC0301">
        <w:t xml:space="preserve"> tissue distribution study in pigmented rats, there was no specific retention or affinity in skin that could be attributed to melanin, though the elimination half-life was longer than that in blood (and some other tissues). Skin levels of </w:t>
      </w:r>
      <w:r w:rsidR="009F7EDA">
        <w:t>drug related</w:t>
      </w:r>
      <w:r w:rsidRPr="00CC0301">
        <w:t xml:space="preserve"> material were similar to blood levels. However, phototoxic reactions with dasabuvir cannot be ruled out. As a minimum, the </w:t>
      </w:r>
      <w:r w:rsidR="00926A16">
        <w:t>sponsor</w:t>
      </w:r>
      <w:r w:rsidRPr="00CC0301">
        <w:t xml:space="preserve"> should have conducted an in vitro assay to assess the phototoxic potential of </w:t>
      </w:r>
      <w:r w:rsidR="005056D0">
        <w:t>dasabuvir</w:t>
      </w:r>
      <w:r w:rsidRPr="00CC0301">
        <w:t>.</w:t>
      </w:r>
    </w:p>
    <w:p w:rsidR="00CC0301" w:rsidRPr="00CC0301" w:rsidRDefault="00CC0301" w:rsidP="00CC0301">
      <w:pPr>
        <w:pStyle w:val="Heading4"/>
      </w:pPr>
      <w:r w:rsidRPr="00CC0301">
        <w:t>Impurities</w:t>
      </w:r>
      <w:r w:rsidR="005056D0">
        <w:t xml:space="preserve"> – dasabuvir</w:t>
      </w:r>
    </w:p>
    <w:p w:rsidR="00CC0301" w:rsidRPr="00CC0301" w:rsidRDefault="00CC0301" w:rsidP="00CC0301">
      <w:r w:rsidRPr="00CC0301">
        <w:t>The proposed specifications for impurities in the drug substance have been adequately qualified. There are no degradants in the drug product requiring qualification.</w:t>
      </w:r>
    </w:p>
    <w:p w:rsidR="00CC0301" w:rsidRPr="00CC0301" w:rsidRDefault="00CC0301" w:rsidP="00CC0301">
      <w:pPr>
        <w:pStyle w:val="Heading4"/>
      </w:pPr>
      <w:r w:rsidRPr="00CC0301">
        <w:t>Paediatric use</w:t>
      </w:r>
      <w:r w:rsidR="005056D0">
        <w:t xml:space="preserve"> - dasabuvir</w:t>
      </w:r>
    </w:p>
    <w:p w:rsidR="00CC0301" w:rsidRPr="00CC0301" w:rsidRDefault="00CC0301" w:rsidP="00CC0301">
      <w:r w:rsidRPr="00CC0301">
        <w:t>No specific studies in juvenile animals were submitted.</w:t>
      </w:r>
    </w:p>
    <w:p w:rsidR="00CC0301" w:rsidRPr="00CC0301" w:rsidRDefault="00CC0301" w:rsidP="00CC0301">
      <w:bookmarkStart w:id="99" w:name="_Toc295290868"/>
      <w:bookmarkStart w:id="100" w:name="_Toc415146788"/>
      <w:r w:rsidRPr="00CC0301">
        <w:t xml:space="preserve">Comments on the </w:t>
      </w:r>
      <w:r w:rsidR="005056D0" w:rsidRPr="00CC0301">
        <w:t>safety specification of the risk management plan</w:t>
      </w:r>
      <w:bookmarkEnd w:id="99"/>
      <w:bookmarkEnd w:id="100"/>
    </w:p>
    <w:p w:rsidR="00CC0301" w:rsidRPr="00CC0301" w:rsidRDefault="00CC0301" w:rsidP="00CC0301">
      <w:r w:rsidRPr="00CC0301">
        <w:t>Results and conclusions drawn from the nonclinical program</w:t>
      </w:r>
      <w:r w:rsidR="005056D0">
        <w:t xml:space="preserve"> for dasabuvir detailed in the nonclinical safety s</w:t>
      </w:r>
      <w:r w:rsidRPr="00CC0301">
        <w:t>pecification of the spons</w:t>
      </w:r>
      <w:r w:rsidR="005056D0">
        <w:t>or’s draft risk management plan</w:t>
      </w:r>
      <w:r w:rsidR="005056D0" w:rsidRPr="00CC0301">
        <w:t xml:space="preserve"> </w:t>
      </w:r>
      <w:r w:rsidRPr="00CC0301">
        <w:t xml:space="preserve">are in general concordance with those of the </w:t>
      </w:r>
      <w:r w:rsidR="005056D0">
        <w:t>nonclinical e</w:t>
      </w:r>
      <w:r w:rsidRPr="00CC0301">
        <w:t>valuator. However, a discussion of the pulmonary findings observed in the pivotal 6 month repeat-dose toxicity study in rats appears to have been omitted. References to alveolar histiocytosis in rats and its potential clinical relevance should be discussed in this section.</w:t>
      </w:r>
    </w:p>
    <w:p w:rsidR="00475C4E" w:rsidRDefault="00475C4E" w:rsidP="00475C4E">
      <w:pPr>
        <w:pStyle w:val="Heading3"/>
      </w:pPr>
      <w:bookmarkStart w:id="101" w:name="_Toc480811573"/>
      <w:r>
        <w:t>Nonclinical summary and conclusions</w:t>
      </w:r>
      <w:r w:rsidR="0098169C">
        <w:t xml:space="preserve"> - </w:t>
      </w:r>
      <w:r w:rsidR="005056D0">
        <w:t>d</w:t>
      </w:r>
      <w:r w:rsidR="0098169C" w:rsidRPr="00DA5815">
        <w:t>asabuvir</w:t>
      </w:r>
      <w:bookmarkEnd w:id="101"/>
    </w:p>
    <w:p w:rsidR="00E62596" w:rsidRPr="00E62596" w:rsidRDefault="00E62596" w:rsidP="00E62596">
      <w:pPr>
        <w:pStyle w:val="ListBullet"/>
      </w:pPr>
      <w:r w:rsidRPr="00E62596">
        <w:t xml:space="preserve">The overall quality of the submitted dossier for the dasabuvir component of Viekira </w:t>
      </w:r>
      <w:r w:rsidR="000C3156">
        <w:t>Pak</w:t>
      </w:r>
      <w:r w:rsidRPr="00E62596">
        <w:t xml:space="preserve"> and Viekira </w:t>
      </w:r>
      <w:r w:rsidR="000C3156">
        <w:t>Pak</w:t>
      </w:r>
      <w:r w:rsidRPr="00E62596">
        <w:t>-RBV was high. All pivotal safety studies were conducted under GLP conditions.</w:t>
      </w:r>
    </w:p>
    <w:p w:rsidR="00E62596" w:rsidRPr="00E62596" w:rsidRDefault="00E62596" w:rsidP="00E62596">
      <w:pPr>
        <w:pStyle w:val="ListBullet"/>
      </w:pPr>
      <w:r w:rsidRPr="00E62596">
        <w:t>In vitro, dasabuvir inhibited the activity of NS5B polymerase from HCV strains of genotypes 1a and 1b with nanomolar potency and inhibited the replication of these strains in subgenomic HCV replicon assays. The M1 metabolite of dasabuvir had 30</w:t>
      </w:r>
      <w:r w:rsidR="00926A16">
        <w:t xml:space="preserve"> to </w:t>
      </w:r>
      <w:r w:rsidRPr="00E62596">
        <w:t xml:space="preserve">40% lower potency than dasabuvir. Dasabuvir had lower potency at polymerases from </w:t>
      </w:r>
      <w:r w:rsidRPr="00E62596">
        <w:lastRenderedPageBreak/>
        <w:t>other HCV genotypes (2a, 2b, 3a and 4a) and is unlikely to be active against these genotypes at the proposed clinical dose.</w:t>
      </w:r>
    </w:p>
    <w:p w:rsidR="00E62596" w:rsidRPr="00E62596" w:rsidRDefault="00E62596" w:rsidP="00E62596">
      <w:pPr>
        <w:pStyle w:val="ListBullet"/>
      </w:pPr>
      <w:r w:rsidRPr="00E62596">
        <w:t>Mutations at C316, S368, A395, N411, M414, E446 (genotype 1a only), Y448, A553, G554, S556 or D559 (or combinations of these) in NS5B conferred</w:t>
      </w:r>
      <w:r w:rsidR="005056D0">
        <w:t xml:space="preserve"> resistance to dasabuvir. Cross </w:t>
      </w:r>
      <w:r w:rsidRPr="00E62596">
        <w:t>resistance may be seen with some other non</w:t>
      </w:r>
      <w:r w:rsidR="005056D0">
        <w:t xml:space="preserve">nucleoside inhibitors but cross </w:t>
      </w:r>
      <w:r w:rsidRPr="00E62596">
        <w:t>resistance with nucleoside inhibitors may be unlikely.</w:t>
      </w:r>
    </w:p>
    <w:p w:rsidR="00E62596" w:rsidRPr="00E62596" w:rsidRDefault="00E62596" w:rsidP="00E62596">
      <w:pPr>
        <w:pStyle w:val="ListBullet"/>
      </w:pPr>
      <w:r w:rsidRPr="00E62596">
        <w:t>Dasabuvir had no significant inhibitory activity against a number of human and mammalian DNA-dependent DNA polymerases and DNA-dependent RNA polymerases. No off-target activities are predicted during clinical use.</w:t>
      </w:r>
    </w:p>
    <w:p w:rsidR="00E62596" w:rsidRPr="00E62596" w:rsidRDefault="00E62596" w:rsidP="00E62596">
      <w:pPr>
        <w:pStyle w:val="ListBullet"/>
      </w:pPr>
      <w:r w:rsidRPr="00E62596">
        <w:t xml:space="preserve">Based on findings in the combined set of safety studies, dasabuvir is not expected to have any adverse effects on CNS, respiratory, gastrointestinal or cardiovascular function during clinical use. However, as the M1 metabolite is only a very minor metabolite in dogs, no comment can be made from the </w:t>
      </w:r>
      <w:r w:rsidR="005056D0">
        <w:t>nonclinical</w:t>
      </w:r>
      <w:r w:rsidRPr="00E62596">
        <w:t xml:space="preserve"> data as to the potential for M1 to affect ECG parameters in patients.</w:t>
      </w:r>
    </w:p>
    <w:p w:rsidR="00E62596" w:rsidRPr="00E62596" w:rsidRDefault="00E62596" w:rsidP="00E62596">
      <w:pPr>
        <w:pStyle w:val="ListBullet"/>
      </w:pPr>
      <w:r w:rsidRPr="00E62596">
        <w:t xml:space="preserve">The oral bioavailability of dasabuvir free acid was high in dogs and much lower in rats. The rate of absorption was similar in animal species and human subjects. Plasma protein binding by dasabuvir and M1 was high. In rats, tissue distribution of </w:t>
      </w:r>
      <w:r w:rsidR="009F7EDA">
        <w:t>drug related</w:t>
      </w:r>
      <w:r w:rsidRPr="00E62596">
        <w:t xml:space="preserve"> material was rapid and wide. Liver concentrations of dasabuvir were higher than plasma levels. M1 was a major metabolite in mice, rabbits and human subjects, but was only a minor metabolite in rats and monkeys. Only trace levels were seen in dogs. In vitro studies indicated a major role for CYP2C8, a lesser role of CYP3A4 and a minor role for CYP2D6 in the formation of M1 from dasabuvir. Excretion of dasabuvir and/or its metabolites was predominantly via the biliary/faecal route in animals and humans.</w:t>
      </w:r>
    </w:p>
    <w:p w:rsidR="00E62596" w:rsidRPr="00E62596" w:rsidRDefault="00E62596" w:rsidP="00E62596">
      <w:pPr>
        <w:pStyle w:val="ListBullet"/>
      </w:pPr>
      <w:r w:rsidRPr="00E62596">
        <w:t xml:space="preserve">Inducers/inhibitors of </w:t>
      </w:r>
      <w:r w:rsidR="00C75F81">
        <w:t>P-gp</w:t>
      </w:r>
      <w:r w:rsidRPr="00E62596">
        <w:t>, BCRP, CYP2C8 or CYP3A may alter the systemic exposure to dasabuvir. In vitro studies indicate dasabuvir has the potential to affect the oral absorption of co-administered drugs that are substrates for BCRP and MRP2, and affect the disposition of co</w:t>
      </w:r>
      <w:r w:rsidRPr="00E62596">
        <w:noBreakHyphen/>
        <w:t>administered drugs that are substrates for OATP1B1, OATP1B3 and UGT1A1.</w:t>
      </w:r>
    </w:p>
    <w:p w:rsidR="00E62596" w:rsidRPr="00E62596" w:rsidRDefault="005056D0" w:rsidP="00E62596">
      <w:pPr>
        <w:pStyle w:val="ListBullet"/>
      </w:pPr>
      <w:r>
        <w:t xml:space="preserve">Repeat </w:t>
      </w:r>
      <w:r w:rsidR="00E62596" w:rsidRPr="00E62596">
        <w:t>dose toxicity studies were conducted in mice (up to 13 weeks), rats (up to 6 months) and dogs (up to 9 months) using the oral route. The lungs were a target organ for toxicity in rats with an increased incidence and severity of alveolar histiocytosis, consistent with phospholipidosis, observed in treated animals. A NOEL was not established. No clinically-relevant findings were seen in mice or dogs.</w:t>
      </w:r>
    </w:p>
    <w:p w:rsidR="00E62596" w:rsidRPr="00E62596" w:rsidRDefault="00E62596" w:rsidP="00E62596">
      <w:pPr>
        <w:pStyle w:val="ListBullet"/>
      </w:pPr>
      <w:r w:rsidRPr="00E62596">
        <w:t xml:space="preserve">Dasabuvir was not genotoxic in the standard battery of tests. No </w:t>
      </w:r>
      <w:r w:rsidR="009F7EDA">
        <w:t>drug related</w:t>
      </w:r>
      <w:r w:rsidRPr="00E62596">
        <w:t xml:space="preserve"> tumours were evident in transgenic Tg.rasH2 mice treated for 6 months with dasabuvir.</w:t>
      </w:r>
    </w:p>
    <w:p w:rsidR="00E62596" w:rsidRPr="00E62596" w:rsidRDefault="00E62596" w:rsidP="00E62596">
      <w:pPr>
        <w:pStyle w:val="ListBullet"/>
      </w:pPr>
      <w:r w:rsidRPr="00E62596">
        <w:t xml:space="preserve">A standard set of </w:t>
      </w:r>
      <w:r w:rsidR="00926A16">
        <w:t>GLP compliant</w:t>
      </w:r>
      <w:r w:rsidRPr="00E62596">
        <w:t xml:space="preserve"> reproductive toxicity studies was submitted and examined fertility (in rats), embryofetal toxicity (rats and rabbits) and pre/postnatal development (rats). There were no </w:t>
      </w:r>
      <w:r w:rsidR="009F7EDA">
        <w:t>drug related</w:t>
      </w:r>
      <w:r w:rsidRPr="00E62596">
        <w:t xml:space="preserve"> findings. Placental transfer of dasabuvir and/or its metabolites was observed in both rats and rabbits. Transfer of </w:t>
      </w:r>
      <w:r w:rsidR="009F7EDA">
        <w:t>drug related</w:t>
      </w:r>
      <w:r w:rsidRPr="00E62596">
        <w:t xml:space="preserve"> material into milk was shown to be very high in lactating rats.</w:t>
      </w:r>
    </w:p>
    <w:p w:rsidR="00E62596" w:rsidRPr="00E62596" w:rsidRDefault="00E62596" w:rsidP="005056D0">
      <w:pPr>
        <w:pStyle w:val="ListBullet"/>
      </w:pPr>
      <w:r w:rsidRPr="00E62596">
        <w:t>The phototoxic potential of da</w:t>
      </w:r>
      <w:r w:rsidR="005056D0">
        <w:t>sabuvir is uncertain (no study)</w:t>
      </w:r>
      <w:r w:rsidRPr="00E62596">
        <w:t>.</w:t>
      </w:r>
    </w:p>
    <w:p w:rsidR="00475C4E" w:rsidRDefault="00475C4E" w:rsidP="00475C4E">
      <w:pPr>
        <w:pStyle w:val="Heading3"/>
      </w:pPr>
      <w:bookmarkStart w:id="102" w:name="_Toc480811574"/>
      <w:r>
        <w:t>Introduction</w:t>
      </w:r>
      <w:r w:rsidR="00A92B77">
        <w:t xml:space="preserve"> – new fixed dose combination</w:t>
      </w:r>
      <w:bookmarkEnd w:id="102"/>
    </w:p>
    <w:p w:rsidR="00A92B77" w:rsidRPr="00A92B77" w:rsidRDefault="00A92B77" w:rsidP="00A92B77">
      <w:pPr>
        <w:pStyle w:val="Heading4"/>
      </w:pPr>
      <w:bookmarkStart w:id="103" w:name="_Toc294861722"/>
      <w:bookmarkStart w:id="104" w:name="_Toc295290864"/>
      <w:bookmarkStart w:id="105" w:name="_Toc415145650"/>
      <w:r w:rsidRPr="00A92B77">
        <w:t>General comments</w:t>
      </w:r>
      <w:bookmarkEnd w:id="103"/>
      <w:bookmarkEnd w:id="104"/>
      <w:bookmarkEnd w:id="105"/>
      <w:r w:rsidR="001D00FC">
        <w:t xml:space="preserve"> - new fixed dose combination</w:t>
      </w:r>
    </w:p>
    <w:p w:rsidR="00A92B77" w:rsidRPr="00A92B77" w:rsidRDefault="00E458BE" w:rsidP="00A92B77">
      <w:r>
        <w:t>Hepatitis C V</w:t>
      </w:r>
      <w:r w:rsidR="00A92B77" w:rsidRPr="00A92B77">
        <w:t xml:space="preserve">irus (HCV) is prone to develop resistance to antiviral drugs owing to the rapid rate and error prone nature of its replication. It has been proposed that all single </w:t>
      </w:r>
      <w:r w:rsidR="00A92B77" w:rsidRPr="00A92B77">
        <w:lastRenderedPageBreak/>
        <w:t>nucleotide-mutant drug resistant viruses and all combinations of double nucleotide mutant viruses pre-exist in most treatment naïve patients</w:t>
      </w:r>
      <w:r w:rsidR="005056D0">
        <w:t>,</w:t>
      </w:r>
      <w:r w:rsidR="00A92B77" w:rsidRPr="005056D0">
        <w:rPr>
          <w:vertAlign w:val="superscript"/>
        </w:rPr>
        <w:footnoteReference w:id="56"/>
      </w:r>
      <w:r w:rsidR="00A92B77" w:rsidRPr="00A92B77">
        <w:t xml:space="preserve"> and therefore treatment regimens have been developed based on co-administration of 2 or more antiviral agents having different mechanisms of action. The sponsor has applied to register two fixed dose combinations of 3 new </w:t>
      </w:r>
      <w:r w:rsidR="00973BDE">
        <w:t>DAAs</w:t>
      </w:r>
      <w:r w:rsidR="00A92B77" w:rsidRPr="00A92B77">
        <w:t xml:space="preserve"> for the treatment of chronic infection Viekira </w:t>
      </w:r>
      <w:r w:rsidR="000C3156">
        <w:t>Pak</w:t>
      </w:r>
      <w:r w:rsidR="00A92B77" w:rsidRPr="00A92B77">
        <w:t xml:space="preserve"> and (in combination with ribavirin) Viekira </w:t>
      </w:r>
      <w:r w:rsidR="000C3156">
        <w:t>Pak</w:t>
      </w:r>
      <w:r w:rsidR="00FC153C">
        <w:t>-</w:t>
      </w:r>
      <w:r w:rsidR="00A92B77" w:rsidRPr="00A92B77">
        <w:t xml:space="preserve">RBV. Viekira </w:t>
      </w:r>
      <w:r w:rsidR="000C3156">
        <w:t>Pak</w:t>
      </w:r>
      <w:r w:rsidR="00A92B77" w:rsidRPr="00A92B77">
        <w:t xml:space="preserve"> is proposed to be used for the treatment of genotype 1b HCV infection without cirrhosis, while Viekira </w:t>
      </w:r>
      <w:r w:rsidR="000C3156">
        <w:t>Pak</w:t>
      </w:r>
      <w:r w:rsidR="00A92B77" w:rsidRPr="00A92B77">
        <w:t>-RBV is proposed to be used for treatment of genotype 1a (with and without cirrhosis) and genotype 1b patients with cirrhosis.</w:t>
      </w:r>
      <w:r w:rsidR="008B6F3C">
        <w:t xml:space="preserve"> </w:t>
      </w:r>
      <w:r w:rsidR="00A92B77" w:rsidRPr="00A92B77">
        <w:t>The re</w:t>
      </w:r>
      <w:r w:rsidR="005056D0">
        <w:t>commended oral dose of Viekira P</w:t>
      </w:r>
      <w:r w:rsidR="00A92B77" w:rsidRPr="00A92B77">
        <w:t>ak is two paritaprevir/</w:t>
      </w:r>
      <w:r w:rsidR="001D00FC" w:rsidRPr="001D00FC">
        <w:t xml:space="preserve"> </w:t>
      </w:r>
      <w:r w:rsidR="001D00FC">
        <w:t>ritonavir</w:t>
      </w:r>
      <w:r w:rsidR="001D00FC" w:rsidRPr="00A92B77">
        <w:t xml:space="preserve"> </w:t>
      </w:r>
      <w:r w:rsidR="00A92B77" w:rsidRPr="00A92B77">
        <w:t xml:space="preserve">/ombitasvir 75/50/12.5 mg tablets once daily and one dasabuvir 250 mg tablet twice daily. When used </w:t>
      </w:r>
      <w:r w:rsidR="005056D0">
        <w:t>in combination with ribavirin (Viekira P</w:t>
      </w:r>
      <w:r w:rsidR="00A92B77" w:rsidRPr="00A92B77">
        <w:t>ak-</w:t>
      </w:r>
      <w:r w:rsidR="005056D0" w:rsidRPr="00A92B77">
        <w:t>RBV</w:t>
      </w:r>
      <w:r w:rsidR="00A92B77" w:rsidRPr="00A92B77">
        <w:t>), the recommended dose of ribavirin depends on the patient's body weight (</w:t>
      </w:r>
      <w:r w:rsidR="00926A16">
        <w:t xml:space="preserve">&lt; </w:t>
      </w:r>
      <w:r w:rsidR="00A92B77" w:rsidRPr="00A92B77">
        <w:t>75 kg</w:t>
      </w:r>
      <w:r w:rsidR="00BF1FC5">
        <w:t xml:space="preserve"> = </w:t>
      </w:r>
      <w:r w:rsidR="00A92B77" w:rsidRPr="00A92B77">
        <w:t>1</w:t>
      </w:r>
      <w:r w:rsidR="001D00FC">
        <w:t>,</w:t>
      </w:r>
      <w:r w:rsidR="00A92B77" w:rsidRPr="00A92B77">
        <w:t xml:space="preserve">000 mg and </w:t>
      </w:r>
      <w:r w:rsidR="000C3156">
        <w:t xml:space="preserve">≥ </w:t>
      </w:r>
      <w:r w:rsidR="00A92B77" w:rsidRPr="00A92B77">
        <w:t>75 kg</w:t>
      </w:r>
      <w:r w:rsidR="00BF1FC5">
        <w:t xml:space="preserve"> = </w:t>
      </w:r>
      <w:r w:rsidR="00A92B77" w:rsidRPr="00A92B77">
        <w:t>1</w:t>
      </w:r>
      <w:r w:rsidR="001D00FC">
        <w:t>,</w:t>
      </w:r>
      <w:r w:rsidR="00A92B77" w:rsidRPr="00A92B77">
        <w:t>200 mg), and is taken twice daily.</w:t>
      </w:r>
    </w:p>
    <w:p w:rsidR="00A92B77" w:rsidRPr="00A92B77" w:rsidRDefault="00A92B77" w:rsidP="00A92B77">
      <w:r w:rsidRPr="00A92B77">
        <w:t xml:space="preserve">The overall quality of the submitted dossier for Viekira </w:t>
      </w:r>
      <w:r w:rsidR="000C3156">
        <w:t>Pak</w:t>
      </w:r>
      <w:r w:rsidRPr="00A92B77">
        <w:t xml:space="preserve"> and Viekira </w:t>
      </w:r>
      <w:r w:rsidR="000C3156">
        <w:t>Pak</w:t>
      </w:r>
      <w:r w:rsidRPr="00A92B77">
        <w:t xml:space="preserve">-RBV was high. All pivotal safety studies were conducted under GLP conditions. The submitted </w:t>
      </w:r>
      <w:r w:rsidR="001D00FC">
        <w:t>nonclinical</w:t>
      </w:r>
      <w:r w:rsidRPr="00A92B77">
        <w:t xml:space="preserve"> dossier consisted of studies conducted with the individual </w:t>
      </w:r>
      <w:proofErr w:type="gramStart"/>
      <w:r w:rsidRPr="00A92B77">
        <w:t>agents</w:t>
      </w:r>
      <w:proofErr w:type="gramEnd"/>
      <w:r w:rsidRPr="00A92B77">
        <w:t xml:space="preserve"> paritaprevir (mostly in combination with the pharmacokinetic booster ritonavir), ombitasvir and dasabuvir, which have been evaluated separately (see </w:t>
      </w:r>
      <w:r w:rsidR="001D00FC">
        <w:t>above</w:t>
      </w:r>
      <w:r w:rsidRPr="00A92B77">
        <w:t xml:space="preserve">). In addition, previously evaluated </w:t>
      </w:r>
      <w:r w:rsidR="001D00FC">
        <w:t>nonclinical</w:t>
      </w:r>
      <w:r w:rsidRPr="00A92B77">
        <w:t xml:space="preserve"> studies with ritonavir alone were submitted. This evaluation report addresses studies pertinent to the combination product, which includes pharmacology and pharmacokinetic drug interaction studies, and combination toxicity studies with dasabuvir, interferon plus ribavirin, paritaprevir and ritonavir plus ribavirin, and paritaprevir and ritonavir plus ombitasvir.</w:t>
      </w:r>
    </w:p>
    <w:p w:rsidR="00A92B77" w:rsidRPr="00A92B77" w:rsidRDefault="00A92B77" w:rsidP="00A92B77">
      <w:r w:rsidRPr="00A92B77">
        <w:t>According to the TGA adopted EU guideline on fixed dose combination products</w:t>
      </w:r>
      <w:r w:rsidR="001D00FC">
        <w:t>,</w:t>
      </w:r>
      <w:r w:rsidRPr="001D00FC">
        <w:rPr>
          <w:vertAlign w:val="superscript"/>
        </w:rPr>
        <w:footnoteReference w:id="57"/>
      </w:r>
      <w:r w:rsidRPr="00A92B77">
        <w:t xml:space="preserve"> for new active substances being developed for use in a fixed dose combination, a complete nonclinical development programme for each individual active substance would normally be expected to be supplemented by bridging studies with the combination. In addition, for a fixed dose combination containing approved compounds for long term use where experience of concomitant use is lacking, a 3 month repeat dose toxicity study in an appropriate species is generally recommended. The sponsor has not conducted comprehensive combination toxicity studies with the </w:t>
      </w:r>
      <w:r w:rsidR="00237CBE">
        <w:t>3DAA</w:t>
      </w:r>
      <w:r w:rsidRPr="00A92B77">
        <w:t>s, citing a newer FDA draft guidance document</w:t>
      </w:r>
      <w:r w:rsidR="001D00FC">
        <w:t>.</w:t>
      </w:r>
      <w:bookmarkStart w:id="106" w:name="_Ref471982357"/>
      <w:r w:rsidRPr="001D00FC">
        <w:rPr>
          <w:vertAlign w:val="superscript"/>
        </w:rPr>
        <w:footnoteReference w:id="58"/>
      </w:r>
      <w:bookmarkEnd w:id="106"/>
      <w:r w:rsidR="001D00FC" w:rsidRPr="001D00FC">
        <w:t xml:space="preserve"> </w:t>
      </w:r>
      <w:r w:rsidRPr="00A92B77">
        <w:t>According to this document, the need for combination toxicology studies may be waived for DAA combinations that are expected to treat patients with limited or no treatment options, or to improve response rates in patients at risk of serious morbidity or expected to be a substantial improvement over approved therapies, under the following conditions:</w:t>
      </w:r>
    </w:p>
    <w:p w:rsidR="00A92B77" w:rsidRPr="00A92B77" w:rsidRDefault="00A92B77" w:rsidP="00A92B77">
      <w:pPr>
        <w:pStyle w:val="ListBullet"/>
      </w:pPr>
      <w:r w:rsidRPr="00A92B77">
        <w:t>Mechanisms of action or in vitro data of potential off-target effects of the individual drugs do not suggest a potential for additive or synergistic toxicity of a serious nature;</w:t>
      </w:r>
    </w:p>
    <w:p w:rsidR="00A26E99" w:rsidRDefault="00A92B77" w:rsidP="00A92B77">
      <w:pPr>
        <w:pStyle w:val="ListBullet"/>
      </w:pPr>
      <w:r w:rsidRPr="00A92B77">
        <w:t>Studies in animals or humans of absorption, distribution, metabolism and excretion of the individual drugs show no potential for an unmanageable interaction (one that cannot be addressed with dose adjustments) or serious toxicity for the combination;</w:t>
      </w:r>
    </w:p>
    <w:p w:rsidR="00A92B77" w:rsidRPr="00A92B77" w:rsidRDefault="00A92B77" w:rsidP="00A92B77">
      <w:pPr>
        <w:pStyle w:val="ListBullet"/>
      </w:pPr>
      <w:r w:rsidRPr="00A92B77">
        <w:t>Toxicology studies of at least 3 months duration) of the individual drugs show a substantial safety margin for the intended clinical dose(s) or exposures;</w:t>
      </w:r>
    </w:p>
    <w:p w:rsidR="00A92B77" w:rsidRPr="00A92B77" w:rsidRDefault="00F201F8" w:rsidP="00A92B77">
      <w:pPr>
        <w:pStyle w:val="ListBullet"/>
      </w:pPr>
      <w:proofErr w:type="gramStart"/>
      <w:r>
        <w:t>Phase</w:t>
      </w:r>
      <w:proofErr w:type="gramEnd"/>
      <w:r>
        <w:t xml:space="preserve"> I</w:t>
      </w:r>
      <w:r w:rsidR="00A92B77" w:rsidRPr="00A92B77">
        <w:t xml:space="preserve"> clinical da</w:t>
      </w:r>
      <w:r w:rsidR="00E458BE">
        <w:t xml:space="preserve">ta in healthy volunteers or HCV </w:t>
      </w:r>
      <w:r w:rsidR="00A92B77" w:rsidRPr="00A92B77">
        <w:t xml:space="preserve">infected subjects receiving the individual drugs show no substantial or unmanageable safety concerns. </w:t>
      </w:r>
      <w:r>
        <w:t>Phase I</w:t>
      </w:r>
      <w:r w:rsidR="00A92B77" w:rsidRPr="00A92B77">
        <w:t xml:space="preserve"> data </w:t>
      </w:r>
      <w:r w:rsidR="00A92B77" w:rsidRPr="00A92B77">
        <w:lastRenderedPageBreak/>
        <w:t xml:space="preserve">should include single- and multiple-dose pharmacokinetic and safety trials, at minimum. Additional safety data from </w:t>
      </w:r>
      <w:r>
        <w:t>Phase I</w:t>
      </w:r>
      <w:r w:rsidR="00A92B77" w:rsidRPr="00A92B77">
        <w:t xml:space="preserve"> and </w:t>
      </w:r>
      <w:r>
        <w:t>Phase II</w:t>
      </w:r>
      <w:r w:rsidR="00A92B77" w:rsidRPr="00A92B77">
        <w:t xml:space="preserve"> trials are encouraged and may be needed if one or more of the drugs demonstrate a potential serious safety risk;</w:t>
      </w:r>
    </w:p>
    <w:p w:rsidR="00A92B77" w:rsidRPr="00A92B77" w:rsidRDefault="00A92B77" w:rsidP="00A92B77">
      <w:pPr>
        <w:pStyle w:val="ListBullet"/>
      </w:pPr>
      <w:r w:rsidRPr="00A92B77">
        <w:t xml:space="preserve">There are no concerning overlapping toxicities for the individual drugs based on animal toxicology studies and </w:t>
      </w:r>
      <w:r w:rsidR="00F201F8">
        <w:t>Phase I</w:t>
      </w:r>
      <w:r w:rsidRPr="00A92B77">
        <w:t xml:space="preserve"> or </w:t>
      </w:r>
      <w:r w:rsidR="00F201F8">
        <w:t>Phase II</w:t>
      </w:r>
      <w:r w:rsidRPr="00A92B77">
        <w:t xml:space="preserve"> clinical data; and</w:t>
      </w:r>
    </w:p>
    <w:p w:rsidR="00A92B77" w:rsidRPr="00A92B77" w:rsidRDefault="001D00FC" w:rsidP="00A92B77">
      <w:pPr>
        <w:pStyle w:val="ListBullet"/>
      </w:pPr>
      <w:r>
        <w:t xml:space="preserve">Clinically significant PK </w:t>
      </w:r>
      <w:r w:rsidR="00A92B77" w:rsidRPr="00A92B77">
        <w:t>based drug interactions are considered unlikely or can be reliably managed with dose adjustments such that safety margins based on individual drug exposures are not exceeded.</w:t>
      </w:r>
    </w:p>
    <w:p w:rsidR="00475C4E" w:rsidRDefault="00475C4E" w:rsidP="00475C4E">
      <w:pPr>
        <w:pStyle w:val="Heading3"/>
      </w:pPr>
      <w:bookmarkStart w:id="107" w:name="_Toc480811575"/>
      <w:r w:rsidRPr="00020030">
        <w:t>Pharmacology</w:t>
      </w:r>
      <w:r w:rsidR="0098169C">
        <w:t xml:space="preserve"> - new fixed dose combination</w:t>
      </w:r>
      <w:bookmarkEnd w:id="107"/>
    </w:p>
    <w:p w:rsidR="00A92B77" w:rsidRPr="00A92B77" w:rsidRDefault="00A92B77" w:rsidP="00A92B77">
      <w:pPr>
        <w:pStyle w:val="Heading4"/>
      </w:pPr>
      <w:r w:rsidRPr="00A92B77">
        <w:t>Primary pharmacology</w:t>
      </w:r>
      <w:r w:rsidR="001D00FC">
        <w:t xml:space="preserve"> - new fixed dose combination</w:t>
      </w:r>
    </w:p>
    <w:p w:rsidR="00A92B77" w:rsidRPr="00A92B77" w:rsidRDefault="00A92B77" w:rsidP="00A92B77">
      <w:r w:rsidRPr="00A92B77">
        <w:t xml:space="preserve">All </w:t>
      </w:r>
      <w:r w:rsidR="00237CBE">
        <w:t>3DAA</w:t>
      </w:r>
      <w:r w:rsidRPr="00A92B77">
        <w:t>s act on separate and distinct targets on the HCV viral protein to prevent replication. The efficacy studies submitted in Module 4 assessed the inhibitory activity of the 3 agents in in vitro enzyme assays and standard subgenomic HCV replicon assays. No proof-of-concept studies were conducted in animal models of HCV. This is not considered a major deficiency</w:t>
      </w:r>
      <w:r w:rsidR="001D00FC" w:rsidRPr="00E66096">
        <w:t>.</w:t>
      </w:r>
      <w:r w:rsidR="00E66096" w:rsidRPr="00E66096">
        <w:rPr>
          <w:vertAlign w:val="superscript"/>
        </w:rPr>
        <w:fldChar w:fldCharType="begin"/>
      </w:r>
      <w:r w:rsidR="00E66096" w:rsidRPr="00E66096">
        <w:rPr>
          <w:vertAlign w:val="superscript"/>
        </w:rPr>
        <w:instrText xml:space="preserve"> NOTEREF _Ref473801083 \h </w:instrText>
      </w:r>
      <w:r w:rsidR="00E66096">
        <w:rPr>
          <w:vertAlign w:val="superscript"/>
        </w:rPr>
        <w:instrText xml:space="preserve"> \* MERGEFORMAT </w:instrText>
      </w:r>
      <w:r w:rsidR="00E66096" w:rsidRPr="00E66096">
        <w:rPr>
          <w:vertAlign w:val="superscript"/>
        </w:rPr>
      </w:r>
      <w:r w:rsidR="00E66096" w:rsidRPr="00E66096">
        <w:rPr>
          <w:vertAlign w:val="superscript"/>
        </w:rPr>
        <w:fldChar w:fldCharType="separate"/>
      </w:r>
      <w:r w:rsidR="00E66096" w:rsidRPr="00E66096">
        <w:rPr>
          <w:vertAlign w:val="superscript"/>
        </w:rPr>
        <w:t>5</w:t>
      </w:r>
      <w:r w:rsidR="00E66096" w:rsidRPr="00E66096">
        <w:rPr>
          <w:vertAlign w:val="superscript"/>
        </w:rPr>
        <w:fldChar w:fldCharType="end"/>
      </w:r>
    </w:p>
    <w:p w:rsidR="00A92B77" w:rsidRPr="00A92B77" w:rsidRDefault="00A92B77" w:rsidP="00A92B77">
      <w:r w:rsidRPr="00A92B77">
        <w:t xml:space="preserve">Paritaprevir is an inhibitor of HCV non-structural protein (NS) 3/4A protease in vitro, which is necessary for the proteolytic cleavage of HCV polyproteins, and is essential for viral replication. Paritaprevir inhibited genotype 1 HCV NS3/4A protease in vitro, with </w:t>
      </w:r>
      <w:r w:rsidR="00014BB3">
        <w:t>IC</w:t>
      </w:r>
      <w:r w:rsidR="00014BB3" w:rsidRPr="00E355BF">
        <w:rPr>
          <w:vertAlign w:val="subscript"/>
        </w:rPr>
        <w:t>50</w:t>
      </w:r>
      <w:r w:rsidRPr="00A92B77">
        <w:t xml:space="preserve"> values against genotypes 1a and 1b with sub</w:t>
      </w:r>
      <w:r w:rsidR="003732BA">
        <w:t>-</w:t>
      </w:r>
      <w:r w:rsidRPr="00A92B77">
        <w:t xml:space="preserve">nanomolar potency, compared with the clinical free </w:t>
      </w:r>
      <w:r w:rsidR="00BF1FC5" w:rsidRPr="00CE21BD">
        <w:t>C</w:t>
      </w:r>
      <w:r w:rsidR="00BF1FC5" w:rsidRPr="00BF1FC5">
        <w:rPr>
          <w:vertAlign w:val="subscript"/>
        </w:rPr>
        <w:t>min</w:t>
      </w:r>
      <w:r w:rsidRPr="00A92B77">
        <w:t xml:space="preserve"> of 0.36 nM</w:t>
      </w:r>
      <w:r w:rsidRPr="001D00FC">
        <w:rPr>
          <w:vertAlign w:val="superscript"/>
        </w:rPr>
        <w:footnoteReference w:id="59"/>
      </w:r>
      <w:r w:rsidRPr="00A92B77">
        <w:t xml:space="preserve"> (see Table 1</w:t>
      </w:r>
      <w:r w:rsidR="008D1B95">
        <w:t>2</w:t>
      </w:r>
      <w:r w:rsidRPr="00A92B77">
        <w:t xml:space="preserve">). In cell culture using subgenomic HCV replicon assays the </w:t>
      </w:r>
      <w:r w:rsidR="00014BB3">
        <w:t>EC</w:t>
      </w:r>
      <w:r w:rsidR="00014BB3" w:rsidRPr="00E355BF">
        <w:rPr>
          <w:vertAlign w:val="subscript"/>
        </w:rPr>
        <w:t>50</w:t>
      </w:r>
      <w:r w:rsidRPr="00A92B77">
        <w:t xml:space="preserve"> values against standard laboratory genotype 1a and 1b strains (H77 and Con1, respectively) in subgenomic HCV replicon assays were 0.94</w:t>
      </w:r>
      <w:r w:rsidR="0021113A">
        <w:t xml:space="preserve"> to </w:t>
      </w:r>
      <w:r w:rsidRPr="00A92B77">
        <w:t>1.0 nM and 0.21</w:t>
      </w:r>
      <w:r w:rsidR="0021113A">
        <w:t xml:space="preserve"> to </w:t>
      </w:r>
      <w:r w:rsidRPr="00A92B77">
        <w:t>0.32 nM, respectively, and potency was reduced 24</w:t>
      </w:r>
      <w:r w:rsidR="0021113A">
        <w:t xml:space="preserve"> to </w:t>
      </w:r>
      <w:r w:rsidRPr="00A92B77">
        <w:t>27 fold in the presence of 40% human plasma (to 23 nM and 8.7 nM, respectively).</w:t>
      </w:r>
      <w:r w:rsidR="008B6F3C">
        <w:t xml:space="preserve"> </w:t>
      </w:r>
      <w:r w:rsidRPr="00A92B77">
        <w:t xml:space="preserve">Paritaprevir had similar efficacy against a panel of genotype 1a and 1b isolates in the HCV subgenomic replicon assay; </w:t>
      </w:r>
      <w:r w:rsidR="00014BB3">
        <w:t>EC</w:t>
      </w:r>
      <w:r w:rsidR="00014BB3" w:rsidRPr="00E355BF">
        <w:rPr>
          <w:vertAlign w:val="subscript"/>
        </w:rPr>
        <w:t>50</w:t>
      </w:r>
      <w:r w:rsidRPr="00A92B77">
        <w:t xml:space="preserve"> 0.86 nM (range 0.43</w:t>
      </w:r>
      <w:r w:rsidR="0021113A">
        <w:t xml:space="preserve"> to </w:t>
      </w:r>
      <w:r w:rsidRPr="00A92B77">
        <w:t>1.87 nM; n</w:t>
      </w:r>
      <w:r w:rsidR="00BF1FC5">
        <w:t xml:space="preserve"> = </w:t>
      </w:r>
      <w:r w:rsidRPr="00A92B77">
        <w:t>11) and 0.058 nM (range 0.033</w:t>
      </w:r>
      <w:r w:rsidR="0021113A">
        <w:t xml:space="preserve"> to </w:t>
      </w:r>
      <w:r w:rsidRPr="00A92B77">
        <w:t>0.087 nM; n</w:t>
      </w:r>
      <w:r w:rsidR="00BF1FC5">
        <w:t xml:space="preserve"> = </w:t>
      </w:r>
      <w:r w:rsidRPr="00A92B77">
        <w:t xml:space="preserve">9), respectively. Paritaprevir also showed some activity against genotype 4a, with </w:t>
      </w:r>
      <w:r w:rsidR="00014BB3">
        <w:t>IC</w:t>
      </w:r>
      <w:r w:rsidR="00014BB3" w:rsidRPr="00E355BF">
        <w:rPr>
          <w:vertAlign w:val="subscript"/>
        </w:rPr>
        <w:t>50</w:t>
      </w:r>
      <w:r w:rsidRPr="00A92B77">
        <w:t xml:space="preserve"> for NS3/4A protease determined at 0.1</w:t>
      </w:r>
      <w:r w:rsidR="0021113A">
        <w:t xml:space="preserve"> to </w:t>
      </w:r>
      <w:r w:rsidRPr="00A92B77">
        <w:t xml:space="preserve">0.16 nM, and the </w:t>
      </w:r>
      <w:r w:rsidR="00014BB3">
        <w:t>EC</w:t>
      </w:r>
      <w:r w:rsidR="00014BB3" w:rsidRPr="00E355BF">
        <w:rPr>
          <w:vertAlign w:val="subscript"/>
        </w:rPr>
        <w:t>50</w:t>
      </w:r>
      <w:r w:rsidRPr="00A92B77">
        <w:t xml:space="preserve"> against cell culture replicons containing genotype 4a determined to be 0.09 nM. Efficacy against genotype 6a was also sub</w:t>
      </w:r>
      <w:r w:rsidR="003732BA">
        <w:t>-</w:t>
      </w:r>
      <w:r w:rsidRPr="00A92B77">
        <w:t>nanomolar (</w:t>
      </w:r>
      <w:r w:rsidR="00014BB3">
        <w:t>EC</w:t>
      </w:r>
      <w:r w:rsidR="00014BB3" w:rsidRPr="00E355BF">
        <w:rPr>
          <w:vertAlign w:val="subscript"/>
        </w:rPr>
        <w:t>50</w:t>
      </w:r>
      <w:r w:rsidR="00BF1FC5">
        <w:t xml:space="preserve"> = </w:t>
      </w:r>
      <w:r w:rsidRPr="00A92B77">
        <w:t>0.68 nM). Investigation of other genotypes indicated that their inhibition by paritaprevir is unlikely to be clinically significant.</w:t>
      </w:r>
    </w:p>
    <w:p w:rsidR="00A92B77" w:rsidRPr="00A92B77" w:rsidRDefault="00A92B77" w:rsidP="00A92B77">
      <w:r w:rsidRPr="00A92B77">
        <w:t xml:space="preserve">In vitro efficacy studies showed that ombitasvir was a highly potent </w:t>
      </w:r>
      <w:r w:rsidR="00772535">
        <w:t>antiviral</w:t>
      </w:r>
      <w:r w:rsidRPr="00A92B77">
        <w:t xml:space="preserve"> agent against NS5A from HCV genotypes 1a and 1b, as well as genotypes 2a, 2b, 3a, 4a and 5a, with </w:t>
      </w:r>
      <w:r w:rsidR="00014BB3">
        <w:t>EC</w:t>
      </w:r>
      <w:r w:rsidR="00014BB3" w:rsidRPr="00E355BF">
        <w:rPr>
          <w:vertAlign w:val="subscript"/>
        </w:rPr>
        <w:t>50</w:t>
      </w:r>
      <w:r w:rsidRPr="00A92B77">
        <w:t xml:space="preserve"> values against these strains in subgenomic HCV replicon assays below the clinical free </w:t>
      </w:r>
      <w:r w:rsidR="00BF1FC5" w:rsidRPr="00CE21BD">
        <w:t>C</w:t>
      </w:r>
      <w:r w:rsidR="00BF1FC5" w:rsidRPr="00BF1FC5">
        <w:rPr>
          <w:vertAlign w:val="subscript"/>
        </w:rPr>
        <w:t>min</w:t>
      </w:r>
      <w:r w:rsidRPr="00A92B77">
        <w:t xml:space="preserve"> of 32.4 pM</w:t>
      </w:r>
      <w:r w:rsidRPr="001D00FC">
        <w:rPr>
          <w:vertAlign w:val="superscript"/>
        </w:rPr>
        <w:footnoteReference w:id="60"/>
      </w:r>
      <w:r w:rsidRPr="00A92B77">
        <w:t xml:space="preserve"> (see Table 1</w:t>
      </w:r>
      <w:r w:rsidR="008D1B95">
        <w:t>2</w:t>
      </w:r>
      <w:r w:rsidRPr="00A92B77">
        <w:t>). Activity against</w:t>
      </w:r>
      <w:r w:rsidR="009F6EED">
        <w:t xml:space="preserve"> genotype</w:t>
      </w:r>
      <w:r w:rsidRPr="00A92B77">
        <w:t xml:space="preserve"> 6a is unlikely to be clinically relevant. The potency of ombitasvir in subgenomic HCV replicon assays was reduced by </w:t>
      </w:r>
      <w:r w:rsidR="00F201F8">
        <w:t xml:space="preserve">approximately </w:t>
      </w:r>
      <w:r w:rsidRPr="00A92B77">
        <w:t xml:space="preserve">12 fold in the presence of 40% human plasma. Negligible </w:t>
      </w:r>
      <w:r w:rsidR="00772535">
        <w:t>antiviral</w:t>
      </w:r>
      <w:r w:rsidR="003732BA">
        <w:t xml:space="preserve"> activity against</w:t>
      </w:r>
      <w:r w:rsidR="009F6EED">
        <w:t xml:space="preserve"> genotype</w:t>
      </w:r>
      <w:r w:rsidR="003732BA">
        <w:t>s 1a</w:t>
      </w:r>
      <w:r w:rsidR="003732BA">
        <w:noBreakHyphen/>
      </w:r>
      <w:r w:rsidRPr="00A92B77">
        <w:t>H77 and 1b-Con1 was noted by the human major metaboli</w:t>
      </w:r>
      <w:r w:rsidR="001D00FC">
        <w:t>tes of ombitasvir, M29 and M36.</w:t>
      </w:r>
    </w:p>
    <w:p w:rsidR="00A92B77" w:rsidRPr="00A92B77" w:rsidRDefault="00A92B77" w:rsidP="00A92B77">
      <w:r w:rsidRPr="00A92B77">
        <w:t>In vitro, dasabuvir inhibited the activity of NS5B polymerase from HCV strains of genotypes 1a and 1b with nanomolar potency (</w:t>
      </w:r>
      <w:r w:rsidR="00014BB3">
        <w:t>IC</w:t>
      </w:r>
      <w:r w:rsidR="00014BB3" w:rsidRPr="00E355BF">
        <w:rPr>
          <w:vertAlign w:val="subscript"/>
        </w:rPr>
        <w:t>50</w:t>
      </w:r>
      <w:r w:rsidRPr="00A92B77">
        <w:t xml:space="preserve"> 4.2 nM [range 2.2</w:t>
      </w:r>
      <w:r w:rsidR="00926A16">
        <w:t xml:space="preserve"> to </w:t>
      </w:r>
      <w:r w:rsidRPr="00A92B77">
        <w:t>10.7 nM; n</w:t>
      </w:r>
      <w:r w:rsidR="00BF1FC5">
        <w:t xml:space="preserve"> = </w:t>
      </w:r>
      <w:r w:rsidRPr="00A92B77">
        <w:t xml:space="preserve">7]; approximately equivalent to the clinical free </w:t>
      </w:r>
      <w:r w:rsidR="00BF1FC5" w:rsidRPr="00CE21BD">
        <w:t>C</w:t>
      </w:r>
      <w:r w:rsidR="00BF1FC5" w:rsidRPr="00BF1FC5">
        <w:rPr>
          <w:vertAlign w:val="subscript"/>
        </w:rPr>
        <w:t>min</w:t>
      </w:r>
      <w:r w:rsidRPr="00A92B77">
        <w:t xml:space="preserve"> of 5.5 nM</w:t>
      </w:r>
      <w:r w:rsidRPr="001D00FC">
        <w:rPr>
          <w:vertAlign w:val="superscript"/>
        </w:rPr>
        <w:footnoteReference w:id="61"/>
      </w:r>
      <w:r w:rsidRPr="00A92B77">
        <w:t>). Dasabuvir had lower potency (</w:t>
      </w:r>
      <w:r w:rsidR="000C3156">
        <w:t xml:space="preserve">&gt; </w:t>
      </w:r>
      <w:r w:rsidRPr="00A92B77">
        <w:t xml:space="preserve">200 times) at polymerases from other HCV genotypes (2a, 2b, 3a and 4a). Dasabuvir is unlikely to be active against these genotypes at the proposed clinical dose. </w:t>
      </w:r>
      <w:r w:rsidRPr="00A92B77">
        <w:lastRenderedPageBreak/>
        <w:t xml:space="preserve">The </w:t>
      </w:r>
      <w:r w:rsidR="00014BB3">
        <w:t>EC</w:t>
      </w:r>
      <w:r w:rsidR="00014BB3" w:rsidRPr="00E355BF">
        <w:rPr>
          <w:vertAlign w:val="subscript"/>
        </w:rPr>
        <w:t>50</w:t>
      </w:r>
      <w:r w:rsidRPr="00A92B77">
        <w:t xml:space="preserve"> of dasabuvir against standard laboratory genotype 1a and 1b strains (H77 and Con1, respectively) in subgenomic HCV replicon assays was 7.7 nM and 1.8 nM, respectively. The potency of dasabuvir in subgenomic HCV replicon assays was reduced by </w:t>
      </w:r>
      <w:r w:rsidR="00F201F8">
        <w:t xml:space="preserve">approximately </w:t>
      </w:r>
      <w:r w:rsidRPr="00A92B77">
        <w:t xml:space="preserve">12 fold in the presence of 40% human plasma. Dasabuvir had similar efficacy against a panel of genotype 1a and 1b isolates in the HCV subgenomic replicon assay; </w:t>
      </w:r>
      <w:r w:rsidR="00014BB3">
        <w:t>EC</w:t>
      </w:r>
      <w:r w:rsidR="00014BB3" w:rsidRPr="00E355BF">
        <w:rPr>
          <w:vertAlign w:val="subscript"/>
        </w:rPr>
        <w:t>50</w:t>
      </w:r>
      <w:r w:rsidRPr="00A92B77">
        <w:t xml:space="preserve"> 0.77 nM (range 0.4</w:t>
      </w:r>
      <w:r w:rsidR="00926A16">
        <w:t xml:space="preserve"> to </w:t>
      </w:r>
      <w:r w:rsidRPr="00A92B77">
        <w:t>2.1 nM; n</w:t>
      </w:r>
      <w:r w:rsidR="00BF1FC5">
        <w:t xml:space="preserve"> = </w:t>
      </w:r>
      <w:r w:rsidRPr="00A92B77">
        <w:t>11) and 0.46 nM (range 0.2</w:t>
      </w:r>
      <w:r w:rsidR="00926A16">
        <w:t xml:space="preserve"> to </w:t>
      </w:r>
      <w:r w:rsidRPr="00A92B77">
        <w:t>2.0 nM; n</w:t>
      </w:r>
      <w:r w:rsidR="001D00FC">
        <w:t> = 10), respectively.</w:t>
      </w:r>
    </w:p>
    <w:p w:rsidR="00A92B77" w:rsidRPr="00A92B77" w:rsidRDefault="00A92B77" w:rsidP="00A92B77">
      <w:r w:rsidRPr="00A92B77">
        <w:t>The M1 metabolite of dasabuvir had 30</w:t>
      </w:r>
      <w:r w:rsidR="00926A16">
        <w:t xml:space="preserve"> to </w:t>
      </w:r>
      <w:r w:rsidRPr="00A92B77">
        <w:t xml:space="preserve">40% lower potency than dasabuvir against standard genotype 1a and 1b laboratory strains in the subgenomic HCV replicon assay. Given the </w:t>
      </w:r>
      <w:r w:rsidR="003A33A4" w:rsidRPr="008912E8">
        <w:t>C</w:t>
      </w:r>
      <w:r w:rsidR="003A33A4" w:rsidRPr="003A33A4">
        <w:rPr>
          <w:vertAlign w:val="subscript"/>
        </w:rPr>
        <w:t>max</w:t>
      </w:r>
      <w:r w:rsidR="00630EF4">
        <w:t xml:space="preserve"> </w:t>
      </w:r>
      <w:r w:rsidRPr="00A92B77">
        <w:t xml:space="preserve">for M1 (1.3 </w:t>
      </w:r>
      <w:r w:rsidR="005F323A">
        <w:t>µ</w:t>
      </w:r>
      <w:r w:rsidR="005F323A" w:rsidRPr="00CE21BD">
        <w:t>M</w:t>
      </w:r>
      <w:r w:rsidRPr="00A92B77">
        <w:t xml:space="preserve">) in human subjects is higher than the </w:t>
      </w:r>
      <w:r w:rsidR="00014BB3">
        <w:t>EC</w:t>
      </w:r>
      <w:r w:rsidR="00014BB3" w:rsidRPr="00E355BF">
        <w:rPr>
          <w:vertAlign w:val="subscript"/>
        </w:rPr>
        <w:t>50</w:t>
      </w:r>
      <w:r w:rsidRPr="00A92B77">
        <w:t xml:space="preserve"> against these genotypes in the replicon assay (143 nM and 26 nM against genotype 1a-H77 and genotype 1b-Con1, respectively, in the presence of human plasma), this metabolite is likely to contribute to the antiviral activity of dasabuvir.</w:t>
      </w:r>
    </w:p>
    <w:p w:rsidR="00A92B77" w:rsidRPr="00A92B77" w:rsidRDefault="00A92B77" w:rsidP="00A92B77">
      <w:r w:rsidRPr="00A92B77">
        <w:t>Table 1</w:t>
      </w:r>
      <w:r w:rsidR="008D1B95">
        <w:t>2</w:t>
      </w:r>
      <w:r w:rsidRPr="00A92B77">
        <w:t xml:space="preserve"> compares the in vitro antiviral efficacy data for the </w:t>
      </w:r>
      <w:r w:rsidR="00237CBE">
        <w:t>3DAA</w:t>
      </w:r>
      <w:r w:rsidRPr="00A92B77">
        <w:t>s against HCV laboratory strains and clinical isolates of genotypes 1a and 1b, as well as for other genotypes. Based on the in vitro data provided, it is anticipated that all 3 agents would inhibit HCV genotypes 1a and 1b at clinically relevant concentrations.</w:t>
      </w:r>
    </w:p>
    <w:p w:rsidR="002B28C8" w:rsidRPr="002B28C8" w:rsidRDefault="002B28C8" w:rsidP="00FF289D">
      <w:pPr>
        <w:pStyle w:val="Tabletitle0"/>
      </w:pPr>
      <w:r w:rsidRPr="002B28C8">
        <w:t>Table 1</w:t>
      </w:r>
      <w:r w:rsidR="008D1B95">
        <w:t>2</w:t>
      </w:r>
      <w:r w:rsidRPr="002B28C8">
        <w:t xml:space="preserve">: Summary </w:t>
      </w:r>
      <w:r w:rsidR="001D00FC" w:rsidRPr="001D00FC">
        <w:t>of antiviral efficacy data for ombitasvir, paritaprevir and dasabuvir</w:t>
      </w:r>
    </w:p>
    <w:tbl>
      <w:tblPr>
        <w:tblStyle w:val="TableTGAblue"/>
        <w:tblW w:w="0" w:type="auto"/>
        <w:tblLook w:val="04A0" w:firstRow="1" w:lastRow="0" w:firstColumn="1" w:lastColumn="0" w:noHBand="0" w:noVBand="1"/>
      </w:tblPr>
      <w:tblGrid>
        <w:gridCol w:w="1600"/>
        <w:gridCol w:w="1557"/>
        <w:gridCol w:w="1474"/>
        <w:gridCol w:w="2181"/>
        <w:gridCol w:w="1908"/>
      </w:tblGrid>
      <w:tr w:rsidR="002B28C8" w:rsidRPr="004307F6" w:rsidTr="003732BA">
        <w:trPr>
          <w:cnfStyle w:val="100000000000" w:firstRow="1" w:lastRow="0" w:firstColumn="0" w:lastColumn="0" w:oddVBand="0" w:evenVBand="0" w:oddHBand="0" w:evenHBand="0" w:firstRowFirstColumn="0" w:firstRowLastColumn="0" w:lastRowFirstColumn="0" w:lastRowLastColumn="0"/>
          <w:trHeight w:val="449"/>
        </w:trPr>
        <w:tc>
          <w:tcPr>
            <w:tcW w:w="1113" w:type="dxa"/>
          </w:tcPr>
          <w:p w:rsidR="002B28C8" w:rsidRPr="004307F6" w:rsidRDefault="002B28C8" w:rsidP="004307F6">
            <w:pPr>
              <w:rPr>
                <w:sz w:val="20"/>
                <w:szCs w:val="20"/>
              </w:rPr>
            </w:pPr>
            <w:r w:rsidRPr="004307F6">
              <w:rPr>
                <w:sz w:val="20"/>
                <w:szCs w:val="20"/>
              </w:rPr>
              <w:t>Drug</w:t>
            </w:r>
            <w:r w:rsidR="004307F6">
              <w:rPr>
                <w:sz w:val="20"/>
                <w:szCs w:val="20"/>
              </w:rPr>
              <w:t xml:space="preserve"> </w:t>
            </w:r>
            <w:r w:rsidR="00BF1FC5" w:rsidRPr="004307F6">
              <w:rPr>
                <w:sz w:val="20"/>
                <w:szCs w:val="20"/>
              </w:rPr>
              <w:t>C</w:t>
            </w:r>
            <w:r w:rsidR="00BF1FC5" w:rsidRPr="004307F6">
              <w:rPr>
                <w:sz w:val="20"/>
                <w:szCs w:val="20"/>
                <w:vertAlign w:val="subscript"/>
              </w:rPr>
              <w:t>min</w:t>
            </w:r>
            <w:r w:rsidR="004307F6">
              <w:rPr>
                <w:sz w:val="20"/>
                <w:szCs w:val="20"/>
                <w:vertAlign w:val="subscript"/>
              </w:rPr>
              <w:t xml:space="preserve"> </w:t>
            </w:r>
            <w:r w:rsidRPr="004307F6">
              <w:rPr>
                <w:sz w:val="20"/>
                <w:szCs w:val="20"/>
              </w:rPr>
              <w:t>(free)</w:t>
            </w:r>
          </w:p>
        </w:tc>
        <w:tc>
          <w:tcPr>
            <w:tcW w:w="1073" w:type="dxa"/>
          </w:tcPr>
          <w:p w:rsidR="002B28C8" w:rsidRPr="004307F6" w:rsidRDefault="002B28C8" w:rsidP="004307F6">
            <w:pPr>
              <w:rPr>
                <w:sz w:val="20"/>
                <w:szCs w:val="20"/>
              </w:rPr>
            </w:pPr>
            <w:r w:rsidRPr="004307F6">
              <w:rPr>
                <w:sz w:val="20"/>
                <w:szCs w:val="20"/>
              </w:rPr>
              <w:t>Target</w:t>
            </w:r>
          </w:p>
        </w:tc>
        <w:tc>
          <w:tcPr>
            <w:tcW w:w="1376" w:type="dxa"/>
          </w:tcPr>
          <w:p w:rsidR="002B28C8" w:rsidRPr="004307F6" w:rsidRDefault="002B28C8" w:rsidP="004307F6">
            <w:pPr>
              <w:rPr>
                <w:sz w:val="20"/>
                <w:szCs w:val="20"/>
              </w:rPr>
            </w:pPr>
            <w:r w:rsidRPr="004307F6">
              <w:rPr>
                <w:sz w:val="20"/>
                <w:szCs w:val="20"/>
              </w:rPr>
              <w:t>Enzyme inhibition</w:t>
            </w:r>
            <w:r w:rsidR="004307F6">
              <w:rPr>
                <w:sz w:val="20"/>
                <w:szCs w:val="20"/>
              </w:rPr>
              <w:t xml:space="preserve"> </w:t>
            </w:r>
            <w:r w:rsidRPr="004307F6">
              <w:rPr>
                <w:sz w:val="20"/>
                <w:szCs w:val="20"/>
              </w:rPr>
              <w:t xml:space="preserve">GT 1a </w:t>
            </w:r>
            <w:r w:rsidR="001D00FC" w:rsidRPr="004307F6">
              <w:rPr>
                <w:sz w:val="20"/>
                <w:szCs w:val="20"/>
              </w:rPr>
              <w:t>and</w:t>
            </w:r>
            <w:r w:rsidRPr="004307F6">
              <w:rPr>
                <w:sz w:val="20"/>
                <w:szCs w:val="20"/>
              </w:rPr>
              <w:t xml:space="preserve"> 1b </w:t>
            </w:r>
            <w:r w:rsidR="00014BB3" w:rsidRPr="004307F6">
              <w:rPr>
                <w:sz w:val="20"/>
                <w:szCs w:val="20"/>
              </w:rPr>
              <w:t>IC</w:t>
            </w:r>
            <w:r w:rsidR="00014BB3" w:rsidRPr="004307F6">
              <w:rPr>
                <w:sz w:val="20"/>
                <w:szCs w:val="20"/>
                <w:vertAlign w:val="subscript"/>
              </w:rPr>
              <w:t>50</w:t>
            </w:r>
            <w:r w:rsidRPr="004307F6">
              <w:rPr>
                <w:sz w:val="20"/>
                <w:szCs w:val="20"/>
              </w:rPr>
              <w:t xml:space="preserve"> (nM)</w:t>
            </w:r>
          </w:p>
        </w:tc>
        <w:tc>
          <w:tcPr>
            <w:tcW w:w="2670" w:type="dxa"/>
          </w:tcPr>
          <w:p w:rsidR="002B28C8" w:rsidRPr="004307F6" w:rsidRDefault="00772535" w:rsidP="004307F6">
            <w:pPr>
              <w:rPr>
                <w:sz w:val="20"/>
                <w:szCs w:val="20"/>
              </w:rPr>
            </w:pPr>
            <w:r w:rsidRPr="004307F6">
              <w:rPr>
                <w:sz w:val="20"/>
                <w:szCs w:val="20"/>
              </w:rPr>
              <w:t>Antiviral</w:t>
            </w:r>
            <w:r w:rsidR="002B28C8" w:rsidRPr="004307F6">
              <w:rPr>
                <w:sz w:val="20"/>
                <w:szCs w:val="20"/>
              </w:rPr>
              <w:t xml:space="preserve"> activity</w:t>
            </w:r>
            <w:r w:rsidR="004307F6">
              <w:rPr>
                <w:sz w:val="20"/>
                <w:szCs w:val="20"/>
              </w:rPr>
              <w:t xml:space="preserve"> </w:t>
            </w:r>
            <w:r w:rsidR="002B28C8" w:rsidRPr="004307F6">
              <w:rPr>
                <w:sz w:val="20"/>
                <w:szCs w:val="20"/>
              </w:rPr>
              <w:t>HCV GTs 1a &amp; 1b</w:t>
            </w:r>
            <w:r w:rsidR="004307F6">
              <w:rPr>
                <w:sz w:val="20"/>
                <w:szCs w:val="20"/>
              </w:rPr>
              <w:t xml:space="preserve"> </w:t>
            </w:r>
            <w:r w:rsidR="00014BB3" w:rsidRPr="004307F6">
              <w:rPr>
                <w:sz w:val="20"/>
                <w:szCs w:val="20"/>
              </w:rPr>
              <w:t>EC</w:t>
            </w:r>
            <w:r w:rsidR="00014BB3" w:rsidRPr="004307F6">
              <w:rPr>
                <w:sz w:val="20"/>
                <w:szCs w:val="20"/>
                <w:vertAlign w:val="subscript"/>
              </w:rPr>
              <w:t>50</w:t>
            </w:r>
            <w:r w:rsidR="002B28C8" w:rsidRPr="004307F6">
              <w:rPr>
                <w:sz w:val="20"/>
                <w:szCs w:val="20"/>
              </w:rPr>
              <w:t xml:space="preserve"> </w:t>
            </w:r>
          </w:p>
        </w:tc>
        <w:tc>
          <w:tcPr>
            <w:tcW w:w="2200" w:type="dxa"/>
          </w:tcPr>
          <w:p w:rsidR="002B28C8" w:rsidRPr="004307F6" w:rsidRDefault="002B28C8" w:rsidP="004307F6">
            <w:pPr>
              <w:rPr>
                <w:sz w:val="20"/>
                <w:szCs w:val="20"/>
              </w:rPr>
            </w:pPr>
            <w:r w:rsidRPr="004307F6">
              <w:rPr>
                <w:sz w:val="20"/>
                <w:szCs w:val="20"/>
              </w:rPr>
              <w:t>Activity against other HCV genotypes</w:t>
            </w:r>
          </w:p>
        </w:tc>
      </w:tr>
      <w:tr w:rsidR="002B28C8" w:rsidRPr="004307F6" w:rsidTr="003732BA">
        <w:trPr>
          <w:trHeight w:val="2020"/>
        </w:trPr>
        <w:tc>
          <w:tcPr>
            <w:tcW w:w="1113" w:type="dxa"/>
          </w:tcPr>
          <w:p w:rsidR="002B28C8" w:rsidRPr="004307F6" w:rsidRDefault="004307F6" w:rsidP="004307F6">
            <w:pPr>
              <w:rPr>
                <w:sz w:val="20"/>
                <w:szCs w:val="20"/>
              </w:rPr>
            </w:pPr>
            <w:r w:rsidRPr="004307F6">
              <w:rPr>
                <w:sz w:val="20"/>
                <w:szCs w:val="20"/>
              </w:rPr>
              <w:t>O</w:t>
            </w:r>
            <w:r w:rsidR="002B28C8" w:rsidRPr="004307F6">
              <w:rPr>
                <w:sz w:val="20"/>
                <w:szCs w:val="20"/>
              </w:rPr>
              <w:t>mbitasvir</w:t>
            </w:r>
            <w:r>
              <w:rPr>
                <w:sz w:val="20"/>
                <w:szCs w:val="20"/>
              </w:rPr>
              <w:t xml:space="preserve"> </w:t>
            </w:r>
            <w:r w:rsidR="00BF1FC5" w:rsidRPr="004307F6">
              <w:rPr>
                <w:sz w:val="20"/>
                <w:szCs w:val="20"/>
              </w:rPr>
              <w:t>C</w:t>
            </w:r>
            <w:r w:rsidR="00BF1FC5" w:rsidRPr="004307F6">
              <w:rPr>
                <w:sz w:val="20"/>
                <w:szCs w:val="20"/>
                <w:vertAlign w:val="subscript"/>
              </w:rPr>
              <w:t>min</w:t>
            </w:r>
            <w:r w:rsidR="00BF1FC5" w:rsidRPr="004307F6">
              <w:rPr>
                <w:sz w:val="20"/>
                <w:szCs w:val="20"/>
              </w:rPr>
              <w:t xml:space="preserve"> = </w:t>
            </w:r>
            <w:r w:rsidR="002B28C8" w:rsidRPr="004307F6">
              <w:rPr>
                <w:sz w:val="20"/>
                <w:szCs w:val="20"/>
              </w:rPr>
              <w:t>32.4 pM</w:t>
            </w:r>
          </w:p>
        </w:tc>
        <w:tc>
          <w:tcPr>
            <w:tcW w:w="1073" w:type="dxa"/>
          </w:tcPr>
          <w:p w:rsidR="002B28C8" w:rsidRPr="004307F6" w:rsidRDefault="002B28C8" w:rsidP="004307F6">
            <w:pPr>
              <w:rPr>
                <w:sz w:val="20"/>
                <w:szCs w:val="20"/>
              </w:rPr>
            </w:pPr>
            <w:r w:rsidRPr="004307F6">
              <w:rPr>
                <w:sz w:val="20"/>
                <w:szCs w:val="20"/>
              </w:rPr>
              <w:t>NS5A</w:t>
            </w:r>
          </w:p>
        </w:tc>
        <w:tc>
          <w:tcPr>
            <w:tcW w:w="1376" w:type="dxa"/>
          </w:tcPr>
          <w:p w:rsidR="002B28C8" w:rsidRPr="004307F6" w:rsidRDefault="002B28C8" w:rsidP="004307F6">
            <w:pPr>
              <w:rPr>
                <w:sz w:val="20"/>
                <w:szCs w:val="20"/>
              </w:rPr>
            </w:pPr>
            <w:r w:rsidRPr="004307F6">
              <w:rPr>
                <w:sz w:val="20"/>
                <w:szCs w:val="20"/>
              </w:rPr>
              <w:t>Not applicable</w:t>
            </w:r>
          </w:p>
        </w:tc>
        <w:tc>
          <w:tcPr>
            <w:tcW w:w="2670" w:type="dxa"/>
          </w:tcPr>
          <w:p w:rsidR="002B28C8" w:rsidRPr="004307F6" w:rsidRDefault="002B28C8" w:rsidP="004307F6">
            <w:pPr>
              <w:rPr>
                <w:i/>
                <w:sz w:val="20"/>
                <w:szCs w:val="20"/>
              </w:rPr>
            </w:pPr>
            <w:r w:rsidRPr="004307F6">
              <w:rPr>
                <w:i/>
                <w:sz w:val="20"/>
                <w:szCs w:val="20"/>
              </w:rPr>
              <w:t>Laboratory strains:</w:t>
            </w:r>
          </w:p>
          <w:p w:rsidR="002B28C8" w:rsidRPr="004307F6" w:rsidRDefault="002B28C8" w:rsidP="004307F6">
            <w:pPr>
              <w:rPr>
                <w:sz w:val="20"/>
                <w:szCs w:val="20"/>
              </w:rPr>
            </w:pPr>
            <w:r w:rsidRPr="004307F6">
              <w:rPr>
                <w:sz w:val="20"/>
                <w:szCs w:val="20"/>
              </w:rPr>
              <w:t>GT 1a – 14.1 pM</w:t>
            </w:r>
          </w:p>
          <w:p w:rsidR="002B28C8" w:rsidRPr="004307F6" w:rsidRDefault="002B28C8" w:rsidP="004307F6">
            <w:pPr>
              <w:rPr>
                <w:sz w:val="20"/>
                <w:szCs w:val="20"/>
              </w:rPr>
            </w:pPr>
            <w:r w:rsidRPr="004307F6">
              <w:rPr>
                <w:sz w:val="20"/>
                <w:szCs w:val="20"/>
              </w:rPr>
              <w:t>GT 1b – 5 pM</w:t>
            </w:r>
          </w:p>
          <w:p w:rsidR="002B28C8" w:rsidRPr="004307F6" w:rsidRDefault="002B28C8" w:rsidP="004307F6">
            <w:pPr>
              <w:rPr>
                <w:i/>
                <w:sz w:val="20"/>
                <w:szCs w:val="20"/>
              </w:rPr>
            </w:pPr>
            <w:r w:rsidRPr="004307F6">
              <w:rPr>
                <w:i/>
                <w:sz w:val="20"/>
                <w:szCs w:val="20"/>
              </w:rPr>
              <w:t>Panel of clinical isolates:</w:t>
            </w:r>
          </w:p>
          <w:p w:rsidR="002B28C8" w:rsidRPr="004307F6" w:rsidRDefault="002B28C8" w:rsidP="004307F6">
            <w:pPr>
              <w:rPr>
                <w:sz w:val="20"/>
                <w:szCs w:val="20"/>
              </w:rPr>
            </w:pPr>
            <w:r w:rsidRPr="004307F6">
              <w:rPr>
                <w:sz w:val="20"/>
                <w:szCs w:val="20"/>
              </w:rPr>
              <w:t>GT 1a – 0.66 pM</w:t>
            </w:r>
          </w:p>
          <w:p w:rsidR="002B28C8" w:rsidRPr="004307F6" w:rsidRDefault="009F6EED" w:rsidP="004307F6">
            <w:pPr>
              <w:rPr>
                <w:sz w:val="20"/>
                <w:szCs w:val="20"/>
              </w:rPr>
            </w:pPr>
            <w:r w:rsidRPr="004307F6">
              <w:rPr>
                <w:sz w:val="20"/>
                <w:szCs w:val="20"/>
              </w:rPr>
              <w:t>GT</w:t>
            </w:r>
            <w:r w:rsidR="002B28C8" w:rsidRPr="004307F6">
              <w:rPr>
                <w:sz w:val="20"/>
                <w:szCs w:val="20"/>
              </w:rPr>
              <w:t xml:space="preserve"> 1b – 1.03 pM</w:t>
            </w:r>
          </w:p>
        </w:tc>
        <w:tc>
          <w:tcPr>
            <w:tcW w:w="2200" w:type="dxa"/>
          </w:tcPr>
          <w:p w:rsidR="00A26E99" w:rsidRPr="004307F6" w:rsidRDefault="002B28C8" w:rsidP="004307F6">
            <w:pPr>
              <w:rPr>
                <w:sz w:val="20"/>
                <w:szCs w:val="20"/>
              </w:rPr>
            </w:pPr>
            <w:r w:rsidRPr="004307F6">
              <w:rPr>
                <w:i/>
                <w:sz w:val="20"/>
                <w:szCs w:val="20"/>
              </w:rPr>
              <w:t>Laboratory strains:</w:t>
            </w:r>
          </w:p>
          <w:p w:rsidR="002B28C8" w:rsidRPr="004307F6" w:rsidRDefault="00014BB3" w:rsidP="004307F6">
            <w:pPr>
              <w:rPr>
                <w:sz w:val="20"/>
                <w:szCs w:val="20"/>
              </w:rPr>
            </w:pPr>
            <w:r w:rsidRPr="004307F6">
              <w:rPr>
                <w:sz w:val="20"/>
                <w:szCs w:val="20"/>
              </w:rPr>
              <w:t>EC</w:t>
            </w:r>
            <w:r w:rsidRPr="004307F6">
              <w:rPr>
                <w:sz w:val="20"/>
                <w:szCs w:val="20"/>
                <w:vertAlign w:val="subscript"/>
              </w:rPr>
              <w:t>50</w:t>
            </w:r>
            <w:r w:rsidR="008B6F3C" w:rsidRPr="004307F6">
              <w:rPr>
                <w:sz w:val="20"/>
                <w:szCs w:val="20"/>
              </w:rPr>
              <w:t xml:space="preserve"> </w:t>
            </w:r>
            <w:r w:rsidR="002B28C8" w:rsidRPr="004307F6">
              <w:rPr>
                <w:sz w:val="20"/>
                <w:szCs w:val="20"/>
              </w:rPr>
              <w:t>values (pM):</w:t>
            </w:r>
          </w:p>
          <w:p w:rsidR="002B28C8" w:rsidRPr="004307F6" w:rsidRDefault="002B28C8" w:rsidP="004307F6">
            <w:pPr>
              <w:rPr>
                <w:sz w:val="20"/>
                <w:szCs w:val="20"/>
              </w:rPr>
            </w:pPr>
            <w:r w:rsidRPr="004307F6">
              <w:rPr>
                <w:sz w:val="20"/>
                <w:szCs w:val="20"/>
              </w:rPr>
              <w:t>GT 2a – 12</w:t>
            </w:r>
          </w:p>
          <w:p w:rsidR="002B28C8" w:rsidRPr="004307F6" w:rsidRDefault="002B28C8" w:rsidP="004307F6">
            <w:pPr>
              <w:rPr>
                <w:sz w:val="20"/>
                <w:szCs w:val="20"/>
              </w:rPr>
            </w:pPr>
            <w:r w:rsidRPr="004307F6">
              <w:rPr>
                <w:sz w:val="20"/>
                <w:szCs w:val="20"/>
              </w:rPr>
              <w:t>GT 2a JFH-1 – 0.8</w:t>
            </w:r>
          </w:p>
          <w:p w:rsidR="002B28C8" w:rsidRPr="004307F6" w:rsidRDefault="002B28C8" w:rsidP="004307F6">
            <w:pPr>
              <w:rPr>
                <w:sz w:val="20"/>
                <w:szCs w:val="20"/>
              </w:rPr>
            </w:pPr>
            <w:r w:rsidRPr="004307F6">
              <w:rPr>
                <w:sz w:val="20"/>
                <w:szCs w:val="20"/>
              </w:rPr>
              <w:t>GT 2b – 4.3</w:t>
            </w:r>
          </w:p>
          <w:p w:rsidR="002B28C8" w:rsidRPr="004307F6" w:rsidRDefault="002B28C8" w:rsidP="004307F6">
            <w:pPr>
              <w:rPr>
                <w:sz w:val="20"/>
                <w:szCs w:val="20"/>
              </w:rPr>
            </w:pPr>
            <w:r w:rsidRPr="004307F6">
              <w:rPr>
                <w:sz w:val="20"/>
                <w:szCs w:val="20"/>
              </w:rPr>
              <w:t>GT 3a – 19</w:t>
            </w:r>
          </w:p>
          <w:p w:rsidR="002B28C8" w:rsidRPr="004307F6" w:rsidRDefault="002B28C8" w:rsidP="004307F6">
            <w:pPr>
              <w:rPr>
                <w:sz w:val="20"/>
                <w:szCs w:val="20"/>
              </w:rPr>
            </w:pPr>
            <w:r w:rsidRPr="004307F6">
              <w:rPr>
                <w:sz w:val="20"/>
                <w:szCs w:val="20"/>
              </w:rPr>
              <w:t>GT 4a – 1.7</w:t>
            </w:r>
          </w:p>
          <w:p w:rsidR="002B28C8" w:rsidRPr="004307F6" w:rsidRDefault="002B28C8" w:rsidP="004307F6">
            <w:pPr>
              <w:rPr>
                <w:sz w:val="20"/>
                <w:szCs w:val="20"/>
              </w:rPr>
            </w:pPr>
            <w:r w:rsidRPr="004307F6">
              <w:rPr>
                <w:sz w:val="20"/>
                <w:szCs w:val="20"/>
              </w:rPr>
              <w:t>GT 5a – 3.2</w:t>
            </w:r>
          </w:p>
          <w:p w:rsidR="002B28C8" w:rsidRPr="004307F6" w:rsidRDefault="002B28C8" w:rsidP="004307F6">
            <w:pPr>
              <w:rPr>
                <w:sz w:val="20"/>
                <w:szCs w:val="20"/>
              </w:rPr>
            </w:pPr>
            <w:r w:rsidRPr="004307F6">
              <w:rPr>
                <w:sz w:val="20"/>
                <w:szCs w:val="20"/>
              </w:rPr>
              <w:t>GT 6a - 366</w:t>
            </w:r>
          </w:p>
        </w:tc>
      </w:tr>
      <w:tr w:rsidR="002B28C8" w:rsidRPr="004307F6" w:rsidTr="003732BA">
        <w:trPr>
          <w:trHeight w:val="1746"/>
        </w:trPr>
        <w:tc>
          <w:tcPr>
            <w:tcW w:w="1113" w:type="dxa"/>
          </w:tcPr>
          <w:p w:rsidR="002B28C8" w:rsidRPr="004307F6" w:rsidRDefault="008B6F3C" w:rsidP="004307F6">
            <w:pPr>
              <w:rPr>
                <w:sz w:val="20"/>
                <w:szCs w:val="20"/>
              </w:rPr>
            </w:pPr>
            <w:r w:rsidRPr="004307F6">
              <w:rPr>
                <w:sz w:val="20"/>
                <w:szCs w:val="20"/>
              </w:rPr>
              <w:t>paritaprevir</w:t>
            </w:r>
          </w:p>
          <w:p w:rsidR="002B28C8" w:rsidRPr="004307F6" w:rsidRDefault="00BF1FC5" w:rsidP="004307F6">
            <w:pPr>
              <w:rPr>
                <w:sz w:val="20"/>
                <w:szCs w:val="20"/>
              </w:rPr>
            </w:pPr>
            <w:r w:rsidRPr="004307F6">
              <w:rPr>
                <w:sz w:val="20"/>
                <w:szCs w:val="20"/>
              </w:rPr>
              <w:t>C</w:t>
            </w:r>
            <w:r w:rsidRPr="004307F6">
              <w:rPr>
                <w:sz w:val="20"/>
                <w:szCs w:val="20"/>
                <w:vertAlign w:val="subscript"/>
              </w:rPr>
              <w:t>min</w:t>
            </w:r>
            <w:r w:rsidRPr="004307F6">
              <w:rPr>
                <w:sz w:val="20"/>
                <w:szCs w:val="20"/>
              </w:rPr>
              <w:t xml:space="preserve"> = </w:t>
            </w:r>
            <w:r w:rsidR="002B28C8" w:rsidRPr="004307F6">
              <w:rPr>
                <w:sz w:val="20"/>
                <w:szCs w:val="20"/>
              </w:rPr>
              <w:t>0.36 nM</w:t>
            </w:r>
          </w:p>
        </w:tc>
        <w:tc>
          <w:tcPr>
            <w:tcW w:w="1073" w:type="dxa"/>
          </w:tcPr>
          <w:p w:rsidR="002B28C8" w:rsidRPr="004307F6" w:rsidRDefault="002B28C8" w:rsidP="004307F6">
            <w:pPr>
              <w:rPr>
                <w:sz w:val="20"/>
                <w:szCs w:val="20"/>
              </w:rPr>
            </w:pPr>
            <w:r w:rsidRPr="004307F6">
              <w:rPr>
                <w:sz w:val="20"/>
                <w:szCs w:val="20"/>
              </w:rPr>
              <w:t>NS3/4A protease</w:t>
            </w:r>
          </w:p>
        </w:tc>
        <w:tc>
          <w:tcPr>
            <w:tcW w:w="1376" w:type="dxa"/>
          </w:tcPr>
          <w:p w:rsidR="002B28C8" w:rsidRPr="004307F6" w:rsidRDefault="002B28C8" w:rsidP="004307F6">
            <w:pPr>
              <w:rPr>
                <w:sz w:val="20"/>
                <w:szCs w:val="20"/>
              </w:rPr>
            </w:pPr>
            <w:r w:rsidRPr="004307F6">
              <w:rPr>
                <w:sz w:val="20"/>
                <w:szCs w:val="20"/>
              </w:rPr>
              <w:t>0.043</w:t>
            </w:r>
            <w:r w:rsidR="0021113A" w:rsidRPr="004307F6">
              <w:rPr>
                <w:sz w:val="20"/>
                <w:szCs w:val="20"/>
              </w:rPr>
              <w:t xml:space="preserve"> to </w:t>
            </w:r>
            <w:r w:rsidRPr="004307F6">
              <w:rPr>
                <w:sz w:val="20"/>
                <w:szCs w:val="20"/>
              </w:rPr>
              <w:t>0.43</w:t>
            </w:r>
          </w:p>
        </w:tc>
        <w:tc>
          <w:tcPr>
            <w:tcW w:w="2670" w:type="dxa"/>
          </w:tcPr>
          <w:p w:rsidR="002B28C8" w:rsidRPr="004307F6" w:rsidRDefault="002B28C8" w:rsidP="004307F6">
            <w:pPr>
              <w:rPr>
                <w:i/>
                <w:sz w:val="20"/>
                <w:szCs w:val="20"/>
              </w:rPr>
            </w:pPr>
            <w:r w:rsidRPr="004307F6">
              <w:rPr>
                <w:i/>
                <w:sz w:val="20"/>
                <w:szCs w:val="20"/>
              </w:rPr>
              <w:t>Laboratory strains:</w:t>
            </w:r>
          </w:p>
          <w:p w:rsidR="002B28C8" w:rsidRPr="004307F6" w:rsidRDefault="002B28C8" w:rsidP="004307F6">
            <w:pPr>
              <w:rPr>
                <w:sz w:val="20"/>
                <w:szCs w:val="20"/>
              </w:rPr>
            </w:pPr>
            <w:r w:rsidRPr="004307F6">
              <w:rPr>
                <w:sz w:val="20"/>
                <w:szCs w:val="20"/>
              </w:rPr>
              <w:t>GT 1a (H77) – 0.94</w:t>
            </w:r>
            <w:r w:rsidR="0021113A" w:rsidRPr="004307F6">
              <w:rPr>
                <w:sz w:val="20"/>
                <w:szCs w:val="20"/>
              </w:rPr>
              <w:t xml:space="preserve"> to </w:t>
            </w:r>
            <w:r w:rsidRPr="004307F6">
              <w:rPr>
                <w:sz w:val="20"/>
                <w:szCs w:val="20"/>
              </w:rPr>
              <w:t>1.0 nM</w:t>
            </w:r>
          </w:p>
          <w:p w:rsidR="002B28C8" w:rsidRPr="004307F6" w:rsidRDefault="002B28C8" w:rsidP="004307F6">
            <w:pPr>
              <w:rPr>
                <w:sz w:val="20"/>
                <w:szCs w:val="20"/>
              </w:rPr>
            </w:pPr>
            <w:r w:rsidRPr="004307F6">
              <w:rPr>
                <w:sz w:val="20"/>
                <w:szCs w:val="20"/>
              </w:rPr>
              <w:t>GT 1b (Con1) – 0.21</w:t>
            </w:r>
            <w:r w:rsidR="0021113A" w:rsidRPr="004307F6">
              <w:rPr>
                <w:sz w:val="20"/>
                <w:szCs w:val="20"/>
              </w:rPr>
              <w:t xml:space="preserve"> to </w:t>
            </w:r>
            <w:r w:rsidRPr="004307F6">
              <w:rPr>
                <w:sz w:val="20"/>
                <w:szCs w:val="20"/>
              </w:rPr>
              <w:t>0.32 nM</w:t>
            </w:r>
          </w:p>
          <w:p w:rsidR="002B28C8" w:rsidRPr="004307F6" w:rsidRDefault="002B28C8" w:rsidP="004307F6">
            <w:pPr>
              <w:rPr>
                <w:i/>
                <w:sz w:val="20"/>
                <w:szCs w:val="20"/>
              </w:rPr>
            </w:pPr>
            <w:r w:rsidRPr="004307F6">
              <w:rPr>
                <w:i/>
                <w:sz w:val="20"/>
                <w:szCs w:val="20"/>
              </w:rPr>
              <w:t>Panel of clinical isolates:</w:t>
            </w:r>
          </w:p>
          <w:p w:rsidR="002B28C8" w:rsidRPr="004307F6" w:rsidRDefault="002B28C8" w:rsidP="004307F6">
            <w:pPr>
              <w:rPr>
                <w:sz w:val="20"/>
                <w:szCs w:val="20"/>
              </w:rPr>
            </w:pPr>
            <w:r w:rsidRPr="004307F6">
              <w:rPr>
                <w:sz w:val="20"/>
                <w:szCs w:val="20"/>
              </w:rPr>
              <w:t>1a: 0.86 nM [range 0.43</w:t>
            </w:r>
            <w:r w:rsidR="0021113A" w:rsidRPr="004307F6">
              <w:rPr>
                <w:sz w:val="20"/>
                <w:szCs w:val="20"/>
              </w:rPr>
              <w:t xml:space="preserve"> to </w:t>
            </w:r>
            <w:r w:rsidRPr="004307F6">
              <w:rPr>
                <w:sz w:val="20"/>
                <w:szCs w:val="20"/>
              </w:rPr>
              <w:t xml:space="preserve">1.87, </w:t>
            </w:r>
            <w:r w:rsidRPr="004307F6">
              <w:rPr>
                <w:i/>
                <w:sz w:val="20"/>
                <w:szCs w:val="20"/>
              </w:rPr>
              <w:t>n</w:t>
            </w:r>
            <w:r w:rsidR="00BF1FC5" w:rsidRPr="004307F6">
              <w:rPr>
                <w:sz w:val="20"/>
                <w:szCs w:val="20"/>
              </w:rPr>
              <w:t xml:space="preserve"> = </w:t>
            </w:r>
            <w:r w:rsidRPr="004307F6">
              <w:rPr>
                <w:sz w:val="20"/>
                <w:szCs w:val="20"/>
              </w:rPr>
              <w:lastRenderedPageBreak/>
              <w:t>11]</w:t>
            </w:r>
          </w:p>
          <w:p w:rsidR="002B28C8" w:rsidRPr="004307F6" w:rsidRDefault="002B28C8" w:rsidP="004307F6">
            <w:pPr>
              <w:rPr>
                <w:sz w:val="20"/>
                <w:szCs w:val="20"/>
              </w:rPr>
            </w:pPr>
            <w:r w:rsidRPr="004307F6">
              <w:rPr>
                <w:sz w:val="20"/>
                <w:szCs w:val="20"/>
              </w:rPr>
              <w:t>1b: 0.058 nM [range 0.033</w:t>
            </w:r>
            <w:r w:rsidR="0021113A" w:rsidRPr="004307F6">
              <w:rPr>
                <w:sz w:val="20"/>
                <w:szCs w:val="20"/>
              </w:rPr>
              <w:t xml:space="preserve"> to </w:t>
            </w:r>
            <w:r w:rsidRPr="004307F6">
              <w:rPr>
                <w:sz w:val="20"/>
                <w:szCs w:val="20"/>
              </w:rPr>
              <w:t xml:space="preserve">0.087, </w:t>
            </w:r>
            <w:r w:rsidRPr="004307F6">
              <w:rPr>
                <w:i/>
                <w:sz w:val="20"/>
                <w:szCs w:val="20"/>
              </w:rPr>
              <w:t>n</w:t>
            </w:r>
            <w:r w:rsidR="00BF1FC5" w:rsidRPr="004307F6">
              <w:rPr>
                <w:sz w:val="20"/>
                <w:szCs w:val="20"/>
              </w:rPr>
              <w:t xml:space="preserve"> = </w:t>
            </w:r>
            <w:r w:rsidRPr="004307F6">
              <w:rPr>
                <w:sz w:val="20"/>
                <w:szCs w:val="20"/>
              </w:rPr>
              <w:t>9)</w:t>
            </w:r>
          </w:p>
        </w:tc>
        <w:tc>
          <w:tcPr>
            <w:tcW w:w="2200" w:type="dxa"/>
          </w:tcPr>
          <w:p w:rsidR="002B28C8" w:rsidRPr="004307F6" w:rsidRDefault="00014BB3" w:rsidP="004307F6">
            <w:pPr>
              <w:rPr>
                <w:sz w:val="20"/>
                <w:szCs w:val="20"/>
              </w:rPr>
            </w:pPr>
            <w:r w:rsidRPr="004307F6">
              <w:rPr>
                <w:sz w:val="20"/>
                <w:szCs w:val="20"/>
              </w:rPr>
              <w:lastRenderedPageBreak/>
              <w:t>EC</w:t>
            </w:r>
            <w:r w:rsidRPr="004307F6">
              <w:rPr>
                <w:sz w:val="20"/>
                <w:szCs w:val="20"/>
                <w:vertAlign w:val="subscript"/>
              </w:rPr>
              <w:t>50</w:t>
            </w:r>
            <w:r w:rsidR="008B6F3C" w:rsidRPr="004307F6">
              <w:rPr>
                <w:sz w:val="20"/>
                <w:szCs w:val="20"/>
              </w:rPr>
              <w:t xml:space="preserve"> </w:t>
            </w:r>
            <w:r w:rsidR="002B28C8" w:rsidRPr="004307F6">
              <w:rPr>
                <w:sz w:val="20"/>
                <w:szCs w:val="20"/>
              </w:rPr>
              <w:t>values (nM):</w:t>
            </w:r>
          </w:p>
          <w:p w:rsidR="002B28C8" w:rsidRPr="004307F6" w:rsidRDefault="002B28C8" w:rsidP="004307F6">
            <w:pPr>
              <w:rPr>
                <w:sz w:val="20"/>
                <w:szCs w:val="20"/>
              </w:rPr>
            </w:pPr>
          </w:p>
          <w:p w:rsidR="002B28C8" w:rsidRPr="004307F6" w:rsidRDefault="002B28C8" w:rsidP="004307F6">
            <w:pPr>
              <w:rPr>
                <w:sz w:val="20"/>
                <w:szCs w:val="20"/>
              </w:rPr>
            </w:pPr>
            <w:r w:rsidRPr="004307F6">
              <w:rPr>
                <w:sz w:val="20"/>
                <w:szCs w:val="20"/>
              </w:rPr>
              <w:t>GT 4a</w:t>
            </w:r>
            <w:r w:rsidR="00BF1FC5" w:rsidRPr="004307F6">
              <w:rPr>
                <w:sz w:val="20"/>
                <w:szCs w:val="20"/>
              </w:rPr>
              <w:t xml:space="preserve"> = </w:t>
            </w:r>
            <w:r w:rsidRPr="004307F6">
              <w:rPr>
                <w:sz w:val="20"/>
                <w:szCs w:val="20"/>
              </w:rPr>
              <w:t>0.09</w:t>
            </w:r>
          </w:p>
          <w:p w:rsidR="002B28C8" w:rsidRPr="004307F6" w:rsidRDefault="002B28C8" w:rsidP="004307F6">
            <w:pPr>
              <w:rPr>
                <w:sz w:val="20"/>
                <w:szCs w:val="20"/>
              </w:rPr>
            </w:pPr>
            <w:r w:rsidRPr="004307F6">
              <w:rPr>
                <w:sz w:val="20"/>
                <w:szCs w:val="20"/>
              </w:rPr>
              <w:t>GT 6a</w:t>
            </w:r>
            <w:r w:rsidR="00BF1FC5" w:rsidRPr="004307F6">
              <w:rPr>
                <w:sz w:val="20"/>
                <w:szCs w:val="20"/>
              </w:rPr>
              <w:t xml:space="preserve"> = </w:t>
            </w:r>
            <w:r w:rsidRPr="004307F6">
              <w:rPr>
                <w:sz w:val="20"/>
                <w:szCs w:val="20"/>
              </w:rPr>
              <w:t>0.68</w:t>
            </w:r>
          </w:p>
          <w:p w:rsidR="002B28C8" w:rsidRPr="004307F6" w:rsidRDefault="002B28C8" w:rsidP="004307F6">
            <w:pPr>
              <w:rPr>
                <w:sz w:val="20"/>
                <w:szCs w:val="20"/>
              </w:rPr>
            </w:pPr>
          </w:p>
          <w:p w:rsidR="002B28C8" w:rsidRPr="004307F6" w:rsidRDefault="002B28C8" w:rsidP="004307F6">
            <w:pPr>
              <w:rPr>
                <w:sz w:val="20"/>
                <w:szCs w:val="20"/>
              </w:rPr>
            </w:pPr>
            <w:r w:rsidRPr="004307F6">
              <w:rPr>
                <w:sz w:val="20"/>
                <w:szCs w:val="20"/>
              </w:rPr>
              <w:t>GT 2aJFH-1</w:t>
            </w:r>
            <w:r w:rsidR="00BF1FC5" w:rsidRPr="004307F6">
              <w:rPr>
                <w:sz w:val="20"/>
                <w:szCs w:val="20"/>
              </w:rPr>
              <w:t xml:space="preserve"> = </w:t>
            </w:r>
            <w:r w:rsidRPr="004307F6">
              <w:rPr>
                <w:sz w:val="20"/>
                <w:szCs w:val="20"/>
              </w:rPr>
              <w:t>5.3</w:t>
            </w:r>
          </w:p>
          <w:p w:rsidR="002B28C8" w:rsidRPr="004307F6" w:rsidRDefault="002B28C8" w:rsidP="004307F6">
            <w:pPr>
              <w:rPr>
                <w:sz w:val="20"/>
                <w:szCs w:val="20"/>
              </w:rPr>
            </w:pPr>
            <w:r w:rsidRPr="004307F6">
              <w:rPr>
                <w:sz w:val="20"/>
                <w:szCs w:val="20"/>
              </w:rPr>
              <w:lastRenderedPageBreak/>
              <w:t>GT 3a</w:t>
            </w:r>
            <w:r w:rsidR="00BF1FC5" w:rsidRPr="004307F6">
              <w:rPr>
                <w:sz w:val="20"/>
                <w:szCs w:val="20"/>
              </w:rPr>
              <w:t xml:space="preserve"> = </w:t>
            </w:r>
            <w:r w:rsidRPr="004307F6">
              <w:rPr>
                <w:sz w:val="20"/>
                <w:szCs w:val="20"/>
              </w:rPr>
              <w:t>19</w:t>
            </w:r>
          </w:p>
        </w:tc>
      </w:tr>
      <w:tr w:rsidR="002B28C8" w:rsidRPr="004307F6" w:rsidTr="003732BA">
        <w:trPr>
          <w:trHeight w:val="1323"/>
        </w:trPr>
        <w:tc>
          <w:tcPr>
            <w:tcW w:w="1113" w:type="dxa"/>
          </w:tcPr>
          <w:p w:rsidR="002B28C8" w:rsidRPr="004307F6" w:rsidRDefault="001D00FC" w:rsidP="004307F6">
            <w:pPr>
              <w:rPr>
                <w:sz w:val="20"/>
                <w:szCs w:val="20"/>
              </w:rPr>
            </w:pPr>
            <w:r w:rsidRPr="004307F6">
              <w:rPr>
                <w:sz w:val="20"/>
                <w:szCs w:val="20"/>
              </w:rPr>
              <w:lastRenderedPageBreak/>
              <w:t>d</w:t>
            </w:r>
            <w:r w:rsidR="002B28C8" w:rsidRPr="004307F6">
              <w:rPr>
                <w:sz w:val="20"/>
                <w:szCs w:val="20"/>
              </w:rPr>
              <w:t>asabuvir</w:t>
            </w:r>
          </w:p>
          <w:p w:rsidR="002B28C8" w:rsidRPr="004307F6" w:rsidRDefault="00BF1FC5" w:rsidP="004307F6">
            <w:pPr>
              <w:rPr>
                <w:sz w:val="20"/>
                <w:szCs w:val="20"/>
              </w:rPr>
            </w:pPr>
            <w:r w:rsidRPr="004307F6">
              <w:rPr>
                <w:sz w:val="20"/>
                <w:szCs w:val="20"/>
              </w:rPr>
              <w:t>C</w:t>
            </w:r>
            <w:r w:rsidRPr="004307F6">
              <w:rPr>
                <w:sz w:val="20"/>
                <w:szCs w:val="20"/>
                <w:vertAlign w:val="subscript"/>
              </w:rPr>
              <w:t>min</w:t>
            </w:r>
            <w:r w:rsidRPr="004307F6">
              <w:rPr>
                <w:sz w:val="20"/>
                <w:szCs w:val="20"/>
              </w:rPr>
              <w:t xml:space="preserve"> = </w:t>
            </w:r>
            <w:r w:rsidR="002B28C8" w:rsidRPr="004307F6">
              <w:rPr>
                <w:sz w:val="20"/>
                <w:szCs w:val="20"/>
              </w:rPr>
              <w:t>5.5 nM</w:t>
            </w:r>
          </w:p>
        </w:tc>
        <w:tc>
          <w:tcPr>
            <w:tcW w:w="1073" w:type="dxa"/>
            <w:vMerge w:val="restart"/>
          </w:tcPr>
          <w:p w:rsidR="002B28C8" w:rsidRPr="004307F6" w:rsidRDefault="002B28C8" w:rsidP="004307F6">
            <w:pPr>
              <w:rPr>
                <w:sz w:val="20"/>
                <w:szCs w:val="20"/>
              </w:rPr>
            </w:pPr>
            <w:r w:rsidRPr="004307F6">
              <w:rPr>
                <w:sz w:val="20"/>
                <w:szCs w:val="20"/>
              </w:rPr>
              <w:t>NS5B RNA polymerase</w:t>
            </w:r>
          </w:p>
        </w:tc>
        <w:tc>
          <w:tcPr>
            <w:tcW w:w="1376" w:type="dxa"/>
          </w:tcPr>
          <w:p w:rsidR="002B28C8" w:rsidRPr="004307F6" w:rsidRDefault="002B28C8" w:rsidP="004307F6">
            <w:pPr>
              <w:rPr>
                <w:sz w:val="20"/>
                <w:szCs w:val="20"/>
              </w:rPr>
            </w:pPr>
            <w:r w:rsidRPr="004307F6">
              <w:rPr>
                <w:sz w:val="20"/>
                <w:szCs w:val="20"/>
              </w:rPr>
              <w:t>4.2</w:t>
            </w:r>
          </w:p>
          <w:p w:rsidR="002B28C8" w:rsidRPr="004307F6" w:rsidRDefault="002B28C8" w:rsidP="004307F6">
            <w:pPr>
              <w:rPr>
                <w:sz w:val="20"/>
                <w:szCs w:val="20"/>
              </w:rPr>
            </w:pPr>
            <w:r w:rsidRPr="004307F6">
              <w:rPr>
                <w:sz w:val="20"/>
                <w:szCs w:val="20"/>
              </w:rPr>
              <w:t>[range 2.2</w:t>
            </w:r>
            <w:r w:rsidR="0021113A" w:rsidRPr="004307F6">
              <w:rPr>
                <w:sz w:val="20"/>
                <w:szCs w:val="20"/>
              </w:rPr>
              <w:t xml:space="preserve"> to </w:t>
            </w:r>
            <w:r w:rsidRPr="004307F6">
              <w:rPr>
                <w:sz w:val="20"/>
                <w:szCs w:val="20"/>
              </w:rPr>
              <w:t>10.7; n</w:t>
            </w:r>
            <w:r w:rsidR="00BF1FC5" w:rsidRPr="004307F6">
              <w:rPr>
                <w:sz w:val="20"/>
                <w:szCs w:val="20"/>
              </w:rPr>
              <w:t xml:space="preserve"> = </w:t>
            </w:r>
            <w:r w:rsidRPr="004307F6">
              <w:rPr>
                <w:sz w:val="20"/>
                <w:szCs w:val="20"/>
              </w:rPr>
              <w:t>7]</w:t>
            </w:r>
          </w:p>
        </w:tc>
        <w:tc>
          <w:tcPr>
            <w:tcW w:w="2670" w:type="dxa"/>
          </w:tcPr>
          <w:p w:rsidR="002B28C8" w:rsidRPr="004307F6" w:rsidRDefault="002B28C8" w:rsidP="004307F6">
            <w:pPr>
              <w:rPr>
                <w:i/>
                <w:sz w:val="20"/>
                <w:szCs w:val="20"/>
              </w:rPr>
            </w:pPr>
            <w:r w:rsidRPr="004307F6">
              <w:rPr>
                <w:i/>
                <w:sz w:val="20"/>
                <w:szCs w:val="20"/>
              </w:rPr>
              <w:t>Laboratory strains:</w:t>
            </w:r>
          </w:p>
          <w:p w:rsidR="002B28C8" w:rsidRPr="004307F6" w:rsidRDefault="002B28C8" w:rsidP="004307F6">
            <w:pPr>
              <w:rPr>
                <w:sz w:val="20"/>
                <w:szCs w:val="20"/>
              </w:rPr>
            </w:pPr>
            <w:r w:rsidRPr="004307F6">
              <w:rPr>
                <w:sz w:val="20"/>
                <w:szCs w:val="20"/>
              </w:rPr>
              <w:t>GT 1a (H77) – 7.7 nM</w:t>
            </w:r>
          </w:p>
          <w:p w:rsidR="002B28C8" w:rsidRPr="004307F6" w:rsidRDefault="002B28C8" w:rsidP="004307F6">
            <w:pPr>
              <w:rPr>
                <w:sz w:val="20"/>
                <w:szCs w:val="20"/>
              </w:rPr>
            </w:pPr>
            <w:r w:rsidRPr="004307F6">
              <w:rPr>
                <w:sz w:val="20"/>
                <w:szCs w:val="20"/>
              </w:rPr>
              <w:t>GT 1b (Con1) – 1.8 nM</w:t>
            </w:r>
          </w:p>
          <w:p w:rsidR="002B28C8" w:rsidRPr="004307F6" w:rsidRDefault="002B28C8" w:rsidP="004307F6">
            <w:pPr>
              <w:rPr>
                <w:i/>
                <w:sz w:val="20"/>
                <w:szCs w:val="20"/>
              </w:rPr>
            </w:pPr>
            <w:r w:rsidRPr="004307F6">
              <w:rPr>
                <w:i/>
                <w:sz w:val="20"/>
                <w:szCs w:val="20"/>
              </w:rPr>
              <w:t>Panel of clinical isolates:</w:t>
            </w:r>
          </w:p>
          <w:p w:rsidR="002B28C8" w:rsidRPr="004307F6" w:rsidRDefault="002B28C8" w:rsidP="004307F6">
            <w:pPr>
              <w:rPr>
                <w:sz w:val="20"/>
                <w:szCs w:val="20"/>
              </w:rPr>
            </w:pPr>
            <w:r w:rsidRPr="004307F6">
              <w:rPr>
                <w:sz w:val="20"/>
                <w:szCs w:val="20"/>
              </w:rPr>
              <w:t>1a: 0.77 nM [range 0.4</w:t>
            </w:r>
            <w:r w:rsidR="0021113A" w:rsidRPr="004307F6">
              <w:rPr>
                <w:sz w:val="20"/>
                <w:szCs w:val="20"/>
              </w:rPr>
              <w:t xml:space="preserve"> to </w:t>
            </w:r>
            <w:r w:rsidRPr="004307F6">
              <w:rPr>
                <w:sz w:val="20"/>
                <w:szCs w:val="20"/>
              </w:rPr>
              <w:t xml:space="preserve">2.1, </w:t>
            </w:r>
            <w:r w:rsidRPr="004307F6">
              <w:rPr>
                <w:i/>
                <w:sz w:val="20"/>
                <w:szCs w:val="20"/>
              </w:rPr>
              <w:t>n</w:t>
            </w:r>
            <w:r w:rsidR="00BF1FC5" w:rsidRPr="004307F6">
              <w:rPr>
                <w:sz w:val="20"/>
                <w:szCs w:val="20"/>
              </w:rPr>
              <w:t xml:space="preserve"> = </w:t>
            </w:r>
            <w:r w:rsidRPr="004307F6">
              <w:rPr>
                <w:sz w:val="20"/>
                <w:szCs w:val="20"/>
              </w:rPr>
              <w:t>11]</w:t>
            </w:r>
          </w:p>
          <w:p w:rsidR="002B28C8" w:rsidRPr="004307F6" w:rsidRDefault="002B28C8" w:rsidP="004307F6">
            <w:pPr>
              <w:rPr>
                <w:sz w:val="20"/>
                <w:szCs w:val="20"/>
              </w:rPr>
            </w:pPr>
            <w:r w:rsidRPr="004307F6">
              <w:rPr>
                <w:sz w:val="20"/>
                <w:szCs w:val="20"/>
              </w:rPr>
              <w:t>1b: 0.46 nM [range 0.2</w:t>
            </w:r>
            <w:r w:rsidR="0021113A" w:rsidRPr="004307F6">
              <w:rPr>
                <w:sz w:val="20"/>
                <w:szCs w:val="20"/>
              </w:rPr>
              <w:t xml:space="preserve"> to </w:t>
            </w:r>
            <w:r w:rsidRPr="004307F6">
              <w:rPr>
                <w:sz w:val="20"/>
                <w:szCs w:val="20"/>
              </w:rPr>
              <w:t xml:space="preserve">2.0, </w:t>
            </w:r>
            <w:r w:rsidRPr="004307F6">
              <w:rPr>
                <w:i/>
                <w:sz w:val="20"/>
                <w:szCs w:val="20"/>
              </w:rPr>
              <w:t>n</w:t>
            </w:r>
            <w:r w:rsidR="00BF1FC5" w:rsidRPr="004307F6">
              <w:rPr>
                <w:sz w:val="20"/>
                <w:szCs w:val="20"/>
              </w:rPr>
              <w:t xml:space="preserve"> = </w:t>
            </w:r>
            <w:r w:rsidRPr="004307F6">
              <w:rPr>
                <w:sz w:val="20"/>
                <w:szCs w:val="20"/>
              </w:rPr>
              <w:t>10)</w:t>
            </w:r>
          </w:p>
        </w:tc>
        <w:tc>
          <w:tcPr>
            <w:tcW w:w="2200" w:type="dxa"/>
          </w:tcPr>
          <w:p w:rsidR="002B28C8" w:rsidRPr="004307F6" w:rsidRDefault="000C3156" w:rsidP="004307F6">
            <w:pPr>
              <w:rPr>
                <w:sz w:val="20"/>
                <w:szCs w:val="20"/>
              </w:rPr>
            </w:pPr>
            <w:r w:rsidRPr="004307F6">
              <w:rPr>
                <w:sz w:val="20"/>
                <w:szCs w:val="20"/>
              </w:rPr>
              <w:t xml:space="preserve">&gt; </w:t>
            </w:r>
            <w:r w:rsidR="002B28C8" w:rsidRPr="004307F6">
              <w:rPr>
                <w:sz w:val="20"/>
                <w:szCs w:val="20"/>
              </w:rPr>
              <w:t>200</w:t>
            </w:r>
            <w:r w:rsidR="00BF1FC5" w:rsidRPr="004307F6">
              <w:rPr>
                <w:sz w:val="20"/>
                <w:szCs w:val="20"/>
              </w:rPr>
              <w:t xml:space="preserve"> fold</w:t>
            </w:r>
            <w:r w:rsidR="002B28C8" w:rsidRPr="004307F6">
              <w:rPr>
                <w:sz w:val="20"/>
                <w:szCs w:val="20"/>
              </w:rPr>
              <w:t xml:space="preserve"> lower potency against GTs 2a, 2b, 3a &amp; 4a</w:t>
            </w:r>
          </w:p>
        </w:tc>
      </w:tr>
      <w:tr w:rsidR="002B28C8" w:rsidRPr="004307F6" w:rsidTr="003732BA">
        <w:trPr>
          <w:trHeight w:val="143"/>
        </w:trPr>
        <w:tc>
          <w:tcPr>
            <w:tcW w:w="1113" w:type="dxa"/>
          </w:tcPr>
          <w:p w:rsidR="002B28C8" w:rsidRPr="004307F6" w:rsidRDefault="001D00FC" w:rsidP="004307F6">
            <w:pPr>
              <w:rPr>
                <w:sz w:val="20"/>
                <w:szCs w:val="20"/>
              </w:rPr>
            </w:pPr>
            <w:r w:rsidRPr="004307F6">
              <w:rPr>
                <w:sz w:val="20"/>
                <w:szCs w:val="20"/>
              </w:rPr>
              <w:t>d</w:t>
            </w:r>
            <w:r w:rsidR="002B28C8" w:rsidRPr="004307F6">
              <w:rPr>
                <w:sz w:val="20"/>
                <w:szCs w:val="20"/>
              </w:rPr>
              <w:t>asabuvir metabolite M1</w:t>
            </w:r>
          </w:p>
        </w:tc>
        <w:tc>
          <w:tcPr>
            <w:tcW w:w="1073" w:type="dxa"/>
            <w:vMerge/>
          </w:tcPr>
          <w:p w:rsidR="002B28C8" w:rsidRPr="004307F6" w:rsidRDefault="002B28C8" w:rsidP="004307F6">
            <w:pPr>
              <w:rPr>
                <w:sz w:val="20"/>
                <w:szCs w:val="20"/>
              </w:rPr>
            </w:pPr>
          </w:p>
        </w:tc>
        <w:tc>
          <w:tcPr>
            <w:tcW w:w="1376" w:type="dxa"/>
          </w:tcPr>
          <w:p w:rsidR="002B28C8" w:rsidRPr="004307F6" w:rsidRDefault="002B28C8" w:rsidP="004307F6">
            <w:pPr>
              <w:rPr>
                <w:sz w:val="20"/>
                <w:szCs w:val="20"/>
              </w:rPr>
            </w:pPr>
            <w:r w:rsidRPr="004307F6">
              <w:rPr>
                <w:sz w:val="20"/>
                <w:szCs w:val="20"/>
              </w:rPr>
              <w:t>Not tested</w:t>
            </w:r>
          </w:p>
        </w:tc>
        <w:tc>
          <w:tcPr>
            <w:tcW w:w="2670" w:type="dxa"/>
          </w:tcPr>
          <w:p w:rsidR="002B28C8" w:rsidRPr="004307F6" w:rsidRDefault="002B28C8" w:rsidP="004307F6">
            <w:pPr>
              <w:rPr>
                <w:i/>
                <w:sz w:val="20"/>
                <w:szCs w:val="20"/>
              </w:rPr>
            </w:pPr>
            <w:r w:rsidRPr="004307F6">
              <w:rPr>
                <w:i/>
                <w:sz w:val="20"/>
                <w:szCs w:val="20"/>
              </w:rPr>
              <w:t xml:space="preserve">Laboratory strains </w:t>
            </w:r>
            <w:r w:rsidRPr="004307F6">
              <w:rPr>
                <w:sz w:val="20"/>
                <w:szCs w:val="20"/>
              </w:rPr>
              <w:t>(</w:t>
            </w:r>
            <w:r w:rsidR="00014BB3" w:rsidRPr="004307F6">
              <w:rPr>
                <w:sz w:val="20"/>
                <w:szCs w:val="20"/>
              </w:rPr>
              <w:t>EC</w:t>
            </w:r>
            <w:r w:rsidR="00014BB3" w:rsidRPr="004307F6">
              <w:rPr>
                <w:sz w:val="20"/>
                <w:szCs w:val="20"/>
                <w:vertAlign w:val="subscript"/>
              </w:rPr>
              <w:t>50</w:t>
            </w:r>
            <w:r w:rsidRPr="004307F6">
              <w:rPr>
                <w:sz w:val="20"/>
                <w:szCs w:val="20"/>
                <w:vertAlign w:val="subscript"/>
              </w:rPr>
              <w:t xml:space="preserve"> </w:t>
            </w:r>
            <w:r w:rsidRPr="004307F6">
              <w:rPr>
                <w:sz w:val="20"/>
                <w:szCs w:val="20"/>
              </w:rPr>
              <w:t>in presence of human plasma):</w:t>
            </w:r>
          </w:p>
          <w:p w:rsidR="002B28C8" w:rsidRPr="004307F6" w:rsidRDefault="002B28C8" w:rsidP="004307F6">
            <w:pPr>
              <w:rPr>
                <w:sz w:val="20"/>
                <w:szCs w:val="20"/>
              </w:rPr>
            </w:pPr>
            <w:r w:rsidRPr="004307F6">
              <w:rPr>
                <w:sz w:val="20"/>
                <w:szCs w:val="20"/>
              </w:rPr>
              <w:t>GT 1a (H77) – 143 nM</w:t>
            </w:r>
          </w:p>
          <w:p w:rsidR="002B28C8" w:rsidRPr="004307F6" w:rsidRDefault="002B28C8" w:rsidP="004307F6">
            <w:pPr>
              <w:rPr>
                <w:sz w:val="20"/>
                <w:szCs w:val="20"/>
              </w:rPr>
            </w:pPr>
            <w:r w:rsidRPr="004307F6">
              <w:rPr>
                <w:sz w:val="20"/>
                <w:szCs w:val="20"/>
              </w:rPr>
              <w:t>GT 1b (Con1) – 26 nM</w:t>
            </w:r>
          </w:p>
        </w:tc>
        <w:tc>
          <w:tcPr>
            <w:tcW w:w="2200" w:type="dxa"/>
          </w:tcPr>
          <w:p w:rsidR="002B28C8" w:rsidRPr="004307F6" w:rsidRDefault="002B28C8" w:rsidP="004307F6">
            <w:pPr>
              <w:rPr>
                <w:sz w:val="20"/>
                <w:szCs w:val="20"/>
              </w:rPr>
            </w:pPr>
            <w:r w:rsidRPr="004307F6">
              <w:rPr>
                <w:sz w:val="20"/>
                <w:szCs w:val="20"/>
              </w:rPr>
              <w:t>Not tested</w:t>
            </w:r>
          </w:p>
        </w:tc>
      </w:tr>
    </w:tbl>
    <w:p w:rsidR="002B28C8" w:rsidRPr="002B28C8" w:rsidRDefault="002B28C8" w:rsidP="002B28C8">
      <w:r w:rsidRPr="002B28C8">
        <w:t>Pairwise combinations of paritaprevir, ombitasvir, dasabuvir and ribavirin showed additive to synergistic HCV genotype 1 antiviral activity when teste</w:t>
      </w:r>
      <w:r>
        <w:t>d in short term culture assays.</w:t>
      </w:r>
    </w:p>
    <w:p w:rsidR="002B28C8" w:rsidRPr="002B28C8" w:rsidRDefault="002B28C8" w:rsidP="002B28C8">
      <w:pPr>
        <w:pStyle w:val="Heading5"/>
      </w:pPr>
      <w:r w:rsidRPr="002B28C8">
        <w:t>Resistance and cross-resistance</w:t>
      </w:r>
    </w:p>
    <w:p w:rsidR="002B28C8" w:rsidRPr="002B28C8" w:rsidRDefault="002B28C8" w:rsidP="002B28C8">
      <w:r w:rsidRPr="002B28C8">
        <w:t xml:space="preserve">Mutations in the target viral proteins that conferred resistance to the individual </w:t>
      </w:r>
      <w:r w:rsidR="00237CBE">
        <w:t>3DAA</w:t>
      </w:r>
      <w:r w:rsidRPr="002B28C8">
        <w:t>s were identified from in vitro studies (</w:t>
      </w:r>
      <w:r w:rsidR="00640225">
        <w:t>treatment emergent</w:t>
      </w:r>
      <w:r w:rsidRPr="002B28C8">
        <w:t xml:space="preserve"> mutations in HCV replicon assays) and e</w:t>
      </w:r>
      <w:r w:rsidR="001D00FC">
        <w:t>arly clinical studies.</w:t>
      </w:r>
    </w:p>
    <w:p w:rsidR="002B28C8" w:rsidRDefault="002B28C8" w:rsidP="002B28C8">
      <w:pPr>
        <w:pStyle w:val="Heading6"/>
      </w:pPr>
      <w:r w:rsidRPr="002B28C8">
        <w:t>Paritaprevir</w:t>
      </w:r>
    </w:p>
    <w:p w:rsidR="002B28C8" w:rsidRPr="002B28C8" w:rsidRDefault="002B28C8" w:rsidP="002B28C8">
      <w:r w:rsidRPr="002B28C8">
        <w:t>Variants at amino acid positions 43, 155, 156 and 168 in genotype 1a generally conferred greater than 7</w:t>
      </w:r>
      <w:r w:rsidR="00BF1FC5">
        <w:t xml:space="preserve"> fold</w:t>
      </w:r>
      <w:r w:rsidRPr="002B28C8">
        <w:t xml:space="preserve"> resistance to paritaprevir in vitro, while substitutions at 23, 36, 54</w:t>
      </w:r>
      <w:r w:rsidR="0021113A">
        <w:t xml:space="preserve"> to </w:t>
      </w:r>
      <w:r w:rsidRPr="002B28C8">
        <w:t>56, 80 and 357 were only associated with small (</w:t>
      </w:r>
      <w:r w:rsidR="00AE29C4">
        <w:t xml:space="preserve">≤ </w:t>
      </w:r>
      <w:r w:rsidRPr="002B28C8">
        <w:t>3</w:t>
      </w:r>
      <w:r w:rsidR="00BF1FC5">
        <w:t xml:space="preserve"> fold</w:t>
      </w:r>
      <w:r w:rsidRPr="002B28C8">
        <w:t xml:space="preserve">) increases in resistance. Resistance mutations V36L/M, F43L or E357K in combination with R155K or a D168 </w:t>
      </w:r>
      <w:r w:rsidR="001D00FC">
        <w:t xml:space="preserve">substitution increased the fold </w:t>
      </w:r>
      <w:r w:rsidRPr="002B28C8">
        <w:t>resistance of the latter mutation a further 2</w:t>
      </w:r>
      <w:r w:rsidR="0021113A">
        <w:t xml:space="preserve"> to </w:t>
      </w:r>
      <w:r w:rsidRPr="002B28C8">
        <w:t xml:space="preserve">7 fold. For the genotype 1b strain, substitutions at amino acid positions 155 and 168 were associated with increased resistance to paritaprevir. Substitutions at amino acid positions 54, 55 and 170 were not notably more resistant to paritaprevir, while some substitutions at position 156 were associated with modestly increased resistance. Clinically, the most common </w:t>
      </w:r>
      <w:r w:rsidRPr="002B28C8">
        <w:lastRenderedPageBreak/>
        <w:t xml:space="preserve">variants observed in NS3 in genotype 1 infected </w:t>
      </w:r>
      <w:proofErr w:type="gramStart"/>
      <w:r w:rsidRPr="002B28C8">
        <w:t>subjects</w:t>
      </w:r>
      <w:proofErr w:type="gramEnd"/>
      <w:r w:rsidRPr="002B28C8">
        <w:t xml:space="preserve"> that conferred resistance to paritaprevir were R155K and D168A/V/Y, either alone or in combination of V36M, Y56H or E357K in genotype 1a, and D168V alone and in combination with Y56H in genotype 1b.</w:t>
      </w:r>
    </w:p>
    <w:p w:rsidR="002B28C8" w:rsidRPr="002B28C8" w:rsidRDefault="002B28C8" w:rsidP="002B28C8">
      <w:r w:rsidRPr="002B28C8">
        <w:t>Mutations at amino acid position 155 and 156 that are likely to confer resistance to paritaprevir based on the in vitro studies are also associated with resistance to most other NS3 protease inhibitors,</w:t>
      </w:r>
      <w:r w:rsidR="001D00FC" w:rsidRPr="001D00FC">
        <w:rPr>
          <w:vertAlign w:val="superscript"/>
        </w:rPr>
        <w:fldChar w:fldCharType="begin"/>
      </w:r>
      <w:r w:rsidR="001D00FC" w:rsidRPr="001D00FC">
        <w:rPr>
          <w:vertAlign w:val="superscript"/>
        </w:rPr>
        <w:instrText xml:space="preserve"> NOTEREF _Ref471977534 \h </w:instrText>
      </w:r>
      <w:r w:rsidR="001D00FC">
        <w:rPr>
          <w:vertAlign w:val="superscript"/>
        </w:rPr>
        <w:instrText xml:space="preserve"> \* MERGEFORMAT </w:instrText>
      </w:r>
      <w:r w:rsidR="001D00FC" w:rsidRPr="001D00FC">
        <w:rPr>
          <w:vertAlign w:val="superscript"/>
        </w:rPr>
      </w:r>
      <w:r w:rsidR="001D00FC" w:rsidRPr="001D00FC">
        <w:rPr>
          <w:vertAlign w:val="superscript"/>
        </w:rPr>
        <w:fldChar w:fldCharType="separate"/>
      </w:r>
      <w:r w:rsidR="001D00FC" w:rsidRPr="001D00FC">
        <w:rPr>
          <w:vertAlign w:val="superscript"/>
        </w:rPr>
        <w:t>8</w:t>
      </w:r>
      <w:r w:rsidR="001D00FC" w:rsidRPr="001D00FC">
        <w:rPr>
          <w:vertAlign w:val="superscript"/>
        </w:rPr>
        <w:fldChar w:fldCharType="end"/>
      </w:r>
      <w:r w:rsidR="001D00FC">
        <w:t xml:space="preserve"> </w:t>
      </w:r>
      <w:r w:rsidRPr="002B28C8">
        <w:t>and hence patients that have failed therapy with other NS3/4A inhibitors may not be susceptible to paritaprevir (and vice versa). However, certain variants associated with resistance to telaprevir, boceprevir and a number of other NS3 inhibitors currently under development or more recently introduced to the market (V36A/M, T54A, V55A, Q80R/K, A156S, and V170A) may be susceptible to paritaprevir based on the results of the in vitro virology data. Mutations at position 168 are common to most macrocyclic NS3 inhibitors including paritaprevir, but these variants are susceptible to NS3 inhibitors having a linear chemical scaffold, such as telaprevir and boceprevir.</w:t>
      </w:r>
    </w:p>
    <w:p w:rsidR="002B28C8" w:rsidRDefault="002B28C8" w:rsidP="002B28C8">
      <w:pPr>
        <w:pStyle w:val="Heading6"/>
      </w:pPr>
      <w:r>
        <w:t>Ombitasvir</w:t>
      </w:r>
    </w:p>
    <w:p w:rsidR="002B28C8" w:rsidRPr="002B28C8" w:rsidRDefault="002B28C8" w:rsidP="002B28C8">
      <w:r w:rsidRPr="002B28C8">
        <w:t>Mutations at residues M28, Q30 and Y93 were found to be the most prevalent for</w:t>
      </w:r>
      <w:r w:rsidR="009F6EED">
        <w:t xml:space="preserve"> genotype</w:t>
      </w:r>
      <w:r w:rsidRPr="002B28C8">
        <w:t xml:space="preserve"> 1a and L28 and Y93 for</w:t>
      </w:r>
      <w:r w:rsidR="009F6EED">
        <w:t xml:space="preserve"> genotype</w:t>
      </w:r>
      <w:r w:rsidRPr="002B28C8">
        <w:t xml:space="preserve"> 1b in vitro. The magnitude of resistance was high for</w:t>
      </w:r>
      <w:r w:rsidR="009F6EED">
        <w:t xml:space="preserve"> genotype</w:t>
      </w:r>
      <w:r w:rsidRPr="002B28C8">
        <w:t xml:space="preserve"> 1a mutants of the Y93H, M28T, Y93C and Q30R variants, showin</w:t>
      </w:r>
      <w:r w:rsidR="00DF2650">
        <w:t xml:space="preserve">g fold </w:t>
      </w:r>
      <w:r w:rsidRPr="002B28C8">
        <w:t>resistances of 41</w:t>
      </w:r>
      <w:r w:rsidR="00DF2650">
        <w:t>,</w:t>
      </w:r>
      <w:r w:rsidRPr="002B28C8">
        <w:t>000, 8</w:t>
      </w:r>
      <w:r w:rsidR="00DF2650">
        <w:t>,</w:t>
      </w:r>
      <w:r w:rsidRPr="002B28C8">
        <w:t>900, 1</w:t>
      </w:r>
      <w:r w:rsidR="00DF2650">
        <w:t>,</w:t>
      </w:r>
      <w:r w:rsidRPr="002B28C8">
        <w:t>700 and 810 respectively, while</w:t>
      </w:r>
      <w:r w:rsidR="009F6EED">
        <w:t xml:space="preserve"> genotype</w:t>
      </w:r>
      <w:r w:rsidRPr="002B28C8">
        <w:t xml:space="preserve"> 1b mutan</w:t>
      </w:r>
      <w:r w:rsidR="00DF2650">
        <w:t xml:space="preserve">ts L28T and Y93H conferred fold </w:t>
      </w:r>
      <w:r w:rsidRPr="002B28C8">
        <w:t>resistances of 430 and 50, respectively. Of the emergent mutants, the M28T mutant of</w:t>
      </w:r>
      <w:r w:rsidR="009F6EED">
        <w:t xml:space="preserve"> genotype</w:t>
      </w:r>
      <w:r w:rsidRPr="002B28C8">
        <w:t xml:space="preserve"> 1a showed substantial resistance to ombitasvir and no impairment to viral replication efficiency. For</w:t>
      </w:r>
      <w:r w:rsidR="009F6EED">
        <w:t xml:space="preserve"> genotype</w:t>
      </w:r>
      <w:r w:rsidRPr="002B28C8">
        <w:t xml:space="preserve"> 1b mutant</w:t>
      </w:r>
      <w:r w:rsidR="001D00FC">
        <w:t xml:space="preserve"> L31F conferred approximately 9 </w:t>
      </w:r>
      <w:r w:rsidRPr="002B28C8">
        <w:t>fold resistance to ombitasvir and a slight increase (approximately 30%) in replication efficiency. Substitutions at residues 30 and 93 are known to occur with other NS5a inhibitors. In particular, substitution of the Y93</w:t>
      </w:r>
      <w:r w:rsidR="00DF2650">
        <w:t xml:space="preserve"> residue is regarded as a class </w:t>
      </w:r>
      <w:r w:rsidRPr="002B28C8">
        <w:t>defining resistance mutation because it is frequently observed with inhibitor substances.</w:t>
      </w:r>
      <w:r w:rsidR="00E66096" w:rsidRPr="00E66096">
        <w:rPr>
          <w:vertAlign w:val="superscript"/>
        </w:rPr>
        <w:fldChar w:fldCharType="begin"/>
      </w:r>
      <w:r w:rsidR="00E66096" w:rsidRPr="00E66096">
        <w:rPr>
          <w:vertAlign w:val="superscript"/>
        </w:rPr>
        <w:instrText xml:space="preserve"> NOTEREF _Ref471977652 \h </w:instrText>
      </w:r>
      <w:r w:rsidR="00E66096">
        <w:rPr>
          <w:vertAlign w:val="superscript"/>
        </w:rPr>
        <w:instrText xml:space="preserve"> \* MERGEFORMAT </w:instrText>
      </w:r>
      <w:r w:rsidR="00E66096" w:rsidRPr="00E66096">
        <w:rPr>
          <w:vertAlign w:val="superscript"/>
        </w:rPr>
      </w:r>
      <w:r w:rsidR="00E66096" w:rsidRPr="00E66096">
        <w:rPr>
          <w:vertAlign w:val="superscript"/>
        </w:rPr>
        <w:fldChar w:fldCharType="separate"/>
      </w:r>
      <w:r w:rsidR="00E66096" w:rsidRPr="00E66096">
        <w:rPr>
          <w:vertAlign w:val="superscript"/>
        </w:rPr>
        <w:t>29</w:t>
      </w:r>
      <w:r w:rsidR="00E66096" w:rsidRPr="00E66096">
        <w:rPr>
          <w:vertAlign w:val="superscript"/>
        </w:rPr>
        <w:fldChar w:fldCharType="end"/>
      </w:r>
      <w:r w:rsidR="008B6F3C">
        <w:t xml:space="preserve"> </w:t>
      </w:r>
      <w:r w:rsidRPr="002B28C8">
        <w:t xml:space="preserve">Cross-resistance studies against known mutant variants of NS3 protease and NS5B polymerase found no difference in ombitasvir sensitivity between these variants and wild type forms of 1a and 1b. Clinically, the most common variants observed in NS5A in genotype 1 infected subjects that conferred resistance to ombitasvir were M28T, M28V, Q30R, H58D, and Y93N in genotype </w:t>
      </w:r>
      <w:proofErr w:type="gramStart"/>
      <w:r w:rsidRPr="002B28C8">
        <w:t>1a,</w:t>
      </w:r>
      <w:proofErr w:type="gramEnd"/>
      <w:r w:rsidRPr="002B28C8">
        <w:t xml:space="preserve"> and Y93H in genotype 1b.</w:t>
      </w:r>
    </w:p>
    <w:p w:rsidR="002B28C8" w:rsidRDefault="002B28C8" w:rsidP="002B28C8">
      <w:pPr>
        <w:pStyle w:val="Heading6"/>
      </w:pPr>
      <w:r>
        <w:t>Dasabuvir</w:t>
      </w:r>
    </w:p>
    <w:p w:rsidR="002B28C8" w:rsidRPr="002B28C8" w:rsidRDefault="002B28C8" w:rsidP="002B28C8">
      <w:r w:rsidRPr="002B28C8">
        <w:t>Mutations at C316, S368, A395, N411, M414, E446 (genotype 1a only), Y448, A553, G554, S556 or D559 (or combinations of these) conferre</w:t>
      </w:r>
      <w:r w:rsidR="001D00FC">
        <w:t>d resistance to dasabuvir (</w:t>
      </w:r>
      <w:r w:rsidR="00014BB3">
        <w:t>EC</w:t>
      </w:r>
      <w:r w:rsidR="00014BB3" w:rsidRPr="00E355BF">
        <w:rPr>
          <w:vertAlign w:val="subscript"/>
        </w:rPr>
        <w:t>50</w:t>
      </w:r>
      <w:r w:rsidR="001D00FC">
        <w:t> &gt; 5.5 </w:t>
      </w:r>
      <w:r w:rsidRPr="002B28C8">
        <w:t>nM; approximately 7</w:t>
      </w:r>
      <w:r w:rsidR="00BF1FC5">
        <w:t xml:space="preserve"> fold</w:t>
      </w:r>
      <w:r w:rsidRPr="002B28C8">
        <w:t xml:space="preserve"> increase over wild type </w:t>
      </w:r>
      <w:r w:rsidR="00014BB3">
        <w:t>EC</w:t>
      </w:r>
      <w:r w:rsidR="00014BB3" w:rsidRPr="00E355BF">
        <w:rPr>
          <w:vertAlign w:val="subscript"/>
        </w:rPr>
        <w:t>50</w:t>
      </w:r>
      <w:r w:rsidRPr="002B28C8">
        <w:t>).Mutations C326Y and M414T have been reported to confer resistance to the non-nucleoside inhibitor, JTK-853</w:t>
      </w:r>
      <w:r w:rsidR="001D00FC" w:rsidRPr="002B28C8">
        <w:t xml:space="preserve"> </w:t>
      </w:r>
      <w:r w:rsidRPr="002B28C8">
        <w:t>(not yet registered)</w:t>
      </w:r>
      <w:proofErr w:type="gramStart"/>
      <w:r w:rsidRPr="002B28C8">
        <w:t>,</w:t>
      </w:r>
      <w:proofErr w:type="gramEnd"/>
      <w:r w:rsidR="00E66096" w:rsidRPr="00E66096">
        <w:rPr>
          <w:vertAlign w:val="superscript"/>
        </w:rPr>
        <w:fldChar w:fldCharType="begin"/>
      </w:r>
      <w:r w:rsidR="00E66096" w:rsidRPr="00E66096">
        <w:rPr>
          <w:vertAlign w:val="superscript"/>
        </w:rPr>
        <w:instrText xml:space="preserve"> NOTEREF _Ref471977715 \h </w:instrText>
      </w:r>
      <w:r w:rsidR="00E66096">
        <w:rPr>
          <w:vertAlign w:val="superscript"/>
        </w:rPr>
        <w:instrText xml:space="preserve"> \* MERGEFORMAT </w:instrText>
      </w:r>
      <w:r w:rsidR="00E66096" w:rsidRPr="00E66096">
        <w:rPr>
          <w:vertAlign w:val="superscript"/>
        </w:rPr>
      </w:r>
      <w:r w:rsidR="00E66096" w:rsidRPr="00E66096">
        <w:rPr>
          <w:vertAlign w:val="superscript"/>
        </w:rPr>
        <w:fldChar w:fldCharType="separate"/>
      </w:r>
      <w:r w:rsidR="00E66096" w:rsidRPr="00E66096">
        <w:rPr>
          <w:vertAlign w:val="superscript"/>
        </w:rPr>
        <w:t>38</w:t>
      </w:r>
      <w:r w:rsidR="00E66096" w:rsidRPr="00E66096">
        <w:rPr>
          <w:vertAlign w:val="superscript"/>
        </w:rPr>
        <w:fldChar w:fldCharType="end"/>
      </w:r>
      <w:r w:rsidRPr="002B28C8">
        <w:t xml:space="preserve"> that binds with the palm site and β-hairpin region of the HCV polymerase. Therefore, </w:t>
      </w:r>
      <w:r w:rsidR="00640225">
        <w:t>treatment emergent</w:t>
      </w:r>
      <w:r w:rsidRPr="002B28C8">
        <w:t xml:space="preserve"> dasabuvir resistant strains may also be resistant to JTK</w:t>
      </w:r>
      <w:r w:rsidRPr="002B28C8">
        <w:noBreakHyphen/>
        <w:t>853, and vice versa. Mutations at M423 (to M423V/T/I) in the polymerase thumb domain have been reported to confer resistance to the non-nucleoside polymerase inhibitors, NNI-1</w:t>
      </w:r>
      <w:r w:rsidR="001D00FC">
        <w:t>,</w:t>
      </w:r>
      <w:r w:rsidR="00E66096" w:rsidRPr="00E66096">
        <w:rPr>
          <w:vertAlign w:val="superscript"/>
        </w:rPr>
        <w:fldChar w:fldCharType="begin"/>
      </w:r>
      <w:r w:rsidR="00E66096" w:rsidRPr="00E66096">
        <w:rPr>
          <w:vertAlign w:val="superscript"/>
        </w:rPr>
        <w:instrText xml:space="preserve"> NOTEREF _Ref471977760 \h  \* MERGEFORMAT </w:instrText>
      </w:r>
      <w:r w:rsidR="00E66096" w:rsidRPr="00E66096">
        <w:rPr>
          <w:vertAlign w:val="superscript"/>
        </w:rPr>
      </w:r>
      <w:r w:rsidR="00E66096" w:rsidRPr="00E66096">
        <w:rPr>
          <w:vertAlign w:val="superscript"/>
        </w:rPr>
        <w:fldChar w:fldCharType="separate"/>
      </w:r>
      <w:r w:rsidR="00E66096" w:rsidRPr="00E66096">
        <w:rPr>
          <w:vertAlign w:val="superscript"/>
        </w:rPr>
        <w:t>39</w:t>
      </w:r>
      <w:r w:rsidR="00E66096" w:rsidRPr="00E66096">
        <w:rPr>
          <w:vertAlign w:val="superscript"/>
        </w:rPr>
        <w:fldChar w:fldCharType="end"/>
      </w:r>
      <w:r w:rsidRPr="002B28C8">
        <w:t>filibuvir</w:t>
      </w:r>
      <w:r w:rsidR="001D00FC">
        <w:t>,</w:t>
      </w:r>
      <w:r w:rsidR="00E66096" w:rsidRPr="00E66096">
        <w:rPr>
          <w:vertAlign w:val="superscript"/>
        </w:rPr>
        <w:fldChar w:fldCharType="begin"/>
      </w:r>
      <w:r w:rsidR="00E66096" w:rsidRPr="00E66096">
        <w:rPr>
          <w:vertAlign w:val="superscript"/>
        </w:rPr>
        <w:instrText xml:space="preserve"> NOTEREF _Ref471977788 \h  \* MERGEFORMAT </w:instrText>
      </w:r>
      <w:r w:rsidR="00E66096" w:rsidRPr="00E66096">
        <w:rPr>
          <w:vertAlign w:val="superscript"/>
        </w:rPr>
      </w:r>
      <w:r w:rsidR="00E66096" w:rsidRPr="00E66096">
        <w:rPr>
          <w:vertAlign w:val="superscript"/>
        </w:rPr>
        <w:fldChar w:fldCharType="separate"/>
      </w:r>
      <w:r w:rsidR="00E66096" w:rsidRPr="00E66096">
        <w:rPr>
          <w:vertAlign w:val="superscript"/>
        </w:rPr>
        <w:t>40</w:t>
      </w:r>
      <w:r w:rsidR="00E66096" w:rsidRPr="00E66096">
        <w:rPr>
          <w:vertAlign w:val="superscript"/>
        </w:rPr>
        <w:fldChar w:fldCharType="end"/>
      </w:r>
      <w:r w:rsidRPr="002B28C8">
        <w:t xml:space="preserve"> lomibuvir</w:t>
      </w:r>
      <w:r w:rsidR="00985396" w:rsidRPr="00985396">
        <w:rPr>
          <w:vertAlign w:val="superscript"/>
        </w:rPr>
        <w:fldChar w:fldCharType="begin"/>
      </w:r>
      <w:r w:rsidR="00985396" w:rsidRPr="00985396">
        <w:rPr>
          <w:vertAlign w:val="superscript"/>
        </w:rPr>
        <w:instrText xml:space="preserve"> NOTEREF _Ref471977816 \h </w:instrText>
      </w:r>
      <w:r w:rsidR="00985396">
        <w:rPr>
          <w:vertAlign w:val="superscript"/>
        </w:rPr>
        <w:instrText xml:space="preserve">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41</w:t>
      </w:r>
      <w:r w:rsidR="00985396" w:rsidRPr="00985396">
        <w:rPr>
          <w:vertAlign w:val="superscript"/>
        </w:rPr>
        <w:fldChar w:fldCharType="end"/>
      </w:r>
      <w:r w:rsidR="001D00FC">
        <w:t xml:space="preserve"> </w:t>
      </w:r>
      <w:r w:rsidRPr="002B28C8">
        <w:t>and VX-222</w:t>
      </w:r>
      <w:r w:rsidR="00985396" w:rsidRPr="00985396">
        <w:rPr>
          <w:vertAlign w:val="superscript"/>
        </w:rPr>
        <w:fldChar w:fldCharType="begin"/>
      </w:r>
      <w:r w:rsidR="00985396" w:rsidRPr="00985396">
        <w:rPr>
          <w:vertAlign w:val="superscript"/>
        </w:rPr>
        <w:instrText xml:space="preserve"> NOTEREF _Ref471977864 \h </w:instrText>
      </w:r>
      <w:r w:rsidR="00985396">
        <w:rPr>
          <w:vertAlign w:val="superscript"/>
        </w:rPr>
        <w:instrText xml:space="preserve">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42</w:t>
      </w:r>
      <w:r w:rsidR="00985396" w:rsidRPr="00985396">
        <w:rPr>
          <w:vertAlign w:val="superscript"/>
        </w:rPr>
        <w:fldChar w:fldCharType="end"/>
      </w:r>
      <w:r w:rsidRPr="001D00FC">
        <w:rPr>
          <w:vertAlign w:val="superscript"/>
        </w:rPr>
        <w:t xml:space="preserve"> </w:t>
      </w:r>
      <w:r w:rsidRPr="002B28C8">
        <w:t>and the mutation P459L has been reported to confer resistance to the nonnucleoside inhibitor, TMC647055</w:t>
      </w:r>
      <w:r w:rsidR="00985396" w:rsidRPr="00985396">
        <w:rPr>
          <w:vertAlign w:val="superscript"/>
        </w:rPr>
        <w:fldChar w:fldCharType="begin"/>
      </w:r>
      <w:r w:rsidR="00985396" w:rsidRPr="00985396">
        <w:rPr>
          <w:vertAlign w:val="superscript"/>
        </w:rPr>
        <w:instrText xml:space="preserve"> NOTEREF _Ref471921539 \h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43</w:t>
      </w:r>
      <w:r w:rsidR="00985396" w:rsidRPr="00985396">
        <w:rPr>
          <w:vertAlign w:val="superscript"/>
        </w:rPr>
        <w:fldChar w:fldCharType="end"/>
      </w:r>
      <w:r w:rsidRPr="002B28C8">
        <w:t xml:space="preserve">. The M423T and P495L mutations had no effect on dasabuvir </w:t>
      </w:r>
      <w:r w:rsidR="003732BA" w:rsidRPr="002B28C8">
        <w:t>potency;</w:t>
      </w:r>
      <w:r w:rsidRPr="002B28C8">
        <w:t xml:space="preserve"> suggesting dasabuvir may be effective in patients carrying HCV genotypes 1a and 1b that are resistant to NNI-1, filibuvir, lomibuvir and VX-222 by virtue of a M423T mutation and TMC647055 by virtue of a P495L mutation. Unfortunately, the efficacy of dasabuvir against other mutations conferring resistance to these inhibitors (L419M, R422K, M426A, I482L/N/T, A486S/T/V, L392I and V494A) was not assessed. Therefore, it is unknown if dasabuvir will be effective against genotype 1a and 1b HCV strains that are resistant to these other nonnucleoside inhibitors. Future studies with dasabuvir should assess efficacy against these mutant variants.</w:t>
      </w:r>
    </w:p>
    <w:p w:rsidR="002B28C8" w:rsidRPr="002B28C8" w:rsidRDefault="002B28C8" w:rsidP="002B28C8">
      <w:r w:rsidRPr="002B28C8">
        <w:lastRenderedPageBreak/>
        <w:t>The S282T mutation which has been reported to confer resistance to the NS5B polymerase nucleoside inhibitor, sofosbuvir</w:t>
      </w:r>
      <w:proofErr w:type="gramStart"/>
      <w:r w:rsidR="001D00FC">
        <w:t>,</w:t>
      </w:r>
      <w:proofErr w:type="gramEnd"/>
      <w:r w:rsidR="00985396" w:rsidRPr="00985396">
        <w:rPr>
          <w:vertAlign w:val="superscript"/>
        </w:rPr>
        <w:fldChar w:fldCharType="begin"/>
      </w:r>
      <w:r w:rsidR="00985396" w:rsidRPr="00985396">
        <w:rPr>
          <w:vertAlign w:val="superscript"/>
        </w:rPr>
        <w:instrText xml:space="preserve"> NOTEREF _Ref471978000 \h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44</w:t>
      </w:r>
      <w:r w:rsidR="00985396" w:rsidRPr="00985396">
        <w:rPr>
          <w:vertAlign w:val="superscript"/>
        </w:rPr>
        <w:fldChar w:fldCharType="end"/>
      </w:r>
      <w:r w:rsidR="001D00FC">
        <w:t xml:space="preserve"> </w:t>
      </w:r>
      <w:r w:rsidRPr="002B28C8">
        <w:t>did not confer resistance to dasabuvir. The S96T mutation, which has also been reported to confer resistance to nucleoside NS5B polymerase inhibitors</w:t>
      </w:r>
      <w:r w:rsidR="003566FC">
        <w:t xml:space="preserve"> </w:t>
      </w:r>
      <w:r w:rsidR="00985396" w:rsidRPr="00985396">
        <w:rPr>
          <w:vertAlign w:val="superscript"/>
        </w:rPr>
        <w:fldChar w:fldCharType="begin"/>
      </w:r>
      <w:r w:rsidR="00985396" w:rsidRPr="00985396">
        <w:rPr>
          <w:vertAlign w:val="superscript"/>
        </w:rPr>
        <w:instrText xml:space="preserve"> NOTEREF _Ref471921539 \h  \* MERGEFORMAT </w:instrText>
      </w:r>
      <w:r w:rsidR="00985396" w:rsidRPr="00985396">
        <w:rPr>
          <w:vertAlign w:val="superscript"/>
        </w:rPr>
      </w:r>
      <w:r w:rsidR="00985396" w:rsidRPr="00985396">
        <w:rPr>
          <w:vertAlign w:val="superscript"/>
        </w:rPr>
        <w:fldChar w:fldCharType="separate"/>
      </w:r>
      <w:proofErr w:type="gramStart"/>
      <w:r w:rsidR="00985396" w:rsidRPr="00985396">
        <w:rPr>
          <w:vertAlign w:val="superscript"/>
        </w:rPr>
        <w:t>43</w:t>
      </w:r>
      <w:proofErr w:type="gramEnd"/>
      <w:r w:rsidR="00985396" w:rsidRPr="00985396">
        <w:rPr>
          <w:vertAlign w:val="superscript"/>
        </w:rPr>
        <w:fldChar w:fldCharType="end"/>
      </w:r>
      <w:r w:rsidRPr="002B28C8">
        <w:t xml:space="preserve"> did not confer resistance to dasabuvir, suggesting dasabuvir may still be active in genotype 1a and 1b variants that are resistant to nucleoside inhibitors.</w:t>
      </w:r>
    </w:p>
    <w:p w:rsidR="002B28C8" w:rsidRPr="002B28C8" w:rsidRDefault="002B28C8" w:rsidP="002B28C8">
      <w:r w:rsidRPr="002B28C8">
        <w:t xml:space="preserve">Clinically, the most common variants observed in NS5B in genotype 1 infected subjects that conferred resistance to </w:t>
      </w:r>
      <w:r w:rsidR="003732BA" w:rsidRPr="002B28C8">
        <w:t>dasabuvir</w:t>
      </w:r>
      <w:r w:rsidRPr="002B28C8">
        <w:t xml:space="preserve"> were C316Y, M414T, Y448H, G554S and S556G in genotype 1a, and C316Y, M414T, Y448H, and S556G in genotype 1b.</w:t>
      </w:r>
    </w:p>
    <w:p w:rsidR="002B28C8" w:rsidRPr="002B28C8" w:rsidRDefault="002B28C8" w:rsidP="002B28C8">
      <w:r w:rsidRPr="002B28C8">
        <w:t>The ability of drug-resistant cells to form colonies in the presence of a single drug or drugs in combination was evaluated in long term replicon survival assays. In pair</w:t>
      </w:r>
      <w:r w:rsidR="003732BA">
        <w:t xml:space="preserve"> </w:t>
      </w:r>
      <w:r w:rsidRPr="002B28C8">
        <w:t>wise combinations of paritaprevir, ombitasvir, and dasabuvir at concentrations 10</w:t>
      </w:r>
      <w:r w:rsidR="00BF1FC5">
        <w:t xml:space="preserve"> fold</w:t>
      </w:r>
      <w:r w:rsidRPr="002B28C8">
        <w:t xml:space="preserve"> over their respective </w:t>
      </w:r>
      <w:r w:rsidR="00014BB3">
        <w:t>EC</w:t>
      </w:r>
      <w:r w:rsidR="00014BB3" w:rsidRPr="00E355BF">
        <w:rPr>
          <w:vertAlign w:val="subscript"/>
        </w:rPr>
        <w:t>50</w:t>
      </w:r>
      <w:r w:rsidRPr="002B28C8">
        <w:t>, colony numbers were reduced by more than 100</w:t>
      </w:r>
      <w:r w:rsidR="00BF1FC5">
        <w:t xml:space="preserve"> fold</w:t>
      </w:r>
      <w:r w:rsidRPr="002B28C8">
        <w:t xml:space="preserve"> by two drugs as compared to each drug alone.</w:t>
      </w:r>
      <w:r w:rsidR="008B6F3C">
        <w:t xml:space="preserve"> </w:t>
      </w:r>
      <w:r w:rsidRPr="002B28C8">
        <w:t>When all three drugs were combined at concentrations of 5</w:t>
      </w:r>
      <w:r w:rsidR="00BF1FC5">
        <w:t xml:space="preserve"> fold</w:t>
      </w:r>
      <w:r w:rsidRPr="002B28C8">
        <w:t xml:space="preserve"> above their respective </w:t>
      </w:r>
      <w:r w:rsidR="00014BB3">
        <w:t>EC</w:t>
      </w:r>
      <w:r w:rsidR="00014BB3" w:rsidRPr="00E355BF">
        <w:rPr>
          <w:vertAlign w:val="subscript"/>
        </w:rPr>
        <w:t>50</w:t>
      </w:r>
      <w:r w:rsidR="003732BA">
        <w:t xml:space="preserve">, no drug </w:t>
      </w:r>
      <w:r w:rsidRPr="002B28C8">
        <w:t>resistant colonies survived.</w:t>
      </w:r>
    </w:p>
    <w:p w:rsidR="002B28C8" w:rsidRPr="002B28C8" w:rsidRDefault="002B28C8" w:rsidP="002B28C8">
      <w:pPr>
        <w:pStyle w:val="Heading4"/>
      </w:pPr>
      <w:r w:rsidRPr="002B28C8">
        <w:t>Secondary pharmacodynamics and safety pharmacology</w:t>
      </w:r>
    </w:p>
    <w:p w:rsidR="00475C4E" w:rsidRPr="004334C7" w:rsidRDefault="002B28C8" w:rsidP="00475C4E">
      <w:r w:rsidRPr="002B28C8">
        <w:t>Paritaprevir, ombitasvir and dasabuvir showed no clinically relevant antiviral activity against HIV-1 and HBV. Dasabuvir had no significant inhibitory activity against a number of human and mammalian DNA-dependent DNA polymerases and DNA-dependent RNA polymerases, and an RNA-dependent DNA polymerase (</w:t>
      </w:r>
      <w:r w:rsidR="00014BB3">
        <w:t>IC</w:t>
      </w:r>
      <w:r w:rsidR="00014BB3" w:rsidRPr="00E355BF">
        <w:rPr>
          <w:vertAlign w:val="subscript"/>
        </w:rPr>
        <w:t>50</w:t>
      </w:r>
      <w:r w:rsidRPr="002B28C8">
        <w:t xml:space="preserve"> values </w:t>
      </w:r>
      <w:r w:rsidR="000C3156">
        <w:t xml:space="preserve">≥ </w:t>
      </w:r>
      <w:r w:rsidRPr="002B28C8">
        <w:t xml:space="preserve">76 </w:t>
      </w:r>
      <w:r w:rsidR="005F323A">
        <w:t>µ</w:t>
      </w:r>
      <w:r w:rsidR="005F323A" w:rsidRPr="00CE21BD">
        <w:t>M</w:t>
      </w:r>
      <w:r w:rsidRPr="002B28C8">
        <w:t xml:space="preserve">; </w:t>
      </w:r>
      <w:r w:rsidR="000C3156">
        <w:t xml:space="preserve">&gt; </w:t>
      </w:r>
      <w:r w:rsidRPr="002B28C8">
        <w:t>3</w:t>
      </w:r>
      <w:r w:rsidR="001D00FC">
        <w:t>,600 </w:t>
      </w:r>
      <w:r w:rsidRPr="002B28C8">
        <w:t xml:space="preserve">times the clinical free </w:t>
      </w:r>
      <w:r w:rsidR="003A33A4" w:rsidRPr="008912E8">
        <w:t>C</w:t>
      </w:r>
      <w:r w:rsidR="003A33A4" w:rsidRPr="003A33A4">
        <w:rPr>
          <w:vertAlign w:val="subscript"/>
        </w:rPr>
        <w:t>max</w:t>
      </w:r>
      <w:r w:rsidRPr="002B28C8">
        <w:t xml:space="preserve">). Therefore, dasabuvir is not expected to interfere with DNA replication or transcription in host cells. Secondary pharmacodynamics and safety pharmacology data </w:t>
      </w:r>
      <w:r w:rsidR="001D00FC">
        <w:t>were</w:t>
      </w:r>
      <w:r w:rsidRPr="002B28C8">
        <w:t xml:space="preserve"> discussed. Overall, there are no off target activities predicted during clinical use, and no evidence of clinically relevant secondary pharmacological activity. However, the potential for the dasabuvir metabolite M1 to affect ECG parameters was not adequately investigated, since exposures were probably subclinical in the cardiovascular safety pharmacology study in dogs, in which it was only a minor metabolite.</w:t>
      </w:r>
    </w:p>
    <w:p w:rsidR="00475C4E" w:rsidRDefault="00475C4E" w:rsidP="00475C4E">
      <w:pPr>
        <w:pStyle w:val="Heading3"/>
      </w:pPr>
      <w:bookmarkStart w:id="108" w:name="_Toc480811576"/>
      <w:r>
        <w:t>Pharmacokinetics</w:t>
      </w:r>
      <w:r w:rsidR="0098169C">
        <w:t xml:space="preserve"> - new fixed dose combination</w:t>
      </w:r>
      <w:bookmarkEnd w:id="108"/>
    </w:p>
    <w:p w:rsidR="002B28C8" w:rsidRPr="002B28C8" w:rsidRDefault="002B28C8" w:rsidP="002B28C8">
      <w:r w:rsidRPr="002B28C8">
        <w:t>The assessments of the nonclinical pharmacokinetics for the individual compounds (paritaprevir, ombitasvir and dasabuvir) are provided in the individual evaluation reports</w:t>
      </w:r>
      <w:r w:rsidR="001D00FC">
        <w:t xml:space="preserve"> (above)</w:t>
      </w:r>
      <w:r w:rsidRPr="002B28C8">
        <w:t xml:space="preserve"> and only considerations relevant to the combinati</w:t>
      </w:r>
      <w:r w:rsidR="001D00FC">
        <w:t>on product are discussed below.</w:t>
      </w:r>
    </w:p>
    <w:p w:rsidR="002B28C8" w:rsidRPr="002B28C8" w:rsidRDefault="002B28C8" w:rsidP="002B28C8">
      <w:r w:rsidRPr="002B28C8">
        <w:t>Overall, the nonclinical data submitted for the three compounds were considered to adequately support the animal models used in the toxicology studies. The pharmacokinetic profile of paritaprevir in mice, rats and dogs was considered adequately comparable for those animal species to serve as models for toxicity. There were sufficient similarities in the absorption profiles, level of plasma protein binding, extent of biotransformation and elimination pathways of ombitasvir in mice relative to the human pharmacokinetic profile for ombitasvir, to allow these animal models to serve as the predominant testing species appropriate models for assessing toxicity. The sponsor addressed uncertainties on the two major ombitasvir metabolites unique to human plasma (M29 and M36) in a series of exploratory studies in mice that were considered appropriate. With respect to dasabuvir, while the M1 metabolite is only a very minor metabolite in dogs, this metabolite was formed in other animal species used in the toxicity studies</w:t>
      </w:r>
      <w:r w:rsidR="001D00FC">
        <w:t xml:space="preserve">. The two human </w:t>
      </w:r>
      <w:r w:rsidRPr="002B28C8">
        <w:t xml:space="preserve">specific (circulating) dasabuvir metabolites are only minor </w:t>
      </w:r>
      <w:r w:rsidR="009F7EDA">
        <w:t>drug related</w:t>
      </w:r>
      <w:r w:rsidRPr="002B28C8">
        <w:t xml:space="preserve"> species in human subjects and their absence in animal species was not expected to impact the validity of the toxicity studies. Overall, the pharmacokinetic profile of dasabuvir in rats and dogs was considered adequately comparable for these animal species to serve as models for toxicity.</w:t>
      </w:r>
    </w:p>
    <w:p w:rsidR="002B28C8" w:rsidRPr="002B28C8" w:rsidRDefault="002B28C8" w:rsidP="002B28C8">
      <w:pPr>
        <w:pStyle w:val="Heading4"/>
      </w:pPr>
      <w:r w:rsidRPr="002B28C8">
        <w:lastRenderedPageBreak/>
        <w:t>Pharmacokinetic drug interactions</w:t>
      </w:r>
    </w:p>
    <w:p w:rsidR="002B28C8" w:rsidRPr="002B28C8" w:rsidRDefault="002B28C8" w:rsidP="002B28C8">
      <w:r w:rsidRPr="002B28C8">
        <w:t>Potential drug interactions were investigated in a comprehensive nonclinical study package, and the potential relevance was estimated using EMA</w:t>
      </w:r>
      <w:r w:rsidR="001D00FC" w:rsidRPr="001D00FC">
        <w:rPr>
          <w:vertAlign w:val="superscript"/>
        </w:rPr>
        <w:fldChar w:fldCharType="begin"/>
      </w:r>
      <w:r w:rsidR="001D00FC" w:rsidRPr="001D00FC">
        <w:rPr>
          <w:vertAlign w:val="superscript"/>
        </w:rPr>
        <w:instrText xml:space="preserve"> NOTEREF _Ref471973080 \h </w:instrText>
      </w:r>
      <w:r w:rsidR="001D00FC">
        <w:rPr>
          <w:vertAlign w:val="superscript"/>
        </w:rPr>
        <w:instrText xml:space="preserve"> \* MERGEFORMAT </w:instrText>
      </w:r>
      <w:r w:rsidR="001D00FC" w:rsidRPr="001D00FC">
        <w:rPr>
          <w:vertAlign w:val="superscript"/>
        </w:rPr>
      </w:r>
      <w:r w:rsidR="001D00FC" w:rsidRPr="001D00FC">
        <w:rPr>
          <w:vertAlign w:val="superscript"/>
        </w:rPr>
        <w:fldChar w:fldCharType="separate"/>
      </w:r>
      <w:r w:rsidR="001D00FC" w:rsidRPr="001D00FC">
        <w:rPr>
          <w:vertAlign w:val="superscript"/>
        </w:rPr>
        <w:t>10</w:t>
      </w:r>
      <w:r w:rsidR="001D00FC" w:rsidRPr="001D00FC">
        <w:rPr>
          <w:vertAlign w:val="superscript"/>
        </w:rPr>
        <w:fldChar w:fldCharType="end"/>
      </w:r>
      <w:r w:rsidRPr="001D00FC">
        <w:rPr>
          <w:vertAlign w:val="superscript"/>
        </w:rPr>
        <w:t xml:space="preserve"> </w:t>
      </w:r>
      <w:r w:rsidRPr="002B28C8">
        <w:t>or FDA</w:t>
      </w:r>
      <w:bookmarkStart w:id="109" w:name="_Ref471978632"/>
      <w:r w:rsidR="001D00FC" w:rsidRPr="001D00FC">
        <w:rPr>
          <w:vertAlign w:val="superscript"/>
        </w:rPr>
        <w:footnoteReference w:id="62"/>
      </w:r>
      <w:bookmarkEnd w:id="109"/>
      <w:r w:rsidRPr="002B28C8">
        <w:t xml:space="preserve"> guidelines. Nonclinical findings of potential clinical relevance are summarised in the two tables below. The main concerns for the individual components of </w:t>
      </w:r>
      <w:r w:rsidR="00C36BE1">
        <w:t>Viekira Pak</w:t>
      </w:r>
      <w:r w:rsidRPr="002B28C8">
        <w:t xml:space="preserve"> are interactions with strong inducers of CYP3A4 such as carbamazepine, and it is noted that this is included as a contraindication in the </w:t>
      </w:r>
      <w:r w:rsidR="001D00FC">
        <w:t>PI</w:t>
      </w:r>
      <w:r w:rsidRPr="002B28C8">
        <w:t xml:space="preserve"> document. Dasabuvir is also a substrate for CYP2C8, and its exposure is likely to be increased if co-administered with inhibitors of this enzyme. All components of </w:t>
      </w:r>
      <w:r w:rsidR="00C36BE1">
        <w:t>Viekira Pak</w:t>
      </w:r>
      <w:r w:rsidRPr="002B28C8">
        <w:t xml:space="preserve"> are substrates of </w:t>
      </w:r>
      <w:r w:rsidR="00C75F81">
        <w:t>P-gp</w:t>
      </w:r>
      <w:r w:rsidRPr="002B28C8">
        <w:t xml:space="preserve"> </w:t>
      </w:r>
      <w:r w:rsidRPr="00D156CC">
        <w:t>and BCRP, although</w:t>
      </w:r>
      <w:r w:rsidRPr="002B28C8">
        <w:t xml:space="preserve"> the degree of sensitivity varies. In addition, paritaprevir is a substrate for the hepatic organic anion transporters OATP1/3, and plasma concentrations are</w:t>
      </w:r>
      <w:r w:rsidR="00D156CC">
        <w:t xml:space="preserve"> likely to increase if it is co</w:t>
      </w:r>
      <w:r w:rsidR="00D156CC">
        <w:noBreakHyphen/>
      </w:r>
      <w:r w:rsidRPr="002B28C8">
        <w:t xml:space="preserve">administered with OATP, BCRP or </w:t>
      </w:r>
      <w:r w:rsidR="00C75F81">
        <w:t>P-gp</w:t>
      </w:r>
      <w:r w:rsidRPr="002B28C8">
        <w:t xml:space="preserve"> inhibitors such as atazanavir and cyclosporine.</w:t>
      </w:r>
    </w:p>
    <w:p w:rsidR="002B28C8" w:rsidRPr="002B28C8" w:rsidRDefault="002B28C8" w:rsidP="002B28C8">
      <w:r w:rsidRPr="002B28C8">
        <w:t>Ritonavir i</w:t>
      </w:r>
      <w:r w:rsidR="001D00FC">
        <w:t xml:space="preserve">s responsible for the major CYP </w:t>
      </w:r>
      <w:r w:rsidRPr="002B28C8">
        <w:t xml:space="preserve">mediated drug interaction potential through its strong inhibition of CYP3A4. Paritaprevir inhibition of OATP transporters is likely to have clinical implications for co-administration of OATP substrates. Inhibition of </w:t>
      </w:r>
      <w:r w:rsidR="00C75F81">
        <w:t>P-gp</w:t>
      </w:r>
      <w:r w:rsidRPr="002B28C8">
        <w:t xml:space="preserve"> and BCRP are also of possible clinical relev</w:t>
      </w:r>
      <w:r w:rsidR="001D00FC">
        <w:t>ance based on nonclinical data.</w:t>
      </w:r>
    </w:p>
    <w:p w:rsidR="002B28C8" w:rsidRPr="002B28C8" w:rsidRDefault="002B28C8" w:rsidP="002B28C8">
      <w:r w:rsidRPr="002B28C8">
        <w:t xml:space="preserve">Potential drug interactions based on interactions between the individual components of </w:t>
      </w:r>
      <w:r w:rsidR="00C36BE1">
        <w:t>Viekira Pak</w:t>
      </w:r>
      <w:r w:rsidRPr="002B28C8">
        <w:t xml:space="preserve"> and metabolising enzymes and drug transporters were reviewed by the sponsor in reports RD13811 and RD13893.</w:t>
      </w:r>
    </w:p>
    <w:p w:rsidR="002B28C8" w:rsidRDefault="002B28C8" w:rsidP="00FF289D">
      <w:pPr>
        <w:pStyle w:val="Tabletitle0"/>
      </w:pPr>
      <w:r>
        <w:t xml:space="preserve">Table </w:t>
      </w:r>
      <w:r w:rsidR="008D1B95">
        <w:t>13:</w:t>
      </w:r>
      <w:r>
        <w:t xml:space="preserve"> </w:t>
      </w:r>
      <w:r w:rsidR="008B6F3C">
        <w:t>paritaprevir</w:t>
      </w:r>
      <w:r w:rsidRPr="002B28C8">
        <w:t>/ritonavir/ombitasvir/dasabuvir as victims†</w:t>
      </w:r>
    </w:p>
    <w:tbl>
      <w:tblPr>
        <w:tblStyle w:val="TableTGAblue"/>
        <w:tblW w:w="0" w:type="auto"/>
        <w:tblLook w:val="04A0" w:firstRow="1" w:lastRow="0" w:firstColumn="1" w:lastColumn="0" w:noHBand="0" w:noVBand="1"/>
      </w:tblPr>
      <w:tblGrid>
        <w:gridCol w:w="1600"/>
        <w:gridCol w:w="1693"/>
        <w:gridCol w:w="2294"/>
        <w:gridCol w:w="3133"/>
      </w:tblGrid>
      <w:tr w:rsidR="00AC6F72" w:rsidRPr="003E6B33" w:rsidTr="00AC6F72">
        <w:trPr>
          <w:cnfStyle w:val="100000000000" w:firstRow="1" w:lastRow="0" w:firstColumn="0" w:lastColumn="0" w:oddVBand="0" w:evenVBand="0" w:oddHBand="0" w:evenHBand="0" w:firstRowFirstColumn="0" w:firstRowLastColumn="0" w:lastRowFirstColumn="0" w:lastRowLastColumn="0"/>
          <w:trHeight w:val="970"/>
        </w:trPr>
        <w:tc>
          <w:tcPr>
            <w:tcW w:w="1323" w:type="dxa"/>
          </w:tcPr>
          <w:p w:rsidR="00AC6F72" w:rsidRPr="003E6B33" w:rsidRDefault="00AC6F72" w:rsidP="003E6B33">
            <w:pPr>
              <w:rPr>
                <w:sz w:val="20"/>
                <w:szCs w:val="20"/>
              </w:rPr>
            </w:pPr>
            <w:r w:rsidRPr="003E6B33">
              <w:rPr>
                <w:sz w:val="20"/>
                <w:szCs w:val="20"/>
              </w:rPr>
              <w:t>Compound</w:t>
            </w:r>
          </w:p>
        </w:tc>
        <w:tc>
          <w:tcPr>
            <w:tcW w:w="1369" w:type="dxa"/>
          </w:tcPr>
          <w:p w:rsidR="00AC6F72" w:rsidRPr="003E6B33" w:rsidRDefault="00AC6F72" w:rsidP="003E6B33">
            <w:pPr>
              <w:rPr>
                <w:sz w:val="20"/>
                <w:szCs w:val="20"/>
              </w:rPr>
            </w:pPr>
            <w:r w:rsidRPr="003E6B33">
              <w:rPr>
                <w:sz w:val="20"/>
                <w:szCs w:val="20"/>
              </w:rPr>
              <w:t>Substrate for Enzyme or Transporter</w:t>
            </w:r>
          </w:p>
        </w:tc>
        <w:tc>
          <w:tcPr>
            <w:tcW w:w="2499" w:type="dxa"/>
          </w:tcPr>
          <w:p w:rsidR="00AC6F72" w:rsidRPr="003E6B33" w:rsidRDefault="00AC6F72" w:rsidP="003E6B33">
            <w:pPr>
              <w:rPr>
                <w:sz w:val="20"/>
                <w:szCs w:val="20"/>
              </w:rPr>
            </w:pPr>
            <w:r w:rsidRPr="003E6B33">
              <w:rPr>
                <w:sz w:val="20"/>
                <w:szCs w:val="20"/>
              </w:rPr>
              <w:t>Nonclinical Findings</w:t>
            </w:r>
          </w:p>
        </w:tc>
        <w:tc>
          <w:tcPr>
            <w:tcW w:w="3529" w:type="dxa"/>
          </w:tcPr>
          <w:p w:rsidR="00AC6F72" w:rsidRPr="003E6B33" w:rsidRDefault="00AC6F72" w:rsidP="003E6B33">
            <w:pPr>
              <w:rPr>
                <w:sz w:val="20"/>
                <w:szCs w:val="20"/>
              </w:rPr>
            </w:pPr>
            <w:r w:rsidRPr="003E6B33">
              <w:rPr>
                <w:sz w:val="20"/>
                <w:szCs w:val="20"/>
              </w:rPr>
              <w:t>Clinical Relevance</w:t>
            </w:r>
          </w:p>
        </w:tc>
      </w:tr>
      <w:tr w:rsidR="00AC6F72" w:rsidRPr="003E6B33" w:rsidTr="00AC6F72">
        <w:trPr>
          <w:trHeight w:val="970"/>
        </w:trPr>
        <w:tc>
          <w:tcPr>
            <w:tcW w:w="1323" w:type="dxa"/>
            <w:vMerge w:val="restart"/>
          </w:tcPr>
          <w:p w:rsidR="00AC6F72" w:rsidRPr="003E6B33" w:rsidRDefault="00AC6F72" w:rsidP="003E6B33">
            <w:pPr>
              <w:rPr>
                <w:sz w:val="20"/>
                <w:szCs w:val="20"/>
              </w:rPr>
            </w:pPr>
            <w:r w:rsidRPr="003E6B33">
              <w:rPr>
                <w:sz w:val="20"/>
                <w:szCs w:val="20"/>
              </w:rPr>
              <w:t>paritaprevir</w:t>
            </w:r>
          </w:p>
        </w:tc>
        <w:tc>
          <w:tcPr>
            <w:tcW w:w="1369" w:type="dxa"/>
          </w:tcPr>
          <w:p w:rsidR="00AC6F72" w:rsidRPr="003E6B33" w:rsidRDefault="00AC6F72" w:rsidP="003E6B33">
            <w:pPr>
              <w:rPr>
                <w:sz w:val="20"/>
                <w:szCs w:val="20"/>
              </w:rPr>
            </w:pPr>
            <w:r w:rsidRPr="003E6B33">
              <w:rPr>
                <w:sz w:val="20"/>
                <w:szCs w:val="20"/>
              </w:rPr>
              <w:t>CYP3A4</w:t>
            </w:r>
          </w:p>
        </w:tc>
        <w:tc>
          <w:tcPr>
            <w:tcW w:w="2499" w:type="dxa"/>
          </w:tcPr>
          <w:p w:rsidR="003E6B33" w:rsidRDefault="00AC6F72" w:rsidP="003E6B33">
            <w:pPr>
              <w:rPr>
                <w:sz w:val="20"/>
                <w:szCs w:val="20"/>
              </w:rPr>
            </w:pPr>
            <w:r w:rsidRPr="003E6B33">
              <w:rPr>
                <w:sz w:val="20"/>
                <w:szCs w:val="20"/>
              </w:rPr>
              <w:t>K</w:t>
            </w:r>
            <w:r w:rsidRPr="003E6B33">
              <w:rPr>
                <w:sz w:val="20"/>
                <w:szCs w:val="20"/>
                <w:vertAlign w:val="subscript"/>
              </w:rPr>
              <w:t>m</w:t>
            </w:r>
            <w:r w:rsidRPr="003E6B33">
              <w:rPr>
                <w:sz w:val="20"/>
                <w:szCs w:val="20"/>
              </w:rPr>
              <w:t xml:space="preserve"> = 6.1 µM;</w:t>
            </w:r>
            <w:r w:rsidR="003E6B33">
              <w:rPr>
                <w:sz w:val="20"/>
                <w:szCs w:val="20"/>
              </w:rPr>
              <w:t xml:space="preserve"> </w:t>
            </w:r>
          </w:p>
          <w:p w:rsidR="00AC6F72" w:rsidRPr="003E6B33" w:rsidRDefault="00AC6F72" w:rsidP="003E6B33">
            <w:pPr>
              <w:rPr>
                <w:sz w:val="20"/>
                <w:szCs w:val="20"/>
              </w:rPr>
            </w:pPr>
            <w:r w:rsidRPr="003E6B33">
              <w:rPr>
                <w:sz w:val="20"/>
                <w:szCs w:val="20"/>
              </w:rPr>
              <w:t>V</w:t>
            </w:r>
            <w:r w:rsidRPr="003E6B33">
              <w:rPr>
                <w:sz w:val="20"/>
                <w:szCs w:val="20"/>
                <w:vertAlign w:val="subscript"/>
              </w:rPr>
              <w:t>max</w:t>
            </w:r>
            <w:r w:rsidRPr="003E6B33">
              <w:rPr>
                <w:sz w:val="20"/>
                <w:szCs w:val="20"/>
              </w:rPr>
              <w:t xml:space="preserve"> = 15.7 pmol/min/pmol</w:t>
            </w:r>
          </w:p>
        </w:tc>
        <w:tc>
          <w:tcPr>
            <w:tcW w:w="3529" w:type="dxa"/>
          </w:tcPr>
          <w:p w:rsidR="00A26E99" w:rsidRPr="003E6B33" w:rsidRDefault="00AC6F72" w:rsidP="003E6B33">
            <w:pPr>
              <w:rPr>
                <w:sz w:val="20"/>
                <w:szCs w:val="20"/>
              </w:rPr>
            </w:pPr>
            <w:r w:rsidRPr="003E6B33">
              <w:rPr>
                <w:sz w:val="20"/>
                <w:szCs w:val="20"/>
              </w:rPr>
              <w:t>Confirmed; Predominantly responsible for oxidative metabolism of paritaprevir, and was the rationale behind inclusion of ritonavir in the formulation;</w:t>
            </w:r>
          </w:p>
          <w:p w:rsidR="00AC6F72" w:rsidRPr="003E6B33" w:rsidRDefault="00AC6F72" w:rsidP="003E6B33">
            <w:pPr>
              <w:rPr>
                <w:sz w:val="20"/>
                <w:szCs w:val="20"/>
              </w:rPr>
            </w:pPr>
            <w:r w:rsidRPr="003E6B33">
              <w:rPr>
                <w:sz w:val="20"/>
                <w:szCs w:val="20"/>
              </w:rPr>
              <w:t>CYP3A4 inhibitor ketoconazole further increased plasma AUC (by 98%);</w:t>
            </w:r>
          </w:p>
          <w:p w:rsidR="00AC6F72" w:rsidRPr="003E6B33" w:rsidRDefault="00AC6F72" w:rsidP="003E6B33">
            <w:pPr>
              <w:rPr>
                <w:sz w:val="20"/>
                <w:szCs w:val="20"/>
              </w:rPr>
            </w:pPr>
            <w:r w:rsidRPr="003E6B33">
              <w:rPr>
                <w:sz w:val="20"/>
                <w:szCs w:val="20"/>
              </w:rPr>
              <w:t>Carbamazepine reduced AUC by 71% (contraindicated)</w:t>
            </w:r>
          </w:p>
        </w:tc>
      </w:tr>
      <w:tr w:rsidR="00AC6F72" w:rsidRPr="003E6B33" w:rsidTr="00AC6F72">
        <w:trPr>
          <w:trHeight w:val="970"/>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P-gp</w:t>
            </w:r>
          </w:p>
        </w:tc>
        <w:tc>
          <w:tcPr>
            <w:tcW w:w="2499" w:type="dxa"/>
          </w:tcPr>
          <w:p w:rsidR="00AC6F72" w:rsidRPr="003E6B33" w:rsidRDefault="00AC6F72" w:rsidP="003E6B33">
            <w:pPr>
              <w:rPr>
                <w:sz w:val="20"/>
                <w:szCs w:val="20"/>
              </w:rPr>
            </w:pPr>
            <w:r w:rsidRPr="003E6B33">
              <w:rPr>
                <w:sz w:val="20"/>
                <w:szCs w:val="20"/>
              </w:rPr>
              <w:t>Inhibited by LY335979 and cyclosporin A in vitro;</w:t>
            </w:r>
          </w:p>
          <w:p w:rsidR="00AC6F72" w:rsidRPr="003E6B33" w:rsidRDefault="00AC6F72" w:rsidP="003E6B33">
            <w:pPr>
              <w:rPr>
                <w:sz w:val="20"/>
                <w:szCs w:val="20"/>
              </w:rPr>
            </w:pPr>
            <w:r w:rsidRPr="003E6B33">
              <w:rPr>
                <w:sz w:val="20"/>
                <w:szCs w:val="20"/>
              </w:rPr>
              <w:t>KO mouse studies indicate this and BCRP involved in biliary clearance</w:t>
            </w:r>
          </w:p>
        </w:tc>
        <w:tc>
          <w:tcPr>
            <w:tcW w:w="3529" w:type="dxa"/>
            <w:vMerge w:val="restart"/>
          </w:tcPr>
          <w:p w:rsidR="00AC6F72" w:rsidRPr="003E6B33" w:rsidRDefault="00AC6F72" w:rsidP="003E6B33">
            <w:pPr>
              <w:rPr>
                <w:sz w:val="20"/>
                <w:szCs w:val="20"/>
              </w:rPr>
            </w:pPr>
            <w:r w:rsidRPr="003E6B33">
              <w:rPr>
                <w:sz w:val="20"/>
                <w:szCs w:val="20"/>
              </w:rPr>
              <w:t>Confirmed (AUC increased 94% by OATP1B1 inhibitor atazanavir and 72% by P-gp/BCRP/OATP1B1/B3 inhibitor cyclosporin)</w:t>
            </w:r>
          </w:p>
        </w:tc>
      </w:tr>
      <w:tr w:rsidR="00AC6F72" w:rsidRPr="003E6B33" w:rsidTr="00AC6F72">
        <w:trPr>
          <w:trHeight w:val="749"/>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BCRP</w:t>
            </w:r>
          </w:p>
        </w:tc>
        <w:tc>
          <w:tcPr>
            <w:tcW w:w="2499" w:type="dxa"/>
          </w:tcPr>
          <w:p w:rsidR="00AC6F72" w:rsidRPr="003E6B33" w:rsidRDefault="00AC6F72" w:rsidP="003E6B33">
            <w:pPr>
              <w:rPr>
                <w:sz w:val="20"/>
                <w:szCs w:val="20"/>
              </w:rPr>
            </w:pPr>
            <w:r w:rsidRPr="003E6B33">
              <w:rPr>
                <w:sz w:val="20"/>
                <w:szCs w:val="20"/>
              </w:rPr>
              <w:t>Slight inhibition by BCRP inhibitor K0143</w:t>
            </w:r>
          </w:p>
        </w:tc>
        <w:tc>
          <w:tcPr>
            <w:tcW w:w="3529" w:type="dxa"/>
            <w:vMerge/>
          </w:tcPr>
          <w:p w:rsidR="00AC6F72" w:rsidRPr="003E6B33" w:rsidRDefault="00AC6F72" w:rsidP="003E6B33">
            <w:pPr>
              <w:rPr>
                <w:sz w:val="20"/>
                <w:szCs w:val="20"/>
              </w:rPr>
            </w:pPr>
          </w:p>
        </w:tc>
      </w:tr>
      <w:tr w:rsidR="00AC6F72" w:rsidRPr="003E6B33" w:rsidTr="00AC6F72">
        <w:trPr>
          <w:trHeight w:val="607"/>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vertAlign w:val="superscript"/>
              </w:rPr>
              <w:t>a</w:t>
            </w:r>
            <w:r w:rsidRPr="003E6B33">
              <w:rPr>
                <w:sz w:val="20"/>
                <w:szCs w:val="20"/>
              </w:rPr>
              <w:t>OATP1B1</w:t>
            </w:r>
          </w:p>
        </w:tc>
        <w:tc>
          <w:tcPr>
            <w:tcW w:w="2499" w:type="dxa"/>
          </w:tcPr>
          <w:p w:rsidR="00AC6F72" w:rsidRPr="003E6B33" w:rsidRDefault="00AC6F72" w:rsidP="003E6B33">
            <w:pPr>
              <w:rPr>
                <w:sz w:val="20"/>
                <w:szCs w:val="20"/>
              </w:rPr>
            </w:pPr>
            <w:r w:rsidRPr="003E6B33">
              <w:rPr>
                <w:bCs/>
                <w:sz w:val="20"/>
                <w:szCs w:val="20"/>
              </w:rPr>
              <w:t>K</w:t>
            </w:r>
            <w:r w:rsidRPr="003E6B33">
              <w:rPr>
                <w:bCs/>
                <w:sz w:val="20"/>
                <w:szCs w:val="20"/>
                <w:vertAlign w:val="subscript"/>
              </w:rPr>
              <w:t>m</w:t>
            </w:r>
            <w:r w:rsidRPr="003E6B33">
              <w:rPr>
                <w:bCs/>
                <w:sz w:val="20"/>
                <w:szCs w:val="20"/>
              </w:rPr>
              <w:t xml:space="preserve"> for uptake 0.18 </w:t>
            </w:r>
            <w:r w:rsidRPr="003E6B33">
              <w:rPr>
                <w:sz w:val="20"/>
                <w:szCs w:val="20"/>
              </w:rPr>
              <w:t>µM</w:t>
            </w:r>
          </w:p>
        </w:tc>
        <w:tc>
          <w:tcPr>
            <w:tcW w:w="3529" w:type="dxa"/>
            <w:vMerge/>
          </w:tcPr>
          <w:p w:rsidR="00AC6F72" w:rsidRPr="003E6B33" w:rsidRDefault="00AC6F72" w:rsidP="003E6B33">
            <w:pPr>
              <w:rPr>
                <w:sz w:val="20"/>
                <w:szCs w:val="20"/>
              </w:rPr>
            </w:pPr>
          </w:p>
        </w:tc>
      </w:tr>
      <w:tr w:rsidR="00AC6F72" w:rsidRPr="003E6B33" w:rsidTr="00AC6F72">
        <w:trPr>
          <w:trHeight w:val="622"/>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vertAlign w:val="superscript"/>
              </w:rPr>
              <w:t>a</w:t>
            </w:r>
            <w:r w:rsidRPr="003E6B33">
              <w:rPr>
                <w:sz w:val="20"/>
                <w:szCs w:val="20"/>
              </w:rPr>
              <w:t>OATP1B3</w:t>
            </w:r>
          </w:p>
        </w:tc>
        <w:tc>
          <w:tcPr>
            <w:tcW w:w="2499" w:type="dxa"/>
          </w:tcPr>
          <w:p w:rsidR="00AC6F72" w:rsidRPr="003E6B33" w:rsidRDefault="00AC6F72" w:rsidP="003E6B33">
            <w:pPr>
              <w:rPr>
                <w:sz w:val="20"/>
                <w:szCs w:val="20"/>
              </w:rPr>
            </w:pPr>
            <w:r w:rsidRPr="003E6B33">
              <w:rPr>
                <w:bCs/>
                <w:sz w:val="20"/>
                <w:szCs w:val="20"/>
              </w:rPr>
              <w:t>K</w:t>
            </w:r>
            <w:r w:rsidRPr="003E6B33">
              <w:rPr>
                <w:bCs/>
                <w:sz w:val="20"/>
                <w:szCs w:val="20"/>
                <w:vertAlign w:val="subscript"/>
              </w:rPr>
              <w:t>m</w:t>
            </w:r>
            <w:r w:rsidRPr="003E6B33">
              <w:rPr>
                <w:bCs/>
                <w:sz w:val="20"/>
                <w:szCs w:val="20"/>
              </w:rPr>
              <w:t xml:space="preserve"> for uptake 0.089 </w:t>
            </w:r>
            <w:r w:rsidRPr="003E6B33">
              <w:rPr>
                <w:sz w:val="20"/>
                <w:szCs w:val="20"/>
              </w:rPr>
              <w:t>µM</w:t>
            </w:r>
          </w:p>
        </w:tc>
        <w:tc>
          <w:tcPr>
            <w:tcW w:w="3529" w:type="dxa"/>
            <w:vMerge/>
          </w:tcPr>
          <w:p w:rsidR="00AC6F72" w:rsidRPr="003E6B33" w:rsidRDefault="00AC6F72" w:rsidP="003E6B33">
            <w:pPr>
              <w:rPr>
                <w:sz w:val="20"/>
                <w:szCs w:val="20"/>
              </w:rPr>
            </w:pPr>
          </w:p>
        </w:tc>
      </w:tr>
      <w:tr w:rsidR="00AC6F72" w:rsidRPr="003E6B33" w:rsidTr="00AC6F72">
        <w:trPr>
          <w:trHeight w:val="970"/>
        </w:trPr>
        <w:tc>
          <w:tcPr>
            <w:tcW w:w="1323" w:type="dxa"/>
            <w:vMerge w:val="restart"/>
          </w:tcPr>
          <w:p w:rsidR="00AC6F72" w:rsidRPr="003E6B33" w:rsidRDefault="00AC6F72" w:rsidP="003E6B33">
            <w:pPr>
              <w:rPr>
                <w:sz w:val="20"/>
                <w:szCs w:val="20"/>
              </w:rPr>
            </w:pPr>
            <w:r w:rsidRPr="003E6B33">
              <w:rPr>
                <w:sz w:val="20"/>
                <w:szCs w:val="20"/>
              </w:rPr>
              <w:t>ritonavir</w:t>
            </w:r>
          </w:p>
        </w:tc>
        <w:tc>
          <w:tcPr>
            <w:tcW w:w="1369" w:type="dxa"/>
          </w:tcPr>
          <w:p w:rsidR="00AC6F72" w:rsidRPr="003E6B33" w:rsidRDefault="00AC6F72" w:rsidP="003E6B33">
            <w:pPr>
              <w:rPr>
                <w:sz w:val="20"/>
                <w:szCs w:val="20"/>
              </w:rPr>
            </w:pPr>
            <w:r w:rsidRPr="003E6B33">
              <w:rPr>
                <w:sz w:val="20"/>
                <w:szCs w:val="20"/>
              </w:rPr>
              <w:t>CYP3A4</w:t>
            </w:r>
          </w:p>
        </w:tc>
        <w:tc>
          <w:tcPr>
            <w:tcW w:w="2499" w:type="dxa"/>
          </w:tcPr>
          <w:p w:rsidR="00AC6F72" w:rsidRPr="003E6B33" w:rsidRDefault="00AC6F72" w:rsidP="003E6B33">
            <w:pPr>
              <w:rPr>
                <w:sz w:val="20"/>
                <w:szCs w:val="20"/>
              </w:rPr>
            </w:pPr>
            <w:r w:rsidRPr="003E6B33">
              <w:rPr>
                <w:sz w:val="20"/>
                <w:szCs w:val="20"/>
              </w:rPr>
              <w:t>substrate</w:t>
            </w:r>
          </w:p>
        </w:tc>
        <w:tc>
          <w:tcPr>
            <w:tcW w:w="3529" w:type="dxa"/>
          </w:tcPr>
          <w:p w:rsidR="00AC6F72" w:rsidRPr="003E6B33" w:rsidRDefault="00AC6F72" w:rsidP="003E6B33">
            <w:pPr>
              <w:rPr>
                <w:sz w:val="20"/>
                <w:szCs w:val="20"/>
              </w:rPr>
            </w:pPr>
            <w:r w:rsidRPr="003E6B33">
              <w:rPr>
                <w:sz w:val="20"/>
                <w:szCs w:val="20"/>
              </w:rPr>
              <w:t>AUC increased by 57% when co-administered with ketoconazole;</w:t>
            </w:r>
          </w:p>
          <w:p w:rsidR="00AC6F72" w:rsidRPr="003E6B33" w:rsidRDefault="00AC6F72" w:rsidP="003E6B33">
            <w:pPr>
              <w:rPr>
                <w:sz w:val="20"/>
                <w:szCs w:val="20"/>
              </w:rPr>
            </w:pPr>
            <w:r w:rsidRPr="003E6B33">
              <w:rPr>
                <w:sz w:val="20"/>
                <w:szCs w:val="20"/>
              </w:rPr>
              <w:t>AUC decreased by 87% when co-administered with carbamazepine</w:t>
            </w:r>
          </w:p>
        </w:tc>
      </w:tr>
      <w:tr w:rsidR="00AC6F72" w:rsidRPr="003E6B33" w:rsidTr="00AC6F72">
        <w:trPr>
          <w:trHeight w:val="970"/>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P-gp, OATPB1/B3</w:t>
            </w:r>
          </w:p>
        </w:tc>
        <w:tc>
          <w:tcPr>
            <w:tcW w:w="2499" w:type="dxa"/>
            <w:vMerge w:val="restart"/>
          </w:tcPr>
          <w:p w:rsidR="00AC6F72" w:rsidRPr="003E6B33" w:rsidRDefault="00AC6F72" w:rsidP="003E6B33">
            <w:pPr>
              <w:rPr>
                <w:sz w:val="20"/>
                <w:szCs w:val="20"/>
              </w:rPr>
            </w:pPr>
            <w:r w:rsidRPr="003E6B33">
              <w:rPr>
                <w:sz w:val="20"/>
                <w:szCs w:val="20"/>
              </w:rPr>
              <w:t>P-gp substrate;</w:t>
            </w:r>
          </w:p>
          <w:p w:rsidR="00AC6F72" w:rsidRPr="003E6B33" w:rsidRDefault="00AC6F72" w:rsidP="003E6B33">
            <w:pPr>
              <w:rPr>
                <w:sz w:val="20"/>
                <w:szCs w:val="20"/>
              </w:rPr>
            </w:pPr>
            <w:r w:rsidRPr="003E6B33">
              <w:rPr>
                <w:sz w:val="20"/>
                <w:szCs w:val="20"/>
              </w:rPr>
              <w:t xml:space="preserve">No active uptake by OATP1B1/3 expressed in HEK cells </w:t>
            </w:r>
          </w:p>
        </w:tc>
        <w:tc>
          <w:tcPr>
            <w:tcW w:w="3529" w:type="dxa"/>
            <w:vMerge w:val="restart"/>
          </w:tcPr>
          <w:p w:rsidR="00AC6F72" w:rsidRPr="003E6B33" w:rsidRDefault="00AC6F72" w:rsidP="003E6B33">
            <w:pPr>
              <w:rPr>
                <w:sz w:val="20"/>
                <w:szCs w:val="20"/>
              </w:rPr>
            </w:pPr>
            <w:r w:rsidRPr="003E6B33">
              <w:rPr>
                <w:sz w:val="20"/>
                <w:szCs w:val="20"/>
              </w:rPr>
              <w:t>C</w:t>
            </w:r>
            <w:r w:rsidRPr="003E6B33">
              <w:rPr>
                <w:sz w:val="20"/>
                <w:szCs w:val="20"/>
                <w:vertAlign w:val="subscript"/>
              </w:rPr>
              <w:t>trough</w:t>
            </w:r>
            <w:r w:rsidRPr="003E6B33">
              <w:rPr>
                <w:sz w:val="20"/>
                <w:szCs w:val="20"/>
              </w:rPr>
              <w:t xml:space="preserve"> concentrations increased by 40-49% when co-administered with cyclosporine and atazanavir</w:t>
            </w:r>
          </w:p>
        </w:tc>
      </w:tr>
      <w:tr w:rsidR="00AC6F72" w:rsidRPr="003E6B33" w:rsidTr="00AC6F72">
        <w:trPr>
          <w:trHeight w:val="556"/>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OATP1B1</w:t>
            </w:r>
          </w:p>
        </w:tc>
        <w:tc>
          <w:tcPr>
            <w:tcW w:w="2499" w:type="dxa"/>
            <w:vMerge/>
          </w:tcPr>
          <w:p w:rsidR="00AC6F72" w:rsidRPr="003E6B33" w:rsidRDefault="00AC6F72" w:rsidP="003E6B33">
            <w:pPr>
              <w:rPr>
                <w:sz w:val="20"/>
                <w:szCs w:val="20"/>
              </w:rPr>
            </w:pPr>
          </w:p>
        </w:tc>
        <w:tc>
          <w:tcPr>
            <w:tcW w:w="3529" w:type="dxa"/>
            <w:vMerge/>
          </w:tcPr>
          <w:p w:rsidR="00AC6F72" w:rsidRPr="003E6B33" w:rsidRDefault="00AC6F72" w:rsidP="003E6B33">
            <w:pPr>
              <w:rPr>
                <w:sz w:val="20"/>
                <w:szCs w:val="20"/>
              </w:rPr>
            </w:pPr>
          </w:p>
        </w:tc>
      </w:tr>
      <w:tr w:rsidR="00AC6F72" w:rsidRPr="003E6B33" w:rsidTr="00AC6F72">
        <w:trPr>
          <w:trHeight w:val="970"/>
        </w:trPr>
        <w:tc>
          <w:tcPr>
            <w:tcW w:w="1323" w:type="dxa"/>
            <w:vMerge w:val="restart"/>
          </w:tcPr>
          <w:p w:rsidR="00AC6F72" w:rsidRPr="003E6B33" w:rsidRDefault="00AC6F72" w:rsidP="003E6B33">
            <w:pPr>
              <w:rPr>
                <w:sz w:val="20"/>
                <w:szCs w:val="20"/>
              </w:rPr>
            </w:pPr>
            <w:r w:rsidRPr="003E6B33">
              <w:rPr>
                <w:sz w:val="20"/>
                <w:szCs w:val="20"/>
              </w:rPr>
              <w:t>Ombitasvir</w:t>
            </w:r>
          </w:p>
        </w:tc>
        <w:tc>
          <w:tcPr>
            <w:tcW w:w="1369" w:type="dxa"/>
          </w:tcPr>
          <w:p w:rsidR="00AC6F72" w:rsidRPr="003E6B33" w:rsidRDefault="00AC6F72" w:rsidP="003E6B33">
            <w:pPr>
              <w:rPr>
                <w:sz w:val="20"/>
                <w:szCs w:val="20"/>
              </w:rPr>
            </w:pPr>
            <w:r w:rsidRPr="003E6B33">
              <w:rPr>
                <w:sz w:val="20"/>
                <w:szCs w:val="20"/>
              </w:rPr>
              <w:t>CYP3A4</w:t>
            </w:r>
          </w:p>
        </w:tc>
        <w:tc>
          <w:tcPr>
            <w:tcW w:w="2499" w:type="dxa"/>
          </w:tcPr>
          <w:p w:rsidR="00AC6F72" w:rsidRPr="003E6B33" w:rsidRDefault="00AC6F72" w:rsidP="003E6B33">
            <w:pPr>
              <w:rPr>
                <w:sz w:val="20"/>
                <w:szCs w:val="20"/>
              </w:rPr>
            </w:pPr>
            <w:r w:rsidRPr="003E6B33">
              <w:rPr>
                <w:sz w:val="20"/>
                <w:szCs w:val="20"/>
              </w:rPr>
              <w:t>K</w:t>
            </w:r>
            <w:r w:rsidRPr="003E6B33">
              <w:rPr>
                <w:sz w:val="20"/>
                <w:szCs w:val="20"/>
                <w:vertAlign w:val="subscript"/>
              </w:rPr>
              <w:t>m2</w:t>
            </w:r>
            <w:r w:rsidRPr="003E6B33">
              <w:rPr>
                <w:sz w:val="20"/>
                <w:szCs w:val="20"/>
              </w:rPr>
              <w:t xml:space="preserve"> = 71 µM; V</w:t>
            </w:r>
            <w:r w:rsidRPr="003E6B33">
              <w:rPr>
                <w:sz w:val="20"/>
                <w:szCs w:val="20"/>
                <w:vertAlign w:val="subscript"/>
              </w:rPr>
              <w:t>max2</w:t>
            </w:r>
            <w:r w:rsidRPr="003E6B33">
              <w:rPr>
                <w:sz w:val="20"/>
                <w:szCs w:val="20"/>
              </w:rPr>
              <w:t xml:space="preserve"> = 0.004 nmol/min/pmol;</w:t>
            </w:r>
          </w:p>
          <w:p w:rsidR="00AC6F72" w:rsidRPr="003E6B33" w:rsidRDefault="00AC6F72" w:rsidP="003E6B33">
            <w:pPr>
              <w:rPr>
                <w:sz w:val="20"/>
                <w:szCs w:val="20"/>
              </w:rPr>
            </w:pPr>
            <w:r w:rsidRPr="003E6B33">
              <w:rPr>
                <w:sz w:val="20"/>
                <w:szCs w:val="20"/>
              </w:rPr>
              <w:t>K</w:t>
            </w:r>
            <w:r w:rsidRPr="003E6B33">
              <w:rPr>
                <w:sz w:val="20"/>
                <w:szCs w:val="20"/>
                <w:vertAlign w:val="subscript"/>
              </w:rPr>
              <w:t>m1</w:t>
            </w:r>
            <w:r w:rsidRPr="003E6B33">
              <w:rPr>
                <w:sz w:val="20"/>
                <w:szCs w:val="20"/>
              </w:rPr>
              <w:t xml:space="preserve"> = 7.1 µM; V</w:t>
            </w:r>
            <w:r w:rsidRPr="003E6B33">
              <w:rPr>
                <w:sz w:val="20"/>
                <w:szCs w:val="20"/>
                <w:vertAlign w:val="subscript"/>
              </w:rPr>
              <w:t>max1</w:t>
            </w:r>
            <w:r w:rsidRPr="003E6B33">
              <w:rPr>
                <w:sz w:val="20"/>
                <w:szCs w:val="20"/>
              </w:rPr>
              <w:t xml:space="preserve"> = 0.0001 nmol/min/pmol;</w:t>
            </w:r>
          </w:p>
        </w:tc>
        <w:tc>
          <w:tcPr>
            <w:tcW w:w="3529" w:type="dxa"/>
          </w:tcPr>
          <w:p w:rsidR="00AC6F72" w:rsidRPr="003E6B33" w:rsidRDefault="00AC6F72" w:rsidP="003E6B33">
            <w:pPr>
              <w:rPr>
                <w:sz w:val="20"/>
                <w:szCs w:val="20"/>
              </w:rPr>
            </w:pPr>
            <w:r w:rsidRPr="003E6B33">
              <w:rPr>
                <w:sz w:val="20"/>
                <w:szCs w:val="20"/>
              </w:rPr>
              <w:t>AUC unchanged when co-administered with ketoconazole;</w:t>
            </w:r>
          </w:p>
          <w:p w:rsidR="00AC6F72" w:rsidRPr="003E6B33" w:rsidRDefault="00AC6F72" w:rsidP="003E6B33">
            <w:pPr>
              <w:rPr>
                <w:sz w:val="20"/>
                <w:szCs w:val="20"/>
              </w:rPr>
            </w:pPr>
            <w:r w:rsidRPr="003E6B33">
              <w:rPr>
                <w:sz w:val="20"/>
                <w:szCs w:val="20"/>
              </w:rPr>
              <w:t>AUC decreased 30% when co-administered with carbamazepine</w:t>
            </w:r>
          </w:p>
        </w:tc>
      </w:tr>
      <w:tr w:rsidR="00AC6F72" w:rsidRPr="003E6B33" w:rsidTr="00AC6F72">
        <w:trPr>
          <w:trHeight w:val="970"/>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CYP2C8</w:t>
            </w:r>
          </w:p>
        </w:tc>
        <w:tc>
          <w:tcPr>
            <w:tcW w:w="2499" w:type="dxa"/>
          </w:tcPr>
          <w:p w:rsidR="00AC6F72" w:rsidRPr="003E6B33" w:rsidRDefault="00AC6F72" w:rsidP="003E6B33">
            <w:pPr>
              <w:rPr>
                <w:sz w:val="20"/>
                <w:szCs w:val="20"/>
              </w:rPr>
            </w:pPr>
            <w:r w:rsidRPr="003E6B33">
              <w:rPr>
                <w:sz w:val="20"/>
                <w:szCs w:val="20"/>
              </w:rPr>
              <w:t>K</w:t>
            </w:r>
            <w:r w:rsidRPr="003E6B33">
              <w:rPr>
                <w:sz w:val="20"/>
                <w:szCs w:val="20"/>
                <w:vertAlign w:val="subscript"/>
              </w:rPr>
              <w:t>m</w:t>
            </w:r>
            <w:r w:rsidRPr="003E6B33">
              <w:rPr>
                <w:sz w:val="20"/>
                <w:szCs w:val="20"/>
              </w:rPr>
              <w:t xml:space="preserve"> = 79.1 µM; V</w:t>
            </w:r>
            <w:r w:rsidRPr="003E6B33">
              <w:rPr>
                <w:sz w:val="20"/>
                <w:szCs w:val="20"/>
                <w:vertAlign w:val="subscript"/>
              </w:rPr>
              <w:t>max</w:t>
            </w:r>
            <w:r w:rsidRPr="003E6B33">
              <w:rPr>
                <w:sz w:val="20"/>
                <w:szCs w:val="20"/>
              </w:rPr>
              <w:t xml:space="preserve"> = 0.001 nmol/min/pmol;</w:t>
            </w:r>
          </w:p>
        </w:tc>
        <w:tc>
          <w:tcPr>
            <w:tcW w:w="3529" w:type="dxa"/>
          </w:tcPr>
          <w:p w:rsidR="00AC6F72" w:rsidRPr="003E6B33" w:rsidRDefault="00AC6F72" w:rsidP="003E6B33">
            <w:pPr>
              <w:rPr>
                <w:sz w:val="20"/>
                <w:szCs w:val="20"/>
              </w:rPr>
            </w:pPr>
            <w:r w:rsidRPr="003E6B33">
              <w:rPr>
                <w:sz w:val="20"/>
                <w:szCs w:val="20"/>
              </w:rPr>
              <w:t>Unlikely</w:t>
            </w:r>
          </w:p>
        </w:tc>
      </w:tr>
      <w:tr w:rsidR="00AC6F72" w:rsidRPr="003E6B33" w:rsidTr="00AC6F72">
        <w:trPr>
          <w:trHeight w:val="970"/>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P-gp, BCRP</w:t>
            </w:r>
          </w:p>
        </w:tc>
        <w:tc>
          <w:tcPr>
            <w:tcW w:w="2499" w:type="dxa"/>
          </w:tcPr>
          <w:p w:rsidR="00AC6F72" w:rsidRPr="003E6B33" w:rsidRDefault="00AC6F72" w:rsidP="003E6B33">
            <w:pPr>
              <w:rPr>
                <w:sz w:val="20"/>
                <w:szCs w:val="20"/>
              </w:rPr>
            </w:pPr>
            <w:r w:rsidRPr="003E6B33">
              <w:rPr>
                <w:sz w:val="20"/>
                <w:szCs w:val="20"/>
              </w:rPr>
              <w:t xml:space="preserve">Contradictory: Ombitasvir was not a substrate of P-gp or BCRP mediated efflux </w:t>
            </w:r>
            <w:r w:rsidRPr="003E6B33">
              <w:rPr>
                <w:i/>
                <w:sz w:val="20"/>
                <w:szCs w:val="20"/>
              </w:rPr>
              <w:t xml:space="preserve">in vitro, </w:t>
            </w:r>
            <w:r w:rsidRPr="003E6B33">
              <w:rPr>
                <w:sz w:val="20"/>
                <w:szCs w:val="20"/>
              </w:rPr>
              <w:t>but mice lacking these transporters</w:t>
            </w:r>
            <w:r w:rsidRPr="003E6B33">
              <w:rPr>
                <w:i/>
                <w:sz w:val="20"/>
                <w:szCs w:val="20"/>
              </w:rPr>
              <w:t xml:space="preserve"> </w:t>
            </w:r>
            <w:r w:rsidRPr="003E6B33">
              <w:rPr>
                <w:sz w:val="20"/>
                <w:szCs w:val="20"/>
              </w:rPr>
              <w:t>had increased exposure levels</w:t>
            </w:r>
          </w:p>
        </w:tc>
        <w:tc>
          <w:tcPr>
            <w:tcW w:w="3529" w:type="dxa"/>
          </w:tcPr>
          <w:p w:rsidR="00AC6F72" w:rsidRPr="003E6B33" w:rsidRDefault="00AC6F72" w:rsidP="003E6B33">
            <w:pPr>
              <w:rPr>
                <w:sz w:val="20"/>
                <w:szCs w:val="20"/>
              </w:rPr>
            </w:pPr>
            <w:r w:rsidRPr="003E6B33">
              <w:rPr>
                <w:sz w:val="20"/>
                <w:szCs w:val="20"/>
              </w:rPr>
              <w:t>AUC unchanged when co-administered with cyclosporine;</w:t>
            </w:r>
          </w:p>
          <w:p w:rsidR="00AC6F72" w:rsidRPr="003E6B33" w:rsidRDefault="00AC6F72" w:rsidP="003E6B33">
            <w:pPr>
              <w:rPr>
                <w:sz w:val="20"/>
                <w:szCs w:val="20"/>
              </w:rPr>
            </w:pPr>
            <w:r w:rsidRPr="003E6B33">
              <w:rPr>
                <w:sz w:val="20"/>
                <w:szCs w:val="20"/>
              </w:rPr>
              <w:t>C</w:t>
            </w:r>
            <w:r w:rsidRPr="003E6B33">
              <w:rPr>
                <w:sz w:val="20"/>
                <w:szCs w:val="20"/>
                <w:vertAlign w:val="subscript"/>
              </w:rPr>
              <w:t>max</w:t>
            </w:r>
            <w:r w:rsidRPr="003E6B33">
              <w:rPr>
                <w:sz w:val="20"/>
                <w:szCs w:val="20"/>
              </w:rPr>
              <w:t xml:space="preserve"> decreased by 23% when co-administered with atazanavir</w:t>
            </w:r>
          </w:p>
        </w:tc>
      </w:tr>
      <w:tr w:rsidR="00AC6F72" w:rsidRPr="003E6B33" w:rsidTr="00AC6F72">
        <w:trPr>
          <w:trHeight w:val="970"/>
        </w:trPr>
        <w:tc>
          <w:tcPr>
            <w:tcW w:w="1323" w:type="dxa"/>
            <w:vMerge w:val="restart"/>
          </w:tcPr>
          <w:p w:rsidR="00AC6F72" w:rsidRPr="003E6B33" w:rsidRDefault="00AC6F72" w:rsidP="003E6B33">
            <w:pPr>
              <w:rPr>
                <w:sz w:val="20"/>
                <w:szCs w:val="20"/>
              </w:rPr>
            </w:pPr>
            <w:r w:rsidRPr="003E6B33">
              <w:rPr>
                <w:sz w:val="20"/>
                <w:szCs w:val="20"/>
              </w:rPr>
              <w:t>Dasabuvir</w:t>
            </w:r>
          </w:p>
        </w:tc>
        <w:tc>
          <w:tcPr>
            <w:tcW w:w="1369" w:type="dxa"/>
          </w:tcPr>
          <w:p w:rsidR="00AC6F72" w:rsidRPr="003E6B33" w:rsidRDefault="00AC6F72" w:rsidP="003E6B33">
            <w:pPr>
              <w:rPr>
                <w:sz w:val="20"/>
                <w:szCs w:val="20"/>
              </w:rPr>
            </w:pPr>
            <w:r w:rsidRPr="003E6B33">
              <w:rPr>
                <w:sz w:val="20"/>
                <w:szCs w:val="20"/>
              </w:rPr>
              <w:t>CYP2C8</w:t>
            </w:r>
          </w:p>
        </w:tc>
        <w:tc>
          <w:tcPr>
            <w:tcW w:w="2499" w:type="dxa"/>
          </w:tcPr>
          <w:p w:rsidR="00AC6F72" w:rsidRPr="003E6B33" w:rsidRDefault="00AC6F72" w:rsidP="003E6B33">
            <w:pPr>
              <w:rPr>
                <w:sz w:val="20"/>
                <w:szCs w:val="20"/>
              </w:rPr>
            </w:pPr>
            <w:r w:rsidRPr="003E6B33">
              <w:rPr>
                <w:sz w:val="20"/>
                <w:szCs w:val="20"/>
              </w:rPr>
              <w:t xml:space="preserve">CYP2C8 inhibitor quercetin inhibited </w:t>
            </w:r>
            <w:r w:rsidRPr="003E6B33">
              <w:rPr>
                <w:i/>
                <w:sz w:val="20"/>
                <w:szCs w:val="20"/>
              </w:rPr>
              <w:t xml:space="preserve">in vitro </w:t>
            </w:r>
            <w:r w:rsidRPr="003E6B33">
              <w:rPr>
                <w:sz w:val="20"/>
                <w:szCs w:val="20"/>
              </w:rPr>
              <w:t>metabolism in human liver microsomes by 60%</w:t>
            </w:r>
          </w:p>
        </w:tc>
        <w:tc>
          <w:tcPr>
            <w:tcW w:w="3529" w:type="dxa"/>
          </w:tcPr>
          <w:p w:rsidR="00AC6F72" w:rsidRPr="003E6B33" w:rsidRDefault="00AC6F72" w:rsidP="003E6B33">
            <w:pPr>
              <w:rPr>
                <w:sz w:val="20"/>
                <w:szCs w:val="20"/>
              </w:rPr>
            </w:pPr>
            <w:r w:rsidRPr="003E6B33">
              <w:rPr>
                <w:sz w:val="20"/>
                <w:szCs w:val="20"/>
              </w:rPr>
              <w:t xml:space="preserve">Confirmed (AUC increased 1025% by gemfibrozil) </w:t>
            </w:r>
          </w:p>
        </w:tc>
      </w:tr>
      <w:tr w:rsidR="00AC6F72" w:rsidRPr="003E6B33" w:rsidTr="00AC6F72">
        <w:trPr>
          <w:trHeight w:val="970"/>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CYP3A4</w:t>
            </w:r>
          </w:p>
        </w:tc>
        <w:tc>
          <w:tcPr>
            <w:tcW w:w="2499" w:type="dxa"/>
          </w:tcPr>
          <w:p w:rsidR="00AC6F72" w:rsidRPr="003E6B33" w:rsidRDefault="00AC6F72" w:rsidP="003E6B33">
            <w:pPr>
              <w:rPr>
                <w:sz w:val="20"/>
                <w:szCs w:val="20"/>
              </w:rPr>
            </w:pPr>
            <w:r w:rsidRPr="003E6B33">
              <w:rPr>
                <w:sz w:val="20"/>
                <w:szCs w:val="20"/>
              </w:rPr>
              <w:t xml:space="preserve">CYP3A inhibitor ketoconazole inhibited </w:t>
            </w:r>
            <w:r w:rsidRPr="003E6B33">
              <w:rPr>
                <w:i/>
                <w:sz w:val="20"/>
                <w:szCs w:val="20"/>
              </w:rPr>
              <w:t xml:space="preserve">in vitro </w:t>
            </w:r>
            <w:r w:rsidRPr="003E6B33">
              <w:rPr>
                <w:sz w:val="20"/>
                <w:szCs w:val="20"/>
              </w:rPr>
              <w:t>metabolism in human liver microsomes by 30%</w:t>
            </w:r>
          </w:p>
        </w:tc>
        <w:tc>
          <w:tcPr>
            <w:tcW w:w="3529" w:type="dxa"/>
          </w:tcPr>
          <w:p w:rsidR="00AC6F72" w:rsidRPr="003E6B33" w:rsidRDefault="00AC6F72" w:rsidP="003E6B33">
            <w:pPr>
              <w:rPr>
                <w:sz w:val="20"/>
                <w:szCs w:val="20"/>
              </w:rPr>
            </w:pPr>
            <w:r w:rsidRPr="003E6B33">
              <w:rPr>
                <w:sz w:val="20"/>
                <w:szCs w:val="20"/>
              </w:rPr>
              <w:t>Confirmed (AUC increased 42% by ketoconazole; decreased 70% by carbamazepine</w:t>
            </w:r>
          </w:p>
        </w:tc>
      </w:tr>
      <w:tr w:rsidR="00AC6F72" w:rsidRPr="003E6B33" w:rsidTr="00AC6F72">
        <w:trPr>
          <w:trHeight w:val="855"/>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P-gp</w:t>
            </w:r>
          </w:p>
        </w:tc>
        <w:tc>
          <w:tcPr>
            <w:tcW w:w="2499" w:type="dxa"/>
          </w:tcPr>
          <w:p w:rsidR="00AC6F72" w:rsidRPr="003E6B33" w:rsidRDefault="00AC6F72" w:rsidP="003E6B33">
            <w:pPr>
              <w:rPr>
                <w:sz w:val="20"/>
                <w:szCs w:val="20"/>
              </w:rPr>
            </w:pPr>
            <w:r w:rsidRPr="003E6B33">
              <w:rPr>
                <w:sz w:val="20"/>
                <w:szCs w:val="20"/>
              </w:rPr>
              <w:t xml:space="preserve">Inhibited by LY335979 and cyclosporin A </w:t>
            </w:r>
            <w:r w:rsidRPr="003E6B33">
              <w:rPr>
                <w:i/>
                <w:sz w:val="20"/>
                <w:szCs w:val="20"/>
              </w:rPr>
              <w:t>in vitro</w:t>
            </w:r>
          </w:p>
        </w:tc>
        <w:tc>
          <w:tcPr>
            <w:tcW w:w="3529" w:type="dxa"/>
            <w:vMerge w:val="restart"/>
          </w:tcPr>
          <w:p w:rsidR="00AC6F72" w:rsidRPr="003E6B33" w:rsidRDefault="00AC6F72" w:rsidP="003E6B33">
            <w:pPr>
              <w:rPr>
                <w:sz w:val="20"/>
                <w:szCs w:val="20"/>
              </w:rPr>
            </w:pPr>
            <w:r w:rsidRPr="003E6B33">
              <w:rPr>
                <w:sz w:val="20"/>
                <w:szCs w:val="20"/>
              </w:rPr>
              <w:t>Confirmed C (AUC decreased 21% by OATP1B1 inhibitor atazanavir and 30% by P-gp/BCRP/OATP1B1/B3 inhibitor cyclosporin)</w:t>
            </w:r>
          </w:p>
        </w:tc>
      </w:tr>
      <w:tr w:rsidR="00AC6F72" w:rsidRPr="003E6B33" w:rsidTr="00AC6F72">
        <w:trPr>
          <w:trHeight w:val="713"/>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BCRP</w:t>
            </w:r>
          </w:p>
        </w:tc>
        <w:tc>
          <w:tcPr>
            <w:tcW w:w="2499" w:type="dxa"/>
          </w:tcPr>
          <w:p w:rsidR="00AC6F72" w:rsidRPr="003E6B33" w:rsidRDefault="00AC6F72" w:rsidP="003E6B33">
            <w:pPr>
              <w:rPr>
                <w:sz w:val="20"/>
                <w:szCs w:val="20"/>
              </w:rPr>
            </w:pPr>
            <w:r w:rsidRPr="003E6B33">
              <w:rPr>
                <w:sz w:val="20"/>
                <w:szCs w:val="20"/>
              </w:rPr>
              <w:t>Inhibited by BCRP inhibitor K0143</w:t>
            </w:r>
          </w:p>
        </w:tc>
        <w:tc>
          <w:tcPr>
            <w:tcW w:w="3529" w:type="dxa"/>
            <w:vMerge/>
          </w:tcPr>
          <w:p w:rsidR="00AC6F72" w:rsidRPr="003E6B33" w:rsidRDefault="00AC6F72" w:rsidP="003E6B33">
            <w:pPr>
              <w:rPr>
                <w:i/>
                <w:sz w:val="20"/>
                <w:szCs w:val="20"/>
              </w:rPr>
            </w:pPr>
          </w:p>
        </w:tc>
      </w:tr>
      <w:tr w:rsidR="00AC6F72" w:rsidRPr="003E6B33" w:rsidTr="00AC6F72">
        <w:trPr>
          <w:trHeight w:val="713"/>
        </w:trPr>
        <w:tc>
          <w:tcPr>
            <w:tcW w:w="1323" w:type="dxa"/>
            <w:vMerge w:val="restart"/>
          </w:tcPr>
          <w:p w:rsidR="00AC6F72" w:rsidRPr="003E6B33" w:rsidRDefault="00AC6F72" w:rsidP="003E6B33">
            <w:pPr>
              <w:rPr>
                <w:sz w:val="20"/>
                <w:szCs w:val="20"/>
              </w:rPr>
            </w:pPr>
            <w:r w:rsidRPr="003E6B33">
              <w:rPr>
                <w:sz w:val="20"/>
                <w:szCs w:val="20"/>
              </w:rPr>
              <w:t>Dasabuvir M1</w:t>
            </w:r>
          </w:p>
        </w:tc>
        <w:tc>
          <w:tcPr>
            <w:tcW w:w="1369" w:type="dxa"/>
          </w:tcPr>
          <w:p w:rsidR="00AC6F72" w:rsidRPr="003E6B33" w:rsidRDefault="00AC6F72" w:rsidP="003E6B33">
            <w:pPr>
              <w:rPr>
                <w:sz w:val="20"/>
                <w:szCs w:val="20"/>
              </w:rPr>
            </w:pPr>
            <w:r w:rsidRPr="003E6B33">
              <w:rPr>
                <w:sz w:val="20"/>
                <w:szCs w:val="20"/>
              </w:rPr>
              <w:t>BCRP</w:t>
            </w:r>
          </w:p>
        </w:tc>
        <w:tc>
          <w:tcPr>
            <w:tcW w:w="2499" w:type="dxa"/>
          </w:tcPr>
          <w:p w:rsidR="00AC6F72" w:rsidRPr="003E6B33" w:rsidRDefault="00AC6F72" w:rsidP="003E6B33">
            <w:pPr>
              <w:rPr>
                <w:sz w:val="20"/>
                <w:szCs w:val="20"/>
              </w:rPr>
            </w:pPr>
            <w:r w:rsidRPr="003E6B33">
              <w:rPr>
                <w:sz w:val="20"/>
                <w:szCs w:val="20"/>
              </w:rPr>
              <w:t>Inhibited by BCRP inhibitor K0143</w:t>
            </w:r>
          </w:p>
        </w:tc>
        <w:tc>
          <w:tcPr>
            <w:tcW w:w="3529" w:type="dxa"/>
            <w:vMerge w:val="restart"/>
          </w:tcPr>
          <w:p w:rsidR="00AC6F72" w:rsidRPr="003E6B33" w:rsidRDefault="00AC6F72" w:rsidP="003E6B33">
            <w:pPr>
              <w:rPr>
                <w:sz w:val="20"/>
                <w:szCs w:val="20"/>
              </w:rPr>
            </w:pPr>
            <w:r w:rsidRPr="003E6B33">
              <w:rPr>
                <w:sz w:val="20"/>
                <w:szCs w:val="20"/>
              </w:rPr>
              <w:t>Not tested</w:t>
            </w:r>
          </w:p>
        </w:tc>
      </w:tr>
      <w:tr w:rsidR="00AC6F72" w:rsidRPr="003E6B33" w:rsidTr="00AC6F72">
        <w:trPr>
          <w:trHeight w:val="571"/>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OATP1B1</w:t>
            </w:r>
          </w:p>
        </w:tc>
        <w:tc>
          <w:tcPr>
            <w:tcW w:w="2499" w:type="dxa"/>
          </w:tcPr>
          <w:p w:rsidR="00AC6F72" w:rsidRPr="003E6B33" w:rsidRDefault="00AC6F72" w:rsidP="003E6B33">
            <w:pPr>
              <w:rPr>
                <w:sz w:val="20"/>
                <w:szCs w:val="20"/>
              </w:rPr>
            </w:pPr>
            <w:r w:rsidRPr="003E6B33">
              <w:rPr>
                <w:sz w:val="20"/>
                <w:szCs w:val="20"/>
              </w:rPr>
              <w:t>K</w:t>
            </w:r>
            <w:r w:rsidRPr="003E6B33">
              <w:rPr>
                <w:sz w:val="20"/>
                <w:szCs w:val="20"/>
                <w:vertAlign w:val="subscript"/>
              </w:rPr>
              <w:t>m</w:t>
            </w:r>
            <w:r w:rsidRPr="003E6B33">
              <w:rPr>
                <w:sz w:val="20"/>
                <w:szCs w:val="20"/>
              </w:rPr>
              <w:t xml:space="preserve"> = 1.30 µM</w:t>
            </w:r>
          </w:p>
        </w:tc>
        <w:tc>
          <w:tcPr>
            <w:tcW w:w="3529" w:type="dxa"/>
            <w:vMerge/>
          </w:tcPr>
          <w:p w:rsidR="00AC6F72" w:rsidRPr="003E6B33" w:rsidRDefault="00AC6F72" w:rsidP="003E6B33">
            <w:pPr>
              <w:rPr>
                <w:sz w:val="20"/>
                <w:szCs w:val="20"/>
              </w:rPr>
            </w:pPr>
          </w:p>
        </w:tc>
      </w:tr>
      <w:tr w:rsidR="00AC6F72" w:rsidRPr="003E6B33" w:rsidTr="00AC6F72">
        <w:trPr>
          <w:trHeight w:val="551"/>
        </w:trPr>
        <w:tc>
          <w:tcPr>
            <w:tcW w:w="1323" w:type="dxa"/>
            <w:vMerge/>
          </w:tcPr>
          <w:p w:rsidR="00AC6F72" w:rsidRPr="003E6B33" w:rsidRDefault="00AC6F72" w:rsidP="003E6B33">
            <w:pPr>
              <w:rPr>
                <w:sz w:val="20"/>
                <w:szCs w:val="20"/>
              </w:rPr>
            </w:pPr>
          </w:p>
        </w:tc>
        <w:tc>
          <w:tcPr>
            <w:tcW w:w="1369" w:type="dxa"/>
          </w:tcPr>
          <w:p w:rsidR="00AC6F72" w:rsidRPr="003E6B33" w:rsidRDefault="00AC6F72" w:rsidP="003E6B33">
            <w:pPr>
              <w:rPr>
                <w:sz w:val="20"/>
                <w:szCs w:val="20"/>
              </w:rPr>
            </w:pPr>
            <w:r w:rsidRPr="003E6B33">
              <w:rPr>
                <w:sz w:val="20"/>
                <w:szCs w:val="20"/>
              </w:rPr>
              <w:t>OATP1B3</w:t>
            </w:r>
          </w:p>
        </w:tc>
        <w:tc>
          <w:tcPr>
            <w:tcW w:w="2499" w:type="dxa"/>
          </w:tcPr>
          <w:p w:rsidR="00AC6F72" w:rsidRPr="003E6B33" w:rsidRDefault="00AC6F72" w:rsidP="003E6B33">
            <w:pPr>
              <w:rPr>
                <w:sz w:val="20"/>
                <w:szCs w:val="20"/>
              </w:rPr>
            </w:pPr>
            <w:r w:rsidRPr="003E6B33">
              <w:rPr>
                <w:sz w:val="20"/>
                <w:szCs w:val="20"/>
              </w:rPr>
              <w:t>K</w:t>
            </w:r>
            <w:r w:rsidRPr="003E6B33">
              <w:rPr>
                <w:sz w:val="20"/>
                <w:szCs w:val="20"/>
                <w:vertAlign w:val="subscript"/>
              </w:rPr>
              <w:t>m</w:t>
            </w:r>
            <w:r w:rsidRPr="003E6B33">
              <w:rPr>
                <w:sz w:val="20"/>
                <w:szCs w:val="20"/>
              </w:rPr>
              <w:t xml:space="preserve"> = 1.71 µM</w:t>
            </w:r>
          </w:p>
        </w:tc>
        <w:tc>
          <w:tcPr>
            <w:tcW w:w="3529" w:type="dxa"/>
            <w:vMerge/>
          </w:tcPr>
          <w:p w:rsidR="00AC6F72" w:rsidRPr="003E6B33" w:rsidRDefault="00AC6F72" w:rsidP="003E6B33">
            <w:pPr>
              <w:rPr>
                <w:sz w:val="20"/>
                <w:szCs w:val="20"/>
              </w:rPr>
            </w:pPr>
          </w:p>
        </w:tc>
      </w:tr>
    </w:tbl>
    <w:p w:rsidR="002B28C8" w:rsidRPr="002B28C8" w:rsidRDefault="002B28C8" w:rsidP="002B28C8">
      <w:pPr>
        <w:pStyle w:val="TableDescription"/>
      </w:pPr>
      <w:r w:rsidRPr="002B28C8">
        <w:t>† Data taken from reports RD13893 and RD13811</w:t>
      </w:r>
      <w:r w:rsidR="00DF2650" w:rsidRPr="00DF2650">
        <w:rPr>
          <w:vertAlign w:val="superscript"/>
        </w:rPr>
        <w:t xml:space="preserve"> </w:t>
      </w:r>
      <w:r w:rsidRPr="00DF2650">
        <w:rPr>
          <w:vertAlign w:val="superscript"/>
        </w:rPr>
        <w:t>a</w:t>
      </w:r>
      <w:r w:rsidRPr="002B28C8">
        <w:t>: Studies in KO mice indicate that OATP transporters affect the distrib</w:t>
      </w:r>
      <w:r w:rsidR="00DF2650">
        <w:t>ution between liver and plasma.</w:t>
      </w:r>
    </w:p>
    <w:p w:rsidR="002B28C8" w:rsidRDefault="008D1B95" w:rsidP="00FF289D">
      <w:pPr>
        <w:pStyle w:val="Tabletitle0"/>
      </w:pPr>
      <w:r>
        <w:t>Table 14:</w:t>
      </w:r>
      <w:r w:rsidR="002B28C8">
        <w:t xml:space="preserve"> </w:t>
      </w:r>
      <w:r w:rsidR="008B6F3C">
        <w:t>paritaprevir</w:t>
      </w:r>
      <w:r w:rsidR="002B28C8" w:rsidRPr="002B28C8">
        <w:t>/ombitasvir/dasabuvir as perpetrators</w:t>
      </w:r>
    </w:p>
    <w:tbl>
      <w:tblPr>
        <w:tblStyle w:val="TableTGAblue"/>
        <w:tblW w:w="0" w:type="auto"/>
        <w:tblLook w:val="04A0" w:firstRow="1" w:lastRow="0" w:firstColumn="1" w:lastColumn="0" w:noHBand="0" w:noVBand="1"/>
      </w:tblPr>
      <w:tblGrid>
        <w:gridCol w:w="1600"/>
        <w:gridCol w:w="1693"/>
        <w:gridCol w:w="1663"/>
        <w:gridCol w:w="3764"/>
      </w:tblGrid>
      <w:tr w:rsidR="00DF2650" w:rsidRPr="003E6B33" w:rsidTr="00E66096">
        <w:trPr>
          <w:cnfStyle w:val="100000000000" w:firstRow="1" w:lastRow="0" w:firstColumn="0" w:lastColumn="0" w:oddVBand="0" w:evenVBand="0" w:oddHBand="0" w:evenHBand="0" w:firstRowFirstColumn="0" w:firstRowLastColumn="0" w:lastRowFirstColumn="0" w:lastRowLastColumn="0"/>
          <w:trHeight w:val="340"/>
        </w:trPr>
        <w:tc>
          <w:tcPr>
            <w:tcW w:w="1260" w:type="dxa"/>
          </w:tcPr>
          <w:p w:rsidR="00DF2650" w:rsidRPr="003E6B33" w:rsidRDefault="00DF2650" w:rsidP="003E6B33">
            <w:pPr>
              <w:rPr>
                <w:sz w:val="20"/>
                <w:szCs w:val="20"/>
              </w:rPr>
            </w:pPr>
            <w:r w:rsidRPr="003E6B33">
              <w:rPr>
                <w:sz w:val="20"/>
                <w:szCs w:val="20"/>
              </w:rPr>
              <w:t>Compound</w:t>
            </w:r>
          </w:p>
        </w:tc>
        <w:tc>
          <w:tcPr>
            <w:tcW w:w="1353" w:type="dxa"/>
          </w:tcPr>
          <w:p w:rsidR="00DF2650" w:rsidRPr="003E6B33" w:rsidRDefault="00DF2650" w:rsidP="003E6B33">
            <w:pPr>
              <w:rPr>
                <w:sz w:val="20"/>
                <w:szCs w:val="20"/>
              </w:rPr>
            </w:pPr>
            <w:r w:rsidRPr="003E6B33">
              <w:rPr>
                <w:sz w:val="20"/>
                <w:szCs w:val="20"/>
              </w:rPr>
              <w:t>Substrate for Enzyme or Transporter</w:t>
            </w:r>
          </w:p>
        </w:tc>
        <w:tc>
          <w:tcPr>
            <w:tcW w:w="1687" w:type="dxa"/>
          </w:tcPr>
          <w:p w:rsidR="00DF2650" w:rsidRPr="003E6B33" w:rsidRDefault="00DF2650" w:rsidP="003E6B33">
            <w:pPr>
              <w:rPr>
                <w:sz w:val="20"/>
                <w:szCs w:val="20"/>
              </w:rPr>
            </w:pPr>
            <w:r w:rsidRPr="003E6B33">
              <w:rPr>
                <w:sz w:val="20"/>
                <w:szCs w:val="20"/>
              </w:rPr>
              <w:t>Nonclinical Findings</w:t>
            </w:r>
          </w:p>
        </w:tc>
        <w:tc>
          <w:tcPr>
            <w:tcW w:w="4420" w:type="dxa"/>
          </w:tcPr>
          <w:p w:rsidR="00DF2650" w:rsidRPr="003E6B33" w:rsidRDefault="00DF2650" w:rsidP="003E6B33">
            <w:pPr>
              <w:rPr>
                <w:sz w:val="20"/>
                <w:szCs w:val="20"/>
              </w:rPr>
            </w:pPr>
            <w:r w:rsidRPr="003E6B33">
              <w:rPr>
                <w:sz w:val="20"/>
                <w:szCs w:val="20"/>
              </w:rPr>
              <w:t>Clinical Relevance</w:t>
            </w:r>
          </w:p>
        </w:tc>
      </w:tr>
      <w:tr w:rsidR="00DF2650" w:rsidRPr="003E6B33" w:rsidTr="00E66096">
        <w:trPr>
          <w:trHeight w:val="340"/>
        </w:trPr>
        <w:tc>
          <w:tcPr>
            <w:tcW w:w="1260" w:type="dxa"/>
            <w:vMerge w:val="restart"/>
          </w:tcPr>
          <w:p w:rsidR="00DF2650" w:rsidRPr="003E6B33" w:rsidRDefault="00DF2650" w:rsidP="003E6B33">
            <w:pPr>
              <w:rPr>
                <w:sz w:val="20"/>
                <w:szCs w:val="20"/>
              </w:rPr>
            </w:pPr>
            <w:r w:rsidRPr="003E6B33">
              <w:rPr>
                <w:sz w:val="20"/>
                <w:szCs w:val="20"/>
              </w:rPr>
              <w:t>paritaprevir</w:t>
            </w:r>
          </w:p>
        </w:tc>
        <w:tc>
          <w:tcPr>
            <w:tcW w:w="1353" w:type="dxa"/>
          </w:tcPr>
          <w:p w:rsidR="00DF2650" w:rsidRPr="003E6B33" w:rsidRDefault="00DF2650" w:rsidP="003E6B33">
            <w:pPr>
              <w:rPr>
                <w:sz w:val="20"/>
                <w:szCs w:val="20"/>
              </w:rPr>
            </w:pPr>
            <w:r w:rsidRPr="003E6B33">
              <w:rPr>
                <w:sz w:val="20"/>
                <w:szCs w:val="20"/>
              </w:rPr>
              <w:t>CYP2C8</w:t>
            </w:r>
          </w:p>
        </w:tc>
        <w:tc>
          <w:tcPr>
            <w:tcW w:w="1687" w:type="dxa"/>
          </w:tcPr>
          <w:p w:rsidR="00DF2650" w:rsidRPr="003E6B33" w:rsidRDefault="00DF2650" w:rsidP="003E6B33">
            <w:pPr>
              <w:rPr>
                <w:sz w:val="20"/>
                <w:szCs w:val="20"/>
              </w:rPr>
            </w:pPr>
            <w:r w:rsidRPr="003E6B33">
              <w:rPr>
                <w:sz w:val="20"/>
                <w:szCs w:val="20"/>
              </w:rPr>
              <w:t>Reversible inhibitor; IC</w:t>
            </w:r>
            <w:r w:rsidRPr="003E6B33">
              <w:rPr>
                <w:sz w:val="20"/>
                <w:szCs w:val="20"/>
                <w:vertAlign w:val="subscript"/>
              </w:rPr>
              <w:t>50</w:t>
            </w:r>
            <w:r w:rsidRPr="003E6B33">
              <w:rPr>
                <w:sz w:val="20"/>
                <w:szCs w:val="20"/>
              </w:rPr>
              <w:t xml:space="preserve"> = 13 µM</w:t>
            </w:r>
          </w:p>
        </w:tc>
        <w:tc>
          <w:tcPr>
            <w:tcW w:w="4420" w:type="dxa"/>
          </w:tcPr>
          <w:p w:rsidR="00DF2650" w:rsidRPr="003E6B33" w:rsidRDefault="00DF2650" w:rsidP="003E6B33">
            <w:pPr>
              <w:rPr>
                <w:sz w:val="20"/>
                <w:szCs w:val="20"/>
              </w:rPr>
            </w:pPr>
            <w:r w:rsidRPr="003E6B33">
              <w:rPr>
                <w:sz w:val="20"/>
                <w:szCs w:val="20"/>
              </w:rPr>
              <w:t>Not anticipated (R-value 1.01</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r w:rsidRPr="003E6B33">
              <w:rPr>
                <w:sz w:val="20"/>
                <w:szCs w:val="20"/>
              </w:rPr>
              <w:t>); lack of safety signals in patients taking loperamide and zopiclone</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CYP3A4</w:t>
            </w:r>
          </w:p>
        </w:tc>
        <w:tc>
          <w:tcPr>
            <w:tcW w:w="1687" w:type="dxa"/>
          </w:tcPr>
          <w:p w:rsidR="00DF2650" w:rsidRPr="003E6B33" w:rsidRDefault="00DF2650" w:rsidP="003E6B33">
            <w:pPr>
              <w:rPr>
                <w:sz w:val="20"/>
                <w:szCs w:val="20"/>
              </w:rPr>
            </w:pPr>
            <w:r w:rsidRPr="003E6B33">
              <w:rPr>
                <w:sz w:val="20"/>
                <w:szCs w:val="20"/>
              </w:rPr>
              <w:t xml:space="preserve">Minimally induced (approx.. one third the effect of rifampin) </w:t>
            </w:r>
          </w:p>
        </w:tc>
        <w:tc>
          <w:tcPr>
            <w:tcW w:w="4420" w:type="dxa"/>
          </w:tcPr>
          <w:p w:rsidR="00DF2650" w:rsidRPr="003E6B33" w:rsidRDefault="00DF2650" w:rsidP="003E6B33">
            <w:pPr>
              <w:rPr>
                <w:sz w:val="20"/>
                <w:szCs w:val="20"/>
              </w:rPr>
            </w:pPr>
            <w:r w:rsidRPr="003E6B33">
              <w:rPr>
                <w:sz w:val="20"/>
                <w:szCs w:val="20"/>
              </w:rPr>
              <w:t>Unlikely to be relevant based on co-formulation with ritonavir (see below)</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UGT1A1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3.6 µM</w:t>
            </w:r>
          </w:p>
        </w:tc>
        <w:tc>
          <w:tcPr>
            <w:tcW w:w="4420" w:type="dxa"/>
          </w:tcPr>
          <w:p w:rsidR="00DF2650" w:rsidRPr="003E6B33" w:rsidRDefault="00DF2650" w:rsidP="003E6B33">
            <w:pPr>
              <w:rPr>
                <w:sz w:val="20"/>
                <w:szCs w:val="20"/>
              </w:rPr>
            </w:pPr>
            <w:r w:rsidRPr="003E6B33">
              <w:rPr>
                <w:sz w:val="20"/>
                <w:szCs w:val="20"/>
              </w:rPr>
              <w:t xml:space="preserve">Unlikely (clinical study showed 34% decrease in raltegravir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P-gp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38.1 µM</w:t>
            </w:r>
          </w:p>
        </w:tc>
        <w:tc>
          <w:tcPr>
            <w:tcW w:w="4420" w:type="dxa"/>
          </w:tcPr>
          <w:p w:rsidR="00DF2650" w:rsidRPr="003E6B33" w:rsidRDefault="00DF2650" w:rsidP="003E6B33">
            <w:pPr>
              <w:rPr>
                <w:sz w:val="20"/>
                <w:szCs w:val="20"/>
              </w:rPr>
            </w:pPr>
            <w:r w:rsidRPr="003E6B33">
              <w:rPr>
                <w:sz w:val="20"/>
                <w:szCs w:val="20"/>
              </w:rPr>
              <w:t>Likely in intestine only ([I</w:t>
            </w:r>
            <w:r w:rsidRPr="003E6B33">
              <w:rPr>
                <w:sz w:val="20"/>
                <w:szCs w:val="20"/>
                <w:vertAlign w:val="subscript"/>
              </w:rPr>
              <w:t>2</w:t>
            </w:r>
            <w:r w:rsidRPr="003E6B33">
              <w:rPr>
                <w:sz w:val="20"/>
                <w:szCs w:val="20"/>
              </w:rPr>
              <w:t>]/IC</w:t>
            </w:r>
            <w:r w:rsidRPr="003E6B33">
              <w:rPr>
                <w:sz w:val="20"/>
                <w:szCs w:val="20"/>
                <w:vertAlign w:val="subscript"/>
              </w:rPr>
              <w:t>50</w:t>
            </w:r>
            <w:r w:rsidRPr="003E6B33">
              <w:rPr>
                <w:sz w:val="20"/>
                <w:szCs w:val="20"/>
              </w:rPr>
              <w:t xml:space="preserve"> &gt; 10)</w:t>
            </w:r>
            <w:r w:rsidRPr="003E6B33">
              <w:rPr>
                <w:sz w:val="20"/>
                <w:szCs w:val="20"/>
                <w:vertAlign w:val="superscript"/>
              </w:rPr>
              <w:t xml:space="preserve"> </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BCRP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0.59 to 14.4 µM</w:t>
            </w:r>
          </w:p>
        </w:tc>
        <w:tc>
          <w:tcPr>
            <w:tcW w:w="4420" w:type="dxa"/>
          </w:tcPr>
          <w:p w:rsidR="00DF2650" w:rsidRPr="003E6B33" w:rsidRDefault="00DF2650" w:rsidP="003E6B33">
            <w:pPr>
              <w:rPr>
                <w:sz w:val="20"/>
                <w:szCs w:val="20"/>
              </w:rPr>
            </w:pPr>
            <w:r w:rsidRPr="003E6B33">
              <w:rPr>
                <w:sz w:val="20"/>
                <w:szCs w:val="20"/>
              </w:rPr>
              <w:t>([I</w:t>
            </w:r>
            <w:r w:rsidRPr="003E6B33">
              <w:rPr>
                <w:sz w:val="20"/>
                <w:szCs w:val="20"/>
                <w:vertAlign w:val="subscript"/>
              </w:rPr>
              <w:t>2</w:t>
            </w:r>
            <w:r w:rsidRPr="003E6B33">
              <w:rPr>
                <w:sz w:val="20"/>
                <w:szCs w:val="20"/>
              </w:rPr>
              <w:t>]/IC</w:t>
            </w:r>
            <w:r w:rsidRPr="003E6B33">
              <w:rPr>
                <w:sz w:val="20"/>
                <w:szCs w:val="20"/>
                <w:vertAlign w:val="subscript"/>
              </w:rPr>
              <w:t>50</w:t>
            </w:r>
            <w:r w:rsidRPr="003E6B33">
              <w:rPr>
                <w:sz w:val="20"/>
                <w:szCs w:val="20"/>
              </w:rPr>
              <w:t xml:space="preserve"> &gt; 10 and [I</w:t>
            </w:r>
            <w:r w:rsidRPr="003E6B33">
              <w:rPr>
                <w:sz w:val="20"/>
                <w:szCs w:val="20"/>
                <w:vertAlign w:val="subscript"/>
              </w:rPr>
              <w:t>1</w:t>
            </w:r>
            <w:r w:rsidRPr="003E6B33">
              <w:rPr>
                <w:sz w:val="20"/>
                <w:szCs w:val="20"/>
              </w:rPr>
              <w:t>]/IC</w:t>
            </w:r>
            <w:r w:rsidRPr="003E6B33">
              <w:rPr>
                <w:sz w:val="20"/>
                <w:szCs w:val="20"/>
                <w:vertAlign w:val="subscript"/>
              </w:rPr>
              <w:t>50</w:t>
            </w:r>
            <w:r w:rsidRPr="003E6B33">
              <w:rPr>
                <w:sz w:val="20"/>
                <w:szCs w:val="20"/>
              </w:rPr>
              <w:t xml:space="preserve"> &gt; 0.1</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0.031 µM</w:t>
            </w:r>
          </w:p>
        </w:tc>
        <w:tc>
          <w:tcPr>
            <w:tcW w:w="4420" w:type="dxa"/>
          </w:tcPr>
          <w:p w:rsidR="00DF2650" w:rsidRPr="003E6B33" w:rsidRDefault="00DF2650" w:rsidP="003E6B33">
            <w:pPr>
              <w:rPr>
                <w:sz w:val="20"/>
                <w:szCs w:val="20"/>
              </w:rPr>
            </w:pPr>
            <w:r w:rsidRPr="003E6B33">
              <w:rPr>
                <w:sz w:val="20"/>
                <w:szCs w:val="20"/>
              </w:rPr>
              <w:t>Likely (R-value 1.88 to 3.07)</w:t>
            </w:r>
            <w:r w:rsidRPr="003E6B33">
              <w:rPr>
                <w:sz w:val="20"/>
                <w:szCs w:val="20"/>
                <w:vertAlign w:val="superscript"/>
              </w:rPr>
              <w:t xml:space="preserve"> </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p>
          <w:p w:rsidR="00DF2650" w:rsidRPr="003E6B33" w:rsidRDefault="00DF2650" w:rsidP="003E6B33">
            <w:pPr>
              <w:rPr>
                <w:sz w:val="20"/>
                <w:szCs w:val="20"/>
              </w:rPr>
            </w:pPr>
            <w:r w:rsidRPr="003E6B33">
              <w:rPr>
                <w:sz w:val="20"/>
                <w:szCs w:val="20"/>
              </w:rPr>
              <w:t xml:space="preserve">Clinical study showed increased rosuvastatin &amp; pravastatin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OATP1B3</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0.017 µM</w:t>
            </w:r>
          </w:p>
        </w:tc>
        <w:tc>
          <w:tcPr>
            <w:tcW w:w="4420" w:type="dxa"/>
          </w:tcPr>
          <w:p w:rsidR="00DF2650" w:rsidRPr="003E6B33" w:rsidRDefault="00DF2650" w:rsidP="003E6B33">
            <w:pPr>
              <w:rPr>
                <w:sz w:val="20"/>
                <w:szCs w:val="20"/>
              </w:rPr>
            </w:pPr>
            <w:r w:rsidRPr="003E6B33">
              <w:rPr>
                <w:sz w:val="20"/>
                <w:szCs w:val="20"/>
              </w:rPr>
              <w:t>Likely (R-value 2.60 to 4.77)</w:t>
            </w:r>
            <w:r w:rsidRPr="003E6B33">
              <w:rPr>
                <w:sz w:val="20"/>
                <w:szCs w:val="20"/>
                <w:vertAlign w:val="superscript"/>
              </w:rPr>
              <w:t xml:space="preserve"> </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p>
          <w:p w:rsidR="00DF2650" w:rsidRPr="003E6B33" w:rsidRDefault="00DF2650" w:rsidP="003E6B33">
            <w:pPr>
              <w:rPr>
                <w:sz w:val="20"/>
                <w:szCs w:val="20"/>
              </w:rPr>
            </w:pPr>
            <w:r w:rsidRPr="003E6B33">
              <w:rPr>
                <w:sz w:val="20"/>
                <w:szCs w:val="20"/>
              </w:rPr>
              <w:t xml:space="preserve">Clinical study showed increased rosuvastatin &amp; pravastatin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val="restart"/>
          </w:tcPr>
          <w:p w:rsidR="00DF2650" w:rsidRPr="003E6B33" w:rsidRDefault="00DF2650" w:rsidP="003E6B33">
            <w:pPr>
              <w:rPr>
                <w:sz w:val="20"/>
                <w:szCs w:val="20"/>
              </w:rPr>
            </w:pPr>
            <w:r w:rsidRPr="003E6B33">
              <w:rPr>
                <w:sz w:val="20"/>
                <w:szCs w:val="20"/>
              </w:rPr>
              <w:t>Ritonavir</w:t>
            </w:r>
          </w:p>
        </w:tc>
        <w:tc>
          <w:tcPr>
            <w:tcW w:w="1353" w:type="dxa"/>
          </w:tcPr>
          <w:p w:rsidR="00DF2650" w:rsidRPr="003E6B33" w:rsidRDefault="00DF2650" w:rsidP="003E6B33">
            <w:pPr>
              <w:rPr>
                <w:sz w:val="20"/>
                <w:szCs w:val="20"/>
              </w:rPr>
            </w:pPr>
            <w:r w:rsidRPr="003E6B33">
              <w:rPr>
                <w:sz w:val="20"/>
                <w:szCs w:val="20"/>
              </w:rPr>
              <w:t>CYP3A4</w:t>
            </w:r>
          </w:p>
        </w:tc>
        <w:tc>
          <w:tcPr>
            <w:tcW w:w="1687" w:type="dxa"/>
          </w:tcPr>
          <w:p w:rsidR="00DF2650" w:rsidRPr="003E6B33" w:rsidRDefault="00DF2650" w:rsidP="003E6B33">
            <w:pPr>
              <w:rPr>
                <w:sz w:val="20"/>
                <w:szCs w:val="20"/>
              </w:rPr>
            </w:pPr>
            <w:r w:rsidRPr="003E6B33">
              <w:rPr>
                <w:sz w:val="20"/>
                <w:szCs w:val="20"/>
              </w:rPr>
              <w:t>Potent inhibitor</w:t>
            </w:r>
          </w:p>
        </w:tc>
        <w:tc>
          <w:tcPr>
            <w:tcW w:w="4420" w:type="dxa"/>
          </w:tcPr>
          <w:p w:rsidR="00DF2650" w:rsidRPr="003E6B33" w:rsidRDefault="00DF2650" w:rsidP="003E6B33">
            <w:pPr>
              <w:rPr>
                <w:sz w:val="20"/>
                <w:szCs w:val="20"/>
              </w:rPr>
            </w:pPr>
            <w:r w:rsidRPr="003E6B33">
              <w:rPr>
                <w:sz w:val="20"/>
                <w:szCs w:val="20"/>
              </w:rPr>
              <w:t>Kinetic booster for paritaprevir; will have clinical implications for all co-administered CYP3A4 substrates;</w:t>
            </w:r>
          </w:p>
          <w:p w:rsidR="00DF2650" w:rsidRPr="003E6B33" w:rsidRDefault="00DF2650" w:rsidP="003E6B33">
            <w:pPr>
              <w:rPr>
                <w:sz w:val="20"/>
                <w:szCs w:val="20"/>
              </w:rPr>
            </w:pPr>
            <w:r w:rsidRPr="003E6B33">
              <w:rPr>
                <w:sz w:val="20"/>
                <w:szCs w:val="20"/>
              </w:rPr>
              <w:t>This inhibitory effect is likely to dominate over slight induction effect of paritaprevir</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P-gp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0.35 µM (vesicle), &gt; 50 µM (cell based)</w:t>
            </w:r>
          </w:p>
        </w:tc>
        <w:tc>
          <w:tcPr>
            <w:tcW w:w="4420" w:type="dxa"/>
            <w:vMerge w:val="restart"/>
          </w:tcPr>
          <w:p w:rsidR="00DF2650" w:rsidRPr="003E6B33" w:rsidRDefault="00DF2650" w:rsidP="003E6B33">
            <w:pPr>
              <w:rPr>
                <w:sz w:val="20"/>
                <w:szCs w:val="20"/>
              </w:rPr>
            </w:pPr>
            <w:r w:rsidRPr="003E6B33">
              <w:rPr>
                <w:sz w:val="20"/>
                <w:szCs w:val="20"/>
              </w:rPr>
              <w:t xml:space="preserve">Possible, but individual contribution of ritonavir to P-gp and BCRP inhibition in the </w:t>
            </w:r>
            <w:r w:rsidR="00237CBE" w:rsidRPr="003E6B33">
              <w:rPr>
                <w:sz w:val="20"/>
                <w:szCs w:val="20"/>
              </w:rPr>
              <w:t>3DAA</w:t>
            </w:r>
            <w:r w:rsidRPr="003E6B33">
              <w:rPr>
                <w:sz w:val="20"/>
                <w:szCs w:val="20"/>
              </w:rPr>
              <w:t xml:space="preserve"> regimen is difficult to discern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BCRP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24 µM (vesicle), 66 µM (cell based)</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0.5 µM</w:t>
            </w:r>
          </w:p>
        </w:tc>
        <w:tc>
          <w:tcPr>
            <w:tcW w:w="4420" w:type="dxa"/>
            <w:vMerge w:val="restart"/>
          </w:tcPr>
          <w:p w:rsidR="00DF2650" w:rsidRPr="003E6B33" w:rsidRDefault="00DF2650" w:rsidP="003E6B33">
            <w:pPr>
              <w:rPr>
                <w:sz w:val="20"/>
                <w:szCs w:val="20"/>
              </w:rPr>
            </w:pPr>
            <w:r w:rsidRPr="003E6B33">
              <w:rPr>
                <w:sz w:val="20"/>
                <w:szCs w:val="20"/>
              </w:rPr>
              <w:t xml:space="preserve">Clinical study showed increased rosuvastatin &amp; pravastatin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OATP1B3</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0.6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OCT1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2.5 µM</w:t>
            </w:r>
          </w:p>
        </w:tc>
        <w:tc>
          <w:tcPr>
            <w:tcW w:w="4420" w:type="dxa"/>
            <w:vMerge w:val="restart"/>
          </w:tcPr>
          <w:p w:rsidR="00DF2650" w:rsidRPr="003E6B33" w:rsidRDefault="00DF2650" w:rsidP="003E6B33">
            <w:pPr>
              <w:rPr>
                <w:sz w:val="20"/>
                <w:szCs w:val="20"/>
              </w:rPr>
            </w:pPr>
            <w:r w:rsidRPr="003E6B33">
              <w:rPr>
                <w:sz w:val="20"/>
                <w:szCs w:val="20"/>
              </w:rPr>
              <w:t xml:space="preserve">Ritonavir (and other compounds in the </w:t>
            </w:r>
            <w:r w:rsidR="00237CBE" w:rsidRPr="003E6B33">
              <w:rPr>
                <w:sz w:val="20"/>
                <w:szCs w:val="20"/>
              </w:rPr>
              <w:t>3DAA</w:t>
            </w:r>
            <w:r w:rsidRPr="003E6B33">
              <w:rPr>
                <w:sz w:val="20"/>
                <w:szCs w:val="20"/>
              </w:rPr>
              <w:t xml:space="preserve"> regimen) have low potential for clinically relevant interactions with renal transporters;</w:t>
            </w:r>
          </w:p>
          <w:p w:rsidR="00DF2650" w:rsidRPr="003E6B33" w:rsidRDefault="00DF2650" w:rsidP="003E6B33">
            <w:pPr>
              <w:rPr>
                <w:sz w:val="20"/>
                <w:szCs w:val="20"/>
              </w:rPr>
            </w:pPr>
            <w:r w:rsidRPr="003E6B33">
              <w:rPr>
                <w:sz w:val="20"/>
                <w:szCs w:val="20"/>
              </w:rPr>
              <w:t xml:space="preserve">Clinically, tenofovir exposure was similar following co-administration with the 2DAA and </w:t>
            </w:r>
            <w:r w:rsidR="00237CBE" w:rsidRPr="003E6B33">
              <w:rPr>
                <w:sz w:val="20"/>
                <w:szCs w:val="20"/>
              </w:rPr>
              <w:t>3DAA</w:t>
            </w:r>
            <w:r w:rsidRPr="003E6B33">
              <w:rPr>
                <w:sz w:val="20"/>
                <w:szCs w:val="20"/>
              </w:rPr>
              <w:t xml:space="preserve"> regimens</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14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OAT3</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8.1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MATE1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3.3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MATE2K</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90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BSEP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0.1 µM</w:t>
            </w:r>
          </w:p>
        </w:tc>
        <w:tc>
          <w:tcPr>
            <w:tcW w:w="4420" w:type="dxa"/>
            <w:vMerge/>
          </w:tcPr>
          <w:p w:rsidR="00DF2650" w:rsidRPr="003E6B33" w:rsidRDefault="00DF2650" w:rsidP="003E6B33">
            <w:pPr>
              <w:rPr>
                <w:sz w:val="20"/>
                <w:szCs w:val="20"/>
              </w:rPr>
            </w:pPr>
          </w:p>
        </w:tc>
      </w:tr>
      <w:tr w:rsidR="00DF2650" w:rsidRPr="003E6B33" w:rsidTr="00E66096">
        <w:trPr>
          <w:trHeight w:val="340"/>
        </w:trPr>
        <w:tc>
          <w:tcPr>
            <w:tcW w:w="1260" w:type="dxa"/>
          </w:tcPr>
          <w:p w:rsidR="00DF2650" w:rsidRPr="003E6B33" w:rsidRDefault="00DF2650" w:rsidP="003E6B33">
            <w:pPr>
              <w:rPr>
                <w:sz w:val="20"/>
                <w:szCs w:val="20"/>
              </w:rPr>
            </w:pPr>
            <w:r w:rsidRPr="003E6B33">
              <w:rPr>
                <w:sz w:val="20"/>
                <w:szCs w:val="20"/>
              </w:rPr>
              <w:lastRenderedPageBreak/>
              <w:t>Ombitasvir</w:t>
            </w:r>
          </w:p>
        </w:tc>
        <w:tc>
          <w:tcPr>
            <w:tcW w:w="1353" w:type="dxa"/>
          </w:tcPr>
          <w:p w:rsidR="00DF2650" w:rsidRPr="003E6B33" w:rsidRDefault="00DF2650" w:rsidP="003E6B33">
            <w:pPr>
              <w:rPr>
                <w:sz w:val="20"/>
                <w:szCs w:val="20"/>
              </w:rPr>
            </w:pPr>
            <w:r w:rsidRPr="003E6B33">
              <w:rPr>
                <w:sz w:val="20"/>
                <w:szCs w:val="20"/>
              </w:rPr>
              <w:t>UGT1A1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2.1 µM</w:t>
            </w:r>
          </w:p>
        </w:tc>
        <w:tc>
          <w:tcPr>
            <w:tcW w:w="4420" w:type="dxa"/>
          </w:tcPr>
          <w:p w:rsidR="00DF2650" w:rsidRPr="003E6B33" w:rsidRDefault="00DF2650" w:rsidP="003E6B33">
            <w:pPr>
              <w:rPr>
                <w:sz w:val="20"/>
                <w:szCs w:val="20"/>
              </w:rPr>
            </w:pPr>
            <w:r w:rsidRPr="003E6B33">
              <w:rPr>
                <w:sz w:val="20"/>
                <w:szCs w:val="20"/>
              </w:rPr>
              <w:t xml:space="preserve">Possible; (clinical study showed 34% decrease in raltegravir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val="restart"/>
          </w:tcPr>
          <w:p w:rsidR="00DF2650" w:rsidRPr="003E6B33" w:rsidRDefault="00DF2650" w:rsidP="003E6B33">
            <w:pPr>
              <w:rPr>
                <w:sz w:val="20"/>
                <w:szCs w:val="20"/>
              </w:rPr>
            </w:pPr>
            <w:r w:rsidRPr="003E6B33">
              <w:rPr>
                <w:sz w:val="20"/>
                <w:szCs w:val="20"/>
              </w:rPr>
              <w:t>Dasabuvir</w:t>
            </w:r>
          </w:p>
        </w:tc>
        <w:tc>
          <w:tcPr>
            <w:tcW w:w="1353" w:type="dxa"/>
          </w:tcPr>
          <w:p w:rsidR="00DF2650" w:rsidRPr="003E6B33" w:rsidRDefault="00DF2650" w:rsidP="003E6B33">
            <w:pPr>
              <w:rPr>
                <w:sz w:val="20"/>
                <w:szCs w:val="20"/>
              </w:rPr>
            </w:pPr>
            <w:r w:rsidRPr="003E6B33">
              <w:rPr>
                <w:sz w:val="20"/>
                <w:szCs w:val="20"/>
              </w:rPr>
              <w:t>CYP2C9</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9 µM</w:t>
            </w:r>
          </w:p>
        </w:tc>
        <w:tc>
          <w:tcPr>
            <w:tcW w:w="4420" w:type="dxa"/>
          </w:tcPr>
          <w:p w:rsidR="00DF2650" w:rsidRPr="003E6B33" w:rsidRDefault="00DF2650" w:rsidP="003E6B33">
            <w:pPr>
              <w:rPr>
                <w:sz w:val="20"/>
                <w:szCs w:val="20"/>
              </w:rPr>
            </w:pPr>
            <w:r w:rsidRPr="003E6B33">
              <w:rPr>
                <w:sz w:val="20"/>
                <w:szCs w:val="20"/>
              </w:rPr>
              <w:t>Unlikely (R-value 1.08)</w:t>
            </w:r>
            <w:r w:rsidRPr="003E6B33">
              <w:rPr>
                <w:sz w:val="20"/>
                <w:szCs w:val="20"/>
                <w:vertAlign w:val="superscript"/>
              </w:rPr>
              <w:t xml:space="preserve"> </w:t>
            </w:r>
            <w:r w:rsidRPr="003E6B33">
              <w:rPr>
                <w:sz w:val="20"/>
                <w:szCs w:val="20"/>
                <w:vertAlign w:val="superscript"/>
              </w:rPr>
              <w:fldChar w:fldCharType="begin"/>
            </w:r>
            <w:r w:rsidRPr="003E6B33">
              <w:rPr>
                <w:sz w:val="20"/>
                <w:szCs w:val="20"/>
                <w:vertAlign w:val="superscript"/>
              </w:rPr>
              <w:instrText xml:space="preserve"> NOTEREF _Ref471978632 \h  \* MERGEFORMAT </w:instrText>
            </w:r>
            <w:r w:rsidRPr="003E6B33">
              <w:rPr>
                <w:sz w:val="20"/>
                <w:szCs w:val="20"/>
                <w:vertAlign w:val="superscript"/>
              </w:rPr>
            </w:r>
            <w:r w:rsidRPr="003E6B33">
              <w:rPr>
                <w:sz w:val="20"/>
                <w:szCs w:val="20"/>
                <w:vertAlign w:val="superscript"/>
              </w:rPr>
              <w:fldChar w:fldCharType="separate"/>
            </w:r>
            <w:r w:rsidRPr="003E6B33">
              <w:rPr>
                <w:sz w:val="20"/>
                <w:szCs w:val="20"/>
                <w:vertAlign w:val="superscript"/>
              </w:rPr>
              <w:t>60</w:t>
            </w:r>
            <w:r w:rsidRPr="003E6B33">
              <w:rPr>
                <w:sz w:val="20"/>
                <w:szCs w:val="20"/>
                <w:vertAlign w:val="superscript"/>
              </w:rPr>
              <w:fldChar w:fldCharType="end"/>
            </w:r>
          </w:p>
          <w:p w:rsidR="00DF2650" w:rsidRPr="003E6B33" w:rsidRDefault="00DF2650" w:rsidP="003E6B33">
            <w:pPr>
              <w:rPr>
                <w:sz w:val="20"/>
                <w:szCs w:val="20"/>
              </w:rPr>
            </w:pPr>
            <w:r w:rsidRPr="003E6B33">
              <w:rPr>
                <w:sz w:val="20"/>
                <w:szCs w:val="20"/>
              </w:rPr>
              <w:t>Confirmed clinically (lack of interaction with warfarin)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CYP2C8</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17 µM</w:t>
            </w:r>
          </w:p>
        </w:tc>
        <w:tc>
          <w:tcPr>
            <w:tcW w:w="4420" w:type="dxa"/>
          </w:tcPr>
          <w:p w:rsidR="00DF2650" w:rsidRPr="003E6B33" w:rsidRDefault="00DF2650" w:rsidP="003E6B33">
            <w:pPr>
              <w:rPr>
                <w:sz w:val="20"/>
                <w:szCs w:val="20"/>
              </w:rPr>
            </w:pPr>
            <w:r w:rsidRPr="003E6B33">
              <w:rPr>
                <w:sz w:val="20"/>
                <w:szCs w:val="20"/>
              </w:rPr>
              <w:t>Unlikely</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CYP2C19</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18 µM</w:t>
            </w:r>
          </w:p>
        </w:tc>
        <w:tc>
          <w:tcPr>
            <w:tcW w:w="4420" w:type="dxa"/>
          </w:tcPr>
          <w:p w:rsidR="00DF2650" w:rsidRPr="003E6B33" w:rsidRDefault="00DF2650" w:rsidP="003E6B33">
            <w:pPr>
              <w:rPr>
                <w:sz w:val="20"/>
                <w:szCs w:val="20"/>
              </w:rPr>
            </w:pPr>
            <w:r w:rsidRPr="003E6B33">
              <w:rPr>
                <w:sz w:val="20"/>
                <w:szCs w:val="20"/>
              </w:rPr>
              <w:t>Unlikely; (clinical study showed 38% reduction in omeprazole AUC)</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UGT1A1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0.92 µM</w:t>
            </w:r>
          </w:p>
        </w:tc>
        <w:tc>
          <w:tcPr>
            <w:tcW w:w="4420" w:type="dxa"/>
          </w:tcPr>
          <w:p w:rsidR="00DF2650" w:rsidRPr="003E6B33" w:rsidRDefault="00DF2650" w:rsidP="003E6B33">
            <w:pPr>
              <w:rPr>
                <w:sz w:val="20"/>
                <w:szCs w:val="20"/>
              </w:rPr>
            </w:pPr>
            <w:r w:rsidRPr="003E6B33">
              <w:rPr>
                <w:sz w:val="20"/>
                <w:szCs w:val="20"/>
              </w:rPr>
              <w:t xml:space="preserve">Possible; (clinical study showed 34% decrease in raltegravir exposure with the </w:t>
            </w:r>
            <w:r w:rsidR="00237CBE" w:rsidRPr="003E6B33">
              <w:rPr>
                <w:sz w:val="20"/>
                <w:szCs w:val="20"/>
              </w:rPr>
              <w:t>3DAA</w:t>
            </w:r>
            <w:r w:rsidRPr="003E6B33">
              <w:rPr>
                <w:sz w:val="20"/>
                <w:szCs w:val="20"/>
              </w:rPr>
              <w:t xml:space="preserve"> regimen, but individual contribution unknown)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0.9 µM</w:t>
            </w:r>
          </w:p>
        </w:tc>
        <w:tc>
          <w:tcPr>
            <w:tcW w:w="4420" w:type="dxa"/>
          </w:tcPr>
          <w:p w:rsidR="00DF2650" w:rsidRPr="003E6B33" w:rsidRDefault="00DF2650" w:rsidP="003E6B33">
            <w:pPr>
              <w:rPr>
                <w:sz w:val="20"/>
                <w:szCs w:val="20"/>
              </w:rPr>
            </w:pPr>
            <w:r w:rsidRPr="003E6B33">
              <w:rPr>
                <w:sz w:val="20"/>
                <w:szCs w:val="20"/>
              </w:rPr>
              <w:t>Unlikely (R-value = 1.06)</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OATP1B3</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6.6 µM</w:t>
            </w:r>
          </w:p>
        </w:tc>
        <w:tc>
          <w:tcPr>
            <w:tcW w:w="4420" w:type="dxa"/>
          </w:tcPr>
          <w:p w:rsidR="00DF2650" w:rsidRPr="003E6B33" w:rsidRDefault="00DF2650" w:rsidP="003E6B33">
            <w:pPr>
              <w:rPr>
                <w:sz w:val="20"/>
                <w:szCs w:val="20"/>
              </w:rPr>
            </w:pPr>
            <w:r w:rsidRPr="003E6B33">
              <w:rPr>
                <w:sz w:val="20"/>
                <w:szCs w:val="20"/>
              </w:rPr>
              <w:t>Unlikely (R-value = 1.01)</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P-gp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16.7 µM</w:t>
            </w:r>
          </w:p>
        </w:tc>
        <w:tc>
          <w:tcPr>
            <w:tcW w:w="4420" w:type="dxa"/>
            <w:vMerge w:val="restart"/>
          </w:tcPr>
          <w:p w:rsidR="00DF2650" w:rsidRPr="003E6B33" w:rsidRDefault="00DF2650" w:rsidP="003E6B33">
            <w:pPr>
              <w:rPr>
                <w:sz w:val="20"/>
                <w:szCs w:val="20"/>
              </w:rPr>
            </w:pPr>
            <w:r w:rsidRPr="003E6B33">
              <w:rPr>
                <w:sz w:val="20"/>
                <w:szCs w:val="20"/>
              </w:rPr>
              <w:t xml:space="preserve">Possible, but not confirmed clinically (no increase in digoxin exposure when co-administered as part of </w:t>
            </w:r>
            <w:r w:rsidR="00237CBE" w:rsidRPr="003E6B33">
              <w:rPr>
                <w:sz w:val="20"/>
                <w:szCs w:val="20"/>
              </w:rPr>
              <w:t>3DAA</w:t>
            </w:r>
            <w:r w:rsidRPr="003E6B33">
              <w:rPr>
                <w:sz w:val="20"/>
                <w:szCs w:val="20"/>
              </w:rPr>
              <w:t xml:space="preserve"> regimen)</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BCRP</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15.6 µM</w:t>
            </w:r>
          </w:p>
        </w:tc>
        <w:tc>
          <w:tcPr>
            <w:tcW w:w="4420" w:type="dxa"/>
            <w:vMerge/>
          </w:tcPr>
          <w:p w:rsidR="00DF2650" w:rsidRPr="003E6B33" w:rsidRDefault="00DF2650" w:rsidP="003E6B33">
            <w:pPr>
              <w:rPr>
                <w:i/>
                <w:sz w:val="20"/>
                <w:szCs w:val="20"/>
              </w:rPr>
            </w:pPr>
          </w:p>
        </w:tc>
      </w:tr>
      <w:tr w:rsidR="00DF2650" w:rsidRPr="003E6B33" w:rsidTr="00E66096">
        <w:trPr>
          <w:trHeight w:val="340"/>
        </w:trPr>
        <w:tc>
          <w:tcPr>
            <w:tcW w:w="1260" w:type="dxa"/>
            <w:vMerge w:val="restart"/>
          </w:tcPr>
          <w:p w:rsidR="00DF2650" w:rsidRPr="003E6B33" w:rsidRDefault="00DF2650" w:rsidP="003E6B33">
            <w:pPr>
              <w:rPr>
                <w:sz w:val="20"/>
                <w:szCs w:val="20"/>
              </w:rPr>
            </w:pPr>
            <w:r w:rsidRPr="003E6B33">
              <w:rPr>
                <w:sz w:val="20"/>
                <w:szCs w:val="20"/>
              </w:rPr>
              <w:t>M1</w:t>
            </w:r>
          </w:p>
        </w:tc>
        <w:tc>
          <w:tcPr>
            <w:tcW w:w="1353" w:type="dxa"/>
          </w:tcPr>
          <w:p w:rsidR="00DF2650" w:rsidRPr="003E6B33" w:rsidRDefault="00DF2650" w:rsidP="003E6B33">
            <w:pPr>
              <w:rPr>
                <w:sz w:val="20"/>
                <w:szCs w:val="20"/>
              </w:rPr>
            </w:pPr>
            <w:r w:rsidRPr="003E6B33">
              <w:rPr>
                <w:sz w:val="20"/>
                <w:szCs w:val="20"/>
              </w:rPr>
              <w:t>UGT1A1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6.53 µM</w:t>
            </w:r>
          </w:p>
        </w:tc>
        <w:tc>
          <w:tcPr>
            <w:tcW w:w="4420" w:type="dxa"/>
          </w:tcPr>
          <w:p w:rsidR="00DF2650" w:rsidRPr="003E6B33" w:rsidRDefault="00DF2650" w:rsidP="003E6B33">
            <w:pPr>
              <w:rPr>
                <w:sz w:val="20"/>
                <w:szCs w:val="20"/>
              </w:rPr>
            </w:pPr>
            <w:r w:rsidRPr="003E6B33">
              <w:rPr>
                <w:sz w:val="20"/>
                <w:szCs w:val="20"/>
              </w:rPr>
              <w:t>See above</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OATP1B1</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2.6 µM</w:t>
            </w:r>
          </w:p>
        </w:tc>
        <w:tc>
          <w:tcPr>
            <w:tcW w:w="4420" w:type="dxa"/>
            <w:vMerge w:val="restart"/>
          </w:tcPr>
          <w:p w:rsidR="00DF2650" w:rsidRPr="003E6B33" w:rsidRDefault="00DF2650" w:rsidP="003E6B33">
            <w:pPr>
              <w:rPr>
                <w:sz w:val="20"/>
                <w:szCs w:val="20"/>
              </w:rPr>
            </w:pPr>
            <w:r w:rsidRPr="003E6B33">
              <w:rPr>
                <w:sz w:val="20"/>
                <w:szCs w:val="20"/>
              </w:rPr>
              <w:t>Unlikely (R-values = 1.03 &amp; 1.01)</w:t>
            </w:r>
          </w:p>
        </w:tc>
      </w:tr>
      <w:tr w:rsidR="00DF2650" w:rsidRPr="003E6B33" w:rsidTr="00E66096">
        <w:trPr>
          <w:trHeight w:val="340"/>
        </w:trPr>
        <w:tc>
          <w:tcPr>
            <w:tcW w:w="1260" w:type="dxa"/>
            <w:vMerge/>
          </w:tcPr>
          <w:p w:rsidR="00DF2650" w:rsidRPr="003E6B33" w:rsidRDefault="00DF2650" w:rsidP="003E6B33">
            <w:pPr>
              <w:rPr>
                <w:sz w:val="20"/>
                <w:szCs w:val="20"/>
              </w:rPr>
            </w:pPr>
          </w:p>
        </w:tc>
        <w:tc>
          <w:tcPr>
            <w:tcW w:w="1353" w:type="dxa"/>
          </w:tcPr>
          <w:p w:rsidR="00DF2650" w:rsidRPr="003E6B33" w:rsidRDefault="00DF2650" w:rsidP="003E6B33">
            <w:pPr>
              <w:rPr>
                <w:sz w:val="20"/>
                <w:szCs w:val="20"/>
              </w:rPr>
            </w:pPr>
            <w:r w:rsidRPr="003E6B33">
              <w:rPr>
                <w:sz w:val="20"/>
                <w:szCs w:val="20"/>
              </w:rPr>
              <w:t>OATP1B3</w:t>
            </w:r>
          </w:p>
        </w:tc>
        <w:tc>
          <w:tcPr>
            <w:tcW w:w="1687" w:type="dxa"/>
          </w:tcPr>
          <w:p w:rsidR="00DF2650" w:rsidRPr="003E6B33" w:rsidRDefault="00DF2650" w:rsidP="003E6B33">
            <w:pPr>
              <w:rPr>
                <w:sz w:val="20"/>
                <w:szCs w:val="20"/>
              </w:rPr>
            </w:pPr>
            <w:r w:rsidRPr="003E6B33">
              <w:rPr>
                <w:sz w:val="20"/>
                <w:szCs w:val="20"/>
              </w:rPr>
              <w:t>IC</w:t>
            </w:r>
            <w:r w:rsidRPr="003E6B33">
              <w:rPr>
                <w:sz w:val="20"/>
                <w:szCs w:val="20"/>
                <w:vertAlign w:val="subscript"/>
              </w:rPr>
              <w:t>50</w:t>
            </w:r>
            <w:r w:rsidRPr="003E6B33">
              <w:rPr>
                <w:sz w:val="20"/>
                <w:szCs w:val="20"/>
              </w:rPr>
              <w:t xml:space="preserve"> = 9.7 µM</w:t>
            </w:r>
          </w:p>
        </w:tc>
        <w:tc>
          <w:tcPr>
            <w:tcW w:w="4420" w:type="dxa"/>
            <w:vMerge/>
          </w:tcPr>
          <w:p w:rsidR="00DF2650" w:rsidRPr="003E6B33" w:rsidRDefault="00DF2650" w:rsidP="003E6B33">
            <w:pPr>
              <w:rPr>
                <w:sz w:val="20"/>
                <w:szCs w:val="20"/>
              </w:rPr>
            </w:pPr>
          </w:p>
        </w:tc>
      </w:tr>
    </w:tbl>
    <w:p w:rsidR="002B28C8" w:rsidRPr="002B28C8" w:rsidRDefault="00475C4E" w:rsidP="002B28C8">
      <w:pPr>
        <w:pStyle w:val="Heading3"/>
      </w:pPr>
      <w:bookmarkStart w:id="110" w:name="_Toc480811577"/>
      <w:r>
        <w:t>Toxicology</w:t>
      </w:r>
      <w:r w:rsidR="0098169C">
        <w:t xml:space="preserve"> - new fixed dose combination</w:t>
      </w:r>
      <w:bookmarkEnd w:id="110"/>
    </w:p>
    <w:p w:rsidR="002B28C8" w:rsidRPr="002B28C8" w:rsidRDefault="002B28C8" w:rsidP="002B28C8">
      <w:pPr>
        <w:pStyle w:val="Heading5"/>
      </w:pPr>
      <w:r w:rsidRPr="002B28C8">
        <w:t>Paritaprevir</w:t>
      </w:r>
    </w:p>
    <w:p w:rsidR="002B28C8" w:rsidRPr="002B28C8" w:rsidRDefault="002B28C8" w:rsidP="002B28C8">
      <w:r w:rsidRPr="002B28C8">
        <w:t>The main target organ for paritaprevir associated toxicity was the gallbladder.</w:t>
      </w:r>
      <w:r w:rsidR="008B6F3C">
        <w:t xml:space="preserve"> </w:t>
      </w:r>
      <w:r w:rsidRPr="002B28C8">
        <w:t>In mice, focal erosion or ulceration of the gall bladder epithelium was characterised by focal necrosis and loss of mucosal epithelial cells, transmural fibrosis and inflammation, extending into the lamina propria, tunica muscularis and serosa. Hypertrophic or hyperplastic tissue was often found adjacent to the areas of mucosal erosion. The effect showed only partial recovery. There was no indication of progression to a pre-neoplastic or neoplastic state in this model. However, the relevance of human c-Ha-ras gene overexpression to the progression of chronic inflammation and hypertrophy to carcinogenesis is unknown.</w:t>
      </w:r>
      <w:r w:rsidR="008B6F3C">
        <w:t xml:space="preserve"> </w:t>
      </w:r>
      <w:r w:rsidRPr="002B28C8">
        <w:t xml:space="preserve">Gall bladder toxicity was not observed in the shorter duration studies, including the 13 week mouse study at doses up to 300 mg/kg/day, corresponding </w:t>
      </w:r>
      <w:r w:rsidRPr="002B28C8">
        <w:lastRenderedPageBreak/>
        <w:t xml:space="preserve">to systemic exposure 60 times the clinical AUC. The effect was not observed in the rat since this species lacks a gall bladder. Minimal focal mucosal degeneration and oedema was observed in the gall bladders of dogs in the 4 week study, but there was no evidence of progression in longer duration studies, and there were no </w:t>
      </w:r>
      <w:r w:rsidR="001D00FC">
        <w:t>gall bladder findings in the 13 </w:t>
      </w:r>
      <w:r w:rsidRPr="002B28C8">
        <w:t xml:space="preserve">week study. In the pivotal 9 month study, the NOEL </w:t>
      </w:r>
      <w:r w:rsidR="001D00FC">
        <w:t>for gall bladder changes was 20 </w:t>
      </w:r>
      <w:r w:rsidRPr="002B28C8">
        <w:t>mg/kg/day (88 times the clinical AUC), and only one male dosed with paritaprevir at 80 mg/kg/day for 9 months (214 times the clinical AUC) exhibited minimal epithelial necrosis. It is possible that the relatively lower severity of adverse gall bladder toxicity in this species is related to the correspondingly lower liver to plasma concentration ratio for paritaprevir.</w:t>
      </w:r>
    </w:p>
    <w:p w:rsidR="002B28C8" w:rsidRPr="002B28C8" w:rsidRDefault="002B28C8" w:rsidP="002B28C8">
      <w:r w:rsidRPr="002B28C8">
        <w:t>The sponsor submitted 1 and 3 month toxicology studies in rats, in which ribavirin was co-administered with paritaprevir and ritonavir. There were no novel toxicities or exacerbation of previously reported toxicities. A 4 week safety study in CD-1 mice given low oral doses of a combination of paritaprevir, ritonavir and ombitasvir found no evidence of toxicity associated with levels of systemic exposure 2.7, 2.4 and 3.3 times the respective clinical AUC values.</w:t>
      </w:r>
    </w:p>
    <w:p w:rsidR="002B28C8" w:rsidRPr="002B28C8" w:rsidRDefault="002B28C8" w:rsidP="002B28C8">
      <w:pPr>
        <w:pStyle w:val="Heading5"/>
      </w:pPr>
      <w:r w:rsidRPr="002B28C8">
        <w:t>Ritonavir</w:t>
      </w:r>
    </w:p>
    <w:p w:rsidR="002B28C8" w:rsidRPr="002B28C8" w:rsidRDefault="001D00FC" w:rsidP="002B28C8">
      <w:r>
        <w:t xml:space="preserve">Repeat </w:t>
      </w:r>
      <w:r w:rsidR="002B28C8" w:rsidRPr="002B28C8">
        <w:t>dose toxicity studies with ritonavir were previously evaluated by the TGA.</w:t>
      </w:r>
      <w:r w:rsidR="008B6F3C">
        <w:t xml:space="preserve"> </w:t>
      </w:r>
      <w:r w:rsidR="002B28C8" w:rsidRPr="002B28C8">
        <w:t>Toxicological findings which are relevant to the doses of ritonavir co-administered with paritaprevir were hepatotoxicity in the rat, including multinucleated hepatocytes, hepatocytomegaly and single cell necrosis, and thyroid follicular cell hypertrophy, associated with elevated thyroid stimulating hormone concentrations. Biliary hyperplasia and chronic pericholangitis were seen at higher doses. Hepatic pathology was associated with increased serum enzyme activities. Ocular changes were seen in rodents at doses higher than those administered in the current application. Effects included retinal degeneration and hypertrophy of the retinal pigment epithelial (RPE) cells, and electroretinography carried out in one study showed changes indicative of compromised retinal function.</w:t>
      </w:r>
      <w:r w:rsidR="008B6F3C">
        <w:t xml:space="preserve"> </w:t>
      </w:r>
      <w:r w:rsidR="002B28C8" w:rsidRPr="002B28C8">
        <w:t>Retinal lesions were thought to be manifestations of phospholipidosis, and there was a widespread occurrence of microgranulomas in the 3 and 6 month rat studies, primarily in the liver, lungs and lymphoid tissues. In the dog, hepatotoxicity was manifest mainly as increased serum enzyme activities (</w:t>
      </w:r>
      <w:r w:rsidR="00286051">
        <w:t>for example</w:t>
      </w:r>
      <w:r w:rsidR="001B21A9">
        <w:t xml:space="preserve"> </w:t>
      </w:r>
      <w:r w:rsidR="002B28C8" w:rsidRPr="002B28C8">
        <w:t>γ</w:t>
      </w:r>
      <w:r w:rsidR="001B21A9">
        <w:t>-</w:t>
      </w:r>
      <w:r w:rsidR="002B28C8" w:rsidRPr="002B28C8">
        <w:t>glutamyltransferase) and hepatocytic hydropic degeneration, although pericholangitis was seen in one study.</w:t>
      </w:r>
      <w:r w:rsidR="008B6F3C">
        <w:t xml:space="preserve"> </w:t>
      </w:r>
      <w:r w:rsidR="002B28C8" w:rsidRPr="002B28C8">
        <w:t>Low incidences of testicular and prostatic degeneration/atrophy were also seen in this species, but there wer</w:t>
      </w:r>
      <w:r>
        <w:t>e no thyroid or ocular changes.</w:t>
      </w:r>
    </w:p>
    <w:p w:rsidR="002B28C8" w:rsidRPr="002B28C8" w:rsidRDefault="002B28C8" w:rsidP="002B28C8">
      <w:r w:rsidRPr="002B28C8">
        <w:t>Ocular effects were not seen in the studies submitted with the current application to support the safety of paritaprevir co-dosed with ritonavir, as the doses of ritonavir administered were below the LOEL for this effect. Alveolar histiocytosis, thought to be consistent with phospholipidosis, was observed in repeat dose studies with</w:t>
      </w:r>
      <w:r w:rsidR="001D00FC">
        <w:t xml:space="preserve"> dasabuvir in rats (see below).</w:t>
      </w:r>
    </w:p>
    <w:p w:rsidR="002B28C8" w:rsidRPr="002B28C8" w:rsidRDefault="002B28C8" w:rsidP="002B28C8">
      <w:pPr>
        <w:pStyle w:val="Heading5"/>
      </w:pPr>
      <w:r w:rsidRPr="002B28C8">
        <w:t>Ombitasvir</w:t>
      </w:r>
    </w:p>
    <w:p w:rsidR="002B28C8" w:rsidRPr="002B28C8" w:rsidRDefault="002B28C8" w:rsidP="002B28C8">
      <w:r w:rsidRPr="002B28C8">
        <w:t xml:space="preserve">No specific toxicities were identified in the mouse or rat repeat dose studies. </w:t>
      </w:r>
      <w:r w:rsidR="009C3E30">
        <w:t>Treatment related</w:t>
      </w:r>
      <w:r w:rsidRPr="002B28C8">
        <w:t xml:space="preserve"> changes in rats were minimal with sporadic findings that were not consistent for all treated groups. Similar to findings from a non-pivotal mouse study, there were apparent </w:t>
      </w:r>
      <w:r w:rsidR="005F323A">
        <w:t>dose dependent</w:t>
      </w:r>
      <w:r w:rsidRPr="002B28C8">
        <w:t xml:space="preserve"> elevations in AST (and to a lesser degree, ALT) levels in male (but not female) treated rats, accompanied by observed hepatocytic necrosis </w:t>
      </w:r>
      <w:r w:rsidR="001D00FC">
        <w:t>in the high dose treated males.</w:t>
      </w:r>
    </w:p>
    <w:p w:rsidR="002B28C8" w:rsidRPr="002B28C8" w:rsidRDefault="002B28C8" w:rsidP="002B28C8">
      <w:r w:rsidRPr="002B28C8">
        <w:t xml:space="preserve">A high incidence of vacuolation of villi in the duodena and jejuna of dogs in the 6 month pivotal study appeared to be related to ombitasvir treatment. Effects were seen at doses corresponding to </w:t>
      </w:r>
      <w:r w:rsidR="001D00FC">
        <w:t xml:space="preserve">plasma exposures of at least 34 and 61 </w:t>
      </w:r>
      <w:r w:rsidRPr="002B28C8">
        <w:t>times the clinical AUC, and thus are not considered to be a toxicological concern. At the NOA</w:t>
      </w:r>
      <w:r w:rsidR="001D00FC">
        <w:t>EL for the pivotal dog study (4 </w:t>
      </w:r>
      <w:r w:rsidRPr="002B28C8">
        <w:t xml:space="preserve">mg/kg/day) the relative exposure was 3 times the clinical AUC. Additional toxicity </w:t>
      </w:r>
      <w:r w:rsidRPr="002B28C8">
        <w:lastRenderedPageBreak/>
        <w:t>studies on the nonclinical safety of the human metabolites M29 and M36 found no evidence of adverse effects at u</w:t>
      </w:r>
      <w:r w:rsidR="001D00FC">
        <w:t>p to 4 weeks exposures in mice.</w:t>
      </w:r>
    </w:p>
    <w:p w:rsidR="002B28C8" w:rsidRPr="002B28C8" w:rsidRDefault="002B28C8" w:rsidP="002B28C8">
      <w:pPr>
        <w:pStyle w:val="Heading5"/>
      </w:pPr>
      <w:r w:rsidRPr="002B28C8">
        <w:t>Dasabuvir</w:t>
      </w:r>
    </w:p>
    <w:p w:rsidR="002B28C8" w:rsidRPr="002B28C8" w:rsidRDefault="002B28C8" w:rsidP="002B28C8">
      <w:r w:rsidRPr="002B28C8">
        <w:t>No consistent target organs for toxicity were identified. The lungs were a target organ for toxicity in rats. An increased incidence and severity of alveolar histiocytosis was observed in rats at exposure ratios based on AUC [ERAUC] of 2</w:t>
      </w:r>
      <w:r w:rsidR="00926A16">
        <w:t xml:space="preserve"> to </w:t>
      </w:r>
      <w:r w:rsidRPr="002B28C8">
        <w:t>5. A NOEL was not established and pulmonary histiocytosis had not completely rev</w:t>
      </w:r>
      <w:r w:rsidR="001D00FC">
        <w:t xml:space="preserve">ersed after a 1 month treatment </w:t>
      </w:r>
      <w:r w:rsidRPr="002B28C8">
        <w:t>free period, though the severity had lessened over this period. This lesion is consistent with phospholipidosis. Phospholipidosis is a common finding for cationic amphiphilic drugs, which have been approved for a wide range of clinical indications. It is uncertain if phospholipidosis in animals is predictive for humans and it is also uncertain if it is merely an adaptive response or has toxicological implications</w:t>
      </w:r>
      <w:r w:rsidR="003C3383">
        <w:t>.</w:t>
      </w:r>
      <w:r w:rsidR="009F6EED" w:rsidRPr="009F6EED">
        <w:rPr>
          <w:vertAlign w:val="superscript"/>
        </w:rPr>
        <w:fldChar w:fldCharType="begin"/>
      </w:r>
      <w:r w:rsidR="009F6EED" w:rsidRPr="009F6EED">
        <w:rPr>
          <w:vertAlign w:val="superscript"/>
        </w:rPr>
        <w:instrText xml:space="preserve"> NOTEREF _Ref471980654 \h </w:instrText>
      </w:r>
      <w:r w:rsidR="009F6EED">
        <w:rPr>
          <w:vertAlign w:val="superscript"/>
        </w:rPr>
        <w:instrText xml:space="preserve"> \* MERGEFORMAT </w:instrText>
      </w:r>
      <w:r w:rsidR="009F6EED" w:rsidRPr="009F6EED">
        <w:rPr>
          <w:vertAlign w:val="superscript"/>
        </w:rPr>
      </w:r>
      <w:r w:rsidR="009F6EED" w:rsidRPr="009F6EED">
        <w:rPr>
          <w:vertAlign w:val="superscript"/>
        </w:rPr>
        <w:fldChar w:fldCharType="separate"/>
      </w:r>
      <w:r w:rsidR="009F6EED" w:rsidRPr="009F6EED">
        <w:rPr>
          <w:vertAlign w:val="superscript"/>
        </w:rPr>
        <w:t>49</w:t>
      </w:r>
      <w:r w:rsidR="009F6EED" w:rsidRPr="009F6EED">
        <w:rPr>
          <w:vertAlign w:val="superscript"/>
        </w:rPr>
        <w:fldChar w:fldCharType="end"/>
      </w:r>
      <w:r w:rsidR="009F6EED" w:rsidRPr="009F6EED">
        <w:rPr>
          <w:vertAlign w:val="superscript"/>
        </w:rPr>
        <w:t xml:space="preserve">, </w:t>
      </w:r>
      <w:r w:rsidR="009F6EED" w:rsidRPr="009F6EED">
        <w:rPr>
          <w:vertAlign w:val="superscript"/>
        </w:rPr>
        <w:fldChar w:fldCharType="begin"/>
      </w:r>
      <w:r w:rsidR="009F6EED" w:rsidRPr="009F6EED">
        <w:rPr>
          <w:vertAlign w:val="superscript"/>
        </w:rPr>
        <w:instrText xml:space="preserve"> NOTEREF _Ref471980702 \h </w:instrText>
      </w:r>
      <w:r w:rsidR="009F6EED">
        <w:rPr>
          <w:vertAlign w:val="superscript"/>
        </w:rPr>
        <w:instrText xml:space="preserve"> \* MERGEFORMAT </w:instrText>
      </w:r>
      <w:r w:rsidR="009F6EED" w:rsidRPr="009F6EED">
        <w:rPr>
          <w:vertAlign w:val="superscript"/>
        </w:rPr>
      </w:r>
      <w:r w:rsidR="009F6EED" w:rsidRPr="009F6EED">
        <w:rPr>
          <w:vertAlign w:val="superscript"/>
        </w:rPr>
        <w:fldChar w:fldCharType="separate"/>
      </w:r>
      <w:r w:rsidR="009F6EED" w:rsidRPr="009F6EED">
        <w:rPr>
          <w:vertAlign w:val="superscript"/>
        </w:rPr>
        <w:t>50</w:t>
      </w:r>
      <w:r w:rsidR="009F6EED" w:rsidRPr="009F6EED">
        <w:rPr>
          <w:vertAlign w:val="superscript"/>
        </w:rPr>
        <w:fldChar w:fldCharType="end"/>
      </w:r>
      <w:r w:rsidR="009F6EED" w:rsidRPr="009F6EED">
        <w:rPr>
          <w:vertAlign w:val="superscript"/>
        </w:rPr>
        <w:t xml:space="preserve">, </w:t>
      </w:r>
      <w:r w:rsidR="009F6EED" w:rsidRPr="009F6EED">
        <w:rPr>
          <w:vertAlign w:val="superscript"/>
        </w:rPr>
        <w:fldChar w:fldCharType="begin"/>
      </w:r>
      <w:r w:rsidR="009F6EED" w:rsidRPr="009F6EED">
        <w:rPr>
          <w:vertAlign w:val="superscript"/>
        </w:rPr>
        <w:instrText xml:space="preserve"> NOTEREF _Ref471980747 \h </w:instrText>
      </w:r>
      <w:r w:rsidR="009F6EED">
        <w:rPr>
          <w:vertAlign w:val="superscript"/>
        </w:rPr>
        <w:instrText xml:space="preserve"> \* MERGEFORMAT </w:instrText>
      </w:r>
      <w:r w:rsidR="009F6EED" w:rsidRPr="009F6EED">
        <w:rPr>
          <w:vertAlign w:val="superscript"/>
        </w:rPr>
      </w:r>
      <w:r w:rsidR="009F6EED" w:rsidRPr="009F6EED">
        <w:rPr>
          <w:vertAlign w:val="superscript"/>
        </w:rPr>
        <w:fldChar w:fldCharType="separate"/>
      </w:r>
      <w:r w:rsidR="009F6EED" w:rsidRPr="009F6EED">
        <w:rPr>
          <w:vertAlign w:val="superscript"/>
        </w:rPr>
        <w:t>51</w:t>
      </w:r>
      <w:r w:rsidR="009F6EED" w:rsidRPr="009F6EED">
        <w:rPr>
          <w:vertAlign w:val="superscript"/>
        </w:rPr>
        <w:fldChar w:fldCharType="end"/>
      </w:r>
      <w:r w:rsidRPr="002B28C8">
        <w:t xml:space="preserve"> </w:t>
      </w:r>
      <w:proofErr w:type="gramStart"/>
      <w:r w:rsidRPr="002B28C8">
        <w:t>As</w:t>
      </w:r>
      <w:proofErr w:type="gramEnd"/>
      <w:r w:rsidRPr="002B28C8">
        <w:t xml:space="preserve"> there was no evidence of phospholipidosis in mice and dogs at much higher exposures, rats may be more sensitive to this effect, and the pulmonary changes are likely to have minimal clinical relevance. The NOAEL in mice and dogs was 5</w:t>
      </w:r>
      <w:r w:rsidR="003C3383">
        <w:t>,</w:t>
      </w:r>
      <w:r w:rsidRPr="002B28C8">
        <w:t>000 mg/kg/day and 30 mg/kg/day, respectively, resulting in respective exposures 15 and 38 times the clinical AUC. At higher exposures in mice, inflammation and irritation was evident in the gastrointestinal tract. This was associated with the oral administration of a large amount of material, resulting in a local irritant effect. These finding</w:t>
      </w:r>
      <w:r w:rsidR="001D00FC">
        <w:t xml:space="preserve">s are not considered clinically </w:t>
      </w:r>
      <w:r w:rsidRPr="002B28C8">
        <w:t>relevant. At higher exposures in dogs, changes were evident in the adrenal gland (cortical hypertrophy/hyperplasia), liver (hepatocellular vacuolation) and lymphoid tissues (lymphoid depletion). Given the high exposures at which these occurred, the</w:t>
      </w:r>
      <w:r w:rsidR="001D00FC">
        <w:t xml:space="preserve">y are not considered clinically </w:t>
      </w:r>
      <w:r w:rsidRPr="002B28C8">
        <w:t>relevant.</w:t>
      </w:r>
    </w:p>
    <w:p w:rsidR="002B28C8" w:rsidRPr="002B28C8" w:rsidRDefault="002B28C8" w:rsidP="002B28C8">
      <w:r w:rsidRPr="002B28C8">
        <w:t>Combination toxicity studies with dasabuvir included a 13</w:t>
      </w:r>
      <w:r w:rsidR="003C3383">
        <w:t xml:space="preserve"> week</w:t>
      </w:r>
      <w:r w:rsidRPr="002B28C8">
        <w:t xml:space="preserve"> repeat dose study with ribavirin in rats, and two 4</w:t>
      </w:r>
      <w:r w:rsidR="003C3383">
        <w:t xml:space="preserve"> week</w:t>
      </w:r>
      <w:r w:rsidRPr="002B28C8">
        <w:t xml:space="preserve"> repeat dose studies in combination with ribavirin and interferon-γ</w:t>
      </w:r>
      <w:r w:rsidR="009F6EED">
        <w:t xml:space="preserve"> (IFN-γ)</w:t>
      </w:r>
      <w:r w:rsidRPr="002B28C8">
        <w:t xml:space="preserve"> in cynomolgus monkeys. Dosing with ribavirin was associated with a slight reduction in erythrocytic parameters in both species.</w:t>
      </w:r>
      <w:r w:rsidR="008B6F3C">
        <w:t xml:space="preserve"> </w:t>
      </w:r>
      <w:r w:rsidRPr="002B28C8">
        <w:t xml:space="preserve">Co-administration of RBV and/or </w:t>
      </w:r>
      <w:r w:rsidR="009F6EED">
        <w:t>IFN-γ</w:t>
      </w:r>
      <w:r w:rsidRPr="002B28C8">
        <w:t xml:space="preserve"> did not notably affect the toxicokinetics of dasabuvir</w:t>
      </w:r>
      <w:r w:rsidR="003C3383">
        <w:t>.</w:t>
      </w:r>
    </w:p>
    <w:p w:rsidR="002B28C8" w:rsidRPr="002B28C8" w:rsidRDefault="002B28C8" w:rsidP="002B28C8">
      <w:pPr>
        <w:pStyle w:val="Heading4"/>
      </w:pPr>
      <w:r w:rsidRPr="002B28C8">
        <w:t>Genotoxicity</w:t>
      </w:r>
    </w:p>
    <w:p w:rsidR="002B28C8" w:rsidRPr="002B28C8" w:rsidRDefault="002B28C8" w:rsidP="002B28C8">
      <w:r w:rsidRPr="002B28C8">
        <w:t>No combination genotoxicity studies were submitted. Paritaprevir was not genotoxic in a bacterial reverse mutation assay, in in vivo bone marrow micronucleus and ex vivo liver Comet assays in rats, but it was clastogenic in human lymphocytes in vitro. Overall, the weight of evidence provided indicates a low potential for paritaprevir genotoxicity. Ombitasvir (and its major human plasma metabolites, M29 and M36) and dasabuvir were not found to be mutagenic or clastogenic in a standard battery of in vitro and in vivo genotoxicity assays.</w:t>
      </w:r>
    </w:p>
    <w:p w:rsidR="002B28C8" w:rsidRPr="002B28C8" w:rsidRDefault="002B28C8" w:rsidP="002B28C8">
      <w:r w:rsidRPr="002B28C8">
        <w:t>In previously evaluated studies (bacterial reverse mutation and mouse lymphoma assays for gene mutation, and human lymphocytes in vitro and mouse micronucleus assay in vivo for clastogenicity), ritonavir showed no mutagenic potential.</w:t>
      </w:r>
    </w:p>
    <w:p w:rsidR="002B28C8" w:rsidRPr="002B28C8" w:rsidRDefault="002B28C8" w:rsidP="002B28C8">
      <w:r w:rsidRPr="002B28C8">
        <w:t xml:space="preserve">Evidence of genotoxicity for ribavirin is summarised in the approved </w:t>
      </w:r>
      <w:r w:rsidR="003C3383">
        <w:t>PI</w:t>
      </w:r>
      <w:r w:rsidRPr="002B28C8">
        <w:t xml:space="preserve"> document for R</w:t>
      </w:r>
      <w:r w:rsidR="003C3383" w:rsidRPr="002B28C8">
        <w:t>ebetol</w:t>
      </w:r>
      <w:r w:rsidRPr="002B28C8">
        <w:t>. According to this document, ribavirin was positive in the Balb/3T3 cell transformation assay in vitro. The results in the mouse lymphoma (L5178Y) assay were equivocal, but ribavirin was clastogenic in vivo in a mouse micronucleus assay. Ribavirin was negative in a range of other assays for gene mutation</w:t>
      </w:r>
      <w:r w:rsidR="003C3383">
        <w:t xml:space="preserve">s (Salmonella typhimurium, host </w:t>
      </w:r>
      <w:r w:rsidRPr="002B28C8">
        <w:t>mediated assay) and chromosomal damage (dominant lethal assay in rats).</w:t>
      </w:r>
    </w:p>
    <w:p w:rsidR="002B28C8" w:rsidRPr="002B28C8" w:rsidRDefault="002B28C8" w:rsidP="002B28C8">
      <w:pPr>
        <w:pStyle w:val="Heading4"/>
      </w:pPr>
      <w:r w:rsidRPr="002B28C8">
        <w:t>Carcinogenicity</w:t>
      </w:r>
    </w:p>
    <w:p w:rsidR="002B28C8" w:rsidRPr="002B28C8" w:rsidRDefault="002B28C8" w:rsidP="002B28C8">
      <w:r w:rsidRPr="002B28C8">
        <w:t xml:space="preserve">No combination carcinogenicity studies were submitted. No drug related tumours were evident in transgenic Tg.rasH2 mice treated for 6 months with paritaprevir, ombitasvir or dasabuvir alone. There was no indication of progression of gall bladder inflammation or </w:t>
      </w:r>
      <w:r w:rsidRPr="002B28C8">
        <w:lastRenderedPageBreak/>
        <w:t xml:space="preserve">hyperplasia to a pre-neoplastic or neoplastic state in the transgenic mouse study with paritaprevir, although the relevance of human c-Ha-ras gene overexpression to the progression of chronic inflammation and hypertrophy to carcinogenesis is unknown. However, there were no </w:t>
      </w:r>
      <w:r w:rsidR="009C3E30">
        <w:t>treatment related</w:t>
      </w:r>
      <w:r w:rsidRPr="002B28C8">
        <w:t xml:space="preserve"> increases in tumour development in the rat carcinogenicity study with paritaprevir at systemic exposure levels up to 9 times the clinical AUC. It is noted that lifetime carcinogenicity studies with ombitasvir and dasabuvir are due to be submitted to the TGA in April 2015.</w:t>
      </w:r>
    </w:p>
    <w:p w:rsidR="002B28C8" w:rsidRPr="002B28C8" w:rsidRDefault="003C3383" w:rsidP="002B28C8">
      <w:r>
        <w:t xml:space="preserve">Two </w:t>
      </w:r>
      <w:r w:rsidR="002B28C8" w:rsidRPr="002B28C8">
        <w:t>year carcinogenicity studies were previously conducted in rodents, at ritonavir dietary levels of 50, 100 and 2</w:t>
      </w:r>
      <w:r w:rsidR="00661B33">
        <w:t>00 mg</w:t>
      </w:r>
      <w:r w:rsidR="002B28C8" w:rsidRPr="002B28C8">
        <w:t xml:space="preserve">/kg/day in mice, and 7, 15 and 30 mg/kg/day in rats. In male mice there was a </w:t>
      </w:r>
      <w:r w:rsidR="005F323A">
        <w:t>dose dependent</w:t>
      </w:r>
      <w:r w:rsidR="002B28C8" w:rsidRPr="002B28C8">
        <w:t xml:space="preserve"> increase in the incidence of hepatocellular adenomas, and adenomas and carcinomas combined, both reaching statistica</w:t>
      </w:r>
      <w:r>
        <w:t xml:space="preserve">l significance only at the high </w:t>
      </w:r>
      <w:r w:rsidR="002B28C8" w:rsidRPr="002B28C8">
        <w:t xml:space="preserve">dose. In female mice there were small, statistically significant increases in these tumour incidences only at the high-dose. In rats, there were no </w:t>
      </w:r>
      <w:r w:rsidRPr="002B28C8">
        <w:t>tumorigenic</w:t>
      </w:r>
      <w:r w:rsidR="002B28C8" w:rsidRPr="002B28C8">
        <w:t xml:space="preserve"> effects. The systemic exposure levels for ritonavir in the paritaprevir carcinogenicity studies were 3.2 and 4.6</w:t>
      </w:r>
      <w:r w:rsidR="00BF1FC5">
        <w:t xml:space="preserve"> fold</w:t>
      </w:r>
      <w:r w:rsidR="002B28C8" w:rsidRPr="002B28C8">
        <w:t xml:space="preserve"> the proposed clinical exposure for</w:t>
      </w:r>
      <w:r w:rsidR="008B6F3C">
        <w:t xml:space="preserve"> </w:t>
      </w:r>
      <w:r w:rsidR="00C36BE1">
        <w:t>Viekira Pak</w:t>
      </w:r>
      <w:r w:rsidR="002B28C8" w:rsidRPr="002B28C8">
        <w:t>.</w:t>
      </w:r>
    </w:p>
    <w:p w:rsidR="002B28C8" w:rsidRPr="002B28C8" w:rsidRDefault="002B28C8" w:rsidP="002B28C8">
      <w:r w:rsidRPr="002B28C8">
        <w:t xml:space="preserve">According to the approved </w:t>
      </w:r>
      <w:r w:rsidR="003C3383">
        <w:t>PI</w:t>
      </w:r>
      <w:r w:rsidRPr="002B28C8">
        <w:t xml:space="preserve"> document for R</w:t>
      </w:r>
      <w:r w:rsidR="003C3383" w:rsidRPr="002B28C8">
        <w:t>ebetol</w:t>
      </w:r>
      <w:r w:rsidRPr="002B28C8">
        <w:t>, there was no evidence of carcinogenicity for ribavirin in exposure levels in conventional rodent carcinogenicity studies or in a 26</w:t>
      </w:r>
      <w:r w:rsidR="003C3383">
        <w:t xml:space="preserve"> week</w:t>
      </w:r>
      <w:r w:rsidRPr="002B28C8">
        <w:t xml:space="preserve"> carcinogenicity study using the heterozygous p53 (+/-) mouse model. However, systemic exposure levels in these studies were near to or below human exposure under therapeutic conditions (ranging from 0.1 to 1.2).</w:t>
      </w:r>
    </w:p>
    <w:p w:rsidR="002B28C8" w:rsidRPr="002B28C8" w:rsidRDefault="002B28C8" w:rsidP="002B28C8">
      <w:pPr>
        <w:pStyle w:val="Heading4"/>
      </w:pPr>
      <w:r w:rsidRPr="002B28C8">
        <w:t xml:space="preserve">Reproductive </w:t>
      </w:r>
      <w:r w:rsidR="003E6B33">
        <w:t>t</w:t>
      </w:r>
      <w:r w:rsidRPr="002B28C8">
        <w:t>oxicity</w:t>
      </w:r>
    </w:p>
    <w:p w:rsidR="002B28C8" w:rsidRPr="002B28C8" w:rsidRDefault="002B28C8" w:rsidP="002B28C8">
      <w:pPr>
        <w:pStyle w:val="Heading5"/>
      </w:pPr>
      <w:r w:rsidRPr="002B28C8">
        <w:t>Pregnancy classification</w:t>
      </w:r>
    </w:p>
    <w:p w:rsidR="002B28C8" w:rsidRPr="002B28C8" w:rsidRDefault="002B28C8" w:rsidP="002B28C8">
      <w:r w:rsidRPr="002B28C8">
        <w:t>The sponsor has proposed Pregnancy Category B1</w:t>
      </w:r>
      <w:r w:rsidR="00985396" w:rsidRPr="00985396">
        <w:rPr>
          <w:vertAlign w:val="superscript"/>
        </w:rPr>
        <w:fldChar w:fldCharType="begin"/>
      </w:r>
      <w:r w:rsidR="00985396" w:rsidRPr="00985396">
        <w:rPr>
          <w:vertAlign w:val="superscript"/>
        </w:rPr>
        <w:instrText xml:space="preserve"> NOTEREF _Ref471920543 \h </w:instrText>
      </w:r>
      <w:r w:rsidR="00985396">
        <w:rPr>
          <w:vertAlign w:val="superscript"/>
        </w:rPr>
        <w:instrText xml:space="preserve">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21</w:t>
      </w:r>
      <w:r w:rsidR="00985396" w:rsidRPr="00985396">
        <w:rPr>
          <w:vertAlign w:val="superscript"/>
        </w:rPr>
        <w:fldChar w:fldCharType="end"/>
      </w:r>
      <w:r w:rsidRPr="002B28C8">
        <w:t xml:space="preserve"> for Viekira </w:t>
      </w:r>
      <w:r w:rsidR="000C3156">
        <w:t>Pak</w:t>
      </w:r>
      <w:r w:rsidRPr="002B28C8">
        <w:t xml:space="preserve">, based on the lack of adverse reproductive findings for the individual </w:t>
      </w:r>
      <w:r w:rsidR="003C3383" w:rsidRPr="002B28C8">
        <w:t>agents;</w:t>
      </w:r>
      <w:r w:rsidRPr="002B28C8">
        <w:t xml:space="preserve"> paritaprevir, ombitasvir and dasabuvir (see individual evaluation reports </w:t>
      </w:r>
      <w:r w:rsidR="003C3383">
        <w:t xml:space="preserve">above </w:t>
      </w:r>
      <w:r w:rsidRPr="002B28C8">
        <w:t>for full details). While it is accepted that individually a pregnancy categorisation of B1 is appropriate for paritaprevir, ombitasvir and dasabuvi</w:t>
      </w:r>
      <w:r w:rsidR="003C3383">
        <w:t>r alone, ritonavir alone is in C</w:t>
      </w:r>
      <w:r w:rsidRPr="002B28C8">
        <w:t>ategory B3</w:t>
      </w:r>
      <w:r w:rsidR="00985396" w:rsidRPr="00985396">
        <w:rPr>
          <w:vertAlign w:val="superscript"/>
        </w:rPr>
        <w:fldChar w:fldCharType="begin"/>
      </w:r>
      <w:r w:rsidR="00985396" w:rsidRPr="00985396">
        <w:rPr>
          <w:vertAlign w:val="superscript"/>
        </w:rPr>
        <w:instrText xml:space="preserve"> NOTEREF _Ref471981098 \h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22</w:t>
      </w:r>
      <w:r w:rsidR="00985396" w:rsidRPr="00985396">
        <w:rPr>
          <w:vertAlign w:val="superscript"/>
        </w:rPr>
        <w:fldChar w:fldCharType="end"/>
      </w:r>
      <w:r w:rsidRPr="002B28C8">
        <w:t xml:space="preserve"> however, and so the product Viekira </w:t>
      </w:r>
      <w:r w:rsidR="000C3156">
        <w:t>Pak</w:t>
      </w:r>
      <w:r w:rsidRPr="002B28C8">
        <w:t xml:space="preserve"> should also be B3, unless an adequate scientific justification is provided.</w:t>
      </w:r>
    </w:p>
    <w:p w:rsidR="002B28C8" w:rsidRPr="002B28C8" w:rsidRDefault="002B28C8" w:rsidP="002B28C8">
      <w:r w:rsidRPr="002B28C8">
        <w:t xml:space="preserve">The developmental toxicity studies previously submitted to support the registration of ritonavir included an embryofetal development study in the rat (study RD94024) in which the following effects were observed (as stated in the approved </w:t>
      </w:r>
      <w:r w:rsidR="003C3383">
        <w:t>PI</w:t>
      </w:r>
      <w:r w:rsidRPr="002B28C8">
        <w:t xml:space="preserve"> document for Norvir):</w:t>
      </w:r>
    </w:p>
    <w:p w:rsidR="002B28C8" w:rsidRPr="002B28C8" w:rsidRDefault="002B28C8" w:rsidP="003C3383">
      <w:pPr>
        <w:ind w:left="720"/>
      </w:pPr>
      <w:r w:rsidRPr="002B28C8">
        <w:t xml:space="preserve">‘In rats, early </w:t>
      </w:r>
      <w:r w:rsidR="001B21A9" w:rsidRPr="002B28C8">
        <w:t>resorptions</w:t>
      </w:r>
      <w:r w:rsidRPr="002B28C8">
        <w:t xml:space="preserve"> decreased fetal body weight and ossification delays and developmental variations occurred at a maternally toxic dosage of 75 mg/kg/day. A slight increase in the incidence of cryptorchidism </w:t>
      </w:r>
      <w:r w:rsidR="003C3383">
        <w:t>was also noted in rats given 35 </w:t>
      </w:r>
      <w:r w:rsidRPr="002B28C8">
        <w:t>mg/kg/day.’</w:t>
      </w:r>
    </w:p>
    <w:p w:rsidR="002B28C8" w:rsidRPr="002B28C8" w:rsidRDefault="002B28C8" w:rsidP="002B28C8">
      <w:r w:rsidRPr="002B28C8">
        <w:t xml:space="preserve">The maternal plasma AUC values in this study were 45.2 and 34.3 </w:t>
      </w:r>
      <w:r w:rsidR="00913482">
        <w:t>µ</w:t>
      </w:r>
      <w:r w:rsidR="00913482" w:rsidRPr="00E56F3B">
        <w:t>g</w:t>
      </w:r>
      <w:r w:rsidRPr="002B28C8">
        <w:t xml:space="preserve">.h/mL, respectively, which corresponds to relative exposures of 5 and 3.6 times the clinical exposure with Viekira </w:t>
      </w:r>
      <w:r w:rsidR="000C3156">
        <w:t>Pak</w:t>
      </w:r>
      <w:r w:rsidR="003C3383">
        <w:t>.</w:t>
      </w:r>
    </w:p>
    <w:p w:rsidR="002B28C8" w:rsidRPr="002B28C8" w:rsidRDefault="002B28C8" w:rsidP="002B28C8">
      <w:r w:rsidRPr="002B28C8">
        <w:t xml:space="preserve">In the current application, there was no evidence of embryofetal toxicity in the rat in study RD09847 at paritaprevir/ritonavir doses of up to 400/45 mg/kg/day during organogenesis. The systemic exposure for ritonavir in this study was only 2.8 times the proposed clinical exposure with Viekira </w:t>
      </w:r>
      <w:r w:rsidR="000C3156">
        <w:t>Pak</w:t>
      </w:r>
      <w:r w:rsidRPr="002B28C8">
        <w:t>. Thus, based on systemic exposure, the new data are consistent with a NOEL for cryptorchidism in the rat being greater than 2.8 but less than 3.6 times the clinical exposure level. Taking into account the new data, a change in pregnancy categorisation for ritonavir from B3 to B1 is not justified based on the animal data alone.</w:t>
      </w:r>
    </w:p>
    <w:p w:rsidR="002B28C8" w:rsidRPr="002B28C8" w:rsidRDefault="002B28C8" w:rsidP="002B28C8">
      <w:r w:rsidRPr="002B28C8">
        <w:t>The prop</w:t>
      </w:r>
      <w:r w:rsidR="003C3383">
        <w:t>osed Pregnancy Category X</w:t>
      </w:r>
      <w:r w:rsidR="00985396" w:rsidRPr="00985396">
        <w:rPr>
          <w:vertAlign w:val="superscript"/>
        </w:rPr>
        <w:fldChar w:fldCharType="begin"/>
      </w:r>
      <w:r w:rsidR="00985396" w:rsidRPr="00985396">
        <w:rPr>
          <w:vertAlign w:val="superscript"/>
        </w:rPr>
        <w:instrText xml:space="preserve"> NOTEREF _Ref471920561 \h </w:instrText>
      </w:r>
      <w:r w:rsidR="00985396">
        <w:rPr>
          <w:vertAlign w:val="superscript"/>
        </w:rPr>
        <w:instrText xml:space="preserve">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23</w:t>
      </w:r>
      <w:r w:rsidR="00985396" w:rsidRPr="00985396">
        <w:rPr>
          <w:vertAlign w:val="superscript"/>
        </w:rPr>
        <w:fldChar w:fldCharType="end"/>
      </w:r>
      <w:r w:rsidRPr="002B28C8">
        <w:t xml:space="preserve"> for Viekira </w:t>
      </w:r>
      <w:r w:rsidR="000C3156">
        <w:t>Pak</w:t>
      </w:r>
      <w:r w:rsidRPr="002B28C8">
        <w:t>-RBV is appropriate based on the existing pregnancy categorisation of ribavirin.</w:t>
      </w:r>
    </w:p>
    <w:p w:rsidR="002B28C8" w:rsidRPr="002B28C8" w:rsidRDefault="002B28C8" w:rsidP="002B28C8">
      <w:r w:rsidRPr="002B28C8">
        <w:lastRenderedPageBreak/>
        <w:t>In the sponsor’s response (April 2015) the pregnancy categorisation of B3 has been accepted.</w:t>
      </w:r>
    </w:p>
    <w:p w:rsidR="002B28C8" w:rsidRPr="002B28C8" w:rsidRDefault="002B28C8" w:rsidP="002B28C8">
      <w:pPr>
        <w:pStyle w:val="Heading4"/>
      </w:pPr>
      <w:r w:rsidRPr="002B28C8">
        <w:t>Phototoxicity</w:t>
      </w:r>
    </w:p>
    <w:p w:rsidR="002B28C8" w:rsidRPr="002B28C8" w:rsidRDefault="002B28C8" w:rsidP="002B28C8">
      <w:r w:rsidRPr="002B28C8">
        <w:t>The nonclinical overview states that dasabuvir absorbs light between 290 and 700 nm, with a maximal molar extinction coefficient of 1.9 × 10</w:t>
      </w:r>
      <w:r w:rsidRPr="003C3383">
        <w:rPr>
          <w:vertAlign w:val="superscript"/>
        </w:rPr>
        <w:t>4</w:t>
      </w:r>
      <w:r w:rsidRPr="002B28C8">
        <w:t xml:space="preserve"> M</w:t>
      </w:r>
      <w:r w:rsidRPr="003C3383">
        <w:rPr>
          <w:vertAlign w:val="superscript"/>
        </w:rPr>
        <w:t>-1</w:t>
      </w:r>
      <w:r w:rsidRPr="002B28C8">
        <w:t>cm</w:t>
      </w:r>
      <w:r w:rsidRPr="003C3383">
        <w:rPr>
          <w:vertAlign w:val="superscript"/>
        </w:rPr>
        <w:t>-1</w:t>
      </w:r>
      <w:r w:rsidRPr="002B28C8">
        <w:t xml:space="preserve"> at 290 nm, which exceeds the threshold cited in ICH S10</w:t>
      </w:r>
      <w:r w:rsidR="00985396" w:rsidRPr="00985396">
        <w:rPr>
          <w:vertAlign w:val="superscript"/>
        </w:rPr>
        <w:fldChar w:fldCharType="begin"/>
      </w:r>
      <w:r w:rsidR="00985396" w:rsidRPr="00985396">
        <w:rPr>
          <w:vertAlign w:val="superscript"/>
        </w:rPr>
        <w:instrText xml:space="preserve"> NOTEREF _Ref471974969 \h </w:instrText>
      </w:r>
      <w:r w:rsidR="00985396">
        <w:rPr>
          <w:vertAlign w:val="superscript"/>
        </w:rPr>
        <w:instrText xml:space="preserve">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25</w:t>
      </w:r>
      <w:r w:rsidR="00985396" w:rsidRPr="00985396">
        <w:rPr>
          <w:vertAlign w:val="superscript"/>
        </w:rPr>
        <w:fldChar w:fldCharType="end"/>
      </w:r>
      <w:r w:rsidRPr="002B28C8">
        <w:t xml:space="preserve"> In the tissue distribution study in pigmented rats, there was no specific retention or affinity in skin that could be attributed to melanin, though the elimination half-life was longer than that in blood (and some other tissues). Skin levels of </w:t>
      </w:r>
      <w:r w:rsidR="009F7EDA">
        <w:t>drug related</w:t>
      </w:r>
      <w:r w:rsidRPr="002B28C8">
        <w:t xml:space="preserve"> material were similar to blood levels. However, phototoxic reactions with dasabuvir cannot be ruled out. As a minimum, the </w:t>
      </w:r>
      <w:r w:rsidR="00926A16">
        <w:t>sponsor</w:t>
      </w:r>
      <w:r w:rsidRPr="002B28C8">
        <w:t xml:space="preserve"> should have conducted an in vitro assay to assess the phototoxic potential of dasabuvir.</w:t>
      </w:r>
    </w:p>
    <w:p w:rsidR="002B28C8" w:rsidRPr="002B28C8" w:rsidRDefault="002B28C8" w:rsidP="002B28C8">
      <w:pPr>
        <w:pStyle w:val="Heading4"/>
      </w:pPr>
      <w:r w:rsidRPr="002B28C8">
        <w:t>Impurities</w:t>
      </w:r>
    </w:p>
    <w:p w:rsidR="002B28C8" w:rsidRPr="002B28C8" w:rsidRDefault="002B28C8" w:rsidP="002B28C8">
      <w:r w:rsidRPr="002B28C8">
        <w:t>The proposed specifications for impurities and degradants in the drug substance are below ICH levels</w:t>
      </w:r>
      <w:proofErr w:type="gramStart"/>
      <w:r w:rsidR="003C3383">
        <w:t>,</w:t>
      </w:r>
      <w:proofErr w:type="gramEnd"/>
      <w:r w:rsidR="00985396" w:rsidRPr="00985396">
        <w:rPr>
          <w:vertAlign w:val="superscript"/>
        </w:rPr>
        <w:fldChar w:fldCharType="begin"/>
      </w:r>
      <w:r w:rsidR="00985396" w:rsidRPr="00985396">
        <w:rPr>
          <w:vertAlign w:val="superscript"/>
        </w:rPr>
        <w:instrText xml:space="preserve"> NOTEREF _Ref471981418 \h  \* MERGEFORMAT </w:instrText>
      </w:r>
      <w:r w:rsidR="00985396" w:rsidRPr="00985396">
        <w:rPr>
          <w:vertAlign w:val="superscript"/>
        </w:rPr>
      </w:r>
      <w:r w:rsidR="00985396" w:rsidRPr="00985396">
        <w:rPr>
          <w:vertAlign w:val="superscript"/>
        </w:rPr>
        <w:fldChar w:fldCharType="separate"/>
      </w:r>
      <w:r w:rsidR="00985396" w:rsidRPr="00985396">
        <w:rPr>
          <w:vertAlign w:val="superscript"/>
        </w:rPr>
        <w:t>26</w:t>
      </w:r>
      <w:r w:rsidR="00985396" w:rsidRPr="00985396">
        <w:rPr>
          <w:vertAlign w:val="superscript"/>
        </w:rPr>
        <w:fldChar w:fldCharType="end"/>
      </w:r>
      <w:r w:rsidRPr="002B28C8">
        <w:t xml:space="preserve"> or have been adequately qualified.</w:t>
      </w:r>
    </w:p>
    <w:p w:rsidR="002B28C8" w:rsidRPr="002B28C8" w:rsidRDefault="002B28C8" w:rsidP="002B28C8">
      <w:pPr>
        <w:pStyle w:val="Heading4"/>
      </w:pPr>
      <w:r w:rsidRPr="002B28C8">
        <w:t>Paediatric use</w:t>
      </w:r>
    </w:p>
    <w:p w:rsidR="002B28C8" w:rsidRPr="002B28C8" w:rsidRDefault="002B28C8" w:rsidP="002B28C8">
      <w:r w:rsidRPr="002B28C8">
        <w:t>No studies in juvenile animals were submitted. The sponsor justified the absence of such studies on the absence of any toxicological finding that would be considered to be more severe or to manifest differently to that in an adult, and no anticipated differences in metabolism between the adult and paediatric populations.</w:t>
      </w:r>
    </w:p>
    <w:p w:rsidR="002B28C8" w:rsidRPr="002B28C8" w:rsidRDefault="002B28C8" w:rsidP="00F306A9">
      <w:pPr>
        <w:pStyle w:val="Heading4"/>
      </w:pPr>
      <w:bookmarkStart w:id="111" w:name="_Toc415145654"/>
      <w:r w:rsidRPr="002B28C8">
        <w:t xml:space="preserve">Comments on the </w:t>
      </w:r>
      <w:r w:rsidR="003E6B33" w:rsidRPr="002B28C8">
        <w:t>safety specification of the risk management plan</w:t>
      </w:r>
      <w:bookmarkEnd w:id="111"/>
    </w:p>
    <w:p w:rsidR="002B28C8" w:rsidRPr="002B28C8" w:rsidRDefault="002B28C8" w:rsidP="002B28C8">
      <w:r w:rsidRPr="002B28C8">
        <w:t xml:space="preserve">The sponsor has addressed a number of potential issues raised </w:t>
      </w:r>
      <w:r w:rsidR="00DF2650">
        <w:t>in the first round evaluation</w:t>
      </w:r>
      <w:r w:rsidRPr="002B28C8">
        <w:t>. The following comments refer to version 1.2 of the RMP, submitted with the S31 response on 27th February 2015.</w:t>
      </w:r>
    </w:p>
    <w:p w:rsidR="002B28C8" w:rsidRPr="002B28C8" w:rsidRDefault="002B28C8" w:rsidP="002B28C8">
      <w:r w:rsidRPr="002B28C8">
        <w:t xml:space="preserve">Results and conclusions drawn from the nonclinical program are in general concordance with those of </w:t>
      </w:r>
      <w:r w:rsidR="003C3383" w:rsidRPr="002B28C8">
        <w:t>the nonclinical evaluator</w:t>
      </w:r>
      <w:r w:rsidRPr="002B28C8">
        <w:t>, with the following exceptions:</w:t>
      </w:r>
    </w:p>
    <w:p w:rsidR="00475C4E" w:rsidRDefault="002B28C8" w:rsidP="00475C4E">
      <w:r w:rsidRPr="002B28C8">
        <w:t>The key safety findin</w:t>
      </w:r>
      <w:r w:rsidR="003C3383">
        <w:t>gs from the nonclinical studies</w:t>
      </w:r>
      <w:r w:rsidRPr="002B28C8">
        <w:t xml:space="preserve"> begins by referring to studies in the dog and rat, whereas in fact the systemic exposure was considered to be a limiting factor in the latter species, so that the sponsor chose to continue the toxicology programme in the mouse.</w:t>
      </w:r>
    </w:p>
    <w:p w:rsidR="00475C4E" w:rsidRPr="00895638" w:rsidRDefault="00475C4E" w:rsidP="00475C4E">
      <w:pPr>
        <w:pStyle w:val="Heading3"/>
      </w:pPr>
      <w:bookmarkStart w:id="112" w:name="_Toc480811578"/>
      <w:r w:rsidRPr="00895638">
        <w:t>Nonclinical summary and conclusions</w:t>
      </w:r>
      <w:r w:rsidR="0098169C" w:rsidRPr="00895638">
        <w:t xml:space="preserve"> - new fixed dose combination</w:t>
      </w:r>
      <w:bookmarkEnd w:id="112"/>
    </w:p>
    <w:p w:rsidR="00A92B77" w:rsidRPr="00895638" w:rsidRDefault="00A92B77" w:rsidP="00A92B77">
      <w:pPr>
        <w:pStyle w:val="Heading4"/>
      </w:pPr>
      <w:r w:rsidRPr="00895638">
        <w:t>Summary</w:t>
      </w:r>
    </w:p>
    <w:p w:rsidR="00A92B77" w:rsidRPr="00895638" w:rsidRDefault="00A92B77" w:rsidP="00A92B77">
      <w:pPr>
        <w:pStyle w:val="ListBullet"/>
      </w:pPr>
      <w:r w:rsidRPr="00895638">
        <w:t xml:space="preserve">The sponsor has applied to register two fixed dose combinations of 3 new </w:t>
      </w:r>
      <w:r w:rsidR="00913482" w:rsidRPr="00895638">
        <w:t>direct acting</w:t>
      </w:r>
      <w:r w:rsidRPr="00895638">
        <w:t xml:space="preserve"> antiviral agents (DAAs) for the treatment of chronic infection, Viekira </w:t>
      </w:r>
      <w:r w:rsidR="000C3156" w:rsidRPr="00895638">
        <w:t>Pak</w:t>
      </w:r>
      <w:r w:rsidRPr="00895638">
        <w:t xml:space="preserve"> and (in combination with ribavirin) Viekira </w:t>
      </w:r>
      <w:r w:rsidR="000C3156" w:rsidRPr="00895638">
        <w:t>Pak</w:t>
      </w:r>
      <w:r w:rsidRPr="00895638">
        <w:t xml:space="preserve"> RBV. Viekira </w:t>
      </w:r>
      <w:r w:rsidR="000C3156" w:rsidRPr="00895638">
        <w:t>Pak</w:t>
      </w:r>
      <w:r w:rsidRPr="00895638">
        <w:t xml:space="preserve"> is proposed to be used for the treatment of genotype 1b HCV infection without cirrhosis, while Viekira </w:t>
      </w:r>
      <w:r w:rsidR="000C3156" w:rsidRPr="00895638">
        <w:t>Pak</w:t>
      </w:r>
      <w:r w:rsidRPr="00895638">
        <w:t>-RBV is proposed to be used for treatment of genotype 1a (with and without cirrhosis) and genot</w:t>
      </w:r>
      <w:r w:rsidR="00E92DDB" w:rsidRPr="00895638">
        <w:t>ype 1b patients with cirrhosis.</w:t>
      </w:r>
    </w:p>
    <w:p w:rsidR="00A92B77" w:rsidRPr="00895638" w:rsidRDefault="00A92B77" w:rsidP="00A92B77">
      <w:pPr>
        <w:pStyle w:val="ListBullet"/>
      </w:pPr>
      <w:r w:rsidRPr="00895638">
        <w:t xml:space="preserve">Recommended oral dose rate is paritaprevir 150 mg/ritonavir 100 mg/ombitasvir 25 mg once daily and dasabuvir 250 mg twice daily (500 mg/day). When used </w:t>
      </w:r>
      <w:r w:rsidR="00E92DDB" w:rsidRPr="00895638">
        <w:t>in combination with ribavirin (Viekira Pak-RBV</w:t>
      </w:r>
      <w:r w:rsidRPr="00895638">
        <w:t>), the recommended dose of ribavirin is 1000</w:t>
      </w:r>
      <w:r w:rsidR="0021113A" w:rsidRPr="00895638">
        <w:t xml:space="preserve"> to </w:t>
      </w:r>
      <w:r w:rsidRPr="00895638">
        <w:t>1200 mg twice daily (2000</w:t>
      </w:r>
      <w:r w:rsidR="0021113A" w:rsidRPr="00895638">
        <w:t xml:space="preserve"> to </w:t>
      </w:r>
      <w:r w:rsidRPr="00895638">
        <w:t>2400 mg/day), depending on body weight.</w:t>
      </w:r>
    </w:p>
    <w:p w:rsidR="00A92B77" w:rsidRPr="00895638" w:rsidRDefault="00A92B77" w:rsidP="00A92B77">
      <w:pPr>
        <w:pStyle w:val="ListBullet"/>
      </w:pPr>
      <w:r w:rsidRPr="00895638">
        <w:lastRenderedPageBreak/>
        <w:t xml:space="preserve">The overall quality of the submission was high. Pivotal safety studies were conducted under GLP conditions. Studies conducted with the individual agents paritaprevir (mostly in combination with the pharmacokinetic booster ritonavir), ombitasvir and dasabuvir have been evaluated separately (see </w:t>
      </w:r>
      <w:r w:rsidR="00E92DDB" w:rsidRPr="00895638">
        <w:t>above</w:t>
      </w:r>
      <w:r w:rsidRPr="00895638">
        <w:t xml:space="preserve">). This </w:t>
      </w:r>
      <w:r w:rsidR="00E92DDB" w:rsidRPr="00895638">
        <w:t>section</w:t>
      </w:r>
      <w:r w:rsidRPr="00895638">
        <w:t xml:space="preserve"> addresses studies pertinent to the combination product. Limited combination toxicology studies were submitted, in accordance with ICH guideline M3 (R2)</w:t>
      </w:r>
      <w:r w:rsidRPr="00895638">
        <w:rPr>
          <w:vertAlign w:val="superscript"/>
        </w:rPr>
        <w:footnoteReference w:id="63"/>
      </w:r>
      <w:r w:rsidRPr="00895638">
        <w:t xml:space="preserve"> and the FDA draft guidance document for HCV </w:t>
      </w:r>
      <w:r w:rsidR="00237CBE">
        <w:t>3DAA</w:t>
      </w:r>
      <w:r w:rsidRPr="00895638">
        <w:t xml:space="preserve"> treatments</w:t>
      </w:r>
      <w:r w:rsidR="00E92DDB" w:rsidRPr="00895638">
        <w:t>.</w:t>
      </w:r>
      <w:r w:rsidR="009F6EED" w:rsidRPr="00895638">
        <w:rPr>
          <w:vertAlign w:val="superscript"/>
        </w:rPr>
        <w:fldChar w:fldCharType="begin"/>
      </w:r>
      <w:r w:rsidR="009F6EED" w:rsidRPr="00895638">
        <w:rPr>
          <w:vertAlign w:val="superscript"/>
        </w:rPr>
        <w:instrText xml:space="preserve"> NOTEREF _Ref471982357 \h  \* MERGEFORMAT </w:instrText>
      </w:r>
      <w:r w:rsidR="009F6EED" w:rsidRPr="00895638">
        <w:rPr>
          <w:vertAlign w:val="superscript"/>
        </w:rPr>
      </w:r>
      <w:r w:rsidR="009F6EED" w:rsidRPr="00895638">
        <w:rPr>
          <w:vertAlign w:val="superscript"/>
        </w:rPr>
        <w:fldChar w:fldCharType="separate"/>
      </w:r>
      <w:r w:rsidR="009F6EED" w:rsidRPr="00895638">
        <w:rPr>
          <w:vertAlign w:val="superscript"/>
        </w:rPr>
        <w:t>56</w:t>
      </w:r>
      <w:r w:rsidR="009F6EED" w:rsidRPr="00895638">
        <w:rPr>
          <w:vertAlign w:val="superscript"/>
        </w:rPr>
        <w:fldChar w:fldCharType="end"/>
      </w:r>
    </w:p>
    <w:p w:rsidR="00A92B77" w:rsidRPr="00895638" w:rsidRDefault="00A92B77" w:rsidP="00A92B77">
      <w:pPr>
        <w:pStyle w:val="ListBullet"/>
      </w:pPr>
      <w:r w:rsidRPr="00895638">
        <w:t xml:space="preserve">All </w:t>
      </w:r>
      <w:r w:rsidR="00237CBE">
        <w:t>3DAA</w:t>
      </w:r>
      <w:r w:rsidRPr="00895638">
        <w:t>s act on separate and distinct targets on the HCV viral protein to prevent replication.</w:t>
      </w:r>
      <w:r w:rsidR="00BF1FC5" w:rsidRPr="00895638">
        <w:t xml:space="preserve"> </w:t>
      </w:r>
      <w:r w:rsidRPr="00895638">
        <w:t xml:space="preserve">The efficacy studies submitted in </w:t>
      </w:r>
      <w:r w:rsidR="00E92DDB" w:rsidRPr="00895638">
        <w:t>the nonclinical dossier</w:t>
      </w:r>
      <w:r w:rsidRPr="00895638">
        <w:t xml:space="preserve"> assessed the inhibitory activity of the 3 agents in in vitro enzyme assays and standard subgenomic HCV replicon assays.</w:t>
      </w:r>
    </w:p>
    <w:p w:rsidR="00A92B77" w:rsidRPr="00895638" w:rsidRDefault="00A92B77" w:rsidP="00A92B77">
      <w:pPr>
        <w:pStyle w:val="ListBullet"/>
      </w:pPr>
      <w:r w:rsidRPr="00895638">
        <w:t xml:space="preserve">Paritaprevir inhibits HCV non-structural protein (NS) 3/4A protease. The </w:t>
      </w:r>
      <w:r w:rsidR="00014BB3" w:rsidRPr="00895638">
        <w:t>EC</w:t>
      </w:r>
      <w:r w:rsidR="00014BB3" w:rsidRPr="00895638">
        <w:rPr>
          <w:vertAlign w:val="subscript"/>
        </w:rPr>
        <w:t>50</w:t>
      </w:r>
      <w:r w:rsidR="00DF2650" w:rsidRPr="00895638">
        <w:t xml:space="preserve"> values</w:t>
      </w:r>
      <w:r w:rsidRPr="00895638">
        <w:t xml:space="preserve"> against genotype 1a and 1b clinical isolates in the HCV subgenomic replicon assay were 0.86 nM (range 0.43</w:t>
      </w:r>
      <w:r w:rsidR="0021113A" w:rsidRPr="00895638">
        <w:t xml:space="preserve"> to </w:t>
      </w:r>
      <w:r w:rsidRPr="00895638">
        <w:t>1.87 nM; n</w:t>
      </w:r>
      <w:r w:rsidR="00BF1FC5" w:rsidRPr="00895638">
        <w:t xml:space="preserve"> = </w:t>
      </w:r>
      <w:r w:rsidRPr="00895638">
        <w:t>11) and 0.058 nM (range 0.033</w:t>
      </w:r>
      <w:r w:rsidR="0021113A" w:rsidRPr="00895638">
        <w:t xml:space="preserve"> to </w:t>
      </w:r>
      <w:r w:rsidRPr="00895638">
        <w:t>0.087 nM; n</w:t>
      </w:r>
      <w:r w:rsidR="00BF1FC5" w:rsidRPr="00895638">
        <w:t xml:space="preserve"> = </w:t>
      </w:r>
      <w:r w:rsidRPr="00895638">
        <w:t>9), respectively. Potency was reduced 24</w:t>
      </w:r>
      <w:r w:rsidR="0021113A" w:rsidRPr="00895638">
        <w:t xml:space="preserve"> to </w:t>
      </w:r>
      <w:r w:rsidRPr="00895638">
        <w:t>27 fold in the presence of 40% human plasma (to 23 nM and 8.7 nM, respectively). Paritaprevir also showed some activity against genotype 4a, (</w:t>
      </w:r>
      <w:r w:rsidR="00014BB3" w:rsidRPr="00895638">
        <w:t>EC</w:t>
      </w:r>
      <w:r w:rsidR="00014BB3" w:rsidRPr="00895638">
        <w:rPr>
          <w:vertAlign w:val="subscript"/>
        </w:rPr>
        <w:t>50</w:t>
      </w:r>
      <w:r w:rsidR="00BF1FC5" w:rsidRPr="00895638">
        <w:t xml:space="preserve"> = </w:t>
      </w:r>
      <w:r w:rsidRPr="00895638">
        <w:t>0.09 nM), and to a lesser extent genotype 6a (</w:t>
      </w:r>
      <w:r w:rsidR="00014BB3" w:rsidRPr="00895638">
        <w:t>EC</w:t>
      </w:r>
      <w:r w:rsidR="00014BB3" w:rsidRPr="00895638">
        <w:rPr>
          <w:vertAlign w:val="subscript"/>
        </w:rPr>
        <w:t>50</w:t>
      </w:r>
      <w:r w:rsidR="00E92DDB" w:rsidRPr="00895638">
        <w:t> = </w:t>
      </w:r>
      <w:r w:rsidR="00FE3349">
        <w:t>0.68 nM).</w:t>
      </w:r>
    </w:p>
    <w:p w:rsidR="00A92B77" w:rsidRPr="00895638" w:rsidRDefault="00A92B77" w:rsidP="00A92B77">
      <w:pPr>
        <w:pStyle w:val="ListBullet"/>
      </w:pPr>
      <w:r w:rsidRPr="00895638">
        <w:t xml:space="preserve">Ombitasvir inhibits HCV NS5A. The mean </w:t>
      </w:r>
      <w:r w:rsidR="00014BB3" w:rsidRPr="00895638">
        <w:t>EC</w:t>
      </w:r>
      <w:r w:rsidR="00014BB3" w:rsidRPr="00895638">
        <w:rPr>
          <w:vertAlign w:val="subscript"/>
        </w:rPr>
        <w:t>50</w:t>
      </w:r>
      <w:r w:rsidRPr="00895638">
        <w:t xml:space="preserve">s </w:t>
      </w:r>
      <w:r w:rsidRPr="00895638">
        <w:rPr>
          <w:rFonts w:hint="eastAsia"/>
        </w:rPr>
        <w:t>against replicons containing NS5A from a panel of treatment</w:t>
      </w:r>
      <w:r w:rsidR="00E92DDB" w:rsidRPr="00895638">
        <w:t xml:space="preserve"> </w:t>
      </w:r>
      <w:r w:rsidRPr="00895638">
        <w:rPr>
          <w:rFonts w:hint="eastAsia"/>
        </w:rPr>
        <w:t>naïve genotype 1a and 1b</w:t>
      </w:r>
      <w:r w:rsidRPr="00895638">
        <w:t xml:space="preserve"> isolates in the HCV replicon cell culture assay were 0.66 pM (range 0.35 to 0.88 pM; n</w:t>
      </w:r>
      <w:r w:rsidR="00BF1FC5" w:rsidRPr="00895638">
        <w:t xml:space="preserve"> = </w:t>
      </w:r>
      <w:r w:rsidRPr="00895638">
        <w:t>11) and 1.0 pM (range 0.74 to 1.5 pM; n</w:t>
      </w:r>
      <w:r w:rsidR="00BF1FC5" w:rsidRPr="00895638">
        <w:t xml:space="preserve"> = </w:t>
      </w:r>
      <w:r w:rsidRPr="00895638">
        <w:t>11), respectively. The potency of ombitasvir was reduced by approximately 12 fold in the presence of 40% human plasma. Ombitasvir also showed activity against replicon cell lines constructed with NS5A from single isolates representing genotypes 2a, 2b, 3a, 4a and 5a (</w:t>
      </w:r>
      <w:r w:rsidR="00014BB3" w:rsidRPr="00895638">
        <w:t>EC</w:t>
      </w:r>
      <w:r w:rsidR="00014BB3" w:rsidRPr="00895638">
        <w:rPr>
          <w:vertAlign w:val="subscript"/>
        </w:rPr>
        <w:t>50</w:t>
      </w:r>
      <w:r w:rsidRPr="00895638">
        <w:t xml:space="preserve"> values of 12, 4.3, 19, 1.7 and 3.2 pM, respectively, which are all below the below the clinical free </w:t>
      </w:r>
      <w:r w:rsidR="00BF1FC5" w:rsidRPr="00895638">
        <w:t>C</w:t>
      </w:r>
      <w:r w:rsidR="00BF1FC5" w:rsidRPr="00895638">
        <w:rPr>
          <w:vertAlign w:val="subscript"/>
        </w:rPr>
        <w:t>min</w:t>
      </w:r>
      <w:r w:rsidRPr="00895638">
        <w:t xml:space="preserve"> of 32.4 pM). Activity against genotype 6a is unlikely to be clinically relevant (</w:t>
      </w:r>
      <w:r w:rsidR="00014BB3" w:rsidRPr="00895638">
        <w:t>EC</w:t>
      </w:r>
      <w:r w:rsidR="00014BB3" w:rsidRPr="00895638">
        <w:rPr>
          <w:vertAlign w:val="subscript"/>
        </w:rPr>
        <w:t>50</w:t>
      </w:r>
      <w:r w:rsidRPr="00895638">
        <w:t xml:space="preserve"> value</w:t>
      </w:r>
      <w:r w:rsidR="00BF1FC5" w:rsidRPr="00895638">
        <w:t xml:space="preserve"> = </w:t>
      </w:r>
      <w:r w:rsidR="00E92DDB" w:rsidRPr="00895638">
        <w:t>366 pM). Negligible anti</w:t>
      </w:r>
      <w:r w:rsidRPr="00895638">
        <w:t>viral activity against</w:t>
      </w:r>
      <w:r w:rsidR="009F6EED" w:rsidRPr="00895638">
        <w:t xml:space="preserve"> genotype</w:t>
      </w:r>
      <w:r w:rsidRPr="00895638">
        <w:t>s 1a-H77 and 1b-Con1 was noted by the human major metabolites of ombitasvir, M29 and M36.</w:t>
      </w:r>
    </w:p>
    <w:p w:rsidR="00A92B77" w:rsidRPr="00895638" w:rsidRDefault="00A92B77" w:rsidP="00A92B77">
      <w:pPr>
        <w:pStyle w:val="ListBullet"/>
      </w:pPr>
      <w:r w:rsidRPr="00895638">
        <w:t>Dasabuvir inhibits NS5B polymerase.</w:t>
      </w:r>
      <w:r w:rsidR="008B6F3C" w:rsidRPr="00895638">
        <w:t xml:space="preserve"> </w:t>
      </w:r>
      <w:r w:rsidRPr="00895638">
        <w:t xml:space="preserve">The </w:t>
      </w:r>
      <w:r w:rsidR="00014BB3" w:rsidRPr="00895638">
        <w:t>EC</w:t>
      </w:r>
      <w:r w:rsidR="00014BB3" w:rsidRPr="00895638">
        <w:rPr>
          <w:vertAlign w:val="subscript"/>
        </w:rPr>
        <w:t>50</w:t>
      </w:r>
      <w:r w:rsidRPr="00895638">
        <w:t>s against a panel of genotype 1a and 1b clinical isolates in the HCV subgenomic replicon assay were 0.77 nM (range 0.4</w:t>
      </w:r>
      <w:r w:rsidR="00926A16" w:rsidRPr="00895638">
        <w:t xml:space="preserve"> to </w:t>
      </w:r>
      <w:r w:rsidR="00E92DDB" w:rsidRPr="00895638">
        <w:t>2.1 </w:t>
      </w:r>
      <w:r w:rsidRPr="00895638">
        <w:t>nM; n</w:t>
      </w:r>
      <w:r w:rsidR="00BF1FC5" w:rsidRPr="00895638">
        <w:t xml:space="preserve"> = </w:t>
      </w:r>
      <w:r w:rsidRPr="00895638">
        <w:t>11) and 0.46 nM (range 0.2</w:t>
      </w:r>
      <w:r w:rsidR="00926A16" w:rsidRPr="00895638">
        <w:t xml:space="preserve"> to </w:t>
      </w:r>
      <w:r w:rsidRPr="00895638">
        <w:t>2.0 nM; n</w:t>
      </w:r>
      <w:r w:rsidR="00BF1FC5" w:rsidRPr="00895638">
        <w:t xml:space="preserve"> = </w:t>
      </w:r>
      <w:r w:rsidRPr="00895638">
        <w:t>10), respectively, and the potency of dasabuvir in subgenomic HCV replicon assays was reduced by approximately 12 fold in the presence of 40% human plasma. The M1 metabolite of dasabuvir had 30</w:t>
      </w:r>
      <w:r w:rsidR="00926A16" w:rsidRPr="00895638">
        <w:t xml:space="preserve"> to </w:t>
      </w:r>
      <w:r w:rsidRPr="00895638">
        <w:t>40% lower potency than dasabuvir against standard genotype 1a and 1b laboratory strains in the subgenomic HCV replicon assay. Dasabuvir had a lower potency (</w:t>
      </w:r>
      <w:r w:rsidR="000C3156" w:rsidRPr="00895638">
        <w:t xml:space="preserve">&gt; </w:t>
      </w:r>
      <w:r w:rsidRPr="00895638">
        <w:t>200 times) at polymerases from other HCV genotypes (2a, 2b, 3a and 4a), and is unlikely to be active against these genotypes at the proposed clinical dose.</w:t>
      </w:r>
    </w:p>
    <w:p w:rsidR="00A92B77" w:rsidRPr="00895638" w:rsidRDefault="00A92B77" w:rsidP="00A92B77">
      <w:pPr>
        <w:pStyle w:val="ListBullet"/>
      </w:pPr>
      <w:r w:rsidRPr="00895638">
        <w:t>Based on the in vitro data, it is anticipated that all 3 agents would inhibit HCV genotypes 1a and 1b at clinically relevant concentrations. Pairwise combinations of paritaprevir, ombitasvir, dasabuvir and ribavirin showed additive to synergistic HCV genotype 1 antiviral activity when tested in short term culture assays. C</w:t>
      </w:r>
      <w:r w:rsidRPr="00895638">
        <w:rPr>
          <w:rFonts w:hint="eastAsia"/>
        </w:rPr>
        <w:t>olony survival was reduced by more than 100</w:t>
      </w:r>
      <w:r w:rsidR="00E92DDB" w:rsidRPr="00895638">
        <w:t xml:space="preserve"> </w:t>
      </w:r>
      <w:r w:rsidRPr="00895638">
        <w:rPr>
          <w:rFonts w:hint="eastAsia"/>
        </w:rPr>
        <w:t>fold compared to each drug alone</w:t>
      </w:r>
      <w:r w:rsidRPr="00895638">
        <w:t xml:space="preserve"> i</w:t>
      </w:r>
      <w:r w:rsidRPr="00895638">
        <w:rPr>
          <w:rFonts w:hint="eastAsia"/>
        </w:rPr>
        <w:t>n long term replicon survival assays</w:t>
      </w:r>
      <w:r w:rsidRPr="00895638">
        <w:t xml:space="preserve"> in which p</w:t>
      </w:r>
      <w:r w:rsidRPr="00895638">
        <w:rPr>
          <w:rFonts w:hint="eastAsia"/>
        </w:rPr>
        <w:t>airwise</w:t>
      </w:r>
      <w:r w:rsidRPr="00895638">
        <w:t xml:space="preserve"> </w:t>
      </w:r>
      <w:r w:rsidRPr="00895638">
        <w:rPr>
          <w:rFonts w:hint="eastAsia"/>
        </w:rPr>
        <w:t xml:space="preserve">combinations </w:t>
      </w:r>
      <w:r w:rsidRPr="00895638">
        <w:t xml:space="preserve">were tested at </w:t>
      </w:r>
      <w:r w:rsidRPr="00895638">
        <w:rPr>
          <w:rFonts w:hint="eastAsia"/>
        </w:rPr>
        <w:t>concentrations 10</w:t>
      </w:r>
      <w:r w:rsidR="00E92DDB" w:rsidRPr="00895638">
        <w:t xml:space="preserve"> </w:t>
      </w:r>
      <w:r w:rsidRPr="00895638">
        <w:rPr>
          <w:rFonts w:hint="eastAsia"/>
        </w:rPr>
        <w:t>fold over their</w:t>
      </w:r>
      <w:r w:rsidRPr="00895638">
        <w:t xml:space="preserve"> </w:t>
      </w:r>
      <w:r w:rsidRPr="00895638">
        <w:rPr>
          <w:rFonts w:hint="eastAsia"/>
        </w:rPr>
        <w:t xml:space="preserve">respective </w:t>
      </w:r>
      <w:r w:rsidR="00014BB3" w:rsidRPr="00895638">
        <w:t>EC</w:t>
      </w:r>
      <w:r w:rsidR="00014BB3" w:rsidRPr="00895638">
        <w:rPr>
          <w:vertAlign w:val="subscript"/>
        </w:rPr>
        <w:t>50</w:t>
      </w:r>
      <w:r w:rsidR="00DF2650" w:rsidRPr="00895638">
        <w:rPr>
          <w:vertAlign w:val="subscript"/>
        </w:rPr>
        <w:t xml:space="preserve"> </w:t>
      </w:r>
      <w:r w:rsidR="00DF2650" w:rsidRPr="00895638">
        <w:t>value</w:t>
      </w:r>
      <w:r w:rsidRPr="00895638">
        <w:t>s.</w:t>
      </w:r>
      <w:r w:rsidRPr="00895638">
        <w:rPr>
          <w:rFonts w:hint="eastAsia"/>
        </w:rPr>
        <w:t xml:space="preserve"> </w:t>
      </w:r>
      <w:r w:rsidRPr="00895638">
        <w:t xml:space="preserve">No drug resistant </w:t>
      </w:r>
      <w:r w:rsidRPr="00895638">
        <w:rPr>
          <w:rFonts w:hint="eastAsia"/>
        </w:rPr>
        <w:t xml:space="preserve">colonies survived </w:t>
      </w:r>
      <w:r w:rsidRPr="00895638">
        <w:t>w</w:t>
      </w:r>
      <w:r w:rsidRPr="00895638">
        <w:rPr>
          <w:rFonts w:hint="eastAsia"/>
        </w:rPr>
        <w:t>hen all three drugs were combined at concentrations of 5</w:t>
      </w:r>
      <w:r w:rsidR="00E92DDB" w:rsidRPr="00895638">
        <w:t xml:space="preserve"> </w:t>
      </w:r>
      <w:r w:rsidRPr="00895638">
        <w:rPr>
          <w:rFonts w:hint="eastAsia"/>
        </w:rPr>
        <w:t>fold</w:t>
      </w:r>
      <w:r w:rsidRPr="00895638">
        <w:t xml:space="preserve"> </w:t>
      </w:r>
      <w:r w:rsidRPr="00895638">
        <w:rPr>
          <w:rFonts w:hint="eastAsia"/>
        </w:rPr>
        <w:t xml:space="preserve">above their respective </w:t>
      </w:r>
      <w:r w:rsidR="00014BB3" w:rsidRPr="00895638">
        <w:t>EC</w:t>
      </w:r>
      <w:r w:rsidR="00014BB3" w:rsidRPr="00895638">
        <w:rPr>
          <w:vertAlign w:val="subscript"/>
        </w:rPr>
        <w:t>50</w:t>
      </w:r>
      <w:r w:rsidR="009F6EED" w:rsidRPr="00895638">
        <w:t xml:space="preserve"> values</w:t>
      </w:r>
      <w:r w:rsidRPr="00895638">
        <w:rPr>
          <w:rFonts w:hint="eastAsia"/>
        </w:rPr>
        <w:t>.</w:t>
      </w:r>
    </w:p>
    <w:p w:rsidR="00A92B77" w:rsidRPr="00895638" w:rsidRDefault="00A92B77" w:rsidP="00A92B77">
      <w:pPr>
        <w:pStyle w:val="ListBullet"/>
      </w:pPr>
      <w:r w:rsidRPr="00895638">
        <w:t xml:space="preserve">NS3 mutations F43L, R155G/K/S, A156T and D168A/E/F/H/N/V/Y, or combinations of V36M, F43L, Y56H or E357K with R155 or D168 variants conferred resistance to paritaprevir genotype 1a, and A156T, D168A/H/V/Y, either alone or in combination </w:t>
      </w:r>
      <w:r w:rsidRPr="00895638">
        <w:lastRenderedPageBreak/>
        <w:t>w</w:t>
      </w:r>
      <w:r w:rsidR="00E92DDB" w:rsidRPr="00895638">
        <w:t xml:space="preserve">ith Y56H for genotype 1b. Cross </w:t>
      </w:r>
      <w:r w:rsidRPr="00895638">
        <w:t>resistance may be seen with some other NS3 protease inhibitors, as mutations at R155 and A156 are also associated with resistance to most other NS3 protease inhibitors, while mutations at D168 are common to most macrocyclic NS3 inhibitors.</w:t>
      </w:r>
      <w:r w:rsidR="008B6F3C" w:rsidRPr="00895638">
        <w:t xml:space="preserve"> </w:t>
      </w:r>
      <w:r w:rsidRPr="00895638">
        <w:t>However, certain variants associated with resistance to telaprevir, boceprevir and a number of other NS3 inhibitors having a linear scaffold (V36A/M, T54A, V55A, Q80R/K, A156S, and V170A) may be susceptible to paritaprevir based on the results of the in vitro virology data.</w:t>
      </w:r>
    </w:p>
    <w:p w:rsidR="00A92B77" w:rsidRPr="00895638" w:rsidRDefault="00A92B77" w:rsidP="00A92B77">
      <w:pPr>
        <w:pStyle w:val="ListBullet"/>
      </w:pPr>
      <w:r w:rsidRPr="00895638">
        <w:t xml:space="preserve">NS5A substitutions M28T/V, Q30E/R, H58D, </w:t>
      </w:r>
      <w:proofErr w:type="gramStart"/>
      <w:r w:rsidRPr="00895638">
        <w:t>Y93C</w:t>
      </w:r>
      <w:proofErr w:type="gramEnd"/>
      <w:r w:rsidRPr="00895638">
        <w:t>/H/L/N in genotype 1a reduced sus</w:t>
      </w:r>
      <w:r w:rsidR="00E92DDB" w:rsidRPr="00895638">
        <w:t>ceptibility to ombitasvir by 58</w:t>
      </w:r>
      <w:r w:rsidRPr="00895638">
        <w:t xml:space="preserve"> to 67,000 fold. In genotype 1b, substitutions L28T, L31F/V and Y93H reduced</w:t>
      </w:r>
      <w:r w:rsidR="00E92DDB" w:rsidRPr="00895638">
        <w:t xml:space="preserve"> susceptibility to ombitasvir 8</w:t>
      </w:r>
      <w:r w:rsidRPr="00895638">
        <w:t xml:space="preserve"> to 661 fold. In general, combinations of ombitasvir resistance-associated substitutions in HCV genotype 1a or 1b replicons further reduced ombitasvir antiviral activity.</w:t>
      </w:r>
    </w:p>
    <w:p w:rsidR="00A92B77" w:rsidRPr="00895638" w:rsidRDefault="00A92B77" w:rsidP="00A92B77">
      <w:pPr>
        <w:pStyle w:val="ListBullet"/>
      </w:pPr>
      <w:r w:rsidRPr="00895638">
        <w:t>Substitutions C316Y, M414I/T, N444K, E446K/Q, Y448C/H, A553T, G554S, S556G/R, and Y561H in HCV NS5B genotype 1a reduced s</w:t>
      </w:r>
      <w:r w:rsidR="00E92DDB" w:rsidRPr="00895638">
        <w:t>usceptibility to dasabuvir by 5 to 1472 </w:t>
      </w:r>
      <w:r w:rsidRPr="00895638">
        <w:t>fold. G558R and D55</w:t>
      </w:r>
      <w:r w:rsidR="00E92DDB" w:rsidRPr="00895638">
        <w:t xml:space="preserve">9G/N were observed as treatment </w:t>
      </w:r>
      <w:r w:rsidRPr="00895638">
        <w:t>emergent substitutions but the activity of dasabuvir against these variants could not be evaluated due to poor replication capacity. In genotype 1b, substitutions C316H/N/Y, S368T, N411S, M414I/T/V, Y448C/H, A553V, S556G and D559G in HCV NS5B reduced s</w:t>
      </w:r>
      <w:r w:rsidR="00E92DDB" w:rsidRPr="00895638">
        <w:t>usceptibility to dasabuvir by 5</w:t>
      </w:r>
      <w:r w:rsidRPr="00895638">
        <w:t xml:space="preserve"> to 1</w:t>
      </w:r>
      <w:r w:rsidR="00E92DDB" w:rsidRPr="00895638">
        <w:t>,</w:t>
      </w:r>
      <w:r w:rsidRPr="00895638">
        <w:t>569</w:t>
      </w:r>
      <w:r w:rsidR="00BF1FC5" w:rsidRPr="00895638">
        <w:t xml:space="preserve"> fold</w:t>
      </w:r>
      <w:r w:rsidRPr="00895638">
        <w:t>. Dasabuvir retained full activity against replicons containing substitutions S282T in the nucleoside binding site, M423T in the lower thumb site, and P495A/S, P496S or V499A in the upper thumb site.</w:t>
      </w:r>
    </w:p>
    <w:p w:rsidR="00A92B77" w:rsidRPr="00895638" w:rsidRDefault="00A92B77" w:rsidP="00A92B77">
      <w:pPr>
        <w:pStyle w:val="ListBullet"/>
      </w:pPr>
      <w:r w:rsidRPr="00895638">
        <w:t xml:space="preserve">The </w:t>
      </w:r>
      <w:r w:rsidR="00237CBE">
        <w:t>3DAA</w:t>
      </w:r>
      <w:r w:rsidRPr="00895638">
        <w:t>s showed no clinically relevant antiviral activity against HIV-1 and HBV. Dasabuvir had no significant inhibitory activity against a number of human and mammalian DNA-dependent DNA polymerases and DNA-dependent RNA polymerases, and an RNA-dependent DNA polymerase, and thus is not expected to interfere with DNA replication or transcription in host cells. Off target activities are not predicted during clinical use. However, the potential for the dasabuvir metabolite M1 to affect ECG parameters was not adequately investigated.</w:t>
      </w:r>
    </w:p>
    <w:p w:rsidR="00A92B77" w:rsidRPr="00895638" w:rsidRDefault="00A92B77" w:rsidP="00A92B77">
      <w:pPr>
        <w:pStyle w:val="ListBullet"/>
      </w:pPr>
      <w:r w:rsidRPr="00895638">
        <w:t>The nonclinical pharmacokinetic data adequately supported the animal models used in the tox</w:t>
      </w:r>
      <w:r w:rsidR="00E92DDB" w:rsidRPr="00895638">
        <w:t xml:space="preserve">icology studies for all </w:t>
      </w:r>
      <w:r w:rsidR="00237CBE">
        <w:t>3DAA</w:t>
      </w:r>
      <w:r w:rsidR="00E92DDB" w:rsidRPr="00895638">
        <w:t>s.</w:t>
      </w:r>
    </w:p>
    <w:p w:rsidR="00A92B77" w:rsidRPr="00895638" w:rsidRDefault="00A92B77" w:rsidP="00A92B77">
      <w:pPr>
        <w:pStyle w:val="ListBullet"/>
      </w:pPr>
      <w:r w:rsidRPr="00895638">
        <w:t xml:space="preserve">The main concerns for the individual components of </w:t>
      </w:r>
      <w:r w:rsidR="00C36BE1" w:rsidRPr="00895638">
        <w:t>Viekira Pak</w:t>
      </w:r>
      <w:r w:rsidRPr="00895638">
        <w:t xml:space="preserve"> are interactions with strong inducers of CYP3A4 such as carbamazepine, and it is noted that this is included as a contraindication in the </w:t>
      </w:r>
      <w:r w:rsidR="00E92DDB" w:rsidRPr="00895638">
        <w:t>PI</w:t>
      </w:r>
      <w:r w:rsidRPr="00895638">
        <w:t xml:space="preserve"> document. In addition, dasabuvir is a substrate for CYP2C8, and its exposure is likely to be increased if co-administered </w:t>
      </w:r>
      <w:r w:rsidR="00E92DDB" w:rsidRPr="00895638">
        <w:t>with inhibitors of this enzyme.</w:t>
      </w:r>
    </w:p>
    <w:p w:rsidR="00A92B77" w:rsidRPr="00895638" w:rsidRDefault="00A92B77" w:rsidP="00A92B77">
      <w:pPr>
        <w:pStyle w:val="ListBullet"/>
      </w:pPr>
      <w:r w:rsidRPr="00895638">
        <w:t xml:space="preserve">All components of </w:t>
      </w:r>
      <w:r w:rsidR="00C36BE1" w:rsidRPr="00895638">
        <w:t>Viekira Pak</w:t>
      </w:r>
      <w:r w:rsidRPr="00895638">
        <w:t xml:space="preserve"> are substrates of </w:t>
      </w:r>
      <w:r w:rsidR="00C75F81" w:rsidRPr="00895638">
        <w:t>P-gp</w:t>
      </w:r>
      <w:r w:rsidRPr="00895638">
        <w:t xml:space="preserve"> and </w:t>
      </w:r>
      <w:r w:rsidR="00E92DDB" w:rsidRPr="00895638">
        <w:t>BCRP</w:t>
      </w:r>
      <w:r w:rsidRPr="00895638">
        <w:t xml:space="preserve">. Paritaprevir is a substrate for the hepatic organic anion transporters OATP1/3, and plasma concentrations are likely to increase if it is co-administered with OATP, BCRP or </w:t>
      </w:r>
      <w:r w:rsidR="00C75F81" w:rsidRPr="00895638">
        <w:t>P-gp</w:t>
      </w:r>
      <w:r w:rsidRPr="00895638">
        <w:t xml:space="preserve"> inhibitors such as atazanavir and cyclosporine.</w:t>
      </w:r>
    </w:p>
    <w:p w:rsidR="00A92B77" w:rsidRPr="00895638" w:rsidRDefault="00A92B77" w:rsidP="00A92B77">
      <w:pPr>
        <w:pStyle w:val="ListBullet"/>
      </w:pPr>
      <w:r w:rsidRPr="00895638">
        <w:t xml:space="preserve">Paritaprevir inhibition of OATP transporters is likely to have clinical implications for co-administration of OATP substrates. Inhibition of </w:t>
      </w:r>
      <w:r w:rsidR="00C75F81" w:rsidRPr="00895638">
        <w:t>P-gp</w:t>
      </w:r>
      <w:r w:rsidRPr="00895638">
        <w:t xml:space="preserve"> and BCRP are also of possible clinical relevance based on nonclinical data.</w:t>
      </w:r>
    </w:p>
    <w:p w:rsidR="00A92B77" w:rsidRPr="00895638" w:rsidRDefault="00A92B77" w:rsidP="00A92B77">
      <w:pPr>
        <w:pStyle w:val="ListBullet"/>
      </w:pPr>
      <w:r w:rsidRPr="00895638">
        <w:t>Paritaprevir administration was associated wit</w:t>
      </w:r>
      <w:r w:rsidR="00E92DDB" w:rsidRPr="00895638">
        <w:t xml:space="preserve">h gallbladder toxicity in two 6 </w:t>
      </w:r>
      <w:r w:rsidRPr="00895638">
        <w:t>month repeat dose studies in mice (consisting of focal erosion or ulceration, inflammation and epithelial hyperplasia; NOEL</w:t>
      </w:r>
      <w:r w:rsidR="00BF1FC5" w:rsidRPr="00895638">
        <w:t xml:space="preserve"> = </w:t>
      </w:r>
      <w:r w:rsidRPr="00895638">
        <w:t>30 mg/kg/day or 4.8 times the clinical AUC; LOEL</w:t>
      </w:r>
      <w:r w:rsidR="00E92DDB" w:rsidRPr="00895638">
        <w:t> = </w:t>
      </w:r>
      <w:r w:rsidRPr="00895638">
        <w:t>60 mg/kg/day or 17 times the clinical AUC). Gall bladder toxicity was less severe in dogs (NOEL</w:t>
      </w:r>
      <w:r w:rsidR="00BF1FC5" w:rsidRPr="00895638">
        <w:t xml:space="preserve"> = </w:t>
      </w:r>
      <w:r w:rsidRPr="00895638">
        <w:t>20 mg/kg/day, or 88 times the clinical AUC).</w:t>
      </w:r>
    </w:p>
    <w:p w:rsidR="00A92B77" w:rsidRPr="00895638" w:rsidRDefault="00A92B77" w:rsidP="00A92B77">
      <w:pPr>
        <w:pStyle w:val="ListBullet"/>
      </w:pPr>
      <w:r w:rsidRPr="00895638">
        <w:t>Vacuolation of villi and dilated lacteals in the duodena and jejuna of dogs were observed in repeat dose toxicity studies with ombitasvir. These effects were observe</w:t>
      </w:r>
      <w:r w:rsidR="00E92DDB" w:rsidRPr="00895638">
        <w:t xml:space="preserve">d at plasma levels that were 34 and 60 </w:t>
      </w:r>
      <w:r w:rsidRPr="00895638">
        <w:t>times the clinical AUC.</w:t>
      </w:r>
    </w:p>
    <w:p w:rsidR="00A92B77" w:rsidRPr="00895638" w:rsidRDefault="00A92B77" w:rsidP="00A92B77">
      <w:pPr>
        <w:pStyle w:val="ListBullet"/>
      </w:pPr>
      <w:r w:rsidRPr="00895638">
        <w:lastRenderedPageBreak/>
        <w:t xml:space="preserve">Toxicities observed in previously evaluated repeat-dose studies with ritonavir include hepatotoxicity in the rat and dog, and thyroid follicular cell hypertrophy (associated with elevated thyroid stimulating hormone concentrations) in rats. Biliary hyperplasia and chronic pericholangitis were seen in rats at higher doses. Retinal lesions in rodents were thought to be manifestations of phospholipidosis, and there was also a widespread occurrence of microgranulomas, primarily in the liver, lungs and lymphoid tissues. Low incidences of testicular and prostatic degeneration or </w:t>
      </w:r>
      <w:r w:rsidR="00E92DDB" w:rsidRPr="00895638">
        <w:t>atrophy were also seen in dogs.</w:t>
      </w:r>
    </w:p>
    <w:p w:rsidR="00A92B77" w:rsidRPr="00895638" w:rsidRDefault="00A92B77" w:rsidP="00A92B77">
      <w:pPr>
        <w:pStyle w:val="ListBullet"/>
      </w:pPr>
      <w:r w:rsidRPr="00895638">
        <w:t>None of the previously reported effects of ritonavir were seen in the studies submitted with the current application to support the safety of paritaprevir co-dosed with ritonavir, as the doses of ritonavir administered were below the LOEL for these effects. Alveolar histiocytosis, thought to be consistent with phospholipidosis, was also observed in repeat dose studies with dasabuvir in rats. Phospholipidosis is a common finding for cationic amphiphilic drugs, which have been approved for a wide range of clinical indications, and it is uncertain if phospholipidosis in animals is predictive for humans.</w:t>
      </w:r>
    </w:p>
    <w:p w:rsidR="00A92B77" w:rsidRPr="00895638" w:rsidRDefault="00A92B77" w:rsidP="00A92B77">
      <w:pPr>
        <w:pStyle w:val="ListBullet"/>
      </w:pPr>
      <w:r w:rsidRPr="00895638">
        <w:t>The only combination repe</w:t>
      </w:r>
      <w:r w:rsidR="00E92DDB" w:rsidRPr="00895638">
        <w:t>at dose toxicity studies were 4</w:t>
      </w:r>
      <w:r w:rsidRPr="00895638">
        <w:t xml:space="preserve"> and 13</w:t>
      </w:r>
      <w:r w:rsidR="003C3383" w:rsidRPr="00895638">
        <w:t xml:space="preserve"> week</w:t>
      </w:r>
      <w:r w:rsidRPr="00895638">
        <w:t xml:space="preserve"> toxicology studies in rats, in which ribavirin was co-administered with paritaprevir and ritonavir, a 13</w:t>
      </w:r>
      <w:r w:rsidR="003C3383" w:rsidRPr="00895638">
        <w:t xml:space="preserve"> week</w:t>
      </w:r>
      <w:r w:rsidRPr="00895638">
        <w:t xml:space="preserve"> combination study with dasabuvir and ribavirin in rats, and two 4</w:t>
      </w:r>
      <w:r w:rsidR="003C3383" w:rsidRPr="00895638">
        <w:t xml:space="preserve"> week</w:t>
      </w:r>
      <w:r w:rsidRPr="00895638">
        <w:t xml:space="preserve"> studies of dasabuvir with ribavirin and IFN-γ in cynomolgus monkeys. There were no novel toxicities or exacerbation of previously reported toxicities, and no evidence of</w:t>
      </w:r>
      <w:r w:rsidR="00E92DDB" w:rsidRPr="00895638">
        <w:t xml:space="preserve"> pharmacokinetic interactions.</w:t>
      </w:r>
    </w:p>
    <w:p w:rsidR="00A92B77" w:rsidRPr="00895638" w:rsidRDefault="00A92B77" w:rsidP="00A92B77">
      <w:pPr>
        <w:pStyle w:val="ListBullet"/>
      </w:pPr>
      <w:r w:rsidRPr="00895638">
        <w:t>A 4 week safety study in CD-1 mice given low oral doses of a combination of paritaprevir, ritonavir and ombitasvir found no evidence of toxicity associated with levels of systemic exposure 2.7, 2.4 and 3.3 times the respective clinical AUC values.</w:t>
      </w:r>
    </w:p>
    <w:p w:rsidR="00A92B77" w:rsidRPr="00895638" w:rsidRDefault="00A92B77" w:rsidP="00A92B77">
      <w:pPr>
        <w:pStyle w:val="ListBullet"/>
      </w:pPr>
      <w:r w:rsidRPr="00895638">
        <w:t>Genotoxicity, carcinogenicity and reproductive toxicity studies were submit</w:t>
      </w:r>
      <w:r w:rsidR="00E92DDB" w:rsidRPr="00895638">
        <w:t>ted with the individual agents</w:t>
      </w:r>
      <w:r w:rsidRPr="00895638">
        <w:t xml:space="preserve">. There were no genotoxicity or </w:t>
      </w:r>
      <w:r w:rsidR="00E92DDB" w:rsidRPr="00895638">
        <w:t>carcinogenicity concerns, but 2 </w:t>
      </w:r>
      <w:r w:rsidRPr="00895638">
        <w:t>year carcinogenicity studies in rats with dasabuvir and with ombitasvir have not yet been submitted (expected in April 2015).</w:t>
      </w:r>
    </w:p>
    <w:p w:rsidR="00A92B77" w:rsidRPr="00895638" w:rsidRDefault="00A92B77" w:rsidP="00A92B77">
      <w:pPr>
        <w:pStyle w:val="ListBullet"/>
      </w:pPr>
      <w:r w:rsidRPr="00895638">
        <w:t xml:space="preserve">In previously evaluated embryofetal toxicity studies in rats with ritonavir alone, early resorptions, decreased fetal body weight and ossification delays and developmental variations occurred at a maternally toxic dosage of 75 mg/kg/day, while a slight increase in the incidence of cryptorchidism was also noted in rats given 35 mg/kg/day. These doses corresponded to systemic exposures 5 and 3.6 times the proposed clinical exposure with </w:t>
      </w:r>
      <w:r w:rsidR="00C36BE1" w:rsidRPr="00895638">
        <w:t>Viekira Pak</w:t>
      </w:r>
      <w:r w:rsidRPr="00895638">
        <w:t>. Thus, based on systemic exposure, the new data are consistent with a NOEL for cryptorchidism in the rat being grea</w:t>
      </w:r>
      <w:r w:rsidR="00E92DDB" w:rsidRPr="00895638">
        <w:t>ter than 2.8 but less than 3.6.</w:t>
      </w:r>
    </w:p>
    <w:p w:rsidR="00A92B77" w:rsidRPr="00895638" w:rsidRDefault="00A92B77" w:rsidP="00A92B77">
      <w:pPr>
        <w:pStyle w:val="ListBullet"/>
      </w:pPr>
      <w:r w:rsidRPr="00895638">
        <w:t xml:space="preserve">It is considered that the </w:t>
      </w:r>
      <w:r w:rsidR="00926A16" w:rsidRPr="00895638">
        <w:t>sponsor</w:t>
      </w:r>
      <w:r w:rsidRPr="00895638">
        <w:t xml:space="preserve"> should have conducted an in vitro assay to assess the phototoxic potential of dasabuvir.</w:t>
      </w:r>
    </w:p>
    <w:p w:rsidR="00A92B77" w:rsidRPr="00895638" w:rsidRDefault="00A92B77" w:rsidP="00A92B77">
      <w:pPr>
        <w:pStyle w:val="Heading4"/>
      </w:pPr>
      <w:bookmarkStart w:id="113" w:name="_Toc415145648"/>
      <w:r w:rsidRPr="00895638">
        <w:t>Conclusions and recommendation</w:t>
      </w:r>
      <w:bookmarkEnd w:id="113"/>
    </w:p>
    <w:p w:rsidR="00A92B77" w:rsidRPr="00895638" w:rsidRDefault="00A92B77" w:rsidP="00A92B77">
      <w:pPr>
        <w:pStyle w:val="ListBullet"/>
      </w:pPr>
      <w:r w:rsidRPr="00895638">
        <w:t xml:space="preserve">Only limited combination toxicology studies were submitted, which is in accordance with a new FDA draft guidance document for HCV </w:t>
      </w:r>
      <w:r w:rsidR="00237CBE">
        <w:t>3DAA</w:t>
      </w:r>
      <w:r w:rsidRPr="00895638">
        <w:t xml:space="preserve"> treatments, and is considered to be acceptable.</w:t>
      </w:r>
    </w:p>
    <w:p w:rsidR="00A92B77" w:rsidRPr="00895638" w:rsidRDefault="00A92B77" w:rsidP="00A92B77">
      <w:pPr>
        <w:pStyle w:val="ListBullet"/>
      </w:pPr>
      <w:r w:rsidRPr="00895638">
        <w:t>Based on the in vitro data, it is anticipated that all 3 agents would inhibit HCV genotypes 1a and 1b at clinically relevant concentrations. Additive to synergistic HCV genotype 1 antiviral activity was demonstrate</w:t>
      </w:r>
      <w:r w:rsidR="00E92DDB" w:rsidRPr="00895638">
        <w:t>d in short term culture assays.</w:t>
      </w:r>
    </w:p>
    <w:p w:rsidR="00A92B77" w:rsidRPr="00895638" w:rsidRDefault="00A92B77" w:rsidP="00A92B77">
      <w:pPr>
        <w:pStyle w:val="ListBullet"/>
      </w:pPr>
      <w:r w:rsidRPr="00895638">
        <w:t>Off target activities are not predicted during clinical use. However, the potential for the dasabuvir metabolite M1 to affect ECG parameters was not adequately investigated.</w:t>
      </w:r>
    </w:p>
    <w:p w:rsidR="00A92B77" w:rsidRPr="00895638" w:rsidRDefault="00A92B77" w:rsidP="00A92B77">
      <w:pPr>
        <w:pStyle w:val="ListBullet"/>
      </w:pPr>
      <w:r w:rsidRPr="00895638">
        <w:lastRenderedPageBreak/>
        <w:t xml:space="preserve">The main concerns for the individual components of </w:t>
      </w:r>
      <w:r w:rsidR="00C36BE1" w:rsidRPr="00895638">
        <w:t>Viekira Pak</w:t>
      </w:r>
      <w:r w:rsidRPr="00895638">
        <w:t xml:space="preserve"> are interactions with strong inducers of CYP3A4, as well as the potential to increase exposure for dasabuvir if co-administered with inhibitors of CYP2C8. In addition, exposures of one or more of the individual DAAs may be increased if co-administered with OATP, BCRP or </w:t>
      </w:r>
      <w:r w:rsidR="00C75F81" w:rsidRPr="00895638">
        <w:t>P-gp</w:t>
      </w:r>
      <w:r w:rsidRPr="00895638">
        <w:t xml:space="preserve"> inhibitors.</w:t>
      </w:r>
    </w:p>
    <w:p w:rsidR="00A92B77" w:rsidRPr="00895638" w:rsidRDefault="00A92B77" w:rsidP="00A92B77">
      <w:pPr>
        <w:pStyle w:val="ListBullet"/>
      </w:pPr>
      <w:r w:rsidRPr="00895638">
        <w:t xml:space="preserve">Paritaprevir inhibition of OATP transporters is likely to have clinical implications for co-administration of OATP substrates. Inhibition of </w:t>
      </w:r>
      <w:r w:rsidR="00C75F81" w:rsidRPr="00895638">
        <w:t>P-gp</w:t>
      </w:r>
      <w:r w:rsidRPr="00895638">
        <w:t xml:space="preserve"> and BCRP are also of possible clinical relevance based on nonclinical data.</w:t>
      </w:r>
    </w:p>
    <w:p w:rsidR="00A92B77" w:rsidRPr="00895638" w:rsidRDefault="00A92B77" w:rsidP="00A92B77">
      <w:pPr>
        <w:pStyle w:val="ListBullet"/>
      </w:pPr>
      <w:r w:rsidRPr="00895638">
        <w:t>There were no nonclinical concerns from the limited combination repeat-dose toxicity studies submitted, and no major concerns based on the toxicological profiles of the individual agents.</w:t>
      </w:r>
    </w:p>
    <w:p w:rsidR="00A92B77" w:rsidRPr="00895638" w:rsidRDefault="00A92B77" w:rsidP="00A92B77">
      <w:pPr>
        <w:pStyle w:val="ListBullet"/>
      </w:pPr>
      <w:r w:rsidRPr="00895638">
        <w:t>While a pregnancy category of B1 is appropriate for paritaprevir, ombitasvir and dasabuvir alone it is noted that ritonavir alone has a pregnancy category of B3. The nonclinical data do not support a change for ritonavir to B</w:t>
      </w:r>
      <w:r w:rsidR="00E92DDB" w:rsidRPr="00895638">
        <w:t>1, as requested by the sponsor.</w:t>
      </w:r>
    </w:p>
    <w:p w:rsidR="00A26E99" w:rsidRDefault="00A92B77" w:rsidP="00475C4E">
      <w:pPr>
        <w:pStyle w:val="ListBullet"/>
      </w:pPr>
      <w:r w:rsidRPr="00895638">
        <w:t xml:space="preserve">There are no nonclinical objections to the registration of Viekira </w:t>
      </w:r>
      <w:r w:rsidR="000C3156" w:rsidRPr="00895638">
        <w:t>Pak</w:t>
      </w:r>
      <w:r w:rsidRPr="00895638">
        <w:t xml:space="preserve"> and Viekira </w:t>
      </w:r>
      <w:r w:rsidR="000C3156" w:rsidRPr="00895638">
        <w:t>Pak</w:t>
      </w:r>
      <w:r w:rsidRPr="00895638">
        <w:t>-RBV</w:t>
      </w:r>
      <w:r w:rsidR="00A26E99">
        <w:t>.</w:t>
      </w:r>
    </w:p>
    <w:p w:rsidR="00A92B77" w:rsidRPr="00895638" w:rsidRDefault="00E92DDB" w:rsidP="00475C4E">
      <w:pPr>
        <w:pStyle w:val="ListBullet"/>
      </w:pPr>
      <w:r w:rsidRPr="00895638">
        <w:t>The evaluator also recommended s</w:t>
      </w:r>
      <w:r w:rsidR="00A92B77" w:rsidRPr="00895638">
        <w:t xml:space="preserve">ome changes to the </w:t>
      </w:r>
      <w:r w:rsidRPr="00895638">
        <w:t>PI</w:t>
      </w:r>
      <w:r w:rsidR="0098169C" w:rsidRPr="00895638">
        <w:t xml:space="preserve"> document</w:t>
      </w:r>
      <w:r w:rsidR="00895638" w:rsidRPr="00895638">
        <w:t>s</w:t>
      </w:r>
      <w:r w:rsidR="0098169C" w:rsidRPr="00895638">
        <w:t xml:space="preserve"> </w:t>
      </w:r>
      <w:r w:rsidRPr="00895638">
        <w:t>but details of these are beyond the scope of the AusPAR.</w:t>
      </w:r>
    </w:p>
    <w:p w:rsidR="008E7846" w:rsidRPr="00254787" w:rsidRDefault="008E7846" w:rsidP="008E7846">
      <w:pPr>
        <w:pStyle w:val="Heading2"/>
      </w:pPr>
      <w:bookmarkStart w:id="114" w:name="_Toc196046462"/>
      <w:bookmarkStart w:id="115" w:name="_Toc247691516"/>
      <w:bookmarkStart w:id="116" w:name="_Toc314842500"/>
      <w:bookmarkStart w:id="117" w:name="_Toc480811579"/>
      <w:bookmarkStart w:id="118" w:name="_Toc163441353"/>
      <w:bookmarkStart w:id="119" w:name="_Toc163441348"/>
      <w:r>
        <w:t xml:space="preserve">IV. </w:t>
      </w:r>
      <w:r w:rsidRPr="00254787">
        <w:t>Clinical</w:t>
      </w:r>
      <w:bookmarkEnd w:id="114"/>
      <w:r>
        <w:t xml:space="preserve"> </w:t>
      </w:r>
      <w:r w:rsidR="003A7F6C">
        <w:t>f</w:t>
      </w:r>
      <w:r>
        <w:t>indings</w:t>
      </w:r>
      <w:bookmarkEnd w:id="115"/>
      <w:bookmarkEnd w:id="116"/>
      <w:bookmarkEnd w:id="117"/>
    </w:p>
    <w:p w:rsidR="00C80137" w:rsidRDefault="00C80137" w:rsidP="00D425BB">
      <w:bookmarkStart w:id="12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482916" w:rsidRDefault="00482916" w:rsidP="00482916">
      <w:pPr>
        <w:pStyle w:val="Heading3"/>
      </w:pPr>
      <w:bookmarkStart w:id="121" w:name="_Toc480811580"/>
      <w:r>
        <w:t>Introduction</w:t>
      </w:r>
      <w:bookmarkEnd w:id="121"/>
    </w:p>
    <w:p w:rsidR="00605AD4" w:rsidRDefault="00605AD4" w:rsidP="00482916">
      <w:pPr>
        <w:pStyle w:val="Heading4"/>
      </w:pPr>
      <w:bookmarkStart w:id="122" w:name="_Toc196046464"/>
      <w:bookmarkStart w:id="123" w:name="_Toc247691518"/>
      <w:bookmarkStart w:id="124" w:name="_Toc314842502"/>
      <w:bookmarkEnd w:id="120"/>
      <w:r w:rsidRPr="00605AD4">
        <w:t xml:space="preserve">Clinical </w:t>
      </w:r>
      <w:r w:rsidR="00EF59DC">
        <w:t>r</w:t>
      </w:r>
      <w:r w:rsidRPr="00605AD4">
        <w:t>ationale</w:t>
      </w:r>
    </w:p>
    <w:p w:rsidR="00482916" w:rsidRPr="00C12487" w:rsidRDefault="00482916" w:rsidP="00482916">
      <w:r w:rsidRPr="00C12487">
        <w:t xml:space="preserve">It is estimated that 130 to 210 million people worldwide are infected with HCV with 2 to 4 million new infections annually. Approximately 300,000 Australians were infected with HCV in 2011. Acute infections become chronic in 70% to 90% of cases and this leads commonly to cirrhosis, chronic liver failure, hepatocellular carcinoma, liver transplantation and death. After 20 years of infection, </w:t>
      </w:r>
      <w:r>
        <w:t xml:space="preserve">20 to </w:t>
      </w:r>
      <w:r w:rsidRPr="00C12487">
        <w:t xml:space="preserve">30% of patients will have progressed to cirrhosis, </w:t>
      </w:r>
      <w:r>
        <w:t xml:space="preserve">5 to </w:t>
      </w:r>
      <w:r w:rsidRPr="00C12487">
        <w:t xml:space="preserve">10% will have developed </w:t>
      </w:r>
      <w:r>
        <w:t>end stage</w:t>
      </w:r>
      <w:r w:rsidRPr="00C12487">
        <w:t xml:space="preserve"> liver disease, and </w:t>
      </w:r>
      <w:r>
        <w:t xml:space="preserve">4 to </w:t>
      </w:r>
      <w:r w:rsidRPr="00C12487">
        <w:t xml:space="preserve">8% will have died of </w:t>
      </w:r>
      <w:r>
        <w:t>liver related</w:t>
      </w:r>
      <w:r w:rsidR="009F6EED">
        <w:t xml:space="preserve"> causes. HCV has six genotypes</w:t>
      </w:r>
      <w:r w:rsidRPr="00C12487">
        <w:t xml:space="preserve"> and multiple subtypes with genotypes 1 to 3 distributed worldwide. Genotypes 1a and 1b account for 60% of global HCV infections. In Australia, the most common genotypes are 1a and 1b (54% prevalence) and 3a (37% prevalence).</w:t>
      </w:r>
      <w:r w:rsidR="005A058D">
        <w:t xml:space="preserve"> G</w:t>
      </w:r>
      <w:r w:rsidR="009F6EED">
        <w:t>enotype</w:t>
      </w:r>
      <w:r w:rsidRPr="00C12487">
        <w:t xml:space="preserve">4 is most prevalent in North Africa and the Middle East but it is spreading to Europe and the rest of the world through immigration and IV drug use. Until recently, the standard of care treatment for chronic HCV infection for all genotypes was the combination of pegylated </w:t>
      </w:r>
      <w:r w:rsidRPr="005A058D">
        <w:t>interferon (pegIFN) and ribavirin (RBV) for</w:t>
      </w:r>
      <w:r>
        <w:t xml:space="preserve"> 48 </w:t>
      </w:r>
      <w:r w:rsidRPr="00C12487">
        <w:t xml:space="preserve">weeks. The response to this treatment varies according to HCV genotype and host </w:t>
      </w:r>
      <w:r w:rsidR="00E458BE">
        <w:t>interleukin 28B</w:t>
      </w:r>
      <w:r w:rsidR="00E458BE" w:rsidRPr="00C12487">
        <w:t xml:space="preserve"> </w:t>
      </w:r>
      <w:r w:rsidR="00E458BE">
        <w:t>(</w:t>
      </w:r>
      <w:r w:rsidRPr="00C12487">
        <w:t>IL28B</w:t>
      </w:r>
      <w:r w:rsidR="00E458BE">
        <w:t>)</w:t>
      </w:r>
      <w:r w:rsidRPr="00C12487">
        <w:t xml:space="preserve"> genotypic subtypes (CC, CT, </w:t>
      </w:r>
      <w:proofErr w:type="gramStart"/>
      <w:r w:rsidRPr="00C12487">
        <w:t>TT</w:t>
      </w:r>
      <w:proofErr w:type="gramEnd"/>
      <w:r w:rsidRPr="00C12487">
        <w:t>). Patients with the IL28</w:t>
      </w:r>
      <w:r w:rsidR="00E458BE">
        <w:t>B</w:t>
      </w:r>
      <w:r w:rsidRPr="00C12487">
        <w:t xml:space="preserve"> CC genotype are able to mount stronger immune responses to the HCV virus and spontaneous viral clearance rates and responsiveness to antiviral therapy are enhanced. In patients with</w:t>
      </w:r>
      <w:r w:rsidR="009F6EED">
        <w:t xml:space="preserve"> genotype</w:t>
      </w:r>
      <w:r w:rsidRPr="00C12487">
        <w:t xml:space="preserve">1 infection, sustained viral response rates </w:t>
      </w:r>
      <w:r w:rsidRPr="00985396">
        <w:t>(SVR</w:t>
      </w:r>
      <w:r w:rsidRPr="00C12487">
        <w:t xml:space="preserve">) following </w:t>
      </w:r>
      <w:r>
        <w:t>pegIFN</w:t>
      </w:r>
      <w:r w:rsidRPr="00C12487">
        <w:t xml:space="preserve">/RBV therapy are only 45% in </w:t>
      </w:r>
      <w:r>
        <w:t>treatment naïve</w:t>
      </w:r>
      <w:r w:rsidRPr="00C12487">
        <w:t xml:space="preserve"> patients and significantly lower in prior relapsers and non-responders. Moreover, the side effect profile of </w:t>
      </w:r>
      <w:r>
        <w:t>pegIFN</w:t>
      </w:r>
      <w:r w:rsidRPr="00C12487">
        <w:t>/RBV is unfavourable with a high incidence of lethargy, f</w:t>
      </w:r>
      <w:r>
        <w:t>atigue, depression and anaemia.</w:t>
      </w:r>
    </w:p>
    <w:p w:rsidR="00482916" w:rsidRDefault="00482916" w:rsidP="00482916">
      <w:r w:rsidRPr="00C12487">
        <w:lastRenderedPageBreak/>
        <w:t xml:space="preserve">The NS3/4A protease inhibitors boceprevir, telaprevir, sofosbuvir and simeprevir used singly in combination with </w:t>
      </w:r>
      <w:r>
        <w:t>pegIFN</w:t>
      </w:r>
      <w:r w:rsidRPr="00C12487">
        <w:t xml:space="preserve">/RBV have improved SVR rates in </w:t>
      </w:r>
      <w:r>
        <w:t>treatment naïve</w:t>
      </w:r>
      <w:r w:rsidRPr="00C12487">
        <w:t xml:space="preserve"> and </w:t>
      </w:r>
      <w:r>
        <w:t>treatment experienced</w:t>
      </w:r>
      <w:r w:rsidRPr="00C12487">
        <w:t xml:space="preserve"> patients, and shortened treatment duration to 24 weeks in many </w:t>
      </w:r>
      <w:r w:rsidRPr="008D1B95">
        <w:t>patients (</w:t>
      </w:r>
      <w:r w:rsidR="008D1B95" w:rsidRPr="008D1B95">
        <w:t>Table 15</w:t>
      </w:r>
      <w:r w:rsidRPr="008D1B95">
        <w:t>).</w:t>
      </w:r>
      <w:r w:rsidRPr="004741F8">
        <w:t xml:space="preserve"> However, these combinations are associated with increased rates and severity of </w:t>
      </w:r>
      <w:r w:rsidR="008363B5">
        <w:t>adverse events (</w:t>
      </w:r>
      <w:r w:rsidRPr="004741F8">
        <w:t>AEs</w:t>
      </w:r>
      <w:r w:rsidR="008363B5">
        <w:t>)</w:t>
      </w:r>
      <w:r w:rsidRPr="004741F8">
        <w:t>, including</w:t>
      </w:r>
      <w:r w:rsidRPr="00C12487">
        <w:t xml:space="preserve"> rash in addition to the common side effects of </w:t>
      </w:r>
      <w:r>
        <w:t>pegIFN</w:t>
      </w:r>
      <w:r w:rsidRPr="00C12487">
        <w:t xml:space="preserve">/RBV. Simeprevir is well tolerated and has the advantage of once daily dosing. However, telaprevir and boceprevir both require </w:t>
      </w:r>
      <w:r w:rsidR="00814EA9">
        <w:t xml:space="preserve">three times a </w:t>
      </w:r>
      <w:r w:rsidR="00814EA9" w:rsidRPr="00814EA9">
        <w:t xml:space="preserve">day (TID) </w:t>
      </w:r>
      <w:r w:rsidRPr="00814EA9">
        <w:t>therapy</w:t>
      </w:r>
      <w:r w:rsidRPr="00C12487">
        <w:t>.</w:t>
      </w:r>
    </w:p>
    <w:p w:rsidR="00482916" w:rsidRDefault="00482916" w:rsidP="00FF289D">
      <w:pPr>
        <w:pStyle w:val="Tabletitle0"/>
      </w:pPr>
      <w:r>
        <w:t>Table 1</w:t>
      </w:r>
      <w:r w:rsidR="008D1B95">
        <w:t>5</w:t>
      </w:r>
      <w:r>
        <w:t>:</w:t>
      </w:r>
      <w:r w:rsidRPr="004741F8">
        <w:t xml:space="preserve"> Sustained</w:t>
      </w:r>
      <w:r>
        <w:t xml:space="preserve"> virologic response rates 24 weeks after stopping treatment in subjects with HCV</w:t>
      </w:r>
      <w:r w:rsidR="009F6EED">
        <w:t xml:space="preserve"> genotype</w:t>
      </w:r>
      <w:r>
        <w:t>1</w:t>
      </w:r>
    </w:p>
    <w:p w:rsidR="00482916" w:rsidRDefault="00482916" w:rsidP="003E6B33">
      <w:r>
        <w:rPr>
          <w:noProof/>
          <w:lang w:eastAsia="en-AU"/>
        </w:rPr>
        <w:drawing>
          <wp:inline distT="0" distB="0" distL="0" distR="0" wp14:anchorId="13869C94" wp14:editId="2E3195EF">
            <wp:extent cx="5400040" cy="4000991"/>
            <wp:effectExtent l="0" t="0" r="0" b="0"/>
            <wp:docPr id="14" name="Picture 14" descr="Table 15: Sustained virologic response rates 24 weeks after stopping treatment in subjects with HCV 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000991"/>
                    </a:xfrm>
                    <a:prstGeom prst="rect">
                      <a:avLst/>
                    </a:prstGeom>
                  </pic:spPr>
                </pic:pic>
              </a:graphicData>
            </a:graphic>
          </wp:inline>
        </w:drawing>
      </w:r>
    </w:p>
    <w:p w:rsidR="00482916" w:rsidRPr="00482916" w:rsidRDefault="00482916" w:rsidP="00482916">
      <w:r w:rsidRPr="00C12487">
        <w:t xml:space="preserve">The </w:t>
      </w:r>
      <w:r w:rsidRPr="00AC6003">
        <w:t xml:space="preserve">three </w:t>
      </w:r>
      <w:r w:rsidR="000C68D5">
        <w:t>DAAs</w:t>
      </w:r>
      <w:r w:rsidRPr="00AC6003">
        <w:t xml:space="preserve"> in</w:t>
      </w:r>
      <w:r w:rsidRPr="00C12487">
        <w:t xml:space="preserve"> </w:t>
      </w:r>
      <w:r>
        <w:t xml:space="preserve">Viekira Pak </w:t>
      </w:r>
      <w:r w:rsidRPr="00C12487">
        <w:t>have different mechanisms of action, they all have potent activity against HCV genotype 1, and they have non-overlapping viral resistance profiles. They also appear to have non-overlapping toxicity with RBV. Current EMA guidelines are based on 2</w:t>
      </w:r>
      <w:r>
        <w:t xml:space="preserve">4 to </w:t>
      </w:r>
      <w:r w:rsidRPr="00C12487">
        <w:t xml:space="preserve">48 weeks of therapy with one or more DAAs in combination with </w:t>
      </w:r>
      <w:r>
        <w:t>pegIFN</w:t>
      </w:r>
      <w:r w:rsidRPr="00C12487">
        <w:t xml:space="preserve">/RBV. However, the guidelines recognise the rapidly developing therapeutic area and the potential value of combination DAA therapy. </w:t>
      </w:r>
      <w:r w:rsidR="00F573D0" w:rsidRPr="00A92B77">
        <w:t>Paritaprevir</w:t>
      </w:r>
      <w:r w:rsidR="003A33A4">
        <w:t>, ombitasvir and dasabuvir</w:t>
      </w:r>
      <w:r w:rsidRPr="00C12487">
        <w:t xml:space="preserve"> are potent DAAs but resistance develops to each agent when used as monotherapy.</w:t>
      </w:r>
      <w:r>
        <w:t xml:space="preserve"> </w:t>
      </w:r>
      <w:r w:rsidRPr="00C12487">
        <w:t xml:space="preserve">It is proposed that the combination of the three </w:t>
      </w:r>
      <w:r>
        <w:t>direct acting</w:t>
      </w:r>
      <w:r w:rsidRPr="00C12487">
        <w:t xml:space="preserve"> antiviral agents (</w:t>
      </w:r>
      <w:r w:rsidR="00237CBE">
        <w:t>3DAA</w:t>
      </w:r>
      <w:r w:rsidRPr="00C12487">
        <w:t xml:space="preserve">) used in </w:t>
      </w:r>
      <w:r>
        <w:t xml:space="preserve">Viekira Pak </w:t>
      </w:r>
      <w:r w:rsidRPr="00C12487">
        <w:t xml:space="preserve">will obviate the need for concomitant </w:t>
      </w:r>
      <w:r>
        <w:t>pegIFN</w:t>
      </w:r>
      <w:r w:rsidRPr="00C12487">
        <w:t xml:space="preserve">/RBV therapy, increase SVR rates compared with </w:t>
      </w:r>
      <w:r>
        <w:t xml:space="preserve">approximately </w:t>
      </w:r>
      <w:r w:rsidRPr="00C12487">
        <w:t>75%</w:t>
      </w:r>
      <w:r>
        <w:t xml:space="preserve"> </w:t>
      </w:r>
      <w:r w:rsidRPr="00C12487">
        <w:t xml:space="preserve">for 1-DAA + </w:t>
      </w:r>
      <w:r>
        <w:t>pegIFN</w:t>
      </w:r>
      <w:r w:rsidRPr="00C12487">
        <w:t xml:space="preserve">/RBV combination therapy in </w:t>
      </w:r>
      <w:r>
        <w:t>treatment naïve</w:t>
      </w:r>
      <w:r w:rsidRPr="00C12487">
        <w:t xml:space="preserve"> patients, shorten treatment duration from 24 to 12 weeks, and improve safety and tolerability.</w:t>
      </w:r>
    </w:p>
    <w:p w:rsidR="00605AD4" w:rsidRDefault="00605AD4" w:rsidP="00482916">
      <w:pPr>
        <w:pStyle w:val="Heading4"/>
      </w:pPr>
      <w:r w:rsidRPr="00605AD4">
        <w:t>Contents of the clinical dossier</w:t>
      </w:r>
    </w:p>
    <w:p w:rsidR="00482916" w:rsidRPr="00482916" w:rsidRDefault="00482916" w:rsidP="00482916">
      <w:r w:rsidRPr="00482916">
        <w:t>The submission contained the following clinical information:</w:t>
      </w:r>
    </w:p>
    <w:p w:rsidR="00482916" w:rsidRPr="00482916" w:rsidRDefault="00482916" w:rsidP="00482916">
      <w:pPr>
        <w:pStyle w:val="ListBullet"/>
      </w:pPr>
      <w:r w:rsidRPr="00482916">
        <w:t>Sixty one clinical pharmacology studies, including 59 that provided PK data and 5 that provided pharmacodynamic data.</w:t>
      </w:r>
    </w:p>
    <w:p w:rsidR="00482916" w:rsidRPr="00482916" w:rsidRDefault="00482916" w:rsidP="00482916">
      <w:pPr>
        <w:pStyle w:val="ListBullet"/>
      </w:pPr>
      <w:r w:rsidRPr="00482916">
        <w:lastRenderedPageBreak/>
        <w:t>Two population PK analyses.</w:t>
      </w:r>
    </w:p>
    <w:p w:rsidR="00482916" w:rsidRPr="00482916" w:rsidRDefault="00482916" w:rsidP="00482916">
      <w:pPr>
        <w:pStyle w:val="ListBullet"/>
      </w:pPr>
      <w:r w:rsidRPr="00482916">
        <w:t>Six pivotal efficacy/safety studies: M11-646 (Sapphire-I), M13-098 (Sapphire-II), M13-389 (PEARL-II), M13-961 (PEARL-III), M14-002 (PEARL-IV), M13-099 (TURQUOISE II).</w:t>
      </w:r>
    </w:p>
    <w:p w:rsidR="00482916" w:rsidRPr="00482916" w:rsidRDefault="00482916" w:rsidP="00482916">
      <w:pPr>
        <w:pStyle w:val="ListBullet"/>
      </w:pPr>
      <w:r w:rsidRPr="00482916">
        <w:t>Multiple Phase I and II studies used to justify the selected regimen, dose and treatment duration.</w:t>
      </w:r>
    </w:p>
    <w:p w:rsidR="00482916" w:rsidRPr="00482916" w:rsidRDefault="00482916" w:rsidP="00482916">
      <w:pPr>
        <w:pStyle w:val="ListBullet"/>
      </w:pPr>
      <w:r w:rsidRPr="00482916">
        <w:t xml:space="preserve">Five other efficacy/safety studies: M12-114, M13-386, M12-746, M12-998, M14-103. Also included in the submission is the preliminary report of a long-term follow-up study (M13-102) of all patients who have received </w:t>
      </w:r>
      <w:r w:rsidR="00237CBE">
        <w:t>3DAA</w:t>
      </w:r>
      <w:r w:rsidRPr="00482916">
        <w:t xml:space="preserve"> in a Phase II or III study. This will assess the long-term durability of virologic response and the persistence rates of resistant variants.</w:t>
      </w:r>
    </w:p>
    <w:p w:rsidR="00482916" w:rsidRPr="00482916" w:rsidRDefault="00482916" w:rsidP="00482916">
      <w:pPr>
        <w:pStyle w:val="ListBullet"/>
      </w:pPr>
      <w:r w:rsidRPr="00482916">
        <w:t>Two additional efficacy/safety studies not directly related to the proposed indication: M11</w:t>
      </w:r>
      <w:r w:rsidRPr="00482916">
        <w:noBreakHyphen/>
        <w:t xml:space="preserve">652 in patients with </w:t>
      </w:r>
      <w:r w:rsidR="00AA6FDA">
        <w:t>genotype 1a</w:t>
      </w:r>
      <w:r w:rsidR="00AA6FDA" w:rsidRPr="00482916">
        <w:t xml:space="preserve"> </w:t>
      </w:r>
      <w:r w:rsidRPr="00482916">
        <w:t xml:space="preserve">or </w:t>
      </w:r>
      <w:r w:rsidR="00E458BE">
        <w:t>genotype 1b</w:t>
      </w:r>
      <w:r w:rsidRPr="00482916">
        <w:t xml:space="preserve"> infection given </w:t>
      </w:r>
      <w:r w:rsidR="00237CBE">
        <w:t>3DAA</w:t>
      </w:r>
      <w:r w:rsidRPr="00482916">
        <w:t xml:space="preserve"> +/- RBV for 8, 12 or 24 weeks; and M13-393 in patients with</w:t>
      </w:r>
      <w:r w:rsidR="009F6EED">
        <w:t xml:space="preserve"> genotype</w:t>
      </w:r>
      <w:r w:rsidRPr="00482916">
        <w:t>4 infection treated with a 2DAA combination.</w:t>
      </w:r>
    </w:p>
    <w:p w:rsidR="00482916" w:rsidRPr="00482916" w:rsidRDefault="00482916" w:rsidP="00482916">
      <w:pPr>
        <w:pStyle w:val="ListBullet"/>
      </w:pPr>
      <w:r w:rsidRPr="00482916">
        <w:t>Pooled efficacy and safety analyses, Integrated Summary of Efficacy (ISE), Integrated Summary of Safety (ISS).</w:t>
      </w:r>
    </w:p>
    <w:p w:rsidR="00482916" w:rsidRPr="00482916" w:rsidRDefault="00482916" w:rsidP="00482916">
      <w:r w:rsidRPr="00482916">
        <w:t>The submission also contained a Clinical Overview, Summary of Clinical Efficacy, Summary of Clinical Safety and literature references.</w:t>
      </w:r>
    </w:p>
    <w:p w:rsidR="00605AD4" w:rsidRDefault="00605AD4" w:rsidP="00482916">
      <w:pPr>
        <w:pStyle w:val="Heading4"/>
      </w:pPr>
      <w:r w:rsidRPr="00605AD4">
        <w:t>Paediatric data</w:t>
      </w:r>
    </w:p>
    <w:p w:rsidR="00482916" w:rsidRPr="00482916" w:rsidRDefault="00482916" w:rsidP="00482916">
      <w:r w:rsidRPr="00C12487">
        <w:t>The submission d</w:t>
      </w:r>
      <w:r>
        <w:t>id not include paediatric data.</w:t>
      </w:r>
    </w:p>
    <w:p w:rsidR="00605AD4" w:rsidRDefault="00605AD4" w:rsidP="00482916">
      <w:pPr>
        <w:pStyle w:val="Heading4"/>
      </w:pPr>
      <w:r w:rsidRPr="00605AD4">
        <w:t>Good clinical practice</w:t>
      </w:r>
    </w:p>
    <w:p w:rsidR="00482916" w:rsidRPr="00482916" w:rsidRDefault="00482916" w:rsidP="00482916">
      <w:bookmarkStart w:id="125" w:name="_Toc241374282"/>
      <w:r w:rsidRPr="00C12487">
        <w:t xml:space="preserve">All studies were conducted according to the principles of </w:t>
      </w:r>
      <w:r w:rsidR="00AA6FDA">
        <w:t>good clinical practice</w:t>
      </w:r>
      <w:r w:rsidR="00AA6FDA" w:rsidRPr="00C12487">
        <w:t xml:space="preserve"> </w:t>
      </w:r>
      <w:r w:rsidR="00AA6FDA">
        <w:t>(</w:t>
      </w:r>
      <w:r w:rsidRPr="00C12487">
        <w:t>GCP</w:t>
      </w:r>
      <w:r w:rsidR="00AA6FDA">
        <w:t>)</w:t>
      </w:r>
      <w:r w:rsidRPr="00C12487">
        <w:t>.</w:t>
      </w:r>
      <w:bookmarkEnd w:id="125"/>
    </w:p>
    <w:p w:rsidR="008E7846" w:rsidRDefault="008E7846" w:rsidP="00605AD4">
      <w:pPr>
        <w:pStyle w:val="Heading3"/>
      </w:pPr>
      <w:bookmarkStart w:id="126" w:name="_Toc480811581"/>
      <w:r w:rsidRPr="00254787">
        <w:t>Pharmacokinetics</w:t>
      </w:r>
      <w:bookmarkEnd w:id="118"/>
      <w:bookmarkEnd w:id="122"/>
      <w:bookmarkEnd w:id="123"/>
      <w:bookmarkEnd w:id="124"/>
      <w:bookmarkEnd w:id="126"/>
    </w:p>
    <w:p w:rsidR="003E036A" w:rsidRPr="003E036A" w:rsidRDefault="003E036A" w:rsidP="003E036A">
      <w:pPr>
        <w:pStyle w:val="Heading4"/>
      </w:pPr>
      <w:r>
        <w:t>Studies providing pharmacokinetic data</w:t>
      </w:r>
    </w:p>
    <w:p w:rsidR="00482916" w:rsidRPr="00482916" w:rsidRDefault="00482916" w:rsidP="00482916">
      <w:r w:rsidRPr="00482916">
        <w:t>Summaries of the P</w:t>
      </w:r>
      <w:r w:rsidR="008D1B95">
        <w:t>K studies were provided. Table 16</w:t>
      </w:r>
      <w:r w:rsidRPr="00482916">
        <w:t xml:space="preserve"> below shows the studies relating to each PK topic.</w:t>
      </w:r>
    </w:p>
    <w:p w:rsidR="00482916" w:rsidRPr="00482916" w:rsidRDefault="00482916" w:rsidP="00482916">
      <w:pPr>
        <w:pStyle w:val="Tabletitle0"/>
      </w:pPr>
      <w:bookmarkStart w:id="127" w:name="_Ref272426277"/>
      <w:bookmarkStart w:id="128" w:name="_Toc290888740"/>
      <w:bookmarkStart w:id="129" w:name="_Toc416356572"/>
      <w:r w:rsidRPr="00482916">
        <w:t xml:space="preserve">Table </w:t>
      </w:r>
      <w:bookmarkEnd w:id="127"/>
      <w:r w:rsidR="008D1B95">
        <w:t>16</w:t>
      </w:r>
      <w:r w:rsidRPr="00482916">
        <w:t>: Submitted pharmacokinetic studies</w:t>
      </w:r>
      <w:bookmarkEnd w:id="128"/>
      <w:bookmarkEnd w:id="129"/>
    </w:p>
    <w:tbl>
      <w:tblPr>
        <w:tblStyle w:val="TableTGAblue"/>
        <w:tblW w:w="8897" w:type="dxa"/>
        <w:tblLayout w:type="fixed"/>
        <w:tblLook w:val="04A0" w:firstRow="1" w:lastRow="0" w:firstColumn="1" w:lastColumn="0" w:noHBand="0" w:noVBand="1"/>
      </w:tblPr>
      <w:tblGrid>
        <w:gridCol w:w="1384"/>
        <w:gridCol w:w="1843"/>
        <w:gridCol w:w="1417"/>
        <w:gridCol w:w="4253"/>
      </w:tblGrid>
      <w:tr w:rsidR="00482916" w:rsidRPr="003E6B33" w:rsidTr="00482916">
        <w:trPr>
          <w:cnfStyle w:val="100000000000" w:firstRow="1" w:lastRow="0" w:firstColumn="0" w:lastColumn="0" w:oddVBand="0" w:evenVBand="0" w:oddHBand="0" w:evenHBand="0" w:firstRowFirstColumn="0" w:firstRowLastColumn="0" w:lastRowFirstColumn="0" w:lastRowLastColumn="0"/>
        </w:trPr>
        <w:tc>
          <w:tcPr>
            <w:tcW w:w="1384" w:type="dxa"/>
          </w:tcPr>
          <w:p w:rsidR="00482916" w:rsidRPr="003E6B33" w:rsidRDefault="00482916" w:rsidP="003E6B33">
            <w:pPr>
              <w:rPr>
                <w:sz w:val="20"/>
                <w:szCs w:val="20"/>
              </w:rPr>
            </w:pPr>
            <w:r w:rsidRPr="003E6B33">
              <w:rPr>
                <w:sz w:val="20"/>
                <w:szCs w:val="20"/>
              </w:rPr>
              <w:t>PK topic</w:t>
            </w:r>
          </w:p>
        </w:tc>
        <w:tc>
          <w:tcPr>
            <w:tcW w:w="1843" w:type="dxa"/>
          </w:tcPr>
          <w:p w:rsidR="00482916" w:rsidRPr="003E6B33" w:rsidRDefault="00482916" w:rsidP="003E6B33">
            <w:pPr>
              <w:rPr>
                <w:sz w:val="20"/>
                <w:szCs w:val="20"/>
              </w:rPr>
            </w:pPr>
            <w:r w:rsidRPr="003E6B33">
              <w:rPr>
                <w:sz w:val="20"/>
                <w:szCs w:val="20"/>
              </w:rPr>
              <w:t>Subtopic</w:t>
            </w:r>
          </w:p>
        </w:tc>
        <w:tc>
          <w:tcPr>
            <w:tcW w:w="1417" w:type="dxa"/>
          </w:tcPr>
          <w:p w:rsidR="00482916" w:rsidRPr="003E6B33" w:rsidRDefault="00482916" w:rsidP="003E6B33">
            <w:pPr>
              <w:rPr>
                <w:sz w:val="20"/>
                <w:szCs w:val="20"/>
              </w:rPr>
            </w:pPr>
            <w:r w:rsidRPr="003E6B33">
              <w:rPr>
                <w:sz w:val="20"/>
                <w:szCs w:val="20"/>
              </w:rPr>
              <w:t>Study ID</w:t>
            </w:r>
          </w:p>
        </w:tc>
        <w:tc>
          <w:tcPr>
            <w:tcW w:w="4253" w:type="dxa"/>
          </w:tcPr>
          <w:p w:rsidR="00482916" w:rsidRPr="003E6B33" w:rsidRDefault="00482916" w:rsidP="003E6B33">
            <w:pPr>
              <w:rPr>
                <w:sz w:val="20"/>
                <w:szCs w:val="20"/>
              </w:rPr>
            </w:pPr>
            <w:r w:rsidRPr="003E6B33">
              <w:rPr>
                <w:sz w:val="20"/>
                <w:szCs w:val="20"/>
              </w:rPr>
              <w:t>*</w:t>
            </w:r>
          </w:p>
        </w:tc>
      </w:tr>
      <w:tr w:rsidR="00482916" w:rsidRPr="003E6B33" w:rsidTr="00482916">
        <w:tc>
          <w:tcPr>
            <w:tcW w:w="1384" w:type="dxa"/>
            <w:vMerge w:val="restart"/>
          </w:tcPr>
          <w:p w:rsidR="00482916" w:rsidRPr="003E6B33" w:rsidRDefault="00482916" w:rsidP="003E6B33">
            <w:pPr>
              <w:rPr>
                <w:sz w:val="20"/>
                <w:szCs w:val="20"/>
              </w:rPr>
            </w:pPr>
            <w:r w:rsidRPr="003E6B33">
              <w:rPr>
                <w:sz w:val="20"/>
                <w:szCs w:val="20"/>
              </w:rPr>
              <w:t>PK in healthy adults</w:t>
            </w:r>
          </w:p>
        </w:tc>
        <w:tc>
          <w:tcPr>
            <w:tcW w:w="1843" w:type="dxa"/>
            <w:vMerge w:val="restart"/>
          </w:tcPr>
          <w:p w:rsidR="00482916" w:rsidRPr="003E6B33" w:rsidRDefault="00482916" w:rsidP="003E6B33">
            <w:pPr>
              <w:rPr>
                <w:sz w:val="20"/>
                <w:szCs w:val="20"/>
              </w:rPr>
            </w:pPr>
            <w:r w:rsidRPr="003E6B33">
              <w:rPr>
                <w:sz w:val="20"/>
                <w:szCs w:val="20"/>
              </w:rPr>
              <w:t>Absorption</w:t>
            </w:r>
          </w:p>
        </w:tc>
        <w:tc>
          <w:tcPr>
            <w:tcW w:w="1417" w:type="dxa"/>
          </w:tcPr>
          <w:p w:rsidR="00482916" w:rsidRPr="003E6B33" w:rsidRDefault="00482916" w:rsidP="003E6B33">
            <w:pPr>
              <w:rPr>
                <w:sz w:val="20"/>
                <w:szCs w:val="20"/>
              </w:rPr>
            </w:pPr>
            <w:r w:rsidRPr="003E6B33">
              <w:rPr>
                <w:sz w:val="20"/>
                <w:szCs w:val="20"/>
              </w:rPr>
              <w:t>M11-389</w:t>
            </w:r>
          </w:p>
        </w:tc>
        <w:tc>
          <w:tcPr>
            <w:tcW w:w="4253" w:type="dxa"/>
          </w:tcPr>
          <w:p w:rsidR="00482916" w:rsidRPr="003E6B33" w:rsidRDefault="00482916" w:rsidP="003E6B33">
            <w:pPr>
              <w:rPr>
                <w:sz w:val="20"/>
                <w:szCs w:val="20"/>
              </w:rPr>
            </w:pPr>
            <w:r w:rsidRPr="003E6B33">
              <w:rPr>
                <w:sz w:val="20"/>
                <w:szCs w:val="20"/>
              </w:rPr>
              <w:t xml:space="preserve">Effect of food on the BA of </w:t>
            </w:r>
            <w:r w:rsidR="00F573D0" w:rsidRPr="003E6B33">
              <w:rPr>
                <w:sz w:val="20"/>
                <w:szCs w:val="20"/>
              </w:rPr>
              <w:t>paritaprevir</w:t>
            </w:r>
            <w:r w:rsidR="00630EF4" w:rsidRPr="003E6B33">
              <w:rPr>
                <w:sz w:val="20"/>
                <w:szCs w:val="20"/>
              </w:rPr>
              <w:t xml:space="preserve">/ritonavir/ </w:t>
            </w:r>
            <w:r w:rsidR="00590286" w:rsidRPr="003E6B33">
              <w:rPr>
                <w:sz w:val="20"/>
                <w:szCs w:val="20"/>
              </w:rPr>
              <w:t>ombitasvir</w:t>
            </w:r>
            <w:r w:rsidRPr="003E6B33">
              <w:rPr>
                <w:sz w:val="20"/>
                <w:szCs w:val="20"/>
              </w:rPr>
              <w:t xml:space="preserve"> co-formulated tablet</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w:t>
            </w:r>
            <w:r w:rsidR="009E2121" w:rsidRPr="003E6B33">
              <w:rPr>
                <w:sz w:val="20"/>
                <w:szCs w:val="20"/>
              </w:rPr>
              <w:t>4-</w:t>
            </w:r>
            <w:r w:rsidRPr="003E6B33">
              <w:rPr>
                <w:sz w:val="20"/>
                <w:szCs w:val="20"/>
              </w:rPr>
              <w:t>196</w:t>
            </w:r>
          </w:p>
        </w:tc>
        <w:tc>
          <w:tcPr>
            <w:tcW w:w="4253" w:type="dxa"/>
          </w:tcPr>
          <w:p w:rsidR="00482916" w:rsidRPr="003E6B33" w:rsidRDefault="00482916" w:rsidP="003E6B33">
            <w:pPr>
              <w:rPr>
                <w:sz w:val="20"/>
                <w:szCs w:val="20"/>
              </w:rPr>
            </w:pPr>
            <w:r w:rsidRPr="003E6B33">
              <w:rPr>
                <w:sz w:val="20"/>
                <w:szCs w:val="20"/>
              </w:rPr>
              <w:t xml:space="preserve">PKs of </w:t>
            </w:r>
            <w:r w:rsidR="00630EF4" w:rsidRPr="003E6B33">
              <w:rPr>
                <w:sz w:val="20"/>
                <w:szCs w:val="20"/>
              </w:rPr>
              <w:t>dasabuvir</w:t>
            </w:r>
            <w:r w:rsidRPr="003E6B33">
              <w:rPr>
                <w:sz w:val="20"/>
                <w:szCs w:val="20"/>
              </w:rPr>
              <w:t xml:space="preserve"> commercial and clinical Phase III formulations </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 xml:space="preserve">Absolute </w:t>
            </w:r>
            <w:r w:rsidR="000E1719" w:rsidRPr="003E6B33">
              <w:rPr>
                <w:sz w:val="20"/>
                <w:szCs w:val="20"/>
              </w:rPr>
              <w:t>bioavailability (</w:t>
            </w:r>
            <w:r w:rsidRPr="003E6B33">
              <w:rPr>
                <w:sz w:val="20"/>
                <w:szCs w:val="20"/>
              </w:rPr>
              <w:t>BA</w:t>
            </w:r>
            <w:r w:rsidR="000E1719" w:rsidRPr="003E6B33">
              <w:rPr>
                <w:sz w:val="20"/>
                <w:szCs w:val="20"/>
              </w:rPr>
              <w:t>)</w:t>
            </w:r>
          </w:p>
        </w:tc>
        <w:tc>
          <w:tcPr>
            <w:tcW w:w="1417" w:type="dxa"/>
          </w:tcPr>
          <w:p w:rsidR="00482916" w:rsidRPr="003E6B33" w:rsidRDefault="00482916" w:rsidP="003E6B33">
            <w:pPr>
              <w:rPr>
                <w:sz w:val="20"/>
                <w:szCs w:val="20"/>
              </w:rPr>
            </w:pPr>
            <w:r w:rsidRPr="003E6B33">
              <w:rPr>
                <w:sz w:val="20"/>
                <w:szCs w:val="20"/>
              </w:rPr>
              <w:t>M11-030</w:t>
            </w:r>
          </w:p>
        </w:tc>
        <w:tc>
          <w:tcPr>
            <w:tcW w:w="4253" w:type="dxa"/>
          </w:tcPr>
          <w:p w:rsidR="00482916" w:rsidRPr="003E6B33" w:rsidRDefault="00482916" w:rsidP="003E6B33">
            <w:pPr>
              <w:rPr>
                <w:sz w:val="20"/>
                <w:szCs w:val="20"/>
              </w:rPr>
            </w:pPr>
            <w:r w:rsidRPr="003E6B33">
              <w:rPr>
                <w:sz w:val="20"/>
                <w:szCs w:val="20"/>
              </w:rPr>
              <w:t xml:space="preserve">Absolute BA of </w:t>
            </w:r>
            <w:r w:rsidR="00590286" w:rsidRPr="003E6B33">
              <w:rPr>
                <w:sz w:val="20"/>
                <w:szCs w:val="20"/>
              </w:rPr>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BA</w:t>
            </w:r>
          </w:p>
        </w:tc>
        <w:tc>
          <w:tcPr>
            <w:tcW w:w="1417" w:type="dxa"/>
          </w:tcPr>
          <w:p w:rsidR="00482916" w:rsidRPr="003E6B33" w:rsidRDefault="00482916" w:rsidP="003E6B33">
            <w:pPr>
              <w:rPr>
                <w:sz w:val="20"/>
                <w:szCs w:val="20"/>
              </w:rPr>
            </w:pPr>
            <w:r w:rsidRPr="003E6B33">
              <w:rPr>
                <w:sz w:val="20"/>
                <w:szCs w:val="20"/>
              </w:rPr>
              <w:t>M12-995</w:t>
            </w:r>
          </w:p>
        </w:tc>
        <w:tc>
          <w:tcPr>
            <w:tcW w:w="4253" w:type="dxa"/>
          </w:tcPr>
          <w:p w:rsidR="00482916" w:rsidRPr="003E6B33" w:rsidRDefault="00482916" w:rsidP="003E6B33">
            <w:pPr>
              <w:rPr>
                <w:sz w:val="20"/>
                <w:szCs w:val="20"/>
              </w:rPr>
            </w:pPr>
            <w:r w:rsidRPr="003E6B33">
              <w:rPr>
                <w:sz w:val="20"/>
                <w:szCs w:val="20"/>
              </w:rPr>
              <w:t xml:space="preserve">BA of two test tablet formulations of </w:t>
            </w:r>
            <w:r w:rsidR="00590286" w:rsidRPr="003E6B33">
              <w:rPr>
                <w:sz w:val="20"/>
                <w:szCs w:val="20"/>
              </w:rPr>
              <w:lastRenderedPageBreak/>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M10-749</w:t>
            </w:r>
          </w:p>
        </w:tc>
        <w:tc>
          <w:tcPr>
            <w:tcW w:w="4253" w:type="dxa"/>
          </w:tcPr>
          <w:p w:rsidR="00482916" w:rsidRPr="003E6B33" w:rsidRDefault="00482916" w:rsidP="003E6B33">
            <w:pPr>
              <w:rPr>
                <w:sz w:val="20"/>
                <w:szCs w:val="20"/>
              </w:rPr>
            </w:pPr>
            <w:r w:rsidRPr="003E6B33">
              <w:rPr>
                <w:sz w:val="20"/>
                <w:szCs w:val="20"/>
              </w:rPr>
              <w:t xml:space="preserve">Single-ascending dose of </w:t>
            </w:r>
            <w:r w:rsidR="00F573D0" w:rsidRPr="003E6B33">
              <w:rPr>
                <w:sz w:val="20"/>
                <w:szCs w:val="20"/>
              </w:rPr>
              <w:t>paritaprevir</w:t>
            </w:r>
            <w:r w:rsidRPr="003E6B33">
              <w:rPr>
                <w:sz w:val="20"/>
                <w:szCs w:val="20"/>
              </w:rPr>
              <w:t xml:space="preserve"> alone and interaction with ritonavir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M10-797</w:t>
            </w:r>
          </w:p>
        </w:tc>
        <w:tc>
          <w:tcPr>
            <w:tcW w:w="4253" w:type="dxa"/>
          </w:tcPr>
          <w:p w:rsidR="00482916" w:rsidRPr="003E6B33" w:rsidRDefault="00482916" w:rsidP="003E6B33">
            <w:pPr>
              <w:rPr>
                <w:sz w:val="20"/>
                <w:szCs w:val="20"/>
              </w:rPr>
            </w:pPr>
            <w:r w:rsidRPr="003E6B33">
              <w:rPr>
                <w:sz w:val="20"/>
                <w:szCs w:val="20"/>
              </w:rPr>
              <w:t xml:space="preserve">BA of SDD and </w:t>
            </w:r>
            <w:r w:rsidR="00E458BE" w:rsidRPr="003E6B33">
              <w:rPr>
                <w:sz w:val="20"/>
                <w:szCs w:val="20"/>
              </w:rPr>
              <w:t>hard gelatin capsule (</w:t>
            </w:r>
            <w:r w:rsidRPr="003E6B33">
              <w:rPr>
                <w:sz w:val="20"/>
                <w:szCs w:val="20"/>
              </w:rPr>
              <w:t>HGC</w:t>
            </w:r>
            <w:r w:rsidR="00E458BE" w:rsidRPr="003E6B33">
              <w:rPr>
                <w:sz w:val="20"/>
                <w:szCs w:val="20"/>
              </w:rPr>
              <w:t>)</w:t>
            </w:r>
            <w:r w:rsidRPr="003E6B33">
              <w:rPr>
                <w:sz w:val="20"/>
                <w:szCs w:val="20"/>
              </w:rPr>
              <w:t xml:space="preserve"> formulations of </w:t>
            </w:r>
            <w:r w:rsidR="00F573D0" w:rsidRPr="003E6B33">
              <w:rPr>
                <w:sz w:val="20"/>
                <w:szCs w:val="20"/>
              </w:rPr>
              <w:t>paritaprevir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M11-388</w:t>
            </w:r>
          </w:p>
        </w:tc>
        <w:tc>
          <w:tcPr>
            <w:tcW w:w="4253" w:type="dxa"/>
          </w:tcPr>
          <w:p w:rsidR="00482916" w:rsidRPr="003E6B33" w:rsidRDefault="00482916" w:rsidP="003E6B33">
            <w:pPr>
              <w:rPr>
                <w:sz w:val="20"/>
                <w:szCs w:val="20"/>
              </w:rPr>
            </w:pPr>
            <w:r w:rsidRPr="003E6B33">
              <w:rPr>
                <w:sz w:val="20"/>
                <w:szCs w:val="20"/>
              </w:rPr>
              <w:t xml:space="preserve">BE between test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tablet co-formulation and free combination</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M12-683</w:t>
            </w:r>
          </w:p>
        </w:tc>
        <w:tc>
          <w:tcPr>
            <w:tcW w:w="4253" w:type="dxa"/>
          </w:tcPr>
          <w:p w:rsidR="00482916" w:rsidRPr="003E6B33" w:rsidRDefault="00482916" w:rsidP="003E6B33">
            <w:pPr>
              <w:rPr>
                <w:sz w:val="20"/>
                <w:szCs w:val="20"/>
              </w:rPr>
            </w:pPr>
            <w:r w:rsidRPr="003E6B33">
              <w:rPr>
                <w:sz w:val="20"/>
                <w:szCs w:val="20"/>
              </w:rPr>
              <w:t xml:space="preserve">BA of different dosage strengths of </w:t>
            </w:r>
            <w:r w:rsidR="00F573D0" w:rsidRPr="003E6B33">
              <w:rPr>
                <w:sz w:val="20"/>
                <w:szCs w:val="20"/>
              </w:rPr>
              <w:t>paritaprevir</w:t>
            </w:r>
            <w:r w:rsidRPr="003E6B33">
              <w:rPr>
                <w:sz w:val="20"/>
                <w:szCs w:val="20"/>
              </w:rPr>
              <w:t xml:space="preserve"> and ritonavir co-formulated </w:t>
            </w:r>
            <w:r w:rsidR="000C3156" w:rsidRPr="003E6B33">
              <w:rPr>
                <w:sz w:val="20"/>
                <w:szCs w:val="20"/>
              </w:rPr>
              <w:t>compared with</w:t>
            </w:r>
            <w:r w:rsidRPr="003E6B33">
              <w:rPr>
                <w:sz w:val="20"/>
                <w:szCs w:val="20"/>
              </w:rPr>
              <w:t xml:space="preserve"> free combination</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M12-115</w:t>
            </w:r>
          </w:p>
        </w:tc>
        <w:tc>
          <w:tcPr>
            <w:tcW w:w="4253" w:type="dxa"/>
          </w:tcPr>
          <w:p w:rsidR="00482916" w:rsidRPr="003E6B33" w:rsidRDefault="00482916" w:rsidP="003E6B33">
            <w:pPr>
              <w:rPr>
                <w:sz w:val="20"/>
                <w:szCs w:val="20"/>
              </w:rPr>
            </w:pPr>
            <w:r w:rsidRPr="003E6B33">
              <w:rPr>
                <w:sz w:val="20"/>
                <w:szCs w:val="20"/>
              </w:rPr>
              <w:t xml:space="preserve">BA of HME and SDD formulations of </w:t>
            </w:r>
            <w:r w:rsidR="00590286" w:rsidRPr="003E6B33">
              <w:rPr>
                <w:sz w:val="20"/>
                <w:szCs w:val="20"/>
              </w:rPr>
              <w:t>ombitasvir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M12-647</w:t>
            </w:r>
          </w:p>
        </w:tc>
        <w:tc>
          <w:tcPr>
            <w:tcW w:w="4253" w:type="dxa"/>
          </w:tcPr>
          <w:p w:rsidR="00482916" w:rsidRPr="003E6B33" w:rsidRDefault="00482916" w:rsidP="003E6B33">
            <w:pPr>
              <w:rPr>
                <w:sz w:val="20"/>
                <w:szCs w:val="20"/>
              </w:rPr>
            </w:pPr>
            <w:r w:rsidRPr="003E6B33">
              <w:rPr>
                <w:sz w:val="20"/>
                <w:szCs w:val="20"/>
              </w:rPr>
              <w:t xml:space="preserve">Comparison of coated and uncoated </w:t>
            </w:r>
            <w:r w:rsidR="00590286" w:rsidRPr="003E6B33">
              <w:rPr>
                <w:sz w:val="20"/>
                <w:szCs w:val="20"/>
              </w:rPr>
              <w:t>ombitasvir</w:t>
            </w:r>
            <w:r w:rsidRPr="003E6B33">
              <w:rPr>
                <w:sz w:val="20"/>
                <w:szCs w:val="20"/>
              </w:rPr>
              <w:t xml:space="preserve"> HME tablets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M13-391</w:t>
            </w:r>
          </w:p>
        </w:tc>
        <w:tc>
          <w:tcPr>
            <w:tcW w:w="4253" w:type="dxa"/>
          </w:tcPr>
          <w:p w:rsidR="00482916" w:rsidRPr="003E6B33" w:rsidRDefault="00482916" w:rsidP="003E6B33">
            <w:pPr>
              <w:rPr>
                <w:sz w:val="20"/>
                <w:szCs w:val="20"/>
              </w:rPr>
            </w:pPr>
            <w:r w:rsidRPr="003E6B33">
              <w:rPr>
                <w:sz w:val="20"/>
                <w:szCs w:val="20"/>
              </w:rPr>
              <w:t xml:space="preserve">BA of different dosage strengths of </w:t>
            </w:r>
            <w:r w:rsidR="00F573D0" w:rsidRPr="003E6B33">
              <w:rPr>
                <w:sz w:val="20"/>
                <w:szCs w:val="20"/>
              </w:rPr>
              <w:t>paritaprevir</w:t>
            </w:r>
            <w:r w:rsidRPr="003E6B33">
              <w:rPr>
                <w:sz w:val="20"/>
                <w:szCs w:val="20"/>
              </w:rPr>
              <w:t xml:space="preserve">, ritonavir and </w:t>
            </w:r>
            <w:r w:rsidR="00590286" w:rsidRPr="003E6B33">
              <w:rPr>
                <w:sz w:val="20"/>
                <w:szCs w:val="20"/>
              </w:rPr>
              <w:t>ombitasvir</w:t>
            </w:r>
            <w:r w:rsidRPr="003E6B33">
              <w:rPr>
                <w:sz w:val="20"/>
                <w:szCs w:val="20"/>
              </w:rPr>
              <w:t xml:space="preserve"> co-formulated tablets with free combination</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M13-331</w:t>
            </w:r>
          </w:p>
        </w:tc>
        <w:tc>
          <w:tcPr>
            <w:tcW w:w="4253" w:type="dxa"/>
          </w:tcPr>
          <w:p w:rsidR="00482916" w:rsidRPr="003E6B33" w:rsidRDefault="00482916" w:rsidP="003E6B33">
            <w:pPr>
              <w:rPr>
                <w:sz w:val="20"/>
                <w:szCs w:val="20"/>
              </w:rPr>
            </w:pPr>
            <w:r w:rsidRPr="003E6B33">
              <w:rPr>
                <w:sz w:val="20"/>
                <w:szCs w:val="20"/>
              </w:rPr>
              <w:t xml:space="preserve">Comparison of optimised and Phase II tablet formulations of </w:t>
            </w:r>
            <w:r w:rsidR="00590286" w:rsidRPr="003E6B33">
              <w:rPr>
                <w:sz w:val="20"/>
                <w:szCs w:val="20"/>
              </w:rPr>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M13-387</w:t>
            </w:r>
          </w:p>
        </w:tc>
        <w:tc>
          <w:tcPr>
            <w:tcW w:w="4253" w:type="dxa"/>
          </w:tcPr>
          <w:p w:rsidR="00482916" w:rsidRPr="003E6B33" w:rsidRDefault="00482916" w:rsidP="003E6B33">
            <w:pPr>
              <w:rPr>
                <w:sz w:val="20"/>
                <w:szCs w:val="20"/>
              </w:rPr>
            </w:pPr>
            <w:r w:rsidRPr="003E6B33">
              <w:rPr>
                <w:sz w:val="20"/>
                <w:szCs w:val="20"/>
              </w:rPr>
              <w:t>Comparison of two</w:t>
            </w:r>
            <w:r w:rsidR="00E458BE" w:rsidRPr="003E6B33">
              <w:rPr>
                <w:sz w:val="20"/>
                <w:szCs w:val="20"/>
              </w:rPr>
              <w:t xml:space="preserve"> </w:t>
            </w:r>
            <w:r w:rsidRPr="003E6B33">
              <w:rPr>
                <w:sz w:val="20"/>
                <w:szCs w:val="20"/>
              </w:rPr>
              <w:t xml:space="preserve">candidate tablets of </w:t>
            </w:r>
            <w:r w:rsidR="00590286" w:rsidRPr="003E6B33">
              <w:rPr>
                <w:sz w:val="20"/>
                <w:szCs w:val="20"/>
              </w:rPr>
              <w:t>ombitasvir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w:t>
            </w:r>
            <w:r w:rsidR="009E2121" w:rsidRPr="003E6B33">
              <w:rPr>
                <w:sz w:val="20"/>
                <w:szCs w:val="20"/>
              </w:rPr>
              <w:t>4-</w:t>
            </w:r>
            <w:r w:rsidRPr="003E6B33">
              <w:rPr>
                <w:sz w:val="20"/>
                <w:szCs w:val="20"/>
              </w:rPr>
              <w:t>356</w:t>
            </w:r>
          </w:p>
        </w:tc>
        <w:tc>
          <w:tcPr>
            <w:tcW w:w="4253" w:type="dxa"/>
          </w:tcPr>
          <w:p w:rsidR="00482916" w:rsidRPr="003E6B33" w:rsidRDefault="00482916" w:rsidP="003E6B33">
            <w:pPr>
              <w:rPr>
                <w:sz w:val="20"/>
                <w:szCs w:val="20"/>
              </w:rPr>
            </w:pPr>
            <w:r w:rsidRPr="003E6B33">
              <w:rPr>
                <w:sz w:val="20"/>
                <w:szCs w:val="20"/>
              </w:rPr>
              <w:t>BE between commercial formulations of US and Australian ribavirin tablets</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Food Effect</w:t>
            </w:r>
          </w:p>
        </w:tc>
        <w:tc>
          <w:tcPr>
            <w:tcW w:w="1417" w:type="dxa"/>
          </w:tcPr>
          <w:p w:rsidR="00482916" w:rsidRPr="003E6B33" w:rsidRDefault="00482916" w:rsidP="003E6B33">
            <w:pPr>
              <w:rPr>
                <w:sz w:val="20"/>
                <w:szCs w:val="20"/>
              </w:rPr>
            </w:pPr>
            <w:r w:rsidRPr="003E6B33">
              <w:rPr>
                <w:sz w:val="20"/>
                <w:szCs w:val="20"/>
              </w:rPr>
              <w:t>M10-923</w:t>
            </w:r>
          </w:p>
        </w:tc>
        <w:tc>
          <w:tcPr>
            <w:tcW w:w="4253" w:type="dxa"/>
          </w:tcPr>
          <w:p w:rsidR="00482916" w:rsidRPr="003E6B33" w:rsidRDefault="00482916" w:rsidP="003E6B33">
            <w:pPr>
              <w:rPr>
                <w:sz w:val="20"/>
                <w:szCs w:val="20"/>
              </w:rPr>
            </w:pPr>
            <w:r w:rsidRPr="003E6B33">
              <w:rPr>
                <w:sz w:val="20"/>
                <w:szCs w:val="20"/>
              </w:rPr>
              <w:t xml:space="preserve">Effect of food on </w:t>
            </w:r>
            <w:r w:rsidR="00F573D0" w:rsidRPr="003E6B33">
              <w:rPr>
                <w:sz w:val="20"/>
                <w:szCs w:val="20"/>
              </w:rPr>
              <w:t>paritaprevir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M12-116</w:t>
            </w:r>
          </w:p>
        </w:tc>
        <w:tc>
          <w:tcPr>
            <w:tcW w:w="4253" w:type="dxa"/>
          </w:tcPr>
          <w:p w:rsidR="00482916" w:rsidRPr="003E6B33" w:rsidRDefault="00482916" w:rsidP="003E6B33">
            <w:pPr>
              <w:rPr>
                <w:sz w:val="20"/>
                <w:szCs w:val="20"/>
              </w:rPr>
            </w:pPr>
            <w:r w:rsidRPr="003E6B33">
              <w:rPr>
                <w:sz w:val="20"/>
                <w:szCs w:val="20"/>
              </w:rPr>
              <w:t xml:space="preserve">Antiviral activity and food effect of single and multiple doses of </w:t>
            </w:r>
            <w:r w:rsidR="00590286" w:rsidRPr="003E6B33">
              <w:rPr>
                <w:sz w:val="20"/>
                <w:szCs w:val="20"/>
              </w:rPr>
              <w:t>ombitasvir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M13-300</w:t>
            </w:r>
          </w:p>
        </w:tc>
        <w:tc>
          <w:tcPr>
            <w:tcW w:w="4253" w:type="dxa"/>
          </w:tcPr>
          <w:p w:rsidR="00482916" w:rsidRPr="003E6B33" w:rsidRDefault="00482916" w:rsidP="003E6B33">
            <w:pPr>
              <w:rPr>
                <w:sz w:val="20"/>
                <w:szCs w:val="20"/>
              </w:rPr>
            </w:pPr>
            <w:r w:rsidRPr="003E6B33">
              <w:rPr>
                <w:sz w:val="20"/>
                <w:szCs w:val="20"/>
              </w:rPr>
              <w:t xml:space="preserve">Effect of food on </w:t>
            </w:r>
            <w:r w:rsidR="00590286" w:rsidRPr="003E6B33">
              <w:rPr>
                <w:sz w:val="20"/>
                <w:szCs w:val="20"/>
              </w:rPr>
              <w:t>dasabuvir</w:t>
            </w:r>
            <w:r w:rsidRPr="003E6B33">
              <w:rPr>
                <w:sz w:val="20"/>
                <w:szCs w:val="20"/>
              </w:rPr>
              <w:t xml:space="preserve"> optimised tablets</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Ascending Single dose</w:t>
            </w:r>
          </w:p>
        </w:tc>
        <w:tc>
          <w:tcPr>
            <w:tcW w:w="1417" w:type="dxa"/>
          </w:tcPr>
          <w:p w:rsidR="00482916" w:rsidRPr="003E6B33" w:rsidRDefault="00482916" w:rsidP="003E6B33">
            <w:pPr>
              <w:rPr>
                <w:sz w:val="20"/>
                <w:szCs w:val="20"/>
              </w:rPr>
            </w:pPr>
            <w:r w:rsidRPr="003E6B33">
              <w:rPr>
                <w:sz w:val="20"/>
                <w:szCs w:val="20"/>
              </w:rPr>
              <w:t>M12-351</w:t>
            </w:r>
          </w:p>
        </w:tc>
        <w:tc>
          <w:tcPr>
            <w:tcW w:w="4253" w:type="dxa"/>
          </w:tcPr>
          <w:p w:rsidR="00482916" w:rsidRPr="003E6B33" w:rsidRDefault="00482916" w:rsidP="003E6B33">
            <w:pPr>
              <w:rPr>
                <w:sz w:val="20"/>
                <w:szCs w:val="20"/>
              </w:rPr>
            </w:pPr>
            <w:r w:rsidRPr="003E6B33">
              <w:rPr>
                <w:sz w:val="20"/>
                <w:szCs w:val="20"/>
              </w:rPr>
              <w:t xml:space="preserve">Comparison of 3 single doses of </w:t>
            </w:r>
            <w:r w:rsidR="00F573D0" w:rsidRPr="003E6B33">
              <w:rPr>
                <w:sz w:val="20"/>
                <w:szCs w:val="20"/>
              </w:rPr>
              <w:t>paritaprevir</w:t>
            </w:r>
            <w:r w:rsidRPr="003E6B33">
              <w:rPr>
                <w:sz w:val="20"/>
                <w:szCs w:val="20"/>
              </w:rPr>
              <w:t xml:space="preserve"> SDD Formulation</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M11-032</w:t>
            </w:r>
          </w:p>
        </w:tc>
        <w:tc>
          <w:tcPr>
            <w:tcW w:w="4253" w:type="dxa"/>
          </w:tcPr>
          <w:p w:rsidR="00482916" w:rsidRPr="003E6B33" w:rsidRDefault="00482916" w:rsidP="003E6B33">
            <w:pPr>
              <w:rPr>
                <w:sz w:val="20"/>
                <w:szCs w:val="20"/>
              </w:rPr>
            </w:pPr>
            <w:r w:rsidRPr="003E6B33">
              <w:rPr>
                <w:sz w:val="20"/>
                <w:szCs w:val="20"/>
              </w:rPr>
              <w:t xml:space="preserve">Single ascending doses of </w:t>
            </w:r>
            <w:r w:rsidR="00590286" w:rsidRPr="003E6B33">
              <w:rPr>
                <w:sz w:val="20"/>
                <w:szCs w:val="20"/>
              </w:rPr>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Multi-dose</w:t>
            </w:r>
          </w:p>
        </w:tc>
        <w:tc>
          <w:tcPr>
            <w:tcW w:w="1417" w:type="dxa"/>
          </w:tcPr>
          <w:p w:rsidR="00482916" w:rsidRPr="003E6B33" w:rsidRDefault="00482916" w:rsidP="003E6B33">
            <w:pPr>
              <w:rPr>
                <w:sz w:val="20"/>
                <w:szCs w:val="20"/>
              </w:rPr>
            </w:pPr>
            <w:r w:rsidRPr="003E6B33">
              <w:rPr>
                <w:sz w:val="20"/>
                <w:szCs w:val="20"/>
              </w:rPr>
              <w:t>M10-861</w:t>
            </w:r>
          </w:p>
        </w:tc>
        <w:tc>
          <w:tcPr>
            <w:tcW w:w="4253" w:type="dxa"/>
          </w:tcPr>
          <w:p w:rsidR="00482916" w:rsidRPr="003E6B33" w:rsidRDefault="00482916" w:rsidP="003E6B33">
            <w:pPr>
              <w:rPr>
                <w:sz w:val="20"/>
                <w:szCs w:val="20"/>
              </w:rPr>
            </w:pPr>
            <w:r w:rsidRPr="003E6B33">
              <w:rPr>
                <w:sz w:val="20"/>
                <w:szCs w:val="20"/>
              </w:rPr>
              <w:t xml:space="preserve">Multiple-ascending doses of </w:t>
            </w:r>
            <w:r w:rsidR="00F573D0" w:rsidRPr="003E6B33">
              <w:rPr>
                <w:sz w:val="20"/>
                <w:szCs w:val="20"/>
              </w:rPr>
              <w:t>paritaprevir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M10-687</w:t>
            </w:r>
          </w:p>
        </w:tc>
        <w:tc>
          <w:tcPr>
            <w:tcW w:w="4253" w:type="dxa"/>
          </w:tcPr>
          <w:p w:rsidR="00482916" w:rsidRPr="003E6B33" w:rsidRDefault="00482916" w:rsidP="003E6B33">
            <w:pPr>
              <w:rPr>
                <w:sz w:val="20"/>
                <w:szCs w:val="20"/>
              </w:rPr>
            </w:pPr>
            <w:r w:rsidRPr="003E6B33">
              <w:rPr>
                <w:sz w:val="20"/>
                <w:szCs w:val="20"/>
              </w:rPr>
              <w:t xml:space="preserve">Multi-dose PKs of </w:t>
            </w:r>
            <w:r w:rsidR="00590286" w:rsidRPr="003E6B33">
              <w:rPr>
                <w:sz w:val="20"/>
                <w:szCs w:val="20"/>
              </w:rPr>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M12-187</w:t>
            </w:r>
          </w:p>
        </w:tc>
        <w:tc>
          <w:tcPr>
            <w:tcW w:w="4253" w:type="dxa"/>
          </w:tcPr>
          <w:p w:rsidR="00482916" w:rsidRPr="003E6B33" w:rsidRDefault="00482916" w:rsidP="003E6B33">
            <w:pPr>
              <w:rPr>
                <w:sz w:val="20"/>
                <w:szCs w:val="20"/>
              </w:rPr>
            </w:pPr>
            <w:r w:rsidRPr="003E6B33">
              <w:rPr>
                <w:sz w:val="20"/>
                <w:szCs w:val="20"/>
              </w:rPr>
              <w:t xml:space="preserve">Multi-dose PKs of </w:t>
            </w:r>
            <w:r w:rsidR="00590286" w:rsidRPr="003E6B33">
              <w:rPr>
                <w:sz w:val="20"/>
                <w:szCs w:val="20"/>
              </w:rPr>
              <w:t>ombitasvir</w:t>
            </w:r>
            <w:r w:rsidRPr="003E6B33">
              <w:rPr>
                <w:sz w:val="20"/>
                <w:szCs w:val="20"/>
              </w:rPr>
              <w:t xml:space="preserve"> and </w:t>
            </w:r>
            <w:r w:rsidR="00F573D0" w:rsidRPr="003E6B33">
              <w:rPr>
                <w:sz w:val="20"/>
                <w:szCs w:val="20"/>
              </w:rPr>
              <w:t>paritaprevir</w:t>
            </w:r>
            <w:r w:rsidRPr="003E6B33">
              <w:rPr>
                <w:sz w:val="20"/>
                <w:szCs w:val="20"/>
              </w:rPr>
              <w:t>/</w:t>
            </w:r>
            <w:r w:rsidR="00630EF4" w:rsidRPr="003E6B33">
              <w:rPr>
                <w:sz w:val="20"/>
                <w:szCs w:val="20"/>
              </w:rPr>
              <w:t xml:space="preserve">ritonavir </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M11-603</w:t>
            </w:r>
          </w:p>
        </w:tc>
        <w:tc>
          <w:tcPr>
            <w:tcW w:w="4253" w:type="dxa"/>
          </w:tcPr>
          <w:p w:rsidR="00482916" w:rsidRPr="003E6B33" w:rsidRDefault="00482916" w:rsidP="003E6B33">
            <w:pPr>
              <w:rPr>
                <w:sz w:val="20"/>
                <w:szCs w:val="20"/>
              </w:rPr>
            </w:pPr>
            <w:r w:rsidRPr="003E6B33">
              <w:rPr>
                <w:sz w:val="20"/>
                <w:szCs w:val="20"/>
              </w:rPr>
              <w:t xml:space="preserve">PKs of multi-dose </w:t>
            </w:r>
            <w:r w:rsidR="00590286" w:rsidRPr="003E6B33">
              <w:rPr>
                <w:sz w:val="20"/>
                <w:szCs w:val="20"/>
              </w:rPr>
              <w:t>dasabuvir</w:t>
            </w:r>
            <w:r w:rsidRPr="003E6B33">
              <w:rPr>
                <w:sz w:val="20"/>
                <w:szCs w:val="20"/>
              </w:rPr>
              <w:t xml:space="preserve"> plus </w:t>
            </w:r>
            <w:r w:rsidR="00F573D0" w:rsidRPr="003E6B33">
              <w:rPr>
                <w:sz w:val="20"/>
                <w:szCs w:val="20"/>
              </w:rPr>
              <w:t>paritaprevir</w:t>
            </w:r>
            <w:r w:rsidRPr="003E6B33">
              <w:rPr>
                <w:sz w:val="20"/>
                <w:szCs w:val="20"/>
              </w:rPr>
              <w:t>/</w:t>
            </w:r>
            <w:r w:rsidR="00630EF4" w:rsidRPr="003E6B33">
              <w:rPr>
                <w:sz w:val="20"/>
                <w:szCs w:val="20"/>
              </w:rPr>
              <w:t xml:space="preserve"> ritonavir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ADME</w:t>
            </w:r>
          </w:p>
        </w:tc>
        <w:tc>
          <w:tcPr>
            <w:tcW w:w="1417" w:type="dxa"/>
          </w:tcPr>
          <w:p w:rsidR="00482916" w:rsidRPr="003E6B33" w:rsidRDefault="00482916" w:rsidP="003E6B33">
            <w:pPr>
              <w:rPr>
                <w:sz w:val="20"/>
                <w:szCs w:val="20"/>
              </w:rPr>
            </w:pPr>
            <w:r w:rsidRPr="003E6B33">
              <w:rPr>
                <w:sz w:val="20"/>
                <w:szCs w:val="20"/>
              </w:rPr>
              <w:t>M10-789</w:t>
            </w:r>
          </w:p>
        </w:tc>
        <w:tc>
          <w:tcPr>
            <w:tcW w:w="4253" w:type="dxa"/>
          </w:tcPr>
          <w:p w:rsidR="00482916" w:rsidRPr="003E6B33" w:rsidRDefault="00482916" w:rsidP="003E6B33">
            <w:pPr>
              <w:rPr>
                <w:sz w:val="20"/>
                <w:szCs w:val="20"/>
              </w:rPr>
            </w:pPr>
            <w:r w:rsidRPr="003E6B33">
              <w:rPr>
                <w:sz w:val="20"/>
                <w:szCs w:val="20"/>
              </w:rPr>
              <w:t>ADME of [</w:t>
            </w:r>
            <w:r w:rsidRPr="003E6B33">
              <w:rPr>
                <w:sz w:val="20"/>
                <w:szCs w:val="20"/>
                <w:vertAlign w:val="superscript"/>
              </w:rPr>
              <w:t>14</w:t>
            </w:r>
            <w:r w:rsidRPr="003E6B33">
              <w:rPr>
                <w:sz w:val="20"/>
                <w:szCs w:val="20"/>
              </w:rPr>
              <w:t xml:space="preserve">C] </w:t>
            </w:r>
            <w:r w:rsidR="00F573D0" w:rsidRPr="003E6B33">
              <w:rPr>
                <w:sz w:val="20"/>
                <w:szCs w:val="20"/>
              </w:rPr>
              <w:t>paritaprevir</w:t>
            </w:r>
            <w:r w:rsidRPr="003E6B33">
              <w:rPr>
                <w:sz w:val="20"/>
                <w:szCs w:val="20"/>
              </w:rPr>
              <w:t>/r</w:t>
            </w:r>
            <w:r w:rsidR="00630EF4" w:rsidRPr="003E6B33">
              <w:rPr>
                <w:sz w:val="20"/>
                <w:szCs w:val="20"/>
              </w:rPr>
              <w:t>itonavir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M12-186</w:t>
            </w:r>
          </w:p>
        </w:tc>
        <w:tc>
          <w:tcPr>
            <w:tcW w:w="4253" w:type="dxa"/>
          </w:tcPr>
          <w:p w:rsidR="00482916" w:rsidRPr="003E6B33" w:rsidRDefault="00482916" w:rsidP="003E6B33">
            <w:pPr>
              <w:rPr>
                <w:sz w:val="20"/>
                <w:szCs w:val="20"/>
              </w:rPr>
            </w:pPr>
            <w:r w:rsidRPr="003E6B33">
              <w:rPr>
                <w:sz w:val="20"/>
                <w:szCs w:val="20"/>
              </w:rPr>
              <w:t>ADME of [</w:t>
            </w:r>
            <w:r w:rsidRPr="003E6B33">
              <w:rPr>
                <w:sz w:val="20"/>
                <w:szCs w:val="20"/>
                <w:vertAlign w:val="superscript"/>
              </w:rPr>
              <w:t>14</w:t>
            </w:r>
            <w:r w:rsidRPr="003E6B33">
              <w:rPr>
                <w:sz w:val="20"/>
                <w:szCs w:val="20"/>
              </w:rPr>
              <w:t>C]</w:t>
            </w:r>
            <w:r w:rsidR="00590286" w:rsidRPr="003E6B33">
              <w:rPr>
                <w:sz w:val="20"/>
                <w:szCs w:val="20"/>
              </w:rPr>
              <w:t>ombitasvir</w:t>
            </w:r>
          </w:p>
        </w:tc>
      </w:tr>
      <w:tr w:rsidR="00482916" w:rsidRPr="003E6B33" w:rsidTr="00482916">
        <w:tc>
          <w:tcPr>
            <w:tcW w:w="1384" w:type="dxa"/>
            <w:vMerge w:val="restart"/>
          </w:tcPr>
          <w:p w:rsidR="00482916" w:rsidRPr="003E6B33" w:rsidRDefault="00482916" w:rsidP="003E6B33">
            <w:pPr>
              <w:rPr>
                <w:sz w:val="20"/>
                <w:szCs w:val="20"/>
              </w:rPr>
            </w:pPr>
            <w:r w:rsidRPr="003E6B33">
              <w:rPr>
                <w:sz w:val="20"/>
                <w:szCs w:val="20"/>
              </w:rPr>
              <w:t>PK in special popn</w:t>
            </w:r>
          </w:p>
        </w:tc>
        <w:tc>
          <w:tcPr>
            <w:tcW w:w="1843" w:type="dxa"/>
            <w:vMerge w:val="restart"/>
          </w:tcPr>
          <w:p w:rsidR="00A26E99" w:rsidRPr="003E6B33" w:rsidRDefault="00482916" w:rsidP="003E6B33">
            <w:pPr>
              <w:rPr>
                <w:sz w:val="20"/>
                <w:szCs w:val="20"/>
              </w:rPr>
            </w:pPr>
            <w:r w:rsidRPr="003E6B33">
              <w:rPr>
                <w:sz w:val="20"/>
                <w:szCs w:val="20"/>
              </w:rPr>
              <w:t>Target population</w:t>
            </w:r>
          </w:p>
          <w:p w:rsidR="00482916" w:rsidRPr="003E6B33" w:rsidRDefault="00482916" w:rsidP="003E6B33">
            <w:pPr>
              <w:rPr>
                <w:sz w:val="20"/>
                <w:szCs w:val="20"/>
              </w:rPr>
            </w:pPr>
            <w:r w:rsidRPr="003E6B33">
              <w:rPr>
                <w:sz w:val="20"/>
                <w:szCs w:val="20"/>
              </w:rPr>
              <w:t>HCV Genotype 1 infected subjects</w:t>
            </w:r>
          </w:p>
        </w:tc>
        <w:tc>
          <w:tcPr>
            <w:tcW w:w="1417" w:type="dxa"/>
          </w:tcPr>
          <w:p w:rsidR="00482916" w:rsidRPr="003E6B33" w:rsidRDefault="00482916" w:rsidP="003E6B33">
            <w:pPr>
              <w:rPr>
                <w:sz w:val="20"/>
                <w:szCs w:val="20"/>
              </w:rPr>
            </w:pPr>
            <w:r w:rsidRPr="003E6B33">
              <w:rPr>
                <w:sz w:val="20"/>
                <w:szCs w:val="20"/>
              </w:rPr>
              <w:t>M10-351</w:t>
            </w:r>
          </w:p>
        </w:tc>
        <w:tc>
          <w:tcPr>
            <w:tcW w:w="4253" w:type="dxa"/>
          </w:tcPr>
          <w:p w:rsidR="00482916" w:rsidRPr="003E6B33" w:rsidRDefault="00482916" w:rsidP="003E6B33">
            <w:pPr>
              <w:rPr>
                <w:sz w:val="20"/>
                <w:szCs w:val="20"/>
              </w:rPr>
            </w:pPr>
            <w:r w:rsidRPr="003E6B33">
              <w:rPr>
                <w:sz w:val="20"/>
                <w:szCs w:val="20"/>
              </w:rPr>
              <w:t xml:space="preserve">Antiviral activity, and PKs of single and multiple doses (2 Days) of </w:t>
            </w:r>
            <w:r w:rsidR="00590286" w:rsidRPr="003E6B33">
              <w:rPr>
                <w:sz w:val="20"/>
                <w:szCs w:val="20"/>
              </w:rPr>
              <w:t>dasabuvir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M11-602</w:t>
            </w:r>
          </w:p>
        </w:tc>
        <w:tc>
          <w:tcPr>
            <w:tcW w:w="4253" w:type="dxa"/>
          </w:tcPr>
          <w:p w:rsidR="00482916" w:rsidRPr="003E6B33" w:rsidRDefault="00482916" w:rsidP="003E6B33">
            <w:pPr>
              <w:rPr>
                <w:sz w:val="20"/>
                <w:szCs w:val="20"/>
              </w:rPr>
            </w:pPr>
            <w:r w:rsidRPr="003E6B33">
              <w:rPr>
                <w:sz w:val="20"/>
                <w:szCs w:val="20"/>
              </w:rPr>
              <w:t xml:space="preserve">PKs, and </w:t>
            </w:r>
            <w:r w:rsidR="00772535" w:rsidRPr="003E6B33">
              <w:rPr>
                <w:sz w:val="20"/>
                <w:szCs w:val="20"/>
              </w:rPr>
              <w:t>antiviral</w:t>
            </w:r>
            <w:r w:rsidRPr="003E6B33">
              <w:rPr>
                <w:sz w:val="20"/>
                <w:szCs w:val="20"/>
              </w:rPr>
              <w:t xml:space="preserve"> activity of multi-dose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t>
            </w:r>
            <w:r w:rsidR="00590286" w:rsidRPr="003E6B33">
              <w:rPr>
                <w:sz w:val="20"/>
                <w:szCs w:val="20"/>
              </w:rPr>
              <w:t>dasabuvir</w:t>
            </w:r>
            <w:r w:rsidRPr="003E6B33">
              <w:rPr>
                <w:sz w:val="20"/>
                <w:szCs w:val="20"/>
              </w:rPr>
              <w:t>, or ABT-072 each administered alone</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Hepatic impairment</w:t>
            </w:r>
          </w:p>
        </w:tc>
        <w:tc>
          <w:tcPr>
            <w:tcW w:w="1417" w:type="dxa"/>
          </w:tcPr>
          <w:p w:rsidR="00482916" w:rsidRPr="003E6B33" w:rsidRDefault="00482916" w:rsidP="003E6B33">
            <w:pPr>
              <w:rPr>
                <w:sz w:val="20"/>
                <w:szCs w:val="20"/>
              </w:rPr>
            </w:pPr>
            <w:r w:rsidRPr="003E6B33">
              <w:rPr>
                <w:sz w:val="20"/>
                <w:szCs w:val="20"/>
              </w:rPr>
              <w:t>M12-215</w:t>
            </w:r>
          </w:p>
        </w:tc>
        <w:tc>
          <w:tcPr>
            <w:tcW w:w="4253" w:type="dxa"/>
          </w:tcPr>
          <w:p w:rsidR="00482916" w:rsidRPr="003E6B33" w:rsidRDefault="00482916" w:rsidP="003E6B33">
            <w:pPr>
              <w:rPr>
                <w:sz w:val="20"/>
                <w:szCs w:val="20"/>
              </w:rPr>
            </w:pPr>
            <w:r w:rsidRPr="003E6B33">
              <w:rPr>
                <w:sz w:val="20"/>
                <w:szCs w:val="20"/>
              </w:rPr>
              <w:t xml:space="preserve">PKs of a single dose of co-administered </w:t>
            </w:r>
            <w:r w:rsidR="00590286" w:rsidRPr="003E6B33">
              <w:rPr>
                <w:sz w:val="20"/>
                <w:szCs w:val="20"/>
              </w:rPr>
              <w:t>ombitasvir</w:t>
            </w:r>
            <w:r w:rsidRPr="003E6B33">
              <w:rPr>
                <w:sz w:val="20"/>
                <w:szCs w:val="20"/>
              </w:rPr>
              <w:t xml:space="preserve">, </w:t>
            </w:r>
            <w:r w:rsidR="00590286" w:rsidRPr="003E6B33">
              <w:rPr>
                <w:sz w:val="20"/>
                <w:szCs w:val="20"/>
              </w:rPr>
              <w:t>dasabuvir</w:t>
            </w:r>
            <w:r w:rsidRPr="003E6B33">
              <w:rPr>
                <w:sz w:val="20"/>
                <w:szCs w:val="20"/>
              </w:rPr>
              <w:t xml:space="preserve">, and </w:t>
            </w:r>
            <w:r w:rsidR="00F573D0" w:rsidRPr="003E6B33">
              <w:rPr>
                <w:sz w:val="20"/>
                <w:szCs w:val="20"/>
              </w:rPr>
              <w:t>paritaprevir</w:t>
            </w:r>
            <w:r w:rsidRPr="003E6B33">
              <w:rPr>
                <w:sz w:val="20"/>
                <w:szCs w:val="20"/>
              </w:rPr>
              <w:t>/</w:t>
            </w:r>
            <w:r w:rsidR="00630EF4" w:rsidRPr="003E6B33">
              <w:rPr>
                <w:sz w:val="20"/>
                <w:szCs w:val="20"/>
              </w:rPr>
              <w:t xml:space="preserve"> ritonavir</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Renal impairment</w:t>
            </w:r>
          </w:p>
        </w:tc>
        <w:tc>
          <w:tcPr>
            <w:tcW w:w="1417" w:type="dxa"/>
          </w:tcPr>
          <w:p w:rsidR="00482916" w:rsidRPr="003E6B33" w:rsidRDefault="00482916" w:rsidP="003E6B33">
            <w:pPr>
              <w:rPr>
                <w:sz w:val="20"/>
                <w:szCs w:val="20"/>
              </w:rPr>
            </w:pPr>
            <w:r w:rsidRPr="003E6B33">
              <w:rPr>
                <w:sz w:val="20"/>
                <w:szCs w:val="20"/>
              </w:rPr>
              <w:t>M12-193</w:t>
            </w:r>
          </w:p>
        </w:tc>
        <w:tc>
          <w:tcPr>
            <w:tcW w:w="4253" w:type="dxa"/>
          </w:tcPr>
          <w:p w:rsidR="00482916" w:rsidRPr="003E6B33" w:rsidRDefault="00482916" w:rsidP="003E6B33">
            <w:pPr>
              <w:rPr>
                <w:sz w:val="20"/>
                <w:szCs w:val="20"/>
              </w:rPr>
            </w:pPr>
            <w:r w:rsidRPr="003E6B33">
              <w:rPr>
                <w:sz w:val="20"/>
                <w:szCs w:val="20"/>
              </w:rPr>
              <w:t xml:space="preserve">PKs of a single dose of co-administered </w:t>
            </w:r>
            <w:r w:rsidR="00590286" w:rsidRPr="003E6B33">
              <w:rPr>
                <w:sz w:val="20"/>
                <w:szCs w:val="20"/>
              </w:rPr>
              <w:t>ombitasvir</w:t>
            </w:r>
            <w:r w:rsidRPr="003E6B33">
              <w:rPr>
                <w:sz w:val="20"/>
                <w:szCs w:val="20"/>
              </w:rPr>
              <w:t xml:space="preserve">, </w:t>
            </w:r>
            <w:r w:rsidR="00590286" w:rsidRPr="003E6B33">
              <w:rPr>
                <w:sz w:val="20"/>
                <w:szCs w:val="20"/>
              </w:rPr>
              <w:t>dasabuvir</w:t>
            </w:r>
            <w:r w:rsidRPr="003E6B33">
              <w:rPr>
                <w:sz w:val="20"/>
                <w:szCs w:val="20"/>
              </w:rPr>
              <w:t xml:space="preserve">, and </w:t>
            </w:r>
            <w:r w:rsidR="00F573D0" w:rsidRPr="003E6B33">
              <w:rPr>
                <w:sz w:val="20"/>
                <w:szCs w:val="20"/>
              </w:rPr>
              <w:t>paritaprevir</w:t>
            </w:r>
            <w:r w:rsidRPr="003E6B33">
              <w:rPr>
                <w:sz w:val="20"/>
                <w:szCs w:val="20"/>
              </w:rPr>
              <w:t>/</w:t>
            </w:r>
            <w:r w:rsidR="00630EF4" w:rsidRPr="003E6B33">
              <w:rPr>
                <w:sz w:val="20"/>
                <w:szCs w:val="20"/>
              </w:rPr>
              <w:t xml:space="preserve"> ritonavir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Other special pop’n</w:t>
            </w:r>
          </w:p>
        </w:tc>
        <w:tc>
          <w:tcPr>
            <w:tcW w:w="1417" w:type="dxa"/>
          </w:tcPr>
          <w:p w:rsidR="00482916" w:rsidRPr="003E6B33" w:rsidRDefault="00482916" w:rsidP="003E6B33">
            <w:pPr>
              <w:rPr>
                <w:sz w:val="20"/>
                <w:szCs w:val="20"/>
              </w:rPr>
            </w:pPr>
            <w:r w:rsidRPr="003E6B33">
              <w:rPr>
                <w:sz w:val="20"/>
                <w:szCs w:val="20"/>
              </w:rPr>
              <w:t>M12-221</w:t>
            </w:r>
          </w:p>
        </w:tc>
        <w:tc>
          <w:tcPr>
            <w:tcW w:w="4253" w:type="dxa"/>
          </w:tcPr>
          <w:p w:rsidR="00482916" w:rsidRPr="003E6B33" w:rsidRDefault="00482916" w:rsidP="003E6B33">
            <w:pPr>
              <w:rPr>
                <w:sz w:val="20"/>
                <w:szCs w:val="20"/>
              </w:rPr>
            </w:pPr>
            <w:r w:rsidRPr="003E6B33">
              <w:rPr>
                <w:sz w:val="20"/>
                <w:szCs w:val="20"/>
              </w:rPr>
              <w:t xml:space="preserve">PKs of multi-dose of </w:t>
            </w:r>
            <w:r w:rsidR="00590286" w:rsidRPr="003E6B33">
              <w:rPr>
                <w:sz w:val="20"/>
                <w:szCs w:val="20"/>
              </w:rPr>
              <w:t>ombitasvir</w:t>
            </w:r>
            <w:r w:rsidRPr="003E6B33">
              <w:rPr>
                <w:sz w:val="20"/>
                <w:szCs w:val="20"/>
              </w:rPr>
              <w:t xml:space="preserve"> and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in Han Chinese, Japanese, and Caucasians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M12-688</w:t>
            </w:r>
          </w:p>
        </w:tc>
        <w:tc>
          <w:tcPr>
            <w:tcW w:w="4253" w:type="dxa"/>
          </w:tcPr>
          <w:p w:rsidR="00482916" w:rsidRPr="003E6B33" w:rsidRDefault="00482916" w:rsidP="003E6B33">
            <w:pPr>
              <w:rPr>
                <w:sz w:val="20"/>
                <w:szCs w:val="20"/>
              </w:rPr>
            </w:pPr>
            <w:r w:rsidRPr="003E6B33">
              <w:rPr>
                <w:sz w:val="20"/>
                <w:szCs w:val="20"/>
              </w:rPr>
              <w:t xml:space="preserve">PKs of a single dose of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in Han Chinese, Japanese and Caucasians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M12-181</w:t>
            </w:r>
          </w:p>
        </w:tc>
        <w:tc>
          <w:tcPr>
            <w:tcW w:w="4253" w:type="dxa"/>
          </w:tcPr>
          <w:p w:rsidR="00482916" w:rsidRPr="003E6B33" w:rsidRDefault="00482916" w:rsidP="003E6B33">
            <w:pPr>
              <w:rPr>
                <w:sz w:val="20"/>
                <w:szCs w:val="20"/>
              </w:rPr>
            </w:pPr>
            <w:r w:rsidRPr="003E6B33">
              <w:rPr>
                <w:sz w:val="20"/>
                <w:szCs w:val="20"/>
              </w:rPr>
              <w:t xml:space="preserve">PKs of </w:t>
            </w:r>
            <w:r w:rsidR="00590286" w:rsidRPr="003E6B33">
              <w:rPr>
                <w:sz w:val="20"/>
                <w:szCs w:val="20"/>
              </w:rPr>
              <w:t>ombitasvir</w:t>
            </w:r>
            <w:r w:rsidRPr="003E6B33">
              <w:rPr>
                <w:sz w:val="20"/>
                <w:szCs w:val="20"/>
              </w:rPr>
              <w:t xml:space="preserve"> in Han Chinese, Japanese, and Caucasians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M13-505</w:t>
            </w:r>
          </w:p>
        </w:tc>
        <w:tc>
          <w:tcPr>
            <w:tcW w:w="4253" w:type="dxa"/>
          </w:tcPr>
          <w:p w:rsidR="00482916" w:rsidRPr="003E6B33" w:rsidRDefault="00482916" w:rsidP="003E6B33">
            <w:pPr>
              <w:rPr>
                <w:sz w:val="20"/>
                <w:szCs w:val="20"/>
              </w:rPr>
            </w:pPr>
            <w:r w:rsidRPr="003E6B33">
              <w:rPr>
                <w:sz w:val="20"/>
                <w:szCs w:val="20"/>
              </w:rPr>
              <w:t xml:space="preserve">PKs of the co-formulated </w:t>
            </w:r>
            <w:r w:rsidR="00F573D0" w:rsidRPr="003E6B33">
              <w:rPr>
                <w:sz w:val="20"/>
                <w:szCs w:val="20"/>
              </w:rPr>
              <w:t>paritaprevir</w:t>
            </w:r>
            <w:r w:rsidRPr="003E6B33">
              <w:rPr>
                <w:sz w:val="20"/>
                <w:szCs w:val="20"/>
              </w:rPr>
              <w:t>/</w:t>
            </w:r>
            <w:r w:rsidR="00630EF4" w:rsidRPr="003E6B33">
              <w:rPr>
                <w:sz w:val="20"/>
                <w:szCs w:val="20"/>
              </w:rPr>
              <w:t xml:space="preserve"> ritonavir </w:t>
            </w:r>
            <w:r w:rsidRPr="003E6B33">
              <w:rPr>
                <w:sz w:val="20"/>
                <w:szCs w:val="20"/>
              </w:rPr>
              <w:t>/</w:t>
            </w:r>
            <w:r w:rsidR="00590286" w:rsidRPr="003E6B33">
              <w:rPr>
                <w:sz w:val="20"/>
                <w:szCs w:val="20"/>
              </w:rPr>
              <w:t>ombitasvir</w:t>
            </w:r>
            <w:r w:rsidRPr="003E6B33">
              <w:rPr>
                <w:sz w:val="20"/>
                <w:szCs w:val="20"/>
              </w:rPr>
              <w:t xml:space="preserve"> in Han Chinese and Japanese</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M11-384</w:t>
            </w:r>
          </w:p>
        </w:tc>
        <w:tc>
          <w:tcPr>
            <w:tcW w:w="4253" w:type="dxa"/>
          </w:tcPr>
          <w:p w:rsidR="00482916" w:rsidRPr="003E6B33" w:rsidRDefault="00482916" w:rsidP="003E6B33">
            <w:pPr>
              <w:rPr>
                <w:sz w:val="20"/>
                <w:szCs w:val="20"/>
              </w:rPr>
            </w:pPr>
            <w:r w:rsidRPr="003E6B33">
              <w:rPr>
                <w:sz w:val="20"/>
                <w:szCs w:val="20"/>
              </w:rPr>
              <w:t xml:space="preserve">PKs of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in Japanese males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M11-385</w:t>
            </w:r>
          </w:p>
        </w:tc>
        <w:tc>
          <w:tcPr>
            <w:tcW w:w="4253" w:type="dxa"/>
          </w:tcPr>
          <w:p w:rsidR="00482916" w:rsidRPr="003E6B33" w:rsidRDefault="00482916" w:rsidP="003E6B33">
            <w:pPr>
              <w:rPr>
                <w:sz w:val="20"/>
                <w:szCs w:val="20"/>
              </w:rPr>
            </w:pPr>
            <w:r w:rsidRPr="003E6B33">
              <w:rPr>
                <w:sz w:val="20"/>
                <w:szCs w:val="20"/>
              </w:rPr>
              <w:t xml:space="preserve">PKs of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in Han Chines</w:t>
            </w:r>
          </w:p>
        </w:tc>
      </w:tr>
      <w:tr w:rsidR="00482916" w:rsidRPr="003E6B33" w:rsidTr="00482916">
        <w:tc>
          <w:tcPr>
            <w:tcW w:w="1384" w:type="dxa"/>
            <w:vMerge w:val="restart"/>
          </w:tcPr>
          <w:p w:rsidR="00482916" w:rsidRPr="003E6B33" w:rsidRDefault="00482916" w:rsidP="003E6B33">
            <w:pPr>
              <w:rPr>
                <w:sz w:val="20"/>
                <w:szCs w:val="20"/>
              </w:rPr>
            </w:pPr>
            <w:r w:rsidRPr="003E6B33">
              <w:rPr>
                <w:sz w:val="20"/>
                <w:szCs w:val="20"/>
              </w:rPr>
              <w:t>DDIs</w:t>
            </w:r>
          </w:p>
        </w:tc>
        <w:tc>
          <w:tcPr>
            <w:tcW w:w="1843" w:type="dxa"/>
          </w:tcPr>
          <w:p w:rsidR="00482916" w:rsidRPr="003E6B33" w:rsidRDefault="00482916" w:rsidP="003E6B33">
            <w:pPr>
              <w:rPr>
                <w:sz w:val="20"/>
                <w:szCs w:val="20"/>
              </w:rPr>
            </w:pPr>
            <w:r w:rsidRPr="003E6B33">
              <w:rPr>
                <w:sz w:val="20"/>
                <w:szCs w:val="20"/>
              </w:rPr>
              <w:t>Atazanavir</w:t>
            </w:r>
          </w:p>
        </w:tc>
        <w:tc>
          <w:tcPr>
            <w:tcW w:w="1417" w:type="dxa"/>
          </w:tcPr>
          <w:p w:rsidR="00482916" w:rsidRPr="003E6B33" w:rsidRDefault="00482916" w:rsidP="003E6B33">
            <w:pPr>
              <w:rPr>
                <w:sz w:val="20"/>
                <w:szCs w:val="20"/>
              </w:rPr>
            </w:pPr>
            <w:r w:rsidRPr="003E6B33">
              <w:rPr>
                <w:sz w:val="20"/>
                <w:szCs w:val="20"/>
              </w:rPr>
              <w:t>M13-394</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atazanavir</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Ketoconazole</w:t>
            </w:r>
          </w:p>
        </w:tc>
        <w:tc>
          <w:tcPr>
            <w:tcW w:w="1417" w:type="dxa"/>
          </w:tcPr>
          <w:p w:rsidR="00482916" w:rsidRPr="003E6B33" w:rsidRDefault="00482916" w:rsidP="003E6B33">
            <w:pPr>
              <w:rPr>
                <w:sz w:val="20"/>
                <w:szCs w:val="20"/>
              </w:rPr>
            </w:pPr>
            <w:r w:rsidRPr="003E6B33">
              <w:rPr>
                <w:sz w:val="20"/>
                <w:szCs w:val="20"/>
              </w:rPr>
              <w:t>M12-189</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ketoconazole</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Gemfibrozil</w:t>
            </w:r>
          </w:p>
        </w:tc>
        <w:tc>
          <w:tcPr>
            <w:tcW w:w="1417" w:type="dxa"/>
          </w:tcPr>
          <w:p w:rsidR="00482916" w:rsidRPr="003E6B33" w:rsidRDefault="00482916" w:rsidP="003E6B33">
            <w:pPr>
              <w:rPr>
                <w:sz w:val="20"/>
                <w:szCs w:val="20"/>
              </w:rPr>
            </w:pPr>
            <w:r w:rsidRPr="003E6B33">
              <w:rPr>
                <w:sz w:val="20"/>
                <w:szCs w:val="20"/>
              </w:rPr>
              <w:t>M12-196</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 </w:t>
            </w:r>
            <w:r w:rsidR="00590286" w:rsidRPr="003E6B33">
              <w:rPr>
                <w:sz w:val="20"/>
                <w:szCs w:val="20"/>
              </w:rPr>
              <w:t>dasabuvir</w:t>
            </w:r>
            <w:r w:rsidRPr="003E6B33">
              <w:rPr>
                <w:sz w:val="20"/>
                <w:szCs w:val="20"/>
              </w:rPr>
              <w:t xml:space="preserve"> and gemfibrozil</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Warfarin</w:t>
            </w:r>
          </w:p>
        </w:tc>
        <w:tc>
          <w:tcPr>
            <w:tcW w:w="1417" w:type="dxa"/>
          </w:tcPr>
          <w:p w:rsidR="00482916" w:rsidRPr="003E6B33" w:rsidRDefault="00482916" w:rsidP="003E6B33">
            <w:pPr>
              <w:rPr>
                <w:sz w:val="20"/>
                <w:szCs w:val="20"/>
              </w:rPr>
            </w:pPr>
            <w:r w:rsidRPr="003E6B33">
              <w:rPr>
                <w:sz w:val="20"/>
                <w:szCs w:val="20"/>
              </w:rPr>
              <w:t>M12-198</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warfarin</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Omeprazole</w:t>
            </w:r>
          </w:p>
        </w:tc>
        <w:tc>
          <w:tcPr>
            <w:tcW w:w="1417" w:type="dxa"/>
          </w:tcPr>
          <w:p w:rsidR="00482916" w:rsidRPr="003E6B33" w:rsidRDefault="00482916" w:rsidP="003E6B33">
            <w:pPr>
              <w:rPr>
                <w:sz w:val="20"/>
                <w:szCs w:val="20"/>
              </w:rPr>
            </w:pPr>
            <w:r w:rsidRPr="003E6B33">
              <w:rPr>
                <w:sz w:val="20"/>
                <w:szCs w:val="20"/>
              </w:rPr>
              <w:t>M12-199</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omeprazole</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Carbamazepine</w:t>
            </w:r>
          </w:p>
        </w:tc>
        <w:tc>
          <w:tcPr>
            <w:tcW w:w="1417" w:type="dxa"/>
          </w:tcPr>
          <w:p w:rsidR="00482916" w:rsidRPr="003E6B33" w:rsidRDefault="00482916" w:rsidP="003E6B33">
            <w:pPr>
              <w:rPr>
                <w:sz w:val="20"/>
                <w:szCs w:val="20"/>
              </w:rPr>
            </w:pPr>
            <w:r w:rsidRPr="003E6B33">
              <w:rPr>
                <w:sz w:val="20"/>
                <w:szCs w:val="20"/>
              </w:rPr>
              <w:t>M14-027</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carbamazepine</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Digoxin</w:t>
            </w:r>
          </w:p>
        </w:tc>
        <w:tc>
          <w:tcPr>
            <w:tcW w:w="1417" w:type="dxa"/>
          </w:tcPr>
          <w:p w:rsidR="00482916" w:rsidRPr="003E6B33" w:rsidRDefault="00482916" w:rsidP="003E6B33">
            <w:pPr>
              <w:rPr>
                <w:sz w:val="20"/>
                <w:szCs w:val="20"/>
              </w:rPr>
            </w:pPr>
            <w:r w:rsidRPr="003E6B33">
              <w:rPr>
                <w:sz w:val="20"/>
                <w:szCs w:val="20"/>
              </w:rPr>
              <w:t>M12-201</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digoxin</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Rosuvastatin or pravastatin</w:t>
            </w:r>
          </w:p>
        </w:tc>
        <w:tc>
          <w:tcPr>
            <w:tcW w:w="1417" w:type="dxa"/>
          </w:tcPr>
          <w:p w:rsidR="00482916" w:rsidRPr="003E6B33" w:rsidRDefault="00482916" w:rsidP="003E6B33">
            <w:pPr>
              <w:rPr>
                <w:sz w:val="20"/>
                <w:szCs w:val="20"/>
              </w:rPr>
            </w:pPr>
            <w:r w:rsidRPr="003E6B33">
              <w:rPr>
                <w:sz w:val="20"/>
                <w:szCs w:val="20"/>
              </w:rPr>
              <w:t>M12-200</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rosuvastatin or pravastatin</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LPV</w:t>
            </w:r>
            <w:r w:rsidR="002D05D0" w:rsidRPr="003E6B33">
              <w:rPr>
                <w:sz w:val="20"/>
                <w:szCs w:val="20"/>
              </w:rPr>
              <w:t xml:space="preserve"> (lopinavir)</w:t>
            </w:r>
            <w:r w:rsidRPr="003E6B33">
              <w:rPr>
                <w:sz w:val="20"/>
                <w:szCs w:val="20"/>
              </w:rPr>
              <w:t>/r</w:t>
            </w:r>
          </w:p>
        </w:tc>
        <w:tc>
          <w:tcPr>
            <w:tcW w:w="1417" w:type="dxa"/>
          </w:tcPr>
          <w:p w:rsidR="00482916" w:rsidRPr="003E6B33" w:rsidRDefault="00482916" w:rsidP="003E6B33">
            <w:pPr>
              <w:rPr>
                <w:sz w:val="20"/>
                <w:szCs w:val="20"/>
              </w:rPr>
            </w:pPr>
            <w:r w:rsidRPr="003E6B33">
              <w:rPr>
                <w:sz w:val="20"/>
                <w:szCs w:val="20"/>
              </w:rPr>
              <w:t>M13-492</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 ritonavir</w:t>
            </w:r>
            <w:r w:rsidRPr="003E6B33">
              <w:rPr>
                <w:sz w:val="20"/>
                <w:szCs w:val="20"/>
              </w:rPr>
              <w:t xml:space="preserve"> 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LPV/</w:t>
            </w:r>
            <w:r w:rsidR="00630EF4" w:rsidRPr="003E6B33">
              <w:rPr>
                <w:sz w:val="20"/>
                <w:szCs w:val="20"/>
              </w:rPr>
              <w:t>ritonavir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w:t>
            </w:r>
            <w:r w:rsidR="009E2121" w:rsidRPr="003E6B33">
              <w:rPr>
                <w:sz w:val="20"/>
                <w:szCs w:val="20"/>
              </w:rPr>
              <w:t>4-</w:t>
            </w:r>
            <w:r w:rsidRPr="003E6B33">
              <w:rPr>
                <w:sz w:val="20"/>
                <w:szCs w:val="20"/>
              </w:rPr>
              <w:t>031</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LPV/r</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Darunavir</w:t>
            </w:r>
          </w:p>
        </w:tc>
        <w:tc>
          <w:tcPr>
            <w:tcW w:w="1417" w:type="dxa"/>
          </w:tcPr>
          <w:p w:rsidR="00482916" w:rsidRPr="003E6B33" w:rsidRDefault="00482916" w:rsidP="003E6B33">
            <w:pPr>
              <w:rPr>
                <w:sz w:val="20"/>
                <w:szCs w:val="20"/>
              </w:rPr>
            </w:pPr>
            <w:r w:rsidRPr="003E6B33">
              <w:rPr>
                <w:sz w:val="20"/>
                <w:szCs w:val="20"/>
              </w:rPr>
              <w:t>M13.506</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darunavir</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M12-202</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darunavir</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Emtricitabine + tenofovir</w:t>
            </w:r>
          </w:p>
        </w:tc>
        <w:tc>
          <w:tcPr>
            <w:tcW w:w="1417" w:type="dxa"/>
          </w:tcPr>
          <w:p w:rsidR="00482916" w:rsidRPr="003E6B33" w:rsidRDefault="00482916" w:rsidP="003E6B33">
            <w:pPr>
              <w:rPr>
                <w:sz w:val="20"/>
                <w:szCs w:val="20"/>
              </w:rPr>
            </w:pPr>
            <w:r w:rsidRPr="003E6B33">
              <w:rPr>
                <w:sz w:val="20"/>
                <w:szCs w:val="20"/>
              </w:rPr>
              <w:t>M13-783</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emtricitabine + tenofovir</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Atripla</w:t>
            </w:r>
          </w:p>
        </w:tc>
        <w:tc>
          <w:tcPr>
            <w:tcW w:w="1417" w:type="dxa"/>
          </w:tcPr>
          <w:p w:rsidR="00482916" w:rsidRPr="003E6B33" w:rsidRDefault="00482916" w:rsidP="003E6B33">
            <w:pPr>
              <w:rPr>
                <w:sz w:val="20"/>
                <w:szCs w:val="20"/>
              </w:rPr>
            </w:pPr>
            <w:r w:rsidRPr="003E6B33">
              <w:rPr>
                <w:sz w:val="20"/>
                <w:szCs w:val="20"/>
              </w:rPr>
              <w:t>M13-104</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Atripla</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Rilpivirine</w:t>
            </w:r>
          </w:p>
        </w:tc>
        <w:tc>
          <w:tcPr>
            <w:tcW w:w="1417" w:type="dxa"/>
          </w:tcPr>
          <w:p w:rsidR="00482916" w:rsidRPr="003E6B33" w:rsidRDefault="00482916" w:rsidP="003E6B33">
            <w:pPr>
              <w:rPr>
                <w:sz w:val="20"/>
                <w:szCs w:val="20"/>
              </w:rPr>
            </w:pPr>
            <w:r w:rsidRPr="003E6B33">
              <w:rPr>
                <w:sz w:val="20"/>
                <w:szCs w:val="20"/>
              </w:rPr>
              <w:t>M13-782</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rilpivirine</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Raltegravir</w:t>
            </w:r>
          </w:p>
        </w:tc>
        <w:tc>
          <w:tcPr>
            <w:tcW w:w="1417" w:type="dxa"/>
          </w:tcPr>
          <w:p w:rsidR="00482916" w:rsidRPr="003E6B33" w:rsidRDefault="00482916" w:rsidP="003E6B33">
            <w:pPr>
              <w:rPr>
                <w:sz w:val="20"/>
                <w:szCs w:val="20"/>
              </w:rPr>
            </w:pPr>
            <w:r w:rsidRPr="003E6B33">
              <w:rPr>
                <w:sz w:val="20"/>
                <w:szCs w:val="20"/>
              </w:rPr>
              <w:t>M13-392</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raltegravir</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CsA</w:t>
            </w:r>
          </w:p>
        </w:tc>
        <w:tc>
          <w:tcPr>
            <w:tcW w:w="1417" w:type="dxa"/>
          </w:tcPr>
          <w:p w:rsidR="00482916" w:rsidRPr="003E6B33" w:rsidRDefault="00482916" w:rsidP="003E6B33">
            <w:pPr>
              <w:rPr>
                <w:sz w:val="20"/>
                <w:szCs w:val="20"/>
              </w:rPr>
            </w:pPr>
            <w:r w:rsidRPr="003E6B33">
              <w:rPr>
                <w:sz w:val="20"/>
                <w:szCs w:val="20"/>
              </w:rPr>
              <w:t>M13-103</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cyclosporine (CsA)</w:t>
            </w:r>
          </w:p>
        </w:tc>
      </w:tr>
      <w:tr w:rsidR="00482916" w:rsidRPr="003E6B33" w:rsidTr="00482916">
        <w:tc>
          <w:tcPr>
            <w:tcW w:w="1384" w:type="dxa"/>
            <w:vMerge/>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Tacrolimus</w:t>
            </w:r>
          </w:p>
        </w:tc>
        <w:tc>
          <w:tcPr>
            <w:tcW w:w="1417" w:type="dxa"/>
          </w:tcPr>
          <w:p w:rsidR="00482916" w:rsidRPr="003E6B33" w:rsidRDefault="00482916" w:rsidP="003E6B33">
            <w:pPr>
              <w:rPr>
                <w:sz w:val="20"/>
                <w:szCs w:val="20"/>
              </w:rPr>
            </w:pPr>
            <w:r w:rsidRPr="003E6B33">
              <w:rPr>
                <w:sz w:val="20"/>
                <w:szCs w:val="20"/>
              </w:rPr>
              <w:t>M13-491</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tacrolimus</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Methadone</w:t>
            </w:r>
          </w:p>
        </w:tc>
        <w:tc>
          <w:tcPr>
            <w:tcW w:w="1417" w:type="dxa"/>
          </w:tcPr>
          <w:p w:rsidR="00482916" w:rsidRPr="003E6B33" w:rsidRDefault="00482916" w:rsidP="003E6B33">
            <w:pPr>
              <w:rPr>
                <w:sz w:val="20"/>
                <w:szCs w:val="20"/>
              </w:rPr>
            </w:pPr>
            <w:r w:rsidRPr="003E6B33">
              <w:rPr>
                <w:sz w:val="20"/>
                <w:szCs w:val="20"/>
              </w:rPr>
              <w:t>M12-997</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methadone</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Buprenorphine, norbuprenorphine and naloxone</w:t>
            </w:r>
          </w:p>
        </w:tc>
        <w:tc>
          <w:tcPr>
            <w:tcW w:w="1417" w:type="dxa"/>
          </w:tcPr>
          <w:p w:rsidR="00482916" w:rsidRPr="003E6B33" w:rsidRDefault="00482916" w:rsidP="003E6B33">
            <w:pPr>
              <w:rPr>
                <w:sz w:val="20"/>
                <w:szCs w:val="20"/>
              </w:rPr>
            </w:pPr>
            <w:r w:rsidRPr="003E6B33">
              <w:rPr>
                <w:sz w:val="20"/>
                <w:szCs w:val="20"/>
              </w:rPr>
              <w:t>M13-100</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buprenorphine, norbuprenorphine and naloxone</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Ethinyl estradiol + norgestimate</w:t>
            </w:r>
          </w:p>
        </w:tc>
        <w:tc>
          <w:tcPr>
            <w:tcW w:w="1417" w:type="dxa"/>
          </w:tcPr>
          <w:p w:rsidR="00482916" w:rsidRPr="003E6B33" w:rsidRDefault="00482916" w:rsidP="003E6B33">
            <w:pPr>
              <w:rPr>
                <w:sz w:val="20"/>
                <w:szCs w:val="20"/>
              </w:rPr>
            </w:pPr>
            <w:r w:rsidRPr="003E6B33">
              <w:rPr>
                <w:sz w:val="20"/>
                <w:szCs w:val="20"/>
              </w:rPr>
              <w:t>M12-205</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ethinyl estradiol + norgestimate</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Escitalopram or duloxetine</w:t>
            </w:r>
          </w:p>
        </w:tc>
        <w:tc>
          <w:tcPr>
            <w:tcW w:w="1417" w:type="dxa"/>
          </w:tcPr>
          <w:p w:rsidR="00482916" w:rsidRPr="003E6B33" w:rsidRDefault="00482916" w:rsidP="003E6B33">
            <w:pPr>
              <w:rPr>
                <w:sz w:val="20"/>
                <w:szCs w:val="20"/>
              </w:rPr>
            </w:pPr>
            <w:r w:rsidRPr="003E6B33">
              <w:rPr>
                <w:sz w:val="20"/>
                <w:szCs w:val="20"/>
              </w:rPr>
              <w:t>M12-204</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escitalopram or duloxetine</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Alprazolam or zolpidem</w:t>
            </w:r>
          </w:p>
        </w:tc>
        <w:tc>
          <w:tcPr>
            <w:tcW w:w="1417" w:type="dxa"/>
          </w:tcPr>
          <w:p w:rsidR="00482916" w:rsidRPr="003E6B33" w:rsidRDefault="00482916" w:rsidP="003E6B33">
            <w:pPr>
              <w:rPr>
                <w:sz w:val="20"/>
                <w:szCs w:val="20"/>
              </w:rPr>
            </w:pPr>
            <w:r w:rsidRPr="003E6B33">
              <w:rPr>
                <w:sz w:val="20"/>
                <w:szCs w:val="20"/>
              </w:rPr>
              <w:t>M14-324</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alprazolam or zolpidem</w:t>
            </w:r>
          </w:p>
        </w:tc>
      </w:tr>
      <w:tr w:rsidR="00482916" w:rsidRPr="003E6B33" w:rsidTr="00482916">
        <w:tc>
          <w:tcPr>
            <w:tcW w:w="1384" w:type="dxa"/>
          </w:tcPr>
          <w:p w:rsidR="00482916" w:rsidRPr="003E6B33" w:rsidRDefault="00482916" w:rsidP="003E6B33">
            <w:pPr>
              <w:rPr>
                <w:sz w:val="20"/>
                <w:szCs w:val="20"/>
              </w:rPr>
            </w:pPr>
          </w:p>
        </w:tc>
        <w:tc>
          <w:tcPr>
            <w:tcW w:w="1843" w:type="dxa"/>
          </w:tcPr>
          <w:p w:rsidR="00482916" w:rsidRPr="003E6B33" w:rsidRDefault="00482916" w:rsidP="003E6B33">
            <w:pPr>
              <w:rPr>
                <w:sz w:val="20"/>
                <w:szCs w:val="20"/>
              </w:rPr>
            </w:pPr>
            <w:r w:rsidRPr="003E6B33">
              <w:rPr>
                <w:sz w:val="20"/>
                <w:szCs w:val="20"/>
              </w:rPr>
              <w:t>Furosemide or amlodipine</w:t>
            </w:r>
          </w:p>
        </w:tc>
        <w:tc>
          <w:tcPr>
            <w:tcW w:w="1417" w:type="dxa"/>
          </w:tcPr>
          <w:p w:rsidR="00482916" w:rsidRPr="003E6B33" w:rsidRDefault="00482916" w:rsidP="003E6B33">
            <w:pPr>
              <w:rPr>
                <w:sz w:val="20"/>
                <w:szCs w:val="20"/>
              </w:rPr>
            </w:pPr>
            <w:r w:rsidRPr="003E6B33">
              <w:rPr>
                <w:sz w:val="20"/>
                <w:szCs w:val="20"/>
              </w:rPr>
              <w:t>M1</w:t>
            </w:r>
            <w:r w:rsidR="009E2121" w:rsidRPr="003E6B33">
              <w:rPr>
                <w:sz w:val="20"/>
                <w:szCs w:val="20"/>
              </w:rPr>
              <w:t>4-</w:t>
            </w:r>
            <w:r w:rsidRPr="003E6B33">
              <w:rPr>
                <w:sz w:val="20"/>
                <w:szCs w:val="20"/>
              </w:rPr>
              <w:t>325</w:t>
            </w:r>
          </w:p>
        </w:tc>
        <w:tc>
          <w:tcPr>
            <w:tcW w:w="4253" w:type="dxa"/>
          </w:tcPr>
          <w:p w:rsidR="00482916" w:rsidRPr="003E6B33" w:rsidRDefault="00482916" w:rsidP="003E6B33">
            <w:pPr>
              <w:rPr>
                <w:sz w:val="20"/>
                <w:szCs w:val="20"/>
              </w:rPr>
            </w:pPr>
            <w:r w:rsidRPr="003E6B33">
              <w:rPr>
                <w:sz w:val="20"/>
                <w:szCs w:val="20"/>
              </w:rPr>
              <w:t xml:space="preserve">DDIs between </w:t>
            </w:r>
            <w:r w:rsidR="00F573D0" w:rsidRPr="003E6B33">
              <w:rPr>
                <w:sz w:val="20"/>
                <w:szCs w:val="20"/>
              </w:rPr>
              <w:t>paritaprevir</w:t>
            </w:r>
            <w:r w:rsidRPr="003E6B33">
              <w:rPr>
                <w:sz w:val="20"/>
                <w:szCs w:val="20"/>
              </w:rPr>
              <w:t>/</w:t>
            </w:r>
            <w:r w:rsidR="00630EF4" w:rsidRPr="003E6B33">
              <w:rPr>
                <w:sz w:val="20"/>
                <w:szCs w:val="20"/>
              </w:rPr>
              <w:t xml:space="preserve">ritonavir </w:t>
            </w:r>
            <w:r w:rsidRPr="003E6B33">
              <w:rPr>
                <w:sz w:val="20"/>
                <w:szCs w:val="20"/>
              </w:rPr>
              <w:t xml:space="preserve">with </w:t>
            </w:r>
            <w:r w:rsidR="00590286" w:rsidRPr="003E6B33">
              <w:rPr>
                <w:sz w:val="20"/>
                <w:szCs w:val="20"/>
              </w:rPr>
              <w:t>ombitasvir</w:t>
            </w:r>
            <w:r w:rsidRPr="003E6B33">
              <w:rPr>
                <w:sz w:val="20"/>
                <w:szCs w:val="20"/>
              </w:rPr>
              <w:t xml:space="preserve"> + </w:t>
            </w:r>
            <w:r w:rsidR="00590286" w:rsidRPr="003E6B33">
              <w:rPr>
                <w:sz w:val="20"/>
                <w:szCs w:val="20"/>
              </w:rPr>
              <w:t>dasabuvir</w:t>
            </w:r>
            <w:r w:rsidRPr="003E6B33">
              <w:rPr>
                <w:sz w:val="20"/>
                <w:szCs w:val="20"/>
              </w:rPr>
              <w:t xml:space="preserve"> and furosemide or amlodipine</w:t>
            </w:r>
          </w:p>
        </w:tc>
      </w:tr>
      <w:tr w:rsidR="00482916" w:rsidRPr="003E6B33" w:rsidTr="00482916">
        <w:tc>
          <w:tcPr>
            <w:tcW w:w="1384" w:type="dxa"/>
            <w:vMerge w:val="restart"/>
          </w:tcPr>
          <w:p w:rsidR="00482916" w:rsidRPr="003E6B33" w:rsidRDefault="00482916" w:rsidP="003E6B33">
            <w:pPr>
              <w:rPr>
                <w:sz w:val="20"/>
                <w:szCs w:val="20"/>
              </w:rPr>
            </w:pPr>
            <w:r w:rsidRPr="003E6B33">
              <w:rPr>
                <w:sz w:val="20"/>
                <w:szCs w:val="20"/>
              </w:rPr>
              <w:t>PPK</w:t>
            </w:r>
          </w:p>
        </w:tc>
        <w:tc>
          <w:tcPr>
            <w:tcW w:w="1843" w:type="dxa"/>
          </w:tcPr>
          <w:p w:rsidR="00482916" w:rsidRPr="003E6B33" w:rsidRDefault="00482916" w:rsidP="003E6B33">
            <w:pPr>
              <w:rPr>
                <w:sz w:val="20"/>
                <w:szCs w:val="20"/>
              </w:rPr>
            </w:pPr>
            <w:r w:rsidRPr="003E6B33">
              <w:rPr>
                <w:sz w:val="20"/>
                <w:szCs w:val="20"/>
              </w:rPr>
              <w:t>Healthy subjects</w:t>
            </w:r>
          </w:p>
        </w:tc>
        <w:tc>
          <w:tcPr>
            <w:tcW w:w="1417" w:type="dxa"/>
          </w:tcPr>
          <w:p w:rsidR="00482916" w:rsidRPr="003E6B33" w:rsidRDefault="00482916" w:rsidP="003E6B33">
            <w:pPr>
              <w:rPr>
                <w:sz w:val="20"/>
                <w:szCs w:val="20"/>
              </w:rPr>
            </w:pPr>
            <w:r w:rsidRPr="003E6B33">
              <w:rPr>
                <w:sz w:val="20"/>
                <w:szCs w:val="20"/>
              </w:rPr>
              <w:t>R&amp;D/13/690</w:t>
            </w:r>
          </w:p>
        </w:tc>
        <w:tc>
          <w:tcPr>
            <w:tcW w:w="4253" w:type="dxa"/>
          </w:tcPr>
          <w:p w:rsidR="00482916" w:rsidRPr="003E6B33" w:rsidRDefault="00482916" w:rsidP="003E6B33">
            <w:pPr>
              <w:rPr>
                <w:sz w:val="20"/>
                <w:szCs w:val="20"/>
              </w:rPr>
            </w:pPr>
            <w:r w:rsidRPr="003E6B33">
              <w:rPr>
                <w:sz w:val="20"/>
                <w:szCs w:val="20"/>
              </w:rPr>
              <w:t xml:space="preserve">PPKs of </w:t>
            </w:r>
            <w:r w:rsidR="00590286" w:rsidRPr="003E6B33">
              <w:rPr>
                <w:sz w:val="20"/>
                <w:szCs w:val="20"/>
              </w:rPr>
              <w:t>dasabuvir</w:t>
            </w:r>
            <w:r w:rsidRPr="003E6B33">
              <w:rPr>
                <w:sz w:val="20"/>
                <w:szCs w:val="20"/>
              </w:rPr>
              <w:t xml:space="preserve"> in healthy subjects</w:t>
            </w:r>
          </w:p>
        </w:tc>
      </w:tr>
      <w:tr w:rsidR="00482916" w:rsidRPr="003E6B33" w:rsidTr="00482916">
        <w:tc>
          <w:tcPr>
            <w:tcW w:w="1384" w:type="dxa"/>
            <w:vMerge/>
          </w:tcPr>
          <w:p w:rsidR="00482916" w:rsidRPr="003E6B33" w:rsidRDefault="00482916" w:rsidP="003E6B33">
            <w:pPr>
              <w:rPr>
                <w:sz w:val="20"/>
                <w:szCs w:val="20"/>
              </w:rPr>
            </w:pPr>
          </w:p>
        </w:tc>
        <w:tc>
          <w:tcPr>
            <w:tcW w:w="1843" w:type="dxa"/>
            <w:vMerge w:val="restart"/>
          </w:tcPr>
          <w:p w:rsidR="00482916" w:rsidRPr="003E6B33" w:rsidRDefault="00482916" w:rsidP="003E6B33">
            <w:pPr>
              <w:rPr>
                <w:sz w:val="20"/>
                <w:szCs w:val="20"/>
              </w:rPr>
            </w:pPr>
            <w:r w:rsidRPr="003E6B33">
              <w:rPr>
                <w:sz w:val="20"/>
                <w:szCs w:val="20"/>
              </w:rPr>
              <w:t>Target population</w:t>
            </w:r>
          </w:p>
        </w:tc>
        <w:tc>
          <w:tcPr>
            <w:tcW w:w="1417" w:type="dxa"/>
          </w:tcPr>
          <w:p w:rsidR="00482916" w:rsidRPr="003E6B33" w:rsidRDefault="00482916" w:rsidP="003E6B33">
            <w:pPr>
              <w:rPr>
                <w:sz w:val="20"/>
                <w:szCs w:val="20"/>
              </w:rPr>
            </w:pPr>
            <w:r w:rsidRPr="003E6B33">
              <w:rPr>
                <w:sz w:val="20"/>
                <w:szCs w:val="20"/>
              </w:rPr>
              <w:t>RD 13-1098 PPK</w:t>
            </w:r>
          </w:p>
        </w:tc>
        <w:tc>
          <w:tcPr>
            <w:tcW w:w="4253" w:type="dxa"/>
          </w:tcPr>
          <w:p w:rsidR="00482916" w:rsidRPr="003E6B33" w:rsidRDefault="00482916" w:rsidP="003E6B33">
            <w:pPr>
              <w:rPr>
                <w:sz w:val="20"/>
                <w:szCs w:val="20"/>
              </w:rPr>
            </w:pPr>
            <w:r w:rsidRPr="003E6B33">
              <w:rPr>
                <w:sz w:val="20"/>
                <w:szCs w:val="20"/>
              </w:rPr>
              <w:t xml:space="preserve">PPK of </w:t>
            </w:r>
            <w:r w:rsidR="00237CBE" w:rsidRPr="003E6B33">
              <w:rPr>
                <w:sz w:val="20"/>
                <w:szCs w:val="20"/>
              </w:rPr>
              <w:t>3DAA</w:t>
            </w:r>
            <w:r w:rsidRPr="003E6B33">
              <w:rPr>
                <w:sz w:val="20"/>
                <w:szCs w:val="20"/>
              </w:rPr>
              <w:t>s + ritonavir and ribavirin in Phase I and 2b studies</w:t>
            </w:r>
          </w:p>
        </w:tc>
      </w:tr>
      <w:tr w:rsidR="00482916" w:rsidRPr="003E6B33" w:rsidTr="00482916">
        <w:tc>
          <w:tcPr>
            <w:tcW w:w="1384" w:type="dxa"/>
            <w:vMerge/>
          </w:tcPr>
          <w:p w:rsidR="00482916" w:rsidRPr="003E6B33" w:rsidRDefault="00482916" w:rsidP="003E6B33">
            <w:pPr>
              <w:rPr>
                <w:sz w:val="20"/>
                <w:szCs w:val="20"/>
              </w:rPr>
            </w:pPr>
          </w:p>
        </w:tc>
        <w:tc>
          <w:tcPr>
            <w:tcW w:w="1843" w:type="dxa"/>
            <w:vMerge/>
          </w:tcPr>
          <w:p w:rsidR="00482916" w:rsidRPr="003E6B33" w:rsidRDefault="00482916" w:rsidP="003E6B33">
            <w:pPr>
              <w:rPr>
                <w:sz w:val="20"/>
                <w:szCs w:val="20"/>
              </w:rPr>
            </w:pPr>
          </w:p>
        </w:tc>
        <w:tc>
          <w:tcPr>
            <w:tcW w:w="1417" w:type="dxa"/>
          </w:tcPr>
          <w:p w:rsidR="00482916" w:rsidRPr="003E6B33" w:rsidRDefault="00482916" w:rsidP="003E6B33">
            <w:pPr>
              <w:rPr>
                <w:sz w:val="20"/>
                <w:szCs w:val="20"/>
              </w:rPr>
            </w:pPr>
            <w:r w:rsidRPr="003E6B33">
              <w:rPr>
                <w:sz w:val="20"/>
                <w:szCs w:val="20"/>
              </w:rPr>
              <w:t>RD 1</w:t>
            </w:r>
            <w:r w:rsidR="009E2121" w:rsidRPr="003E6B33">
              <w:rPr>
                <w:sz w:val="20"/>
                <w:szCs w:val="20"/>
              </w:rPr>
              <w:t>4-</w:t>
            </w:r>
            <w:r w:rsidRPr="003E6B33">
              <w:rPr>
                <w:sz w:val="20"/>
                <w:szCs w:val="20"/>
              </w:rPr>
              <w:t>0047 PPK</w:t>
            </w:r>
          </w:p>
        </w:tc>
        <w:tc>
          <w:tcPr>
            <w:tcW w:w="4253" w:type="dxa"/>
          </w:tcPr>
          <w:p w:rsidR="00482916" w:rsidRPr="003E6B33" w:rsidRDefault="00482916" w:rsidP="003E6B33">
            <w:pPr>
              <w:rPr>
                <w:sz w:val="20"/>
                <w:szCs w:val="20"/>
              </w:rPr>
            </w:pPr>
            <w:r w:rsidRPr="003E6B33">
              <w:rPr>
                <w:sz w:val="20"/>
                <w:szCs w:val="20"/>
              </w:rPr>
              <w:t xml:space="preserve">PPK of </w:t>
            </w:r>
            <w:r w:rsidR="00237CBE" w:rsidRPr="003E6B33">
              <w:rPr>
                <w:sz w:val="20"/>
                <w:szCs w:val="20"/>
              </w:rPr>
              <w:t>3DAA</w:t>
            </w:r>
            <w:r w:rsidRPr="003E6B33">
              <w:rPr>
                <w:sz w:val="20"/>
                <w:szCs w:val="20"/>
              </w:rPr>
              <w:t>s + ritonavir and ribavirin in Phase III studies</w:t>
            </w:r>
          </w:p>
        </w:tc>
      </w:tr>
    </w:tbl>
    <w:p w:rsidR="00482916" w:rsidRPr="00047134" w:rsidRDefault="00482916" w:rsidP="00482916">
      <w:pPr>
        <w:pStyle w:val="TableDescription"/>
      </w:pPr>
      <w:r w:rsidRPr="00047134">
        <w:t>* Indicates the primary aim of the study.</w:t>
      </w:r>
      <w:r>
        <w:t xml:space="preserve"> </w:t>
      </w:r>
      <w:r w:rsidR="008363B5" w:rsidRPr="008363B5">
        <w:t xml:space="preserve">ADME </w:t>
      </w:r>
      <w:r w:rsidR="008363B5">
        <w:t xml:space="preserve">- </w:t>
      </w:r>
      <w:r w:rsidR="008363B5" w:rsidRPr="008363B5">
        <w:t>absorption, distribution, metabolism and excretion</w:t>
      </w:r>
      <w:proofErr w:type="gramStart"/>
      <w:r w:rsidR="008363B5">
        <w:t>.</w:t>
      </w:r>
      <w:r w:rsidRPr="00047134">
        <w:t>†</w:t>
      </w:r>
      <w:proofErr w:type="gramEnd"/>
      <w:r w:rsidRPr="00047134">
        <w:t xml:space="preserve"> Bioequivalence of different formulations.</w:t>
      </w:r>
      <w:r>
        <w:t xml:space="preserve"> </w:t>
      </w:r>
      <w:r w:rsidRPr="00047134">
        <w:t xml:space="preserve">BA </w:t>
      </w:r>
      <w:r>
        <w:t>–</w:t>
      </w:r>
      <w:r w:rsidRPr="00047134">
        <w:t xml:space="preserve"> bioavailability</w:t>
      </w:r>
      <w:r>
        <w:t xml:space="preserve"> § </w:t>
      </w:r>
      <w:r w:rsidRPr="00047134">
        <w:t>Subjects who would be eligible to receive the drug if approved for the proposed indication.</w:t>
      </w:r>
      <w:r w:rsidR="004A74D1">
        <w:t xml:space="preserve"> </w:t>
      </w:r>
      <w:r w:rsidR="004A74D1" w:rsidRPr="004A74D1">
        <w:t>CsA</w:t>
      </w:r>
      <w:r w:rsidR="004A74D1">
        <w:t xml:space="preserve"> </w:t>
      </w:r>
      <w:r w:rsidR="00973BDE">
        <w:t>–</w:t>
      </w:r>
      <w:r w:rsidR="004A74D1">
        <w:t xml:space="preserve"> cyclosporine</w:t>
      </w:r>
      <w:r w:rsidR="00973BDE">
        <w:t>. DDI - drug-drug interaction</w:t>
      </w:r>
    </w:p>
    <w:p w:rsidR="00482916" w:rsidRPr="00047134" w:rsidRDefault="00482916" w:rsidP="00482916">
      <w:r w:rsidRPr="00047134">
        <w:t>None of the PK studies had deficiencies that excluded their results from consideration.</w:t>
      </w:r>
    </w:p>
    <w:p w:rsidR="00482916" w:rsidRPr="00482916" w:rsidRDefault="00482916" w:rsidP="00482916">
      <w:r>
        <w:t>For further details of the evaluation of the PK studies please see Attachment 2.</w:t>
      </w:r>
    </w:p>
    <w:p w:rsidR="00605AD4" w:rsidRDefault="00605AD4" w:rsidP="00605AD4">
      <w:pPr>
        <w:pStyle w:val="Heading4"/>
      </w:pPr>
      <w:r>
        <w:t>Evaluator’s conclusions on pharmacokinetics</w:t>
      </w:r>
    </w:p>
    <w:p w:rsidR="003E036A" w:rsidRPr="00E20523" w:rsidRDefault="003E036A" w:rsidP="003E036A">
      <w:pPr>
        <w:pStyle w:val="Heading5"/>
      </w:pPr>
      <w:r w:rsidRPr="00E20523">
        <w:t>Absorption</w:t>
      </w:r>
    </w:p>
    <w:p w:rsidR="003E036A" w:rsidRPr="003E036A" w:rsidRDefault="003E036A" w:rsidP="003E036A">
      <w:pPr>
        <w:pStyle w:val="ListBullet"/>
      </w:pPr>
      <w:r w:rsidRPr="003E036A">
        <w:t xml:space="preserve">Following a single oral dose (150 mg/100 mg/25 mg) of the to be marketed co-formulation of </w:t>
      </w:r>
      <w:r w:rsidR="00F573D0">
        <w:t>paritaprevir</w:t>
      </w:r>
      <w:r w:rsidR="00630EF4">
        <w:t>/ritonavir/</w:t>
      </w:r>
      <w:r w:rsidR="00590286">
        <w:t>ombitasvir</w:t>
      </w:r>
      <w:r w:rsidRPr="003E036A">
        <w:t xml:space="preserve"> under non-fasting conditions 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0E1719">
        <w:t>AUC extrapolated to time infinity</w:t>
      </w:r>
      <w:r w:rsidR="000E1719" w:rsidRPr="003E036A">
        <w:t xml:space="preserve"> </w:t>
      </w:r>
      <w:r w:rsidR="000E1719">
        <w:t>(</w:t>
      </w:r>
      <w:r w:rsidR="00630EF4" w:rsidRPr="003E036A">
        <w:t>AUC</w:t>
      </w:r>
      <w:r w:rsidR="00630EF4" w:rsidRPr="00630EF4">
        <w:rPr>
          <w:vertAlign w:val="subscript"/>
        </w:rPr>
        <w:t>inf</w:t>
      </w:r>
      <w:r w:rsidR="000E1719">
        <w:t>)</w:t>
      </w:r>
      <w:r w:rsidRPr="003E036A">
        <w:t xml:space="preserve"> values for </w:t>
      </w:r>
      <w:r w:rsidR="00F573D0">
        <w:t>paritaprevir</w:t>
      </w:r>
      <w:r w:rsidRPr="003E036A">
        <w:t xml:space="preserve"> were 1,580 ng/mL, 4.9 h</w:t>
      </w:r>
      <w:r w:rsidR="00630EF4">
        <w:t>ours</w:t>
      </w:r>
      <w:r w:rsidRPr="003E036A">
        <w:t>, 5.2 h</w:t>
      </w:r>
      <w:r w:rsidR="00630EF4">
        <w:t>ours</w:t>
      </w:r>
      <w:r w:rsidRPr="003E036A">
        <w:t xml:space="preserve"> and 7,660 ng.h/mL, respectively. For ritonavir thes</w:t>
      </w:r>
      <w:r w:rsidR="00630EF4">
        <w:t>e values were: 1,510 ng/mL; 4.4 </w:t>
      </w:r>
      <w:r w:rsidRPr="003E036A">
        <w:t>h</w:t>
      </w:r>
      <w:r w:rsidR="00630EF4">
        <w:t>ours</w:t>
      </w:r>
      <w:r w:rsidRPr="003E036A">
        <w:t>; 4.4 h</w:t>
      </w:r>
      <w:r w:rsidR="00630EF4">
        <w:t>ours</w:t>
      </w:r>
      <w:r w:rsidRPr="003E036A">
        <w:t xml:space="preserve"> and </w:t>
      </w:r>
      <w:proofErr w:type="gramStart"/>
      <w:r w:rsidRPr="003E036A">
        <w:t>9,210 ng.h/mL,</w:t>
      </w:r>
      <w:proofErr w:type="gramEnd"/>
      <w:r w:rsidRPr="003E036A">
        <w:t xml:space="preserve"> respectively, and for </w:t>
      </w:r>
      <w:r w:rsidR="00590286">
        <w:t>ombitasvir</w:t>
      </w:r>
      <w:r w:rsidR="00630EF4">
        <w:t xml:space="preserve"> were: 127 </w:t>
      </w:r>
      <w:r w:rsidRPr="003E036A">
        <w:t>ng/mL, 5.2 h</w:t>
      </w:r>
      <w:r w:rsidR="00630EF4">
        <w:t>ours</w:t>
      </w:r>
      <w:r w:rsidRPr="003E036A">
        <w:t>, 29.0 h</w:t>
      </w:r>
      <w:r w:rsidR="00630EF4">
        <w:t>ours</w:t>
      </w:r>
      <w:r w:rsidRPr="003E036A">
        <w:t xml:space="preserve"> and 1,670 ng.h/mL. Following a single oral dose of the to be marketed </w:t>
      </w:r>
      <w:r w:rsidR="00590286">
        <w:t>dasabuvir</w:t>
      </w:r>
      <w:r w:rsidRPr="003E036A">
        <w:t xml:space="preserve"> 250 mg tablet under non-fasting conditions 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630EF4" w:rsidRPr="003E036A">
        <w:t>AUC</w:t>
      </w:r>
      <w:r w:rsidR="00630EF4" w:rsidRPr="00630EF4">
        <w:rPr>
          <w:vertAlign w:val="subscript"/>
        </w:rPr>
        <w:t>inf</w:t>
      </w:r>
      <w:r w:rsidRPr="003E036A">
        <w:t xml:space="preserve"> values for </w:t>
      </w:r>
      <w:r w:rsidR="00590286">
        <w:t>dasabuvir</w:t>
      </w:r>
      <w:r w:rsidRPr="003E036A">
        <w:t xml:space="preserve"> were 699 ng/mL, 3.47 h</w:t>
      </w:r>
      <w:r w:rsidR="00630EF4">
        <w:t>ours</w:t>
      </w:r>
      <w:r w:rsidRPr="003E036A">
        <w:t>, 7.07 h</w:t>
      </w:r>
      <w:r w:rsidR="00630EF4">
        <w:t>ours</w:t>
      </w:r>
      <w:r w:rsidRPr="003E036A">
        <w:t xml:space="preserve"> and 6,050 ng.h/mL, respectively.</w:t>
      </w:r>
    </w:p>
    <w:p w:rsidR="003E036A" w:rsidRPr="003E036A" w:rsidRDefault="003E036A" w:rsidP="003E036A">
      <w:pPr>
        <w:pStyle w:val="ListBullet"/>
      </w:pPr>
      <w:r w:rsidRPr="003E036A">
        <w:t xml:space="preserve">The absolute bioavailability of </w:t>
      </w:r>
      <w:r w:rsidR="00F573D0">
        <w:t>paritaprevir</w:t>
      </w:r>
      <w:r w:rsidRPr="003E036A">
        <w:t xml:space="preserve"> and </w:t>
      </w:r>
      <w:r w:rsidR="00590286">
        <w:t>ombitasvir</w:t>
      </w:r>
      <w:r w:rsidRPr="003E036A">
        <w:t xml:space="preserve"> has not been determined.</w:t>
      </w:r>
    </w:p>
    <w:p w:rsidR="003E036A" w:rsidRPr="003E036A" w:rsidRDefault="003E036A" w:rsidP="003E036A">
      <w:pPr>
        <w:pStyle w:val="ListBullet"/>
      </w:pPr>
      <w:r w:rsidRPr="003E036A">
        <w:t xml:space="preserve">The absolute bioavailability of a 400 mg oral tablet dose of </w:t>
      </w:r>
      <w:r w:rsidR="00590286">
        <w:t>dasabuvir</w:t>
      </w:r>
      <w:r w:rsidRPr="003E036A">
        <w:t xml:space="preserve"> compared to an intravenous microdose of approximately 85 µg of </w:t>
      </w:r>
      <w:r w:rsidRPr="00630EF4">
        <w:rPr>
          <w:vertAlign w:val="superscript"/>
        </w:rPr>
        <w:t>14</w:t>
      </w:r>
      <w:r w:rsidRPr="003E036A">
        <w:t>C-</w:t>
      </w:r>
      <w:r w:rsidR="00590286">
        <w:t>dasabuvir</w:t>
      </w:r>
      <w:r w:rsidRPr="003E036A">
        <w:t xml:space="preserve"> was 46%.</w:t>
      </w:r>
    </w:p>
    <w:p w:rsidR="003E036A" w:rsidRPr="003E036A" w:rsidRDefault="003E036A" w:rsidP="003E036A">
      <w:pPr>
        <w:pStyle w:val="ListBullet"/>
      </w:pPr>
      <w:r w:rsidRPr="003E036A">
        <w:t xml:space="preserve">Only a single dosage form and strength is proposed for </w:t>
      </w:r>
      <w:proofErr w:type="gramStart"/>
      <w:r w:rsidRPr="003E036A">
        <w:t>the to</w:t>
      </w:r>
      <w:proofErr w:type="gramEnd"/>
      <w:r w:rsidRPr="003E036A">
        <w:t xml:space="preserve"> be marketed co-formulated </w:t>
      </w:r>
      <w:r w:rsidR="00F573D0">
        <w:t>paritaprevir</w:t>
      </w:r>
      <w:r w:rsidR="00630EF4">
        <w:t>/ritonavir/</w:t>
      </w:r>
      <w:r w:rsidR="00590286">
        <w:t>ombitasvir</w:t>
      </w:r>
      <w:r w:rsidRPr="003E036A">
        <w:t xml:space="preserve"> (75 mg/50 mg/12.5 mg) and </w:t>
      </w:r>
      <w:r w:rsidR="00590286">
        <w:t>dasabuvir</w:t>
      </w:r>
      <w:r w:rsidRPr="003E036A">
        <w:t xml:space="preserve"> 250 mg tablets.</w:t>
      </w:r>
    </w:p>
    <w:p w:rsidR="003E036A" w:rsidRPr="003E036A" w:rsidRDefault="003E036A" w:rsidP="003E036A">
      <w:pPr>
        <w:pStyle w:val="ListBullet"/>
      </w:pPr>
      <w:r w:rsidRPr="003E036A">
        <w:lastRenderedPageBreak/>
        <w:t>A number of different formulations of the active drugs were used during the clinical trial program.</w:t>
      </w:r>
    </w:p>
    <w:p w:rsidR="003E036A" w:rsidRPr="003E036A" w:rsidRDefault="003E036A" w:rsidP="003E036A">
      <w:pPr>
        <w:pStyle w:val="ListBullet"/>
      </w:pPr>
      <w:r w:rsidRPr="003E036A">
        <w:t xml:space="preserve">In the presence of 100 mg ritonavir, the Phase </w:t>
      </w:r>
      <w:r w:rsidRPr="000C68D5">
        <w:t>II SSD</w:t>
      </w:r>
      <w:r w:rsidRPr="003E036A">
        <w:t xml:space="preserve"> tablet formulation of </w:t>
      </w:r>
      <w:r w:rsidR="00F573D0">
        <w:t>paritaprevir</w:t>
      </w:r>
      <w:r w:rsidRPr="003E036A">
        <w:t xml:space="preserve"> had a lower bioavailability (55% and 49% lower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respectively) than the 200 mg </w:t>
      </w:r>
      <w:r w:rsidR="00F573D0">
        <w:t>paritaprevir</w:t>
      </w:r>
      <w:r w:rsidRPr="003E036A">
        <w:t xml:space="preserve"> </w:t>
      </w:r>
      <w:r w:rsidR="00E458BE" w:rsidRPr="00E458BE">
        <w:t>hard gelatin capsule (</w:t>
      </w:r>
      <w:r w:rsidRPr="00E458BE">
        <w:t>HGC</w:t>
      </w:r>
      <w:r w:rsidR="00E458BE" w:rsidRPr="00E458BE">
        <w:t>)</w:t>
      </w:r>
      <w:r w:rsidRPr="00E458BE">
        <w:t xml:space="preserve"> used in</w:t>
      </w:r>
      <w:r w:rsidRPr="003E036A">
        <w:t xml:space="preserve"> early Phase I clinical trials.</w:t>
      </w:r>
    </w:p>
    <w:p w:rsidR="003E036A" w:rsidRPr="003E036A" w:rsidRDefault="003E036A" w:rsidP="003E036A">
      <w:pPr>
        <w:pStyle w:val="ListBullet"/>
      </w:pPr>
      <w:r w:rsidRPr="003E036A">
        <w:t xml:space="preserve">Following administration of the co-formulated </w:t>
      </w:r>
      <w:r w:rsidR="00F573D0">
        <w:t>paritaprevir</w:t>
      </w:r>
      <w:r w:rsidRPr="003E036A">
        <w:t>/</w:t>
      </w:r>
      <w:r w:rsidR="00630EF4" w:rsidRPr="00630EF4">
        <w:t>ritonavir</w:t>
      </w:r>
      <w:r w:rsidRPr="00630EF4">
        <w:t xml:space="preserve"> </w:t>
      </w:r>
      <w:r w:rsidRPr="003E036A">
        <w:t xml:space="preserve">150 mg/100 mg (that is the proposed recommended dose)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00630EF4">
        <w:t xml:space="preserve"> were 1.53 </w:t>
      </w:r>
      <w:r w:rsidRPr="003E036A">
        <w:t xml:space="preserve">fold and 1.35 fold higher than following administration of 150 mg of the </w:t>
      </w:r>
      <w:r w:rsidR="00F573D0">
        <w:t>paritaprevir</w:t>
      </w:r>
      <w:r w:rsidRPr="003E036A">
        <w:t xml:space="preserve"> SSD tablet co-administered with the 100 mg ritonavir capsule.</w:t>
      </w:r>
    </w:p>
    <w:p w:rsidR="003E036A" w:rsidRPr="000C68D5" w:rsidRDefault="003E036A" w:rsidP="003E036A">
      <w:pPr>
        <w:pStyle w:val="ListBullet"/>
      </w:pPr>
      <w:r w:rsidRPr="003E036A">
        <w:t xml:space="preserve">The </w:t>
      </w:r>
      <w:r w:rsidR="003A33A4" w:rsidRPr="008912E8">
        <w:t>C</w:t>
      </w:r>
      <w:r w:rsidR="003A33A4" w:rsidRPr="003A33A4">
        <w:rPr>
          <w:vertAlign w:val="subscript"/>
        </w:rPr>
        <w:t>max</w:t>
      </w:r>
      <w:r w:rsidRPr="003E036A">
        <w:t xml:space="preserve"> and </w:t>
      </w:r>
      <w:r w:rsidR="00630EF4" w:rsidRPr="003E036A">
        <w:t>AUC</w:t>
      </w:r>
      <w:r w:rsidR="00630EF4" w:rsidRPr="00630EF4">
        <w:rPr>
          <w:vertAlign w:val="subscript"/>
        </w:rPr>
        <w:t>inf</w:t>
      </w:r>
      <w:r w:rsidRPr="003E036A">
        <w:t xml:space="preserve"> values for the uncoated </w:t>
      </w:r>
      <w:r w:rsidR="00590286" w:rsidRPr="000C68D5">
        <w:t>ombitasvir</w:t>
      </w:r>
      <w:r w:rsidRPr="000C68D5">
        <w:t xml:space="preserve"> HME tablet, which was used in Phase II studies onwards, were 1.9 fold and 1.75 fold higher, respectively, relative to the </w:t>
      </w:r>
      <w:r w:rsidR="00590286" w:rsidRPr="000C68D5">
        <w:t>ombitasvir</w:t>
      </w:r>
      <w:r w:rsidRPr="000C68D5">
        <w:t xml:space="preserve"> SDD tablet used in the initial Phase I trials.</w:t>
      </w:r>
    </w:p>
    <w:p w:rsidR="003E036A" w:rsidRPr="000C68D5" w:rsidRDefault="003E036A" w:rsidP="003E036A">
      <w:pPr>
        <w:pStyle w:val="ListBullet"/>
      </w:pPr>
      <w:r w:rsidRPr="000C68D5">
        <w:t xml:space="preserve">Later in the development program a coated </w:t>
      </w:r>
      <w:r w:rsidR="00590286" w:rsidRPr="000C68D5">
        <w:t>ombitasvir</w:t>
      </w:r>
      <w:r w:rsidRPr="000C68D5">
        <w:t xml:space="preserve"> HME tablet was developed, which was bioequivalent with the uncoated HME tablet.</w:t>
      </w:r>
    </w:p>
    <w:p w:rsidR="003E036A" w:rsidRPr="003E036A" w:rsidRDefault="003E036A" w:rsidP="003E036A">
      <w:pPr>
        <w:pStyle w:val="ListBullet"/>
      </w:pPr>
      <w:r w:rsidRPr="003E036A">
        <w:t xml:space="preserve">Following administration of a triple co-formulated tablet containing </w:t>
      </w:r>
      <w:r w:rsidR="00F573D0">
        <w:t>paritaprevir</w:t>
      </w:r>
      <w:r w:rsidR="00630EF4">
        <w:t xml:space="preserve">/ritonavir/ </w:t>
      </w:r>
      <w:r w:rsidR="00590286">
        <w:t>ombitasvir</w:t>
      </w:r>
      <w:r w:rsidRPr="003E036A">
        <w:t xml:space="preserve">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Pr="003E036A">
        <w:t xml:space="preserve"> were 1.93 fold and 1.63 fold higher than the corresponding values obtained for the free combination. By contrast, ritonavir exposure following administration of the triple co-formulated tablet was similar to ritonavir exposure following dosing with the free combination and </w:t>
      </w:r>
      <w:r w:rsidR="00590286">
        <w:t>ombitasvir</w:t>
      </w:r>
      <w:r w:rsidRPr="003E036A">
        <w:t xml:space="preserve"> exposures were bioequivalent.</w:t>
      </w:r>
    </w:p>
    <w:p w:rsidR="003E036A" w:rsidRPr="003E036A" w:rsidRDefault="003E036A" w:rsidP="003E036A">
      <w:pPr>
        <w:pStyle w:val="ListBullet"/>
      </w:pPr>
      <w:r w:rsidRPr="003E036A">
        <w:t xml:space="preserve">The commercial tablet formulation of </w:t>
      </w:r>
      <w:r w:rsidR="00590286">
        <w:t>dasabuvir</w:t>
      </w:r>
      <w:r w:rsidRPr="003E036A">
        <w:t xml:space="preserve"> was bioequivalent with the formulation used in the Phase III clinical trials.</w:t>
      </w:r>
    </w:p>
    <w:p w:rsidR="003E036A" w:rsidRPr="003E036A" w:rsidRDefault="003E036A" w:rsidP="003E036A">
      <w:pPr>
        <w:pStyle w:val="ListBullet"/>
      </w:pPr>
      <w:r w:rsidRPr="003E036A">
        <w:t xml:space="preserve">Following administration of the proposed daily dose of the co-formulated </w:t>
      </w:r>
      <w:r w:rsidR="00F573D0">
        <w:t>paritaprevir</w:t>
      </w:r>
      <w:r w:rsidR="00630EF4">
        <w:t>/ritonavir/</w:t>
      </w:r>
      <w:r w:rsidR="00590286">
        <w:t>ombitasvir</w:t>
      </w:r>
      <w:r w:rsidR="00630EF4">
        <w:t xml:space="preserve"> tablet, a moderate </w:t>
      </w:r>
      <w:r w:rsidRPr="003E036A">
        <w:t xml:space="preserve">fat breakfast increased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F573D0">
        <w:t>paritaprevir</w:t>
      </w:r>
      <w:r w:rsidRPr="003E036A">
        <w:t xml:space="preserve"> by 4.67 and 3.11 fold, respectively, compared to when the co-formulation was administered under fasted conditions.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values for of ritonavir were increased by 1.63 and 1.49 fold, respectively, and the </w:t>
      </w:r>
      <w:r w:rsidR="003A33A4" w:rsidRPr="008912E8">
        <w:t>C</w:t>
      </w:r>
      <w:r w:rsidR="003A33A4" w:rsidRPr="003A33A4">
        <w:rPr>
          <w:vertAlign w:val="subscript"/>
        </w:rPr>
        <w:t>max</w:t>
      </w:r>
      <w:r w:rsidRPr="003E036A">
        <w:t xml:space="preserve"> and </w:t>
      </w:r>
      <w:r w:rsidR="00630EF4" w:rsidRPr="003E036A">
        <w:t>AUC</w:t>
      </w:r>
      <w:r w:rsidR="00630EF4" w:rsidRPr="00630EF4">
        <w:rPr>
          <w:vertAlign w:val="subscript"/>
        </w:rPr>
        <w:t>inf</w:t>
      </w:r>
      <w:r w:rsidRPr="003E036A">
        <w:t xml:space="preserve"> of </w:t>
      </w:r>
      <w:r w:rsidR="00590286">
        <w:t>ombitasvir</w:t>
      </w:r>
      <w:r w:rsidRPr="003E036A">
        <w:t xml:space="preserve"> increased by 2.27 and 1.82 fold, respectively.</w:t>
      </w:r>
    </w:p>
    <w:p w:rsidR="003E036A" w:rsidRPr="003E036A" w:rsidRDefault="003E036A" w:rsidP="003E036A">
      <w:pPr>
        <w:pStyle w:val="ListBullet"/>
      </w:pPr>
      <w:r w:rsidRPr="003E036A">
        <w:t xml:space="preserve">Following administration of a 250 mg dose of the optimised Phase III tablet formulation a moderate fat breakfast increased the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of </w:t>
      </w:r>
      <w:r w:rsidR="00590286">
        <w:t>dasabuvir</w:t>
      </w:r>
      <w:r w:rsidRPr="003E036A">
        <w:t xml:space="preserve"> by 1.53 and 1.3 fold compared to when </w:t>
      </w:r>
      <w:r w:rsidR="00590286">
        <w:t>dasabuvir</w:t>
      </w:r>
      <w:r w:rsidRPr="003E036A">
        <w:t xml:space="preserve"> was administered under fasted conditions.</w:t>
      </w:r>
    </w:p>
    <w:p w:rsidR="003E036A" w:rsidRPr="003E036A" w:rsidRDefault="003E036A" w:rsidP="003E036A">
      <w:pPr>
        <w:pStyle w:val="ListBullet"/>
      </w:pPr>
      <w:r w:rsidRPr="003E036A">
        <w:t xml:space="preserve">Following co-administration of single doses of </w:t>
      </w:r>
      <w:r w:rsidR="00F573D0">
        <w:t>paritaprevir</w:t>
      </w:r>
      <w:r w:rsidRPr="003E036A">
        <w:t xml:space="preserve"> with ritonavir the PKs of </w:t>
      </w:r>
      <w:r w:rsidR="00F573D0">
        <w:t>paritaprevir</w:t>
      </w:r>
      <w:r w:rsidRPr="003E036A">
        <w:t xml:space="preserve"> were nonlinear and increased supra proportionally with dose. Following 14 days QD dosing with </w:t>
      </w:r>
      <w:r w:rsidR="00F573D0">
        <w:t>paritaprevir</w:t>
      </w:r>
      <w:r w:rsidRPr="003E036A">
        <w:t>/</w:t>
      </w:r>
      <w:r w:rsidR="00630EF4" w:rsidRPr="00630EF4">
        <w:t xml:space="preserve"> </w:t>
      </w:r>
      <w:r w:rsidR="00630EF4">
        <w:t>ritonavir</w:t>
      </w:r>
      <w:r w:rsidRPr="003E036A">
        <w:t xml:space="preserve"> 200/100 mg,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630EF4">
        <w:rPr>
          <w:vertAlign w:val="subscript"/>
        </w:rPr>
        <w:t>t</w:t>
      </w:r>
      <w:r w:rsidRPr="003E036A">
        <w:t xml:space="preserve"> were approximately 2.3 fold and 1.68 fold higher, respectively, following 14 days dosing with 200/100 mg QD than following a single dose.</w:t>
      </w:r>
    </w:p>
    <w:p w:rsidR="003E036A" w:rsidRPr="003E036A" w:rsidRDefault="003E036A" w:rsidP="003E036A">
      <w:pPr>
        <w:pStyle w:val="ListBullet"/>
      </w:pPr>
      <w:r w:rsidRPr="003E036A">
        <w:t xml:space="preserve">For the </w:t>
      </w:r>
      <w:r w:rsidR="00590286">
        <w:t>ombitasvir</w:t>
      </w:r>
      <w:r w:rsidRPr="003E036A">
        <w:t xml:space="preserve"> SSD tablets between doses of 1.5 mg to 50 mg, the dose normalised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increased with dose indicating that at these dose the PKs of </w:t>
      </w:r>
      <w:r w:rsidR="00590286">
        <w:t>ombitasvir</w:t>
      </w:r>
      <w:r w:rsidRPr="003E036A">
        <w:t xml:space="preserve"> were non-linear and increased greater than dose proportionally. By contrast, at higher doses the PKs were dose linear. Following 10 days QD dosing with 25 mg </w:t>
      </w:r>
      <w:r w:rsidR="00590286">
        <w:t>ombitasvir</w:t>
      </w:r>
      <w:r w:rsidRPr="003E036A">
        <w:t xml:space="preserve"> the </w:t>
      </w:r>
      <w:r w:rsidR="003A33A4" w:rsidRPr="008912E8">
        <w:t>C</w:t>
      </w:r>
      <w:r w:rsidR="003A33A4" w:rsidRPr="003A33A4">
        <w:rPr>
          <w:vertAlign w:val="subscript"/>
        </w:rPr>
        <w:t>max</w:t>
      </w:r>
      <w:r w:rsidR="00630EF4">
        <w:t xml:space="preserve"> </w:t>
      </w:r>
      <w:r w:rsidRPr="003E036A">
        <w:t>and AUC</w:t>
      </w:r>
      <w:r w:rsidRPr="00630EF4">
        <w:rPr>
          <w:vertAlign w:val="subscript"/>
        </w:rPr>
        <w:t>0-24</w:t>
      </w:r>
      <w:r w:rsidRPr="003E036A">
        <w:t xml:space="preserve"> values of </w:t>
      </w:r>
      <w:r w:rsidR="00590286">
        <w:t>ombitasvir</w:t>
      </w:r>
      <w:r w:rsidRPr="003E036A">
        <w:t xml:space="preserve"> increased approximately 1.49 fold and 1.56 fold, respectively, compared to administration of a single dose.</w:t>
      </w:r>
    </w:p>
    <w:p w:rsidR="003E036A" w:rsidRPr="003E036A" w:rsidRDefault="003E036A" w:rsidP="003E036A">
      <w:pPr>
        <w:pStyle w:val="ListBullet"/>
      </w:pPr>
      <w:r w:rsidRPr="003E036A">
        <w:t xml:space="preserve">Following 21 days dosing with 25 mg </w:t>
      </w:r>
      <w:r w:rsidR="00590286">
        <w:t>ombitasvir</w:t>
      </w:r>
      <w:r w:rsidRPr="003E036A">
        <w:t xml:space="preserve"> SSD and 14 days with co-administered </w:t>
      </w:r>
      <w:r w:rsidR="00F573D0">
        <w:t>paritaprevir</w:t>
      </w:r>
      <w:r w:rsidRPr="003E036A">
        <w:t>/</w:t>
      </w:r>
      <w:r w:rsidR="00630EF4">
        <w:t>ritonavir</w:t>
      </w:r>
      <w:r w:rsidRPr="003E036A">
        <w:t xml:space="preserve"> 250 mg SSD/100 mg SGC (starting on Day 8), the accumulation ratios for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630EF4">
        <w:rPr>
          <w:vertAlign w:val="subscript"/>
        </w:rPr>
        <w:t>24</w:t>
      </w:r>
      <w:r w:rsidRPr="003E036A">
        <w:t xml:space="preserve"> were 3.81 and 2.60, respectively. The accumulation ratios for ritonavir over this period the accumulation ratios for </w:t>
      </w:r>
      <w:r w:rsidR="003A33A4" w:rsidRPr="008912E8">
        <w:t>C</w:t>
      </w:r>
      <w:r w:rsidR="003A33A4" w:rsidRPr="003A33A4">
        <w:rPr>
          <w:vertAlign w:val="subscript"/>
        </w:rPr>
        <w:t>max</w:t>
      </w:r>
      <w:r w:rsidR="00630EF4">
        <w:t xml:space="preserve"> </w:t>
      </w:r>
      <w:r w:rsidRPr="003E036A">
        <w:t>and AUC</w:t>
      </w:r>
      <w:r w:rsidRPr="000E1719">
        <w:rPr>
          <w:vertAlign w:val="subscript"/>
        </w:rPr>
        <w:t>24</w:t>
      </w:r>
      <w:r w:rsidRPr="003E036A">
        <w:t xml:space="preserve"> were 2.29 and 1.67, respectively, and for </w:t>
      </w:r>
      <w:r w:rsidR="00590286">
        <w:t>ombitasvir</w:t>
      </w:r>
      <w:r w:rsidRPr="003E036A">
        <w:t xml:space="preserve"> were 0.83 and 0.91, respectively.</w:t>
      </w:r>
    </w:p>
    <w:p w:rsidR="003E036A" w:rsidRPr="003E036A" w:rsidRDefault="003E036A" w:rsidP="003E036A">
      <w:pPr>
        <w:pStyle w:val="ListBullet"/>
      </w:pPr>
      <w:r w:rsidRPr="003E036A">
        <w:lastRenderedPageBreak/>
        <w:t xml:space="preserve">The dose normalised </w:t>
      </w:r>
      <w:r w:rsidR="003A33A4" w:rsidRPr="008912E8">
        <w:t>C</w:t>
      </w:r>
      <w:r w:rsidR="003A33A4" w:rsidRPr="003A33A4">
        <w:rPr>
          <w:vertAlign w:val="subscript"/>
        </w:rPr>
        <w:t>max</w:t>
      </w:r>
      <w:r w:rsidR="00630EF4">
        <w:t xml:space="preserve"> </w:t>
      </w:r>
      <w:r w:rsidRPr="003E036A">
        <w:t xml:space="preserve">and AUC of </w:t>
      </w:r>
      <w:r w:rsidR="00590286">
        <w:t>dasabuvir</w:t>
      </w:r>
      <w:r w:rsidRPr="003E036A">
        <w:t xml:space="preserve"> tablets were very similar at doses of 1,200 and 1,600 mg. By contrast for the capsule formulation of </w:t>
      </w:r>
      <w:r w:rsidR="00590286">
        <w:t>dasabuvir</w:t>
      </w:r>
      <w:r w:rsidRPr="003E036A">
        <w:t xml:space="preserve">, dose normalised </w:t>
      </w:r>
      <w:r w:rsidR="003A33A4" w:rsidRPr="008912E8">
        <w:t>C</w:t>
      </w:r>
      <w:r w:rsidR="003A33A4" w:rsidRPr="003A33A4">
        <w:rPr>
          <w:vertAlign w:val="subscript"/>
        </w:rPr>
        <w:t>max</w:t>
      </w:r>
      <w:r w:rsidR="00630EF4">
        <w:t xml:space="preserve"> </w:t>
      </w:r>
      <w:r w:rsidRPr="003E036A">
        <w:t xml:space="preserve">and </w:t>
      </w:r>
      <w:r w:rsidR="00630EF4" w:rsidRPr="003E036A">
        <w:t>AUC</w:t>
      </w:r>
      <w:r w:rsidR="00630EF4" w:rsidRPr="00630EF4">
        <w:rPr>
          <w:vertAlign w:val="subscript"/>
        </w:rPr>
        <w:t>inf</w:t>
      </w:r>
      <w:r w:rsidRPr="003E036A">
        <w:t xml:space="preserve"> appeared to decrease with dose for doses up to 200 mg and for doses greater than 1,200 mg. The accumulation ratios comparing the AUC</w:t>
      </w:r>
      <w:r w:rsidRPr="00772535">
        <w:rPr>
          <w:vertAlign w:val="subscript"/>
        </w:rPr>
        <w:t>12</w:t>
      </w:r>
      <w:r w:rsidRPr="003E036A">
        <w:t xml:space="preserve"> following 10 days and a single dose of </w:t>
      </w:r>
      <w:r w:rsidR="00590286">
        <w:t>dasabuvir</w:t>
      </w:r>
      <w:r w:rsidRPr="003E036A">
        <w:t xml:space="preserve"> ranged from 0.95 to 1.65.</w:t>
      </w:r>
    </w:p>
    <w:p w:rsidR="003E036A" w:rsidRPr="003E036A" w:rsidRDefault="003E036A" w:rsidP="003E036A">
      <w:pPr>
        <w:pStyle w:val="ListBullet"/>
      </w:pPr>
      <w:r w:rsidRPr="003E036A">
        <w:t xml:space="preserve">Following 21 days of dosing with </w:t>
      </w:r>
      <w:r w:rsidR="00F573D0">
        <w:t>paritaprevir</w:t>
      </w:r>
      <w:r w:rsidRPr="003E036A">
        <w:t>/</w:t>
      </w:r>
      <w:r w:rsidR="00772535">
        <w:t>ritonavir</w:t>
      </w:r>
      <w:r w:rsidRPr="003E036A">
        <w:t xml:space="preserve"> (250 mg SSD/100 mg SGC) QD + </w:t>
      </w:r>
      <w:r w:rsidR="00590286">
        <w:t>ombitasvir</w:t>
      </w:r>
      <w:r w:rsidRPr="003E036A">
        <w:t xml:space="preserve"> HME 200 mg QD + </w:t>
      </w:r>
      <w:r w:rsidR="00590286">
        <w:t>dasabuvir</w:t>
      </w:r>
      <w:r w:rsidRPr="003E036A">
        <w:t xml:space="preserve"> 400 mg tablet </w:t>
      </w:r>
      <w:r w:rsidR="000E1719">
        <w:t>twice daily</w:t>
      </w:r>
      <w:r w:rsidR="000E1719" w:rsidRPr="003E036A">
        <w:t xml:space="preserve"> </w:t>
      </w:r>
      <w:r w:rsidR="000E1719">
        <w:t>(</w:t>
      </w:r>
      <w:r w:rsidRPr="003E036A">
        <w:t>BD</w:t>
      </w:r>
      <w:r w:rsidR="000E1719">
        <w:t>)</w:t>
      </w:r>
      <w:r w:rsidRPr="003E036A">
        <w:t xml:space="preserve">, the accumulation ratios for </w:t>
      </w:r>
      <w:r w:rsidR="00F573D0">
        <w:t>paritaprevir</w:t>
      </w:r>
      <w:r w:rsidRPr="003E036A">
        <w:t xml:space="preserve"> </w:t>
      </w:r>
      <w:r w:rsidR="003A33A4" w:rsidRPr="008912E8">
        <w:t>C</w:t>
      </w:r>
      <w:r w:rsidR="003A33A4" w:rsidRPr="003A33A4">
        <w:rPr>
          <w:vertAlign w:val="subscript"/>
        </w:rPr>
        <w:t>max</w:t>
      </w:r>
      <w:r w:rsidR="00630EF4">
        <w:t xml:space="preserve"> </w:t>
      </w:r>
      <w:r w:rsidRPr="003E036A">
        <w:t>and AUC</w:t>
      </w:r>
      <w:r w:rsidRPr="000E1719">
        <w:rPr>
          <w:vertAlign w:val="subscript"/>
        </w:rPr>
        <w:t>24</w:t>
      </w:r>
      <w:r w:rsidRPr="003E036A">
        <w:t xml:space="preserve"> were 2.32 and 1.89, respectively; for ritonavir they were 1.64 and 1.82, respectively; for </w:t>
      </w:r>
      <w:r w:rsidR="00590286">
        <w:t>ombitasvir</w:t>
      </w:r>
      <w:r w:rsidRPr="003E036A">
        <w:t xml:space="preserve"> they were 0.90 and 1.12; and for </w:t>
      </w:r>
      <w:r w:rsidR="00590286">
        <w:t>dasabuvir</w:t>
      </w:r>
      <w:r w:rsidRPr="003E036A">
        <w:t xml:space="preserve"> were 0.905 and 0.974.</w:t>
      </w:r>
    </w:p>
    <w:p w:rsidR="003E036A" w:rsidRPr="003E036A" w:rsidRDefault="003E036A" w:rsidP="003E036A">
      <w:pPr>
        <w:pStyle w:val="ListBullet"/>
      </w:pPr>
      <w:r w:rsidRPr="003E036A">
        <w:t xml:space="preserve">When dosed QD, a 50% increase in </w:t>
      </w:r>
      <w:r w:rsidR="00F573D0">
        <w:t>paritaprevir</w:t>
      </w:r>
      <w:r w:rsidRPr="003E036A">
        <w:t xml:space="preserve"> dose from 200 mg to 300 mg increased mean </w:t>
      </w:r>
      <w:r w:rsidR="003A33A4" w:rsidRPr="008912E8">
        <w:t>C</w:t>
      </w:r>
      <w:r w:rsidR="003A33A4" w:rsidRPr="003A33A4">
        <w:rPr>
          <w:vertAlign w:val="subscript"/>
        </w:rPr>
        <w:t>max</w:t>
      </w:r>
      <w:r w:rsidR="00630EF4">
        <w:t xml:space="preserve"> </w:t>
      </w:r>
      <w:r w:rsidRPr="003E036A">
        <w:t xml:space="preserve">and mean AUC by 5 to 6 fold. Increasing the BD dose from </w:t>
      </w:r>
      <w:r w:rsidR="00F573D0">
        <w:t>paritaprevir</w:t>
      </w:r>
      <w:r w:rsidRPr="003E036A">
        <w:t xml:space="preserve"> 50 to 100 mg increased the </w:t>
      </w:r>
      <w:r w:rsidR="003A33A4" w:rsidRPr="008912E8">
        <w:t>C</w:t>
      </w:r>
      <w:r w:rsidR="003A33A4" w:rsidRPr="003A33A4">
        <w:rPr>
          <w:vertAlign w:val="subscript"/>
        </w:rPr>
        <w:t>max</w:t>
      </w:r>
      <w:r w:rsidR="00630EF4">
        <w:t xml:space="preserve"> </w:t>
      </w:r>
      <w:r w:rsidRPr="003E036A">
        <w:t>and AUC by 4 to 5 fold.</w:t>
      </w:r>
    </w:p>
    <w:p w:rsidR="003E036A" w:rsidRPr="003E036A" w:rsidRDefault="003E036A" w:rsidP="003E036A">
      <w:pPr>
        <w:pStyle w:val="ListBullet"/>
      </w:pPr>
      <w:r w:rsidRPr="003E036A">
        <w:t xml:space="preserve">Following BD dosing with </w:t>
      </w:r>
      <w:r w:rsidR="00590286">
        <w:t>dasabuvir</w:t>
      </w:r>
      <w:r w:rsidRPr="003E036A">
        <w:t xml:space="preserve"> the </w:t>
      </w:r>
      <w:r w:rsidR="003A33A4" w:rsidRPr="008912E8">
        <w:t>C</w:t>
      </w:r>
      <w:r w:rsidR="003A33A4" w:rsidRPr="003A33A4">
        <w:rPr>
          <w:vertAlign w:val="subscript"/>
        </w:rPr>
        <w:t>max</w:t>
      </w:r>
      <w:r w:rsidR="00630EF4">
        <w:t xml:space="preserve"> </w:t>
      </w:r>
      <w:r w:rsidRPr="003E036A">
        <w:t>values following the morning dose were higher than the values following the evening dose.</w:t>
      </w:r>
    </w:p>
    <w:p w:rsidR="003E036A" w:rsidRPr="00E20523" w:rsidRDefault="003E036A" w:rsidP="003E036A">
      <w:pPr>
        <w:pStyle w:val="Heading5"/>
      </w:pPr>
      <w:r w:rsidRPr="00E20523">
        <w:t>Distribution</w:t>
      </w:r>
    </w:p>
    <w:p w:rsidR="003E036A" w:rsidRPr="003E036A" w:rsidRDefault="003E036A" w:rsidP="003E036A">
      <w:pPr>
        <w:pStyle w:val="ListBullet"/>
      </w:pPr>
      <w:r w:rsidRPr="003E036A">
        <w:t xml:space="preserve">Following the administration of two </w:t>
      </w:r>
      <w:r w:rsidR="00F573D0">
        <w:t>paritaprevir</w:t>
      </w:r>
      <w:r w:rsidR="00772535">
        <w:t>/ritonavir/</w:t>
      </w:r>
      <w:r w:rsidR="00590286">
        <w:t>ombitasvir</w:t>
      </w:r>
      <w:r w:rsidRPr="003E036A">
        <w:t xml:space="preserve"> (75/50/12.5 mg) co-formulated tablets (total dose of</w:t>
      </w:r>
      <w:r w:rsidR="00772535">
        <w:t xml:space="preserve"> 150/100/25 mg) with a moderate </w:t>
      </w:r>
      <w:r w:rsidRPr="003E036A">
        <w:t>fat breakfast, the</w:t>
      </w:r>
      <w:r w:rsidR="00641819">
        <w:t xml:space="preserve"> volume of </w:t>
      </w:r>
      <w:r w:rsidR="00641819" w:rsidRPr="00641819">
        <w:t>distribution</w:t>
      </w:r>
      <w:r w:rsidRPr="00641819">
        <w:t xml:space="preserve"> </w:t>
      </w:r>
      <w:r w:rsidR="00641819" w:rsidRPr="00641819">
        <w:t>(</w:t>
      </w:r>
      <w:r w:rsidRPr="00641819">
        <w:t>Vd/F</w:t>
      </w:r>
      <w:r w:rsidR="00641819" w:rsidRPr="00641819">
        <w:t>)</w:t>
      </w:r>
      <w:r w:rsidRPr="00641819">
        <w:t xml:space="preserve"> values</w:t>
      </w:r>
      <w:r w:rsidRPr="003E036A">
        <w:t xml:space="preserve"> for </w:t>
      </w:r>
      <w:r w:rsidR="00F573D0">
        <w:t>paritaprevir</w:t>
      </w:r>
      <w:r w:rsidRPr="003E036A">
        <w:t xml:space="preserve">, ritonavir and </w:t>
      </w:r>
      <w:r w:rsidR="00590286">
        <w:t>ombitasvir</w:t>
      </w:r>
      <w:r w:rsidRPr="003E036A">
        <w:t xml:space="preserve"> were 400 L, 97.3 L and 717 L, respectively.</w:t>
      </w:r>
    </w:p>
    <w:p w:rsidR="003E036A" w:rsidRPr="003E036A" w:rsidRDefault="003E036A" w:rsidP="003E036A">
      <w:pPr>
        <w:pStyle w:val="ListBullet"/>
      </w:pPr>
      <w:r w:rsidRPr="003E036A">
        <w:t xml:space="preserve">The Vd/F of </w:t>
      </w:r>
      <w:r w:rsidR="00590286">
        <w:t>dasabuvir</w:t>
      </w:r>
      <w:r w:rsidRPr="003E036A">
        <w:t xml:space="preserve"> following a 250 mg dose of the optimised, to be marketed, tablet formulation was 517 L.</w:t>
      </w:r>
    </w:p>
    <w:p w:rsidR="003E036A" w:rsidRPr="003E036A" w:rsidRDefault="00772535" w:rsidP="003E036A">
      <w:pPr>
        <w:pStyle w:val="ListBullet"/>
      </w:pPr>
      <w:r>
        <w:t>P</w:t>
      </w:r>
      <w:r w:rsidR="00F573D0">
        <w:t>aritaprevir</w:t>
      </w:r>
      <w:r w:rsidR="003E036A" w:rsidRPr="003E036A">
        <w:t xml:space="preserve">, ritonavir, </w:t>
      </w:r>
      <w:r w:rsidR="00590286">
        <w:t>ombitasvir</w:t>
      </w:r>
      <w:r w:rsidR="003E036A" w:rsidRPr="003E036A">
        <w:t xml:space="preserve"> and </w:t>
      </w:r>
      <w:r w:rsidR="00590286">
        <w:t>dasabuvir</w:t>
      </w:r>
      <w:r w:rsidR="003E036A" w:rsidRPr="003E036A">
        <w:t xml:space="preserve"> partitioned preferentially into the plasma compartment with blood to plasma concentration ratios of 0.68, 0.60, 0.49 and 0.7 in humans.</w:t>
      </w:r>
    </w:p>
    <w:p w:rsidR="003E036A" w:rsidRPr="00E20523" w:rsidRDefault="003E036A" w:rsidP="003E036A">
      <w:pPr>
        <w:pStyle w:val="Heading5"/>
      </w:pPr>
      <w:r w:rsidRPr="00E20523">
        <w:t>Metabolism</w:t>
      </w:r>
    </w:p>
    <w:p w:rsidR="003E036A" w:rsidRPr="003E036A" w:rsidRDefault="00772535" w:rsidP="003E036A">
      <w:pPr>
        <w:pStyle w:val="ListBullet"/>
      </w:pPr>
      <w:r>
        <w:t>P</w:t>
      </w:r>
      <w:r w:rsidR="00F573D0">
        <w:t>aritaprevir</w:t>
      </w:r>
      <w:r w:rsidR="003E036A" w:rsidRPr="003E036A">
        <w:t xml:space="preserve">, ritonavir, </w:t>
      </w:r>
      <w:r w:rsidR="00590286">
        <w:t>ombitasvir</w:t>
      </w:r>
      <w:r w:rsidR="003E036A" w:rsidRPr="003E036A">
        <w:t xml:space="preserve"> and </w:t>
      </w:r>
      <w:r w:rsidR="00590286">
        <w:t>dasabuvir</w:t>
      </w:r>
      <w:r w:rsidR="003E036A" w:rsidRPr="003E036A">
        <w:t xml:space="preserve"> are primarily metabolised in vitro by: CYP3A4; CYP3A; CYP3A4/5 and CYP2C8; and CYP2C8, respectively.</w:t>
      </w:r>
    </w:p>
    <w:p w:rsidR="003E036A" w:rsidRPr="003E036A" w:rsidRDefault="003E036A" w:rsidP="003E036A">
      <w:pPr>
        <w:pStyle w:val="ListBullet"/>
      </w:pPr>
      <w:r w:rsidRPr="003E036A">
        <w:t xml:space="preserve">Five inactive </w:t>
      </w:r>
      <w:r w:rsidR="00F573D0">
        <w:t>paritaprevir</w:t>
      </w:r>
      <w:r w:rsidRPr="003E036A">
        <w:t xml:space="preserve"> metabolites have been identified in human plasma and the breakdown of total drug related material based on AUC</w:t>
      </w:r>
      <w:r w:rsidRPr="00772535">
        <w:rPr>
          <w:vertAlign w:val="subscript"/>
        </w:rPr>
        <w:t>t</w:t>
      </w:r>
      <w:r w:rsidRPr="003E036A">
        <w:t xml:space="preserve"> was that 88.9% represented unchanged </w:t>
      </w:r>
      <w:r w:rsidR="00F573D0">
        <w:t>paritaprevir</w:t>
      </w:r>
      <w:r w:rsidRPr="003E036A">
        <w:t xml:space="preserve">, 7.8% </w:t>
      </w:r>
      <w:r w:rsidR="00641819">
        <w:t>M</w:t>
      </w:r>
      <w:r w:rsidRPr="003E036A">
        <w:t xml:space="preserve">2, 3.2% </w:t>
      </w:r>
      <w:r w:rsidR="00641819">
        <w:t>M</w:t>
      </w:r>
      <w:r w:rsidRPr="003E036A">
        <w:t>29 and there were trace levels of M3, M13 and M6.</w:t>
      </w:r>
    </w:p>
    <w:p w:rsidR="003E036A" w:rsidRPr="003E036A" w:rsidRDefault="003E036A" w:rsidP="003E036A">
      <w:pPr>
        <w:pStyle w:val="ListBullet"/>
      </w:pPr>
      <w:r w:rsidRPr="003E036A">
        <w:t xml:space="preserve">Only a single ritonavir metabolite, </w:t>
      </w:r>
      <w:r w:rsidR="00641819">
        <w:t>M</w:t>
      </w:r>
      <w:r w:rsidRPr="003E036A">
        <w:t>2, was identified in plasma and there was a mean 30 fold excess of parent drug over metabolite in system</w:t>
      </w:r>
      <w:r w:rsidR="00641819">
        <w:t>ic circulation between 2 and 12 </w:t>
      </w:r>
      <w:r w:rsidRPr="003E036A">
        <w:t>h after oral dosing.</w:t>
      </w:r>
    </w:p>
    <w:p w:rsidR="003E036A" w:rsidRPr="003E036A" w:rsidRDefault="003E036A" w:rsidP="003E036A">
      <w:pPr>
        <w:pStyle w:val="ListBullet"/>
      </w:pPr>
      <w:r w:rsidRPr="003E036A">
        <w:t xml:space="preserve">The primary </w:t>
      </w:r>
      <w:r w:rsidR="00590286">
        <w:t>ombitasvir</w:t>
      </w:r>
      <w:r w:rsidRPr="003E036A">
        <w:t xml:space="preserve"> metabolites in plasma, based on AUC</w:t>
      </w:r>
      <w:r w:rsidRPr="00772535">
        <w:rPr>
          <w:vertAlign w:val="subscript"/>
        </w:rPr>
        <w:t>t</w:t>
      </w:r>
      <w:r w:rsidRPr="003E036A">
        <w:t xml:space="preserve">, were </w:t>
      </w:r>
      <w:r w:rsidR="00641819">
        <w:t>M</w:t>
      </w:r>
      <w:r w:rsidRPr="003E036A">
        <w:t xml:space="preserve">29 (which represented 31.2% of the drug related material in plasma), M36 (21.4%), </w:t>
      </w:r>
      <w:r w:rsidR="00641819">
        <w:t>M</w:t>
      </w:r>
      <w:r w:rsidRPr="003E036A">
        <w:t xml:space="preserve">23 (15%) and M37 (13.9%). By contrast, the parent drug </w:t>
      </w:r>
      <w:r w:rsidR="00590286">
        <w:t>ombitasvir</w:t>
      </w:r>
      <w:r w:rsidRPr="003E036A">
        <w:t xml:space="preserve"> represented only 8.85% of the administered dose in plasma. A number of other metabolites were also identified (M5, </w:t>
      </w:r>
      <w:r w:rsidR="00641819">
        <w:t>M</w:t>
      </w:r>
      <w:r w:rsidRPr="003E036A">
        <w:t xml:space="preserve">25, </w:t>
      </w:r>
      <w:r w:rsidR="00641819">
        <w:t>M</w:t>
      </w:r>
      <w:r w:rsidRPr="003E036A">
        <w:t xml:space="preserve">26 and M34) but each of these represented less than 5% of the administered dose. None of the </w:t>
      </w:r>
      <w:r w:rsidR="00590286">
        <w:t>ombitasvir</w:t>
      </w:r>
      <w:r w:rsidRPr="003E036A">
        <w:t xml:space="preserve"> metabolites had in vitro </w:t>
      </w:r>
      <w:r w:rsidR="00772535">
        <w:t>antiviral</w:t>
      </w:r>
      <w:r w:rsidRPr="003E036A">
        <w:t xml:space="preserve"> activity.</w:t>
      </w:r>
    </w:p>
    <w:p w:rsidR="003E036A" w:rsidRPr="003E036A" w:rsidRDefault="003E036A" w:rsidP="003E036A">
      <w:pPr>
        <w:pStyle w:val="ListBullet"/>
      </w:pPr>
      <w:r w:rsidRPr="003E036A">
        <w:t xml:space="preserve">Seven </w:t>
      </w:r>
      <w:r w:rsidR="00590286">
        <w:t>dasabuvir</w:t>
      </w:r>
      <w:r w:rsidRPr="003E036A">
        <w:t xml:space="preserve"> metabolites were identified in plasma including </w:t>
      </w:r>
      <w:r w:rsidR="00590286">
        <w:t>dasabuvir</w:t>
      </w:r>
      <w:r w:rsidRPr="003E036A">
        <w:t xml:space="preserve"> M1, </w:t>
      </w:r>
      <w:r w:rsidR="00641819">
        <w:t>M</w:t>
      </w:r>
      <w:r w:rsidRPr="003E036A">
        <w:t xml:space="preserve">2, M3, M4, M5, M6 and trace levels of metabolite M11. Unchanged parent was the most prominent component in plasma representing 58.1% of total plasma radioactivity followed by the active metabolite M1 (21.4% of total plasma radioactivity), which has similar in vitro antiviral activity to </w:t>
      </w:r>
      <w:r w:rsidR="00590286">
        <w:t>dasabuvir</w:t>
      </w:r>
      <w:r w:rsidRPr="003E036A">
        <w:t xml:space="preserve">. Following a single oral dose of the proposed commercial formulation of </w:t>
      </w:r>
      <w:r w:rsidR="00590286">
        <w:t>dasabuvir</w:t>
      </w:r>
      <w:r w:rsidRPr="003E036A">
        <w:t xml:space="preserve"> 250 mg under non-fasting conditions, </w:t>
      </w:r>
      <w:r w:rsidRPr="003E036A">
        <w:lastRenderedPageBreak/>
        <w:t xml:space="preserve">the </w:t>
      </w:r>
      <w:r w:rsidR="003A33A4" w:rsidRPr="008912E8">
        <w:t>C</w:t>
      </w:r>
      <w:r w:rsidR="003A33A4" w:rsidRPr="003A33A4">
        <w:rPr>
          <w:vertAlign w:val="subscript"/>
        </w:rPr>
        <w:t>max</w:t>
      </w:r>
      <w:r w:rsidRPr="003E036A">
        <w:t xml:space="preserve">, </w:t>
      </w:r>
      <w:r w:rsidR="00630EF4" w:rsidRPr="003E036A">
        <w:t>T</w:t>
      </w:r>
      <w:r w:rsidR="00630EF4" w:rsidRPr="00630EF4">
        <w:rPr>
          <w:vertAlign w:val="subscript"/>
        </w:rPr>
        <w:t>max</w:t>
      </w:r>
      <w:r w:rsidRPr="003E036A">
        <w:t xml:space="preserve">, t½ and </w:t>
      </w:r>
      <w:r w:rsidR="00630EF4" w:rsidRPr="003E036A">
        <w:t>AUC</w:t>
      </w:r>
      <w:r w:rsidR="00630EF4" w:rsidRPr="00630EF4">
        <w:rPr>
          <w:vertAlign w:val="subscript"/>
        </w:rPr>
        <w:t>inf</w:t>
      </w:r>
      <w:r w:rsidRPr="003E036A">
        <w:t xml:space="preserve"> values for the active M1 metabolite of </w:t>
      </w:r>
      <w:r w:rsidR="00590286">
        <w:t>dasabuvir</w:t>
      </w:r>
      <w:r w:rsidR="00772535">
        <w:t xml:space="preserve"> were 244 </w:t>
      </w:r>
      <w:r w:rsidRPr="003E036A">
        <w:t>ng/mL, 4 h, 6.4 h and 2,120 ng.h/mL, respectively.</w:t>
      </w:r>
    </w:p>
    <w:p w:rsidR="003E036A" w:rsidRPr="003E036A" w:rsidRDefault="003E036A" w:rsidP="003E036A">
      <w:pPr>
        <w:pStyle w:val="ListBullet"/>
      </w:pPr>
      <w:r w:rsidRPr="003E036A">
        <w:t xml:space="preserve">A pharmacogenetic analysis indicated that there were no significant genetic abnormalities that were consistently associated with exposures of </w:t>
      </w:r>
      <w:r w:rsidR="00F573D0">
        <w:t>paritaprevir</w:t>
      </w:r>
      <w:r w:rsidRPr="003E036A">
        <w:t xml:space="preserve"> or </w:t>
      </w:r>
      <w:r w:rsidR="00590286">
        <w:t>dasabuvir</w:t>
      </w:r>
      <w:r w:rsidR="00772535">
        <w:t>.</w:t>
      </w:r>
    </w:p>
    <w:p w:rsidR="003E036A" w:rsidRPr="00E20523" w:rsidRDefault="003E036A" w:rsidP="00846F25">
      <w:pPr>
        <w:pStyle w:val="Heading5"/>
      </w:pPr>
      <w:r w:rsidRPr="00E20523">
        <w:t>Excretion</w:t>
      </w:r>
    </w:p>
    <w:p w:rsidR="003E036A" w:rsidRPr="00846F25" w:rsidRDefault="003E036A" w:rsidP="00846F25">
      <w:pPr>
        <w:pStyle w:val="ListBullet"/>
      </w:pPr>
      <w:r w:rsidRPr="00846F25">
        <w:t>Following administration of [</w:t>
      </w:r>
      <w:r w:rsidR="00630EF4" w:rsidRPr="00630EF4">
        <w:rPr>
          <w:vertAlign w:val="superscript"/>
        </w:rPr>
        <w:t>14</w:t>
      </w:r>
      <w:r w:rsidR="00630EF4" w:rsidRPr="003E036A">
        <w:t>C</w:t>
      </w:r>
      <w:r w:rsidRPr="00846F25">
        <w:t xml:space="preserve">] </w:t>
      </w:r>
      <w:r w:rsidR="00F573D0">
        <w:t>paritaprevir</w:t>
      </w:r>
      <w:r w:rsidRPr="00846F25">
        <w:t>/</w:t>
      </w:r>
      <w:r w:rsidR="00772535">
        <w:t>ritonavir</w:t>
      </w:r>
      <w:r w:rsidRPr="00846F25">
        <w:t xml:space="preserve"> 200/100 mg, 96.5% of the radioactive dose of </w:t>
      </w:r>
      <w:r w:rsidR="00F573D0">
        <w:t>paritaprevir</w:t>
      </w:r>
      <w:r w:rsidRPr="00846F25">
        <w:t xml:space="preserve"> was recovered in the faeces (representing 88% of radioactive dose) and urine (8.8%) within approximately 8 days. Unchanged parent drug accounted for only 1.1% and 0.05% of the total radioactivity in faeces and urine, respectively, with the major components being m29 in faeces, which accounted for 59.9% of radioactive dose, and M13 in urine, which accounted for 8.6%.</w:t>
      </w:r>
    </w:p>
    <w:p w:rsidR="003E036A" w:rsidRPr="00846F25" w:rsidRDefault="003E036A" w:rsidP="00846F25">
      <w:pPr>
        <w:pStyle w:val="ListBullet"/>
      </w:pPr>
      <w:r w:rsidRPr="00846F25">
        <w:t>Following administration of 600 mg dose of [</w:t>
      </w:r>
      <w:r w:rsidR="00630EF4" w:rsidRPr="00630EF4">
        <w:rPr>
          <w:vertAlign w:val="superscript"/>
        </w:rPr>
        <w:t>14</w:t>
      </w:r>
      <w:r w:rsidR="00630EF4" w:rsidRPr="003E036A">
        <w:t>C</w:t>
      </w:r>
      <w:r w:rsidRPr="00846F25">
        <w:t>] ritonavir, 97.6% of radioactive dose was recovered in the urine and faeces of humans within approximately 6 days. Faecal excretion was the major route of elimination, accounting for 86.4% of the dose, whereas, urinary excretion accounted for 11.3%.</w:t>
      </w:r>
    </w:p>
    <w:p w:rsidR="003E036A" w:rsidRPr="00846F25" w:rsidRDefault="003E036A" w:rsidP="00846F25">
      <w:pPr>
        <w:pStyle w:val="ListBullet"/>
      </w:pPr>
      <w:r w:rsidRPr="00846F25">
        <w:t>Following a 25 mg oral dose of [</w:t>
      </w:r>
      <w:r w:rsidR="00630EF4" w:rsidRPr="00630EF4">
        <w:rPr>
          <w:vertAlign w:val="superscript"/>
        </w:rPr>
        <w:t>14</w:t>
      </w:r>
      <w:r w:rsidR="00630EF4" w:rsidRPr="003E036A">
        <w:t>C</w:t>
      </w:r>
      <w:r w:rsidRPr="00846F25">
        <w:t xml:space="preserve">] </w:t>
      </w:r>
      <w:r w:rsidR="00590286">
        <w:t>ombitasvir</w:t>
      </w:r>
      <w:r w:rsidRPr="00846F25">
        <w:t xml:space="preserve"> under non-fasting conditions approximately 90.3% of the radioactive dose was recovered in faeces and a further 0.6% was recovered in urine within 8 days. Unchanged drug accounted for 87.8% of total radioactivity recovered in faeces and although a number of metabolites were detected in the faeces, including </w:t>
      </w:r>
      <w:r w:rsidR="00641819">
        <w:t>M</w:t>
      </w:r>
      <w:r w:rsidRPr="00846F25">
        <w:t>2, M3, M5, M6, and M9, each represented less than 1% of administered dose.</w:t>
      </w:r>
    </w:p>
    <w:p w:rsidR="003E036A" w:rsidRPr="00846F25" w:rsidRDefault="003E036A" w:rsidP="00846F25">
      <w:pPr>
        <w:pStyle w:val="ListBullet"/>
      </w:pPr>
      <w:r w:rsidRPr="00846F25">
        <w:t>Two hundred forty hours following a single oral dose of 400 mg [</w:t>
      </w:r>
      <w:r w:rsidR="00630EF4" w:rsidRPr="00630EF4">
        <w:rPr>
          <w:vertAlign w:val="superscript"/>
        </w:rPr>
        <w:t>14</w:t>
      </w:r>
      <w:r w:rsidR="00630EF4" w:rsidRPr="003E036A">
        <w:t>C</w:t>
      </w:r>
      <w:r w:rsidRPr="00846F25">
        <w:t xml:space="preserve">] </w:t>
      </w:r>
      <w:r w:rsidR="00590286">
        <w:t>dasabuvir</w:t>
      </w:r>
      <w:r w:rsidRPr="00846F25">
        <w:t xml:space="preserve">, 94.4% of administered radioactivity was recovered in faeces and a further 2.20% was recovered in urine. Unchanged drug accounted for 26% and 0.03% in faeces and urine, respectively. </w:t>
      </w:r>
      <w:r w:rsidR="00772535">
        <w:t>D</w:t>
      </w:r>
      <w:r w:rsidR="00590286">
        <w:t>asabuvir</w:t>
      </w:r>
      <w:r w:rsidR="00772535">
        <w:t xml:space="preserve"> </w:t>
      </w:r>
      <w:r w:rsidRPr="00846F25">
        <w:t>M1 was the most abundant metabolite in faeces representing 31.5% of administered dose.</w:t>
      </w:r>
    </w:p>
    <w:p w:rsidR="003E036A" w:rsidRPr="00E20523" w:rsidRDefault="003E036A" w:rsidP="00846F25">
      <w:pPr>
        <w:pStyle w:val="Heading5"/>
      </w:pPr>
      <w:r w:rsidRPr="00E20523">
        <w:t>Inter-subject variability</w:t>
      </w:r>
    </w:p>
    <w:p w:rsidR="003E036A" w:rsidRPr="00E20523" w:rsidRDefault="003E036A" w:rsidP="003E036A">
      <w:r w:rsidRPr="00E20523">
        <w:t xml:space="preserve">Following the proposed dose of the </w:t>
      </w:r>
      <w:r>
        <w:t>to be marketed</w:t>
      </w:r>
      <w:r w:rsidRPr="00E20523">
        <w:t xml:space="preserve"> formulation of </w:t>
      </w:r>
      <w:r w:rsidR="00F573D0">
        <w:t>paritaprevir</w:t>
      </w:r>
      <w:r w:rsidR="00772535">
        <w:t>/ritonavir/</w:t>
      </w:r>
      <w:r w:rsidR="00590286">
        <w:t>ombitasvir</w:t>
      </w:r>
      <w:r w:rsidRPr="00E20523">
        <w:t xml:space="preserve"> under non-fasted conditions inter-subject variability on </w:t>
      </w:r>
      <w:r w:rsidR="003A33A4" w:rsidRPr="008912E8">
        <w:t>C</w:t>
      </w:r>
      <w:r w:rsidR="003A33A4" w:rsidRPr="003A33A4">
        <w:rPr>
          <w:vertAlign w:val="subscript"/>
        </w:rPr>
        <w:t>max</w:t>
      </w:r>
      <w:r w:rsidR="00630EF4">
        <w:t xml:space="preserve"> </w:t>
      </w:r>
      <w:r w:rsidRPr="00E20523">
        <w:t xml:space="preserve">and </w:t>
      </w:r>
      <w:r w:rsidR="00630EF4" w:rsidRPr="003E036A">
        <w:t>AUC</w:t>
      </w:r>
      <w:r w:rsidR="00630EF4" w:rsidRPr="00630EF4">
        <w:rPr>
          <w:vertAlign w:val="subscript"/>
        </w:rPr>
        <w:t>inf</w:t>
      </w:r>
      <w:r w:rsidRPr="00E20523">
        <w:t xml:space="preserve"> values for </w:t>
      </w:r>
      <w:r w:rsidR="00F573D0">
        <w:t>paritaprevir</w:t>
      </w:r>
      <w:r w:rsidRPr="00E20523">
        <w:t xml:space="preserve">, ritonavir and </w:t>
      </w:r>
      <w:r w:rsidR="00590286">
        <w:t>ombitasvir</w:t>
      </w:r>
      <w:r w:rsidR="00772535">
        <w:t xml:space="preserve"> </w:t>
      </w:r>
      <w:r w:rsidRPr="00E20523">
        <w:t xml:space="preserve">were </w:t>
      </w:r>
      <w:r w:rsidR="000C3156">
        <w:t xml:space="preserve">&gt; </w:t>
      </w:r>
      <w:r w:rsidRPr="00E20523">
        <w:t xml:space="preserve">100%, </w:t>
      </w:r>
      <w:r>
        <w:t xml:space="preserve">approximately </w:t>
      </w:r>
      <w:r w:rsidRPr="00E20523">
        <w:t xml:space="preserve">50% and 28%, respectively. For the proposed commercial formulation of </w:t>
      </w:r>
      <w:r w:rsidR="00590286">
        <w:t>dasabuvir</w:t>
      </w:r>
      <w:r>
        <w:t>,</w:t>
      </w:r>
      <w:r w:rsidRPr="00E20523">
        <w:t xml:space="preserve"> 250 mg the %CV values for </w:t>
      </w:r>
      <w:r w:rsidR="00590286">
        <w:t>dasabuvir</w:t>
      </w:r>
      <w:r w:rsidRPr="00E20523">
        <w:t xml:space="preserve"> </w:t>
      </w:r>
      <w:r w:rsidR="003A33A4" w:rsidRPr="008912E8">
        <w:t>C</w:t>
      </w:r>
      <w:r w:rsidR="003A33A4" w:rsidRPr="003A33A4">
        <w:rPr>
          <w:vertAlign w:val="subscript"/>
        </w:rPr>
        <w:t>max</w:t>
      </w:r>
      <w:r w:rsidR="00630EF4">
        <w:t xml:space="preserve"> </w:t>
      </w:r>
      <w:r w:rsidRPr="00E20523">
        <w:t xml:space="preserve">and </w:t>
      </w:r>
      <w:r w:rsidR="00630EF4" w:rsidRPr="003E036A">
        <w:t>AUC</w:t>
      </w:r>
      <w:r w:rsidR="00630EF4" w:rsidRPr="00630EF4">
        <w:rPr>
          <w:vertAlign w:val="subscript"/>
        </w:rPr>
        <w:t>inf</w:t>
      </w:r>
      <w:r w:rsidRPr="00E20523">
        <w:t xml:space="preserve"> </w:t>
      </w:r>
      <w:r>
        <w:t>were 44% and 46%, respectively.</w:t>
      </w:r>
    </w:p>
    <w:p w:rsidR="003E036A" w:rsidRPr="00E20523" w:rsidRDefault="003E036A" w:rsidP="00846F25">
      <w:pPr>
        <w:pStyle w:val="Heading5"/>
      </w:pPr>
      <w:r w:rsidRPr="00E20523">
        <w:t>Pharmacokinetics in the target population</w:t>
      </w:r>
    </w:p>
    <w:p w:rsidR="003E036A" w:rsidRPr="00846F25" w:rsidRDefault="003E036A" w:rsidP="00846F25">
      <w:pPr>
        <w:pStyle w:val="ListBullet"/>
      </w:pPr>
      <w:r w:rsidRPr="00846F25">
        <w:t xml:space="preserve">Following a single dose of </w:t>
      </w:r>
      <w:r w:rsidR="00F573D0">
        <w:t>paritaprevir</w:t>
      </w:r>
      <w:r w:rsidRPr="00846F25">
        <w:t>/</w:t>
      </w:r>
      <w:r w:rsidR="00772535">
        <w:t>ritonavir</w:t>
      </w:r>
      <w:r w:rsidRPr="00846F25">
        <w:t xml:space="preserve"> 200 mg/100 mg in naïve HCV genotype 1 infected subjects the mean </w:t>
      </w:r>
      <w:r w:rsidR="003A33A4" w:rsidRPr="008912E8">
        <w:t>C</w:t>
      </w:r>
      <w:r w:rsidR="003A33A4" w:rsidRPr="003A33A4">
        <w:rPr>
          <w:vertAlign w:val="subscript"/>
        </w:rPr>
        <w:t>max</w:t>
      </w:r>
      <w:r w:rsidR="00630EF4">
        <w:t xml:space="preserve"> </w:t>
      </w:r>
      <w:r w:rsidRPr="00846F25">
        <w:t>and AUC</w:t>
      </w:r>
      <w:r w:rsidRPr="00772535">
        <w:rPr>
          <w:vertAlign w:val="subscript"/>
        </w:rPr>
        <w:t>24</w:t>
      </w:r>
      <w:r w:rsidRPr="00846F25">
        <w:t xml:space="preserve"> values for </w:t>
      </w:r>
      <w:r w:rsidR="00F573D0">
        <w:t>paritaprevir</w:t>
      </w:r>
      <w:r w:rsidRPr="00846F25">
        <w:t xml:space="preserve"> were 1,753 ng/mL and 10,478 ng.h/mL, respectively, and for ritonavir were 917 ng/mL and 7,104 ng.h/mL, respectively. Over the dose range examined </w:t>
      </w:r>
      <w:r w:rsidR="00F573D0">
        <w:t>paritaprevir</w:t>
      </w:r>
      <w:r w:rsidRPr="00846F25">
        <w:t xml:space="preserve"> demonstrated greater than dose proportional increases following single doses. </w:t>
      </w:r>
      <w:r w:rsidR="00772535">
        <w:t>P</w:t>
      </w:r>
      <w:r w:rsidR="00F573D0">
        <w:t>aritaprevir</w:t>
      </w:r>
      <w:r w:rsidRPr="00846F25">
        <w:t xml:space="preserve"> exposures were 80% to 310% higher on Day 3 compared to Day 1.</w:t>
      </w:r>
    </w:p>
    <w:p w:rsidR="003E036A" w:rsidRPr="00846F25" w:rsidRDefault="003E036A" w:rsidP="00846F25">
      <w:pPr>
        <w:pStyle w:val="ListBullet"/>
      </w:pPr>
      <w:r w:rsidRPr="00846F25">
        <w:t xml:space="preserve">Following multiple oral doses of 5 to 50 mg </w:t>
      </w:r>
      <w:r w:rsidR="00590286">
        <w:t>ombitasvir</w:t>
      </w:r>
      <w:r w:rsidRPr="00846F25">
        <w:t xml:space="preserve"> SDD under non-fasting conditions in HCV genotype 1 infected treatment naïve subjects the </w:t>
      </w:r>
      <w:r w:rsidR="003A33A4" w:rsidRPr="008912E8">
        <w:t>C</w:t>
      </w:r>
      <w:r w:rsidR="003A33A4" w:rsidRPr="003A33A4">
        <w:rPr>
          <w:vertAlign w:val="subscript"/>
        </w:rPr>
        <w:t>max</w:t>
      </w:r>
      <w:r w:rsidR="00630EF4">
        <w:t xml:space="preserve"> </w:t>
      </w:r>
      <w:r w:rsidRPr="00846F25">
        <w:t>and AUC</w:t>
      </w:r>
      <w:r w:rsidRPr="00772535">
        <w:rPr>
          <w:vertAlign w:val="subscript"/>
        </w:rPr>
        <w:t>24</w:t>
      </w:r>
      <w:r w:rsidRPr="00846F25">
        <w:t xml:space="preserve"> values for a 25 mg dose of </w:t>
      </w:r>
      <w:r w:rsidR="00590286">
        <w:t>ombitasvir</w:t>
      </w:r>
      <w:r w:rsidRPr="00846F25">
        <w:t xml:space="preserve"> were </w:t>
      </w:r>
      <w:proofErr w:type="gramStart"/>
      <w:r w:rsidRPr="00846F25">
        <w:t>35.9 ng/mL</w:t>
      </w:r>
      <w:proofErr w:type="gramEnd"/>
      <w:r w:rsidRPr="00846F25">
        <w:t xml:space="preserve"> and 337 ng.h/mL, respectively and following 3 </w:t>
      </w:r>
      <w:r w:rsidRPr="00641819">
        <w:t>days of QD dosing</w:t>
      </w:r>
      <w:r w:rsidRPr="00846F25">
        <w:t xml:space="preserve"> were 24.8 ng/mL and 319 ng.h/mL, respectively. Following single doses there were greater than dose proportional increases in </w:t>
      </w:r>
      <w:r w:rsidR="00590286">
        <w:t>ombitasvir</w:t>
      </w:r>
      <w:r w:rsidRPr="00846F25">
        <w:t xml:space="preserve"> exposure in this population.</w:t>
      </w:r>
    </w:p>
    <w:p w:rsidR="003E036A" w:rsidRPr="00846F25" w:rsidRDefault="003E036A" w:rsidP="00846F25">
      <w:pPr>
        <w:pStyle w:val="ListBullet"/>
      </w:pPr>
      <w:r w:rsidRPr="00846F25">
        <w:lastRenderedPageBreak/>
        <w:t xml:space="preserve">Following 400 and 800 mg BD dosing for 3 days, dose normalised </w:t>
      </w:r>
      <w:r w:rsidR="003A33A4" w:rsidRPr="008912E8">
        <w:t>C</w:t>
      </w:r>
      <w:r w:rsidR="003A33A4" w:rsidRPr="003A33A4">
        <w:rPr>
          <w:vertAlign w:val="subscript"/>
        </w:rPr>
        <w:t>max</w:t>
      </w:r>
      <w:r w:rsidR="00630EF4">
        <w:t xml:space="preserve"> </w:t>
      </w:r>
      <w:r w:rsidRPr="00846F25">
        <w:t>and AUC</w:t>
      </w:r>
      <w:r w:rsidRPr="00772535">
        <w:rPr>
          <w:vertAlign w:val="subscript"/>
        </w:rPr>
        <w:t>12</w:t>
      </w:r>
      <w:r w:rsidRPr="00846F25">
        <w:t xml:space="preserve"> values following a single dose indicated that there was a slightly greater than dose proportional increase in </w:t>
      </w:r>
      <w:r w:rsidR="00590286">
        <w:t>dasabuvir</w:t>
      </w:r>
      <w:r w:rsidRPr="00846F25">
        <w:t xml:space="preserve"> exposure, whereas on Day 3, exposures increased in a slightly less than dose proportional manner with increasing </w:t>
      </w:r>
      <w:r w:rsidR="00590286">
        <w:t>dasabuvir</w:t>
      </w:r>
      <w:r w:rsidRPr="00846F25">
        <w:t xml:space="preserve"> doses.</w:t>
      </w:r>
    </w:p>
    <w:p w:rsidR="003E036A" w:rsidRPr="00E20523" w:rsidRDefault="003E036A" w:rsidP="00846F25">
      <w:pPr>
        <w:pStyle w:val="Heading5"/>
      </w:pPr>
      <w:r w:rsidRPr="00E20523">
        <w:t>Inter-subject variability of PK in target population based on PPK modelling</w:t>
      </w:r>
    </w:p>
    <w:p w:rsidR="003E036A" w:rsidRPr="00846F25" w:rsidRDefault="003E036A" w:rsidP="00846F25">
      <w:pPr>
        <w:pStyle w:val="ListBullet"/>
      </w:pPr>
      <w:r w:rsidRPr="00846F25">
        <w:t xml:space="preserve">Inter-subject variability in </w:t>
      </w:r>
      <w:r w:rsidR="00F573D0">
        <w:t>paritaprevir</w:t>
      </w:r>
      <w:r w:rsidRPr="00846F25">
        <w:t xml:space="preserve"> </w:t>
      </w:r>
      <w:r w:rsidR="000E1719">
        <w:t xml:space="preserve">apparent </w:t>
      </w:r>
      <w:r w:rsidR="000E1719" w:rsidRPr="000E1719">
        <w:t>clearance (</w:t>
      </w:r>
      <w:r w:rsidRPr="000E1719">
        <w:t>CL/F</w:t>
      </w:r>
      <w:r w:rsidR="000E1719">
        <w:t>)</w:t>
      </w:r>
      <w:r w:rsidRPr="00846F25">
        <w:t xml:space="preserve"> and </w:t>
      </w:r>
      <w:r w:rsidR="00641819">
        <w:t>apparent volume of central compartment (</w:t>
      </w:r>
      <w:r w:rsidRPr="00846F25">
        <w:t>Vc/F</w:t>
      </w:r>
      <w:r w:rsidR="00641819">
        <w:t>)</w:t>
      </w:r>
      <w:r w:rsidRPr="00846F25">
        <w:t xml:space="preserve"> was 166% and 265%, respectively and the </w:t>
      </w:r>
      <w:r w:rsidR="0004359B">
        <w:t xml:space="preserve">residual unexplained </w:t>
      </w:r>
      <w:r w:rsidR="0004359B" w:rsidRPr="0004359B">
        <w:t>variability (</w:t>
      </w:r>
      <w:r w:rsidRPr="0004359B">
        <w:t>RUV</w:t>
      </w:r>
      <w:r w:rsidR="0004359B" w:rsidRPr="0004359B">
        <w:t>)</w:t>
      </w:r>
      <w:r w:rsidRPr="0004359B">
        <w:t xml:space="preserve"> was 100</w:t>
      </w:r>
      <w:r w:rsidRPr="00846F25">
        <w:t>%.</w:t>
      </w:r>
    </w:p>
    <w:p w:rsidR="003E036A" w:rsidRPr="00846F25" w:rsidRDefault="003E036A" w:rsidP="00846F25">
      <w:pPr>
        <w:pStyle w:val="ListBullet"/>
      </w:pPr>
      <w:r w:rsidRPr="00846F25">
        <w:t>Inter-subject variability values for ritonavir CL/F and VcF were 85% and 210%, respectively and the RUV was 71%.</w:t>
      </w:r>
    </w:p>
    <w:p w:rsidR="003E036A" w:rsidRPr="00846F25" w:rsidRDefault="003E036A" w:rsidP="00846F25">
      <w:pPr>
        <w:pStyle w:val="ListBullet"/>
      </w:pPr>
      <w:r w:rsidRPr="00846F25">
        <w:t xml:space="preserve">Inter-subject variability values for </w:t>
      </w:r>
      <w:r w:rsidR="00590286">
        <w:t>ombitasvir</w:t>
      </w:r>
      <w:r w:rsidRPr="00846F25">
        <w:t xml:space="preserve"> CL/F, Vc/F and Vp/F were 30%, 59% and 59%, respectively, and the RUV was 37%.</w:t>
      </w:r>
    </w:p>
    <w:p w:rsidR="003E036A" w:rsidRPr="00846F25" w:rsidRDefault="003E036A" w:rsidP="00846F25">
      <w:pPr>
        <w:pStyle w:val="ListBullet"/>
      </w:pPr>
      <w:r w:rsidRPr="00846F25">
        <w:t xml:space="preserve">Inter-subject variability values on </w:t>
      </w:r>
      <w:r w:rsidR="00590286">
        <w:t>dasabuvir</w:t>
      </w:r>
      <w:r w:rsidRPr="00846F25">
        <w:t xml:space="preserve"> CL/F and Vc/F were 62% and 73%, respectively, and the RUV was 55%.</w:t>
      </w:r>
    </w:p>
    <w:p w:rsidR="003E036A" w:rsidRPr="00E20523" w:rsidRDefault="003E036A" w:rsidP="00846F25">
      <w:pPr>
        <w:pStyle w:val="Heading5"/>
      </w:pPr>
      <w:r w:rsidRPr="00E20523">
        <w:t>Pharmacokinetics in subjects with impaired hepatic function</w:t>
      </w:r>
    </w:p>
    <w:p w:rsidR="003E036A" w:rsidRPr="00E20523" w:rsidRDefault="003E036A" w:rsidP="003E036A">
      <w:r w:rsidRPr="00E20523">
        <w:t xml:space="preserve">Following a single dose of 25 mg </w:t>
      </w:r>
      <w:r w:rsidR="00590286">
        <w:t>ombitasvir</w:t>
      </w:r>
      <w:r w:rsidRPr="00E20523">
        <w:t xml:space="preserve">, 400 mg </w:t>
      </w:r>
      <w:r w:rsidR="00590286">
        <w:t>dasabuvir</w:t>
      </w:r>
      <w:r w:rsidRPr="00E20523">
        <w:t xml:space="preserve">, and </w:t>
      </w:r>
      <w:r w:rsidR="00F573D0">
        <w:t>paritaprevir</w:t>
      </w:r>
      <w:r w:rsidRPr="00E20523">
        <w:t>/</w:t>
      </w:r>
      <w:r w:rsidR="00772535">
        <w:t>ritonavir </w:t>
      </w:r>
      <w:r w:rsidRPr="00E20523">
        <w:t xml:space="preserve">200/100 mg under non-fasting conditions: mild hepatic impairment induced a </w:t>
      </w:r>
      <w:r>
        <w:t>±</w:t>
      </w:r>
      <w:r w:rsidRPr="00E20523">
        <w:t xml:space="preserve"> 35% difference in </w:t>
      </w:r>
      <w:r w:rsidR="00630EF4" w:rsidRPr="003E036A">
        <w:t>AUC</w:t>
      </w:r>
      <w:r w:rsidR="00630EF4" w:rsidRPr="00630EF4">
        <w:rPr>
          <w:vertAlign w:val="subscript"/>
        </w:rPr>
        <w:t>inf</w:t>
      </w:r>
      <w:r w:rsidRPr="00E20523">
        <w:t xml:space="preserve"> for each of the active drugs; moderate hepatic impairment decreased the </w:t>
      </w:r>
      <w:r w:rsidR="00630EF4" w:rsidRPr="003E036A">
        <w:t>AUC</w:t>
      </w:r>
      <w:r w:rsidR="00630EF4" w:rsidRPr="00630EF4">
        <w:rPr>
          <w:vertAlign w:val="subscript"/>
        </w:rPr>
        <w:t>inf</w:t>
      </w:r>
      <w:r w:rsidRPr="00E20523">
        <w:t xml:space="preserve"> values for ritonavir, </w:t>
      </w:r>
      <w:r w:rsidR="00590286">
        <w:t>ombitasvir</w:t>
      </w:r>
      <w:r w:rsidRPr="00E20523">
        <w:t xml:space="preserve">, </w:t>
      </w:r>
      <w:r w:rsidR="00590286">
        <w:t>dasabuvir</w:t>
      </w:r>
      <w:r w:rsidRPr="00E20523">
        <w:t xml:space="preserve"> and </w:t>
      </w:r>
      <w:r w:rsidR="00590286">
        <w:t>dasabuvir</w:t>
      </w:r>
      <w:r w:rsidRPr="00E20523">
        <w:t xml:space="preserve"> M1 by 30%, 30%, 16% and 57%, respectively, whereas, exposure to </w:t>
      </w:r>
      <w:r w:rsidR="00F573D0">
        <w:t>paritaprevir</w:t>
      </w:r>
      <w:r w:rsidRPr="00E20523">
        <w:t xml:space="preserve"> increased by approximately 62%; severe hepatic impairment increased the </w:t>
      </w:r>
      <w:r w:rsidR="00630EF4" w:rsidRPr="003E036A">
        <w:t>AUC</w:t>
      </w:r>
      <w:r w:rsidR="00630EF4" w:rsidRPr="00630EF4">
        <w:rPr>
          <w:vertAlign w:val="subscript"/>
        </w:rPr>
        <w:t>inf</w:t>
      </w:r>
      <w:r w:rsidRPr="00E20523">
        <w:t xml:space="preserve"> values for </w:t>
      </w:r>
      <w:r w:rsidR="00F573D0">
        <w:t>paritaprevir</w:t>
      </w:r>
      <w:r w:rsidRPr="00E20523">
        <w:t xml:space="preserve">, ritonavir, </w:t>
      </w:r>
      <w:r w:rsidR="00590286">
        <w:t>dasabuvir</w:t>
      </w:r>
      <w:r w:rsidRPr="00E20523">
        <w:t xml:space="preserve"> and ABT-M1 by 10.</w:t>
      </w:r>
      <w:r>
        <w:t>5 fold</w:t>
      </w:r>
      <w:r w:rsidRPr="00E20523">
        <w:t>, 1.13</w:t>
      </w:r>
      <w:r>
        <w:t xml:space="preserve"> fold</w:t>
      </w:r>
      <w:r w:rsidRPr="00E20523">
        <w:t>, 4.2</w:t>
      </w:r>
      <w:r w:rsidR="00772535">
        <w:t>5 </w:t>
      </w:r>
      <w:r>
        <w:t>fold</w:t>
      </w:r>
      <w:r w:rsidRPr="00E20523">
        <w:t xml:space="preserve"> and 1.77</w:t>
      </w:r>
      <w:r>
        <w:t xml:space="preserve"> fold</w:t>
      </w:r>
      <w:r w:rsidRPr="00E20523">
        <w:t xml:space="preserve">, respectively, whereas, the </w:t>
      </w:r>
      <w:r w:rsidR="00630EF4" w:rsidRPr="003E036A">
        <w:t>AUC</w:t>
      </w:r>
      <w:r w:rsidR="00630EF4" w:rsidRPr="00630EF4">
        <w:rPr>
          <w:vertAlign w:val="subscript"/>
        </w:rPr>
        <w:t>inf</w:t>
      </w:r>
      <w:r w:rsidRPr="00E20523">
        <w:t xml:space="preserve"> of </w:t>
      </w:r>
      <w:r w:rsidR="00590286">
        <w:t>ombitasvir</w:t>
      </w:r>
      <w:r w:rsidRPr="00E20523">
        <w:t xml:space="preserve"> decreased by 54%. The % </w:t>
      </w:r>
      <w:r w:rsidR="00AA6FDA">
        <w:t xml:space="preserve">unbound </w:t>
      </w:r>
      <w:r w:rsidR="00AA6FDA" w:rsidRPr="00AA6FDA">
        <w:t>fraction (</w:t>
      </w:r>
      <w:r w:rsidRPr="00AA6FDA">
        <w:t>fu</w:t>
      </w:r>
      <w:r w:rsidR="00AA6FDA" w:rsidRPr="00AA6FDA">
        <w:t>)</w:t>
      </w:r>
      <w:r w:rsidRPr="00AA6FDA">
        <w:t xml:space="preserve"> of DAAs and ritonavir were up to approximately 30% different in subjects with hepatic impairment and healthy control subjects, except for </w:t>
      </w:r>
      <w:r w:rsidR="00590286" w:rsidRPr="00AA6FDA">
        <w:t>dasabuvir</w:t>
      </w:r>
      <w:r w:rsidRPr="00AA6FDA">
        <w:t xml:space="preserve"> % fu, which was approximately 50% lower in subjects with mild and moderate hepatic impairment compared to healthy control subjects and </w:t>
      </w:r>
      <w:r w:rsidR="00590286" w:rsidRPr="00AA6FDA">
        <w:t>ombitasvir</w:t>
      </w:r>
      <w:r w:rsidRPr="00AA6FDA">
        <w:t xml:space="preserve"> % fu in subjects</w:t>
      </w:r>
      <w:r w:rsidRPr="00E20523">
        <w:t xml:space="preserve"> with severe hepatic impairment, which was approximately 2.2</w:t>
      </w:r>
      <w:r>
        <w:t>4 fold</w:t>
      </w:r>
      <w:r w:rsidRPr="00E20523">
        <w:t xml:space="preserve"> higher than in healthy control subjects.</w:t>
      </w:r>
    </w:p>
    <w:p w:rsidR="003E036A" w:rsidRPr="00E20523" w:rsidRDefault="003E036A" w:rsidP="00846F25">
      <w:pPr>
        <w:pStyle w:val="Heading5"/>
      </w:pPr>
      <w:r w:rsidRPr="00E20523">
        <w:t>Pharmacokinetics in subjects with impaired renal function</w:t>
      </w:r>
    </w:p>
    <w:p w:rsidR="003E036A" w:rsidRPr="00E20523" w:rsidRDefault="003E036A" w:rsidP="003E036A">
      <w:r w:rsidRPr="00E20523">
        <w:t xml:space="preserve">Following administration of the </w:t>
      </w:r>
      <w:r w:rsidR="00237CBE">
        <w:t>3DAA</w:t>
      </w:r>
      <w:r w:rsidRPr="00E20523">
        <w:t xml:space="preserve"> regimen with ritonavir, the </w:t>
      </w:r>
      <w:r w:rsidR="00630EF4" w:rsidRPr="003E036A">
        <w:t>AUC</w:t>
      </w:r>
      <w:r w:rsidR="00630EF4" w:rsidRPr="00630EF4">
        <w:rPr>
          <w:vertAlign w:val="subscript"/>
        </w:rPr>
        <w:t>inf</w:t>
      </w:r>
      <w:r>
        <w:t xml:space="preserve"> of </w:t>
      </w:r>
      <w:r w:rsidR="00F573D0">
        <w:t>paritaprevir</w:t>
      </w:r>
      <w:r>
        <w:t xml:space="preserve"> increased by 1.19</w:t>
      </w:r>
      <w:r w:rsidRPr="00E20523">
        <w:t xml:space="preserve"> to 1.4</w:t>
      </w:r>
      <w:r>
        <w:t>5 fold</w:t>
      </w:r>
      <w:r w:rsidRPr="00E20523">
        <w:t xml:space="preserve"> in subjects with mild to severe renal impairment compared to healthy subjects, ritonavir </w:t>
      </w:r>
      <w:r w:rsidR="00630EF4" w:rsidRPr="003E036A">
        <w:t>AUC</w:t>
      </w:r>
      <w:r w:rsidR="00630EF4" w:rsidRPr="00630EF4">
        <w:rPr>
          <w:vertAlign w:val="subscript"/>
        </w:rPr>
        <w:t>inf</w:t>
      </w:r>
      <w:r>
        <w:t xml:space="preserve"> increased by 1.42</w:t>
      </w:r>
      <w:r w:rsidRPr="00E20523">
        <w:t xml:space="preserve"> to 2.1</w:t>
      </w:r>
      <w:r>
        <w:t>4 fold</w:t>
      </w:r>
      <w:r w:rsidRPr="00E20523">
        <w:t xml:space="preserve">; and </w:t>
      </w:r>
      <w:r w:rsidR="00590286">
        <w:t>dasabuvir</w:t>
      </w:r>
      <w:r w:rsidRPr="00E20523">
        <w:t xml:space="preserve"> </w:t>
      </w:r>
      <w:r w:rsidR="00630EF4" w:rsidRPr="003E036A">
        <w:t>AUC</w:t>
      </w:r>
      <w:r w:rsidR="00630EF4" w:rsidRPr="00630EF4">
        <w:rPr>
          <w:vertAlign w:val="subscript"/>
        </w:rPr>
        <w:t>inf</w:t>
      </w:r>
      <w:r w:rsidRPr="00E20523">
        <w:t xml:space="preserve"> increased by 1.21</w:t>
      </w:r>
      <w:r>
        <w:t xml:space="preserve"> fold</w:t>
      </w:r>
      <w:r w:rsidRPr="00E20523">
        <w:t xml:space="preserve"> to 1.50</w:t>
      </w:r>
      <w:r>
        <w:t xml:space="preserve"> fold</w:t>
      </w:r>
      <w:r w:rsidRPr="00E20523">
        <w:t xml:space="preserve">. In contrast, </w:t>
      </w:r>
      <w:r w:rsidR="00590286">
        <w:t>ombitasvir</w:t>
      </w:r>
      <w:r w:rsidRPr="00E20523">
        <w:t xml:space="preserve"> exposure was relatively </w:t>
      </w:r>
      <w:r>
        <w:t>unaffected by renal impairment.</w:t>
      </w:r>
    </w:p>
    <w:p w:rsidR="003E036A" w:rsidRPr="00E20523" w:rsidRDefault="003E036A" w:rsidP="00846F25">
      <w:pPr>
        <w:pStyle w:val="Heading5"/>
      </w:pPr>
      <w:r w:rsidRPr="00E20523">
        <w:t>Ethnicity</w:t>
      </w:r>
    </w:p>
    <w:p w:rsidR="003E036A" w:rsidRPr="00E20523" w:rsidRDefault="003E036A" w:rsidP="003E036A">
      <w:r w:rsidRPr="00E20523">
        <w:t xml:space="preserve">Following co-administration of </w:t>
      </w:r>
      <w:r w:rsidR="00590286">
        <w:t>ombitasvir</w:t>
      </w:r>
      <w:r w:rsidRPr="00E20523">
        <w:t xml:space="preserve"> 25 mg QD HME, </w:t>
      </w:r>
      <w:r w:rsidR="00F573D0">
        <w:t>paritaprevir</w:t>
      </w:r>
      <w:r>
        <w:t>/</w:t>
      </w:r>
      <w:r w:rsidR="00772535">
        <w:t>ritonavir</w:t>
      </w:r>
      <w:r>
        <w:t xml:space="preserve"> 150/100 mg QD, and </w:t>
      </w:r>
      <w:r w:rsidR="00590286">
        <w:t>dasabuvir</w:t>
      </w:r>
      <w:r w:rsidRPr="00E20523">
        <w:t xml:space="preserve"> 400 mg </w:t>
      </w:r>
      <w:r>
        <w:t>BD</w:t>
      </w:r>
      <w:r w:rsidRPr="00E20523">
        <w:t xml:space="preserve"> for 21 days to Han Chinese, Japanese and Caucasian subjects, compared to Caucasians the </w:t>
      </w:r>
      <w:r w:rsidRPr="00802635">
        <w:t>AUC</w:t>
      </w:r>
      <w:r w:rsidRPr="00B80924">
        <w:rPr>
          <w:vertAlign w:val="subscript"/>
        </w:rPr>
        <w:t>24</w:t>
      </w:r>
      <w:r w:rsidRPr="00E20523">
        <w:t xml:space="preserve"> values for </w:t>
      </w:r>
      <w:r w:rsidR="00590286">
        <w:t>ombitasvir</w:t>
      </w:r>
      <w:r w:rsidRPr="00E20523">
        <w:t xml:space="preserve"> in Chinese </w:t>
      </w:r>
      <w:r>
        <w:t>and Japanese subjects were 1.18</w:t>
      </w:r>
      <w:r w:rsidRPr="00E20523">
        <w:t xml:space="preserve"> and 1.30</w:t>
      </w:r>
      <w:r>
        <w:t xml:space="preserve"> fold</w:t>
      </w:r>
      <w:r w:rsidRPr="00E20523">
        <w:t xml:space="preserve"> higher, respectively. For </w:t>
      </w:r>
      <w:r w:rsidR="00F573D0">
        <w:t>paritaprevir</w:t>
      </w:r>
      <w:r w:rsidRPr="00E20523">
        <w:t xml:space="preserve">, the </w:t>
      </w:r>
      <w:r w:rsidRPr="00802635">
        <w:t>AUC</w:t>
      </w:r>
      <w:r w:rsidRPr="00B80924">
        <w:rPr>
          <w:vertAlign w:val="subscript"/>
        </w:rPr>
        <w:t>24</w:t>
      </w:r>
      <w:r>
        <w:t xml:space="preserve"> values were 2.47</w:t>
      </w:r>
      <w:r w:rsidRPr="00E20523">
        <w:t xml:space="preserve"> and 2.91</w:t>
      </w:r>
      <w:r>
        <w:t xml:space="preserve"> fold</w:t>
      </w:r>
      <w:r w:rsidRPr="00E20523">
        <w:t xml:space="preserve"> higher in Chinese and Japanese subjects, respectively. For ritonavir, the </w:t>
      </w:r>
      <w:r w:rsidRPr="00802635">
        <w:t>AUC</w:t>
      </w:r>
      <w:r w:rsidRPr="00B80924">
        <w:rPr>
          <w:vertAlign w:val="subscript"/>
        </w:rPr>
        <w:t>24</w:t>
      </w:r>
      <w:r w:rsidRPr="00E20523">
        <w:t xml:space="preserve"> values were 1.2</w:t>
      </w:r>
      <w:r>
        <w:t xml:space="preserve">4 </w:t>
      </w:r>
      <w:r w:rsidRPr="00E20523">
        <w:t>and 1.06</w:t>
      </w:r>
      <w:r>
        <w:t xml:space="preserve"> fold</w:t>
      </w:r>
      <w:r w:rsidRPr="00E20523">
        <w:t xml:space="preserve"> higher in Chinese and Japanese subjects, respectively. For </w:t>
      </w:r>
      <w:r w:rsidR="00590286">
        <w:t>dasabuvir</w:t>
      </w:r>
      <w:r w:rsidRPr="00E20523">
        <w:t xml:space="preserve">, the </w:t>
      </w:r>
      <w:r w:rsidRPr="00802635">
        <w:t>AUC</w:t>
      </w:r>
      <w:r w:rsidRPr="00B80924">
        <w:rPr>
          <w:vertAlign w:val="subscript"/>
        </w:rPr>
        <w:t>24</w:t>
      </w:r>
      <w:r>
        <w:t xml:space="preserve"> values were 1.11</w:t>
      </w:r>
      <w:r w:rsidRPr="00E20523">
        <w:t xml:space="preserve"> and 1.29</w:t>
      </w:r>
      <w:r>
        <w:t xml:space="preserve"> fold</w:t>
      </w:r>
      <w:r w:rsidRPr="00E20523">
        <w:t xml:space="preserve"> higher in Chinese and Japanese subjects, respectively and for </w:t>
      </w:r>
      <w:r w:rsidR="00590286">
        <w:t>dasabuvir</w:t>
      </w:r>
      <w:r w:rsidRPr="00E20523">
        <w:t xml:space="preserve"> M1 were 1.3</w:t>
      </w:r>
      <w:r>
        <w:t xml:space="preserve">5 to </w:t>
      </w:r>
      <w:r w:rsidRPr="00E20523">
        <w:t>and 1.50</w:t>
      </w:r>
      <w:r>
        <w:t xml:space="preserve"> fold</w:t>
      </w:r>
      <w:r w:rsidRPr="00E20523">
        <w:t xml:space="preserve"> higher, respectively.</w:t>
      </w:r>
    </w:p>
    <w:p w:rsidR="003E036A" w:rsidRPr="00E20523" w:rsidRDefault="003E036A" w:rsidP="00846F25">
      <w:pPr>
        <w:pStyle w:val="Heading5"/>
      </w:pPr>
      <w:r w:rsidRPr="00E20523">
        <w:t xml:space="preserve">Effect of ritonavir on </w:t>
      </w:r>
      <w:r w:rsidR="00F573D0">
        <w:t>paritaprevir</w:t>
      </w:r>
      <w:r w:rsidRPr="00E20523">
        <w:t xml:space="preserve"> exposure</w:t>
      </w:r>
    </w:p>
    <w:p w:rsidR="003E036A" w:rsidRPr="00E20523" w:rsidRDefault="003E036A" w:rsidP="003E036A">
      <w:r w:rsidRPr="00E20523">
        <w:t xml:space="preserve">Compared to when 300 mg </w:t>
      </w:r>
      <w:r w:rsidR="00F573D0">
        <w:t>paritaprevir</w:t>
      </w:r>
      <w:r w:rsidRPr="00E20523">
        <w:t xml:space="preserve"> was administered alone, co-administration with 100 mg ritonavir resulted in significant increases in </w:t>
      </w:r>
      <w:r w:rsidR="00F573D0">
        <w:t>paritaprevir</w:t>
      </w:r>
      <w:r w:rsidRPr="00E20523">
        <w:t xml:space="preserve"> </w:t>
      </w:r>
      <w:r w:rsidR="003A33A4" w:rsidRPr="008912E8">
        <w:t>C</w:t>
      </w:r>
      <w:r w:rsidR="003A33A4" w:rsidRPr="003A33A4">
        <w:rPr>
          <w:vertAlign w:val="subscript"/>
        </w:rPr>
        <w:t>max</w:t>
      </w:r>
      <w:r w:rsidRPr="00E20523">
        <w:t xml:space="preserve">, which increased </w:t>
      </w:r>
      <w:proofErr w:type="gramStart"/>
      <w:r w:rsidRPr="00E20523">
        <w:lastRenderedPageBreak/>
        <w:t>from 121 ng/mL</w:t>
      </w:r>
      <w:proofErr w:type="gramEnd"/>
      <w:r w:rsidRPr="00E20523">
        <w:t xml:space="preserve"> to 3</w:t>
      </w:r>
      <w:r>
        <w:t>,</w:t>
      </w:r>
      <w:r w:rsidRPr="00E20523">
        <w:t xml:space="preserve">397 ng/mL, and </w:t>
      </w:r>
      <w:r w:rsidR="00630EF4" w:rsidRPr="003E036A">
        <w:t>AUC</w:t>
      </w:r>
      <w:r w:rsidR="00630EF4" w:rsidRPr="00630EF4">
        <w:rPr>
          <w:vertAlign w:val="subscript"/>
        </w:rPr>
        <w:t>inf</w:t>
      </w:r>
      <w:r w:rsidRPr="00E20523">
        <w:t>, which increased from 391 to 18</w:t>
      </w:r>
      <w:r w:rsidR="00772535">
        <w:t>,534 </w:t>
      </w:r>
      <w:r>
        <w:t>ng.h/mL.</w:t>
      </w:r>
    </w:p>
    <w:p w:rsidR="003E036A" w:rsidRPr="00E20523" w:rsidRDefault="003E036A" w:rsidP="00846F25">
      <w:pPr>
        <w:pStyle w:val="Heading5"/>
      </w:pPr>
      <w:r w:rsidRPr="00E20523">
        <w:t xml:space="preserve">Effect of </w:t>
      </w:r>
      <w:r w:rsidR="00F573D0">
        <w:t>paritaprevir</w:t>
      </w:r>
      <w:r w:rsidRPr="00E20523">
        <w:t>/</w:t>
      </w:r>
      <w:r w:rsidR="00772535">
        <w:t>ritonavir</w:t>
      </w:r>
      <w:r w:rsidRPr="00E20523">
        <w:t xml:space="preserve"> on </w:t>
      </w:r>
      <w:r w:rsidR="00590286">
        <w:t>ombitasvir</w:t>
      </w:r>
      <w:r w:rsidRPr="00E20523">
        <w:t xml:space="preserve"> exposure</w:t>
      </w:r>
    </w:p>
    <w:p w:rsidR="003E036A" w:rsidRPr="00E20523" w:rsidRDefault="003E036A" w:rsidP="003E036A">
      <w:r w:rsidRPr="00E20523">
        <w:t xml:space="preserve">Compared to when 25 mg </w:t>
      </w:r>
      <w:r w:rsidR="00F573D0">
        <w:t>paritaprevir</w:t>
      </w:r>
      <w:r w:rsidRPr="00E20523">
        <w:t xml:space="preserve"> was a</w:t>
      </w:r>
      <w:r w:rsidR="007C7771">
        <w:t>dministered alone for 7 days co</w:t>
      </w:r>
      <w:r w:rsidR="007C7771">
        <w:noBreakHyphen/>
      </w:r>
      <w:r w:rsidRPr="00E20523">
        <w:t xml:space="preserve">administration with a single dose of </w:t>
      </w:r>
      <w:r w:rsidR="00F573D0">
        <w:t>paritaprevir</w:t>
      </w:r>
      <w:r w:rsidRPr="00E20523">
        <w:t>/</w:t>
      </w:r>
      <w:r w:rsidR="00772535">
        <w:t>ritonavir</w:t>
      </w:r>
      <w:r w:rsidRPr="00E20523">
        <w:t xml:space="preserve"> 250/100 mg increased the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24</w:t>
      </w:r>
      <w:r>
        <w:t xml:space="preserve"> of </w:t>
      </w:r>
      <w:r w:rsidR="00590286">
        <w:t>ombitasvir</w:t>
      </w:r>
      <w:r>
        <w:t xml:space="preserve"> by 1.59</w:t>
      </w:r>
      <w:r w:rsidRPr="00E20523">
        <w:t xml:space="preserve"> and 1.62</w:t>
      </w:r>
      <w:r>
        <w:t xml:space="preserve"> fold, respectively.</w:t>
      </w:r>
    </w:p>
    <w:p w:rsidR="003E036A" w:rsidRPr="00E20523" w:rsidRDefault="003E036A" w:rsidP="00846F25">
      <w:pPr>
        <w:pStyle w:val="Heading5"/>
      </w:pPr>
      <w:r w:rsidRPr="00E20523">
        <w:t xml:space="preserve">Effect of </w:t>
      </w:r>
      <w:r w:rsidR="00590286">
        <w:t>ombitasvir</w:t>
      </w:r>
      <w:r w:rsidRPr="00E20523">
        <w:t xml:space="preserve"> on </w:t>
      </w:r>
      <w:r w:rsidR="00F573D0">
        <w:t>paritaprevir</w:t>
      </w:r>
      <w:r w:rsidRPr="00E20523">
        <w:t>/</w:t>
      </w:r>
      <w:r w:rsidR="00772535">
        <w:t>ritonavir</w:t>
      </w:r>
      <w:r w:rsidRPr="00E20523">
        <w:t xml:space="preserve"> exposure</w:t>
      </w:r>
    </w:p>
    <w:p w:rsidR="003E036A" w:rsidRPr="00E20523" w:rsidRDefault="003E036A" w:rsidP="003E036A">
      <w:r w:rsidRPr="00E20523">
        <w:t xml:space="preserve">Compared to when </w:t>
      </w:r>
      <w:r w:rsidR="00F573D0">
        <w:t>paritaprevir</w:t>
      </w:r>
      <w:r w:rsidRPr="00E20523">
        <w:t>/</w:t>
      </w:r>
      <w:r w:rsidR="00772535">
        <w:t>ritonavir</w:t>
      </w:r>
      <w:r w:rsidRPr="00E20523">
        <w:t xml:space="preserve"> 250/100 mg was adm</w:t>
      </w:r>
      <w:r w:rsidR="00772535">
        <w:t>inistered alone for 14 </w:t>
      </w:r>
      <w:r>
        <w:t>days, co</w:t>
      </w:r>
      <w:r>
        <w:noBreakHyphen/>
      </w:r>
      <w:r w:rsidRPr="00E20523">
        <w:t xml:space="preserve">administration with a single dose of 25 mg </w:t>
      </w:r>
      <w:r w:rsidR="00590286">
        <w:t>ombitasvir</w:t>
      </w:r>
      <w:r w:rsidRPr="00E20523">
        <w:t xml:space="preserve"> had little to no effect on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24</w:t>
      </w:r>
      <w:r w:rsidRPr="00E20523">
        <w:t xml:space="preserve"> of </w:t>
      </w:r>
      <w:r w:rsidR="00F573D0">
        <w:t>paritaprevir</w:t>
      </w:r>
      <w:r w:rsidRPr="00E20523">
        <w:t xml:space="preserve"> or ritonavir.</w:t>
      </w:r>
    </w:p>
    <w:p w:rsidR="003E036A" w:rsidRPr="00E20523" w:rsidRDefault="003E036A" w:rsidP="00846F25">
      <w:pPr>
        <w:pStyle w:val="Heading5"/>
      </w:pPr>
      <w:r w:rsidRPr="00E20523">
        <w:t xml:space="preserve">Effect of </w:t>
      </w:r>
      <w:r w:rsidR="00590286">
        <w:t>dasabuvir</w:t>
      </w:r>
      <w:r w:rsidRPr="00E20523">
        <w:t xml:space="preserve"> on </w:t>
      </w:r>
      <w:r w:rsidR="00F573D0">
        <w:t>paritaprevir</w:t>
      </w:r>
      <w:r w:rsidRPr="00E20523">
        <w:t>/</w:t>
      </w:r>
      <w:r w:rsidR="00772535">
        <w:t>ritonavir</w:t>
      </w:r>
    </w:p>
    <w:p w:rsidR="003E036A" w:rsidRPr="00E20523" w:rsidRDefault="003E036A" w:rsidP="003E036A">
      <w:r w:rsidRPr="00E20523">
        <w:t xml:space="preserve">Co-administration of 100 mg </w:t>
      </w:r>
      <w:r w:rsidR="00590286">
        <w:t>dasabuvir</w:t>
      </w:r>
      <w:r w:rsidRPr="00E20523">
        <w:t xml:space="preserve"> </w:t>
      </w:r>
      <w:r>
        <w:t>BD</w:t>
      </w:r>
      <w:r w:rsidRPr="00E20523">
        <w:t xml:space="preserve"> with </w:t>
      </w:r>
      <w:r w:rsidR="00F573D0">
        <w:t>paritaprevir</w:t>
      </w:r>
      <w:r w:rsidRPr="00E20523">
        <w:t>/</w:t>
      </w:r>
      <w:r w:rsidR="00772535">
        <w:t>ritonavir</w:t>
      </w:r>
      <w:r w:rsidRPr="00E20523">
        <w:t xml:space="preserve"> 200/100 mg increased the </w:t>
      </w:r>
      <w:r w:rsidR="00F573D0">
        <w:t>paritaprevir</w:t>
      </w:r>
      <w:r w:rsidRPr="00E20523">
        <w:t xml:space="preserve"> </w:t>
      </w:r>
      <w:r w:rsidR="003A33A4" w:rsidRPr="008912E8">
        <w:t>C</w:t>
      </w:r>
      <w:r w:rsidR="003A33A4" w:rsidRPr="003A33A4">
        <w:rPr>
          <w:vertAlign w:val="subscript"/>
        </w:rPr>
        <w:t>max</w:t>
      </w:r>
      <w:r w:rsidR="00630EF4">
        <w:t xml:space="preserve"> </w:t>
      </w:r>
      <w:r w:rsidRPr="00E20523">
        <w:t>from 2</w:t>
      </w:r>
      <w:r>
        <w:t>,</w:t>
      </w:r>
      <w:r w:rsidRPr="00E20523">
        <w:t>520 to 3</w:t>
      </w:r>
      <w:r>
        <w:t>,</w:t>
      </w:r>
      <w:r w:rsidRPr="00E20523">
        <w:t xml:space="preserve">140 ng/mL and </w:t>
      </w:r>
      <w:r w:rsidR="00F573D0">
        <w:t>paritaprevir</w:t>
      </w:r>
      <w:r w:rsidRPr="00E20523">
        <w:t xml:space="preserve"> </w:t>
      </w:r>
      <w:r w:rsidRPr="00802635">
        <w:t>AUC</w:t>
      </w:r>
      <w:r w:rsidRPr="00B80924">
        <w:rPr>
          <w:vertAlign w:val="subscript"/>
        </w:rPr>
        <w:t>24</w:t>
      </w:r>
      <w:r w:rsidRPr="00E20523">
        <w:t xml:space="preserve"> from 9</w:t>
      </w:r>
      <w:r>
        <w:t>,</w:t>
      </w:r>
      <w:r w:rsidRPr="00E20523">
        <w:t xml:space="preserve">890 </w:t>
      </w:r>
      <w:proofErr w:type="gramStart"/>
      <w:r w:rsidRPr="00E20523">
        <w:t>to 14</w:t>
      </w:r>
      <w:r>
        <w:t>,</w:t>
      </w:r>
      <w:r w:rsidRPr="00E20523">
        <w:t>400 ng.h/mL</w:t>
      </w:r>
      <w:proofErr w:type="gramEnd"/>
      <w:r w:rsidRPr="00E20523">
        <w:t xml:space="preserve">. Ritonavir exposure was also increased in the presence of </w:t>
      </w:r>
      <w:r w:rsidR="00590286">
        <w:t>dasabuvir</w:t>
      </w:r>
      <w:r w:rsidRPr="00E20523">
        <w:t xml:space="preserve"> with the </w:t>
      </w:r>
      <w:r w:rsidRPr="00802635">
        <w:t>AUC</w:t>
      </w:r>
      <w:r w:rsidRPr="00B80924">
        <w:rPr>
          <w:vertAlign w:val="subscript"/>
        </w:rPr>
        <w:t>24</w:t>
      </w:r>
      <w:r w:rsidRPr="00E20523">
        <w:t xml:space="preserve"> of ritonavir increasing from 7</w:t>
      </w:r>
      <w:r>
        <w:t>,</w:t>
      </w:r>
      <w:r w:rsidRPr="00E20523">
        <w:t xml:space="preserve">140 </w:t>
      </w:r>
      <w:proofErr w:type="gramStart"/>
      <w:r w:rsidRPr="00E20523">
        <w:t>to 8</w:t>
      </w:r>
      <w:r>
        <w:t>,</w:t>
      </w:r>
      <w:r w:rsidRPr="00E20523">
        <w:t>160 ng.h/mL</w:t>
      </w:r>
      <w:proofErr w:type="gramEnd"/>
      <w:r w:rsidRPr="00E20523">
        <w:t>.</w:t>
      </w:r>
    </w:p>
    <w:p w:rsidR="003E036A" w:rsidRPr="00E20523" w:rsidRDefault="003E036A" w:rsidP="00846F25">
      <w:pPr>
        <w:pStyle w:val="Heading5"/>
      </w:pPr>
      <w:r w:rsidRPr="00E20523">
        <w:t xml:space="preserve">Effect of </w:t>
      </w:r>
      <w:r w:rsidR="00F573D0">
        <w:t>paritaprevir</w:t>
      </w:r>
      <w:r w:rsidRPr="00E20523">
        <w:t>/</w:t>
      </w:r>
      <w:r w:rsidR="00772535">
        <w:t>ritonavir</w:t>
      </w:r>
      <w:r w:rsidRPr="00E20523">
        <w:t xml:space="preserve"> on </w:t>
      </w:r>
      <w:r w:rsidR="00590286">
        <w:t>dasabuvir</w:t>
      </w:r>
    </w:p>
    <w:p w:rsidR="003E036A" w:rsidRPr="00E20523" w:rsidRDefault="003E036A" w:rsidP="003E036A">
      <w:r w:rsidRPr="00E20523">
        <w:t xml:space="preserve">Following co-administration of 100 mg </w:t>
      </w:r>
      <w:r w:rsidR="00590286">
        <w:t>dasabuvir</w:t>
      </w:r>
      <w:r w:rsidRPr="00E20523">
        <w:t xml:space="preserve"> </w:t>
      </w:r>
      <w:r>
        <w:t>BD</w:t>
      </w:r>
      <w:r w:rsidRPr="00E20523">
        <w:t xml:space="preserve"> with </w:t>
      </w:r>
      <w:r w:rsidR="00F573D0">
        <w:t>paritaprevir</w:t>
      </w:r>
      <w:r w:rsidRPr="00E20523">
        <w:t>/</w:t>
      </w:r>
      <w:r w:rsidR="00772535">
        <w:t>ritonavir 200/100 </w:t>
      </w:r>
      <w:r w:rsidRPr="00E20523">
        <w:t xml:space="preserve">mg QD the </w:t>
      </w:r>
      <w:r w:rsidR="003A33A4" w:rsidRPr="008912E8">
        <w:t>C</w:t>
      </w:r>
      <w:r w:rsidR="003A33A4" w:rsidRPr="003A33A4">
        <w:rPr>
          <w:vertAlign w:val="subscript"/>
        </w:rPr>
        <w:t>max</w:t>
      </w:r>
      <w:r w:rsidR="00630EF4">
        <w:t xml:space="preserve"> </w:t>
      </w:r>
      <w:r w:rsidRPr="00E20523">
        <w:t xml:space="preserve">and </w:t>
      </w:r>
      <w:r w:rsidRPr="00802635">
        <w:t>AUC</w:t>
      </w:r>
      <w:r w:rsidRPr="00B80924">
        <w:rPr>
          <w:vertAlign w:val="subscript"/>
        </w:rPr>
        <w:t>12</w:t>
      </w:r>
      <w:r w:rsidRPr="00E20523">
        <w:t xml:space="preserve"> values for </w:t>
      </w:r>
      <w:r w:rsidR="00590286">
        <w:t>dasabuvir</w:t>
      </w:r>
      <w:r w:rsidRPr="00E20523">
        <w:t xml:space="preserve"> was similar to when </w:t>
      </w:r>
      <w:r w:rsidR="00590286">
        <w:t>dasabuvir</w:t>
      </w:r>
      <w:r w:rsidRPr="00E20523">
        <w:t xml:space="preserve"> administered alone.</w:t>
      </w:r>
    </w:p>
    <w:p w:rsidR="003E036A" w:rsidRPr="00E20523" w:rsidRDefault="003E036A" w:rsidP="00846F25">
      <w:pPr>
        <w:pStyle w:val="Heading5"/>
      </w:pPr>
      <w:r w:rsidRPr="00E20523">
        <w:t xml:space="preserve">Effect of </w:t>
      </w:r>
      <w:r w:rsidR="00590286">
        <w:t>dasabuvir</w:t>
      </w:r>
      <w:r w:rsidRPr="00E20523">
        <w:t xml:space="preserve"> on </w:t>
      </w:r>
      <w:r w:rsidR="00F573D0">
        <w:t>paritaprevir</w:t>
      </w:r>
      <w:r w:rsidRPr="00E20523">
        <w:t>/</w:t>
      </w:r>
      <w:r w:rsidR="00772535">
        <w:t>ritonavir</w:t>
      </w:r>
      <w:r w:rsidRPr="00E20523">
        <w:t xml:space="preserve"> + </w:t>
      </w:r>
      <w:r w:rsidR="00590286">
        <w:t>ombitasvir</w:t>
      </w:r>
    </w:p>
    <w:p w:rsidR="003E036A" w:rsidRPr="00E20523" w:rsidRDefault="003E036A" w:rsidP="003E036A">
      <w:r w:rsidRPr="00E20523">
        <w:t xml:space="preserve">Following co-administration of </w:t>
      </w:r>
      <w:r w:rsidR="00F573D0">
        <w:t>paritaprevir</w:t>
      </w:r>
      <w:r w:rsidRPr="00E20523">
        <w:t>/</w:t>
      </w:r>
      <w:r w:rsidR="00772535">
        <w:t>ritonavir</w:t>
      </w:r>
      <w:r w:rsidRPr="00E20523">
        <w:t xml:space="preserve"> 150/100 mg QD + </w:t>
      </w:r>
      <w:r w:rsidR="00590286">
        <w:t>ombitasvir</w:t>
      </w:r>
      <w:r w:rsidR="007C7771">
        <w:t xml:space="preserve"> 25 mg </w:t>
      </w:r>
      <w:r w:rsidRPr="00E20523">
        <w:t xml:space="preserve">QD with </w:t>
      </w:r>
      <w:r w:rsidR="00590286">
        <w:t>dasabuvir</w:t>
      </w:r>
      <w:r w:rsidRPr="00E20523">
        <w:t xml:space="preserve"> 400 mg </w:t>
      </w:r>
      <w:r>
        <w:t>BD</w:t>
      </w:r>
      <w:r w:rsidRPr="00E20523">
        <w:t xml:space="preserve"> for 14 days, </w:t>
      </w:r>
      <w:r w:rsidR="00F573D0">
        <w:t>paritaprevir</w:t>
      </w:r>
      <w:r w:rsidRPr="00E20523">
        <w:t xml:space="preserve"> exposure more than doubled.</w:t>
      </w:r>
      <w:r>
        <w:t xml:space="preserve"> By contrast, the effect of </w:t>
      </w:r>
      <w:r w:rsidR="00590286">
        <w:t>dasabuvir</w:t>
      </w:r>
      <w:r w:rsidRPr="00E20523">
        <w:t xml:space="preserve"> on ritonavir and </w:t>
      </w:r>
      <w:r w:rsidR="00590286">
        <w:t>ombitasvir</w:t>
      </w:r>
      <w:r w:rsidRPr="00E20523">
        <w:t xml:space="preserve"> exposure was smaller with ritonavir </w:t>
      </w:r>
      <w:r w:rsidRPr="00802635">
        <w:t>AUC</w:t>
      </w:r>
      <w:r w:rsidRPr="00B80924">
        <w:rPr>
          <w:vertAlign w:val="subscript"/>
        </w:rPr>
        <w:t>24</w:t>
      </w:r>
      <w:r w:rsidRPr="00E20523">
        <w:t xml:space="preserve"> increasing from 10</w:t>
      </w:r>
      <w:r>
        <w:t>,</w:t>
      </w:r>
      <w:r w:rsidRPr="00E20523">
        <w:t>100 to 13</w:t>
      </w:r>
      <w:r>
        <w:t>,</w:t>
      </w:r>
      <w:r w:rsidRPr="00E20523">
        <w:t xml:space="preserve">700 ng.h/mL and </w:t>
      </w:r>
      <w:r w:rsidR="00590286">
        <w:t>ombitasvir</w:t>
      </w:r>
      <w:r w:rsidRPr="00E20523">
        <w:t xml:space="preserve"> </w:t>
      </w:r>
      <w:r w:rsidRPr="00802635">
        <w:t>AUC</w:t>
      </w:r>
      <w:r w:rsidRPr="00B80924">
        <w:rPr>
          <w:vertAlign w:val="subscript"/>
        </w:rPr>
        <w:t>24</w:t>
      </w:r>
      <w:r w:rsidRPr="00E20523">
        <w:t xml:space="preserve"> from 1</w:t>
      </w:r>
      <w:r>
        <w:t>,</w:t>
      </w:r>
      <w:r w:rsidRPr="00E20523">
        <w:t xml:space="preserve">210 </w:t>
      </w:r>
      <w:proofErr w:type="gramStart"/>
      <w:r w:rsidRPr="00E20523">
        <w:t>to 1</w:t>
      </w:r>
      <w:r>
        <w:t>,</w:t>
      </w:r>
      <w:r w:rsidRPr="00E20523">
        <w:t>540 ng.h/mL</w:t>
      </w:r>
      <w:proofErr w:type="gramEnd"/>
      <w:r w:rsidRPr="00E20523">
        <w:t>.</w:t>
      </w:r>
    </w:p>
    <w:p w:rsidR="003E036A" w:rsidRPr="00E20523" w:rsidRDefault="00973BDE" w:rsidP="00846F25">
      <w:pPr>
        <w:pStyle w:val="Heading5"/>
      </w:pPr>
      <w:r>
        <w:t>Drug-drug interaction</w:t>
      </w:r>
      <w:r w:rsidR="003E036A" w:rsidRPr="00E20523">
        <w:t>s having a large effect on PKs (</w:t>
      </w:r>
      <w:r w:rsidR="000C3156">
        <w:t xml:space="preserve">≥ </w:t>
      </w:r>
      <w:r w:rsidR="003E036A">
        <w:t xml:space="preserve">± </w:t>
      </w:r>
      <w:r w:rsidR="003E036A" w:rsidRPr="00E20523">
        <w:t>50%)</w:t>
      </w:r>
    </w:p>
    <w:p w:rsidR="003E036A" w:rsidRPr="00846F25" w:rsidRDefault="00772535" w:rsidP="00846F25">
      <w:pPr>
        <w:pStyle w:val="ListBullet"/>
      </w:pPr>
      <w:r>
        <w:t>P</w:t>
      </w:r>
      <w:r w:rsidR="00F573D0">
        <w:t>aritaprevir</w:t>
      </w:r>
      <w:r w:rsidR="003E036A" w:rsidRPr="00846F25">
        <w:t xml:space="preserve"> AUC values were increased by the co-administration of ketoconazole, rosuvastatin, </w:t>
      </w:r>
      <w:r w:rsidR="002D05D0" w:rsidRPr="002D05D0">
        <w:t>lopinavir (</w:t>
      </w:r>
      <w:r w:rsidR="003E036A" w:rsidRPr="002D05D0">
        <w:t>LPV</w:t>
      </w:r>
      <w:r w:rsidR="002D05D0" w:rsidRPr="002D05D0">
        <w:t>)</w:t>
      </w:r>
      <w:r w:rsidR="003E036A" w:rsidRPr="002D05D0">
        <w:t>/</w:t>
      </w:r>
      <w:r w:rsidRPr="002D05D0">
        <w:t>ritonavir</w:t>
      </w:r>
      <w:r w:rsidR="003E036A" w:rsidRPr="002D05D0">
        <w:t>,</w:t>
      </w:r>
      <w:r w:rsidR="003E036A" w:rsidRPr="00846F25">
        <w:t xml:space="preserve"> </w:t>
      </w:r>
      <w:r w:rsidR="004A74D1" w:rsidRPr="004A74D1">
        <w:t>cyclosporine (</w:t>
      </w:r>
      <w:r w:rsidR="003E036A" w:rsidRPr="004A74D1">
        <w:t>CsA</w:t>
      </w:r>
      <w:r w:rsidR="004A74D1" w:rsidRPr="004A74D1">
        <w:t>)</w:t>
      </w:r>
      <w:r w:rsidR="003E036A" w:rsidRPr="004A74D1">
        <w:t xml:space="preserve"> or</w:t>
      </w:r>
      <w:r w:rsidR="003E036A" w:rsidRPr="00846F25">
        <w:t xml:space="preserve"> atazanavir by 1.98, 1.52, 2.17, 1.72 and 1.94 fold, respectively and decreased by tacrolimus and carbamazepine, by 1.51 and 3.4 fold, respectively.</w:t>
      </w:r>
    </w:p>
    <w:p w:rsidR="003E036A" w:rsidRPr="00846F25" w:rsidRDefault="003E036A" w:rsidP="00846F25">
      <w:pPr>
        <w:pStyle w:val="ListBullet"/>
      </w:pPr>
      <w:r w:rsidRPr="00846F25">
        <w:t>Ritonavir AUC was increased by the presence of ketoconazole or LPV/</w:t>
      </w:r>
      <w:r w:rsidR="00772535">
        <w:t>ritonavir</w:t>
      </w:r>
      <w:r w:rsidRPr="00846F25">
        <w:t xml:space="preserve"> by 1.57 and 2.05 fold, respectively, whereas, carbamazepine decreased the AUC by 7.9 fold.</w:t>
      </w:r>
    </w:p>
    <w:p w:rsidR="003E036A" w:rsidRPr="00846F25" w:rsidRDefault="00772535" w:rsidP="00846F25">
      <w:pPr>
        <w:pStyle w:val="ListBullet"/>
      </w:pPr>
      <w:r>
        <w:t>O</w:t>
      </w:r>
      <w:r w:rsidR="00590286">
        <w:t>mbitasvir</w:t>
      </w:r>
      <w:r w:rsidR="003E036A" w:rsidRPr="00846F25">
        <w:t xml:space="preserve"> AUC was decreased by 1.5 fold following co-administration with carbamazepine.</w:t>
      </w:r>
    </w:p>
    <w:p w:rsidR="003E036A" w:rsidRPr="00846F25" w:rsidRDefault="00772535" w:rsidP="00846F25">
      <w:pPr>
        <w:pStyle w:val="ListBullet"/>
      </w:pPr>
      <w:r>
        <w:t>D</w:t>
      </w:r>
      <w:r w:rsidR="00590286">
        <w:t>asabuvir</w:t>
      </w:r>
      <w:r w:rsidR="003E036A" w:rsidRPr="00846F25">
        <w:t xml:space="preserve"> AUC was increased by the presence of gemfibrozil by 11.25 fold and decreased by carbamazepine or </w:t>
      </w:r>
      <w:r w:rsidR="000E1719">
        <w:t>combined oral contraceptive</w:t>
      </w:r>
      <w:r w:rsidR="000E1719" w:rsidRPr="00846F25">
        <w:t xml:space="preserve"> </w:t>
      </w:r>
      <w:r w:rsidR="000E1719">
        <w:t>(</w:t>
      </w:r>
      <w:r w:rsidR="003E036A" w:rsidRPr="00846F25">
        <w:t>COC</w:t>
      </w:r>
      <w:r w:rsidR="000E1719">
        <w:t>)</w:t>
      </w:r>
      <w:r w:rsidR="003E036A" w:rsidRPr="00846F25">
        <w:t xml:space="preserve"> by 3.3 and 2.08 fold, respectively.</w:t>
      </w:r>
    </w:p>
    <w:p w:rsidR="003E036A" w:rsidRPr="00846F25" w:rsidRDefault="00772535" w:rsidP="00846F25">
      <w:pPr>
        <w:pStyle w:val="ListBullet"/>
      </w:pPr>
      <w:r>
        <w:t>D</w:t>
      </w:r>
      <w:r w:rsidR="00590286">
        <w:t>asabuvir</w:t>
      </w:r>
      <w:r w:rsidR="003E036A" w:rsidRPr="00846F25">
        <w:t xml:space="preserve"> M1 AUC was decreased by the co-administration of gemfibrozil or carbamazepine by 4.6 and 1.6 fold, respectively.</w:t>
      </w:r>
    </w:p>
    <w:p w:rsidR="003E036A" w:rsidRPr="00846F25" w:rsidRDefault="003E036A" w:rsidP="00846F25">
      <w:pPr>
        <w:pStyle w:val="ListBullet"/>
      </w:pPr>
      <w:r w:rsidRPr="00846F25">
        <w:t xml:space="preserve">In the presence of the </w:t>
      </w:r>
      <w:r w:rsidR="00237CBE">
        <w:t>3DAA</w:t>
      </w:r>
      <w:r w:rsidRPr="00846F25">
        <w:t xml:space="preserve">s + ritonavir the AUC values for pravastatin, rosuvastatin, rilpivirine, raltegravir, CsA, tacrolimus, buprenorphine, norbuprenorphine, </w:t>
      </w:r>
      <w:r w:rsidR="002D05D0">
        <w:t>norelgestromin</w:t>
      </w:r>
      <w:r w:rsidR="002D05D0" w:rsidRPr="00846F25">
        <w:t xml:space="preserve"> </w:t>
      </w:r>
      <w:r w:rsidR="002D05D0">
        <w:t>(</w:t>
      </w:r>
      <w:r w:rsidRPr="00846F25">
        <w:t>NGMN</w:t>
      </w:r>
      <w:r w:rsidR="002D05D0">
        <w:t>)</w:t>
      </w:r>
      <w:r w:rsidRPr="00846F25">
        <w:t xml:space="preserve">, </w:t>
      </w:r>
      <w:r w:rsidR="002D05D0">
        <w:t>norgestrel</w:t>
      </w:r>
      <w:r w:rsidR="002D05D0" w:rsidRPr="00846F25">
        <w:t xml:space="preserve"> </w:t>
      </w:r>
      <w:r w:rsidR="002D05D0">
        <w:t>(</w:t>
      </w:r>
      <w:r w:rsidRPr="00846F25">
        <w:t>NG</w:t>
      </w:r>
      <w:r w:rsidR="002D05D0">
        <w:t>)</w:t>
      </w:r>
      <w:r w:rsidRPr="00846F25">
        <w:t xml:space="preserve"> and amlodipine by 1.82, 2.59, 2.5, 2.34, 5.82, 57.1, 2.07, 1.84, 2.60, 2.54 and 2.57 fold, respectively.</w:t>
      </w:r>
    </w:p>
    <w:p w:rsidR="003E036A" w:rsidRPr="00846F25" w:rsidRDefault="003E036A" w:rsidP="00846F25">
      <w:pPr>
        <w:pStyle w:val="ListBullet"/>
      </w:pPr>
      <w:r w:rsidRPr="00846F25">
        <w:t xml:space="preserve">Co-administration of Atripla with the </w:t>
      </w:r>
      <w:r w:rsidR="00237CBE">
        <w:t>3DAA</w:t>
      </w:r>
      <w:r w:rsidRPr="00846F25">
        <w:t>s + ritonavir resulted in high number AEs therefore the 2 combination therapies should not be co-administered.</w:t>
      </w:r>
    </w:p>
    <w:p w:rsidR="003E036A" w:rsidRPr="00E20523" w:rsidRDefault="00973BDE" w:rsidP="00846F25">
      <w:pPr>
        <w:pStyle w:val="Heading5"/>
      </w:pPr>
      <w:r>
        <w:lastRenderedPageBreak/>
        <w:t>Drug-drug interaction</w:t>
      </w:r>
      <w:r w:rsidR="003E036A" w:rsidRPr="00E20523">
        <w:t>s having an intermediate effect on the PKs (</w:t>
      </w:r>
      <w:r w:rsidR="00926A16">
        <w:t xml:space="preserve">&lt; </w:t>
      </w:r>
      <w:r w:rsidR="003E036A" w:rsidRPr="00E20523">
        <w:t>±</w:t>
      </w:r>
      <w:r w:rsidR="003E036A">
        <w:t xml:space="preserve"> </w:t>
      </w:r>
      <w:r w:rsidR="003E036A" w:rsidRPr="00E20523">
        <w:t>50%)</w:t>
      </w:r>
    </w:p>
    <w:p w:rsidR="003E036A" w:rsidRPr="00E20523" w:rsidRDefault="003E036A" w:rsidP="00846F25">
      <w:pPr>
        <w:pStyle w:val="ListBullet"/>
      </w:pPr>
      <w:r w:rsidRPr="00E20523">
        <w:t>Co-administration of ketoconazole, gemfibrozil, pravastatin, darunavir or rilpivirine incre</w:t>
      </w:r>
      <w:r>
        <w:t xml:space="preserve">ased the AUC of </w:t>
      </w:r>
      <w:r w:rsidR="00F573D0">
        <w:t>paritaprevir</w:t>
      </w:r>
      <w:r>
        <w:t xml:space="preserve"> by 1.42, 1.38, 1.13, 1.29</w:t>
      </w:r>
      <w:r w:rsidRPr="00E20523">
        <w:t xml:space="preserve"> and 1.19</w:t>
      </w:r>
      <w:r>
        <w:t xml:space="preserve"> fold</w:t>
      </w:r>
      <w:r w:rsidRPr="00E20523">
        <w:t>, respectively, whereas, emtricitabine/tenofovir, COC, duloxetine, zolpidem or amlo</w:t>
      </w:r>
      <w:r>
        <w:t xml:space="preserve">dipine decreased the AUC of </w:t>
      </w:r>
      <w:r w:rsidR="00F573D0">
        <w:t>paritaprevir</w:t>
      </w:r>
      <w:r w:rsidRPr="00E20523">
        <w:t xml:space="preserve"> by 16%, 34%, 17%, 32% and 22%, respectively.</w:t>
      </w:r>
    </w:p>
    <w:p w:rsidR="003E036A" w:rsidRPr="00E20523" w:rsidRDefault="003E036A" w:rsidP="00846F25">
      <w:pPr>
        <w:pStyle w:val="ListBullet"/>
      </w:pPr>
      <w:r w:rsidRPr="00E20523">
        <w:t>Co-administration of tacrolimus or COC decreased the AUC of ritonavir by 13% and 29%, respectively.</w:t>
      </w:r>
    </w:p>
    <w:p w:rsidR="003E036A" w:rsidRPr="00E20523" w:rsidRDefault="003E036A" w:rsidP="00846F25">
      <w:pPr>
        <w:pStyle w:val="ListBullet"/>
      </w:pPr>
      <w:r w:rsidRPr="00E20523">
        <w:t>LPV/</w:t>
      </w:r>
      <w:r w:rsidR="00772535">
        <w:t>ritonavir</w:t>
      </w:r>
      <w:r w:rsidRPr="00E20523">
        <w:t xml:space="preserve"> increased the </w:t>
      </w:r>
      <w:r>
        <w:t>steady state</w:t>
      </w:r>
      <w:r w:rsidRPr="00E20523">
        <w:t xml:space="preserve"> </w:t>
      </w:r>
      <w:r w:rsidR="00590286">
        <w:t>ombitasvir</w:t>
      </w:r>
      <w:r w:rsidRPr="00E20523">
        <w:t xml:space="preserve"> </w:t>
      </w:r>
      <w:r w:rsidRPr="00802635">
        <w:t>AUC</w:t>
      </w:r>
      <w:r w:rsidRPr="00B80924">
        <w:rPr>
          <w:vertAlign w:val="subscript"/>
        </w:rPr>
        <w:t>24</w:t>
      </w:r>
      <w:r w:rsidRPr="00E20523">
        <w:t xml:space="preserve"> by 1.17</w:t>
      </w:r>
      <w:r>
        <w:t xml:space="preserve"> fold</w:t>
      </w:r>
      <w:r w:rsidRPr="00E20523">
        <w:t>, whereas, atazanavir or darunavir decreased the AUC by 17% and 14%, respectively.</w:t>
      </w:r>
    </w:p>
    <w:p w:rsidR="003E036A" w:rsidRPr="00E20523" w:rsidRDefault="003E036A" w:rsidP="00846F25">
      <w:pPr>
        <w:pStyle w:val="ListBullet"/>
      </w:pPr>
      <w:r w:rsidRPr="00E20523">
        <w:t xml:space="preserve">Co-administration of emtricitabine/tenofovir, atazanavir, darunavir or CsA decreased the AUC of </w:t>
      </w:r>
      <w:r w:rsidR="00590286">
        <w:t>dasabuvir</w:t>
      </w:r>
      <w:r w:rsidRPr="00E20523">
        <w:t xml:space="preserve"> by 15%, 18%, 6% and 30%, respectively.</w:t>
      </w:r>
    </w:p>
    <w:p w:rsidR="003E036A" w:rsidRPr="00E20523" w:rsidRDefault="003E036A" w:rsidP="00846F25">
      <w:pPr>
        <w:pStyle w:val="ListBullet"/>
      </w:pPr>
      <w:r w:rsidRPr="00E20523">
        <w:t xml:space="preserve">Co-administration of emtricitabine/tenofovir, atazanavir, darunavir, COC or zolpidem decreased the AUC of </w:t>
      </w:r>
      <w:r w:rsidR="00590286">
        <w:t>dasabuvir</w:t>
      </w:r>
      <w:r w:rsidRPr="00E20523">
        <w:t xml:space="preserve"> M1 by 10%, 11%, 17%, 46% and 17%, respectively.</w:t>
      </w:r>
    </w:p>
    <w:p w:rsidR="003E036A" w:rsidRPr="00E20523" w:rsidRDefault="003E036A" w:rsidP="00846F25">
      <w:pPr>
        <w:pStyle w:val="ListBullet"/>
      </w:pPr>
      <w:r w:rsidRPr="00E20523">
        <w:t xml:space="preserve">Co-administration of </w:t>
      </w:r>
      <w:r w:rsidR="00F573D0">
        <w:t>paritaprevir</w:t>
      </w:r>
      <w:r w:rsidR="00772535">
        <w:t>/ritonavir/</w:t>
      </w:r>
      <w:r w:rsidR="00590286">
        <w:t>ombitasvir</w:t>
      </w:r>
      <w:r w:rsidRPr="00E20523">
        <w:t xml:space="preserve"> + </w:t>
      </w:r>
      <w:r w:rsidR="00590286">
        <w:t>dasabuvir</w:t>
      </w:r>
      <w:r w:rsidRPr="00E20523">
        <w:t xml:space="preserve"> decreased the AUC of omeprazole, darunavir, escitalopram and duloxetine by 39%, 25%, 13% and 25% and increased the AUC of naloxone, S-desmethylcitalopram and alprazolam by 1.</w:t>
      </w:r>
      <w:r>
        <w:t>28</w:t>
      </w:r>
      <w:r w:rsidRPr="00E20523">
        <w:t>, 1.36, 1.3</w:t>
      </w:r>
      <w:r>
        <w:t>4 fold</w:t>
      </w:r>
      <w:r w:rsidRPr="00E20523">
        <w:t>.</w:t>
      </w:r>
    </w:p>
    <w:p w:rsidR="003E036A" w:rsidRPr="00E20523" w:rsidRDefault="00973BDE" w:rsidP="00846F25">
      <w:pPr>
        <w:pStyle w:val="Heading5"/>
      </w:pPr>
      <w:r>
        <w:t>Drug-drug interaction</w:t>
      </w:r>
      <w:r w:rsidR="003E036A" w:rsidRPr="00E20523">
        <w:t>s having little to no effect on PKs</w:t>
      </w:r>
    </w:p>
    <w:p w:rsidR="003E036A" w:rsidRPr="00846F25" w:rsidRDefault="003E036A" w:rsidP="00846F25">
      <w:pPr>
        <w:pStyle w:val="ListBullet"/>
      </w:pPr>
      <w:r w:rsidRPr="00846F25">
        <w:t xml:space="preserve">Co-administration of warfarin + Vitamin K1, digoxin, omeprazole, </w:t>
      </w:r>
      <w:r w:rsidR="002D05D0">
        <w:t>norethindrone</w:t>
      </w:r>
      <w:r w:rsidR="002D05D0" w:rsidRPr="00846F25">
        <w:t xml:space="preserve"> </w:t>
      </w:r>
      <w:r w:rsidR="002D05D0">
        <w:t>(</w:t>
      </w:r>
      <w:r w:rsidRPr="00846F25">
        <w:t>NET</w:t>
      </w:r>
      <w:r w:rsidR="002D05D0">
        <w:t>)</w:t>
      </w:r>
      <w:r w:rsidRPr="00846F25">
        <w:t xml:space="preserve">, alprazolam, escitalopram or furosemide had little no effect on the PKs of the </w:t>
      </w:r>
      <w:r w:rsidR="00237CBE">
        <w:t>3DAA</w:t>
      </w:r>
      <w:r w:rsidRPr="00846F25">
        <w:t>s + ritonavir.</w:t>
      </w:r>
    </w:p>
    <w:p w:rsidR="003E036A" w:rsidRPr="00846F25" w:rsidRDefault="003E036A" w:rsidP="00846F25">
      <w:pPr>
        <w:pStyle w:val="ListBullet"/>
      </w:pPr>
      <w:r w:rsidRPr="00846F25">
        <w:t xml:space="preserve">Co-administration of emtricitabine/tenofovir did not affect the exposure to </w:t>
      </w:r>
      <w:r w:rsidR="00590286">
        <w:t>ombitasvir</w:t>
      </w:r>
      <w:r w:rsidRPr="00846F25">
        <w:t xml:space="preserve"> or ritonavir.</w:t>
      </w:r>
    </w:p>
    <w:p w:rsidR="003E036A" w:rsidRPr="00846F25" w:rsidRDefault="003E036A" w:rsidP="00846F25">
      <w:pPr>
        <w:pStyle w:val="ListBullet"/>
      </w:pPr>
      <w:r w:rsidRPr="00846F25">
        <w:t xml:space="preserve">Co-administration of ketoconazole or tacrolimus had little to no effect on the PKs of </w:t>
      </w:r>
      <w:r w:rsidR="00590286">
        <w:t>ombitasvir</w:t>
      </w:r>
      <w:r w:rsidRPr="00846F25">
        <w:t xml:space="preserve"> or </w:t>
      </w:r>
      <w:r w:rsidR="00590286">
        <w:t>dasabuvir</w:t>
      </w:r>
      <w:r w:rsidRPr="00846F25">
        <w:t>.</w:t>
      </w:r>
    </w:p>
    <w:p w:rsidR="003E036A" w:rsidRPr="00846F25" w:rsidRDefault="003E036A" w:rsidP="00846F25">
      <w:pPr>
        <w:pStyle w:val="ListBullet"/>
      </w:pPr>
      <w:r w:rsidRPr="00846F25">
        <w:t xml:space="preserve">Co-administration of pravastatin, rilpivirine, duloxetine, zolpidem and amlodipine had no effect on the PKs of ritonavir, </w:t>
      </w:r>
      <w:r w:rsidR="00590286">
        <w:t>ombitasvir</w:t>
      </w:r>
      <w:r w:rsidRPr="00846F25">
        <w:t xml:space="preserve"> or </w:t>
      </w:r>
      <w:r w:rsidR="00590286">
        <w:t>dasabuvir</w:t>
      </w:r>
      <w:r w:rsidRPr="00846F25">
        <w:t xml:space="preserve"> PKs.</w:t>
      </w:r>
    </w:p>
    <w:p w:rsidR="003E036A" w:rsidRPr="00846F25" w:rsidRDefault="003E036A" w:rsidP="00846F25">
      <w:pPr>
        <w:pStyle w:val="ListBullet"/>
      </w:pPr>
      <w:r w:rsidRPr="00846F25">
        <w:t xml:space="preserve">Gemfibrozil had little to no effect on ritonavir </w:t>
      </w:r>
      <w:r w:rsidR="00630EF4" w:rsidRPr="003E036A">
        <w:t>AUC</w:t>
      </w:r>
      <w:r w:rsidR="00630EF4" w:rsidRPr="00630EF4">
        <w:rPr>
          <w:vertAlign w:val="subscript"/>
        </w:rPr>
        <w:t>inf</w:t>
      </w:r>
      <w:r w:rsidRPr="00846F25">
        <w:t>.</w:t>
      </w:r>
    </w:p>
    <w:p w:rsidR="003E036A" w:rsidRPr="00846F25" w:rsidRDefault="003E036A" w:rsidP="00846F25">
      <w:pPr>
        <w:pStyle w:val="ListBullet"/>
      </w:pPr>
      <w:r w:rsidRPr="00846F25">
        <w:t xml:space="preserve">Co-administration of the </w:t>
      </w:r>
      <w:r w:rsidR="00237CBE">
        <w:t>3DAA</w:t>
      </w:r>
      <w:r w:rsidRPr="00846F25">
        <w:t xml:space="preserve">s + ritonavir had little to no effect on the PKs of atazanavir, R- or S-warfarin, carbamazepine, digoxin, emtricitabine, tenofovir, R- and S-methadone, </w:t>
      </w:r>
      <w:r w:rsidR="00973BDE">
        <w:t>ethinyl estradiol</w:t>
      </w:r>
      <w:r w:rsidR="00973BDE" w:rsidRPr="00846F25">
        <w:t xml:space="preserve"> </w:t>
      </w:r>
      <w:r w:rsidR="00973BDE">
        <w:t>(</w:t>
      </w:r>
      <w:r w:rsidRPr="00846F25">
        <w:t>EE</w:t>
      </w:r>
      <w:r w:rsidR="00973BDE">
        <w:t>)</w:t>
      </w:r>
      <w:r w:rsidRPr="00846F25">
        <w:t>, NET, zolpidem or furosemide.</w:t>
      </w:r>
    </w:p>
    <w:p w:rsidR="003E036A" w:rsidRPr="00846F25" w:rsidRDefault="003E036A" w:rsidP="00846F25">
      <w:pPr>
        <w:pStyle w:val="ListBullet"/>
      </w:pPr>
      <w:r w:rsidRPr="00846F25">
        <w:t xml:space="preserve">Two studies examined the PPK of </w:t>
      </w:r>
      <w:r w:rsidR="00F573D0">
        <w:t>paritaprevir</w:t>
      </w:r>
      <w:r w:rsidR="00630EF4">
        <w:t xml:space="preserve">/ritonavir/ </w:t>
      </w:r>
      <w:r w:rsidR="00590286">
        <w:t>ombitasvir</w:t>
      </w:r>
      <w:r w:rsidRPr="00846F25">
        <w:t xml:space="preserve"> + </w:t>
      </w:r>
      <w:r w:rsidR="00590286">
        <w:t>dasabuvir</w:t>
      </w:r>
      <w:r w:rsidRPr="00846F25">
        <w:t xml:space="preserve"> in HCV genotype 1 infected subjects. In </w:t>
      </w:r>
      <w:proofErr w:type="gramStart"/>
      <w:r w:rsidRPr="00846F25">
        <w:t>both studies</w:t>
      </w:r>
      <w:proofErr w:type="gramEnd"/>
      <w:r w:rsidRPr="00846F25">
        <w:t xml:space="preserve">, </w:t>
      </w:r>
      <w:r w:rsidR="00F573D0">
        <w:t>paritaprevir</w:t>
      </w:r>
      <w:r w:rsidRPr="00846F25">
        <w:t xml:space="preserve"> and ritonavir data was best fit to a one compartment model with first order absorption and elimination. By contrast, one study predicted that </w:t>
      </w:r>
      <w:r w:rsidR="00590286">
        <w:t>ombitasvir</w:t>
      </w:r>
      <w:r w:rsidRPr="00846F25">
        <w:t xml:space="preserve"> and </w:t>
      </w:r>
      <w:r w:rsidR="00590286">
        <w:t>dasabuvir</w:t>
      </w:r>
      <w:r w:rsidRPr="00846F25">
        <w:t xml:space="preserve"> data was best described by a one compartment model, whereas, the other study identified a 2 compartment model for these drugs.</w:t>
      </w:r>
    </w:p>
    <w:p w:rsidR="003E036A" w:rsidRPr="00846F25" w:rsidRDefault="003E036A" w:rsidP="00846F25">
      <w:pPr>
        <w:pStyle w:val="ListBullet"/>
      </w:pPr>
      <w:r w:rsidRPr="00846F25">
        <w:t xml:space="preserve">Covariates that were consistent across both two studies were: gender on </w:t>
      </w:r>
      <w:r w:rsidR="00F573D0">
        <w:t>paritaprevir</w:t>
      </w:r>
      <w:r w:rsidRPr="00846F25">
        <w:t xml:space="preserve"> and </w:t>
      </w:r>
      <w:r w:rsidR="00590286">
        <w:t>dasabuvir</w:t>
      </w:r>
      <w:r w:rsidRPr="00846F25">
        <w:t xml:space="preserve"> CL/F and </w:t>
      </w:r>
      <w:r w:rsidR="00590286">
        <w:t>ombitasvir</w:t>
      </w:r>
      <w:r w:rsidRPr="00846F25">
        <w:t xml:space="preserve"> </w:t>
      </w:r>
      <w:proofErr w:type="gramStart"/>
      <w:r w:rsidRPr="00846F25">
        <w:t>Vd</w:t>
      </w:r>
      <w:proofErr w:type="gramEnd"/>
      <w:r w:rsidRPr="00846F25">
        <w:t xml:space="preserve">; and age, gender and body weight on </w:t>
      </w:r>
      <w:r w:rsidR="00590286">
        <w:t>ombitasvir</w:t>
      </w:r>
      <w:r w:rsidRPr="00846F25">
        <w:t xml:space="preserve"> CL/F.</w:t>
      </w:r>
    </w:p>
    <w:p w:rsidR="003E036A" w:rsidRPr="00951618" w:rsidRDefault="003E036A" w:rsidP="00846F25">
      <w:pPr>
        <w:pStyle w:val="Heading5"/>
      </w:pPr>
      <w:bookmarkStart w:id="130" w:name="_Toc416356447"/>
      <w:r w:rsidRPr="00951618">
        <w:t>Limitations of PK studies</w:t>
      </w:r>
      <w:bookmarkEnd w:id="130"/>
    </w:p>
    <w:p w:rsidR="003E036A" w:rsidRPr="00846F25" w:rsidRDefault="003E036A" w:rsidP="00846F25">
      <w:pPr>
        <w:pStyle w:val="ListBullet"/>
      </w:pPr>
      <w:r w:rsidRPr="00846F25">
        <w:t xml:space="preserve">No studies examined the PKs of the </w:t>
      </w:r>
      <w:r w:rsidR="00237CBE">
        <w:t>3DAA</w:t>
      </w:r>
      <w:r w:rsidRPr="00846F25">
        <w:t>s in pregnant or breast feeding women or children (</w:t>
      </w:r>
      <w:r w:rsidR="00926A16">
        <w:t xml:space="preserve">&lt; </w:t>
      </w:r>
      <w:r w:rsidRPr="00846F25">
        <w:t>18 years of age).</w:t>
      </w:r>
    </w:p>
    <w:p w:rsidR="003E036A" w:rsidRPr="00846F25" w:rsidRDefault="003E036A" w:rsidP="00846F25">
      <w:pPr>
        <w:pStyle w:val="ListBullet"/>
      </w:pPr>
      <w:r w:rsidRPr="00846F25">
        <w:t xml:space="preserve">Studies to determine the absolute bioavailability of </w:t>
      </w:r>
      <w:r w:rsidR="00F573D0">
        <w:t>paritaprevir</w:t>
      </w:r>
      <w:r w:rsidRPr="00846F25">
        <w:t xml:space="preserve"> and </w:t>
      </w:r>
      <w:r w:rsidR="00590286">
        <w:t>ombitasvir</w:t>
      </w:r>
      <w:r w:rsidRPr="00846F25">
        <w:t xml:space="preserve"> have not been conducted.</w:t>
      </w:r>
    </w:p>
    <w:p w:rsidR="003E036A" w:rsidRPr="00846F25" w:rsidRDefault="003E036A" w:rsidP="00846F25">
      <w:pPr>
        <w:pStyle w:val="ListBullet"/>
      </w:pPr>
      <w:r w:rsidRPr="00846F25">
        <w:lastRenderedPageBreak/>
        <w:t xml:space="preserve">No studies contained in the clinical section of the evaluation materials have specifically examined the </w:t>
      </w:r>
      <w:r w:rsidR="008363B5">
        <w:t>absorption, distribution, metabolism and excretion</w:t>
      </w:r>
      <w:r w:rsidR="008363B5" w:rsidRPr="00846F25">
        <w:t xml:space="preserve"> </w:t>
      </w:r>
      <w:r w:rsidR="008363B5">
        <w:t>(</w:t>
      </w:r>
      <w:r w:rsidRPr="00846F25">
        <w:t>ADME</w:t>
      </w:r>
      <w:r w:rsidR="008363B5">
        <w:t>)</w:t>
      </w:r>
      <w:r w:rsidRPr="00846F25">
        <w:t xml:space="preserve"> of </w:t>
      </w:r>
      <w:r w:rsidR="00590286">
        <w:t>dasabuvir</w:t>
      </w:r>
      <w:r w:rsidRPr="00846F25">
        <w:t>.</w:t>
      </w:r>
    </w:p>
    <w:p w:rsidR="003E036A" w:rsidRPr="00846F25" w:rsidRDefault="003E036A" w:rsidP="00846F25">
      <w:pPr>
        <w:pStyle w:val="ListBullet"/>
      </w:pPr>
      <w:r w:rsidRPr="00846F25">
        <w:t xml:space="preserve">The effect of raltegravir on the PKs of </w:t>
      </w:r>
      <w:r w:rsidR="00F573D0">
        <w:t>paritaprevir</w:t>
      </w:r>
      <w:r w:rsidR="00772535">
        <w:t>/ritonavir/</w:t>
      </w:r>
      <w:r w:rsidR="00590286">
        <w:t>ombitasvir</w:t>
      </w:r>
      <w:r w:rsidRPr="00846F25">
        <w:t>/</w:t>
      </w:r>
      <w:r w:rsidR="00590286">
        <w:t>dasabuvir</w:t>
      </w:r>
      <w:r w:rsidRPr="00846F25">
        <w:t xml:space="preserve"> was not examined.</w:t>
      </w:r>
    </w:p>
    <w:p w:rsidR="003E036A" w:rsidRPr="00846F25" w:rsidRDefault="003E036A" w:rsidP="00846F25">
      <w:pPr>
        <w:pStyle w:val="ListBullet"/>
      </w:pPr>
      <w:r w:rsidRPr="00846F25">
        <w:t xml:space="preserve">No studies examined the effect of opioid like substances on the PKs of the </w:t>
      </w:r>
      <w:r w:rsidR="00237CBE">
        <w:t>3DAA</w:t>
      </w:r>
      <w:r w:rsidRPr="00846F25">
        <w:t xml:space="preserve">s + ritonavir. This is of concern as the PPK study, RD14-0047 PPK, identified concomitant opioid use as a significant covariant of </w:t>
      </w:r>
      <w:r w:rsidR="00F573D0">
        <w:t>paritaprevir</w:t>
      </w:r>
      <w:r w:rsidRPr="00846F25">
        <w:t xml:space="preserve"> clearance.</w:t>
      </w:r>
    </w:p>
    <w:p w:rsidR="003E036A" w:rsidRPr="00846F25" w:rsidRDefault="003E036A" w:rsidP="00846F25">
      <w:pPr>
        <w:pStyle w:val="ListBullet"/>
      </w:pPr>
      <w:r w:rsidRPr="00846F25">
        <w:t xml:space="preserve">It would have been more clinically relevant if the </w:t>
      </w:r>
      <w:r w:rsidR="00973BDE">
        <w:t>drug-drug interactions</w:t>
      </w:r>
      <w:r w:rsidR="00973BDE" w:rsidRPr="00846F25">
        <w:t xml:space="preserve"> </w:t>
      </w:r>
      <w:r w:rsidR="00973BDE">
        <w:t>(</w:t>
      </w:r>
      <w:r w:rsidRPr="00846F25">
        <w:t>DDIs</w:t>
      </w:r>
      <w:r w:rsidR="00973BDE">
        <w:t>)</w:t>
      </w:r>
      <w:r w:rsidRPr="00846F25">
        <w:t xml:space="preserve"> between </w:t>
      </w:r>
      <w:r w:rsidR="00F573D0">
        <w:t>paritaprevir</w:t>
      </w:r>
      <w:r w:rsidR="00772535">
        <w:t>/ritonavir/</w:t>
      </w:r>
      <w:r w:rsidR="00590286">
        <w:t>ombitasvir</w:t>
      </w:r>
      <w:r w:rsidRPr="00846F25">
        <w:t xml:space="preserve"> </w:t>
      </w:r>
      <w:proofErr w:type="gramStart"/>
      <w:r w:rsidR="00654113">
        <w:t>+</w:t>
      </w:r>
      <w:proofErr w:type="gramEnd"/>
      <w:r w:rsidRPr="00846F25">
        <w:t xml:space="preserve"> </w:t>
      </w:r>
      <w:r w:rsidR="00590286">
        <w:t>dasabuvir</w:t>
      </w:r>
      <w:r w:rsidRPr="00846F25">
        <w:t xml:space="preserve"> and escitalopram or duloxetine had been examined on steady state levels of the anti-depressants rather than single doses as in Study M12-204, especially considering that CYP3A4 is a major contributor to the metabolism of escitalopram.</w:t>
      </w:r>
    </w:p>
    <w:p w:rsidR="003E036A" w:rsidRPr="00846F25" w:rsidRDefault="003E036A" w:rsidP="00846F25">
      <w:pPr>
        <w:pStyle w:val="ListBullet"/>
      </w:pPr>
      <w:r w:rsidRPr="00846F25">
        <w:t>Study M14-324 would have been more clinically relevant if it was conducted with steady state levels or at least following multiple daily doses of alprazolam.</w:t>
      </w:r>
    </w:p>
    <w:p w:rsidR="003E036A" w:rsidRPr="003E036A" w:rsidRDefault="003E036A" w:rsidP="003E036A">
      <w:pPr>
        <w:pStyle w:val="ListBullet"/>
      </w:pPr>
      <w:r w:rsidRPr="00846F25">
        <w:t xml:space="preserve">There are a number of inconsistencies between the PPK models defined for </w:t>
      </w:r>
      <w:r w:rsidR="00590286">
        <w:t>ombitasvir</w:t>
      </w:r>
      <w:r w:rsidRPr="00846F25">
        <w:t xml:space="preserve"> and </w:t>
      </w:r>
      <w:r w:rsidR="00590286">
        <w:t>dasabuvir</w:t>
      </w:r>
      <w:r w:rsidRPr="00846F25">
        <w:t xml:space="preserve"> in the two PPK studies.</w:t>
      </w:r>
    </w:p>
    <w:p w:rsidR="008E7846" w:rsidRDefault="008E7846" w:rsidP="008E7846">
      <w:pPr>
        <w:pStyle w:val="Heading3"/>
      </w:pPr>
      <w:bookmarkStart w:id="131" w:name="_Toc196046481"/>
      <w:bookmarkStart w:id="132" w:name="_Toc247691520"/>
      <w:bookmarkStart w:id="133" w:name="_Toc314842503"/>
      <w:bookmarkStart w:id="134" w:name="_Toc480811582"/>
      <w:r w:rsidRPr="00254787">
        <w:t>Pharmacodynamics</w:t>
      </w:r>
      <w:bookmarkEnd w:id="119"/>
      <w:bookmarkEnd w:id="131"/>
      <w:bookmarkEnd w:id="132"/>
      <w:bookmarkEnd w:id="133"/>
      <w:bookmarkEnd w:id="134"/>
    </w:p>
    <w:p w:rsidR="00605AD4" w:rsidRDefault="00605AD4" w:rsidP="00605AD4">
      <w:pPr>
        <w:pStyle w:val="Heading4"/>
      </w:pPr>
      <w:r>
        <w:t>Studies providing pharmacodynamic data</w:t>
      </w:r>
    </w:p>
    <w:p w:rsidR="00846F25" w:rsidRPr="00727652" w:rsidRDefault="00846F25" w:rsidP="00846F25">
      <w:r w:rsidRPr="00727652">
        <w:t xml:space="preserve">Summaries of the pharmacodynamic studies </w:t>
      </w:r>
      <w:r>
        <w:t>were provided</w:t>
      </w:r>
      <w:r w:rsidR="008D1B95">
        <w:t>. Table 17</w:t>
      </w:r>
      <w:r w:rsidRPr="00727652">
        <w:t xml:space="preserve"> shows the studies relating to each pharmacodynamic topic.</w:t>
      </w:r>
    </w:p>
    <w:p w:rsidR="00846F25" w:rsidRDefault="00846F25" w:rsidP="00FF289D">
      <w:pPr>
        <w:pStyle w:val="Tabletitle0"/>
      </w:pPr>
      <w:bookmarkStart w:id="135" w:name="_Ref269985397"/>
      <w:bookmarkStart w:id="136" w:name="_Toc290888742"/>
      <w:bookmarkStart w:id="137" w:name="_Toc416356576"/>
      <w:r w:rsidRPr="00727652">
        <w:t xml:space="preserve">Table </w:t>
      </w:r>
      <w:bookmarkEnd w:id="135"/>
      <w:r w:rsidR="008D1B95">
        <w:t>17</w:t>
      </w:r>
      <w:r>
        <w:t>:</w:t>
      </w:r>
      <w:r w:rsidRPr="00727652">
        <w:t xml:space="preserve"> Submitted pharmacodynamic studies</w:t>
      </w:r>
      <w:bookmarkEnd w:id="136"/>
      <w:bookmarkEnd w:id="137"/>
    </w:p>
    <w:tbl>
      <w:tblPr>
        <w:tblStyle w:val="TableTGAblue"/>
        <w:tblW w:w="8459" w:type="dxa"/>
        <w:tblLayout w:type="fixed"/>
        <w:tblLook w:val="04A0" w:firstRow="1" w:lastRow="0" w:firstColumn="1" w:lastColumn="0" w:noHBand="0" w:noVBand="1"/>
      </w:tblPr>
      <w:tblGrid>
        <w:gridCol w:w="1668"/>
        <w:gridCol w:w="1134"/>
        <w:gridCol w:w="1275"/>
        <w:gridCol w:w="4382"/>
      </w:tblGrid>
      <w:tr w:rsidR="00846F25" w:rsidRPr="003E6B33" w:rsidTr="009E2121">
        <w:trPr>
          <w:cnfStyle w:val="100000000000" w:firstRow="1" w:lastRow="0" w:firstColumn="0" w:lastColumn="0" w:oddVBand="0" w:evenVBand="0" w:oddHBand="0" w:evenHBand="0" w:firstRowFirstColumn="0" w:firstRowLastColumn="0" w:lastRowFirstColumn="0" w:lastRowLastColumn="0"/>
          <w:trHeight w:val="493"/>
        </w:trPr>
        <w:tc>
          <w:tcPr>
            <w:tcW w:w="1668" w:type="dxa"/>
          </w:tcPr>
          <w:p w:rsidR="00846F25" w:rsidRPr="003E6B33" w:rsidRDefault="00846F25" w:rsidP="003E6B33">
            <w:pPr>
              <w:rPr>
                <w:sz w:val="20"/>
                <w:szCs w:val="20"/>
              </w:rPr>
            </w:pPr>
            <w:r w:rsidRPr="003E6B33">
              <w:rPr>
                <w:sz w:val="20"/>
                <w:szCs w:val="20"/>
              </w:rPr>
              <w:t>PD Topic</w:t>
            </w:r>
          </w:p>
        </w:tc>
        <w:tc>
          <w:tcPr>
            <w:tcW w:w="1134" w:type="dxa"/>
          </w:tcPr>
          <w:p w:rsidR="00846F25" w:rsidRPr="003E6B33" w:rsidRDefault="00846F25" w:rsidP="003E6B33">
            <w:pPr>
              <w:rPr>
                <w:sz w:val="20"/>
                <w:szCs w:val="20"/>
              </w:rPr>
            </w:pPr>
            <w:r w:rsidRPr="003E6B33">
              <w:rPr>
                <w:sz w:val="20"/>
                <w:szCs w:val="20"/>
              </w:rPr>
              <w:t>Subtopic</w:t>
            </w:r>
          </w:p>
        </w:tc>
        <w:tc>
          <w:tcPr>
            <w:tcW w:w="1275" w:type="dxa"/>
          </w:tcPr>
          <w:p w:rsidR="00846F25" w:rsidRPr="003E6B33" w:rsidRDefault="00846F25" w:rsidP="003E6B33">
            <w:pPr>
              <w:rPr>
                <w:sz w:val="20"/>
                <w:szCs w:val="20"/>
              </w:rPr>
            </w:pPr>
            <w:r w:rsidRPr="003E6B33">
              <w:rPr>
                <w:sz w:val="20"/>
                <w:szCs w:val="20"/>
              </w:rPr>
              <w:t>Study ID</w:t>
            </w:r>
          </w:p>
        </w:tc>
        <w:tc>
          <w:tcPr>
            <w:tcW w:w="4382" w:type="dxa"/>
          </w:tcPr>
          <w:p w:rsidR="00846F25" w:rsidRPr="003E6B33" w:rsidRDefault="00846F25" w:rsidP="003E6B33">
            <w:pPr>
              <w:rPr>
                <w:sz w:val="20"/>
                <w:szCs w:val="20"/>
              </w:rPr>
            </w:pPr>
            <w:r w:rsidRPr="003E6B33">
              <w:rPr>
                <w:sz w:val="20"/>
                <w:szCs w:val="20"/>
              </w:rPr>
              <w:t>Primary aim of the study</w:t>
            </w:r>
          </w:p>
        </w:tc>
      </w:tr>
      <w:tr w:rsidR="00846F25" w:rsidRPr="003E6B33" w:rsidTr="009E2121">
        <w:trPr>
          <w:trHeight w:val="493"/>
        </w:trPr>
        <w:tc>
          <w:tcPr>
            <w:tcW w:w="1668" w:type="dxa"/>
            <w:vMerge w:val="restart"/>
          </w:tcPr>
          <w:p w:rsidR="00846F25" w:rsidRPr="003E6B33" w:rsidRDefault="00846F25" w:rsidP="003E6B33">
            <w:pPr>
              <w:rPr>
                <w:sz w:val="20"/>
                <w:szCs w:val="20"/>
              </w:rPr>
            </w:pPr>
            <w:r w:rsidRPr="003E6B33">
              <w:rPr>
                <w:sz w:val="20"/>
                <w:szCs w:val="20"/>
              </w:rPr>
              <w:t>Secondary Pharmacology</w:t>
            </w:r>
          </w:p>
        </w:tc>
        <w:tc>
          <w:tcPr>
            <w:tcW w:w="1134" w:type="dxa"/>
            <w:vMerge w:val="restart"/>
          </w:tcPr>
          <w:p w:rsidR="00846F25" w:rsidRPr="003E6B33" w:rsidRDefault="00846F25" w:rsidP="003E6B33">
            <w:pPr>
              <w:rPr>
                <w:sz w:val="20"/>
                <w:szCs w:val="20"/>
              </w:rPr>
            </w:pPr>
            <w:r w:rsidRPr="003E6B33">
              <w:rPr>
                <w:sz w:val="20"/>
                <w:szCs w:val="20"/>
              </w:rPr>
              <w:t>Effect on QT</w:t>
            </w:r>
          </w:p>
        </w:tc>
        <w:tc>
          <w:tcPr>
            <w:tcW w:w="1275" w:type="dxa"/>
          </w:tcPr>
          <w:p w:rsidR="00846F25" w:rsidRPr="003E6B33" w:rsidRDefault="00846F25" w:rsidP="003E6B33">
            <w:pPr>
              <w:rPr>
                <w:sz w:val="20"/>
                <w:szCs w:val="20"/>
              </w:rPr>
            </w:pPr>
            <w:r w:rsidRPr="003E6B33">
              <w:rPr>
                <w:sz w:val="20"/>
                <w:szCs w:val="20"/>
              </w:rPr>
              <w:t>M12-990</w:t>
            </w:r>
          </w:p>
        </w:tc>
        <w:tc>
          <w:tcPr>
            <w:tcW w:w="4382" w:type="dxa"/>
          </w:tcPr>
          <w:p w:rsidR="00846F25" w:rsidRPr="003E6B33" w:rsidRDefault="00846F25" w:rsidP="003E6B33">
            <w:pPr>
              <w:rPr>
                <w:sz w:val="20"/>
                <w:szCs w:val="20"/>
              </w:rPr>
            </w:pPr>
            <w:r w:rsidRPr="003E6B33">
              <w:rPr>
                <w:sz w:val="20"/>
                <w:szCs w:val="20"/>
              </w:rPr>
              <w:t>QT effects of therapeutic and supratherapeutic doses</w:t>
            </w:r>
          </w:p>
        </w:tc>
      </w:tr>
      <w:tr w:rsidR="00846F25" w:rsidRPr="003E6B33" w:rsidTr="009E2121">
        <w:trPr>
          <w:trHeight w:val="148"/>
        </w:trPr>
        <w:tc>
          <w:tcPr>
            <w:tcW w:w="1668" w:type="dxa"/>
            <w:vMerge/>
          </w:tcPr>
          <w:p w:rsidR="00846F25" w:rsidRPr="003E6B33" w:rsidRDefault="00846F25" w:rsidP="003E6B33">
            <w:pPr>
              <w:rPr>
                <w:sz w:val="20"/>
                <w:szCs w:val="20"/>
              </w:rPr>
            </w:pPr>
          </w:p>
        </w:tc>
        <w:tc>
          <w:tcPr>
            <w:tcW w:w="1134" w:type="dxa"/>
            <w:vMerge/>
          </w:tcPr>
          <w:p w:rsidR="00846F25" w:rsidRPr="003E6B33" w:rsidRDefault="00846F25" w:rsidP="003E6B33">
            <w:pPr>
              <w:rPr>
                <w:sz w:val="20"/>
                <w:szCs w:val="20"/>
              </w:rPr>
            </w:pPr>
          </w:p>
        </w:tc>
        <w:tc>
          <w:tcPr>
            <w:tcW w:w="1275" w:type="dxa"/>
          </w:tcPr>
          <w:p w:rsidR="00846F25" w:rsidRPr="003E6B33" w:rsidRDefault="00846F25" w:rsidP="003E6B33">
            <w:pPr>
              <w:rPr>
                <w:sz w:val="20"/>
                <w:szCs w:val="20"/>
              </w:rPr>
            </w:pPr>
            <w:r w:rsidRPr="003E6B33">
              <w:rPr>
                <w:sz w:val="20"/>
                <w:szCs w:val="20"/>
              </w:rPr>
              <w:t>M12-680</w:t>
            </w:r>
          </w:p>
        </w:tc>
        <w:tc>
          <w:tcPr>
            <w:tcW w:w="4382" w:type="dxa"/>
          </w:tcPr>
          <w:p w:rsidR="00846F25" w:rsidRPr="003E6B33" w:rsidRDefault="00846F25" w:rsidP="003E6B33">
            <w:pPr>
              <w:rPr>
                <w:sz w:val="20"/>
                <w:szCs w:val="20"/>
              </w:rPr>
            </w:pPr>
            <w:r w:rsidRPr="003E6B33">
              <w:rPr>
                <w:sz w:val="20"/>
                <w:szCs w:val="20"/>
              </w:rPr>
              <w:t>QT effects of therapeutic and supratherapeutic doses</w:t>
            </w:r>
          </w:p>
        </w:tc>
      </w:tr>
    </w:tbl>
    <w:p w:rsidR="00846F25" w:rsidRDefault="00846F25" w:rsidP="00846F25">
      <w:r w:rsidRPr="00727652">
        <w:t>None of the pharmacodynamic studies had deficiencies that excluded their results from consideration.</w:t>
      </w:r>
    </w:p>
    <w:p w:rsidR="00846F25" w:rsidRPr="00846F25" w:rsidRDefault="00846F25" w:rsidP="00846F25">
      <w:r>
        <w:t xml:space="preserve">For further details of the evaluation of the </w:t>
      </w:r>
      <w:r w:rsidR="0090512A">
        <w:t>p</w:t>
      </w:r>
      <w:r>
        <w:t>harmacodynamics please see Attachment 2.</w:t>
      </w:r>
    </w:p>
    <w:p w:rsidR="00605AD4" w:rsidRDefault="00605AD4" w:rsidP="00605AD4">
      <w:pPr>
        <w:pStyle w:val="Heading4"/>
      </w:pPr>
      <w:r>
        <w:t>Evaluator’s conclusions on pharmacodynamics</w:t>
      </w:r>
    </w:p>
    <w:p w:rsidR="00846F25" w:rsidRPr="00727652" w:rsidRDefault="00846F25" w:rsidP="00846F25">
      <w:pPr>
        <w:pStyle w:val="Heading5"/>
      </w:pPr>
      <w:r w:rsidRPr="00727652">
        <w:t>Mechanism of action</w:t>
      </w:r>
    </w:p>
    <w:p w:rsidR="00846F25" w:rsidRPr="00727652" w:rsidRDefault="00772535" w:rsidP="00846F25">
      <w:r>
        <w:t>P</w:t>
      </w:r>
      <w:r w:rsidR="00F573D0">
        <w:t>aritaprevir</w:t>
      </w:r>
      <w:r w:rsidR="00846F25" w:rsidRPr="00727652">
        <w:t xml:space="preserve"> is a potent NS3/NS4A</w:t>
      </w:r>
      <w:r w:rsidR="002D05D0">
        <w:rPr>
          <w:rStyle w:val="FootnoteReference"/>
        </w:rPr>
        <w:footnoteReference w:id="64"/>
      </w:r>
      <w:r w:rsidR="00846F25" w:rsidRPr="00727652">
        <w:t xml:space="preserve"> protease inhibitor, </w:t>
      </w:r>
      <w:r w:rsidR="00590286">
        <w:t>ombitasvir</w:t>
      </w:r>
      <w:r w:rsidR="00846F25" w:rsidRPr="00727652">
        <w:t xml:space="preserve"> is a NS5A inhibitor and </w:t>
      </w:r>
      <w:r w:rsidR="00590286">
        <w:t>dasabuvir</w:t>
      </w:r>
      <w:r w:rsidR="00846F25" w:rsidRPr="00727652">
        <w:t xml:space="preserve"> is a NS5B polymerase inhibitor. Ritonavir is a potent CYP3A4 inhibitor.</w:t>
      </w:r>
    </w:p>
    <w:p w:rsidR="00846F25" w:rsidRPr="00727652" w:rsidRDefault="00846F25" w:rsidP="00846F25">
      <w:pPr>
        <w:pStyle w:val="Heading5"/>
      </w:pPr>
      <w:r w:rsidRPr="00727652">
        <w:lastRenderedPageBreak/>
        <w:t>Primary PD effects</w:t>
      </w:r>
    </w:p>
    <w:p w:rsidR="00846F25" w:rsidRDefault="00772535" w:rsidP="00846F25">
      <w:pPr>
        <w:pStyle w:val="Heading6"/>
      </w:pPr>
      <w:r>
        <w:t>P</w:t>
      </w:r>
      <w:r w:rsidR="00F573D0">
        <w:t>aritaprevir</w:t>
      </w:r>
    </w:p>
    <w:p w:rsidR="00846F25" w:rsidRPr="00727652" w:rsidRDefault="00846F25" w:rsidP="00846F25">
      <w:r w:rsidRPr="00727652">
        <w:t xml:space="preserve">In vitro studies indicate that </w:t>
      </w:r>
      <w:r w:rsidR="00F573D0">
        <w:t>paritaprevir</w:t>
      </w:r>
      <w:r w:rsidRPr="00727652">
        <w:t xml:space="preserve"> potently inhibits</w:t>
      </w:r>
      <w:r>
        <w:t xml:space="preserve"> </w:t>
      </w:r>
      <w:r w:rsidRPr="00727652">
        <w:t xml:space="preserve">the enzymatic activity of genotype 1a and 1b HCV NS3 proteases and genotype 1a and 1b replication. By contrast, </w:t>
      </w:r>
      <w:r w:rsidR="00F573D0">
        <w:t>paritaprevir</w:t>
      </w:r>
      <w:r w:rsidRPr="00727652">
        <w:t xml:space="preserve"> is relatively less potent at inhibiting NS3 proteases from genotypes 2 and 3 and had no detectable inhibitory activity against endogenous human proteases or </w:t>
      </w:r>
      <w:r w:rsidR="00772535">
        <w:t>antiviral</w:t>
      </w:r>
      <w:r w:rsidRPr="00727652">
        <w:t xml:space="preserve"> activity for HBV or HIV-1. The most common variants detected in NS3 that conferred resistance to </w:t>
      </w:r>
      <w:r w:rsidR="00F573D0">
        <w:t>paritaprevir</w:t>
      </w:r>
      <w:r w:rsidRPr="00727652">
        <w:t xml:space="preserve"> were R155K, A156T, D168A/V/Y, V36M+R155K, and Y56H+D168V in</w:t>
      </w:r>
      <w:r w:rsidR="009F6EED">
        <w:t xml:space="preserve"> genotype</w:t>
      </w:r>
      <w:r w:rsidRPr="00727652">
        <w:t xml:space="preserve"> 1a; and R155K, D168K a</w:t>
      </w:r>
      <w:r>
        <w:t>nd D168V in</w:t>
      </w:r>
      <w:r w:rsidR="009F6EED">
        <w:t xml:space="preserve"> genotype</w:t>
      </w:r>
      <w:r>
        <w:t xml:space="preserve"> 1b.</w:t>
      </w:r>
    </w:p>
    <w:p w:rsidR="00846F25" w:rsidRDefault="002D727E" w:rsidP="00846F25">
      <w:pPr>
        <w:pStyle w:val="Heading6"/>
      </w:pPr>
      <w:r>
        <w:t>O</w:t>
      </w:r>
      <w:r w:rsidR="00590286">
        <w:t>mbitasvir</w:t>
      </w:r>
    </w:p>
    <w:p w:rsidR="00846F25" w:rsidRPr="00727652" w:rsidRDefault="002D727E" w:rsidP="00846F25">
      <w:r>
        <w:t>O</w:t>
      </w:r>
      <w:r w:rsidR="00590286">
        <w:t>mbitasvir</w:t>
      </w:r>
      <w:r w:rsidR="00846F25" w:rsidRPr="00727652">
        <w:t xml:space="preserve"> is a potent inhibitor of genotype 1 HCV replication in sub</w:t>
      </w:r>
      <w:r w:rsidR="00846F25">
        <w:t xml:space="preserve"> </w:t>
      </w:r>
      <w:r w:rsidR="00846F25" w:rsidRPr="00727652">
        <w:t>genomic HCV replicon cell culture assays, whereas, it has no in vitro antivi</w:t>
      </w:r>
      <w:r w:rsidR="00E458BE">
        <w:t>ral activity against either HIV</w:t>
      </w:r>
      <w:r w:rsidR="00E458BE">
        <w:noBreakHyphen/>
      </w:r>
      <w:r w:rsidR="00846F25" w:rsidRPr="00727652">
        <w:t xml:space="preserve">1 or HBV. The most common variants observed in NS5A that conferred resistance to </w:t>
      </w:r>
      <w:r w:rsidR="00590286">
        <w:t>ombitasvir</w:t>
      </w:r>
      <w:r w:rsidR="00846F25" w:rsidRPr="00727652">
        <w:t xml:space="preserve"> were </w:t>
      </w:r>
      <w:r w:rsidR="007C7771">
        <w:t>M</w:t>
      </w:r>
      <w:r w:rsidR="00846F25" w:rsidRPr="007C7771">
        <w:t>2</w:t>
      </w:r>
      <w:r w:rsidR="00846F25" w:rsidRPr="00727652">
        <w:t xml:space="preserve">8T, </w:t>
      </w:r>
      <w:r w:rsidR="007C7771">
        <w:t>M</w:t>
      </w:r>
      <w:r w:rsidR="00846F25" w:rsidRPr="007C7771">
        <w:t>2</w:t>
      </w:r>
      <w:r w:rsidR="00846F25" w:rsidRPr="00727652">
        <w:t>8V, Q30R, Y93C, and Y9</w:t>
      </w:r>
      <w:r w:rsidR="00846F25">
        <w:t>3H in</w:t>
      </w:r>
      <w:r w:rsidR="009F6EED">
        <w:t xml:space="preserve"> genotype</w:t>
      </w:r>
      <w:r w:rsidR="00846F25">
        <w:t xml:space="preserve"> 1a; and Y93H in</w:t>
      </w:r>
      <w:r w:rsidR="009F6EED">
        <w:t xml:space="preserve"> genotype</w:t>
      </w:r>
      <w:r w:rsidR="00846F25">
        <w:t xml:space="preserve"> 1b.</w:t>
      </w:r>
    </w:p>
    <w:p w:rsidR="00846F25" w:rsidRDefault="002D727E" w:rsidP="00846F25">
      <w:pPr>
        <w:pStyle w:val="Heading6"/>
      </w:pPr>
      <w:r>
        <w:t>D</w:t>
      </w:r>
      <w:r w:rsidR="00590286">
        <w:t>asabuvir</w:t>
      </w:r>
    </w:p>
    <w:p w:rsidR="00846F25" w:rsidRPr="00727652" w:rsidRDefault="002D727E" w:rsidP="00846F25">
      <w:r>
        <w:t>D</w:t>
      </w:r>
      <w:r w:rsidR="00590286">
        <w:t>asabuvir</w:t>
      </w:r>
      <w:r w:rsidR="00846F25" w:rsidRPr="00727652">
        <w:t xml:space="preserve"> is a potent inhibitor of HCV polymerases from genotype 1a and 1b strains. It was also a relatively weak inhibitor of HCV polymerases from</w:t>
      </w:r>
      <w:r w:rsidR="00846F25">
        <w:t xml:space="preserve"> genotypes 2 to </w:t>
      </w:r>
      <w:r w:rsidR="00846F25" w:rsidRPr="00727652">
        <w:t xml:space="preserve">4. By contrast, </w:t>
      </w:r>
      <w:r w:rsidR="00590286">
        <w:t>dasabuvir</w:t>
      </w:r>
      <w:r w:rsidR="00846F25" w:rsidRPr="00727652">
        <w:t xml:space="preserve"> exhibited no significant inhibitory activity for endogenous human/mammalian polymerases or antiviral activity for either HIV-1 or HBV. The most common variants detected in NS5B that conferred resistance to </w:t>
      </w:r>
      <w:r w:rsidR="00590286">
        <w:t>dasabuvir</w:t>
      </w:r>
      <w:r w:rsidR="00846F25" w:rsidRPr="00727652">
        <w:t xml:space="preserve"> were C316Y, M414T, Y448H, G554S, and S556G in</w:t>
      </w:r>
      <w:r w:rsidR="009F6EED">
        <w:t xml:space="preserve"> genotype</w:t>
      </w:r>
      <w:r w:rsidR="00846F25" w:rsidRPr="00727652">
        <w:t xml:space="preserve"> 1a; and C316Y, M4</w:t>
      </w:r>
      <w:r>
        <w:t>14T, Y448H, and S556G in</w:t>
      </w:r>
      <w:r w:rsidR="009F6EED">
        <w:t xml:space="preserve"> genotype</w:t>
      </w:r>
      <w:r>
        <w:t> </w:t>
      </w:r>
      <w:r w:rsidR="00846F25">
        <w:t>1b.</w:t>
      </w:r>
    </w:p>
    <w:p w:rsidR="00846F25" w:rsidRPr="00727652" w:rsidRDefault="00846F25" w:rsidP="00846F25">
      <w:pPr>
        <w:pStyle w:val="Heading5"/>
      </w:pPr>
      <w:r w:rsidRPr="00727652">
        <w:t>Antiviral activity in humans</w:t>
      </w:r>
    </w:p>
    <w:p w:rsidR="00846F25" w:rsidRPr="002D727E" w:rsidRDefault="00846F25" w:rsidP="002D727E">
      <w:pPr>
        <w:pStyle w:val="ListBullet"/>
      </w:pPr>
      <w:r w:rsidRPr="002D727E">
        <w:t xml:space="preserve">Four hours following dosing with </w:t>
      </w:r>
      <w:r w:rsidR="00590286" w:rsidRPr="002D727E">
        <w:t>ombitasvir</w:t>
      </w:r>
      <w:r w:rsidRPr="002D727E">
        <w:t>, the mean decline in log</w:t>
      </w:r>
      <w:r w:rsidRPr="002D727E">
        <w:rPr>
          <w:vertAlign w:val="subscript"/>
        </w:rPr>
        <w:t>10</w:t>
      </w:r>
      <w:r w:rsidRPr="002D727E">
        <w:t xml:space="preserve"> HCV RNA viral load from baseline was statistically significantly greater than following placebo administration.</w:t>
      </w:r>
    </w:p>
    <w:p w:rsidR="00846F25" w:rsidRPr="002D727E" w:rsidRDefault="00846F25" w:rsidP="002D727E">
      <w:pPr>
        <w:pStyle w:val="ListBullet"/>
      </w:pPr>
      <w:r w:rsidRPr="002D727E">
        <w:t xml:space="preserve">Six hours following dosing with </w:t>
      </w:r>
      <w:r w:rsidR="00590286" w:rsidRPr="002D727E">
        <w:t>dasabuvir</w:t>
      </w:r>
      <w:r w:rsidRPr="002D727E">
        <w:t>, all dose groups displayed decreased levels of HCV RNA and greater decreases through 12 hours after the first dose.</w:t>
      </w:r>
    </w:p>
    <w:p w:rsidR="00846F25" w:rsidRPr="002D727E" w:rsidRDefault="00846F25" w:rsidP="002D727E">
      <w:pPr>
        <w:pStyle w:val="ListBullet"/>
      </w:pPr>
      <w:r w:rsidRPr="002D727E">
        <w:t xml:space="preserve">Following multiple doses of </w:t>
      </w:r>
      <w:r w:rsidR="00F573D0" w:rsidRPr="002D727E">
        <w:t>paritaprevir</w:t>
      </w:r>
      <w:r w:rsidRPr="002D727E">
        <w:t>/</w:t>
      </w:r>
      <w:r w:rsidR="002D727E">
        <w:t>ritonavir</w:t>
      </w:r>
      <w:r w:rsidRPr="002D727E">
        <w:t>, the mean maximum decrease from baseline in log</w:t>
      </w:r>
      <w:r w:rsidRPr="002D727E">
        <w:rPr>
          <w:vertAlign w:val="subscript"/>
        </w:rPr>
        <w:t>10</w:t>
      </w:r>
      <w:r w:rsidRPr="002D727E">
        <w:t xml:space="preserve"> HCV RNA levels was 4.03 log</w:t>
      </w:r>
      <w:r w:rsidRPr="002D727E">
        <w:rPr>
          <w:vertAlign w:val="subscript"/>
        </w:rPr>
        <w:t>10</w:t>
      </w:r>
      <w:r w:rsidRPr="002D727E">
        <w:t xml:space="preserve"> </w:t>
      </w:r>
      <w:r w:rsidR="00132273">
        <w:t>international units (</w:t>
      </w:r>
      <w:r w:rsidRPr="002D727E">
        <w:t>IU</w:t>
      </w:r>
      <w:r w:rsidR="00132273">
        <w:t>)</w:t>
      </w:r>
      <w:r w:rsidRPr="002D727E">
        <w:t xml:space="preserve">/mL and for </w:t>
      </w:r>
      <w:r w:rsidR="00590286" w:rsidRPr="002D727E">
        <w:t>dasabuvir</w:t>
      </w:r>
      <w:r w:rsidR="002D727E">
        <w:t xml:space="preserve"> was 1.02 </w:t>
      </w:r>
      <w:r w:rsidR="002D727E" w:rsidRPr="002D727E">
        <w:t>log</w:t>
      </w:r>
      <w:r w:rsidR="002D727E" w:rsidRPr="002D727E">
        <w:rPr>
          <w:vertAlign w:val="subscript"/>
        </w:rPr>
        <w:t>10</w:t>
      </w:r>
      <w:r w:rsidR="002D727E">
        <w:t> </w:t>
      </w:r>
      <w:r w:rsidRPr="002D727E">
        <w:t>IU/mL. For subjects who received placeb</w:t>
      </w:r>
      <w:r w:rsidR="002D727E">
        <w:t>o the maximum decrease was 0.36 </w:t>
      </w:r>
      <w:r w:rsidR="002D727E" w:rsidRPr="002D727E">
        <w:t>log</w:t>
      </w:r>
      <w:r w:rsidR="002D727E" w:rsidRPr="002D727E">
        <w:rPr>
          <w:vertAlign w:val="subscript"/>
        </w:rPr>
        <w:t>10</w:t>
      </w:r>
      <w:r w:rsidRPr="002D727E">
        <w:t>0 IU/mL HCV RNA.</w:t>
      </w:r>
    </w:p>
    <w:p w:rsidR="00846F25" w:rsidRPr="00727652" w:rsidRDefault="00846F25" w:rsidP="00846F25">
      <w:pPr>
        <w:pStyle w:val="Heading5"/>
      </w:pPr>
      <w:r w:rsidRPr="00727652">
        <w:t>Secondary pharmacodynamic effects</w:t>
      </w:r>
    </w:p>
    <w:p w:rsidR="00846F25" w:rsidRPr="00727652" w:rsidRDefault="00846F25" w:rsidP="00846F25">
      <w:r w:rsidRPr="00727652">
        <w:t xml:space="preserve">Therapeutic and supratherapeutic doses of </w:t>
      </w:r>
      <w:r w:rsidR="00F573D0">
        <w:t>paritaprevir</w:t>
      </w:r>
      <w:r w:rsidR="002D727E">
        <w:t>/ritonavir/</w:t>
      </w:r>
      <w:r w:rsidR="00590286">
        <w:t>ombitasvir</w:t>
      </w:r>
      <w:r w:rsidRPr="00727652">
        <w:t xml:space="preserve"> + </w:t>
      </w:r>
      <w:r w:rsidR="00590286">
        <w:t>dasabuvir</w:t>
      </w:r>
      <w:r w:rsidRPr="00727652">
        <w:t xml:space="preserve"> did not prolong QT interval.</w:t>
      </w:r>
    </w:p>
    <w:p w:rsidR="00846F25" w:rsidRPr="00727652" w:rsidRDefault="00846F25" w:rsidP="00846F25">
      <w:pPr>
        <w:pStyle w:val="Heading5"/>
      </w:pPr>
      <w:r w:rsidRPr="00727652">
        <w:t>Time course of pharmacodynamic effects</w:t>
      </w:r>
    </w:p>
    <w:p w:rsidR="00846F25" w:rsidRPr="00727652" w:rsidRDefault="00846F25" w:rsidP="00846F25">
      <w:r w:rsidRPr="00727652">
        <w:t xml:space="preserve">The effects of </w:t>
      </w:r>
      <w:r w:rsidR="00590286">
        <w:t>ombitasvir</w:t>
      </w:r>
      <w:r w:rsidRPr="00727652">
        <w:t xml:space="preserve"> and </w:t>
      </w:r>
      <w:r w:rsidR="00590286">
        <w:t>dasabuvir</w:t>
      </w:r>
      <w:r w:rsidRPr="00727652">
        <w:t xml:space="preserve"> on baseline HCV RNA levels occur rapidly and statistically significant decreases are seen by 4 h</w:t>
      </w:r>
      <w:r>
        <w:t>ours</w:t>
      </w:r>
      <w:r w:rsidRPr="00727652">
        <w:t xml:space="preserve"> and 6 h</w:t>
      </w:r>
      <w:r>
        <w:t>ours</w:t>
      </w:r>
      <w:r w:rsidRPr="00727652">
        <w:t>, respectively, a</w:t>
      </w:r>
      <w:r>
        <w:t>fter drug administration.</w:t>
      </w:r>
    </w:p>
    <w:p w:rsidR="00846F25" w:rsidRPr="00727652" w:rsidRDefault="00846F25" w:rsidP="00846F25">
      <w:pPr>
        <w:pStyle w:val="Heading5"/>
      </w:pPr>
      <w:r w:rsidRPr="00727652">
        <w:t>Relationship between drug concentration and pharmacodynamic effects</w:t>
      </w:r>
    </w:p>
    <w:p w:rsidR="00846F25" w:rsidRPr="00727652" w:rsidRDefault="00846F25" w:rsidP="00846F25">
      <w:r w:rsidRPr="00727652">
        <w:t xml:space="preserve">The antiviral effects of </w:t>
      </w:r>
      <w:r w:rsidR="00F573D0">
        <w:t>paritaprevir</w:t>
      </w:r>
      <w:r>
        <w:t xml:space="preserve"> and </w:t>
      </w:r>
      <w:r w:rsidR="00590286">
        <w:t>ombitasvir</w:t>
      </w:r>
      <w:r>
        <w:t xml:space="preserve"> were not dose </w:t>
      </w:r>
      <w:r w:rsidRPr="00727652">
        <w:t>dependent</w:t>
      </w:r>
      <w:r>
        <w:t>.</w:t>
      </w:r>
    </w:p>
    <w:p w:rsidR="00846F25" w:rsidRPr="00727652" w:rsidRDefault="00846F25" w:rsidP="00846F25">
      <w:r w:rsidRPr="00727652">
        <w:t xml:space="preserve">Following 100 mg QD, 100 mg </w:t>
      </w:r>
      <w:r>
        <w:t>BD</w:t>
      </w:r>
      <w:r w:rsidRPr="00727652">
        <w:t xml:space="preserve"> and 600 mg </w:t>
      </w:r>
      <w:r>
        <w:t>BD</w:t>
      </w:r>
      <w:r w:rsidRPr="00727652">
        <w:t xml:space="preserve">, but not 600 mg QD, doses of </w:t>
      </w:r>
      <w:r w:rsidR="00590286">
        <w:t>dasabuvir</w:t>
      </w:r>
      <w:r w:rsidRPr="00727652">
        <w:t xml:space="preserve"> the antiviral effects</w:t>
      </w:r>
      <w:r>
        <w:t xml:space="preserve"> of </w:t>
      </w:r>
      <w:r w:rsidR="00590286">
        <w:t>dasabuvir</w:t>
      </w:r>
      <w:r>
        <w:t xml:space="preserve"> were dose dependent.</w:t>
      </w:r>
    </w:p>
    <w:p w:rsidR="00846F25" w:rsidRPr="00ED758D" w:rsidRDefault="00846F25" w:rsidP="00846F25">
      <w:pPr>
        <w:pStyle w:val="Heading5"/>
      </w:pPr>
      <w:bookmarkStart w:id="138" w:name="_Toc416356461"/>
      <w:r w:rsidRPr="00ED758D">
        <w:lastRenderedPageBreak/>
        <w:t>Limitations of PD studies</w:t>
      </w:r>
      <w:bookmarkEnd w:id="138"/>
    </w:p>
    <w:p w:rsidR="00846F25" w:rsidRPr="00ED758D" w:rsidRDefault="00846F25" w:rsidP="00846F25">
      <w:pPr>
        <w:pStyle w:val="ListBullet"/>
        <w:numPr>
          <w:ilvl w:val="0"/>
          <w:numId w:val="0"/>
        </w:numPr>
      </w:pPr>
      <w:r>
        <w:t xml:space="preserve">No studies examined the gender and age </w:t>
      </w:r>
      <w:r w:rsidRPr="00ED758D">
        <w:t>related differences in pharmacodynamic response.</w:t>
      </w:r>
    </w:p>
    <w:p w:rsidR="00846F25" w:rsidRDefault="00846F25" w:rsidP="00846F25">
      <w:pPr>
        <w:pStyle w:val="ListBullet"/>
        <w:numPr>
          <w:ilvl w:val="0"/>
          <w:numId w:val="0"/>
        </w:numPr>
      </w:pPr>
      <w:r w:rsidRPr="00ED758D">
        <w:t>No studies examined PD interactions.</w:t>
      </w:r>
    </w:p>
    <w:p w:rsidR="000E72DC" w:rsidRDefault="000E72DC" w:rsidP="000E72DC">
      <w:pPr>
        <w:pStyle w:val="Heading3"/>
      </w:pPr>
      <w:bookmarkStart w:id="139" w:name="_Toc480811583"/>
      <w:r>
        <w:t>Dosage selection for the pivotal studies</w:t>
      </w:r>
      <w:bookmarkEnd w:id="139"/>
    </w:p>
    <w:p w:rsidR="00B31CDB" w:rsidRDefault="00B31CDB" w:rsidP="00B31CDB">
      <w:r w:rsidRPr="00ED758D">
        <w:t xml:space="preserve">Selection of the combination regimen, dosage and treatment duration was based on multiple </w:t>
      </w:r>
      <w:r>
        <w:t>Phase I</w:t>
      </w:r>
      <w:r w:rsidRPr="00ED758D">
        <w:t xml:space="preserve"> and </w:t>
      </w:r>
      <w:r>
        <w:t>Phase II</w:t>
      </w:r>
      <w:r w:rsidRPr="00ED758D">
        <w:t xml:space="preserve"> studies </w:t>
      </w:r>
      <w:r w:rsidRPr="00A25EA6">
        <w:t xml:space="preserve">listed </w:t>
      </w:r>
      <w:r w:rsidRPr="008D1B95">
        <w:t xml:space="preserve">in </w:t>
      </w:r>
      <w:r w:rsidR="008D1B95" w:rsidRPr="008D1B95">
        <w:t>Table 18</w:t>
      </w:r>
      <w:r w:rsidRPr="008D1B95">
        <w:t>.</w:t>
      </w:r>
    </w:p>
    <w:p w:rsidR="00B31CDB" w:rsidRDefault="008D1B95" w:rsidP="00B31CDB">
      <w:pPr>
        <w:pStyle w:val="Tabletitle0"/>
      </w:pPr>
      <w:r w:rsidRPr="008D1B95">
        <w:lastRenderedPageBreak/>
        <w:t>Table 18</w:t>
      </w:r>
      <w:r w:rsidR="00B31CDB" w:rsidRPr="008D1B95">
        <w:t>: Studies</w:t>
      </w:r>
      <w:r w:rsidR="00B31CDB">
        <w:t xml:space="preserve"> used for regimen, dose and duration recommendation</w:t>
      </w:r>
    </w:p>
    <w:p w:rsidR="000E72DC" w:rsidRPr="000E72DC" w:rsidRDefault="000E72DC" w:rsidP="003E6B33">
      <w:r>
        <w:rPr>
          <w:noProof/>
          <w:lang w:eastAsia="en-AU"/>
        </w:rPr>
        <w:drawing>
          <wp:inline distT="0" distB="0" distL="0" distR="0" wp14:anchorId="62E5EA38" wp14:editId="29574A60">
            <wp:extent cx="4389755" cy="8229600"/>
            <wp:effectExtent l="0" t="0" r="0" b="0"/>
            <wp:docPr id="27" name="Picture 27" descr="Table 18: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89755" cy="8229600"/>
                    </a:xfrm>
                    <a:prstGeom prst="rect">
                      <a:avLst/>
                    </a:prstGeom>
                  </pic:spPr>
                </pic:pic>
              </a:graphicData>
            </a:graphic>
          </wp:inline>
        </w:drawing>
      </w:r>
    </w:p>
    <w:p w:rsidR="00B31CDB" w:rsidRDefault="008D1B95" w:rsidP="000E72DC">
      <w:pPr>
        <w:pStyle w:val="Tabletitle0"/>
      </w:pPr>
      <w:r>
        <w:lastRenderedPageBreak/>
        <w:t>Table 18</w:t>
      </w:r>
      <w:r w:rsidR="000E72DC">
        <w:t>(continued</w:t>
      </w:r>
      <w:r>
        <w:t>)</w:t>
      </w:r>
      <w:r w:rsidR="000E72DC">
        <w:t>: Studies used for regimen, dose and duration recommendation</w:t>
      </w:r>
    </w:p>
    <w:p w:rsidR="002B5D81" w:rsidRDefault="000E72DC" w:rsidP="003E6B33">
      <w:r>
        <w:rPr>
          <w:noProof/>
          <w:lang w:eastAsia="en-AU"/>
        </w:rPr>
        <w:drawing>
          <wp:inline distT="0" distB="0" distL="0" distR="0" wp14:anchorId="1C61E066" wp14:editId="71EA7A20">
            <wp:extent cx="5086350" cy="2371725"/>
            <wp:effectExtent l="0" t="0" r="0" b="9525"/>
            <wp:docPr id="25" name="Picture 25" descr="Table 18(continued): Studies used for regimen, dose and duration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86350" cy="2371725"/>
                    </a:xfrm>
                    <a:prstGeom prst="rect">
                      <a:avLst/>
                    </a:prstGeom>
                  </pic:spPr>
                </pic:pic>
              </a:graphicData>
            </a:graphic>
          </wp:inline>
        </w:drawing>
      </w:r>
    </w:p>
    <w:p w:rsidR="000E72DC" w:rsidRDefault="000E72DC" w:rsidP="000E72DC">
      <w:r w:rsidRPr="00ED758D">
        <w:t xml:space="preserve">As stated in </w:t>
      </w:r>
      <w:r w:rsidRPr="00F9408E">
        <w:t>the Dose Duration report (R&amp;D/14/0150), the</w:t>
      </w:r>
      <w:r w:rsidRPr="00ED758D">
        <w:t xml:space="preserve"> doses for each of the </w:t>
      </w:r>
      <w:r w:rsidR="00237CBE">
        <w:t>3DAA</w:t>
      </w:r>
      <w:r w:rsidRPr="00ED758D">
        <w:t xml:space="preserve">s that were to be used in the </w:t>
      </w:r>
      <w:r>
        <w:t>Phase III</w:t>
      </w:r>
      <w:r w:rsidRPr="00ED758D">
        <w:t xml:space="preserve"> studies were determined by the examination of a combination of factors. These included comparisons of: viral load decline for different doses following monotherapy; virologic failure rates when the different doses were combined with peg-IFN plus RBV; virologic failure rates when the different doses were combined with other DAAs in the absence of interferon; and the resistance profile following monotherapy and IFN-free DAA combination regimens with the different doses. In addition, the safety profiles for the </w:t>
      </w:r>
      <w:r w:rsidR="00237CBE">
        <w:t>3DAA</w:t>
      </w:r>
      <w:r w:rsidRPr="00ED758D">
        <w:t>s when combined with peg-IFN plus RBV and IFN-free DAA combination regimens were examined, as were the exposure-response relationships correl</w:t>
      </w:r>
      <w:r>
        <w:t xml:space="preserve">ating exposures of </w:t>
      </w:r>
      <w:r w:rsidR="00F573D0">
        <w:t>paritaprevir</w:t>
      </w:r>
      <w:r>
        <w:t xml:space="preserve">, </w:t>
      </w:r>
      <w:r w:rsidR="00590286">
        <w:t>ombitasvir</w:t>
      </w:r>
      <w:r w:rsidRPr="00ED758D">
        <w:t xml:space="preserve"> and </w:t>
      </w:r>
      <w:r w:rsidR="00590286">
        <w:t>dasabuvir</w:t>
      </w:r>
      <w:r w:rsidRPr="00ED758D">
        <w:t xml:space="preserve"> to viral load and lab safety parameters. Finally, the PK interactions in healthy subjects between the </w:t>
      </w:r>
      <w:r w:rsidR="00237CBE">
        <w:t>3DAA</w:t>
      </w:r>
      <w:r w:rsidRPr="00ED758D">
        <w:t xml:space="preserve">s and commonly prescribed and potentially co-administered medications were also taken into account. A summary of the principle drug characteristics that were used to determine the doses for each of the </w:t>
      </w:r>
      <w:r w:rsidR="00237CBE">
        <w:t>3DAA</w:t>
      </w:r>
      <w:r w:rsidRPr="00ED758D">
        <w:t xml:space="preserve">s in </w:t>
      </w:r>
      <w:r>
        <w:t>Phase III</w:t>
      </w:r>
      <w:r w:rsidRPr="00ED758D">
        <w:t xml:space="preserve"> are shown </w:t>
      </w:r>
      <w:r w:rsidRPr="009C3E30">
        <w:t xml:space="preserve">in Figure </w:t>
      </w:r>
      <w:r w:rsidR="00B03483">
        <w:t>9</w:t>
      </w:r>
      <w:r w:rsidRPr="009C3E30">
        <w:t>.</w:t>
      </w:r>
    </w:p>
    <w:p w:rsidR="000E72DC" w:rsidRDefault="000E72DC" w:rsidP="000E72DC">
      <w:pPr>
        <w:pStyle w:val="FigureTitle"/>
      </w:pPr>
      <w:r w:rsidRPr="009C3E30">
        <w:t xml:space="preserve">Figure </w:t>
      </w:r>
      <w:r w:rsidR="00B03483">
        <w:t>9</w:t>
      </w:r>
      <w:r w:rsidRPr="009C3E30">
        <w:t>: Summary</w:t>
      </w:r>
      <w:r>
        <w:t xml:space="preserve"> of DAA doses selected for Phase III and to be marketed regimen with rationale for selection</w:t>
      </w:r>
      <w:r w:rsidR="002D727E">
        <w:t xml:space="preserve"> ABT-450 = paritaprevi</w:t>
      </w:r>
      <w:r w:rsidR="007C7771">
        <w:t>r; ABT-267 = ombitasvir and ABT</w:t>
      </w:r>
      <w:r w:rsidR="007C7771">
        <w:noBreakHyphen/>
      </w:r>
      <w:r w:rsidR="002D727E">
        <w:t>333 = dasabuvir</w:t>
      </w:r>
    </w:p>
    <w:p w:rsidR="000E72DC" w:rsidRDefault="000E72DC" w:rsidP="003E6B33">
      <w:r>
        <w:rPr>
          <w:noProof/>
          <w:lang w:eastAsia="en-AU"/>
        </w:rPr>
        <w:drawing>
          <wp:inline distT="0" distB="0" distL="0" distR="0" wp14:anchorId="43EDF70B" wp14:editId="1B2B4627">
            <wp:extent cx="4457700" cy="2943225"/>
            <wp:effectExtent l="0" t="0" r="0" b="9525"/>
            <wp:docPr id="28" name="Picture 28" descr="Figure 9: Summary of DAA doses selected for Phase III and to be marketed regimen with rationale for selection ABT-450 = paritaprevir; ABT-267 = ombitasvir and ABT 333 = dasabuvir&#10;ABT-450; 150 mg: higher levels 200 and 250 mg (gave rise to increase in ALT) or lower levels of 100mg down to 50 mg (lower resistance barrier)&#10;ABT-267; 25 mg higher levels 50 mg (potential for decreased ABT-450 exposure) 200 mg (Better M28V coverage but decreased ABT 450 exposures) or lower levels 5 mg (rebound between doses) or 1.5 mg (lower monotherapy response)&#10;ABT-333; 400 mg (sames as 250 mg of new form); higer doses of 800 mg (decrease Hgb and increased QTc risk) or loer doses 100 mf (lowe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57700" cy="2943225"/>
                    </a:xfrm>
                    <a:prstGeom prst="rect">
                      <a:avLst/>
                    </a:prstGeom>
                  </pic:spPr>
                </pic:pic>
              </a:graphicData>
            </a:graphic>
          </wp:inline>
        </w:drawing>
      </w:r>
    </w:p>
    <w:p w:rsidR="000E72DC" w:rsidRPr="00846F25" w:rsidRDefault="000E72DC" w:rsidP="000E72DC">
      <w:pPr>
        <w:pStyle w:val="Comment"/>
        <w:ind w:left="1134" w:hanging="1134"/>
      </w:pPr>
      <w:r>
        <w:rPr>
          <w:b/>
        </w:rPr>
        <w:lastRenderedPageBreak/>
        <w:t xml:space="preserve">Comment: </w:t>
      </w:r>
      <w:r w:rsidRPr="00ED758D">
        <w:t>Conventional dose ranging studies are not feasible in chronic HCV infection because of the dangers of viral resistance in patie</w:t>
      </w:r>
      <w:r>
        <w:t>nts who receive potentially sub</w:t>
      </w:r>
      <w:r w:rsidRPr="00ED758D">
        <w:t xml:space="preserve">optimal treatment. This is particularly relevant with a novel </w:t>
      </w:r>
      <w:r w:rsidR="00237CBE">
        <w:t>3DAA</w:t>
      </w:r>
      <w:r w:rsidRPr="00ED758D">
        <w:t xml:space="preserve"> combination. The dosage and regimen selected for the </w:t>
      </w:r>
      <w:r>
        <w:t>Phase III</w:t>
      </w:r>
      <w:r w:rsidRPr="00ED758D">
        <w:t xml:space="preserve"> studies was appropriate after consideration of a large body of in vitro and in vivo pre-clinical and </w:t>
      </w:r>
      <w:r>
        <w:t>Phase I and II</w:t>
      </w:r>
      <w:r w:rsidRPr="00ED758D">
        <w:t xml:space="preserve"> data. For the </w:t>
      </w:r>
      <w:r>
        <w:t>Phase II and III</w:t>
      </w:r>
      <w:r w:rsidRPr="00ED758D">
        <w:t xml:space="preserve"> studies, the optimal treatment duration was assumed to be 12 weeks but </w:t>
      </w:r>
      <w:r w:rsidRPr="0039640D">
        <w:t>SVR rates</w:t>
      </w:r>
      <w:r w:rsidRPr="00ED758D">
        <w:t xml:space="preserve"> were compared in different patient groups during treatment periods of 8, 12 and 24 weeks.</w:t>
      </w:r>
    </w:p>
    <w:p w:rsidR="008E7846" w:rsidRPr="00254787" w:rsidRDefault="008E7846" w:rsidP="008E7846">
      <w:pPr>
        <w:pStyle w:val="Heading3"/>
      </w:pPr>
      <w:bookmarkStart w:id="140" w:name="_Toc163441372"/>
      <w:bookmarkStart w:id="141" w:name="_Toc196046485"/>
      <w:bookmarkStart w:id="142" w:name="_Toc247691521"/>
      <w:bookmarkStart w:id="143" w:name="_Toc314842504"/>
      <w:bookmarkStart w:id="144" w:name="_Toc480811584"/>
      <w:r w:rsidRPr="00254787">
        <w:t>Efficacy</w:t>
      </w:r>
      <w:bookmarkEnd w:id="140"/>
      <w:bookmarkEnd w:id="141"/>
      <w:bookmarkEnd w:id="142"/>
      <w:bookmarkEnd w:id="143"/>
      <w:bookmarkEnd w:id="144"/>
    </w:p>
    <w:p w:rsidR="00605AD4" w:rsidRDefault="00605AD4" w:rsidP="00605AD4">
      <w:pPr>
        <w:pStyle w:val="Heading4"/>
      </w:pPr>
      <w:bookmarkStart w:id="145" w:name="_Toc184439992"/>
      <w:bookmarkStart w:id="146" w:name="_Toc184440279"/>
      <w:bookmarkStart w:id="147" w:name="_Toc184444657"/>
      <w:bookmarkStart w:id="148" w:name="_Toc196046487"/>
      <w:r>
        <w:t>Studies providing efficacy data</w:t>
      </w:r>
    </w:p>
    <w:p w:rsidR="000E72DC" w:rsidRPr="000E72DC" w:rsidRDefault="000E72DC" w:rsidP="000E72DC">
      <w:r>
        <w:t>For details of the evaluation of the studies providing efficacy please see Attachment 2.</w:t>
      </w:r>
    </w:p>
    <w:p w:rsidR="008E7846" w:rsidRDefault="00605AD4" w:rsidP="00605AD4">
      <w:pPr>
        <w:pStyle w:val="Heading4"/>
      </w:pPr>
      <w:r>
        <w:t>Evaluator’s conclusions on efficacy</w:t>
      </w:r>
    </w:p>
    <w:p w:rsidR="000E72DC" w:rsidRPr="000E72DC" w:rsidRDefault="000E72DC" w:rsidP="000E72DC">
      <w:proofErr w:type="gramStart"/>
      <w:r>
        <w:t>C</w:t>
      </w:r>
      <w:r w:rsidRPr="000E72DC">
        <w:t>onclusions on clinical efficacy for the proposed indication of “</w:t>
      </w:r>
      <w:r w:rsidRPr="002D727E">
        <w:rPr>
          <w:i/>
        </w:rPr>
        <w:t>the treatment of genotype 1 chronic hepatitis C infection, including patients with cirrhosis</w:t>
      </w:r>
      <w:r w:rsidRPr="000E72DC">
        <w:t>”.</w:t>
      </w:r>
      <w:proofErr w:type="gramEnd"/>
    </w:p>
    <w:p w:rsidR="000E72DC" w:rsidRPr="006040DF" w:rsidRDefault="000E72DC" w:rsidP="000E72DC">
      <w:r w:rsidRPr="006040DF">
        <w:t>The study program was based on current US and EU guidelines for the treatment of chronic HCV infection, and scientific advice on study design and methodology was sought from the FDA and EMA. All studies were conducted according to the principles of GCP and patient numbers were adequate in the overall population and most subgroups. The eligibility criteria were appropriate with adequate representation of the most important patient groups defined by HCV genotype sub-type, prior treatment experience and the presence or absence of cirrhosis. Patients with significant hepatic and renal impairment were excluded, and also patients with co-infection with HIV. However, PK studies in these patient subgroups have been conducted leading to clear dosage recommendations and precautions in the PI. There were adequate numbers of males and females but few elderly patients were studied. In addition, the great majority of patients were White and efficacy in other racial groups, particularly Asians, needs further study.</w:t>
      </w:r>
      <w:r>
        <w:t xml:space="preserve"> </w:t>
      </w:r>
      <w:r w:rsidRPr="006040DF">
        <w:t xml:space="preserve">The potential influence of IL28B genotype sub-types was addressed in all the pivotal studies and no </w:t>
      </w:r>
      <w:r>
        <w:t>interactions were demonstrated.</w:t>
      </w:r>
    </w:p>
    <w:p w:rsidR="000E72DC" w:rsidRPr="006040DF" w:rsidRDefault="000E72DC" w:rsidP="000E72DC">
      <w:r w:rsidRPr="006040DF">
        <w:t>The primary efficacy endpoint for all studies was</w:t>
      </w:r>
      <w:r>
        <w:t xml:space="preserve"> </w:t>
      </w:r>
      <w:r w:rsidR="0039640D">
        <w:t>sustained virologic response 12 weeks post-dosing</w:t>
      </w:r>
      <w:r w:rsidRPr="006040DF">
        <w:t xml:space="preserve"> rat</w:t>
      </w:r>
      <w:r w:rsidR="007C7771">
        <w:t>es in patients with chronic HCV</w:t>
      </w:r>
      <w:r w:rsidR="009F6EED">
        <w:t xml:space="preserve"> genotype</w:t>
      </w:r>
      <w:r w:rsidRPr="006040DF">
        <w:t xml:space="preserve">1 infection. Within this population, important subgroups with known differing response rates to telaprevir + </w:t>
      </w:r>
      <w:r>
        <w:t>pegIFN</w:t>
      </w:r>
      <w:r w:rsidRPr="006040DF">
        <w:t>/RBV were identified and analysed.</w:t>
      </w:r>
      <w:r>
        <w:t xml:space="preserve"> </w:t>
      </w:r>
      <w:r w:rsidRPr="006040DF">
        <w:t>These subgroups include patients with</w:t>
      </w:r>
      <w:r w:rsidR="009F6EED">
        <w:t xml:space="preserve"> genotype</w:t>
      </w:r>
      <w:r w:rsidRPr="006040DF">
        <w:t xml:space="preserve">1a and </w:t>
      </w:r>
      <w:r w:rsidR="00AA6FDA">
        <w:t>genotype 1b</w:t>
      </w:r>
      <w:r w:rsidR="00AA6FDA" w:rsidRPr="006040DF">
        <w:t xml:space="preserve"> </w:t>
      </w:r>
      <w:r w:rsidRPr="006040DF">
        <w:t xml:space="preserve">infection, cirrhotic and non-cirrhotic patients, </w:t>
      </w:r>
      <w:r>
        <w:t>treatment naïve</w:t>
      </w:r>
      <w:r w:rsidRPr="006040DF">
        <w:t xml:space="preserve"> and </w:t>
      </w:r>
      <w:r>
        <w:t>treatment experienced</w:t>
      </w:r>
      <w:r w:rsidRPr="006040DF">
        <w:t xml:space="preserve"> patients, and other subgroups defined by IL28B status, gender, race, age, </w:t>
      </w:r>
      <w:r w:rsidR="000E1719">
        <w:t>body mass index</w:t>
      </w:r>
      <w:r w:rsidR="000E1719" w:rsidRPr="006040DF">
        <w:t xml:space="preserve"> </w:t>
      </w:r>
      <w:r w:rsidR="000E1719">
        <w:t>(</w:t>
      </w:r>
      <w:r w:rsidRPr="006040DF">
        <w:t>BMI</w:t>
      </w:r>
      <w:r w:rsidR="000E1719">
        <w:t>)</w:t>
      </w:r>
      <w:r w:rsidRPr="006040DF">
        <w:t xml:space="preserve">, baseline fibrosis score, baseline HCV RNA level and baseline </w:t>
      </w:r>
      <w:r w:rsidR="00132273">
        <w:t>interferon gamma-induced protein 10 (</w:t>
      </w:r>
      <w:r w:rsidRPr="006040DF">
        <w:t>IP-10</w:t>
      </w:r>
      <w:r w:rsidR="00132273">
        <w:t>)</w:t>
      </w:r>
      <w:r w:rsidRPr="006040DF">
        <w:t>.</w:t>
      </w:r>
      <w:r>
        <w:t xml:space="preserve"> </w:t>
      </w:r>
      <w:r w:rsidR="006A2EA5" w:rsidRPr="00FE5487">
        <w:t>SVR</w:t>
      </w:r>
      <w:r w:rsidR="006A2EA5" w:rsidRPr="006A2EA5">
        <w:rPr>
          <w:vertAlign w:val="subscript"/>
        </w:rPr>
        <w:t>12</w:t>
      </w:r>
      <w:r w:rsidRPr="006040DF">
        <w:t xml:space="preserve"> rates for the </w:t>
      </w:r>
      <w:r w:rsidR="00237CBE">
        <w:t>3DAA</w:t>
      </w:r>
      <w:r w:rsidRPr="006040DF">
        <w:t xml:space="preserve"> + RBV combination in non-cirrhotic, </w:t>
      </w:r>
      <w:r>
        <w:t>treatment naïve</w:t>
      </w:r>
      <w:r w:rsidRPr="006040DF">
        <w:t xml:space="preserve"> and </w:t>
      </w:r>
      <w:r>
        <w:t>treatment experienced</w:t>
      </w:r>
      <w:r w:rsidRPr="006040DF">
        <w:t xml:space="preserve"> patients with</w:t>
      </w:r>
      <w:r w:rsidR="009F6EED">
        <w:t xml:space="preserve"> genotype</w:t>
      </w:r>
      <w:r w:rsidRPr="006040DF">
        <w:t>1a and</w:t>
      </w:r>
      <w:r w:rsidR="009F6EED">
        <w:t xml:space="preserve"> genotype</w:t>
      </w:r>
      <w:r w:rsidRPr="006040DF">
        <w:t xml:space="preserve">1b infection were compared with placebo in two pivotal </w:t>
      </w:r>
      <w:r>
        <w:t>Phase III</w:t>
      </w:r>
      <w:r w:rsidRPr="006040DF">
        <w:t xml:space="preserve"> studies. In the 770 patients who received active treatment during the 12 week </w:t>
      </w:r>
      <w:r>
        <w:t>double blind</w:t>
      </w:r>
      <w:r w:rsidRPr="006040DF">
        <w:t xml:space="preserve"> treatment period, the overall</w:t>
      </w:r>
      <w:r>
        <w:t xml:space="preserve"> </w:t>
      </w:r>
      <w:r w:rsidR="006A2EA5" w:rsidRPr="00FE5487">
        <w:t>SVR</w:t>
      </w:r>
      <w:r w:rsidR="006A2EA5" w:rsidRPr="006A2EA5">
        <w:rPr>
          <w:vertAlign w:val="subscript"/>
        </w:rPr>
        <w:t>12</w:t>
      </w:r>
      <w:r w:rsidRPr="006040DF">
        <w:t xml:space="preserve"> rate was 96.2% (95% </w:t>
      </w:r>
      <w:r w:rsidR="000E1719">
        <w:t>confidence interval</w:t>
      </w:r>
      <w:r w:rsidR="000E1719" w:rsidRPr="006040DF">
        <w:t xml:space="preserve"> </w:t>
      </w:r>
      <w:r w:rsidR="000E1719">
        <w:t>(</w:t>
      </w:r>
      <w:r w:rsidRPr="006040DF">
        <w:t>CI</w:t>
      </w:r>
      <w:r w:rsidR="000E1719">
        <w:t>)</w:t>
      </w:r>
      <w:r w:rsidRPr="006040DF">
        <w:t>: 94.9%, 97.6%), and the rates were comparable in all subgroups including genotype subtype and prior treatment experience. The</w:t>
      </w:r>
      <w:r>
        <w:t xml:space="preserve"> </w:t>
      </w:r>
      <w:r w:rsidR="006A2EA5" w:rsidRPr="00FE5487">
        <w:t>SVR</w:t>
      </w:r>
      <w:r w:rsidR="006A2EA5" w:rsidRPr="006A2EA5">
        <w:rPr>
          <w:vertAlign w:val="subscript"/>
        </w:rPr>
        <w:t>12</w:t>
      </w:r>
      <w:r w:rsidRPr="006040DF">
        <w:t xml:space="preserve"> rate was markedly superior to historical rates achieved by comparable patient groups treated with telaprevir + </w:t>
      </w:r>
      <w:r>
        <w:t>pegIFN</w:t>
      </w:r>
      <w:r w:rsidR="002D727E">
        <w:t xml:space="preserve">/RBV. On </w:t>
      </w:r>
      <w:r w:rsidRPr="006040DF">
        <w:t>treatment virologic failu</w:t>
      </w:r>
      <w:r w:rsidR="002D727E">
        <w:t xml:space="preserve">re and post </w:t>
      </w:r>
      <w:r w:rsidRPr="006040DF">
        <w:t>treatment relapse occurred in only 2% of patients, and</w:t>
      </w:r>
      <w:r>
        <w:t xml:space="preserve"> </w:t>
      </w:r>
      <w:r w:rsidR="006A2EA5" w:rsidRPr="00FE5487">
        <w:t>SVR</w:t>
      </w:r>
      <w:r w:rsidR="006A2EA5" w:rsidRPr="006A2EA5">
        <w:rPr>
          <w:vertAlign w:val="subscript"/>
        </w:rPr>
        <w:t>12</w:t>
      </w:r>
      <w:r w:rsidRPr="006040DF">
        <w:t xml:space="preserve"> almost completely predicted </w:t>
      </w:r>
      <w:r w:rsidRPr="007960AA">
        <w:t>SVR</w:t>
      </w:r>
      <w:r w:rsidRPr="005B670E">
        <w:rPr>
          <w:vertAlign w:val="subscript"/>
        </w:rPr>
        <w:t>24</w:t>
      </w:r>
      <w:r w:rsidRPr="006040DF">
        <w:t xml:space="preserve"> rates. In the </w:t>
      </w:r>
      <w:r>
        <w:t>double blind</w:t>
      </w:r>
      <w:r w:rsidRPr="006040DF">
        <w:t xml:space="preserve"> studies, there was prompt normalisation of abnormal baseline </w:t>
      </w:r>
      <w:r w:rsidR="0083113B">
        <w:t xml:space="preserve">liver function </w:t>
      </w:r>
      <w:r w:rsidR="0083113B" w:rsidRPr="0083113B">
        <w:t>tests (</w:t>
      </w:r>
      <w:r w:rsidRPr="0083113B">
        <w:t>LFTs</w:t>
      </w:r>
      <w:r w:rsidR="0083113B" w:rsidRPr="0083113B">
        <w:t>)</w:t>
      </w:r>
      <w:r w:rsidRPr="006040DF">
        <w:t xml:space="preserve"> </w:t>
      </w:r>
      <w:r w:rsidRPr="006040DF">
        <w:lastRenderedPageBreak/>
        <w:t xml:space="preserve">in most patients given active treatment. These studies confirmed the value </w:t>
      </w:r>
      <w:r w:rsidRPr="0083113B">
        <w:t xml:space="preserve">of </w:t>
      </w:r>
      <w:r w:rsidR="00237CBE">
        <w:t>3DAA</w:t>
      </w:r>
      <w:r w:rsidRPr="006040DF">
        <w:t xml:space="preserve"> + RBV given for 12 weeks in all non-cirrhotic patient groups with HCV</w:t>
      </w:r>
      <w:r w:rsidR="009F6EED">
        <w:t xml:space="preserve"> genotype</w:t>
      </w:r>
      <w:r w:rsidRPr="006040DF">
        <w:t>1 infection.</w:t>
      </w:r>
    </w:p>
    <w:p w:rsidR="000E72DC" w:rsidRPr="006040DF" w:rsidRDefault="000E72DC" w:rsidP="000E72DC">
      <w:r w:rsidRPr="006040DF">
        <w:t xml:space="preserve">The </w:t>
      </w:r>
      <w:r w:rsidR="00237CBE">
        <w:t>3DAA</w:t>
      </w:r>
      <w:r w:rsidRPr="006040DF">
        <w:t xml:space="preserve"> + RBV and </w:t>
      </w:r>
      <w:r w:rsidR="00237CBE">
        <w:t>3DAA</w:t>
      </w:r>
      <w:r w:rsidRPr="006040DF">
        <w:t xml:space="preserve"> 12 week treatment</w:t>
      </w:r>
      <w:r>
        <w:t xml:space="preserve"> </w:t>
      </w:r>
      <w:r w:rsidRPr="006040DF">
        <w:t>regimens wer</w:t>
      </w:r>
      <w:r w:rsidR="007C7771">
        <w:t>e compared in non</w:t>
      </w:r>
      <w:r w:rsidR="007C7771">
        <w:noBreakHyphen/>
      </w:r>
      <w:r w:rsidRPr="006040DF">
        <w:t xml:space="preserve">cirrhotic, </w:t>
      </w:r>
      <w:r>
        <w:t>treatment naïve</w:t>
      </w:r>
      <w:r w:rsidRPr="006040DF">
        <w:t xml:space="preserve"> and </w:t>
      </w:r>
      <w:r>
        <w:t>treatment experienced</w:t>
      </w:r>
      <w:r w:rsidRPr="006040DF">
        <w:t xml:space="preserve"> patients with</w:t>
      </w:r>
      <w:r w:rsidR="009F6EED">
        <w:t xml:space="preserve"> genotype</w:t>
      </w:r>
      <w:r w:rsidRPr="006040DF">
        <w:t>1a and</w:t>
      </w:r>
      <w:r w:rsidR="009F6EED">
        <w:t xml:space="preserve"> genotype</w:t>
      </w:r>
      <w:r w:rsidRPr="006040DF">
        <w:t xml:space="preserve">1b infection in another three pivotal </w:t>
      </w:r>
      <w:r>
        <w:t>Phase III</w:t>
      </w:r>
      <w:r w:rsidRPr="006040DF">
        <w:t xml:space="preserve"> studies of similar design. In these studies, 398 and 505 patients were treated with </w:t>
      </w:r>
      <w:r w:rsidR="00237CBE">
        <w:t>3DAA</w:t>
      </w:r>
      <w:r w:rsidRPr="006040DF">
        <w:t xml:space="preserve"> + RBV and </w:t>
      </w:r>
      <w:r w:rsidR="00237CBE">
        <w:t>3DAA</w:t>
      </w:r>
      <w:r w:rsidRPr="006040DF">
        <w:t>, respectively. In these studies,</w:t>
      </w:r>
      <w:r>
        <w:t xml:space="preserve"> </w:t>
      </w:r>
      <w:r w:rsidR="006A2EA5" w:rsidRPr="00FE5487">
        <w:t>SVR</w:t>
      </w:r>
      <w:r w:rsidR="006A2EA5" w:rsidRPr="006A2EA5">
        <w:rPr>
          <w:vertAlign w:val="subscript"/>
        </w:rPr>
        <w:t>12</w:t>
      </w:r>
      <w:r w:rsidRPr="006040DF">
        <w:t xml:space="preserve"> rates of 90.2% to 100% were achieved across all patient groups, all markedly superior to historical rates with telaprevir + </w:t>
      </w:r>
      <w:r>
        <w:t>pegIFN</w:t>
      </w:r>
      <w:r w:rsidRPr="006040DF">
        <w:t xml:space="preserve">/RBV. Only in </w:t>
      </w:r>
      <w:r>
        <w:t>treatment naïve</w:t>
      </w:r>
      <w:r w:rsidR="009F6EED">
        <w:t xml:space="preserve"> genotype</w:t>
      </w:r>
      <w:r w:rsidRPr="006040DF">
        <w:t xml:space="preserve">1a patients treated with </w:t>
      </w:r>
      <w:r w:rsidR="00237CBE">
        <w:t>3DAA</w:t>
      </w:r>
      <w:r w:rsidRPr="006040DF">
        <w:t xml:space="preserve"> were</w:t>
      </w:r>
      <w:r>
        <w:t xml:space="preserve"> </w:t>
      </w:r>
      <w:r w:rsidR="006A2EA5" w:rsidRPr="00FE5487">
        <w:t>SVR</w:t>
      </w:r>
      <w:r w:rsidR="006A2EA5" w:rsidRPr="006A2EA5">
        <w:rPr>
          <w:vertAlign w:val="subscript"/>
        </w:rPr>
        <w:t>12</w:t>
      </w:r>
      <w:r w:rsidRPr="006040DF">
        <w:t xml:space="preserve"> rates lower than in other groups (90.2%). Only in this sub-group was an additional benefit obtained with the addition of RBV to the treatment regimen.</w:t>
      </w:r>
      <w:r>
        <w:t xml:space="preserve"> </w:t>
      </w:r>
      <w:r w:rsidRPr="006040DF">
        <w:t>However, an</w:t>
      </w:r>
      <w:r>
        <w:t xml:space="preserve"> </w:t>
      </w:r>
      <w:r w:rsidR="006A2EA5" w:rsidRPr="00FE5487">
        <w:t>SVR</w:t>
      </w:r>
      <w:r w:rsidR="006A2EA5" w:rsidRPr="006A2EA5">
        <w:rPr>
          <w:vertAlign w:val="subscript"/>
        </w:rPr>
        <w:t>12</w:t>
      </w:r>
      <w:r w:rsidRPr="006040DF">
        <w:t xml:space="preserve"> rate of </w:t>
      </w:r>
      <w:r w:rsidR="000C3156">
        <w:t xml:space="preserve">&gt; </w:t>
      </w:r>
      <w:r w:rsidR="002D727E">
        <w:t xml:space="preserve">90% is still exceptional and </w:t>
      </w:r>
      <w:r w:rsidR="00237CBE">
        <w:t>3DAA</w:t>
      </w:r>
      <w:r w:rsidRPr="006040DF">
        <w:t xml:space="preserve"> is a valid treatment option for patients intolerant of RBV. The </w:t>
      </w:r>
      <w:r w:rsidR="00237CBE">
        <w:t>3DAA</w:t>
      </w:r>
      <w:r w:rsidRPr="006040DF">
        <w:t xml:space="preserve"> + RBV 12 week regimen was assessed in a single study in compensated cirrhotic patients with</w:t>
      </w:r>
      <w:r w:rsidR="009F6EED">
        <w:t xml:space="preserve"> genotype</w:t>
      </w:r>
      <w:r w:rsidRPr="006040DF">
        <w:t xml:space="preserve">1 infection. SVR is more difficult to achieve in cirrhotic patients so the </w:t>
      </w:r>
      <w:r w:rsidR="00237CBE">
        <w:t>3DAA</w:t>
      </w:r>
      <w:r w:rsidRPr="006040DF">
        <w:t xml:space="preserve"> regimen was not assessed, and the </w:t>
      </w:r>
      <w:r w:rsidR="00237CBE">
        <w:t>3DAA</w:t>
      </w:r>
      <w:r w:rsidRPr="006040DF">
        <w:t xml:space="preserve"> + RBV regimen was given for 24 weeks in cirrhotic prior null responders. Outstanding</w:t>
      </w:r>
      <w:r>
        <w:t xml:space="preserve"> </w:t>
      </w:r>
      <w:r w:rsidR="006A2EA5" w:rsidRPr="00FE5487">
        <w:t>SVR</w:t>
      </w:r>
      <w:r w:rsidR="006A2EA5" w:rsidRPr="006A2EA5">
        <w:rPr>
          <w:vertAlign w:val="subscript"/>
        </w:rPr>
        <w:t>12</w:t>
      </w:r>
      <w:r w:rsidRPr="006040DF">
        <w:t xml:space="preserve"> rates were achieved in cirrhotic patients with</w:t>
      </w:r>
      <w:r w:rsidR="009F6EED">
        <w:t xml:space="preserve"> genotype</w:t>
      </w:r>
      <w:r w:rsidRPr="006040DF">
        <w:t>1b infection (99% overall), and in patients wit</w:t>
      </w:r>
      <w:r>
        <w:t>h</w:t>
      </w:r>
      <w:r w:rsidR="009F6EED">
        <w:t xml:space="preserve"> genotype</w:t>
      </w:r>
      <w:r>
        <w:t>1a infection (91% overall).</w:t>
      </w:r>
    </w:p>
    <w:p w:rsidR="000E72DC" w:rsidRPr="000E72DC" w:rsidRDefault="002D727E" w:rsidP="000E72DC">
      <w:r>
        <w:t>D</w:t>
      </w:r>
      <w:r w:rsidR="00590286">
        <w:t>asabuvir</w:t>
      </w:r>
      <w:r w:rsidR="000E72DC" w:rsidRPr="006040DF">
        <w:t xml:space="preserve"> has insufficient potency against HCV</w:t>
      </w:r>
      <w:r w:rsidR="009F6EED">
        <w:t xml:space="preserve"> genotype</w:t>
      </w:r>
      <w:r w:rsidR="000E72DC" w:rsidRPr="006040DF">
        <w:t xml:space="preserve">4 so a 2-DAA +/- RBV regimen was tested in this group of patients. An interim analysis of an on-going, </w:t>
      </w:r>
      <w:r w:rsidR="000E72DC">
        <w:t>open label</w:t>
      </w:r>
      <w:r w:rsidR="000E72DC" w:rsidRPr="006040DF">
        <w:t>, exploratory study with small patient numbers to date has demonstrated</w:t>
      </w:r>
      <w:r w:rsidR="000E72DC">
        <w:t xml:space="preserve"> </w:t>
      </w:r>
      <w:r w:rsidR="006A2EA5" w:rsidRPr="00FE5487">
        <w:t>SVR</w:t>
      </w:r>
      <w:r w:rsidR="006A2EA5" w:rsidRPr="006A2EA5">
        <w:rPr>
          <w:vertAlign w:val="subscript"/>
        </w:rPr>
        <w:t>12</w:t>
      </w:r>
      <w:r w:rsidR="000E72DC" w:rsidRPr="006040DF">
        <w:t xml:space="preserve"> rates of 100% and 90.9% in the </w:t>
      </w:r>
      <w:r w:rsidR="00237CBE">
        <w:t>3DAA</w:t>
      </w:r>
      <w:r w:rsidR="000E72DC" w:rsidRPr="006040DF">
        <w:t xml:space="preserve"> + RBV and </w:t>
      </w:r>
      <w:r w:rsidR="00237CBE">
        <w:t>3DAA</w:t>
      </w:r>
      <w:r w:rsidR="000E72DC" w:rsidRPr="006040DF">
        <w:t xml:space="preserve"> groups respectively. The data do not merit an indication for use in patients with</w:t>
      </w:r>
      <w:r w:rsidR="009F6EED">
        <w:t xml:space="preserve"> genotype</w:t>
      </w:r>
      <w:r w:rsidR="000E72DC" w:rsidRPr="006040DF">
        <w:t>4 infection but they are strongly encouraging and warrant further studies.</w:t>
      </w:r>
    </w:p>
    <w:p w:rsidR="008E7846" w:rsidRDefault="008E7846" w:rsidP="008E7846">
      <w:pPr>
        <w:pStyle w:val="Heading3"/>
      </w:pPr>
      <w:bookmarkStart w:id="149" w:name="_Toc163441378"/>
      <w:bookmarkStart w:id="150" w:name="_Toc196046495"/>
      <w:bookmarkStart w:id="151" w:name="_Toc247691522"/>
      <w:bookmarkStart w:id="152" w:name="_Toc314842505"/>
      <w:bookmarkStart w:id="153" w:name="_Toc480811585"/>
      <w:bookmarkEnd w:id="145"/>
      <w:bookmarkEnd w:id="146"/>
      <w:bookmarkEnd w:id="147"/>
      <w:bookmarkEnd w:id="148"/>
      <w:r w:rsidRPr="002E238E">
        <w:t>Safety</w:t>
      </w:r>
      <w:bookmarkEnd w:id="149"/>
      <w:bookmarkEnd w:id="150"/>
      <w:bookmarkEnd w:id="151"/>
      <w:bookmarkEnd w:id="152"/>
      <w:bookmarkEnd w:id="153"/>
    </w:p>
    <w:p w:rsidR="002D727E" w:rsidRPr="002D727E" w:rsidRDefault="002D727E" w:rsidP="002D727E">
      <w:r>
        <w:t>For a full evaluation of the safety please see Attachment 2.</w:t>
      </w:r>
    </w:p>
    <w:p w:rsidR="00605AD4" w:rsidRDefault="00605AD4" w:rsidP="00605AD4">
      <w:pPr>
        <w:pStyle w:val="Heading4"/>
      </w:pPr>
      <w:bookmarkStart w:id="154" w:name="_Toc247691524"/>
      <w:bookmarkStart w:id="155" w:name="_Toc314842508"/>
      <w:bookmarkStart w:id="156" w:name="_Toc196046504"/>
      <w:bookmarkStart w:id="157" w:name="_Toc163441390"/>
      <w:r w:rsidRPr="00605AD4">
        <w:t>Studies providing safety data</w:t>
      </w:r>
    </w:p>
    <w:p w:rsidR="00073EE1" w:rsidRPr="00AD1B54" w:rsidRDefault="00073EE1" w:rsidP="00073EE1">
      <w:r w:rsidRPr="00AD1B54">
        <w:t>In the pivotal efficacy studies, the following safety data were collected:</w:t>
      </w:r>
    </w:p>
    <w:p w:rsidR="00073EE1" w:rsidRPr="00073EE1" w:rsidRDefault="008363B5" w:rsidP="00073EE1">
      <w:pPr>
        <w:pStyle w:val="ListBullet"/>
      </w:pPr>
      <w:r>
        <w:t>General AEs</w:t>
      </w:r>
      <w:r w:rsidR="00073EE1" w:rsidRPr="00073EE1">
        <w:t xml:space="preserve"> were assessed, documented and reported in accordance </w:t>
      </w:r>
      <w:r w:rsidR="00073EE1" w:rsidRPr="0083113B">
        <w:t>with ICH GCP and</w:t>
      </w:r>
      <w:r w:rsidR="00073EE1" w:rsidRPr="00073EE1">
        <w:t xml:space="preserve"> classified according to </w:t>
      </w:r>
      <w:r w:rsidR="002D05D0">
        <w:t xml:space="preserve">Medical Dictionary for Regulatory </w:t>
      </w:r>
      <w:r w:rsidR="002D05D0" w:rsidRPr="002D05D0">
        <w:t>Activities (</w:t>
      </w:r>
      <w:r w:rsidR="00073EE1" w:rsidRPr="002D05D0">
        <w:t>MedDRA</w:t>
      </w:r>
      <w:r w:rsidR="002D05D0" w:rsidRPr="002D05D0">
        <w:t>)</w:t>
      </w:r>
      <w:r w:rsidR="007C7771" w:rsidRPr="002D05D0">
        <w:t xml:space="preserve"> criteria</w:t>
      </w:r>
      <w:r w:rsidR="007C7771">
        <w:t>.</w:t>
      </w:r>
    </w:p>
    <w:p w:rsidR="00073EE1" w:rsidRPr="00073EE1" w:rsidRDefault="00073EE1" w:rsidP="00073EE1">
      <w:pPr>
        <w:pStyle w:val="ListBullet"/>
      </w:pPr>
      <w:r w:rsidRPr="00073EE1">
        <w:t>AEs of particular interest included LFT abnormalities, skin rash and anaemia. Hepatic safety was assessed by an independent specialist liver panel.</w:t>
      </w:r>
    </w:p>
    <w:p w:rsidR="00073EE1" w:rsidRPr="00073EE1" w:rsidRDefault="00073EE1" w:rsidP="00073EE1">
      <w:pPr>
        <w:pStyle w:val="ListBullet"/>
      </w:pPr>
      <w:r w:rsidRPr="00073EE1">
        <w:t xml:space="preserve">Laboratory tests, including chemistry, haematology, urinalysis, </w:t>
      </w:r>
      <w:proofErr w:type="gramStart"/>
      <w:r w:rsidRPr="00073EE1">
        <w:t>HCV</w:t>
      </w:r>
      <w:proofErr w:type="gramEnd"/>
      <w:r w:rsidRPr="00073EE1">
        <w:t xml:space="preserve"> RNA and IL28B genotyping were performed by </w:t>
      </w:r>
      <w:r w:rsidR="002D727E">
        <w:t>[information redacted]</w:t>
      </w:r>
      <w:r w:rsidRPr="00073EE1">
        <w:t xml:space="preserve"> at Indianapolis, Geneva and Singapore.</w:t>
      </w:r>
    </w:p>
    <w:p w:rsidR="00073EE1" w:rsidRDefault="00073EE1" w:rsidP="00073EE1">
      <w:pPr>
        <w:pStyle w:val="Heading5"/>
      </w:pPr>
      <w:r w:rsidRPr="00073EE1">
        <w:t>Pivotal studies that assessed safety as a primary outcome</w:t>
      </w:r>
    </w:p>
    <w:p w:rsidR="00073EE1" w:rsidRPr="00073EE1" w:rsidRDefault="00073EE1" w:rsidP="00073EE1">
      <w:r w:rsidRPr="00073EE1">
        <w:t xml:space="preserve">No studies </w:t>
      </w:r>
      <w:r>
        <w:t xml:space="preserve">were </w:t>
      </w:r>
      <w:r w:rsidRPr="00073EE1">
        <w:t>presented.</w:t>
      </w:r>
    </w:p>
    <w:p w:rsidR="00073EE1" w:rsidRDefault="002D727E" w:rsidP="00073EE1">
      <w:pPr>
        <w:pStyle w:val="Heading5"/>
      </w:pPr>
      <w:r>
        <w:t xml:space="preserve">Dose </w:t>
      </w:r>
      <w:r w:rsidR="00073EE1" w:rsidRPr="00AD1B54">
        <w:t>response and non-pivotal efficacy studies</w:t>
      </w:r>
    </w:p>
    <w:p w:rsidR="00073EE1" w:rsidRPr="00AD1B54" w:rsidRDefault="002D727E" w:rsidP="00073EE1">
      <w:pPr>
        <w:pStyle w:val="ListBullet"/>
        <w:numPr>
          <w:ilvl w:val="0"/>
          <w:numId w:val="0"/>
        </w:numPr>
      </w:pPr>
      <w:r>
        <w:t xml:space="preserve">The dose </w:t>
      </w:r>
      <w:r w:rsidR="00073EE1" w:rsidRPr="00AD1B54">
        <w:t>response and non-pivotal efficacy studies provided safety data, assessed and categorised using the same meth</w:t>
      </w:r>
      <w:r w:rsidR="00073EE1">
        <w:t>odology as the pivotal studies.</w:t>
      </w:r>
    </w:p>
    <w:p w:rsidR="00073EE1" w:rsidRDefault="00073EE1" w:rsidP="00073EE1">
      <w:pPr>
        <w:pStyle w:val="Heading5"/>
      </w:pPr>
      <w:r w:rsidRPr="00AD1B54">
        <w:t>Other studies evaluable for safety only</w:t>
      </w:r>
    </w:p>
    <w:p w:rsidR="00073EE1" w:rsidRPr="00073EE1" w:rsidRDefault="00073EE1" w:rsidP="00073EE1">
      <w:pPr>
        <w:pStyle w:val="ListBullet"/>
        <w:numPr>
          <w:ilvl w:val="0"/>
          <w:numId w:val="0"/>
        </w:numPr>
      </w:pPr>
      <w:r w:rsidRPr="00AD1B54">
        <w:t>No studies submitted.</w:t>
      </w:r>
    </w:p>
    <w:p w:rsidR="00605AD4" w:rsidRDefault="00605AD4" w:rsidP="00605AD4">
      <w:pPr>
        <w:pStyle w:val="Heading4"/>
      </w:pPr>
      <w:r w:rsidRPr="00605AD4">
        <w:lastRenderedPageBreak/>
        <w:t>Patient exposure</w:t>
      </w:r>
    </w:p>
    <w:p w:rsidR="00073EE1" w:rsidRPr="00AD1B54" w:rsidRDefault="00073EE1" w:rsidP="00073EE1">
      <w:r w:rsidRPr="00AD1B54">
        <w:t xml:space="preserve">The majority of patients were male (57.3%) with a mean age of 51.6 years. A total of 214 (8.1%) patients were aged </w:t>
      </w:r>
      <w:r w:rsidR="000C3156">
        <w:t xml:space="preserve">≥ </w:t>
      </w:r>
      <w:r w:rsidRPr="00AD1B54">
        <w:t>65 years. The large majority of patients was White (90.5%) and 6.2% were Hispanic or Latino. A total of 2,632 patients with HCV</w:t>
      </w:r>
      <w:r w:rsidR="009F6EED">
        <w:t xml:space="preserve"> genotype</w:t>
      </w:r>
      <w:r w:rsidRPr="00AD1B54">
        <w:t xml:space="preserve">1 infection were exposed to the </w:t>
      </w:r>
      <w:r w:rsidR="00237CBE">
        <w:t>3DAA</w:t>
      </w:r>
      <w:r w:rsidRPr="00AD1B54">
        <w:t xml:space="preserve"> combination, with or without RBV, for up to 24 weeks. A total of 380 patients had compensated cirrhosis. In the All Treated Analysis Set, the median exposure in each treatment group was 84 days with </w:t>
      </w:r>
      <w:r w:rsidR="000C3156">
        <w:t xml:space="preserve">&gt; </w:t>
      </w:r>
      <w:r w:rsidRPr="00AD1B54">
        <w:t>95% of patients exposed for more than 60 days of treatment. A total of 2</w:t>
      </w:r>
      <w:r>
        <w:t>,</w:t>
      </w:r>
      <w:r w:rsidRPr="00AD1B54">
        <w:t xml:space="preserve">044 patients were exposed to </w:t>
      </w:r>
      <w:r w:rsidR="00237CBE">
        <w:t>3DAA</w:t>
      </w:r>
      <w:r w:rsidRPr="00AD1B54">
        <w:t xml:space="preserve"> + RBV for 511.4 </w:t>
      </w:r>
      <w:r w:rsidRPr="0083113B">
        <w:t>patient-years (PY), and</w:t>
      </w:r>
      <w:r w:rsidRPr="00AD1B54">
        <w:t xml:space="preserve"> 588 patients were exposed to </w:t>
      </w:r>
      <w:r w:rsidR="00237CBE">
        <w:t>3DAA</w:t>
      </w:r>
      <w:r w:rsidRPr="00AD1B54">
        <w:t xml:space="preserve"> for 134.4 PY. Exposure in the All Treated Analysis Set was 586.2 PY in Whites, 41.8 PY in Hispanics or Latinos, 41.7 PY in Blacks, and 10.7 PY in Asians. Exposure in patients with compe</w:t>
      </w:r>
      <w:r>
        <w:t>nsated cirrhosis was 124.94 PY.</w:t>
      </w:r>
    </w:p>
    <w:p w:rsidR="00073EE1" w:rsidRPr="00AD1B54" w:rsidRDefault="00073EE1" w:rsidP="00073EE1">
      <w:pPr>
        <w:pStyle w:val="Comment"/>
      </w:pPr>
      <w:r w:rsidRPr="00AD1B54">
        <w:rPr>
          <w:b/>
        </w:rPr>
        <w:t>Comment:</w:t>
      </w:r>
      <w:r>
        <w:t xml:space="preserve"> </w:t>
      </w:r>
      <w:r w:rsidRPr="00AD1B54">
        <w:t>Further studies in Asian populations are in progress.</w:t>
      </w:r>
    </w:p>
    <w:p w:rsidR="00073EE1" w:rsidRPr="00AD1B54" w:rsidRDefault="00073EE1" w:rsidP="00073EE1">
      <w:r w:rsidRPr="00AD1B54">
        <w:t xml:space="preserve">However, following co-administration of </w:t>
      </w:r>
      <w:r w:rsidR="00590286">
        <w:t>ombitasvir</w:t>
      </w:r>
      <w:r w:rsidRPr="00AD1B54">
        <w:t xml:space="preserve"> 25 mg </w:t>
      </w:r>
      <w:r w:rsidRPr="0083113B">
        <w:t>QD HME,</w:t>
      </w:r>
      <w:r w:rsidRPr="00AD1B54">
        <w:t xml:space="preserve"> </w:t>
      </w:r>
      <w:r w:rsidR="00F573D0">
        <w:t>paritaprevir</w:t>
      </w:r>
      <w:r w:rsidRPr="00AD1B54">
        <w:t>/</w:t>
      </w:r>
      <w:r w:rsidR="002D727E">
        <w:t>ritonavir</w:t>
      </w:r>
      <w:r w:rsidRPr="00AD1B54">
        <w:t xml:space="preserve"> 150/100 mg QD, and </w:t>
      </w:r>
      <w:r w:rsidR="00590286">
        <w:t>dasabuvir</w:t>
      </w:r>
      <w:r w:rsidRPr="00AD1B54">
        <w:t xml:space="preserve"> 400 mg </w:t>
      </w:r>
      <w:r>
        <w:t>BD</w:t>
      </w:r>
      <w:r w:rsidRPr="00AD1B54">
        <w:t xml:space="preserve"> for 21 days to healthy Han Chinese, Japanese and Caucasian subjects, Study M12-221 indicated that relative to the values in Caucasians, the </w:t>
      </w:r>
      <w:r w:rsidR="00F573D0">
        <w:t>paritaprevir</w:t>
      </w:r>
      <w:r w:rsidRPr="00AD1B54">
        <w:t xml:space="preserve"> </w:t>
      </w:r>
      <w:r w:rsidRPr="00802635">
        <w:t>AUC</w:t>
      </w:r>
      <w:r w:rsidRPr="00B80924">
        <w:rPr>
          <w:vertAlign w:val="subscript"/>
        </w:rPr>
        <w:t>24</w:t>
      </w:r>
      <w:r>
        <w:t xml:space="preserve"> values were 2.47</w:t>
      </w:r>
      <w:r w:rsidRPr="00AD1B54">
        <w:t xml:space="preserve"> and 2.91</w:t>
      </w:r>
      <w:r>
        <w:t xml:space="preserve"> fold</w:t>
      </w:r>
      <w:r w:rsidRPr="00AD1B54">
        <w:t xml:space="preserve"> higher in Han Chinese and Japanese subj</w:t>
      </w:r>
      <w:r>
        <w:t xml:space="preserve">ects, respectively, and the </w:t>
      </w:r>
      <w:r w:rsidR="00590286">
        <w:t>dasabuvir</w:t>
      </w:r>
      <w:r w:rsidRPr="00AD1B54">
        <w:t xml:space="preserve"> M1 AUC values were 1.3</w:t>
      </w:r>
      <w:r>
        <w:t xml:space="preserve">5 </w:t>
      </w:r>
      <w:r w:rsidRPr="00AD1B54">
        <w:t>and 1.50</w:t>
      </w:r>
      <w:r>
        <w:t xml:space="preserve"> fold</w:t>
      </w:r>
      <w:r w:rsidRPr="00AD1B54">
        <w:t xml:space="preserve"> higher in Han Chinese and Japanese subjects, respectively. For the other components of </w:t>
      </w:r>
      <w:r w:rsidR="00167A1A">
        <w:t>Viekira Pak</w:t>
      </w:r>
      <w:r w:rsidRPr="00AD1B54">
        <w:t xml:space="preserve"> changes in AUC were less than 1.3</w:t>
      </w:r>
      <w:r>
        <w:t xml:space="preserve"> fold between the 3 groups.</w:t>
      </w:r>
    </w:p>
    <w:p w:rsidR="00073EE1" w:rsidRPr="00073EE1" w:rsidRDefault="00073EE1" w:rsidP="00073EE1">
      <w:r w:rsidRPr="00AD1B54">
        <w:t xml:space="preserve">In </w:t>
      </w:r>
      <w:r w:rsidRPr="004A74CB">
        <w:t xml:space="preserve">addition, Study RD 13-1098 PPK identified that the ritonavir </w:t>
      </w:r>
      <w:r w:rsidR="004A74CB" w:rsidRPr="004A74CB">
        <w:t>trough plasma concentration (</w:t>
      </w:r>
      <w:r w:rsidRPr="004A74CB">
        <w:t>Cτ</w:t>
      </w:r>
      <w:proofErr w:type="gramStart"/>
      <w:r w:rsidRPr="004A74CB">
        <w:t>,ss</w:t>
      </w:r>
      <w:proofErr w:type="gramEnd"/>
      <w:r w:rsidR="004A74CB" w:rsidRPr="004A74CB">
        <w:t>)</w:t>
      </w:r>
      <w:r w:rsidRPr="004A74CB">
        <w:t xml:space="preserve"> in HCV genotype</w:t>
      </w:r>
      <w:r w:rsidRPr="00AD1B54">
        <w:t xml:space="preserve"> 1 infected subjects of Hispanic/Latino ethnicity was approximately 156% higher than in non-Hispanic/Latino patients.</w:t>
      </w:r>
    </w:p>
    <w:p w:rsidR="00605AD4" w:rsidRDefault="00605AD4" w:rsidP="00605AD4">
      <w:pPr>
        <w:pStyle w:val="Heading4"/>
      </w:pPr>
      <w:r w:rsidRPr="00605AD4">
        <w:t>Safety issues with the potential for major regulatory impact</w:t>
      </w:r>
    </w:p>
    <w:p w:rsidR="00073EE1" w:rsidRDefault="00073EE1" w:rsidP="00073EE1">
      <w:r>
        <w:t>For a full evaluation of the safety please see Attachment 2.</w:t>
      </w:r>
    </w:p>
    <w:p w:rsidR="00073EE1" w:rsidRPr="002A50B1" w:rsidRDefault="00073EE1" w:rsidP="00073EE1">
      <w:pPr>
        <w:pStyle w:val="Heading5"/>
      </w:pPr>
      <w:bookmarkStart w:id="158" w:name="_Toc272414681"/>
      <w:bookmarkStart w:id="159" w:name="_Toc290888545"/>
      <w:bookmarkStart w:id="160" w:name="_Toc416356526"/>
      <w:r w:rsidRPr="002A50B1">
        <w:t>Liver toxicity</w:t>
      </w:r>
      <w:bookmarkEnd w:id="158"/>
      <w:bookmarkEnd w:id="159"/>
      <w:bookmarkEnd w:id="160"/>
    </w:p>
    <w:p w:rsidR="00073EE1" w:rsidRDefault="00073EE1" w:rsidP="00073EE1">
      <w:r w:rsidRPr="002A50B1">
        <w:t>No major issues were identified with the exception of a potential interact</w:t>
      </w:r>
      <w:r w:rsidR="002D727E">
        <w:t xml:space="preserve">ion between </w:t>
      </w:r>
      <w:r w:rsidR="00237CBE">
        <w:t>3DAA</w:t>
      </w:r>
      <w:r>
        <w:t xml:space="preserve"> and oestrogen </w:t>
      </w:r>
      <w:r w:rsidRPr="002A50B1">
        <w:t>containing medications.</w:t>
      </w:r>
    </w:p>
    <w:p w:rsidR="00073EE1" w:rsidRPr="002A50B1" w:rsidRDefault="00073EE1" w:rsidP="00073EE1">
      <w:pPr>
        <w:pStyle w:val="Heading5"/>
      </w:pPr>
      <w:bookmarkStart w:id="161" w:name="_Toc272414682"/>
      <w:bookmarkStart w:id="162" w:name="_Toc290888546"/>
      <w:bookmarkStart w:id="163" w:name="_Toc416356527"/>
      <w:r w:rsidRPr="002A50B1">
        <w:t>Haematological toxicity</w:t>
      </w:r>
      <w:bookmarkEnd w:id="161"/>
      <w:bookmarkEnd w:id="162"/>
      <w:bookmarkEnd w:id="163"/>
    </w:p>
    <w:p w:rsidR="00073EE1" w:rsidRPr="002A50B1" w:rsidRDefault="00073EE1" w:rsidP="00073EE1">
      <w:r w:rsidRPr="002A50B1">
        <w:t xml:space="preserve">The known association of RBV with anaemia was confirmed but no issues related to </w:t>
      </w:r>
      <w:r w:rsidR="00237CBE">
        <w:t>3DAA</w:t>
      </w:r>
      <w:r w:rsidRPr="002A50B1">
        <w:t xml:space="preserve"> were identified.</w:t>
      </w:r>
    </w:p>
    <w:p w:rsidR="00073EE1" w:rsidRPr="002A50B1" w:rsidRDefault="00073EE1" w:rsidP="00073EE1">
      <w:pPr>
        <w:pStyle w:val="Heading5"/>
      </w:pPr>
      <w:bookmarkStart w:id="164" w:name="_Toc241374324"/>
      <w:bookmarkStart w:id="165" w:name="_Ref272331214"/>
      <w:bookmarkStart w:id="166" w:name="_Toc272414688"/>
      <w:bookmarkStart w:id="167" w:name="_Toc290888552"/>
      <w:bookmarkStart w:id="168" w:name="_Toc416356533"/>
      <w:r w:rsidRPr="002A50B1">
        <w:t>Safety related to drug-drug interactions and other interactions</w:t>
      </w:r>
      <w:bookmarkEnd w:id="164"/>
      <w:bookmarkEnd w:id="165"/>
      <w:bookmarkEnd w:id="166"/>
      <w:bookmarkEnd w:id="167"/>
      <w:bookmarkEnd w:id="168"/>
    </w:p>
    <w:p w:rsidR="00073EE1" w:rsidRPr="002A50B1" w:rsidRDefault="00073EE1" w:rsidP="00073EE1">
      <w:r w:rsidRPr="002A50B1">
        <w:t xml:space="preserve">The sponsor has provided an extensive examination of the possible drug-drug interactions for </w:t>
      </w:r>
      <w:r w:rsidR="002D727E">
        <w:t xml:space="preserve">Viekira </w:t>
      </w:r>
      <w:r>
        <w:t>Pak</w:t>
      </w:r>
      <w:r w:rsidRPr="002A50B1">
        <w:t xml:space="preserve"> in healthy subjects. Studies have examine</w:t>
      </w:r>
      <w:r w:rsidR="002D727E">
        <w:t xml:space="preserve">d the interaction of the </w:t>
      </w:r>
      <w:r w:rsidR="00237CBE">
        <w:t>3DAA</w:t>
      </w:r>
      <w:r w:rsidRPr="002A50B1">
        <w:t>s with: inhibitors of CYP2C8, CYP3A4 and P-gp; other drugs that are substrates for CYP1A1, CYP1A2, CYP2C8, CYP2C9, CYP2C18, CYP2C19, CYP3A4, CYP3A5, P-gp and OATP1B1/B3; and an inducer of CYP3A. In addition, the interaction be</w:t>
      </w:r>
      <w:r w:rsidR="002D727E">
        <w:t xml:space="preserve">tween the </w:t>
      </w:r>
      <w:r w:rsidR="00237CBE">
        <w:t>3DAA</w:t>
      </w:r>
      <w:r w:rsidRPr="002A50B1">
        <w:t xml:space="preserve">s and: other </w:t>
      </w:r>
      <w:r w:rsidR="00772535">
        <w:t>antiviral</w:t>
      </w:r>
      <w:r w:rsidRPr="002A50B1">
        <w:t xml:space="preserve"> drugs; </w:t>
      </w:r>
      <w:r>
        <w:t xml:space="preserve">commonly co-administered immune </w:t>
      </w:r>
      <w:r w:rsidR="002D727E">
        <w:t>suppressants; commonly co</w:t>
      </w:r>
      <w:r w:rsidR="002D727E">
        <w:noBreakHyphen/>
      </w:r>
      <w:r w:rsidRPr="002A50B1">
        <w:t xml:space="preserve">administered opioid substitutions; and commonly co-administered </w:t>
      </w:r>
      <w:r>
        <w:t>drugs; have also been examined.</w:t>
      </w:r>
    </w:p>
    <w:p w:rsidR="00073EE1" w:rsidRPr="002A50B1" w:rsidRDefault="00073EE1" w:rsidP="00073EE1">
      <w:r w:rsidRPr="002A50B1">
        <w:t xml:space="preserve">As identified in the dose selection section of this report there is evidence to suggest that co-administration of drugs that increase the proposed level of </w:t>
      </w:r>
      <w:r w:rsidR="00F573D0">
        <w:t>paritaprevir</w:t>
      </w:r>
      <w:r w:rsidRPr="002A50B1">
        <w:t xml:space="preserve"> exposure by 1.</w:t>
      </w:r>
      <w:r>
        <w:t>5 fold</w:t>
      </w:r>
      <w:r w:rsidRPr="002A50B1">
        <w:t xml:space="preserve"> or greater may result in elevations in ALT and drugs that induce a 2</w:t>
      </w:r>
      <w:r>
        <w:t xml:space="preserve"> fold</w:t>
      </w:r>
      <w:r w:rsidRPr="002A50B1">
        <w:t xml:space="preserve"> increase </w:t>
      </w:r>
      <w:r w:rsidR="00590286">
        <w:t>dasabuvir</w:t>
      </w:r>
      <w:r w:rsidRPr="002A50B1">
        <w:t xml:space="preserve"> exposure may decrease </w:t>
      </w:r>
      <w:r w:rsidRPr="009E2121">
        <w:t>Hgb a</w:t>
      </w:r>
      <w:r w:rsidRPr="005B62C5">
        <w:t>nd</w:t>
      </w:r>
      <w:r w:rsidRPr="002A50B1">
        <w:t xml:space="preserve"> increase the risk </w:t>
      </w:r>
      <w:r w:rsidRPr="0083113B">
        <w:t>to QTc</w:t>
      </w:r>
      <w:r w:rsidRPr="002A50B1">
        <w:t xml:space="preserve"> elongation; whereas, drugs that induce a large increase in </w:t>
      </w:r>
      <w:r w:rsidR="00590286">
        <w:t>ombitasvir</w:t>
      </w:r>
      <w:r>
        <w:t xml:space="preserve"> exposure (approximately 8 </w:t>
      </w:r>
      <w:r w:rsidRPr="002A50B1">
        <w:t xml:space="preserve">fold) may result in reduced </w:t>
      </w:r>
      <w:r w:rsidR="00F573D0">
        <w:t>paritaprevir</w:t>
      </w:r>
      <w:r w:rsidRPr="002A50B1">
        <w:t xml:space="preserve"> exposure. By contrast, co-administered drugs that lower </w:t>
      </w:r>
      <w:r w:rsidR="002D727E">
        <w:t xml:space="preserve">the </w:t>
      </w:r>
      <w:r w:rsidR="002D727E">
        <w:lastRenderedPageBreak/>
        <w:t xml:space="preserve">levels of exposure to the </w:t>
      </w:r>
      <w:r w:rsidR="00237CBE">
        <w:t>3DAA</w:t>
      </w:r>
      <w:r w:rsidRPr="002A50B1">
        <w:t>s may result in increased resistan</w:t>
      </w:r>
      <w:r>
        <w:t>ce and lower efficacy for HCV1.</w:t>
      </w:r>
    </w:p>
    <w:p w:rsidR="00073EE1" w:rsidRPr="002A50B1" w:rsidRDefault="00073EE1" w:rsidP="00073EE1">
      <w:r w:rsidRPr="002A50B1">
        <w:t xml:space="preserve">The principle DDIs in regards to safety were therefore the interactions between: </w:t>
      </w:r>
      <w:r w:rsidR="00F573D0">
        <w:t>paritaprevir</w:t>
      </w:r>
      <w:r w:rsidRPr="002A50B1">
        <w:t xml:space="preserve"> and ketoconazole, rosuvastatin, LPV/</w:t>
      </w:r>
      <w:r w:rsidR="007C7771">
        <w:t>ritonavir</w:t>
      </w:r>
      <w:r w:rsidRPr="004A74D1">
        <w:t>, CsA or atazanavir</w:t>
      </w:r>
      <w:r w:rsidRPr="002A50B1">
        <w:t xml:space="preserve">, which resulted in </w:t>
      </w:r>
      <w:r w:rsidR="00F573D0">
        <w:t>paritaprevir</w:t>
      </w:r>
      <w:r>
        <w:t xml:space="preserve"> AUC increases of 1.98, 1.52</w:t>
      </w:r>
      <w:r w:rsidRPr="002A50B1">
        <w:t>, 2.</w:t>
      </w:r>
      <w:r>
        <w:t>17, 1.72</w:t>
      </w:r>
      <w:r w:rsidRPr="002A50B1">
        <w:t xml:space="preserve"> and 1.9</w:t>
      </w:r>
      <w:r>
        <w:t>4 fold</w:t>
      </w:r>
      <w:r w:rsidRPr="002A50B1">
        <w:t>, respectively, and with carbamazepine, which induced a 3.</w:t>
      </w:r>
      <w:r>
        <w:t>4 fold</w:t>
      </w:r>
      <w:r w:rsidRPr="002A50B1">
        <w:t xml:space="preserve"> decrease in </w:t>
      </w:r>
      <w:r w:rsidR="00F573D0">
        <w:t>paritaprevir</w:t>
      </w:r>
      <w:r w:rsidRPr="002A50B1">
        <w:t xml:space="preserve"> AUC; and the interactions between </w:t>
      </w:r>
      <w:r w:rsidR="00590286">
        <w:t>dasabuvir</w:t>
      </w:r>
      <w:r w:rsidRPr="002A50B1">
        <w:t xml:space="preserve"> and gemfibrozil, which increased </w:t>
      </w:r>
      <w:r w:rsidR="00590286">
        <w:t>dasabuvir</w:t>
      </w:r>
      <w:r w:rsidRPr="002A50B1">
        <w:t xml:space="preserve"> AUC by 11.2</w:t>
      </w:r>
      <w:r w:rsidR="002D727E">
        <w:t>5 </w:t>
      </w:r>
      <w:r>
        <w:t>fold</w:t>
      </w:r>
      <w:r w:rsidRPr="002A50B1">
        <w:t>, and carbamaze</w:t>
      </w:r>
      <w:r>
        <w:t xml:space="preserve">pine or COC which decreased </w:t>
      </w:r>
      <w:r w:rsidR="00590286">
        <w:t>dasabuvir</w:t>
      </w:r>
      <w:r>
        <w:t xml:space="preserve"> AUC by 3.3</w:t>
      </w:r>
      <w:r w:rsidRPr="002A50B1">
        <w:t xml:space="preserve"> and 2.08</w:t>
      </w:r>
      <w:r w:rsidR="007C7771">
        <w:t> </w:t>
      </w:r>
      <w:r>
        <w:t>fold</w:t>
      </w:r>
      <w:r w:rsidRPr="002A50B1">
        <w:t>, respectively. Finally, co-admin</w:t>
      </w:r>
      <w:r>
        <w:t xml:space="preserve">istration of Atripla with the </w:t>
      </w:r>
      <w:r w:rsidR="00237CBE">
        <w:t>3DAA</w:t>
      </w:r>
      <w:r w:rsidRPr="002A50B1">
        <w:t>s + ritonavir resulted in a large number of AEs, indicating that the 2 combination therapies should not be co-administered.</w:t>
      </w:r>
    </w:p>
    <w:p w:rsidR="00605AD4" w:rsidRDefault="00605AD4" w:rsidP="00605AD4">
      <w:pPr>
        <w:pStyle w:val="Heading4"/>
      </w:pPr>
      <w:r w:rsidRPr="00605AD4">
        <w:t>Post</w:t>
      </w:r>
      <w:r w:rsidR="0083113B">
        <w:t>-</w:t>
      </w:r>
      <w:r w:rsidRPr="00605AD4">
        <w:t>marketing data</w:t>
      </w:r>
    </w:p>
    <w:p w:rsidR="00073EE1" w:rsidRPr="002A50B1" w:rsidRDefault="00073EE1" w:rsidP="00073EE1">
      <w:r w:rsidRPr="002A50B1">
        <w:t>Not applicable. This is a new drug application.</w:t>
      </w:r>
    </w:p>
    <w:p w:rsidR="00605AD4" w:rsidRPr="00605AD4" w:rsidRDefault="00605AD4" w:rsidP="00605AD4">
      <w:pPr>
        <w:pStyle w:val="Heading4"/>
      </w:pPr>
      <w:r w:rsidRPr="00605AD4">
        <w:t>Evaluator’s conclusions on safety</w:t>
      </w:r>
    </w:p>
    <w:p w:rsidR="00073EE1" w:rsidRPr="002A50B1" w:rsidRDefault="00073EE1" w:rsidP="00073EE1">
      <w:r w:rsidRPr="002A50B1">
        <w:t>The rationale for the development of this novel combination product is sound as viral resistance to the individual components is inevitable. However, assessment of safety and tolerability raises some unique issues as it is a fixed dose combination of three new chemical entities.</w:t>
      </w:r>
      <w:r>
        <w:t xml:space="preserve"> </w:t>
      </w:r>
      <w:r w:rsidRPr="002A50B1">
        <w:t xml:space="preserve">Safety related to the individual components relies heavily on pre-clinical data, and limited data from </w:t>
      </w:r>
      <w:r>
        <w:t>Phase I and II</w:t>
      </w:r>
      <w:r w:rsidRPr="002A50B1">
        <w:t xml:space="preserve"> studies in healthy subjects and patients. It also relies on the premise that the safety of the individual components can be assumed if the combination is shown to be safe. This assumption can be validly ma</w:t>
      </w:r>
      <w:r>
        <w:t>de based on the data presented.</w:t>
      </w:r>
    </w:p>
    <w:p w:rsidR="00073EE1" w:rsidRPr="002A50B1" w:rsidRDefault="00073EE1" w:rsidP="00073EE1">
      <w:r w:rsidRPr="002A50B1">
        <w:t xml:space="preserve">The safety of the </w:t>
      </w:r>
      <w:r w:rsidR="00237CBE">
        <w:t>3DAA</w:t>
      </w:r>
      <w:r w:rsidRPr="002A50B1">
        <w:t xml:space="preserve"> combination has been assessed in </w:t>
      </w:r>
      <w:r>
        <w:t>treatment naïve</w:t>
      </w:r>
      <w:r w:rsidRPr="002A50B1">
        <w:t xml:space="preserve"> and </w:t>
      </w:r>
      <w:r>
        <w:t>treatment experienced</w:t>
      </w:r>
      <w:r w:rsidRPr="002A50B1">
        <w:t xml:space="preserve"> patients with HCV</w:t>
      </w:r>
      <w:r w:rsidR="009F6EED">
        <w:t xml:space="preserve"> genotype</w:t>
      </w:r>
      <w:r w:rsidRPr="002A50B1">
        <w:t>1a and</w:t>
      </w:r>
      <w:r w:rsidR="009F6EED">
        <w:t xml:space="preserve"> genotype</w:t>
      </w:r>
      <w:r w:rsidRPr="002A50B1">
        <w:t xml:space="preserve">1b infection, with and without compensated cirrhosis. The safety of the </w:t>
      </w:r>
      <w:r w:rsidR="00237CBE">
        <w:t>3DAA</w:t>
      </w:r>
      <w:r w:rsidRPr="002A50B1">
        <w:t xml:space="preserve"> + RBV combination was compared with placebo in the two pivotal studies, M11-646 and M13-098. The frequency of AEs was significantly higher in the active group compared with placebo although the pattern of AEs was comparable with the known AE profile of RBV.</w:t>
      </w:r>
      <w:r>
        <w:t xml:space="preserve"> </w:t>
      </w:r>
      <w:r w:rsidRPr="002A50B1">
        <w:t xml:space="preserve">The safety of the </w:t>
      </w:r>
      <w:r w:rsidR="00237CBE">
        <w:t>3DAA</w:t>
      </w:r>
      <w:r w:rsidRPr="002A50B1">
        <w:t xml:space="preserve"> + RBV and </w:t>
      </w:r>
      <w:r w:rsidR="00237CBE">
        <w:t>3DAA</w:t>
      </w:r>
      <w:r w:rsidRPr="002A50B1">
        <w:t xml:space="preserve"> combinations was compared in three pivotal studies, M13-389, M13-961 and </w:t>
      </w:r>
      <w:r>
        <w:t>M14-002</w:t>
      </w:r>
      <w:r w:rsidRPr="002A50B1">
        <w:t xml:space="preserve">. All AE categories were reported more frequently in the </w:t>
      </w:r>
      <w:r w:rsidR="00237CBE">
        <w:t>3DAA</w:t>
      </w:r>
      <w:r w:rsidRPr="002A50B1">
        <w:t xml:space="preserve"> + RBV group compared with the </w:t>
      </w:r>
      <w:r w:rsidR="00237CBE">
        <w:t>3DAA</w:t>
      </w:r>
      <w:r w:rsidRPr="002A50B1">
        <w:t xml:space="preserve"> group. Although the data were generated from different studies, the frequency of AEs in the </w:t>
      </w:r>
      <w:r w:rsidR="00237CBE">
        <w:t>3DAA</w:t>
      </w:r>
      <w:r w:rsidRPr="002A50B1">
        <w:t xml:space="preserve"> and the placebo groups were comparable. In all studies, most AEs were of mild to moderate intensity. The frequency of Grade 3 or 4 ADRs and SAEs was low and none of the three deaths was considered to be drug related. Study drug compliance was high and discontinuations due to AEs occurred in only 1% of patients, confirming the tolerability of the combinations</w:t>
      </w:r>
      <w:r>
        <w:t>.</w:t>
      </w:r>
    </w:p>
    <w:p w:rsidR="00073EE1" w:rsidRPr="002A50B1" w:rsidRDefault="00073EE1" w:rsidP="00073EE1">
      <w:r w:rsidRPr="002A50B1">
        <w:t xml:space="preserve">In the </w:t>
      </w:r>
      <w:r>
        <w:t>placebo controlled</w:t>
      </w:r>
      <w:r w:rsidRPr="002A50B1">
        <w:t xml:space="preserve"> studies, the most common </w:t>
      </w:r>
      <w:r w:rsidR="0083113B">
        <w:t xml:space="preserve">adverse drug </w:t>
      </w:r>
      <w:r w:rsidR="0083113B" w:rsidRPr="00C551AA">
        <w:t>reactions (ADRs)</w:t>
      </w:r>
      <w:r w:rsidRPr="002A50B1">
        <w:t xml:space="preserve"> were pruritus, fatigue, nausea, asthenia, insomnia and anaemia, all of which </w:t>
      </w:r>
      <w:r w:rsidR="002D727E">
        <w:t xml:space="preserve">occurred more commonly in the </w:t>
      </w:r>
      <w:r w:rsidR="00237CBE">
        <w:t>3DAA</w:t>
      </w:r>
      <w:r w:rsidR="002D727E">
        <w:t> + </w:t>
      </w:r>
      <w:r>
        <w:t xml:space="preserve">RBV group. In the regimen </w:t>
      </w:r>
      <w:r w:rsidRPr="002A50B1">
        <w:t xml:space="preserve">controlled studies, the same ADRs also occurred more commonly in the </w:t>
      </w:r>
      <w:r w:rsidR="00237CBE">
        <w:t>3DAA</w:t>
      </w:r>
      <w:r>
        <w:t> + RBV</w:t>
      </w:r>
      <w:r w:rsidRPr="002A50B1">
        <w:t xml:space="preserve"> group compared with the </w:t>
      </w:r>
      <w:r w:rsidR="00237CBE">
        <w:t>3DAA</w:t>
      </w:r>
      <w:r w:rsidRPr="002A50B1">
        <w:t xml:space="preserve"> group. However, ADRs in the placebo group (of the </w:t>
      </w:r>
      <w:r>
        <w:t>placebo controlled</w:t>
      </w:r>
      <w:r w:rsidRPr="002A50B1">
        <w:t xml:space="preserve"> studies) were each reported more frequently than in </w:t>
      </w:r>
      <w:r>
        <w:t xml:space="preserve">the </w:t>
      </w:r>
      <w:r w:rsidR="00237CBE">
        <w:t>3DAA</w:t>
      </w:r>
      <w:r>
        <w:t xml:space="preserve"> group (of the regimen </w:t>
      </w:r>
      <w:r w:rsidRPr="002A50B1">
        <w:t>controlled studies).</w:t>
      </w:r>
      <w:r>
        <w:t xml:space="preserve"> </w:t>
      </w:r>
      <w:r w:rsidRPr="002A50B1">
        <w:t xml:space="preserve">The only exception was pruritus which was reported in 4.3% and 6.1% of the respective groups. With the benefit of hindsight, it is regrettable that there are no direct comparisons of </w:t>
      </w:r>
      <w:r w:rsidR="00237CBE">
        <w:t>3DAA</w:t>
      </w:r>
      <w:r w:rsidRPr="002A50B1">
        <w:t xml:space="preserve"> and placebo in a </w:t>
      </w:r>
      <w:r>
        <w:t>Phase III</w:t>
      </w:r>
      <w:r w:rsidRPr="002A50B1">
        <w:t xml:space="preserve"> study. Safety and tolerability were comparable in all patient sub-groups. Only 8% of patients were aged </w:t>
      </w:r>
      <w:r w:rsidR="000C3156">
        <w:t xml:space="preserve">&gt; </w:t>
      </w:r>
      <w:r w:rsidRPr="002A50B1">
        <w:t>65 years but the frequency of ADRs was similar to the younger population. Most patients were Caucasian and further studies in Asian populations are required. An exploratory study of 2-DAA + RBV in patients with</w:t>
      </w:r>
      <w:r w:rsidR="009F6EED">
        <w:t xml:space="preserve"> </w:t>
      </w:r>
      <w:r w:rsidR="009F6EED">
        <w:lastRenderedPageBreak/>
        <w:t>genotype</w:t>
      </w:r>
      <w:r w:rsidRPr="002A50B1">
        <w:t>4 infection was also well tolerated and the data add weight to the overall safety pr</w:t>
      </w:r>
      <w:r>
        <w:t xml:space="preserve">ofile of the </w:t>
      </w:r>
      <w:r w:rsidR="00237CBE">
        <w:t>3DAA</w:t>
      </w:r>
      <w:r>
        <w:t xml:space="preserve"> combination.</w:t>
      </w:r>
    </w:p>
    <w:p w:rsidR="00605AD4" w:rsidRPr="00605AD4" w:rsidRDefault="00073EE1" w:rsidP="00605AD4">
      <w:r w:rsidRPr="002A50B1">
        <w:t xml:space="preserve">AEs of special interest based on approved HCV therapies including </w:t>
      </w:r>
      <w:r>
        <w:t>pegIFN</w:t>
      </w:r>
      <w:r w:rsidRPr="002A50B1">
        <w:t xml:space="preserve">/RBV and DAAs were also assessed. In the </w:t>
      </w:r>
      <w:r>
        <w:t>placebo controlled</w:t>
      </w:r>
      <w:r w:rsidRPr="002A50B1">
        <w:t xml:space="preserve"> and regimen</w:t>
      </w:r>
      <w:r>
        <w:t xml:space="preserve"> </w:t>
      </w:r>
      <w:r w:rsidRPr="002A50B1">
        <w:t xml:space="preserve">controlled studies, anaemia AEs were reported in 5.3% to 7.5% of the </w:t>
      </w:r>
      <w:r w:rsidR="00237CBE">
        <w:t>3DAA</w:t>
      </w:r>
      <w:r w:rsidRPr="002A50B1">
        <w:t xml:space="preserve"> + RBV groups, compared</w:t>
      </w:r>
      <w:r>
        <w:t xml:space="preserve"> with only one patient in the </w:t>
      </w:r>
      <w:r w:rsidR="00237CBE">
        <w:t>3DAA</w:t>
      </w:r>
      <w:r w:rsidRPr="002A50B1">
        <w:t xml:space="preserve"> group and no patients in the placebo group. The results suggest that anaemia (and hyperbilirubinaemia) related to the </w:t>
      </w:r>
      <w:r w:rsidR="00237CBE">
        <w:t>3DAA</w:t>
      </w:r>
      <w:r w:rsidRPr="002A50B1">
        <w:t xml:space="preserve"> + RBV combination can be attributed exclusively to the haemolytic anaemia associated with RBV. There was a prompt improvement in LFTs in all active treatment groups indicating a reduction in liver inflammation due to suppression of viral replication. There were transient marked elevations in ALT in </w:t>
      </w:r>
      <w:r>
        <w:t xml:space="preserve">approximately </w:t>
      </w:r>
      <w:r w:rsidRPr="002A50B1">
        <w:t xml:space="preserve">1% of patients, most often during the first two weeks of treatment. However, there were no associated bilirubin elevations </w:t>
      </w:r>
      <w:r w:rsidR="00202E0D">
        <w:t>and the abnormalities were self-</w:t>
      </w:r>
      <w:r w:rsidR="00202E0D" w:rsidRPr="002A50B1">
        <w:t>limiting</w:t>
      </w:r>
      <w:r w:rsidRPr="002A50B1">
        <w:t xml:space="preserve">. With the exception of pruritus, the frequency of skin AEs in the active treatment groups was comparable to placebo. Most rashes were mild or moderate in severity and there were no cases of the serious reactions seen with DAAs such as telaprevir. No studies have directly compared the safety profiles of the </w:t>
      </w:r>
      <w:r w:rsidR="00237CBE">
        <w:t>3DAA</w:t>
      </w:r>
      <w:r w:rsidRPr="002A50B1">
        <w:t xml:space="preserve"> with </w:t>
      </w:r>
      <w:r>
        <w:t>pegIFN</w:t>
      </w:r>
      <w:r w:rsidRPr="002A50B1">
        <w:t xml:space="preserve">/RBV or other DAAs. However, the overall safety profile of </w:t>
      </w:r>
      <w:r w:rsidR="00237CBE">
        <w:t>3DAA</w:t>
      </w:r>
      <w:r w:rsidRPr="002A50B1">
        <w:t xml:space="preserve"> with or without RBV is clearly superior to any other approved </w:t>
      </w:r>
      <w:r>
        <w:t>pegIFN</w:t>
      </w:r>
      <w:r w:rsidRPr="002A50B1">
        <w:t xml:space="preserve">/RBV or DAA + </w:t>
      </w:r>
      <w:r>
        <w:t>pegIFN</w:t>
      </w:r>
      <w:r w:rsidRPr="002A50B1">
        <w:t>/RBV combination therapy.</w:t>
      </w:r>
    </w:p>
    <w:p w:rsidR="00605AD4" w:rsidRPr="00605AD4" w:rsidRDefault="00605AD4" w:rsidP="00605AD4">
      <w:pPr>
        <w:pStyle w:val="Heading3"/>
        <w:rPr>
          <w:rFonts w:eastAsia="Cambria"/>
        </w:rPr>
      </w:pPr>
      <w:bookmarkStart w:id="169" w:name="_Toc480811586"/>
      <w:r w:rsidRPr="00605AD4">
        <w:rPr>
          <w:rFonts w:eastAsia="Cambria"/>
        </w:rPr>
        <w:t xml:space="preserve">First </w:t>
      </w:r>
      <w:r w:rsidR="0090512A" w:rsidRPr="00605AD4">
        <w:rPr>
          <w:rFonts w:eastAsia="Cambria"/>
        </w:rPr>
        <w:t>round benefit-risk assessment</w:t>
      </w:r>
      <w:bookmarkEnd w:id="169"/>
    </w:p>
    <w:p w:rsidR="00605AD4" w:rsidRDefault="00605AD4" w:rsidP="00605AD4">
      <w:pPr>
        <w:pStyle w:val="Heading4"/>
      </w:pPr>
      <w:r w:rsidRPr="00605AD4">
        <w:t>First round assessment of benefits</w:t>
      </w:r>
    </w:p>
    <w:p w:rsidR="00215C26" w:rsidRPr="002A50B1" w:rsidRDefault="00215C26" w:rsidP="00215C26">
      <w:r w:rsidRPr="002A50B1">
        <w:t xml:space="preserve">The benefits of </w:t>
      </w:r>
      <w:r>
        <w:t xml:space="preserve">Viekira Pak </w:t>
      </w:r>
      <w:r w:rsidRPr="002A50B1">
        <w:t xml:space="preserve">and </w:t>
      </w:r>
      <w:r w:rsidR="00427E0D">
        <w:t>Viekira Pak-RBV</w:t>
      </w:r>
      <w:r w:rsidRPr="002A50B1">
        <w:t xml:space="preserve"> in the proposed usage are:</w:t>
      </w:r>
    </w:p>
    <w:p w:rsidR="00215C26" w:rsidRPr="00215C26" w:rsidRDefault="00215C26" w:rsidP="00215C26">
      <w:pPr>
        <w:pStyle w:val="ListBullet"/>
      </w:pPr>
      <w:r w:rsidRPr="00215C26">
        <w:t>In patients with HCV</w:t>
      </w:r>
      <w:r w:rsidR="009F6EED">
        <w:t xml:space="preserve"> genotype</w:t>
      </w:r>
      <w:r w:rsidRPr="00215C26">
        <w:t>1 infection given the recommended dosage schedules (</w:t>
      </w:r>
      <w:r w:rsidR="00237CBE">
        <w:t>3DAA</w:t>
      </w:r>
      <w:r w:rsidRPr="00215C26">
        <w:t xml:space="preserve"> with or without RBV for 12 weeks or 24 weeks), </w:t>
      </w:r>
      <w:r w:rsidR="006A2EA5" w:rsidRPr="00FE5487">
        <w:t>SVR</w:t>
      </w:r>
      <w:r w:rsidR="006A2EA5" w:rsidRPr="006A2EA5">
        <w:rPr>
          <w:vertAlign w:val="subscript"/>
        </w:rPr>
        <w:t>12</w:t>
      </w:r>
      <w:r w:rsidRPr="00215C26">
        <w:t xml:space="preserve"> was achieved by 97% of non-cirrhotic patients with HCV</w:t>
      </w:r>
      <w:r w:rsidR="009F6EED">
        <w:t xml:space="preserve"> genotype</w:t>
      </w:r>
      <w:r w:rsidRPr="00215C26">
        <w:t>1 infection, and 95% of patients with cirrhosis.</w:t>
      </w:r>
    </w:p>
    <w:p w:rsidR="00215C26" w:rsidRPr="00215C26" w:rsidRDefault="00215C26" w:rsidP="00215C26">
      <w:pPr>
        <w:pStyle w:val="ListBullet"/>
      </w:pPr>
      <w:r w:rsidRPr="00215C26">
        <w:t xml:space="preserve">The </w:t>
      </w:r>
      <w:r w:rsidR="00237CBE">
        <w:t>3DAA</w:t>
      </w:r>
      <w:r w:rsidRPr="00215C26">
        <w:t xml:space="preserve"> combination alone is a viable and effective therapeutic option in patients intolerant of RBV.</w:t>
      </w:r>
    </w:p>
    <w:p w:rsidR="00215C26" w:rsidRPr="00215C26" w:rsidRDefault="00215C26" w:rsidP="00215C26">
      <w:pPr>
        <w:pStyle w:val="ListBullet"/>
      </w:pPr>
      <w:r w:rsidRPr="00215C26">
        <w:t xml:space="preserve"> </w:t>
      </w:r>
      <w:r w:rsidR="006A2EA5" w:rsidRPr="00FE5487">
        <w:t>SVR</w:t>
      </w:r>
      <w:r w:rsidR="006A2EA5" w:rsidRPr="006A2EA5">
        <w:rPr>
          <w:vertAlign w:val="subscript"/>
        </w:rPr>
        <w:t>12</w:t>
      </w:r>
      <w:r w:rsidRPr="00215C26">
        <w:t xml:space="preserve"> rates in all patient groups were notably higher with </w:t>
      </w:r>
      <w:r w:rsidR="00237CBE">
        <w:t>3DAA</w:t>
      </w:r>
      <w:r w:rsidRPr="00215C26">
        <w:t xml:space="preserve"> than with other approved combinations.</w:t>
      </w:r>
    </w:p>
    <w:p w:rsidR="00215C26" w:rsidRPr="00215C26" w:rsidRDefault="00215C26" w:rsidP="00215C26">
      <w:pPr>
        <w:pStyle w:val="ListBullet"/>
      </w:pPr>
      <w:r w:rsidRPr="00215C26">
        <w:t>Shorter treatment duration than other approved regimens (12 or 24 weeks versus 24 or 48 weeks).</w:t>
      </w:r>
    </w:p>
    <w:p w:rsidR="00215C26" w:rsidRPr="00215C26" w:rsidRDefault="00215C26" w:rsidP="00215C26">
      <w:pPr>
        <w:pStyle w:val="ListBullet"/>
      </w:pPr>
      <w:r w:rsidRPr="00215C26">
        <w:t>Very low rates of on-treatment vi</w:t>
      </w:r>
      <w:r w:rsidR="00202E0D">
        <w:t xml:space="preserve">rologic failure (0.5%) and post </w:t>
      </w:r>
      <w:r w:rsidRPr="00215C26">
        <w:t>treatment relapse (1.6%).</w:t>
      </w:r>
    </w:p>
    <w:p w:rsidR="00215C26" w:rsidRPr="00215C26" w:rsidRDefault="00202E0D" w:rsidP="00215C26">
      <w:pPr>
        <w:pStyle w:val="ListBullet"/>
      </w:pPr>
      <w:r>
        <w:t xml:space="preserve">Almost 100% post </w:t>
      </w:r>
      <w:r w:rsidR="00215C26" w:rsidRPr="00215C26">
        <w:t>treatment durability of response.</w:t>
      </w:r>
    </w:p>
    <w:p w:rsidR="00215C26" w:rsidRPr="00215C26" w:rsidRDefault="00215C26" w:rsidP="00215C26">
      <w:pPr>
        <w:pStyle w:val="ListBullet"/>
      </w:pPr>
      <w:r w:rsidRPr="00215C26">
        <w:t xml:space="preserve">Comparable efficacy in other sub-groups defined by IL28B status, gender, race, age, </w:t>
      </w:r>
      <w:r w:rsidRPr="0083113B">
        <w:t>BMI,</w:t>
      </w:r>
      <w:r w:rsidRPr="00215C26">
        <w:t xml:space="preserve"> baseline fibrosis score, baseline HCV RNA level and </w:t>
      </w:r>
      <w:r w:rsidRPr="00132273">
        <w:t>baseline IP-10.</w:t>
      </w:r>
    </w:p>
    <w:p w:rsidR="00215C26" w:rsidRPr="00215C26" w:rsidRDefault="00215C26" w:rsidP="00215C26">
      <w:pPr>
        <w:pStyle w:val="ListBullet"/>
      </w:pPr>
      <w:r w:rsidRPr="00215C26">
        <w:t>Fixed dose regimens.</w:t>
      </w:r>
    </w:p>
    <w:p w:rsidR="00215C26" w:rsidRPr="00215C26" w:rsidRDefault="00215C26" w:rsidP="00215C26">
      <w:pPr>
        <w:pStyle w:val="ListBullet"/>
      </w:pPr>
      <w:r w:rsidRPr="00215C26">
        <w:t>Also the limited data from study M13-393 suggest efficacy as a 2-DAA combination in patients with HCV</w:t>
      </w:r>
      <w:r w:rsidR="009F6EED">
        <w:t xml:space="preserve"> genotype</w:t>
      </w:r>
      <w:r w:rsidRPr="00215C26">
        <w:t>4 infection.</w:t>
      </w:r>
    </w:p>
    <w:p w:rsidR="00215C26" w:rsidRPr="00215C26" w:rsidRDefault="00215C26" w:rsidP="00215C26">
      <w:pPr>
        <w:pStyle w:val="ListBullet"/>
      </w:pPr>
      <w:r w:rsidRPr="00215C26">
        <w:t xml:space="preserve">Rapid normalisation of liver function tests in most patients (97% </w:t>
      </w:r>
      <w:r w:rsidR="00237CBE">
        <w:t>3DAA</w:t>
      </w:r>
      <w:r w:rsidRPr="00215C26">
        <w:t xml:space="preserve"> + RBV, 15.8% placebo).</w:t>
      </w:r>
    </w:p>
    <w:p w:rsidR="00215C26" w:rsidRPr="00215C26" w:rsidRDefault="00215C26" w:rsidP="00215C26">
      <w:pPr>
        <w:pStyle w:val="ListBullet"/>
      </w:pPr>
      <w:r w:rsidRPr="00215C26">
        <w:t>Good safety profile with most AEs attributable to co-administered RBV. Pruritus (mostly mild) was the only potential specific safety signal detected.</w:t>
      </w:r>
    </w:p>
    <w:p w:rsidR="00215C26" w:rsidRPr="00215C26" w:rsidRDefault="00215C26" w:rsidP="00215C26">
      <w:pPr>
        <w:pStyle w:val="ListBullet"/>
      </w:pPr>
      <w:r w:rsidRPr="00215C26">
        <w:lastRenderedPageBreak/>
        <w:t>Well tolerated, contributing to good compliance (</w:t>
      </w:r>
      <w:r w:rsidR="000C3156">
        <w:t xml:space="preserve">&gt; </w:t>
      </w:r>
      <w:r w:rsidRPr="00215C26">
        <w:t>98%) and low discontinuation rates (0.3%).</w:t>
      </w:r>
    </w:p>
    <w:p w:rsidR="00605AD4" w:rsidRDefault="00605AD4" w:rsidP="00605AD4">
      <w:pPr>
        <w:pStyle w:val="Heading4"/>
      </w:pPr>
      <w:r w:rsidRPr="00605AD4">
        <w:t>First round assessment of risks</w:t>
      </w:r>
    </w:p>
    <w:p w:rsidR="00215C26" w:rsidRPr="002A50B1" w:rsidRDefault="00215C26" w:rsidP="00215C26">
      <w:r w:rsidRPr="002A50B1">
        <w:t xml:space="preserve">The risks of </w:t>
      </w:r>
      <w:r>
        <w:t xml:space="preserve">Viekira Pak </w:t>
      </w:r>
      <w:r w:rsidRPr="002A50B1">
        <w:t xml:space="preserve">and </w:t>
      </w:r>
      <w:r w:rsidR="00427E0D">
        <w:t>Viekira Pak-RBV</w:t>
      </w:r>
      <w:r w:rsidRPr="002A50B1">
        <w:t xml:space="preserve"> in the proposed usage are:</w:t>
      </w:r>
    </w:p>
    <w:p w:rsidR="00215C26" w:rsidRPr="00215C26" w:rsidRDefault="00215C26" w:rsidP="00215C26">
      <w:pPr>
        <w:pStyle w:val="ListBullet"/>
      </w:pPr>
      <w:r w:rsidRPr="00215C26">
        <w:t>As yet unidentified ADRs.</w:t>
      </w:r>
    </w:p>
    <w:p w:rsidR="00215C26" w:rsidRPr="00215C26" w:rsidRDefault="00215C26" w:rsidP="00215C26">
      <w:pPr>
        <w:pStyle w:val="ListBullet"/>
      </w:pPr>
      <w:r w:rsidRPr="00215C26">
        <w:t>Potential interaction with oestrogen contraceptives (ALT elevation).</w:t>
      </w:r>
    </w:p>
    <w:p w:rsidR="00215C26" w:rsidRPr="00215C26" w:rsidRDefault="00215C26" w:rsidP="00215C26">
      <w:pPr>
        <w:pStyle w:val="ListBullet"/>
      </w:pPr>
      <w:r w:rsidRPr="00215C26">
        <w:t>As yet unidentified drug-drug interactions.</w:t>
      </w:r>
    </w:p>
    <w:p w:rsidR="00215C26" w:rsidRPr="00215C26" w:rsidRDefault="00215C26" w:rsidP="00215C26">
      <w:pPr>
        <w:pStyle w:val="ListBullet"/>
      </w:pPr>
      <w:r w:rsidRPr="00215C26">
        <w:t>ADRs associated with co-administered RBV.</w:t>
      </w:r>
    </w:p>
    <w:p w:rsidR="00215C26" w:rsidRPr="00215C26" w:rsidRDefault="00215C26" w:rsidP="00215C26">
      <w:pPr>
        <w:pStyle w:val="ListBullet"/>
      </w:pPr>
      <w:r w:rsidRPr="00215C26">
        <w:t>No data available in patients with decompensated liver disease or patients with moderate to severe renal impairment.</w:t>
      </w:r>
    </w:p>
    <w:p w:rsidR="00215C26" w:rsidRPr="00215C26" w:rsidRDefault="00215C26" w:rsidP="00215C26">
      <w:pPr>
        <w:pStyle w:val="ListBullet"/>
      </w:pPr>
      <w:r w:rsidRPr="00215C26">
        <w:t>Limited data in racial groups other than White.</w:t>
      </w:r>
    </w:p>
    <w:p w:rsidR="00215C26" w:rsidRPr="00215C26" w:rsidRDefault="00215C26" w:rsidP="00215C26">
      <w:pPr>
        <w:pStyle w:val="ListBullet"/>
      </w:pPr>
      <w:r w:rsidRPr="00215C26">
        <w:t>Emergence of resistant viral variants.</w:t>
      </w:r>
    </w:p>
    <w:p w:rsidR="00215C26" w:rsidRPr="00215C26" w:rsidRDefault="00215C26" w:rsidP="00215C26">
      <w:pPr>
        <w:pStyle w:val="ListBullet"/>
      </w:pPr>
      <w:r w:rsidRPr="00215C26">
        <w:t>No data in patients co-infected with HIV or HBV.</w:t>
      </w:r>
    </w:p>
    <w:p w:rsidR="00215C26" w:rsidRPr="00215C26" w:rsidRDefault="00215C26" w:rsidP="00215C26">
      <w:pPr>
        <w:pStyle w:val="ListBullet"/>
      </w:pPr>
      <w:r w:rsidRPr="00215C26">
        <w:t>No data available in liver transplant patients.</w:t>
      </w:r>
    </w:p>
    <w:p w:rsidR="00605AD4" w:rsidRPr="00605AD4" w:rsidRDefault="00605AD4" w:rsidP="00605AD4">
      <w:pPr>
        <w:pStyle w:val="Heading4"/>
      </w:pPr>
      <w:r w:rsidRPr="00605AD4">
        <w:t>First round assessment of benefit-risk balance</w:t>
      </w:r>
    </w:p>
    <w:p w:rsidR="00215C26" w:rsidRPr="002A50B1" w:rsidRDefault="00215C26" w:rsidP="00215C26">
      <w:r w:rsidRPr="002A50B1">
        <w:t xml:space="preserve">The benefit-risk balance of </w:t>
      </w:r>
      <w:r>
        <w:t xml:space="preserve">Viekira Pak </w:t>
      </w:r>
      <w:r w:rsidRPr="002A50B1">
        <w:t xml:space="preserve">and </w:t>
      </w:r>
      <w:r w:rsidR="00427E0D">
        <w:t>Viekira Pak-RBV</w:t>
      </w:r>
      <w:r w:rsidRPr="002A50B1">
        <w:t xml:space="preserve"> given the proposed </w:t>
      </w:r>
      <w:proofErr w:type="gramStart"/>
      <w:r w:rsidRPr="002A50B1">
        <w:t>usage,</w:t>
      </w:r>
      <w:proofErr w:type="gramEnd"/>
      <w:r w:rsidRPr="002A50B1">
        <w:t xml:space="preserve"> is highly favourable. The benefits of both products are summarised in relation to the tabulated indications in the proposed PIs shown below. In all patient subgroups, efficacy rates are outstanding and notably better than telaprevir-based therapy in the same subgroups. </w:t>
      </w:r>
      <w:r>
        <w:t xml:space="preserve">Viekira Pak </w:t>
      </w:r>
      <w:r w:rsidRPr="002A50B1">
        <w:t xml:space="preserve">is well tolerated. The risks associated with </w:t>
      </w:r>
      <w:r>
        <w:t xml:space="preserve">Viekira Pak </w:t>
      </w:r>
      <w:r w:rsidRPr="002A50B1">
        <w:t xml:space="preserve">relate largely to potential risks which have not been identified in the clinical trial program. The same risks apply to </w:t>
      </w:r>
      <w:r w:rsidR="00427E0D">
        <w:t>Viekira Pak-RBV</w:t>
      </w:r>
      <w:r w:rsidRPr="002A50B1">
        <w:t xml:space="preserve"> with the addition of the well described toxicity associated with RBV.</w:t>
      </w:r>
    </w:p>
    <w:p w:rsidR="00215C26" w:rsidRPr="00CD22B1" w:rsidRDefault="00202E0D" w:rsidP="00215C26">
      <w:pPr>
        <w:pStyle w:val="Heading5"/>
      </w:pPr>
      <w:r>
        <w:t xml:space="preserve">Viekira </w:t>
      </w:r>
      <w:r w:rsidR="003E6B33">
        <w:t>p</w:t>
      </w:r>
      <w:r>
        <w:t>ak</w:t>
      </w:r>
    </w:p>
    <w:p w:rsidR="00215C26" w:rsidRPr="002A50B1" w:rsidRDefault="00215C26" w:rsidP="00215C26">
      <w:r>
        <w:t xml:space="preserve">Viekira Pak </w:t>
      </w:r>
      <w:r w:rsidRPr="002A50B1">
        <w:t xml:space="preserve">is indicated for both </w:t>
      </w:r>
      <w:r>
        <w:t>treatment naïve</w:t>
      </w:r>
      <w:r w:rsidRPr="002A50B1">
        <w:t xml:space="preserve"> and </w:t>
      </w:r>
      <w:r>
        <w:t>treatment experienced</w:t>
      </w:r>
      <w:r w:rsidRPr="002A50B1">
        <w:t xml:space="preserve"> patients with HCV genotype 1b infection without cirrhosis. SVR rates of </w:t>
      </w:r>
      <w:r w:rsidR="000C3156">
        <w:t xml:space="preserve">&gt; </w:t>
      </w:r>
      <w:r w:rsidRPr="002A50B1">
        <w:t>95% can be anticipated without the addition of RBV.</w:t>
      </w:r>
    </w:p>
    <w:p w:rsidR="00215C26" w:rsidRPr="002A50B1" w:rsidRDefault="00215C26" w:rsidP="00215C26">
      <w:r w:rsidRPr="002A50B1">
        <w:t xml:space="preserve">In </w:t>
      </w:r>
      <w:r>
        <w:t>treatment naïve</w:t>
      </w:r>
      <w:r w:rsidRPr="002A50B1">
        <w:t xml:space="preserve"> patients with</w:t>
      </w:r>
      <w:r w:rsidR="00202E0D">
        <w:t xml:space="preserve"> a</w:t>
      </w:r>
      <w:r w:rsidR="009F6EED">
        <w:t xml:space="preserve"> genotype</w:t>
      </w:r>
      <w:r w:rsidRPr="002A50B1">
        <w:t xml:space="preserve">1a infection without cirrhosis, SVR rates were 97.0% in patients given </w:t>
      </w:r>
      <w:r w:rsidR="00427E0D">
        <w:t>Viekira Pak-RBV</w:t>
      </w:r>
      <w:r w:rsidRPr="002A50B1">
        <w:t xml:space="preserve"> and 90.2% in patients given </w:t>
      </w:r>
      <w:r>
        <w:t>Viekira Pak</w:t>
      </w:r>
      <w:r w:rsidRPr="002A50B1">
        <w:t>. The addition of RBV confers additional benefit but outstanding SVR rates can still be achieved in patients who are intolerant of RBV.</w:t>
      </w:r>
    </w:p>
    <w:p w:rsidR="00215C26" w:rsidRPr="002A50B1" w:rsidRDefault="00215C26" w:rsidP="00215C26">
      <w:r w:rsidRPr="002A50B1">
        <w:t xml:space="preserve">The data do not support the use of </w:t>
      </w:r>
      <w:r>
        <w:t xml:space="preserve">Viekira Pak </w:t>
      </w:r>
      <w:r w:rsidRPr="002A50B1">
        <w:t>for any</w:t>
      </w:r>
      <w:r w:rsidR="009F6EED">
        <w:t xml:space="preserve"> genotype</w:t>
      </w:r>
      <w:r w:rsidRPr="002A50B1">
        <w:t xml:space="preserve"> subgroup other than 1b. It should not be recommended if the</w:t>
      </w:r>
      <w:r w:rsidR="009F6EED">
        <w:t xml:space="preserve"> genotype</w:t>
      </w:r>
      <w:r w:rsidRPr="002A50B1">
        <w:t xml:space="preserve">1 subtype is unknown, or for patients with mixed infections. </w:t>
      </w:r>
      <w:r>
        <w:t xml:space="preserve">Viekira Pak </w:t>
      </w:r>
      <w:r w:rsidRPr="002A50B1">
        <w:t>has not been tested in patients with cirrhosis.</w:t>
      </w:r>
    </w:p>
    <w:p w:rsidR="00215C26" w:rsidRPr="00CD22B1" w:rsidRDefault="0083113B" w:rsidP="00215C26">
      <w:pPr>
        <w:pStyle w:val="Heading5"/>
      </w:pPr>
      <w:r>
        <w:t xml:space="preserve">Viekira </w:t>
      </w:r>
      <w:r w:rsidR="003E6B33">
        <w:t>p</w:t>
      </w:r>
      <w:r>
        <w:t>ak</w:t>
      </w:r>
      <w:r w:rsidR="00202E0D">
        <w:t>-RBV</w:t>
      </w:r>
    </w:p>
    <w:p w:rsidR="00215C26" w:rsidRPr="002A50B1" w:rsidRDefault="00427E0D" w:rsidP="00215C26">
      <w:r>
        <w:t>Viekira Pak-RBV</w:t>
      </w:r>
      <w:r w:rsidR="00215C26" w:rsidRPr="002A50B1">
        <w:t xml:space="preserve"> is indicated for </w:t>
      </w:r>
      <w:r w:rsidR="00215C26">
        <w:t>treatment experienced</w:t>
      </w:r>
      <w:r w:rsidR="00215C26" w:rsidRPr="002A50B1">
        <w:t xml:space="preserve"> patients with</w:t>
      </w:r>
      <w:r w:rsidR="009F6EED">
        <w:t xml:space="preserve"> genotype</w:t>
      </w:r>
      <w:r w:rsidR="00215C26" w:rsidRPr="002A50B1">
        <w:t xml:space="preserve">1a infection without cirrhosis. SVR was achieved by 93% of </w:t>
      </w:r>
      <w:r w:rsidR="00215C26">
        <w:t>treatment naïve</w:t>
      </w:r>
      <w:r w:rsidR="00215C26" w:rsidRPr="002A50B1">
        <w:t xml:space="preserve"> patients and </w:t>
      </w:r>
      <w:r w:rsidR="000C3156">
        <w:t xml:space="preserve">&gt; </w:t>
      </w:r>
      <w:r w:rsidR="00215C26" w:rsidRPr="002A50B1">
        <w:t xml:space="preserve">95% of </w:t>
      </w:r>
      <w:r w:rsidR="00215C26">
        <w:t>treatment experienced</w:t>
      </w:r>
      <w:r w:rsidR="00215C26" w:rsidRPr="002A50B1">
        <w:t xml:space="preserve"> patients. As noted above, SVR rates </w:t>
      </w:r>
      <w:r w:rsidR="000C3156">
        <w:t xml:space="preserve">&gt; </w:t>
      </w:r>
      <w:r w:rsidR="00215C26" w:rsidRPr="002A50B1">
        <w:t xml:space="preserve">90% may still be achieved with </w:t>
      </w:r>
      <w:r w:rsidR="00215C26">
        <w:t xml:space="preserve">Viekira Pak </w:t>
      </w:r>
      <w:r w:rsidR="00215C26" w:rsidRPr="002A50B1">
        <w:t>in</w:t>
      </w:r>
      <w:r w:rsidR="009F6EED">
        <w:t xml:space="preserve"> genotype</w:t>
      </w:r>
      <w:r w:rsidR="00215C26" w:rsidRPr="002A50B1">
        <w:t>1 patients intolerant of RBV.</w:t>
      </w:r>
    </w:p>
    <w:p w:rsidR="00605AD4" w:rsidRDefault="0083113B" w:rsidP="00605AD4">
      <w:r>
        <w:t>Viekira Pak</w:t>
      </w:r>
      <w:r w:rsidR="00215C26" w:rsidRPr="002A50B1">
        <w:t>-RBV is also indicated in patients with compensated cirrhosis and</w:t>
      </w:r>
      <w:r w:rsidR="009F6EED">
        <w:t xml:space="preserve"> genotype</w:t>
      </w:r>
      <w:r w:rsidR="00215C26" w:rsidRPr="002A50B1">
        <w:t xml:space="preserve">1 infection. SVR rates </w:t>
      </w:r>
      <w:r w:rsidR="000C3156">
        <w:t xml:space="preserve">&gt; </w:t>
      </w:r>
      <w:r w:rsidR="00215C26" w:rsidRPr="002A50B1">
        <w:t>90% were achieved with higher rates in patients with</w:t>
      </w:r>
      <w:r w:rsidR="009F6EED">
        <w:t xml:space="preserve"> genotype</w:t>
      </w:r>
      <w:r w:rsidR="00215C26" w:rsidRPr="002A50B1">
        <w:t>1b infection compared with</w:t>
      </w:r>
      <w:r w:rsidR="009F6EED">
        <w:t xml:space="preserve"> genotype</w:t>
      </w:r>
      <w:r w:rsidR="00215C26" w:rsidRPr="002A50B1">
        <w:t xml:space="preserve">1a infection. There was a marginal benefit in in patients given 24 weeks rather than 12 weeks of therapy with SVR rates </w:t>
      </w:r>
      <w:r w:rsidR="000C3156">
        <w:t xml:space="preserve">&gt; </w:t>
      </w:r>
      <w:r w:rsidR="00215C26" w:rsidRPr="002A50B1">
        <w:t xml:space="preserve">95%. However, there </w:t>
      </w:r>
      <w:r w:rsidR="00215C26" w:rsidRPr="002A50B1">
        <w:lastRenderedPageBreak/>
        <w:t>was a notable benefit in prior null responders given 24 weeks therapy</w:t>
      </w:r>
      <w:r w:rsidR="00202E0D">
        <w:t xml:space="preserve"> compared with those given a 12 </w:t>
      </w:r>
      <w:r w:rsidR="00215C26" w:rsidRPr="002A50B1">
        <w:t xml:space="preserve">week regimen (95.2% </w:t>
      </w:r>
      <w:r w:rsidR="00215C26">
        <w:t>versus</w:t>
      </w:r>
      <w:r w:rsidR="00215C26" w:rsidRPr="002A50B1">
        <w:t xml:space="preserve"> 86.7%).</w:t>
      </w:r>
    </w:p>
    <w:p w:rsidR="00215C26" w:rsidRPr="002A50B1" w:rsidRDefault="008D1B95" w:rsidP="00654113">
      <w:pPr>
        <w:pStyle w:val="Tabletitle0"/>
      </w:pPr>
      <w:r>
        <w:t>Table 19</w:t>
      </w:r>
      <w:r w:rsidR="00215C26">
        <w:t>: Summary of treatment options</w:t>
      </w:r>
    </w:p>
    <w:tbl>
      <w:tblPr>
        <w:tblStyle w:val="TableTGAblue"/>
        <w:tblW w:w="8496" w:type="dxa"/>
        <w:tblLook w:val="04A0" w:firstRow="1" w:lastRow="0" w:firstColumn="1" w:lastColumn="0" w:noHBand="0" w:noVBand="1"/>
      </w:tblPr>
      <w:tblGrid>
        <w:gridCol w:w="2233"/>
        <w:gridCol w:w="1762"/>
        <w:gridCol w:w="1387"/>
        <w:gridCol w:w="3114"/>
      </w:tblGrid>
      <w:tr w:rsidR="00215C26" w:rsidRPr="003E6B33" w:rsidTr="009E2121">
        <w:trPr>
          <w:cnfStyle w:val="100000000000" w:firstRow="1" w:lastRow="0" w:firstColumn="0" w:lastColumn="0" w:oddVBand="0" w:evenVBand="0" w:oddHBand="0" w:evenHBand="0" w:firstRowFirstColumn="0" w:firstRowLastColumn="0" w:lastRowFirstColumn="0" w:lastRowLastColumn="0"/>
          <w:trHeight w:val="137"/>
        </w:trPr>
        <w:tc>
          <w:tcPr>
            <w:tcW w:w="2233" w:type="dxa"/>
            <w:hideMark/>
          </w:tcPr>
          <w:p w:rsidR="00215C26" w:rsidRPr="003E6B33" w:rsidRDefault="00215C26" w:rsidP="003E6B33">
            <w:pPr>
              <w:rPr>
                <w:sz w:val="20"/>
                <w:szCs w:val="20"/>
              </w:rPr>
            </w:pPr>
            <w:r w:rsidRPr="003E6B33">
              <w:rPr>
                <w:sz w:val="20"/>
                <w:szCs w:val="20"/>
              </w:rPr>
              <w:t>Patient Population</w:t>
            </w:r>
          </w:p>
        </w:tc>
        <w:tc>
          <w:tcPr>
            <w:tcW w:w="1762" w:type="dxa"/>
            <w:hideMark/>
          </w:tcPr>
          <w:p w:rsidR="00215C26" w:rsidRPr="003E6B33" w:rsidRDefault="00215C26" w:rsidP="003E6B33">
            <w:pPr>
              <w:rPr>
                <w:sz w:val="20"/>
                <w:szCs w:val="20"/>
              </w:rPr>
            </w:pPr>
            <w:r w:rsidRPr="003E6B33">
              <w:rPr>
                <w:sz w:val="20"/>
                <w:szCs w:val="20"/>
              </w:rPr>
              <w:t>Treatment</w:t>
            </w:r>
          </w:p>
        </w:tc>
        <w:tc>
          <w:tcPr>
            <w:tcW w:w="1387" w:type="dxa"/>
            <w:hideMark/>
          </w:tcPr>
          <w:p w:rsidR="00215C26" w:rsidRPr="003E6B33" w:rsidRDefault="00215C26" w:rsidP="003E6B33">
            <w:pPr>
              <w:rPr>
                <w:sz w:val="20"/>
                <w:szCs w:val="20"/>
              </w:rPr>
            </w:pPr>
            <w:r w:rsidRPr="003E6B33">
              <w:rPr>
                <w:sz w:val="20"/>
                <w:szCs w:val="20"/>
              </w:rPr>
              <w:t>Duration</w:t>
            </w:r>
          </w:p>
        </w:tc>
        <w:tc>
          <w:tcPr>
            <w:tcW w:w="3114" w:type="dxa"/>
            <w:hideMark/>
          </w:tcPr>
          <w:p w:rsidR="00215C26" w:rsidRPr="003E6B33" w:rsidRDefault="00215C26" w:rsidP="003E6B33">
            <w:pPr>
              <w:rPr>
                <w:sz w:val="20"/>
                <w:szCs w:val="20"/>
              </w:rPr>
            </w:pPr>
            <w:r w:rsidRPr="003E6B33">
              <w:rPr>
                <w:sz w:val="20"/>
                <w:szCs w:val="20"/>
              </w:rPr>
              <w:t>Ribavirin Dosage</w:t>
            </w:r>
          </w:p>
        </w:tc>
      </w:tr>
      <w:tr w:rsidR="00215C26" w:rsidRPr="003E6B33" w:rsidTr="009E2121">
        <w:trPr>
          <w:trHeight w:val="187"/>
        </w:trPr>
        <w:tc>
          <w:tcPr>
            <w:tcW w:w="2233" w:type="dxa"/>
            <w:hideMark/>
          </w:tcPr>
          <w:p w:rsidR="00215C26" w:rsidRPr="003E6B33" w:rsidRDefault="00215C26" w:rsidP="003E6B33">
            <w:pPr>
              <w:rPr>
                <w:sz w:val="20"/>
                <w:szCs w:val="20"/>
              </w:rPr>
            </w:pPr>
            <w:r w:rsidRPr="003E6B33">
              <w:rPr>
                <w:sz w:val="20"/>
                <w:szCs w:val="20"/>
              </w:rPr>
              <w:t xml:space="preserve">Genotype 1b, without cirrhosis </w:t>
            </w:r>
          </w:p>
        </w:tc>
        <w:tc>
          <w:tcPr>
            <w:tcW w:w="1762" w:type="dxa"/>
            <w:hideMark/>
          </w:tcPr>
          <w:p w:rsidR="00215C26" w:rsidRPr="003E6B33" w:rsidRDefault="00215C26" w:rsidP="003E6B33">
            <w:pPr>
              <w:rPr>
                <w:sz w:val="20"/>
                <w:szCs w:val="20"/>
              </w:rPr>
            </w:pPr>
            <w:r w:rsidRPr="003E6B33">
              <w:rPr>
                <w:sz w:val="20"/>
                <w:szCs w:val="20"/>
              </w:rPr>
              <w:t xml:space="preserve">Viekira Pak </w:t>
            </w:r>
          </w:p>
        </w:tc>
        <w:tc>
          <w:tcPr>
            <w:tcW w:w="1387" w:type="dxa"/>
            <w:hideMark/>
          </w:tcPr>
          <w:p w:rsidR="00215C26" w:rsidRPr="003E6B33" w:rsidRDefault="00215C26" w:rsidP="003E6B33">
            <w:pPr>
              <w:rPr>
                <w:sz w:val="20"/>
                <w:szCs w:val="20"/>
              </w:rPr>
            </w:pPr>
            <w:r w:rsidRPr="003E6B33">
              <w:rPr>
                <w:sz w:val="20"/>
                <w:szCs w:val="20"/>
              </w:rPr>
              <w:t>12 weeks</w:t>
            </w:r>
          </w:p>
        </w:tc>
        <w:tc>
          <w:tcPr>
            <w:tcW w:w="3114" w:type="dxa"/>
          </w:tcPr>
          <w:p w:rsidR="00215C26" w:rsidRPr="003E6B33" w:rsidRDefault="00215C26" w:rsidP="003E6B33">
            <w:pPr>
              <w:rPr>
                <w:sz w:val="20"/>
                <w:szCs w:val="20"/>
              </w:rPr>
            </w:pPr>
          </w:p>
        </w:tc>
      </w:tr>
      <w:tr w:rsidR="00215C26" w:rsidRPr="003E6B33" w:rsidTr="009E2121">
        <w:trPr>
          <w:trHeight w:val="532"/>
        </w:trPr>
        <w:tc>
          <w:tcPr>
            <w:tcW w:w="2233" w:type="dxa"/>
            <w:hideMark/>
          </w:tcPr>
          <w:p w:rsidR="00215C26" w:rsidRPr="003E6B33" w:rsidRDefault="00215C26" w:rsidP="003E6B33">
            <w:pPr>
              <w:rPr>
                <w:sz w:val="20"/>
                <w:szCs w:val="20"/>
              </w:rPr>
            </w:pPr>
            <w:r w:rsidRPr="003E6B33">
              <w:rPr>
                <w:sz w:val="20"/>
                <w:szCs w:val="20"/>
              </w:rPr>
              <w:t>Genotype 1a, without cirrhosis</w:t>
            </w:r>
          </w:p>
        </w:tc>
        <w:tc>
          <w:tcPr>
            <w:tcW w:w="1762" w:type="dxa"/>
            <w:hideMark/>
          </w:tcPr>
          <w:p w:rsidR="00215C26" w:rsidRPr="003E6B33" w:rsidRDefault="0083113B" w:rsidP="003E6B33">
            <w:pPr>
              <w:rPr>
                <w:sz w:val="20"/>
                <w:szCs w:val="20"/>
              </w:rPr>
            </w:pPr>
            <w:r w:rsidRPr="003E6B33">
              <w:rPr>
                <w:sz w:val="20"/>
                <w:szCs w:val="20"/>
              </w:rPr>
              <w:t>Viekira Pak-</w:t>
            </w:r>
            <w:r w:rsidR="00215C26" w:rsidRPr="003E6B33">
              <w:rPr>
                <w:sz w:val="20"/>
                <w:szCs w:val="20"/>
              </w:rPr>
              <w:t>RBV*</w:t>
            </w:r>
          </w:p>
        </w:tc>
        <w:tc>
          <w:tcPr>
            <w:tcW w:w="1387" w:type="dxa"/>
            <w:hideMark/>
          </w:tcPr>
          <w:p w:rsidR="00215C26" w:rsidRPr="003E6B33" w:rsidRDefault="00215C26" w:rsidP="003E6B33">
            <w:pPr>
              <w:rPr>
                <w:sz w:val="20"/>
                <w:szCs w:val="20"/>
              </w:rPr>
            </w:pPr>
            <w:r w:rsidRPr="003E6B33">
              <w:rPr>
                <w:sz w:val="20"/>
                <w:szCs w:val="20"/>
              </w:rPr>
              <w:t>12 weeks</w:t>
            </w:r>
          </w:p>
        </w:tc>
        <w:tc>
          <w:tcPr>
            <w:tcW w:w="3114" w:type="dxa"/>
          </w:tcPr>
          <w:p w:rsidR="00215C26" w:rsidRPr="003E6B33" w:rsidRDefault="00926A16" w:rsidP="003E6B33">
            <w:pPr>
              <w:rPr>
                <w:sz w:val="20"/>
                <w:szCs w:val="20"/>
              </w:rPr>
            </w:pPr>
            <w:r w:rsidRPr="003E6B33">
              <w:rPr>
                <w:sz w:val="20"/>
                <w:szCs w:val="20"/>
              </w:rPr>
              <w:t xml:space="preserve">&lt; </w:t>
            </w:r>
            <w:r w:rsidR="00215C26" w:rsidRPr="003E6B33">
              <w:rPr>
                <w:sz w:val="20"/>
                <w:szCs w:val="20"/>
              </w:rPr>
              <w:t>75kg</w:t>
            </w:r>
            <w:r w:rsidR="00BF1FC5" w:rsidRPr="003E6B33">
              <w:rPr>
                <w:sz w:val="20"/>
                <w:szCs w:val="20"/>
              </w:rPr>
              <w:t xml:space="preserve"> = </w:t>
            </w:r>
            <w:r w:rsidR="00202E0D" w:rsidRPr="003E6B33">
              <w:rPr>
                <w:sz w:val="20"/>
                <w:szCs w:val="20"/>
              </w:rPr>
              <w:t>10</w:t>
            </w:r>
            <w:r w:rsidR="00661B33" w:rsidRPr="003E6B33">
              <w:rPr>
                <w:sz w:val="20"/>
                <w:szCs w:val="20"/>
              </w:rPr>
              <w:t>00 mg</w:t>
            </w:r>
            <w:r w:rsidR="00202E0D" w:rsidRPr="003E6B33">
              <w:rPr>
                <w:sz w:val="20"/>
                <w:szCs w:val="20"/>
              </w:rPr>
              <w:br/>
            </w:r>
            <w:r w:rsidR="000C3156" w:rsidRPr="003E6B33">
              <w:rPr>
                <w:sz w:val="20"/>
                <w:szCs w:val="20"/>
              </w:rPr>
              <w:t xml:space="preserve">≥ </w:t>
            </w:r>
            <w:r w:rsidR="00215C26" w:rsidRPr="003E6B33">
              <w:rPr>
                <w:sz w:val="20"/>
                <w:szCs w:val="20"/>
              </w:rPr>
              <w:t>75kg</w:t>
            </w:r>
            <w:r w:rsidR="00BF1FC5" w:rsidRPr="003E6B33">
              <w:rPr>
                <w:sz w:val="20"/>
                <w:szCs w:val="20"/>
              </w:rPr>
              <w:t xml:space="preserve"> = </w:t>
            </w:r>
            <w:r w:rsidR="00215C26" w:rsidRPr="003E6B33">
              <w:rPr>
                <w:sz w:val="20"/>
                <w:szCs w:val="20"/>
              </w:rPr>
              <w:t>12</w:t>
            </w:r>
            <w:r w:rsidR="00661B33" w:rsidRPr="003E6B33">
              <w:rPr>
                <w:sz w:val="20"/>
                <w:szCs w:val="20"/>
              </w:rPr>
              <w:t>00 mg</w:t>
            </w:r>
            <w:r w:rsidR="00202E0D" w:rsidRPr="003E6B33">
              <w:rPr>
                <w:sz w:val="20"/>
                <w:szCs w:val="20"/>
              </w:rPr>
              <w:br/>
            </w:r>
            <w:r w:rsidR="00215C26" w:rsidRPr="003E6B33">
              <w:rPr>
                <w:sz w:val="20"/>
                <w:szCs w:val="20"/>
              </w:rPr>
              <w:t>Ribavirin is to be taken in two doses, morning and evening</w:t>
            </w:r>
          </w:p>
        </w:tc>
      </w:tr>
      <w:tr w:rsidR="00215C26" w:rsidRPr="003E6B33" w:rsidTr="009E2121">
        <w:trPr>
          <w:trHeight w:val="425"/>
        </w:trPr>
        <w:tc>
          <w:tcPr>
            <w:tcW w:w="2233" w:type="dxa"/>
            <w:hideMark/>
          </w:tcPr>
          <w:p w:rsidR="00215C26" w:rsidRPr="003E6B33" w:rsidRDefault="00215C26" w:rsidP="003E6B33">
            <w:pPr>
              <w:rPr>
                <w:sz w:val="20"/>
                <w:szCs w:val="20"/>
              </w:rPr>
            </w:pPr>
            <w:r w:rsidRPr="003E6B33">
              <w:rPr>
                <w:sz w:val="20"/>
                <w:szCs w:val="20"/>
              </w:rPr>
              <w:t>Genotype 1 with cirrhosis</w:t>
            </w:r>
          </w:p>
        </w:tc>
        <w:tc>
          <w:tcPr>
            <w:tcW w:w="1762" w:type="dxa"/>
            <w:hideMark/>
          </w:tcPr>
          <w:p w:rsidR="00215C26" w:rsidRPr="003E6B33" w:rsidRDefault="0083113B" w:rsidP="003E6B33">
            <w:pPr>
              <w:rPr>
                <w:sz w:val="20"/>
                <w:szCs w:val="20"/>
              </w:rPr>
            </w:pPr>
            <w:r w:rsidRPr="003E6B33">
              <w:rPr>
                <w:sz w:val="20"/>
                <w:szCs w:val="20"/>
              </w:rPr>
              <w:t>Viekira Pak-</w:t>
            </w:r>
            <w:r w:rsidR="00215C26" w:rsidRPr="003E6B33">
              <w:rPr>
                <w:sz w:val="20"/>
                <w:szCs w:val="20"/>
              </w:rPr>
              <w:t>RBV*</w:t>
            </w:r>
          </w:p>
        </w:tc>
        <w:tc>
          <w:tcPr>
            <w:tcW w:w="1387" w:type="dxa"/>
            <w:hideMark/>
          </w:tcPr>
          <w:p w:rsidR="00215C26" w:rsidRPr="003E6B33" w:rsidRDefault="00215C26" w:rsidP="003E6B33">
            <w:pPr>
              <w:rPr>
                <w:sz w:val="20"/>
                <w:szCs w:val="20"/>
              </w:rPr>
            </w:pPr>
            <w:r w:rsidRPr="003E6B33">
              <w:rPr>
                <w:sz w:val="20"/>
                <w:szCs w:val="20"/>
              </w:rPr>
              <w:t>12 weeks†</w:t>
            </w:r>
          </w:p>
        </w:tc>
        <w:tc>
          <w:tcPr>
            <w:tcW w:w="3114" w:type="dxa"/>
          </w:tcPr>
          <w:p w:rsidR="00215C26" w:rsidRPr="003E6B33" w:rsidRDefault="00926A16" w:rsidP="003E6B33">
            <w:pPr>
              <w:rPr>
                <w:sz w:val="20"/>
                <w:szCs w:val="20"/>
              </w:rPr>
            </w:pPr>
            <w:r w:rsidRPr="003E6B33">
              <w:rPr>
                <w:sz w:val="20"/>
                <w:szCs w:val="20"/>
              </w:rPr>
              <w:t xml:space="preserve">&lt; </w:t>
            </w:r>
            <w:r w:rsidR="00215C26" w:rsidRPr="003E6B33">
              <w:rPr>
                <w:sz w:val="20"/>
                <w:szCs w:val="20"/>
              </w:rPr>
              <w:t>75kg</w:t>
            </w:r>
            <w:r w:rsidR="00BF1FC5" w:rsidRPr="003E6B33">
              <w:rPr>
                <w:sz w:val="20"/>
                <w:szCs w:val="20"/>
              </w:rPr>
              <w:t xml:space="preserve"> = </w:t>
            </w:r>
            <w:r w:rsidR="00215C26" w:rsidRPr="003E6B33">
              <w:rPr>
                <w:sz w:val="20"/>
                <w:szCs w:val="20"/>
              </w:rPr>
              <w:t>10</w:t>
            </w:r>
            <w:r w:rsidR="00661B33" w:rsidRPr="003E6B33">
              <w:rPr>
                <w:sz w:val="20"/>
                <w:szCs w:val="20"/>
              </w:rPr>
              <w:t>00 mg</w:t>
            </w:r>
            <w:r w:rsidR="00202E0D" w:rsidRPr="003E6B33">
              <w:rPr>
                <w:sz w:val="20"/>
                <w:szCs w:val="20"/>
              </w:rPr>
              <w:br/>
            </w:r>
            <w:r w:rsidR="000C3156" w:rsidRPr="003E6B33">
              <w:rPr>
                <w:sz w:val="20"/>
                <w:szCs w:val="20"/>
              </w:rPr>
              <w:t xml:space="preserve">≥ </w:t>
            </w:r>
            <w:r w:rsidR="00215C26" w:rsidRPr="003E6B33">
              <w:rPr>
                <w:sz w:val="20"/>
                <w:szCs w:val="20"/>
              </w:rPr>
              <w:t>75kg</w:t>
            </w:r>
            <w:r w:rsidR="00BF1FC5" w:rsidRPr="003E6B33">
              <w:rPr>
                <w:sz w:val="20"/>
                <w:szCs w:val="20"/>
              </w:rPr>
              <w:t xml:space="preserve"> = </w:t>
            </w:r>
            <w:r w:rsidR="00215C26" w:rsidRPr="003E6B33">
              <w:rPr>
                <w:sz w:val="20"/>
                <w:szCs w:val="20"/>
              </w:rPr>
              <w:t>12</w:t>
            </w:r>
            <w:r w:rsidR="00661B33" w:rsidRPr="003E6B33">
              <w:rPr>
                <w:sz w:val="20"/>
                <w:szCs w:val="20"/>
              </w:rPr>
              <w:t>00 mg</w:t>
            </w:r>
            <w:r w:rsidR="00202E0D" w:rsidRPr="003E6B33">
              <w:rPr>
                <w:sz w:val="20"/>
                <w:szCs w:val="20"/>
              </w:rPr>
              <w:br/>
            </w:r>
            <w:r w:rsidR="00215C26" w:rsidRPr="003E6B33">
              <w:rPr>
                <w:sz w:val="20"/>
                <w:szCs w:val="20"/>
              </w:rPr>
              <w:t>Ribavirin is to be taken in two doses, morning and evening</w:t>
            </w:r>
          </w:p>
        </w:tc>
      </w:tr>
    </w:tbl>
    <w:p w:rsidR="00215C26" w:rsidRPr="00605AD4" w:rsidRDefault="00215C26" w:rsidP="00215C26">
      <w:pPr>
        <w:pStyle w:val="TableDescription"/>
      </w:pPr>
      <w:r w:rsidRPr="006C64E1">
        <w:t>*</w:t>
      </w:r>
      <w:r>
        <w:t xml:space="preserve">Viekira Pak </w:t>
      </w:r>
      <w:r w:rsidRPr="006C64E1">
        <w:t xml:space="preserve">without ribavirin can be considered as a therapeutic option for </w:t>
      </w:r>
      <w:r>
        <w:t>treatment naïve</w:t>
      </w:r>
      <w:r w:rsidRPr="006C64E1">
        <w:t xml:space="preserve"> patients with</w:t>
      </w:r>
      <w:r w:rsidR="009F6EED">
        <w:t xml:space="preserve"> genotype</w:t>
      </w:r>
      <w:r w:rsidRPr="006C64E1">
        <w:t>1a infection without cirrhosis. Treatment decision should be guided by an assessment of the potential benefits and ri</w:t>
      </w:r>
      <w:r>
        <w:t xml:space="preserve">sks for the individual patient. </w:t>
      </w:r>
      <w:r w:rsidRPr="006C64E1">
        <w:t xml:space="preserve">†24 weeks of </w:t>
      </w:r>
      <w:r w:rsidR="0083113B">
        <w:t>Viekira Pak</w:t>
      </w:r>
      <w:r w:rsidRPr="006C64E1">
        <w:t xml:space="preserve">–RBV is recommended for patients with genotype 1a-infection with cirrhosis who have had a previous null response to </w:t>
      </w:r>
      <w:r>
        <w:t>pe</w:t>
      </w:r>
      <w:r w:rsidR="0083113B">
        <w:t>gIFN and ribavirin. Viekira Pak</w:t>
      </w:r>
      <w:r w:rsidRPr="006C64E1">
        <w:t xml:space="preserve">-RBV ribavirin is recommended in patients with an unknown genotype 1 subtype or with mixed </w:t>
      </w:r>
      <w:r w:rsidR="00202E0D">
        <w:t>genotype</w:t>
      </w:r>
      <w:r w:rsidRPr="006C64E1">
        <w:t>1 infection.</w:t>
      </w:r>
    </w:p>
    <w:p w:rsidR="00605AD4" w:rsidRPr="00605AD4" w:rsidRDefault="00605AD4" w:rsidP="00605AD4">
      <w:pPr>
        <w:pStyle w:val="Heading3"/>
        <w:rPr>
          <w:rFonts w:eastAsia="Cambria"/>
        </w:rPr>
      </w:pPr>
      <w:bookmarkStart w:id="170" w:name="_Toc480811587"/>
      <w:r w:rsidRPr="00605AD4">
        <w:rPr>
          <w:rFonts w:eastAsia="Cambria"/>
        </w:rPr>
        <w:t xml:space="preserve">First </w:t>
      </w:r>
      <w:r w:rsidR="003E6B33" w:rsidRPr="00605AD4">
        <w:rPr>
          <w:rFonts w:eastAsia="Cambria"/>
        </w:rPr>
        <w:t>round recommendation regarding authorisation</w:t>
      </w:r>
      <w:bookmarkEnd w:id="170"/>
    </w:p>
    <w:p w:rsidR="00605AD4" w:rsidRPr="00605AD4" w:rsidRDefault="00215C26" w:rsidP="00605AD4">
      <w:r w:rsidRPr="006C64E1">
        <w:t>Approval is recommended for the proposed indication of ‘</w:t>
      </w:r>
      <w:r w:rsidRPr="006C64E1">
        <w:rPr>
          <w:i/>
        </w:rPr>
        <w:t>the treatment of genotype 1 chronic hepatitis C infection, including patients with cirrhosis’</w:t>
      </w:r>
      <w:r w:rsidRPr="006C64E1">
        <w:t>. However, the approval is subject to incorporation of suggested</w:t>
      </w:r>
      <w:r>
        <w:t xml:space="preserve"> changes to proposed PI and CMI</w:t>
      </w:r>
      <w:r w:rsidRPr="006C64E1">
        <w:t xml:space="preserve"> and adequate </w:t>
      </w:r>
      <w:r>
        <w:t>response to clinical questions.</w:t>
      </w:r>
    </w:p>
    <w:p w:rsidR="00605AD4" w:rsidRPr="00605AD4" w:rsidRDefault="00605AD4" w:rsidP="00605AD4">
      <w:pPr>
        <w:pStyle w:val="Heading3"/>
        <w:rPr>
          <w:rFonts w:eastAsia="Cambria"/>
        </w:rPr>
      </w:pPr>
      <w:bookmarkStart w:id="171" w:name="_Toc480811588"/>
      <w:r w:rsidRPr="00605AD4">
        <w:rPr>
          <w:rFonts w:eastAsia="Cambria"/>
        </w:rPr>
        <w:t xml:space="preserve">Clinical </w:t>
      </w:r>
      <w:r w:rsidR="00427E0D">
        <w:rPr>
          <w:rFonts w:eastAsia="Cambria"/>
        </w:rPr>
        <w:t>q</w:t>
      </w:r>
      <w:r w:rsidRPr="00605AD4">
        <w:rPr>
          <w:rFonts w:eastAsia="Cambria"/>
        </w:rPr>
        <w:t>uestions</w:t>
      </w:r>
      <w:bookmarkEnd w:id="171"/>
    </w:p>
    <w:p w:rsidR="00215C26" w:rsidRDefault="00215C26" w:rsidP="00215C26">
      <w:pPr>
        <w:pStyle w:val="Heading4"/>
      </w:pPr>
      <w:bookmarkStart w:id="172" w:name="_Toc458084466"/>
      <w:r>
        <w:t>Pharmacokinetics</w:t>
      </w:r>
      <w:bookmarkEnd w:id="172"/>
    </w:p>
    <w:p w:rsidR="00215C26" w:rsidRDefault="00215C26" w:rsidP="00215C26">
      <w:pPr>
        <w:pStyle w:val="Heading5"/>
      </w:pPr>
      <w:r>
        <w:t>Pharmacokinetics question 1</w:t>
      </w:r>
    </w:p>
    <w:p w:rsidR="00215C26" w:rsidRPr="006C64E1" w:rsidRDefault="00215C26" w:rsidP="00215C26">
      <w:r w:rsidRPr="006C64E1">
        <w:t xml:space="preserve">In studies M13-300 and M10-351, </w:t>
      </w:r>
      <w:r w:rsidR="00590286">
        <w:t>dasabuvir</w:t>
      </w:r>
      <w:r w:rsidRPr="006C64E1">
        <w:t xml:space="preserve"> formulation appears to alter the effects of food on the bioavailability of </w:t>
      </w:r>
      <w:r w:rsidR="00590286">
        <w:t>dasabuvir</w:t>
      </w:r>
      <w:r w:rsidRPr="006C64E1">
        <w:t>. Can the sponsor please comment?</w:t>
      </w:r>
    </w:p>
    <w:p w:rsidR="00215C26" w:rsidRDefault="00215C26" w:rsidP="00215C26">
      <w:pPr>
        <w:pStyle w:val="Heading5"/>
      </w:pPr>
      <w:r>
        <w:t>Pharmacokinetics question 2</w:t>
      </w:r>
    </w:p>
    <w:p w:rsidR="00215C26" w:rsidRPr="006C64E1" w:rsidRDefault="00215C26" w:rsidP="00215C26">
      <w:r w:rsidRPr="006C64E1">
        <w:t xml:space="preserve">The dose/exposure pattern of </w:t>
      </w:r>
      <w:r w:rsidR="00590286">
        <w:t>dasabuvir</w:t>
      </w:r>
      <w:r w:rsidRPr="006C64E1">
        <w:t xml:space="preserve"> during Study M10-351 appears to be a little unusual. Can the sponsor please explain this behaviour in regards to dose normalised </w:t>
      </w:r>
      <w:r w:rsidR="003A33A4" w:rsidRPr="008912E8">
        <w:t>C</w:t>
      </w:r>
      <w:r w:rsidR="003A33A4" w:rsidRPr="003A33A4">
        <w:rPr>
          <w:vertAlign w:val="subscript"/>
        </w:rPr>
        <w:t>max</w:t>
      </w:r>
      <w:r w:rsidR="00630EF4">
        <w:t xml:space="preserve"> </w:t>
      </w:r>
      <w:r w:rsidRPr="006C64E1">
        <w:t xml:space="preserve">and AUC for </w:t>
      </w:r>
      <w:r w:rsidR="00590286">
        <w:t>dasabuvir</w:t>
      </w:r>
      <w:r w:rsidRPr="006C64E1">
        <w:t xml:space="preserve"> in Study M10-351 and why the results for the 1200 and 1600 mg doses are not consistent across the two studies?</w:t>
      </w:r>
    </w:p>
    <w:p w:rsidR="00215C26" w:rsidRDefault="00215C26" w:rsidP="00215C26">
      <w:pPr>
        <w:pStyle w:val="Heading5"/>
      </w:pPr>
      <w:r>
        <w:t>Pharmacokinetics question 3</w:t>
      </w:r>
    </w:p>
    <w:p w:rsidR="00215C26" w:rsidRPr="006C64E1" w:rsidRDefault="00215C26" w:rsidP="00215C26">
      <w:r w:rsidRPr="006C64E1">
        <w:t xml:space="preserve">Regarding Study M10-861 can the sponsor please provide an explanation as to why accumulation of </w:t>
      </w:r>
      <w:r w:rsidR="00F573D0">
        <w:t>paritaprevir</w:t>
      </w:r>
      <w:r w:rsidRPr="006C64E1">
        <w:t xml:space="preserve"> exposure was far less pronounced for the 300 mg </w:t>
      </w:r>
      <w:r w:rsidR="00F573D0">
        <w:t>paritaprevir</w:t>
      </w:r>
      <w:r w:rsidRPr="006C64E1">
        <w:t xml:space="preserve"> dose compared to the 250 mg and 200 mg doses?</w:t>
      </w:r>
    </w:p>
    <w:p w:rsidR="00215C26" w:rsidRDefault="00215C26" w:rsidP="00215C26">
      <w:pPr>
        <w:pStyle w:val="Heading5"/>
      </w:pPr>
      <w:r>
        <w:lastRenderedPageBreak/>
        <w:t>Pharmacokinetics question 4</w:t>
      </w:r>
    </w:p>
    <w:p w:rsidR="00215C26" w:rsidRPr="006C64E1" w:rsidRDefault="00215C26" w:rsidP="00215C26">
      <w:r w:rsidRPr="006C64E1">
        <w:t>Given the metabolic profile of R-warfarin, it is a little surprising that the PKs of R-warfarin were not af</w:t>
      </w:r>
      <w:r w:rsidR="00167A1A">
        <w:t xml:space="preserve">fected by the presence of the </w:t>
      </w:r>
      <w:r w:rsidR="00237CBE">
        <w:t>3DAA</w:t>
      </w:r>
      <w:r w:rsidRPr="006C64E1">
        <w:t xml:space="preserve">s + ritonavir (Study </w:t>
      </w:r>
      <w:r>
        <w:t>M</w:t>
      </w:r>
      <w:r w:rsidRPr="006C64E1">
        <w:t xml:space="preserve">12-198), considering that ritonavir is a potent inhibitor of CYP3A4. This possibly suggests that the PK interaction study should have instead examined </w:t>
      </w:r>
      <w:r>
        <w:t>steady state</w:t>
      </w:r>
      <w:r w:rsidRPr="006C64E1">
        <w:t xml:space="preserve"> levels of warfarin. Can the sponsor please comment on whether a different result would be expected if this was the case?</w:t>
      </w:r>
    </w:p>
    <w:p w:rsidR="00215C26" w:rsidRDefault="00215C26" w:rsidP="00215C26">
      <w:pPr>
        <w:pStyle w:val="Heading5"/>
      </w:pPr>
      <w:r>
        <w:t>Pharmacokinetics question 5</w:t>
      </w:r>
    </w:p>
    <w:p w:rsidR="00215C26" w:rsidRPr="006C64E1" w:rsidRDefault="00215C26" w:rsidP="00215C26">
      <w:r w:rsidRPr="006C64E1">
        <w:t>In Study M1</w:t>
      </w:r>
      <w:r>
        <w:t>4-</w:t>
      </w:r>
      <w:r w:rsidRPr="006C64E1">
        <w:t xml:space="preserve">027, due to the inhibition of CYP3A4 induced by ritonavir should we not expect to see an increase in carbamazepine exposure in the presence of the </w:t>
      </w:r>
      <w:r w:rsidR="00237CBE">
        <w:t>3DAA</w:t>
      </w:r>
      <w:r w:rsidRPr="006C64E1">
        <w:t>s + ritonavir</w:t>
      </w:r>
      <w:r w:rsidR="007C7771">
        <w:t>?</w:t>
      </w:r>
      <w:r w:rsidRPr="00444EBD">
        <w:rPr>
          <w:vertAlign w:val="superscript"/>
        </w:rPr>
        <w:footnoteReference w:id="65"/>
      </w:r>
    </w:p>
    <w:p w:rsidR="00215C26" w:rsidRDefault="00215C26" w:rsidP="00215C26">
      <w:pPr>
        <w:pStyle w:val="Heading5"/>
      </w:pPr>
      <w:r>
        <w:t>Pharmacokinetics question 6</w:t>
      </w:r>
    </w:p>
    <w:p w:rsidR="00215C26" w:rsidRPr="006C64E1" w:rsidRDefault="00215C26" w:rsidP="00215C26">
      <w:r w:rsidRPr="006C64E1">
        <w:t xml:space="preserve">It seems counter-intuitive that on the one hand ritonavir increases </w:t>
      </w:r>
      <w:r w:rsidR="00F573D0">
        <w:t>paritaprevir</w:t>
      </w:r>
      <w:r w:rsidRPr="006C64E1">
        <w:t xml:space="preserve"> exposure (</w:t>
      </w:r>
      <w:r w:rsidRPr="00167A1A">
        <w:t xml:space="preserve">see Tables 6 and 7 </w:t>
      </w:r>
      <w:r w:rsidR="00167A1A" w:rsidRPr="00167A1A">
        <w:t>in Attachment</w:t>
      </w:r>
      <w:r w:rsidR="00167A1A">
        <w:t xml:space="preserve"> 2</w:t>
      </w:r>
      <w:r w:rsidRPr="006C64E1">
        <w:t xml:space="preserve">) but in Study M12-202 the additional dose of ritonavir decreases </w:t>
      </w:r>
      <w:r w:rsidR="00F573D0">
        <w:t>paritaprevir</w:t>
      </w:r>
      <w:r w:rsidRPr="006C64E1">
        <w:t xml:space="preserve">, can the sponsor please provide an explanation concerning the differences seen in </w:t>
      </w:r>
      <w:r w:rsidR="00F573D0">
        <w:t>paritaprevir</w:t>
      </w:r>
      <w:r w:rsidRPr="006C64E1">
        <w:t xml:space="preserve"> PKs between Studies M13-506 and M12-202 described above?</w:t>
      </w:r>
    </w:p>
    <w:p w:rsidR="00215C26" w:rsidRDefault="00215C26" w:rsidP="00215C26">
      <w:pPr>
        <w:pStyle w:val="Heading5"/>
      </w:pPr>
      <w:r>
        <w:t>Pharmacokinetics question 7</w:t>
      </w:r>
    </w:p>
    <w:p w:rsidR="00215C26" w:rsidRPr="006C64E1" w:rsidRDefault="00215C26" w:rsidP="00215C26">
      <w:r w:rsidRPr="006C64E1">
        <w:t xml:space="preserve">It is not clear why the sponsor has combined data from Arms 1 and 2 in which </w:t>
      </w:r>
      <w:r w:rsidR="00237CBE">
        <w:t>3DAA</w:t>
      </w:r>
      <w:r w:rsidRPr="006C64E1">
        <w:t xml:space="preserve">s and 2 DAAs have been co-administered respectively, as Studies M13-394 and M12-189 indicate that co-administration of </w:t>
      </w:r>
      <w:r w:rsidR="00590286">
        <w:t>dasabuvir</w:t>
      </w:r>
      <w:r w:rsidRPr="006C64E1">
        <w:t xml:space="preserve"> with </w:t>
      </w:r>
      <w:r w:rsidR="00F573D0">
        <w:t>paritaprevir</w:t>
      </w:r>
      <w:r w:rsidR="007C7771">
        <w:t>/ritonavir/</w:t>
      </w:r>
      <w:r w:rsidR="00590286">
        <w:t>ombitasvir</w:t>
      </w:r>
      <w:r w:rsidRPr="006C64E1">
        <w:t xml:space="preserve"> significantly affects the PKs of </w:t>
      </w:r>
      <w:r w:rsidR="00F573D0">
        <w:t>paritaprevir</w:t>
      </w:r>
      <w:r w:rsidRPr="006C64E1">
        <w:t xml:space="preserve">, ritonavir and </w:t>
      </w:r>
      <w:r w:rsidR="00590286">
        <w:t>ombitasvir</w:t>
      </w:r>
      <w:r w:rsidRPr="006C64E1">
        <w:t xml:space="preserve">. Can the sponsor please provide replacement </w:t>
      </w:r>
      <w:r w:rsidRPr="0060197C">
        <w:t>Tables 4.57.1 and 4.57.2</w:t>
      </w:r>
      <w:r w:rsidRPr="006C64E1">
        <w:t xml:space="preserve"> in which the two data sets for Arm 1 and 2 have been separated?</w:t>
      </w:r>
    </w:p>
    <w:p w:rsidR="00215C26" w:rsidRDefault="00215C26" w:rsidP="00215C26">
      <w:pPr>
        <w:pStyle w:val="Heading5"/>
      </w:pPr>
      <w:r>
        <w:t>Pharmacokinetics question 8</w:t>
      </w:r>
    </w:p>
    <w:p w:rsidR="00215C26" w:rsidRPr="006C64E1" w:rsidRDefault="00215C26" w:rsidP="00215C26">
      <w:r w:rsidRPr="006C64E1">
        <w:t>Given the results of RD1</w:t>
      </w:r>
      <w:r w:rsidR="009E2121">
        <w:t>4-</w:t>
      </w:r>
      <w:r w:rsidRPr="006C64E1">
        <w:t xml:space="preserve">0047 PPK indicate that concomitant opioid use may significantly affect </w:t>
      </w:r>
      <w:r w:rsidR="00F573D0">
        <w:t>paritaprevir</w:t>
      </w:r>
      <w:r w:rsidRPr="006C64E1">
        <w:t xml:space="preserve"> clearance, can the sponsor please justify why the effects of co-administration of opi</w:t>
      </w:r>
      <w:r w:rsidR="00167A1A">
        <w:t xml:space="preserve">oid </w:t>
      </w:r>
      <w:r w:rsidRPr="006C64E1">
        <w:t xml:space="preserve">like substances, in Studies M12-997 and M13-100, on the PKs of </w:t>
      </w:r>
      <w:r w:rsidR="00167A1A">
        <w:t>Viekira Pak</w:t>
      </w:r>
      <w:r w:rsidRPr="006C64E1">
        <w:t xml:space="preserve"> were not examined?</w:t>
      </w:r>
    </w:p>
    <w:p w:rsidR="00215C26" w:rsidRDefault="00215C26" w:rsidP="00215C26">
      <w:pPr>
        <w:pStyle w:val="Heading5"/>
      </w:pPr>
      <w:r>
        <w:t>Pharmacokinetics question 9</w:t>
      </w:r>
    </w:p>
    <w:p w:rsidR="00215C26" w:rsidRPr="006C64E1" w:rsidRDefault="00215C26" w:rsidP="00167A1A">
      <w:r w:rsidRPr="006C64E1">
        <w:t xml:space="preserve">Given that for anti-depressants to be clinically effective they must attain </w:t>
      </w:r>
      <w:r>
        <w:t>steady state</w:t>
      </w:r>
      <w:r w:rsidRPr="006C64E1">
        <w:t xml:space="preserve">, why has Study </w:t>
      </w:r>
      <w:r>
        <w:t>M</w:t>
      </w:r>
      <w:r w:rsidRPr="006C64E1">
        <w:t xml:space="preserve">12-204 only examined the interaction between </w:t>
      </w:r>
      <w:r w:rsidR="00167A1A">
        <w:t xml:space="preserve">Viekira </w:t>
      </w:r>
      <w:r>
        <w:t>Pak</w:t>
      </w:r>
      <w:r w:rsidRPr="006C64E1">
        <w:t xml:space="preserve"> and single doses of the anti-depressants, especially considering that CYP3A4 is a major contributor to </w:t>
      </w:r>
      <w:r>
        <w:t>the metabolism of escitalopram?</w:t>
      </w:r>
    </w:p>
    <w:p w:rsidR="00215C26" w:rsidRDefault="00215C26" w:rsidP="00215C26">
      <w:pPr>
        <w:pStyle w:val="Heading5"/>
      </w:pPr>
      <w:r>
        <w:t>Pharmacokinetics question 10</w:t>
      </w:r>
    </w:p>
    <w:p w:rsidR="00215C26" w:rsidRPr="00586F98" w:rsidRDefault="00215C26" w:rsidP="00215C26">
      <w:r w:rsidRPr="006C64E1">
        <w:t xml:space="preserve">As the US PI for Xanax states that alprazolam should be administered multiple </w:t>
      </w:r>
      <w:r>
        <w:t xml:space="preserve">times daily and for at least 3 to </w:t>
      </w:r>
      <w:r w:rsidRPr="006C64E1">
        <w:t xml:space="preserve">4 days for maximum effect why has Study </w:t>
      </w:r>
      <w:r>
        <w:t>M14-324</w:t>
      </w:r>
      <w:r w:rsidRPr="006C64E1">
        <w:t xml:space="preserve"> only examined the interaction with </w:t>
      </w:r>
      <w:r w:rsidR="00167A1A">
        <w:t>Viekira Pak</w:t>
      </w:r>
      <w:r w:rsidRPr="006C64E1">
        <w:t xml:space="preserve"> following a single dose of alprazolam? This is of particular importance given that potent CYP3A4 inhibitors can increase alprazolam plasma concentrations by up to </w:t>
      </w:r>
      <w:r>
        <w:t>4 fold</w:t>
      </w:r>
      <w:r w:rsidRPr="006C64E1">
        <w:t>.</w:t>
      </w:r>
    </w:p>
    <w:p w:rsidR="00215C26" w:rsidRDefault="00215C26" w:rsidP="00215C26">
      <w:pPr>
        <w:pStyle w:val="Heading4"/>
      </w:pPr>
      <w:bookmarkStart w:id="173" w:name="_Toc458084467"/>
      <w:r>
        <w:lastRenderedPageBreak/>
        <w:t>Pharmacodynamics</w:t>
      </w:r>
      <w:bookmarkEnd w:id="173"/>
    </w:p>
    <w:p w:rsidR="00215C26" w:rsidRDefault="00215C26" w:rsidP="00215C26">
      <w:pPr>
        <w:pStyle w:val="Heading5"/>
      </w:pPr>
      <w:r>
        <w:t>Pharmacodynamics question 1</w:t>
      </w:r>
    </w:p>
    <w:p w:rsidR="00215C26" w:rsidRPr="006C64E1" w:rsidRDefault="00215C26" w:rsidP="00215C26">
      <w:r w:rsidRPr="006C64E1">
        <w:t>Regarding Study M10-351</w:t>
      </w:r>
      <w:r w:rsidRPr="0060197C">
        <w:t>, c</w:t>
      </w:r>
      <w:r w:rsidRPr="006C64E1">
        <w:t>an the sponsor please provide an e</w:t>
      </w:r>
      <w:r>
        <w:t>xplanation as to why the 100 mg </w:t>
      </w:r>
      <w:r w:rsidRPr="006C64E1">
        <w:t xml:space="preserve">QD, 100 mg </w:t>
      </w:r>
      <w:r>
        <w:t>BD</w:t>
      </w:r>
      <w:r w:rsidRPr="006C64E1">
        <w:t xml:space="preserve"> and 600 mg </w:t>
      </w:r>
      <w:r>
        <w:t>BD</w:t>
      </w:r>
      <w:r w:rsidRPr="006C64E1">
        <w:t xml:space="preserve"> doses of </w:t>
      </w:r>
      <w:r w:rsidR="00590286">
        <w:t>dasabuvir</w:t>
      </w:r>
      <w:r w:rsidRPr="006C64E1">
        <w:t xml:space="preserve"> have </w:t>
      </w:r>
      <w:r w:rsidR="005F323A">
        <w:t>dose dependent</w:t>
      </w:r>
      <w:r w:rsidRPr="006C64E1">
        <w:t xml:space="preserve"> </w:t>
      </w:r>
      <w:r w:rsidR="00772535">
        <w:t>antiviral</w:t>
      </w:r>
      <w:r w:rsidRPr="006C64E1">
        <w:t xml:space="preserve"> effects, whereas, the 600 mg QD dose does not?</w:t>
      </w:r>
    </w:p>
    <w:p w:rsidR="00215C26" w:rsidRDefault="00215C26" w:rsidP="00215C26">
      <w:pPr>
        <w:pStyle w:val="Heading4"/>
      </w:pPr>
      <w:bookmarkStart w:id="174" w:name="_Toc458084468"/>
      <w:r>
        <w:t>Efficacy</w:t>
      </w:r>
      <w:bookmarkEnd w:id="174"/>
    </w:p>
    <w:p w:rsidR="00215C26" w:rsidRDefault="00215C26" w:rsidP="00215C26">
      <w:pPr>
        <w:pStyle w:val="Heading5"/>
      </w:pPr>
      <w:r>
        <w:t>Efficacy question 1</w:t>
      </w:r>
    </w:p>
    <w:p w:rsidR="00215C26" w:rsidRPr="006C64E1" w:rsidRDefault="00215C26" w:rsidP="00215C26">
      <w:r w:rsidRPr="006C64E1">
        <w:t>Individual patient data and the percentages of some important protocol deviations are provided in the CSRs. However, it is unclear what percentages of patients had major deviations, how many had deviations leading to exclusion from the analyses of the primary endpoints, and on what basis these decisions were made. Please provide these data f</w:t>
      </w:r>
      <w:r>
        <w:t>or each of the pivotal studies.</w:t>
      </w:r>
    </w:p>
    <w:p w:rsidR="00215C26" w:rsidRDefault="00215C26" w:rsidP="00215C26">
      <w:pPr>
        <w:pStyle w:val="Heading5"/>
      </w:pPr>
      <w:r>
        <w:t>Efficacy question 2</w:t>
      </w:r>
    </w:p>
    <w:p w:rsidR="00215C26" w:rsidRDefault="00215C26" w:rsidP="00215C26">
      <w:r w:rsidRPr="006C64E1">
        <w:t>The body of the M13-961 CSR Section 9.4.1 (Treatments) contains the following statement:</w:t>
      </w:r>
    </w:p>
    <w:p w:rsidR="00215C26" w:rsidRPr="00630135" w:rsidRDefault="00215C26" w:rsidP="00215C26">
      <w:pPr>
        <w:ind w:left="720"/>
        <w:rPr>
          <w:i/>
        </w:rPr>
      </w:pPr>
      <w:r w:rsidRPr="00630135">
        <w:rPr>
          <w:i/>
        </w:rPr>
        <w:t xml:space="preserve">Subjects received </w:t>
      </w:r>
      <w:r w:rsidR="00F573D0">
        <w:rPr>
          <w:i/>
        </w:rPr>
        <w:t>paritaprevir</w:t>
      </w:r>
      <w:r w:rsidR="00167A1A">
        <w:rPr>
          <w:i/>
        </w:rPr>
        <w:t>/ritonavir/</w:t>
      </w:r>
      <w:r w:rsidR="00590286">
        <w:rPr>
          <w:i/>
        </w:rPr>
        <w:t>ombitasvir</w:t>
      </w:r>
      <w:r w:rsidRPr="00630135">
        <w:rPr>
          <w:i/>
        </w:rPr>
        <w:t xml:space="preserve"> at 75 mg/50 mg/ 12.5 mg QD, </w:t>
      </w:r>
      <w:r w:rsidR="00590286">
        <w:rPr>
          <w:i/>
        </w:rPr>
        <w:t>dasabuvir</w:t>
      </w:r>
      <w:r w:rsidRPr="00630135">
        <w:rPr>
          <w:i/>
        </w:rPr>
        <w:t xml:space="preserve"> 250 mg </w:t>
      </w:r>
      <w:r>
        <w:rPr>
          <w:i/>
        </w:rPr>
        <w:t>BD</w:t>
      </w:r>
      <w:r w:rsidRPr="00630135">
        <w:rPr>
          <w:i/>
        </w:rPr>
        <w:t>, and either placebo for RBV or weight based RBV 1,000 or 1,200 mg divided BD for 12 weeks. All study drugs were taken orally with food.</w:t>
      </w:r>
    </w:p>
    <w:p w:rsidR="00215C26" w:rsidRPr="00630135" w:rsidRDefault="00215C26" w:rsidP="00215C26">
      <w:r w:rsidRPr="00630135">
        <w:t xml:space="preserve">In addition, the body of the </w:t>
      </w:r>
      <w:r>
        <w:t>M14-002</w:t>
      </w:r>
      <w:r w:rsidRPr="00630135">
        <w:t xml:space="preserve"> CSR Section 9.4.1 (Treatments) contains the following statement:</w:t>
      </w:r>
    </w:p>
    <w:p w:rsidR="00215C26" w:rsidRPr="006C64E1" w:rsidRDefault="00215C26" w:rsidP="00215C26">
      <w:pPr>
        <w:ind w:left="720"/>
      </w:pPr>
      <w:r w:rsidRPr="00630135">
        <w:rPr>
          <w:i/>
        </w:rPr>
        <w:t xml:space="preserve">Subjects received </w:t>
      </w:r>
      <w:r w:rsidR="00F573D0">
        <w:rPr>
          <w:i/>
        </w:rPr>
        <w:t>paritaprevir</w:t>
      </w:r>
      <w:r w:rsidR="00167A1A">
        <w:rPr>
          <w:i/>
        </w:rPr>
        <w:t>/ritonavir/</w:t>
      </w:r>
      <w:r w:rsidR="00590286">
        <w:rPr>
          <w:i/>
        </w:rPr>
        <w:t>ombitasvir</w:t>
      </w:r>
      <w:r w:rsidRPr="00630135">
        <w:rPr>
          <w:i/>
        </w:rPr>
        <w:t xml:space="preserve"> at 75 mg/50 mg/ 12.5 mg QD</w:t>
      </w:r>
    </w:p>
    <w:p w:rsidR="00215C26" w:rsidRPr="00630135" w:rsidRDefault="00215C26" w:rsidP="00215C26">
      <w:r w:rsidRPr="00630135">
        <w:t xml:space="preserve">In each case the evaluator has assumed that </w:t>
      </w:r>
      <w:r w:rsidR="00F573D0">
        <w:t>paritaprevir</w:t>
      </w:r>
      <w:r w:rsidR="00167A1A">
        <w:t>/ritonavir/</w:t>
      </w:r>
      <w:r w:rsidR="00590286">
        <w:t>ombitasvir</w:t>
      </w:r>
      <w:r w:rsidRPr="00630135">
        <w:t xml:space="preserve"> was actually given as two tablets of the stated dose QD and not one tablet either QD or </w:t>
      </w:r>
      <w:r>
        <w:t>BD</w:t>
      </w:r>
      <w:r w:rsidRPr="00630135">
        <w:t>. Please confirm.</w:t>
      </w:r>
    </w:p>
    <w:p w:rsidR="00215C26" w:rsidRDefault="00215C26" w:rsidP="00215C26">
      <w:pPr>
        <w:pStyle w:val="Heading5"/>
      </w:pPr>
      <w:r>
        <w:t>Efficacy question 3</w:t>
      </w:r>
    </w:p>
    <w:p w:rsidR="00215C26" w:rsidRPr="00630135" w:rsidRDefault="00215C26" w:rsidP="00215C26">
      <w:proofErr w:type="gramStart"/>
      <w:r w:rsidRPr="00630135">
        <w:t xml:space="preserve">Studies M13-389 and M13-961 both assessed </w:t>
      </w:r>
      <w:r w:rsidR="00237CBE">
        <w:t>3DAA</w:t>
      </w:r>
      <w:r w:rsidRPr="00630135">
        <w:t xml:space="preserve"> with and without RBV.</w:t>
      </w:r>
      <w:proofErr w:type="gramEnd"/>
      <w:r w:rsidRPr="00630135">
        <w:t xml:space="preserve"> The RBV component in M13-961 was </w:t>
      </w:r>
      <w:r>
        <w:t>double blind</w:t>
      </w:r>
      <w:r w:rsidRPr="00630135">
        <w:t xml:space="preserve">ed but M13-389 was conducted </w:t>
      </w:r>
      <w:r>
        <w:t>open label</w:t>
      </w:r>
      <w:r w:rsidRPr="00630135">
        <w:t>. Please provide a rationale for this difference in study design.</w:t>
      </w:r>
    </w:p>
    <w:p w:rsidR="00215C26" w:rsidRDefault="00215C26" w:rsidP="00215C26">
      <w:pPr>
        <w:pStyle w:val="Heading5"/>
      </w:pPr>
      <w:r>
        <w:t>Efficacy question 4</w:t>
      </w:r>
    </w:p>
    <w:p w:rsidR="00215C26" w:rsidRPr="00630135" w:rsidRDefault="00215C26" w:rsidP="00215C26">
      <w:r w:rsidRPr="00630135">
        <w:t>In the pivotal studies, a non-inferiority margin of 10.5% was selected. Please provide a rationale for this choice.</w:t>
      </w:r>
    </w:p>
    <w:p w:rsidR="00215C26" w:rsidRDefault="00215C26" w:rsidP="00215C26">
      <w:pPr>
        <w:pStyle w:val="Heading4"/>
      </w:pPr>
      <w:bookmarkStart w:id="175" w:name="_Toc458084469"/>
      <w:r>
        <w:t>Safety</w:t>
      </w:r>
      <w:bookmarkEnd w:id="175"/>
    </w:p>
    <w:p w:rsidR="00215C26" w:rsidRDefault="00215C26" w:rsidP="00215C26">
      <w:pPr>
        <w:pStyle w:val="Heading5"/>
      </w:pPr>
      <w:r>
        <w:t>Safety question 1</w:t>
      </w:r>
    </w:p>
    <w:p w:rsidR="00605AD4" w:rsidRPr="00605AD4" w:rsidRDefault="00215C26" w:rsidP="00605AD4">
      <w:r w:rsidRPr="00630135">
        <w:t xml:space="preserve">Was there a rationale for not including a </w:t>
      </w:r>
      <w:r w:rsidR="00237CBE">
        <w:t>3DAA</w:t>
      </w:r>
      <w:r w:rsidRPr="00630135">
        <w:t xml:space="preserve"> arm in addition to the </w:t>
      </w:r>
      <w:r w:rsidR="00237CBE">
        <w:t>3DAA</w:t>
      </w:r>
      <w:r w:rsidRPr="00630135">
        <w:t xml:space="preserve"> + RBV arms in the </w:t>
      </w:r>
      <w:r>
        <w:t>placebo controlled</w:t>
      </w:r>
      <w:r w:rsidRPr="00630135">
        <w:t xml:space="preserve"> studies?</w:t>
      </w:r>
    </w:p>
    <w:p w:rsidR="00605AD4" w:rsidRPr="00605AD4" w:rsidRDefault="00605AD4" w:rsidP="00605AD4">
      <w:pPr>
        <w:pStyle w:val="Heading3"/>
        <w:rPr>
          <w:rFonts w:eastAsia="Cambria"/>
        </w:rPr>
      </w:pPr>
      <w:bookmarkStart w:id="176" w:name="_Toc480811589"/>
      <w:r w:rsidRPr="00605AD4">
        <w:rPr>
          <w:rFonts w:eastAsia="Cambria"/>
        </w:rPr>
        <w:t xml:space="preserve">Second </w:t>
      </w:r>
      <w:r w:rsidR="003E6B33" w:rsidRPr="00605AD4">
        <w:rPr>
          <w:rFonts w:eastAsia="Cambria"/>
        </w:rPr>
        <w:t xml:space="preserve">round evaluation </w:t>
      </w:r>
      <w:r w:rsidRPr="00605AD4">
        <w:rPr>
          <w:rFonts w:eastAsia="Cambria"/>
        </w:rPr>
        <w:t>of clinical data submitted in response to questions</w:t>
      </w:r>
      <w:bookmarkEnd w:id="176"/>
    </w:p>
    <w:p w:rsidR="006136D7" w:rsidRPr="00605AD4" w:rsidRDefault="006136D7" w:rsidP="006136D7">
      <w:r>
        <w:t>For de</w:t>
      </w:r>
      <w:r w:rsidR="00427E0D">
        <w:t>tails of the sponsor’s response and the evaluation of the response</w:t>
      </w:r>
      <w:r>
        <w:t xml:space="preserve"> please see Attachment 2.</w:t>
      </w:r>
    </w:p>
    <w:p w:rsidR="00605AD4" w:rsidRPr="00605AD4" w:rsidRDefault="00605AD4" w:rsidP="00546154">
      <w:pPr>
        <w:pStyle w:val="Heading3"/>
        <w:rPr>
          <w:rFonts w:eastAsia="Cambria"/>
        </w:rPr>
      </w:pPr>
      <w:bookmarkStart w:id="177" w:name="_Toc480811590"/>
      <w:r w:rsidRPr="00605AD4">
        <w:rPr>
          <w:rFonts w:eastAsia="Cambria"/>
        </w:rPr>
        <w:lastRenderedPageBreak/>
        <w:t xml:space="preserve">Second </w:t>
      </w:r>
      <w:r w:rsidR="003E6B33" w:rsidRPr="00605AD4">
        <w:rPr>
          <w:rFonts w:eastAsia="Cambria"/>
        </w:rPr>
        <w:t>round benefit-risk assessment</w:t>
      </w:r>
      <w:bookmarkEnd w:id="177"/>
    </w:p>
    <w:p w:rsidR="00215C26" w:rsidRPr="00F83776" w:rsidRDefault="00215C26" w:rsidP="00215C26">
      <w:pPr>
        <w:pStyle w:val="Heading4"/>
      </w:pPr>
      <w:bookmarkStart w:id="178" w:name="_Toc272414709"/>
      <w:bookmarkStart w:id="179" w:name="_Toc290888575"/>
      <w:bookmarkStart w:id="180" w:name="_Toc416356554"/>
      <w:bookmarkStart w:id="181" w:name="_Toc458084476"/>
      <w:r w:rsidRPr="00F83776">
        <w:t>Second round assessment of benefits</w:t>
      </w:r>
      <w:bookmarkEnd w:id="178"/>
      <w:bookmarkEnd w:id="179"/>
      <w:bookmarkEnd w:id="180"/>
      <w:bookmarkEnd w:id="181"/>
    </w:p>
    <w:p w:rsidR="00215C26" w:rsidRPr="00F83776" w:rsidRDefault="00215C26" w:rsidP="00215C26">
      <w:r w:rsidRPr="00F83776">
        <w:t xml:space="preserve">After consideration of the responses to clinical questions, the benefits of </w:t>
      </w:r>
      <w:r>
        <w:t xml:space="preserve">Viekira Pak </w:t>
      </w:r>
      <w:r w:rsidRPr="00F83776">
        <w:t xml:space="preserve">and </w:t>
      </w:r>
      <w:r w:rsidR="00427E0D">
        <w:t>Viekira Pak-RBV</w:t>
      </w:r>
      <w:r w:rsidRPr="00F83776">
        <w:t xml:space="preserve"> in the proposed usage are unchanged from those identified </w:t>
      </w:r>
      <w:r>
        <w:t>in the first round assessment of benefits</w:t>
      </w:r>
      <w:r w:rsidRPr="00F83776">
        <w:t>.</w:t>
      </w:r>
    </w:p>
    <w:p w:rsidR="00215C26" w:rsidRPr="00F83776" w:rsidRDefault="00215C26" w:rsidP="00215C26">
      <w:pPr>
        <w:pStyle w:val="Heading4"/>
      </w:pPr>
      <w:bookmarkStart w:id="182" w:name="_Toc272414710"/>
      <w:bookmarkStart w:id="183" w:name="_Toc290888576"/>
      <w:bookmarkStart w:id="184" w:name="_Toc416356555"/>
      <w:bookmarkStart w:id="185" w:name="_Toc458084477"/>
      <w:r w:rsidRPr="00F83776">
        <w:t>Second round assessment of risks</w:t>
      </w:r>
      <w:bookmarkEnd w:id="182"/>
      <w:bookmarkEnd w:id="183"/>
      <w:bookmarkEnd w:id="184"/>
      <w:bookmarkEnd w:id="185"/>
    </w:p>
    <w:p w:rsidR="00215C26" w:rsidRPr="00F83776" w:rsidRDefault="00215C26" w:rsidP="00215C26">
      <w:r w:rsidRPr="00F83776">
        <w:t xml:space="preserve">After consideration of the responses to clinical questions, the benefits of </w:t>
      </w:r>
      <w:r>
        <w:t xml:space="preserve">Viekira Pak </w:t>
      </w:r>
      <w:r w:rsidRPr="00F83776">
        <w:t xml:space="preserve">and </w:t>
      </w:r>
      <w:r w:rsidR="00427E0D">
        <w:t>Viekira Pak-RBV</w:t>
      </w:r>
      <w:r w:rsidRPr="00F83776">
        <w:t xml:space="preserve"> in the proposed usage are unchanged from those identified in </w:t>
      </w:r>
      <w:r>
        <w:t>the first round assessment of risks</w:t>
      </w:r>
      <w:r w:rsidRPr="00F83776">
        <w:t>.</w:t>
      </w:r>
    </w:p>
    <w:p w:rsidR="00215C26" w:rsidRPr="00F83776" w:rsidRDefault="00215C26" w:rsidP="00215C26">
      <w:pPr>
        <w:pStyle w:val="Heading4"/>
      </w:pPr>
      <w:bookmarkStart w:id="186" w:name="_Toc272414711"/>
      <w:bookmarkStart w:id="187" w:name="_Toc290888577"/>
      <w:bookmarkStart w:id="188" w:name="_Toc416356556"/>
      <w:bookmarkStart w:id="189" w:name="_Toc458084478"/>
      <w:r w:rsidRPr="00F83776">
        <w:t>Second round assessment of benefit-risk balance</w:t>
      </w:r>
      <w:bookmarkEnd w:id="186"/>
      <w:bookmarkEnd w:id="187"/>
      <w:bookmarkEnd w:id="188"/>
      <w:bookmarkEnd w:id="189"/>
    </w:p>
    <w:p w:rsidR="00215C26" w:rsidRPr="00F83776" w:rsidRDefault="00215C26" w:rsidP="00215C26">
      <w:r w:rsidRPr="00F83776">
        <w:t xml:space="preserve">The benefit-risk balance of </w:t>
      </w:r>
      <w:r>
        <w:t xml:space="preserve">Viekira Pak </w:t>
      </w:r>
      <w:r w:rsidRPr="00F83776">
        <w:t xml:space="preserve">and </w:t>
      </w:r>
      <w:r w:rsidR="00427E0D">
        <w:t>Viekira Pak-RBV</w:t>
      </w:r>
      <w:r w:rsidRPr="00F83776">
        <w:t xml:space="preserve"> given the proposed </w:t>
      </w:r>
      <w:proofErr w:type="gramStart"/>
      <w:r w:rsidRPr="00F83776">
        <w:t>usage,</w:t>
      </w:r>
      <w:proofErr w:type="gramEnd"/>
      <w:r w:rsidRPr="00F83776">
        <w:t xml:space="preserve"> is favourable.</w:t>
      </w:r>
    </w:p>
    <w:p w:rsidR="00215C26" w:rsidRDefault="00215C26" w:rsidP="00215C26">
      <w:pPr>
        <w:pStyle w:val="Heading4"/>
      </w:pPr>
      <w:bookmarkStart w:id="190" w:name="_Toc458084479"/>
      <w:r>
        <w:t>Second round recommendation regarding authorisation</w:t>
      </w:r>
      <w:bookmarkEnd w:id="190"/>
    </w:p>
    <w:p w:rsidR="00215C26" w:rsidRDefault="00215C26" w:rsidP="00215C26">
      <w:r w:rsidRPr="00F83776">
        <w:t>Approval is recommended</w:t>
      </w:r>
      <w:r w:rsidR="00427E0D">
        <w:t xml:space="preserve"> for the proposed indication of:</w:t>
      </w:r>
    </w:p>
    <w:p w:rsidR="00215C26" w:rsidRDefault="00215C26" w:rsidP="00215C26">
      <w:pPr>
        <w:ind w:left="720"/>
      </w:pPr>
      <w:r w:rsidRPr="0045073D">
        <w:rPr>
          <w:i/>
        </w:rPr>
        <w:t>‘</w:t>
      </w:r>
      <w:proofErr w:type="gramStart"/>
      <w:r w:rsidRPr="0045073D">
        <w:rPr>
          <w:i/>
        </w:rPr>
        <w:t>the</w:t>
      </w:r>
      <w:proofErr w:type="gramEnd"/>
      <w:r w:rsidRPr="0045073D">
        <w:rPr>
          <w:i/>
        </w:rPr>
        <w:t xml:space="preserve"> treatment of genotype 1 chronic hepatitis C infection, including patients with cirrhosis’</w:t>
      </w:r>
      <w:r>
        <w:t>.</w:t>
      </w:r>
    </w:p>
    <w:p w:rsidR="00605AD4" w:rsidRPr="00605AD4" w:rsidRDefault="00215C26" w:rsidP="00546154">
      <w:r w:rsidRPr="0045073D">
        <w:t>However, the approval is subject to incorporation of su</w:t>
      </w:r>
      <w:r>
        <w:t>ggested changes to proposed PI (discussion of these is beyond the scope of the AusPAR).</w:t>
      </w:r>
    </w:p>
    <w:p w:rsidR="008E7846" w:rsidRDefault="008E7846" w:rsidP="00546154">
      <w:pPr>
        <w:pStyle w:val="Heading2"/>
      </w:pPr>
      <w:bookmarkStart w:id="191" w:name="_Toc480811591"/>
      <w:r w:rsidRPr="00E41208">
        <w:t xml:space="preserve">V. Pharmacovigilance </w:t>
      </w:r>
      <w:r>
        <w:t>f</w:t>
      </w:r>
      <w:r w:rsidRPr="00E41208">
        <w:t>indings</w:t>
      </w:r>
      <w:bookmarkEnd w:id="154"/>
      <w:bookmarkEnd w:id="155"/>
      <w:bookmarkEnd w:id="191"/>
    </w:p>
    <w:p w:rsidR="002A1A76" w:rsidRPr="002A1A76" w:rsidRDefault="00344AFA" w:rsidP="002A1A76">
      <w:r>
        <w:t>Please note the Risk management plan for Viekira Pak-RBV is different to that described for the related product Viekira Pak which was reviewed for the submission PM-2014-01436-1-2</w:t>
      </w:r>
    </w:p>
    <w:p w:rsidR="008E7846" w:rsidRPr="002C1FD8" w:rsidRDefault="00386150" w:rsidP="008E7846">
      <w:pPr>
        <w:pStyle w:val="Heading3"/>
        <w:rPr>
          <w:lang w:eastAsia="en-AU"/>
        </w:rPr>
      </w:pPr>
      <w:bookmarkStart w:id="192" w:name="_Toc247691526"/>
      <w:bookmarkStart w:id="193" w:name="_Toc314842509"/>
      <w:bookmarkStart w:id="194" w:name="_Toc480811592"/>
      <w:r w:rsidRPr="002C1FD8">
        <w:rPr>
          <w:lang w:eastAsia="en-AU"/>
        </w:rPr>
        <w:t>Risk m</w:t>
      </w:r>
      <w:r w:rsidR="008E7846" w:rsidRPr="002C1FD8">
        <w:rPr>
          <w:lang w:eastAsia="en-AU"/>
        </w:rPr>
        <w:t xml:space="preserve">anagement </w:t>
      </w:r>
      <w:r w:rsidRPr="002C1FD8">
        <w:rPr>
          <w:lang w:eastAsia="en-AU"/>
        </w:rPr>
        <w:t>p</w:t>
      </w:r>
      <w:r w:rsidR="008E7846" w:rsidRPr="002C1FD8">
        <w:rPr>
          <w:lang w:eastAsia="en-AU"/>
        </w:rPr>
        <w:t>lan</w:t>
      </w:r>
      <w:bookmarkEnd w:id="192"/>
      <w:bookmarkEnd w:id="193"/>
      <w:bookmarkEnd w:id="194"/>
    </w:p>
    <w:p w:rsidR="0000093A" w:rsidRPr="002C1FD8" w:rsidRDefault="008E7846" w:rsidP="00CE16B7">
      <w:r w:rsidRPr="002C1FD8">
        <w:t xml:space="preserve">The sponsor submitted a Risk Management </w:t>
      </w:r>
      <w:r w:rsidR="002C1FD8" w:rsidRPr="002C1FD8">
        <w:t xml:space="preserve">Plan </w:t>
      </w:r>
      <w:r w:rsidR="00344AFA" w:rsidRPr="002C1FD8">
        <w:t>(in EU-RMP format) Version 1.0 (dated June 2014, DLP 24 January 2014) and Australian Specific Annex Version 1.0 (dated June 2014)</w:t>
      </w:r>
      <w:r w:rsidR="006F25B8" w:rsidRPr="002C1FD8">
        <w:t xml:space="preserve"> </w:t>
      </w:r>
      <w:r w:rsidRPr="002C1FD8">
        <w:t xml:space="preserve">which was reviewed by the </w:t>
      </w:r>
      <w:r w:rsidR="00FC1FCA" w:rsidRPr="002C1FD8">
        <w:t>RMP evaluator.</w:t>
      </w:r>
    </w:p>
    <w:p w:rsidR="008E7846" w:rsidRPr="002C1FD8" w:rsidRDefault="003A7F6C" w:rsidP="008E7846">
      <w:pPr>
        <w:pStyle w:val="Heading4"/>
        <w:rPr>
          <w:lang w:eastAsia="en-AU"/>
        </w:rPr>
      </w:pPr>
      <w:r w:rsidRPr="002C1FD8">
        <w:rPr>
          <w:lang w:eastAsia="en-AU"/>
        </w:rPr>
        <w:t>Safety s</w:t>
      </w:r>
      <w:r w:rsidR="008E7846" w:rsidRPr="002C1FD8">
        <w:rPr>
          <w:lang w:eastAsia="en-AU"/>
        </w:rPr>
        <w:t>pecification</w:t>
      </w:r>
    </w:p>
    <w:p w:rsidR="008E7846" w:rsidRPr="002C1FD8" w:rsidRDefault="008E7846" w:rsidP="008E7846">
      <w:pPr>
        <w:rPr>
          <w:lang w:eastAsia="en-AU"/>
        </w:rPr>
      </w:pPr>
      <w:r w:rsidRPr="002C1FD8">
        <w:rPr>
          <w:lang w:eastAsia="en-AU"/>
        </w:rPr>
        <w:t>The</w:t>
      </w:r>
      <w:r w:rsidR="006F25B8" w:rsidRPr="002C1FD8">
        <w:rPr>
          <w:lang w:eastAsia="en-AU"/>
        </w:rPr>
        <w:t xml:space="preserve"> sponsor provided a summary of o</w:t>
      </w:r>
      <w:r w:rsidRPr="002C1FD8">
        <w:rPr>
          <w:lang w:eastAsia="en-AU"/>
        </w:rPr>
        <w:t xml:space="preserve">ngoing safety </w:t>
      </w:r>
      <w:r w:rsidR="006F25B8" w:rsidRPr="002C1FD8">
        <w:rPr>
          <w:lang w:eastAsia="en-AU"/>
        </w:rPr>
        <w:t>c</w:t>
      </w:r>
      <w:r w:rsidRPr="002C1FD8">
        <w:rPr>
          <w:lang w:eastAsia="en-AU"/>
        </w:rPr>
        <w:t>on</w:t>
      </w:r>
      <w:r w:rsidR="00537371" w:rsidRPr="002C1FD8">
        <w:rPr>
          <w:lang w:eastAsia="en-AU"/>
        </w:rPr>
        <w:t>cerns which are shown at Table 20</w:t>
      </w:r>
      <w:r w:rsidRPr="002C1FD8">
        <w:rPr>
          <w:lang w:eastAsia="en-AU"/>
        </w:rPr>
        <w:t>.</w:t>
      </w:r>
    </w:p>
    <w:p w:rsidR="0000093A" w:rsidRPr="00231AAC" w:rsidRDefault="00537371" w:rsidP="00537371">
      <w:pPr>
        <w:pStyle w:val="Tabletitle0"/>
      </w:pPr>
      <w:r w:rsidRPr="00231AAC">
        <w:t>Table 20</w:t>
      </w:r>
      <w:r w:rsidR="0000093A" w:rsidRPr="00231AAC">
        <w:t xml:space="preserve">: Ongoing safety concerns and missing information provided by the sponsor in their RMP submission for </w:t>
      </w:r>
      <w:r w:rsidR="00167A1A" w:rsidRPr="00231AAC">
        <w:t>Viekira Pak</w:t>
      </w:r>
      <w:r w:rsidR="0000093A" w:rsidRPr="00231AAC">
        <w:t xml:space="preserve"> (without ribavirin)</w:t>
      </w:r>
    </w:p>
    <w:tbl>
      <w:tblPr>
        <w:tblStyle w:val="TableTGAblue"/>
        <w:tblW w:w="0" w:type="auto"/>
        <w:tblLook w:val="04A0" w:firstRow="1" w:lastRow="0" w:firstColumn="1" w:lastColumn="0" w:noHBand="0" w:noVBand="1"/>
      </w:tblPr>
      <w:tblGrid>
        <w:gridCol w:w="4360"/>
        <w:gridCol w:w="4360"/>
      </w:tblGrid>
      <w:tr w:rsidR="0000093A" w:rsidRPr="003E6B33" w:rsidTr="0000093A">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0093A" w:rsidRPr="003E6B33" w:rsidRDefault="0000093A" w:rsidP="003E6B33">
            <w:pPr>
              <w:rPr>
                <w:sz w:val="20"/>
                <w:szCs w:val="20"/>
              </w:rPr>
            </w:pPr>
            <w:r w:rsidRPr="003E6B33">
              <w:rPr>
                <w:sz w:val="20"/>
                <w:szCs w:val="20"/>
              </w:rPr>
              <w:t>Ongoing safety concerns for Viekira Pak (without ribavirin)</w:t>
            </w:r>
          </w:p>
        </w:tc>
      </w:tr>
      <w:tr w:rsidR="0000093A" w:rsidRPr="003E6B33" w:rsidTr="0000093A">
        <w:tc>
          <w:tcPr>
            <w:tcW w:w="4360" w:type="dxa"/>
          </w:tcPr>
          <w:p w:rsidR="0000093A" w:rsidRPr="003E6B33" w:rsidRDefault="0000093A" w:rsidP="003E6B33">
            <w:pPr>
              <w:rPr>
                <w:sz w:val="20"/>
                <w:szCs w:val="20"/>
              </w:rPr>
            </w:pPr>
            <w:r w:rsidRPr="003E6B33">
              <w:rPr>
                <w:sz w:val="20"/>
                <w:szCs w:val="20"/>
              </w:rPr>
              <w:t>Important identified risk</w:t>
            </w:r>
            <w:r w:rsidR="00C71265" w:rsidRPr="003E6B33">
              <w:rPr>
                <w:sz w:val="20"/>
                <w:szCs w:val="20"/>
              </w:rPr>
              <w:t>s</w:t>
            </w:r>
          </w:p>
        </w:tc>
        <w:tc>
          <w:tcPr>
            <w:tcW w:w="4360" w:type="dxa"/>
          </w:tcPr>
          <w:p w:rsidR="0000093A" w:rsidRPr="003E6B33" w:rsidRDefault="0000093A" w:rsidP="003E6B33">
            <w:pPr>
              <w:rPr>
                <w:sz w:val="20"/>
                <w:szCs w:val="20"/>
              </w:rPr>
            </w:pPr>
            <w:r w:rsidRPr="003E6B33">
              <w:rPr>
                <w:sz w:val="20"/>
                <w:szCs w:val="20"/>
              </w:rPr>
              <w:t>Drug-drug interactions</w:t>
            </w:r>
          </w:p>
          <w:p w:rsidR="0000093A" w:rsidRPr="003E6B33" w:rsidRDefault="0000093A" w:rsidP="003E6B33">
            <w:pPr>
              <w:rPr>
                <w:sz w:val="20"/>
                <w:szCs w:val="20"/>
              </w:rPr>
            </w:pPr>
            <w:r w:rsidRPr="003E6B33">
              <w:rPr>
                <w:sz w:val="20"/>
                <w:szCs w:val="20"/>
              </w:rPr>
              <w:t>Post-baseline serum ALT elevations (general population)</w:t>
            </w:r>
          </w:p>
          <w:p w:rsidR="0000093A" w:rsidRPr="003E6B33" w:rsidRDefault="0000093A" w:rsidP="003E6B33">
            <w:pPr>
              <w:rPr>
                <w:sz w:val="20"/>
                <w:szCs w:val="20"/>
              </w:rPr>
            </w:pPr>
            <w:r w:rsidRPr="003E6B33">
              <w:rPr>
                <w:sz w:val="20"/>
                <w:szCs w:val="20"/>
              </w:rPr>
              <w:t xml:space="preserve">Post-baseline serum ALT elevations </w:t>
            </w:r>
            <w:r w:rsidRPr="003E6B33">
              <w:rPr>
                <w:sz w:val="20"/>
                <w:szCs w:val="20"/>
              </w:rPr>
              <w:lastRenderedPageBreak/>
              <w:t>(patients receiving systemic oestrogen-containing medications)</w:t>
            </w:r>
          </w:p>
        </w:tc>
      </w:tr>
      <w:tr w:rsidR="0000093A" w:rsidRPr="003E6B33" w:rsidTr="0000093A">
        <w:tc>
          <w:tcPr>
            <w:tcW w:w="4360" w:type="dxa"/>
          </w:tcPr>
          <w:p w:rsidR="0000093A" w:rsidRPr="003E6B33" w:rsidRDefault="0000093A" w:rsidP="003E6B33">
            <w:pPr>
              <w:rPr>
                <w:sz w:val="20"/>
                <w:szCs w:val="20"/>
              </w:rPr>
            </w:pPr>
            <w:r w:rsidRPr="003E6B33">
              <w:rPr>
                <w:sz w:val="20"/>
                <w:szCs w:val="20"/>
              </w:rPr>
              <w:lastRenderedPageBreak/>
              <w:t>Important potential risk</w:t>
            </w:r>
            <w:r w:rsidR="00C71265" w:rsidRPr="003E6B33">
              <w:rPr>
                <w:sz w:val="20"/>
                <w:szCs w:val="20"/>
              </w:rPr>
              <w:t>s</w:t>
            </w:r>
          </w:p>
        </w:tc>
        <w:tc>
          <w:tcPr>
            <w:tcW w:w="4360" w:type="dxa"/>
          </w:tcPr>
          <w:p w:rsidR="0000093A" w:rsidRPr="003E6B33" w:rsidRDefault="0000093A" w:rsidP="003E6B33">
            <w:pPr>
              <w:rPr>
                <w:sz w:val="20"/>
                <w:szCs w:val="20"/>
              </w:rPr>
            </w:pPr>
            <w:r w:rsidRPr="003E6B33">
              <w:rPr>
                <w:sz w:val="20"/>
                <w:szCs w:val="20"/>
              </w:rPr>
              <w:t>Off-label use</w:t>
            </w:r>
          </w:p>
        </w:tc>
      </w:tr>
      <w:tr w:rsidR="0000093A" w:rsidRPr="003E6B33" w:rsidTr="0000093A">
        <w:tc>
          <w:tcPr>
            <w:tcW w:w="4360" w:type="dxa"/>
          </w:tcPr>
          <w:p w:rsidR="0000093A" w:rsidRPr="003E6B33" w:rsidRDefault="0000093A" w:rsidP="003E6B33">
            <w:pPr>
              <w:rPr>
                <w:sz w:val="20"/>
                <w:szCs w:val="20"/>
              </w:rPr>
            </w:pPr>
            <w:r w:rsidRPr="003E6B33">
              <w:rPr>
                <w:sz w:val="20"/>
                <w:szCs w:val="20"/>
              </w:rPr>
              <w:t>Missing information</w:t>
            </w:r>
          </w:p>
        </w:tc>
        <w:tc>
          <w:tcPr>
            <w:tcW w:w="4360" w:type="dxa"/>
          </w:tcPr>
          <w:p w:rsidR="0000093A" w:rsidRPr="003E6B33" w:rsidRDefault="0000093A" w:rsidP="003E6B33">
            <w:pPr>
              <w:rPr>
                <w:sz w:val="20"/>
                <w:szCs w:val="20"/>
              </w:rPr>
            </w:pPr>
            <w:r w:rsidRPr="003E6B33">
              <w:rPr>
                <w:sz w:val="20"/>
                <w:szCs w:val="20"/>
              </w:rPr>
              <w:t>Safety in paediatric subjects</w:t>
            </w:r>
          </w:p>
          <w:p w:rsidR="0000093A" w:rsidRPr="003E6B33" w:rsidRDefault="0000093A" w:rsidP="003E6B33">
            <w:pPr>
              <w:rPr>
                <w:sz w:val="20"/>
                <w:szCs w:val="20"/>
              </w:rPr>
            </w:pPr>
            <w:r w:rsidRPr="003E6B33">
              <w:rPr>
                <w:sz w:val="20"/>
                <w:szCs w:val="20"/>
              </w:rPr>
              <w:t>Transplant subjects</w:t>
            </w:r>
          </w:p>
          <w:p w:rsidR="0000093A" w:rsidRPr="003E6B33" w:rsidRDefault="0000093A" w:rsidP="003E6B33">
            <w:pPr>
              <w:rPr>
                <w:sz w:val="20"/>
                <w:szCs w:val="20"/>
              </w:rPr>
            </w:pPr>
            <w:r w:rsidRPr="003E6B33">
              <w:rPr>
                <w:sz w:val="20"/>
                <w:szCs w:val="20"/>
              </w:rPr>
              <w:t>HIV co-infected subjects</w:t>
            </w:r>
          </w:p>
          <w:p w:rsidR="0000093A" w:rsidRPr="003E6B33" w:rsidRDefault="0000093A" w:rsidP="003E6B33">
            <w:pPr>
              <w:rPr>
                <w:sz w:val="20"/>
                <w:szCs w:val="20"/>
              </w:rPr>
            </w:pPr>
            <w:r w:rsidRPr="003E6B33">
              <w:rPr>
                <w:sz w:val="20"/>
                <w:szCs w:val="20"/>
              </w:rPr>
              <w:t>Subjects with Child Pugh B</w:t>
            </w:r>
          </w:p>
          <w:p w:rsidR="0000093A" w:rsidRPr="003E6B33" w:rsidRDefault="0000093A" w:rsidP="003E6B33">
            <w:pPr>
              <w:rPr>
                <w:sz w:val="20"/>
                <w:szCs w:val="20"/>
              </w:rPr>
            </w:pPr>
            <w:r w:rsidRPr="003E6B33">
              <w:rPr>
                <w:sz w:val="20"/>
                <w:szCs w:val="20"/>
              </w:rPr>
              <w:t xml:space="preserve">HCV-infected patients with creatinine clearance </w:t>
            </w:r>
            <w:r w:rsidR="00AE29C4" w:rsidRPr="003E6B33">
              <w:rPr>
                <w:sz w:val="20"/>
                <w:szCs w:val="20"/>
              </w:rPr>
              <w:t xml:space="preserve">≤ </w:t>
            </w:r>
            <w:r w:rsidRPr="003E6B33">
              <w:rPr>
                <w:sz w:val="20"/>
                <w:szCs w:val="20"/>
              </w:rPr>
              <w:t>60 mL/min</w:t>
            </w:r>
          </w:p>
          <w:p w:rsidR="0000093A" w:rsidRPr="003E6B33" w:rsidRDefault="0000093A" w:rsidP="003E6B33">
            <w:pPr>
              <w:rPr>
                <w:sz w:val="20"/>
                <w:szCs w:val="20"/>
              </w:rPr>
            </w:pPr>
            <w:r w:rsidRPr="003E6B33">
              <w:rPr>
                <w:sz w:val="20"/>
                <w:szCs w:val="20"/>
              </w:rPr>
              <w:t>Medication errors</w:t>
            </w:r>
          </w:p>
          <w:p w:rsidR="0000093A" w:rsidRPr="003E6B33" w:rsidRDefault="0000093A" w:rsidP="003E6B33">
            <w:pPr>
              <w:rPr>
                <w:sz w:val="20"/>
                <w:szCs w:val="20"/>
              </w:rPr>
            </w:pPr>
            <w:r w:rsidRPr="003E6B33">
              <w:rPr>
                <w:sz w:val="20"/>
                <w:szCs w:val="20"/>
              </w:rPr>
              <w:t>Safety in pregnancy or during breastfeeding</w:t>
            </w:r>
          </w:p>
          <w:p w:rsidR="0000093A" w:rsidRPr="003E6B33" w:rsidRDefault="0000093A" w:rsidP="003E6B33">
            <w:pPr>
              <w:rPr>
                <w:sz w:val="20"/>
                <w:szCs w:val="20"/>
              </w:rPr>
            </w:pPr>
            <w:r w:rsidRPr="003E6B33">
              <w:rPr>
                <w:sz w:val="20"/>
                <w:szCs w:val="20"/>
              </w:rPr>
              <w:t>Risks of resistance development</w:t>
            </w:r>
          </w:p>
        </w:tc>
      </w:tr>
    </w:tbl>
    <w:p w:rsidR="0000093A" w:rsidRDefault="00231AAC" w:rsidP="00231AAC">
      <w:pPr>
        <w:pStyle w:val="Tabletitle0"/>
      </w:pPr>
      <w:r w:rsidRPr="00231AAC">
        <w:t xml:space="preserve">Table </w:t>
      </w:r>
      <w:r w:rsidR="00654113">
        <w:t>21</w:t>
      </w:r>
      <w:r w:rsidRPr="00231AAC">
        <w:t xml:space="preserve"> Ongoing safety concerns provided by the sponsor in the</w:t>
      </w:r>
      <w:r>
        <w:t>ir RMP submission for ribavirin</w:t>
      </w:r>
    </w:p>
    <w:tbl>
      <w:tblPr>
        <w:tblStyle w:val="TableTGAblue"/>
        <w:tblW w:w="0" w:type="auto"/>
        <w:tblLook w:val="04A0" w:firstRow="1" w:lastRow="0" w:firstColumn="1" w:lastColumn="0" w:noHBand="0" w:noVBand="1"/>
      </w:tblPr>
      <w:tblGrid>
        <w:gridCol w:w="4360"/>
        <w:gridCol w:w="4360"/>
      </w:tblGrid>
      <w:tr w:rsidR="00231AAC" w:rsidRPr="003E6B33" w:rsidTr="005F658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231AAC" w:rsidRPr="003E6B33" w:rsidRDefault="00231AAC" w:rsidP="003E6B33">
            <w:pPr>
              <w:rPr>
                <w:sz w:val="20"/>
                <w:szCs w:val="20"/>
              </w:rPr>
            </w:pPr>
            <w:r w:rsidRPr="003E6B33">
              <w:rPr>
                <w:sz w:val="20"/>
                <w:szCs w:val="20"/>
              </w:rPr>
              <w:t>Ongoing safety concerns for Viekira Pak-TBV</w:t>
            </w:r>
          </w:p>
        </w:tc>
      </w:tr>
      <w:tr w:rsidR="00231AAC" w:rsidRPr="003E6B33" w:rsidTr="00231AAC">
        <w:tc>
          <w:tcPr>
            <w:tcW w:w="4360" w:type="dxa"/>
          </w:tcPr>
          <w:p w:rsidR="00231AAC" w:rsidRPr="003E6B33" w:rsidRDefault="009B6DD2" w:rsidP="003E6B33">
            <w:pPr>
              <w:rPr>
                <w:sz w:val="20"/>
                <w:szCs w:val="20"/>
              </w:rPr>
            </w:pPr>
            <w:r w:rsidRPr="003E6B33">
              <w:rPr>
                <w:sz w:val="20"/>
                <w:szCs w:val="20"/>
              </w:rPr>
              <w:t>Important Identified Risk</w:t>
            </w:r>
          </w:p>
        </w:tc>
        <w:tc>
          <w:tcPr>
            <w:tcW w:w="4360" w:type="dxa"/>
          </w:tcPr>
          <w:p w:rsidR="009B6DD2" w:rsidRPr="003E6B33" w:rsidRDefault="009B6DD2" w:rsidP="003E6B33">
            <w:pPr>
              <w:rPr>
                <w:sz w:val="20"/>
                <w:szCs w:val="20"/>
              </w:rPr>
            </w:pPr>
            <w:r w:rsidRPr="003E6B33">
              <w:rPr>
                <w:sz w:val="20"/>
                <w:szCs w:val="20"/>
              </w:rPr>
              <w:t>Anaemia</w:t>
            </w:r>
          </w:p>
          <w:p w:rsidR="009B6DD2" w:rsidRPr="003E6B33" w:rsidRDefault="009B6DD2" w:rsidP="003E6B33">
            <w:pPr>
              <w:rPr>
                <w:sz w:val="20"/>
                <w:szCs w:val="20"/>
              </w:rPr>
            </w:pPr>
            <w:r w:rsidRPr="003E6B33">
              <w:rPr>
                <w:sz w:val="20"/>
                <w:szCs w:val="20"/>
              </w:rPr>
              <w:t>Teratogenicity</w:t>
            </w:r>
          </w:p>
          <w:p w:rsidR="009B6DD2" w:rsidRPr="003E6B33" w:rsidRDefault="009B6DD2" w:rsidP="003E6B33">
            <w:pPr>
              <w:rPr>
                <w:sz w:val="20"/>
                <w:szCs w:val="20"/>
              </w:rPr>
            </w:pPr>
            <w:r w:rsidRPr="003E6B33">
              <w:rPr>
                <w:sz w:val="20"/>
                <w:szCs w:val="20"/>
              </w:rPr>
              <w:t>Hypersensitivity</w:t>
            </w:r>
          </w:p>
          <w:p w:rsidR="009B6DD2" w:rsidRPr="003E6B33" w:rsidRDefault="009B6DD2" w:rsidP="003E6B33">
            <w:pPr>
              <w:rPr>
                <w:sz w:val="20"/>
                <w:szCs w:val="20"/>
              </w:rPr>
            </w:pPr>
            <w:r w:rsidRPr="003E6B33">
              <w:rPr>
                <w:sz w:val="20"/>
                <w:szCs w:val="20"/>
              </w:rPr>
              <w:t>Use in patients with renal impairment</w:t>
            </w:r>
          </w:p>
          <w:p w:rsidR="00231AAC" w:rsidRPr="003E6B33" w:rsidRDefault="009B6DD2" w:rsidP="003E6B33">
            <w:pPr>
              <w:rPr>
                <w:sz w:val="20"/>
                <w:szCs w:val="20"/>
              </w:rPr>
            </w:pPr>
            <w:r w:rsidRPr="003E6B33">
              <w:rPr>
                <w:sz w:val="20"/>
                <w:szCs w:val="20"/>
              </w:rPr>
              <w:t>Drug-drug interactions</w:t>
            </w:r>
          </w:p>
        </w:tc>
      </w:tr>
    </w:tbl>
    <w:p w:rsidR="008E7846" w:rsidRPr="00BD522A" w:rsidRDefault="008E7846" w:rsidP="008E7846">
      <w:pPr>
        <w:pStyle w:val="Heading4"/>
        <w:rPr>
          <w:lang w:eastAsia="en-AU"/>
        </w:rPr>
      </w:pPr>
      <w:r w:rsidRPr="00BD522A">
        <w:rPr>
          <w:lang w:eastAsia="en-AU"/>
        </w:rPr>
        <w:t xml:space="preserve">Pharmacovigilance </w:t>
      </w:r>
      <w:r w:rsidR="003A7F6C" w:rsidRPr="00BD522A">
        <w:rPr>
          <w:lang w:eastAsia="en-AU"/>
        </w:rPr>
        <w:t>p</w:t>
      </w:r>
      <w:r w:rsidRPr="00BD522A">
        <w:rPr>
          <w:lang w:eastAsia="en-AU"/>
        </w:rPr>
        <w:t>lan</w:t>
      </w:r>
    </w:p>
    <w:p w:rsidR="007C562E" w:rsidRPr="00BD522A" w:rsidRDefault="007C562E" w:rsidP="007C562E">
      <w:r w:rsidRPr="00BD522A">
        <w:t xml:space="preserve">The sponsor proposes routine pharmacovigilance activities for important identified and important potential risks, and missing information items. Furthermore, additional activities are planned for some </w:t>
      </w:r>
      <w:r w:rsidR="00BD522A" w:rsidRPr="00BD522A">
        <w:t xml:space="preserve">of the </w:t>
      </w:r>
      <w:r w:rsidRPr="00BD522A">
        <w:t>risks</w:t>
      </w:r>
      <w:r w:rsidR="00BD522A" w:rsidRPr="00BD522A">
        <w:t xml:space="preserve">. These activities are summarised in </w:t>
      </w:r>
      <w:r w:rsidRPr="00BD522A">
        <w:t xml:space="preserve">Table </w:t>
      </w:r>
      <w:r w:rsidR="00654113">
        <w:t>22</w:t>
      </w:r>
      <w:r w:rsidRPr="00BD522A">
        <w:t>.</w:t>
      </w:r>
    </w:p>
    <w:p w:rsidR="007C562E" w:rsidRPr="00BD522A" w:rsidRDefault="007C562E" w:rsidP="007C562E">
      <w:pPr>
        <w:pStyle w:val="TableTitle"/>
      </w:pPr>
      <w:r w:rsidRPr="00BD522A">
        <w:t>Ta</w:t>
      </w:r>
      <w:r w:rsidR="00654113">
        <w:t>ble 22</w:t>
      </w:r>
      <w:r w:rsidRPr="00BD522A">
        <w:t>: Additional pharmacovigilance activities planned by the sponsor</w:t>
      </w:r>
    </w:p>
    <w:tbl>
      <w:tblPr>
        <w:tblStyle w:val="TableTGAblue"/>
        <w:tblW w:w="8613" w:type="dxa"/>
        <w:tblLayout w:type="fixed"/>
        <w:tblLook w:val="04A0" w:firstRow="1" w:lastRow="0" w:firstColumn="1" w:lastColumn="0" w:noHBand="0" w:noVBand="1"/>
      </w:tblPr>
      <w:tblGrid>
        <w:gridCol w:w="2518"/>
        <w:gridCol w:w="1843"/>
        <w:gridCol w:w="2977"/>
        <w:gridCol w:w="1275"/>
      </w:tblGrid>
      <w:tr w:rsidR="00FA2B41" w:rsidRPr="003E6B33" w:rsidTr="009E2121">
        <w:trPr>
          <w:cnfStyle w:val="100000000000" w:firstRow="1" w:lastRow="0" w:firstColumn="0" w:lastColumn="0" w:oddVBand="0" w:evenVBand="0" w:oddHBand="0" w:evenHBand="0" w:firstRowFirstColumn="0" w:firstRowLastColumn="0" w:lastRowFirstColumn="0" w:lastRowLastColumn="0"/>
        </w:trPr>
        <w:tc>
          <w:tcPr>
            <w:tcW w:w="2518" w:type="dxa"/>
          </w:tcPr>
          <w:p w:rsidR="00FA2B41" w:rsidRPr="003E6B33" w:rsidRDefault="00FA2B41" w:rsidP="003E6B33">
            <w:pPr>
              <w:rPr>
                <w:sz w:val="20"/>
                <w:szCs w:val="20"/>
              </w:rPr>
            </w:pPr>
            <w:r w:rsidRPr="003E6B33">
              <w:rPr>
                <w:sz w:val="20"/>
                <w:szCs w:val="20"/>
              </w:rPr>
              <w:t>Additional activity</w:t>
            </w:r>
          </w:p>
        </w:tc>
        <w:tc>
          <w:tcPr>
            <w:tcW w:w="1843" w:type="dxa"/>
          </w:tcPr>
          <w:p w:rsidR="00FA2B41" w:rsidRPr="003E6B33" w:rsidRDefault="00FA2B41" w:rsidP="003E6B33">
            <w:pPr>
              <w:rPr>
                <w:sz w:val="20"/>
                <w:szCs w:val="20"/>
              </w:rPr>
            </w:pPr>
            <w:r w:rsidRPr="003E6B33">
              <w:rPr>
                <w:sz w:val="20"/>
                <w:szCs w:val="20"/>
              </w:rPr>
              <w:t>Assigned safety concern</w:t>
            </w:r>
          </w:p>
        </w:tc>
        <w:tc>
          <w:tcPr>
            <w:tcW w:w="2977" w:type="dxa"/>
          </w:tcPr>
          <w:p w:rsidR="00FA2B41" w:rsidRPr="003E6B33" w:rsidRDefault="00FA2B41" w:rsidP="003E6B33">
            <w:pPr>
              <w:rPr>
                <w:sz w:val="20"/>
                <w:szCs w:val="20"/>
              </w:rPr>
            </w:pPr>
            <w:r w:rsidRPr="003E6B33">
              <w:rPr>
                <w:sz w:val="20"/>
                <w:szCs w:val="20"/>
              </w:rPr>
              <w:t>Actions/outcome proposed</w:t>
            </w:r>
          </w:p>
        </w:tc>
        <w:tc>
          <w:tcPr>
            <w:tcW w:w="1275" w:type="dxa"/>
          </w:tcPr>
          <w:p w:rsidR="00FA2B41" w:rsidRPr="003E6B33" w:rsidRDefault="00FA2B41" w:rsidP="003E6B33">
            <w:pPr>
              <w:rPr>
                <w:sz w:val="20"/>
                <w:szCs w:val="20"/>
              </w:rPr>
            </w:pPr>
            <w:r w:rsidRPr="003E6B33">
              <w:rPr>
                <w:sz w:val="20"/>
                <w:szCs w:val="20"/>
              </w:rPr>
              <w:t>Estimated planned submission of final data</w:t>
            </w:r>
          </w:p>
        </w:tc>
      </w:tr>
      <w:tr w:rsidR="00FA2B41" w:rsidRPr="003E6B33" w:rsidTr="009E2121">
        <w:tc>
          <w:tcPr>
            <w:tcW w:w="2518" w:type="dxa"/>
          </w:tcPr>
          <w:p w:rsidR="00FA2B41" w:rsidRPr="003E6B33" w:rsidRDefault="00FA2B41" w:rsidP="003E6B33">
            <w:pPr>
              <w:rPr>
                <w:sz w:val="20"/>
                <w:szCs w:val="20"/>
              </w:rPr>
            </w:pPr>
            <w:r w:rsidRPr="003E6B33">
              <w:rPr>
                <w:sz w:val="20"/>
                <w:szCs w:val="20"/>
              </w:rPr>
              <w:t xml:space="preserve">Phase II/III Study M14-004, "A Randomized, Open-label Study to Evaluate the Safety and Efficacy of </w:t>
            </w:r>
            <w:r w:rsidR="00237CBE" w:rsidRPr="003E6B33">
              <w:rPr>
                <w:sz w:val="20"/>
                <w:szCs w:val="20"/>
              </w:rPr>
              <w:lastRenderedPageBreak/>
              <w:t>paritaprevir</w:t>
            </w:r>
            <w:r w:rsidRPr="003E6B33">
              <w:rPr>
                <w:sz w:val="20"/>
                <w:szCs w:val="20"/>
              </w:rPr>
              <w:t>/Ritonavir/</w:t>
            </w:r>
            <w:r w:rsidR="00237CBE" w:rsidRPr="003E6B33">
              <w:rPr>
                <w:sz w:val="20"/>
                <w:szCs w:val="20"/>
              </w:rPr>
              <w:t>/ombitasvir</w:t>
            </w:r>
            <w:r w:rsidRPr="003E6B33">
              <w:rPr>
                <w:sz w:val="20"/>
                <w:szCs w:val="20"/>
              </w:rPr>
              <w:t xml:space="preserve"> (</w:t>
            </w:r>
            <w:r w:rsidR="00237CBE" w:rsidRPr="003E6B33">
              <w:rPr>
                <w:sz w:val="20"/>
                <w:szCs w:val="20"/>
              </w:rPr>
              <w:t>paritaprevir/ritonavir/ombitasvir</w:t>
            </w:r>
            <w:r w:rsidRPr="003E6B33">
              <w:rPr>
                <w:sz w:val="20"/>
                <w:szCs w:val="20"/>
              </w:rPr>
              <w:t xml:space="preserve">) and </w:t>
            </w:r>
            <w:r w:rsidR="00237CBE" w:rsidRPr="003E6B33">
              <w:rPr>
                <w:sz w:val="20"/>
                <w:szCs w:val="20"/>
              </w:rPr>
              <w:t>dasabuvir</w:t>
            </w:r>
            <w:r w:rsidRPr="003E6B33">
              <w:rPr>
                <w:sz w:val="20"/>
                <w:szCs w:val="20"/>
              </w:rPr>
              <w:t xml:space="preserve"> Co-administered with Ribavirin (RBV) in Adults with Genotype 1 Chronic Hepatitis C Virus (HCV) Infection and Human Immunodeficiency Virus, Type 1 (HIV-1) Coinfection (Turquoise-1)"</w:t>
            </w:r>
          </w:p>
          <w:p w:rsidR="00FA2B41" w:rsidRPr="003E6B33" w:rsidRDefault="00FA2B41" w:rsidP="003E6B33">
            <w:pPr>
              <w:rPr>
                <w:sz w:val="20"/>
                <w:szCs w:val="20"/>
              </w:rPr>
            </w:pPr>
            <w:r w:rsidRPr="003E6B33">
              <w:rPr>
                <w:sz w:val="20"/>
                <w:szCs w:val="20"/>
              </w:rPr>
              <w:t>Ongoing</w:t>
            </w:r>
          </w:p>
        </w:tc>
        <w:tc>
          <w:tcPr>
            <w:tcW w:w="1843" w:type="dxa"/>
          </w:tcPr>
          <w:p w:rsidR="00FA2B41" w:rsidRPr="003E6B33" w:rsidRDefault="00FA2B41" w:rsidP="003E6B33">
            <w:pPr>
              <w:rPr>
                <w:sz w:val="20"/>
                <w:szCs w:val="20"/>
              </w:rPr>
            </w:pPr>
            <w:r w:rsidRPr="003E6B33">
              <w:rPr>
                <w:sz w:val="20"/>
                <w:szCs w:val="20"/>
              </w:rPr>
              <w:lastRenderedPageBreak/>
              <w:t>HIV co-infected subjects</w:t>
            </w:r>
          </w:p>
        </w:tc>
        <w:tc>
          <w:tcPr>
            <w:tcW w:w="2977" w:type="dxa"/>
          </w:tcPr>
          <w:p w:rsidR="00FA2B41" w:rsidRPr="003E6B33" w:rsidRDefault="00FA2B41" w:rsidP="003E6B33">
            <w:pPr>
              <w:rPr>
                <w:sz w:val="20"/>
                <w:szCs w:val="20"/>
              </w:rPr>
            </w:pPr>
            <w:r w:rsidRPr="003E6B33">
              <w:rPr>
                <w:sz w:val="20"/>
                <w:szCs w:val="20"/>
              </w:rPr>
              <w:t xml:space="preserve">Assess safety of </w:t>
            </w:r>
            <w:r w:rsidR="00237CBE" w:rsidRPr="003E6B33">
              <w:rPr>
                <w:sz w:val="20"/>
                <w:szCs w:val="20"/>
              </w:rPr>
              <w:t>paritaprevir/ritonavir/ombitasvir</w:t>
            </w:r>
            <w:r w:rsidRPr="003E6B33">
              <w:rPr>
                <w:sz w:val="20"/>
                <w:szCs w:val="20"/>
              </w:rPr>
              <w:t xml:space="preserve"> and </w:t>
            </w:r>
            <w:r w:rsidR="00237CBE" w:rsidRPr="003E6B33">
              <w:rPr>
                <w:sz w:val="20"/>
                <w:szCs w:val="20"/>
              </w:rPr>
              <w:t>dasabuvir</w:t>
            </w:r>
            <w:r w:rsidRPr="003E6B33">
              <w:rPr>
                <w:sz w:val="20"/>
                <w:szCs w:val="20"/>
              </w:rPr>
              <w:t xml:space="preserve"> co-administered</w:t>
            </w:r>
            <w:r w:rsidR="00BD522A" w:rsidRPr="003E6B33">
              <w:rPr>
                <w:sz w:val="20"/>
                <w:szCs w:val="20"/>
              </w:rPr>
              <w:t xml:space="preserve"> </w:t>
            </w:r>
            <w:r w:rsidRPr="003E6B33">
              <w:rPr>
                <w:sz w:val="20"/>
                <w:szCs w:val="20"/>
              </w:rPr>
              <w:t xml:space="preserve">with RBV for 12 and 24 weeks in HCV GT1-infected subjects with </w:t>
            </w:r>
            <w:r w:rsidRPr="003E6B33">
              <w:rPr>
                <w:sz w:val="20"/>
                <w:szCs w:val="20"/>
              </w:rPr>
              <w:lastRenderedPageBreak/>
              <w:t>HIV-1 co-infection and to evaluate the percentage of subjects achieving SVR12 (HCV RNA &lt; lower limit of quantification [LLOQ] 12 weeks following treatment) within the 12- and 24-week arms compared to the historical SVR rate of pegIFN and RBV therapy in the corresponding population.</w:t>
            </w:r>
          </w:p>
        </w:tc>
        <w:tc>
          <w:tcPr>
            <w:tcW w:w="1275" w:type="dxa"/>
          </w:tcPr>
          <w:p w:rsidR="00FA2B41" w:rsidRPr="003E6B33" w:rsidRDefault="00FA2B41" w:rsidP="003E6B33">
            <w:pPr>
              <w:rPr>
                <w:sz w:val="20"/>
                <w:szCs w:val="20"/>
              </w:rPr>
            </w:pPr>
            <w:r w:rsidRPr="003E6B33">
              <w:rPr>
                <w:sz w:val="20"/>
                <w:szCs w:val="20"/>
              </w:rPr>
              <w:lastRenderedPageBreak/>
              <w:t>Phase II cohort in 3Q 2014</w:t>
            </w:r>
          </w:p>
          <w:p w:rsidR="00FA2B41" w:rsidRPr="003E6B33" w:rsidRDefault="00FA2B41" w:rsidP="003E6B33">
            <w:pPr>
              <w:rPr>
                <w:sz w:val="20"/>
                <w:szCs w:val="20"/>
              </w:rPr>
            </w:pPr>
            <w:r w:rsidRPr="003E6B33">
              <w:rPr>
                <w:sz w:val="20"/>
                <w:szCs w:val="20"/>
              </w:rPr>
              <w:t xml:space="preserve">Phase III </w:t>
            </w:r>
            <w:r w:rsidRPr="003E6B33">
              <w:rPr>
                <w:sz w:val="20"/>
                <w:szCs w:val="20"/>
              </w:rPr>
              <w:lastRenderedPageBreak/>
              <w:t>cohort in 3Q 2015</w:t>
            </w:r>
          </w:p>
        </w:tc>
      </w:tr>
      <w:tr w:rsidR="00FA2B41" w:rsidRPr="003E6B33" w:rsidTr="009E2121">
        <w:tc>
          <w:tcPr>
            <w:tcW w:w="2518" w:type="dxa"/>
          </w:tcPr>
          <w:p w:rsidR="00FA2B41" w:rsidRPr="003E6B33" w:rsidRDefault="00FA2B41" w:rsidP="003E6B33">
            <w:pPr>
              <w:rPr>
                <w:sz w:val="20"/>
                <w:szCs w:val="20"/>
              </w:rPr>
            </w:pPr>
            <w:r w:rsidRPr="003E6B33">
              <w:rPr>
                <w:sz w:val="20"/>
                <w:szCs w:val="20"/>
              </w:rPr>
              <w:lastRenderedPageBreak/>
              <w:t xml:space="preserve">Phase II Study M12-999, "Open-label, Phase 2 Study to Evaluate the Safety and Efficacy of the Combination of </w:t>
            </w:r>
            <w:r w:rsidR="00237CBE" w:rsidRPr="003E6B33">
              <w:rPr>
                <w:sz w:val="20"/>
                <w:szCs w:val="20"/>
              </w:rPr>
              <w:t>paritaprevir</w:t>
            </w:r>
            <w:r w:rsidRPr="003E6B33">
              <w:rPr>
                <w:sz w:val="20"/>
                <w:szCs w:val="20"/>
              </w:rPr>
              <w:t>/ritonavir/</w:t>
            </w:r>
            <w:r w:rsidR="00237CBE" w:rsidRPr="003E6B33">
              <w:rPr>
                <w:sz w:val="20"/>
                <w:szCs w:val="20"/>
              </w:rPr>
              <w:t>/ombitasvir</w:t>
            </w:r>
            <w:r w:rsidRPr="003E6B33">
              <w:rPr>
                <w:sz w:val="20"/>
                <w:szCs w:val="20"/>
              </w:rPr>
              <w:t xml:space="preserve"> (</w:t>
            </w:r>
            <w:r w:rsidR="00237CBE" w:rsidRPr="003E6B33">
              <w:rPr>
                <w:sz w:val="20"/>
                <w:szCs w:val="20"/>
              </w:rPr>
              <w:t>paritaprevir/ritonavir/ombitasvir</w:t>
            </w:r>
            <w:r w:rsidRPr="003E6B33">
              <w:rPr>
                <w:sz w:val="20"/>
                <w:szCs w:val="20"/>
              </w:rPr>
              <w:t xml:space="preserve">) and </w:t>
            </w:r>
            <w:r w:rsidR="00237CBE" w:rsidRPr="003E6B33">
              <w:rPr>
                <w:sz w:val="20"/>
                <w:szCs w:val="20"/>
              </w:rPr>
              <w:t>dasabuvir</w:t>
            </w:r>
            <w:r w:rsidRPr="003E6B33">
              <w:rPr>
                <w:sz w:val="20"/>
                <w:szCs w:val="20"/>
              </w:rPr>
              <w:t xml:space="preserve"> With or Without Ribavirin (RBV) in Adult Liver Transplant Recipients with Genotype 1 Hepatitis CVirus (HCV) Infection"</w:t>
            </w:r>
          </w:p>
          <w:p w:rsidR="00FA2B41" w:rsidRPr="003E6B33" w:rsidRDefault="00FA2B41" w:rsidP="003E6B33">
            <w:pPr>
              <w:rPr>
                <w:sz w:val="20"/>
                <w:szCs w:val="20"/>
              </w:rPr>
            </w:pPr>
            <w:r w:rsidRPr="003E6B33">
              <w:rPr>
                <w:sz w:val="20"/>
                <w:szCs w:val="20"/>
              </w:rPr>
              <w:t>Ongoing</w:t>
            </w:r>
          </w:p>
        </w:tc>
        <w:tc>
          <w:tcPr>
            <w:tcW w:w="1843" w:type="dxa"/>
          </w:tcPr>
          <w:p w:rsidR="00FA2B41" w:rsidRPr="003E6B33" w:rsidRDefault="00FA2B41" w:rsidP="003E6B33">
            <w:pPr>
              <w:rPr>
                <w:sz w:val="20"/>
                <w:szCs w:val="20"/>
              </w:rPr>
            </w:pPr>
            <w:r w:rsidRPr="003E6B33">
              <w:rPr>
                <w:sz w:val="20"/>
                <w:szCs w:val="20"/>
              </w:rPr>
              <w:t>Transplant subjects</w:t>
            </w:r>
          </w:p>
        </w:tc>
        <w:tc>
          <w:tcPr>
            <w:tcW w:w="2977" w:type="dxa"/>
          </w:tcPr>
          <w:p w:rsidR="00FA2B41" w:rsidRPr="003E6B33" w:rsidRDefault="00FA2B41" w:rsidP="003E6B33">
            <w:pPr>
              <w:rPr>
                <w:sz w:val="20"/>
                <w:szCs w:val="20"/>
              </w:rPr>
            </w:pPr>
            <w:r w:rsidRPr="003E6B33">
              <w:rPr>
                <w:sz w:val="20"/>
                <w:szCs w:val="20"/>
              </w:rPr>
              <w:t xml:space="preserve">Assess safety and efficacy (percentage of subjects achieving SVR12) of co-formulated </w:t>
            </w:r>
            <w:r w:rsidR="00237CBE" w:rsidRPr="003E6B33">
              <w:rPr>
                <w:sz w:val="20"/>
                <w:szCs w:val="20"/>
              </w:rPr>
              <w:t>paritaprevir</w:t>
            </w:r>
            <w:r w:rsidRPr="003E6B33">
              <w:rPr>
                <w:sz w:val="20"/>
                <w:szCs w:val="20"/>
              </w:rPr>
              <w:t xml:space="preserve"> with ritonavir (r) and </w:t>
            </w:r>
            <w:r w:rsidR="00237CBE" w:rsidRPr="003E6B33">
              <w:rPr>
                <w:sz w:val="20"/>
                <w:szCs w:val="20"/>
              </w:rPr>
              <w:t>/ombitasvir</w:t>
            </w:r>
            <w:r w:rsidRPr="003E6B33">
              <w:rPr>
                <w:sz w:val="20"/>
                <w:szCs w:val="20"/>
              </w:rPr>
              <w:t xml:space="preserve"> (</w:t>
            </w:r>
            <w:r w:rsidR="00237CBE" w:rsidRPr="003E6B33">
              <w:rPr>
                <w:sz w:val="20"/>
                <w:szCs w:val="20"/>
              </w:rPr>
              <w:t>paritaprevir/ritonavir/ombitasvir</w:t>
            </w:r>
            <w:r w:rsidRPr="003E6B33">
              <w:rPr>
                <w:sz w:val="20"/>
                <w:szCs w:val="20"/>
              </w:rPr>
              <w:t xml:space="preserve">) and </w:t>
            </w:r>
            <w:r w:rsidR="00237CBE" w:rsidRPr="003E6B33">
              <w:rPr>
                <w:sz w:val="20"/>
                <w:szCs w:val="20"/>
              </w:rPr>
              <w:t>dasabuvir</w:t>
            </w:r>
            <w:r w:rsidRPr="003E6B33">
              <w:rPr>
                <w:sz w:val="20"/>
                <w:szCs w:val="20"/>
              </w:rPr>
              <w:t xml:space="preserve"> co-administered with ribavirin (RBV) for 24 weeks in HCV GT1 infected adult liver transplant recipients with recurrent HCV GT1 infection.</w:t>
            </w:r>
          </w:p>
        </w:tc>
        <w:tc>
          <w:tcPr>
            <w:tcW w:w="1275" w:type="dxa"/>
          </w:tcPr>
          <w:p w:rsidR="00FA2B41" w:rsidRPr="003E6B33" w:rsidRDefault="00FA2B41" w:rsidP="003E6B33">
            <w:pPr>
              <w:rPr>
                <w:sz w:val="20"/>
                <w:szCs w:val="20"/>
              </w:rPr>
            </w:pPr>
            <w:r w:rsidRPr="003E6B33">
              <w:rPr>
                <w:sz w:val="20"/>
                <w:szCs w:val="20"/>
              </w:rPr>
              <w:t>2Q 2014</w:t>
            </w:r>
          </w:p>
          <w:p w:rsidR="00FA2B41" w:rsidRPr="003E6B33" w:rsidRDefault="00FA2B41" w:rsidP="003E6B33">
            <w:pPr>
              <w:rPr>
                <w:sz w:val="20"/>
                <w:szCs w:val="20"/>
              </w:rPr>
            </w:pPr>
            <w:r w:rsidRPr="003E6B33">
              <w:rPr>
                <w:sz w:val="20"/>
                <w:szCs w:val="20"/>
              </w:rPr>
              <w:t>(interim)</w:t>
            </w:r>
          </w:p>
        </w:tc>
      </w:tr>
      <w:tr w:rsidR="00FA2B41" w:rsidRPr="003E6B33" w:rsidTr="009E2121">
        <w:tc>
          <w:tcPr>
            <w:tcW w:w="2518" w:type="dxa"/>
          </w:tcPr>
          <w:p w:rsidR="00FA2B41" w:rsidRPr="003E6B33" w:rsidRDefault="00FA2B41" w:rsidP="003E6B33">
            <w:pPr>
              <w:rPr>
                <w:sz w:val="20"/>
                <w:szCs w:val="20"/>
              </w:rPr>
            </w:pPr>
            <w:r w:rsidRPr="003E6B33">
              <w:rPr>
                <w:sz w:val="20"/>
                <w:szCs w:val="20"/>
              </w:rPr>
              <w:t>Study in Child Pugh B Subjects</w:t>
            </w:r>
          </w:p>
          <w:p w:rsidR="00FA2B41" w:rsidRPr="003E6B33" w:rsidRDefault="00FA2B41" w:rsidP="003E6B33">
            <w:pPr>
              <w:rPr>
                <w:sz w:val="20"/>
                <w:szCs w:val="20"/>
              </w:rPr>
            </w:pPr>
            <w:r w:rsidRPr="003E6B33">
              <w:rPr>
                <w:sz w:val="20"/>
                <w:szCs w:val="20"/>
              </w:rPr>
              <w:t>Planned</w:t>
            </w:r>
          </w:p>
          <w:p w:rsidR="00FA2B41" w:rsidRPr="003E6B33" w:rsidRDefault="00FA2B41" w:rsidP="003E6B33">
            <w:pPr>
              <w:rPr>
                <w:sz w:val="20"/>
                <w:szCs w:val="20"/>
              </w:rPr>
            </w:pPr>
            <w:r w:rsidRPr="003E6B33">
              <w:rPr>
                <w:sz w:val="20"/>
                <w:szCs w:val="20"/>
              </w:rPr>
              <w:t>M14-227</w:t>
            </w:r>
          </w:p>
        </w:tc>
        <w:tc>
          <w:tcPr>
            <w:tcW w:w="1843" w:type="dxa"/>
          </w:tcPr>
          <w:p w:rsidR="00FA2B41" w:rsidRPr="003E6B33" w:rsidRDefault="00FA2B41" w:rsidP="003E6B33">
            <w:pPr>
              <w:rPr>
                <w:sz w:val="20"/>
                <w:szCs w:val="20"/>
              </w:rPr>
            </w:pPr>
            <w:r w:rsidRPr="003E6B33">
              <w:rPr>
                <w:sz w:val="20"/>
                <w:szCs w:val="20"/>
              </w:rPr>
              <w:t>Subjects with Child Pugh B</w:t>
            </w:r>
          </w:p>
        </w:tc>
        <w:tc>
          <w:tcPr>
            <w:tcW w:w="2977" w:type="dxa"/>
          </w:tcPr>
          <w:p w:rsidR="00FA2B41" w:rsidRPr="003E6B33" w:rsidRDefault="00FA2B41" w:rsidP="003E6B33">
            <w:pPr>
              <w:rPr>
                <w:sz w:val="20"/>
                <w:szCs w:val="20"/>
              </w:rPr>
            </w:pPr>
            <w:r w:rsidRPr="003E6B33">
              <w:rPr>
                <w:sz w:val="20"/>
                <w:szCs w:val="20"/>
              </w:rPr>
              <w:t>Evaluate safety and efficacy (SVR12) in subjects with Child Pugh B.</w:t>
            </w:r>
          </w:p>
        </w:tc>
        <w:tc>
          <w:tcPr>
            <w:tcW w:w="1275" w:type="dxa"/>
          </w:tcPr>
          <w:p w:rsidR="00FA2B41" w:rsidRPr="003E6B33" w:rsidRDefault="00FA2B41" w:rsidP="003E6B33">
            <w:pPr>
              <w:rPr>
                <w:sz w:val="20"/>
                <w:szCs w:val="20"/>
              </w:rPr>
            </w:pPr>
            <w:r w:rsidRPr="003E6B33">
              <w:rPr>
                <w:sz w:val="20"/>
                <w:szCs w:val="20"/>
              </w:rPr>
              <w:t>4Q 2015</w:t>
            </w:r>
          </w:p>
        </w:tc>
      </w:tr>
      <w:tr w:rsidR="00FA2B41" w:rsidRPr="003E6B33" w:rsidTr="009E2121">
        <w:tc>
          <w:tcPr>
            <w:tcW w:w="2518" w:type="dxa"/>
          </w:tcPr>
          <w:p w:rsidR="00FA2B41" w:rsidRPr="003E6B33" w:rsidRDefault="00FA2B41" w:rsidP="003E6B33">
            <w:pPr>
              <w:rPr>
                <w:sz w:val="20"/>
                <w:szCs w:val="20"/>
              </w:rPr>
            </w:pPr>
            <w:r w:rsidRPr="003E6B33">
              <w:rPr>
                <w:sz w:val="20"/>
                <w:szCs w:val="20"/>
              </w:rPr>
              <w:t>Study in subjects with renal dysfunction</w:t>
            </w:r>
          </w:p>
          <w:p w:rsidR="00FA2B41" w:rsidRPr="003E6B33" w:rsidRDefault="00FA2B41" w:rsidP="003E6B33">
            <w:pPr>
              <w:rPr>
                <w:sz w:val="20"/>
                <w:szCs w:val="20"/>
              </w:rPr>
            </w:pPr>
            <w:r w:rsidRPr="003E6B33">
              <w:rPr>
                <w:sz w:val="20"/>
                <w:szCs w:val="20"/>
              </w:rPr>
              <w:t>Planned</w:t>
            </w:r>
          </w:p>
        </w:tc>
        <w:tc>
          <w:tcPr>
            <w:tcW w:w="1843" w:type="dxa"/>
          </w:tcPr>
          <w:p w:rsidR="00FA2B41" w:rsidRPr="003E6B33" w:rsidRDefault="00FA2B41" w:rsidP="003E6B33">
            <w:pPr>
              <w:rPr>
                <w:sz w:val="20"/>
                <w:szCs w:val="20"/>
              </w:rPr>
            </w:pPr>
            <w:r w:rsidRPr="003E6B33">
              <w:rPr>
                <w:sz w:val="20"/>
                <w:szCs w:val="20"/>
              </w:rPr>
              <w:t>HCV-infected patients with creatinine clearance ≤ 60 mL/min</w:t>
            </w:r>
          </w:p>
        </w:tc>
        <w:tc>
          <w:tcPr>
            <w:tcW w:w="2977" w:type="dxa"/>
          </w:tcPr>
          <w:p w:rsidR="00FA2B41" w:rsidRPr="003E6B33" w:rsidRDefault="00FA2B41" w:rsidP="003E6B33">
            <w:pPr>
              <w:rPr>
                <w:sz w:val="20"/>
                <w:szCs w:val="20"/>
              </w:rPr>
            </w:pPr>
            <w:r w:rsidRPr="003E6B33">
              <w:rPr>
                <w:sz w:val="20"/>
                <w:szCs w:val="20"/>
              </w:rPr>
              <w:t xml:space="preserve">Evaluate safety and efficacy </w:t>
            </w:r>
            <w:r w:rsidR="0009209E" w:rsidRPr="003E6B33">
              <w:rPr>
                <w:sz w:val="20"/>
                <w:szCs w:val="20"/>
              </w:rPr>
              <w:t>(SVR12) in subjects with CrCl &lt; </w:t>
            </w:r>
            <w:r w:rsidRPr="003E6B33">
              <w:rPr>
                <w:sz w:val="20"/>
                <w:szCs w:val="20"/>
              </w:rPr>
              <w:t>60 mL/min.</w:t>
            </w:r>
          </w:p>
        </w:tc>
        <w:tc>
          <w:tcPr>
            <w:tcW w:w="1275" w:type="dxa"/>
          </w:tcPr>
          <w:p w:rsidR="00FA2B41" w:rsidRPr="003E6B33" w:rsidRDefault="00FA2B41" w:rsidP="003E6B33">
            <w:pPr>
              <w:rPr>
                <w:sz w:val="20"/>
                <w:szCs w:val="20"/>
              </w:rPr>
            </w:pPr>
            <w:r w:rsidRPr="003E6B33">
              <w:rPr>
                <w:sz w:val="20"/>
                <w:szCs w:val="20"/>
              </w:rPr>
              <w:t>4Q 2015</w:t>
            </w:r>
          </w:p>
        </w:tc>
      </w:tr>
      <w:tr w:rsidR="00FA2B41" w:rsidRPr="003E6B33" w:rsidTr="009E2121">
        <w:tc>
          <w:tcPr>
            <w:tcW w:w="2518" w:type="dxa"/>
          </w:tcPr>
          <w:p w:rsidR="00FA2B41" w:rsidRPr="003E6B33" w:rsidRDefault="00FA2B41" w:rsidP="003E6B33">
            <w:pPr>
              <w:rPr>
                <w:sz w:val="20"/>
                <w:szCs w:val="20"/>
              </w:rPr>
            </w:pPr>
            <w:r w:rsidRPr="003E6B33">
              <w:rPr>
                <w:sz w:val="20"/>
                <w:szCs w:val="20"/>
              </w:rPr>
              <w:lastRenderedPageBreak/>
              <w:t xml:space="preserve">Study in </w:t>
            </w:r>
            <w:r w:rsidR="0009209E" w:rsidRPr="003E6B33">
              <w:rPr>
                <w:sz w:val="20"/>
                <w:szCs w:val="20"/>
              </w:rPr>
              <w:t>paediatric</w:t>
            </w:r>
            <w:r w:rsidRPr="003E6B33">
              <w:rPr>
                <w:sz w:val="20"/>
                <w:szCs w:val="20"/>
              </w:rPr>
              <w:t xml:space="preserve"> subjects</w:t>
            </w:r>
          </w:p>
          <w:p w:rsidR="00FA2B41" w:rsidRPr="003E6B33" w:rsidRDefault="00FA2B41" w:rsidP="003E6B33">
            <w:pPr>
              <w:rPr>
                <w:sz w:val="20"/>
                <w:szCs w:val="20"/>
              </w:rPr>
            </w:pPr>
            <w:r w:rsidRPr="003E6B33">
              <w:rPr>
                <w:sz w:val="20"/>
                <w:szCs w:val="20"/>
              </w:rPr>
              <w:t>Deferred</w:t>
            </w:r>
          </w:p>
        </w:tc>
        <w:tc>
          <w:tcPr>
            <w:tcW w:w="1843" w:type="dxa"/>
          </w:tcPr>
          <w:p w:rsidR="00FA2B41" w:rsidRPr="003E6B33" w:rsidRDefault="00FA2B41" w:rsidP="003E6B33">
            <w:pPr>
              <w:rPr>
                <w:sz w:val="20"/>
                <w:szCs w:val="20"/>
              </w:rPr>
            </w:pPr>
            <w:r w:rsidRPr="003E6B33">
              <w:rPr>
                <w:sz w:val="20"/>
                <w:szCs w:val="20"/>
              </w:rPr>
              <w:t xml:space="preserve">Safety in </w:t>
            </w:r>
            <w:r w:rsidR="0009209E" w:rsidRPr="003E6B33">
              <w:rPr>
                <w:sz w:val="20"/>
                <w:szCs w:val="20"/>
              </w:rPr>
              <w:t>paediatric</w:t>
            </w:r>
            <w:r w:rsidRPr="003E6B33">
              <w:rPr>
                <w:sz w:val="20"/>
                <w:szCs w:val="20"/>
              </w:rPr>
              <w:t xml:space="preserve"> subjects</w:t>
            </w:r>
          </w:p>
        </w:tc>
        <w:tc>
          <w:tcPr>
            <w:tcW w:w="2977" w:type="dxa"/>
          </w:tcPr>
          <w:p w:rsidR="00FA2B41" w:rsidRPr="003E6B33" w:rsidRDefault="00FA2B41" w:rsidP="003E6B33">
            <w:pPr>
              <w:rPr>
                <w:sz w:val="20"/>
                <w:szCs w:val="20"/>
              </w:rPr>
            </w:pPr>
            <w:r w:rsidRPr="003E6B33">
              <w:rPr>
                <w:sz w:val="20"/>
                <w:szCs w:val="20"/>
              </w:rPr>
              <w:t xml:space="preserve">Evaluate safety and efficacy of an AbbVie DAA regimen in </w:t>
            </w:r>
            <w:r w:rsidR="0009209E" w:rsidRPr="003E6B33">
              <w:rPr>
                <w:sz w:val="20"/>
                <w:szCs w:val="20"/>
              </w:rPr>
              <w:t>paediatric</w:t>
            </w:r>
            <w:r w:rsidRPr="003E6B33">
              <w:rPr>
                <w:sz w:val="20"/>
                <w:szCs w:val="20"/>
              </w:rPr>
              <w:t xml:space="preserve"> subjects.</w:t>
            </w:r>
          </w:p>
        </w:tc>
        <w:tc>
          <w:tcPr>
            <w:tcW w:w="1275" w:type="dxa"/>
          </w:tcPr>
          <w:p w:rsidR="00FA2B41" w:rsidRPr="003E6B33" w:rsidRDefault="00FA2B41" w:rsidP="003E6B33">
            <w:pPr>
              <w:rPr>
                <w:sz w:val="20"/>
                <w:szCs w:val="20"/>
              </w:rPr>
            </w:pPr>
          </w:p>
        </w:tc>
      </w:tr>
      <w:tr w:rsidR="00FA2B41" w:rsidRPr="003E6B33" w:rsidTr="009E2121">
        <w:tc>
          <w:tcPr>
            <w:tcW w:w="2518" w:type="dxa"/>
          </w:tcPr>
          <w:p w:rsidR="00FA2B41" w:rsidRPr="003E6B33" w:rsidRDefault="00FA2B41" w:rsidP="003E6B33">
            <w:pPr>
              <w:rPr>
                <w:sz w:val="20"/>
                <w:szCs w:val="20"/>
              </w:rPr>
            </w:pPr>
            <w:r w:rsidRPr="003E6B33">
              <w:rPr>
                <w:sz w:val="20"/>
                <w:szCs w:val="20"/>
              </w:rPr>
              <w:t xml:space="preserve">Phase </w:t>
            </w:r>
            <w:r w:rsidR="0009209E" w:rsidRPr="003E6B33">
              <w:rPr>
                <w:sz w:val="20"/>
                <w:szCs w:val="20"/>
              </w:rPr>
              <w:t>III Study M13-102</w:t>
            </w:r>
            <w:r w:rsidRPr="003E6B33">
              <w:rPr>
                <w:sz w:val="20"/>
                <w:szCs w:val="20"/>
              </w:rPr>
              <w:t>, "A Follow-up Study to Assess Resistance and Durability of Response to AbbVie Direct-Acting Antiviral Agent (DAA) Therapy in Subjects Who Participated in Phase 2 or 3 Clinical Studies for the Treatment of Chronic Hepatitis C Virus (HCV) Infection"</w:t>
            </w:r>
          </w:p>
          <w:p w:rsidR="00FA2B41" w:rsidRPr="003E6B33" w:rsidRDefault="00FA2B41" w:rsidP="003E6B33">
            <w:pPr>
              <w:rPr>
                <w:sz w:val="20"/>
                <w:szCs w:val="20"/>
              </w:rPr>
            </w:pPr>
            <w:r w:rsidRPr="003E6B33">
              <w:rPr>
                <w:sz w:val="20"/>
                <w:szCs w:val="20"/>
              </w:rPr>
              <w:t>Ongoing</w:t>
            </w:r>
          </w:p>
        </w:tc>
        <w:tc>
          <w:tcPr>
            <w:tcW w:w="1843" w:type="dxa"/>
          </w:tcPr>
          <w:p w:rsidR="00FA2B41" w:rsidRPr="003E6B33" w:rsidRDefault="00FA2B41" w:rsidP="003E6B33">
            <w:pPr>
              <w:rPr>
                <w:sz w:val="20"/>
                <w:szCs w:val="20"/>
              </w:rPr>
            </w:pPr>
            <w:r w:rsidRPr="003E6B33">
              <w:rPr>
                <w:sz w:val="20"/>
                <w:szCs w:val="20"/>
              </w:rPr>
              <w:t>Risks of resistance development</w:t>
            </w:r>
          </w:p>
        </w:tc>
        <w:tc>
          <w:tcPr>
            <w:tcW w:w="2977" w:type="dxa"/>
          </w:tcPr>
          <w:p w:rsidR="00FA2B41" w:rsidRPr="003E6B33" w:rsidRDefault="00FA2B41" w:rsidP="003E6B33">
            <w:pPr>
              <w:rPr>
                <w:sz w:val="20"/>
                <w:szCs w:val="20"/>
              </w:rPr>
            </w:pPr>
            <w:r w:rsidRPr="003E6B33">
              <w:rPr>
                <w:sz w:val="20"/>
                <w:szCs w:val="20"/>
              </w:rPr>
              <w:t>Evaluate resistance development in subjects with virologic failure to an AbbVie DAA regimen.</w:t>
            </w:r>
          </w:p>
        </w:tc>
        <w:tc>
          <w:tcPr>
            <w:tcW w:w="1275" w:type="dxa"/>
          </w:tcPr>
          <w:p w:rsidR="00FA2B41" w:rsidRPr="003E6B33" w:rsidRDefault="00FA2B41" w:rsidP="003E6B33">
            <w:pPr>
              <w:rPr>
                <w:sz w:val="20"/>
                <w:szCs w:val="20"/>
              </w:rPr>
            </w:pPr>
            <w:r w:rsidRPr="003E6B33">
              <w:rPr>
                <w:sz w:val="20"/>
                <w:szCs w:val="20"/>
              </w:rPr>
              <w:t>2Q 2016</w:t>
            </w:r>
          </w:p>
        </w:tc>
      </w:tr>
    </w:tbl>
    <w:p w:rsidR="00C145FC" w:rsidRPr="00FA2B41" w:rsidRDefault="00654113" w:rsidP="00C145FC">
      <w:pPr>
        <w:pStyle w:val="TableTitle"/>
      </w:pPr>
      <w:r>
        <w:t>Table 23</w:t>
      </w:r>
      <w:r w:rsidR="00C145FC" w:rsidRPr="00FA2B41">
        <w:t>: Additional pharmacovigilance activities conducted by the sponsor, but which are not in the pharmacovigilance plan</w:t>
      </w:r>
    </w:p>
    <w:tbl>
      <w:tblPr>
        <w:tblStyle w:val="TableTGAblue"/>
        <w:tblW w:w="8671" w:type="dxa"/>
        <w:tblLayout w:type="fixed"/>
        <w:tblLook w:val="04A0" w:firstRow="1" w:lastRow="0" w:firstColumn="1" w:lastColumn="0" w:noHBand="0" w:noVBand="1"/>
      </w:tblPr>
      <w:tblGrid>
        <w:gridCol w:w="5856"/>
        <w:gridCol w:w="2815"/>
      </w:tblGrid>
      <w:tr w:rsidR="00C145FC" w:rsidRPr="003E6B33" w:rsidTr="00427E0D">
        <w:trPr>
          <w:cnfStyle w:val="100000000000" w:firstRow="1" w:lastRow="0" w:firstColumn="0" w:lastColumn="0" w:oddVBand="0" w:evenVBand="0" w:oddHBand="0" w:evenHBand="0" w:firstRowFirstColumn="0" w:firstRowLastColumn="0" w:lastRowFirstColumn="0" w:lastRowLastColumn="0"/>
          <w:trHeight w:val="473"/>
        </w:trPr>
        <w:tc>
          <w:tcPr>
            <w:tcW w:w="5856" w:type="dxa"/>
          </w:tcPr>
          <w:p w:rsidR="00C145FC" w:rsidRPr="003E6B33" w:rsidRDefault="00C145FC" w:rsidP="00C145FC">
            <w:pPr>
              <w:ind w:left="0" w:right="0"/>
              <w:rPr>
                <w:sz w:val="20"/>
                <w:szCs w:val="20"/>
              </w:rPr>
            </w:pPr>
            <w:r w:rsidRPr="003E6B33">
              <w:rPr>
                <w:sz w:val="20"/>
                <w:szCs w:val="20"/>
              </w:rPr>
              <w:t>Additional activity</w:t>
            </w:r>
          </w:p>
        </w:tc>
        <w:tc>
          <w:tcPr>
            <w:tcW w:w="2815" w:type="dxa"/>
          </w:tcPr>
          <w:p w:rsidR="00C145FC" w:rsidRPr="003E6B33" w:rsidRDefault="00C145FC" w:rsidP="00C145FC">
            <w:pPr>
              <w:ind w:left="0" w:right="0"/>
              <w:rPr>
                <w:sz w:val="20"/>
                <w:szCs w:val="20"/>
              </w:rPr>
            </w:pPr>
            <w:r w:rsidRPr="003E6B33">
              <w:rPr>
                <w:sz w:val="20"/>
                <w:szCs w:val="20"/>
              </w:rPr>
              <w:t>Assigned safety concern</w:t>
            </w:r>
          </w:p>
        </w:tc>
      </w:tr>
      <w:tr w:rsidR="00C145FC" w:rsidRPr="003E6B33" w:rsidTr="00427E0D">
        <w:trPr>
          <w:trHeight w:val="1570"/>
        </w:trPr>
        <w:tc>
          <w:tcPr>
            <w:tcW w:w="5856" w:type="dxa"/>
          </w:tcPr>
          <w:p w:rsidR="00C145FC" w:rsidRPr="003E6B33" w:rsidRDefault="00C145FC" w:rsidP="00C145FC">
            <w:pPr>
              <w:ind w:left="0" w:right="0"/>
              <w:rPr>
                <w:sz w:val="20"/>
                <w:szCs w:val="20"/>
              </w:rPr>
            </w:pPr>
            <w:r w:rsidRPr="003E6B33">
              <w:rPr>
                <w:sz w:val="20"/>
                <w:szCs w:val="20"/>
              </w:rPr>
              <w:t>M14-423</w:t>
            </w:r>
          </w:p>
          <w:p w:rsidR="00C145FC" w:rsidRPr="003E6B33" w:rsidRDefault="00C145FC" w:rsidP="00C145FC">
            <w:pPr>
              <w:ind w:left="0" w:right="0"/>
              <w:rPr>
                <w:sz w:val="20"/>
                <w:szCs w:val="20"/>
              </w:rPr>
            </w:pPr>
            <w:r w:rsidRPr="003E6B33">
              <w:rPr>
                <w:sz w:val="20"/>
                <w:szCs w:val="20"/>
              </w:rPr>
              <w:t xml:space="preserve">A Study to Evaluate Long-term Outcomes Following Treatment With </w:t>
            </w:r>
            <w:r w:rsidR="00F573D0" w:rsidRPr="003E6B33">
              <w:rPr>
                <w:sz w:val="20"/>
                <w:szCs w:val="20"/>
              </w:rPr>
              <w:t>paritaprevir</w:t>
            </w:r>
            <w:r w:rsidRPr="003E6B33">
              <w:rPr>
                <w:sz w:val="20"/>
                <w:szCs w:val="20"/>
              </w:rPr>
              <w:t>/Ritonavir/</w:t>
            </w:r>
            <w:r w:rsidR="00590286" w:rsidRPr="003E6B33">
              <w:rPr>
                <w:sz w:val="20"/>
                <w:szCs w:val="20"/>
              </w:rPr>
              <w:t>ombitasvir</w:t>
            </w:r>
            <w:r w:rsidRPr="003E6B33">
              <w:rPr>
                <w:sz w:val="20"/>
                <w:szCs w:val="20"/>
              </w:rPr>
              <w:t xml:space="preserve"> (</w:t>
            </w:r>
            <w:r w:rsidR="00F573D0" w:rsidRPr="003E6B33">
              <w:rPr>
                <w:sz w:val="20"/>
                <w:szCs w:val="20"/>
              </w:rPr>
              <w:t>paritaprevir</w:t>
            </w:r>
            <w:r w:rsidR="00630EF4" w:rsidRPr="003E6B33">
              <w:rPr>
                <w:sz w:val="20"/>
                <w:szCs w:val="20"/>
              </w:rPr>
              <w:t xml:space="preserve">/ritonavir/ </w:t>
            </w:r>
            <w:r w:rsidR="00590286" w:rsidRPr="003E6B33">
              <w:rPr>
                <w:sz w:val="20"/>
                <w:szCs w:val="20"/>
              </w:rPr>
              <w:t>ombitasvir</w:t>
            </w:r>
            <w:r w:rsidRPr="003E6B33">
              <w:rPr>
                <w:sz w:val="20"/>
                <w:szCs w:val="20"/>
              </w:rPr>
              <w:t xml:space="preserve">) and </w:t>
            </w:r>
            <w:r w:rsidR="00590286" w:rsidRPr="003E6B33">
              <w:rPr>
                <w:sz w:val="20"/>
                <w:szCs w:val="20"/>
              </w:rPr>
              <w:t>dasabuvir</w:t>
            </w:r>
            <w:r w:rsidRPr="003E6B33">
              <w:rPr>
                <w:sz w:val="20"/>
                <w:szCs w:val="20"/>
              </w:rPr>
              <w:t xml:space="preserve"> With or Without Ribavirin (RBV) in Adults With Genotype 1 Chronic Hepatitis C Virus (HCV) Infection (TOPAZ-I)</w:t>
            </w:r>
          </w:p>
        </w:tc>
        <w:tc>
          <w:tcPr>
            <w:tcW w:w="2815" w:type="dxa"/>
          </w:tcPr>
          <w:p w:rsidR="00C145FC" w:rsidRPr="003E6B33" w:rsidRDefault="00C145FC" w:rsidP="00C145FC">
            <w:pPr>
              <w:ind w:left="0" w:right="0"/>
              <w:rPr>
                <w:sz w:val="20"/>
                <w:szCs w:val="20"/>
              </w:rPr>
            </w:pPr>
            <w:r w:rsidRPr="003E6B33">
              <w:rPr>
                <w:sz w:val="20"/>
                <w:szCs w:val="20"/>
              </w:rPr>
              <w:t>Long-term safety</w:t>
            </w:r>
          </w:p>
        </w:tc>
      </w:tr>
      <w:tr w:rsidR="00C145FC" w:rsidRPr="003E6B33" w:rsidTr="00427E0D">
        <w:trPr>
          <w:trHeight w:val="1558"/>
        </w:trPr>
        <w:tc>
          <w:tcPr>
            <w:tcW w:w="5856" w:type="dxa"/>
          </w:tcPr>
          <w:p w:rsidR="00C145FC" w:rsidRPr="003E6B33" w:rsidRDefault="00C145FC" w:rsidP="00C145FC">
            <w:pPr>
              <w:ind w:left="0" w:right="0"/>
              <w:rPr>
                <w:sz w:val="20"/>
                <w:szCs w:val="20"/>
              </w:rPr>
            </w:pPr>
            <w:r w:rsidRPr="003E6B33">
              <w:rPr>
                <w:sz w:val="20"/>
                <w:szCs w:val="20"/>
              </w:rPr>
              <w:t>M14-222</w:t>
            </w:r>
          </w:p>
          <w:p w:rsidR="00C145FC" w:rsidRPr="003E6B33" w:rsidRDefault="00C145FC" w:rsidP="002A1A76">
            <w:pPr>
              <w:ind w:left="0" w:right="0"/>
              <w:rPr>
                <w:sz w:val="20"/>
                <w:szCs w:val="20"/>
              </w:rPr>
            </w:pPr>
            <w:r w:rsidRPr="003E6B33">
              <w:rPr>
                <w:sz w:val="20"/>
                <w:szCs w:val="20"/>
              </w:rPr>
              <w:t xml:space="preserve">A Study to Evaluate Long-term Outcomes Following Treatment With </w:t>
            </w:r>
            <w:r w:rsidR="00F573D0" w:rsidRPr="003E6B33">
              <w:rPr>
                <w:sz w:val="20"/>
                <w:szCs w:val="20"/>
              </w:rPr>
              <w:t>paritaprevir</w:t>
            </w:r>
            <w:r w:rsidR="002A1A76" w:rsidRPr="003E6B33">
              <w:rPr>
                <w:sz w:val="20"/>
                <w:szCs w:val="20"/>
              </w:rPr>
              <w:t>/ritonavir/</w:t>
            </w:r>
            <w:r w:rsidR="00590286" w:rsidRPr="003E6B33">
              <w:rPr>
                <w:sz w:val="20"/>
                <w:szCs w:val="20"/>
              </w:rPr>
              <w:t>ombitasvir</w:t>
            </w:r>
            <w:r w:rsidR="002A1A76" w:rsidRPr="003E6B33">
              <w:rPr>
                <w:sz w:val="20"/>
                <w:szCs w:val="20"/>
              </w:rPr>
              <w:t xml:space="preserve"> </w:t>
            </w:r>
            <w:r w:rsidRPr="003E6B33">
              <w:rPr>
                <w:sz w:val="20"/>
                <w:szCs w:val="20"/>
              </w:rPr>
              <w:t xml:space="preserve">and </w:t>
            </w:r>
            <w:r w:rsidR="00590286" w:rsidRPr="003E6B33">
              <w:rPr>
                <w:sz w:val="20"/>
                <w:szCs w:val="20"/>
              </w:rPr>
              <w:t>dasabuvir</w:t>
            </w:r>
            <w:r w:rsidRPr="003E6B33">
              <w:rPr>
                <w:sz w:val="20"/>
                <w:szCs w:val="20"/>
              </w:rPr>
              <w:t xml:space="preserve"> With or Without Ribavirin (RBV) in Adults With Genotype 1 Chronic Hepatitis C Virus (HCV) Infection ((TOPAZ II))</w:t>
            </w:r>
          </w:p>
        </w:tc>
        <w:tc>
          <w:tcPr>
            <w:tcW w:w="2815" w:type="dxa"/>
          </w:tcPr>
          <w:p w:rsidR="00C145FC" w:rsidRPr="003E6B33" w:rsidRDefault="00C145FC" w:rsidP="00C145FC">
            <w:pPr>
              <w:ind w:left="0" w:right="0"/>
              <w:rPr>
                <w:sz w:val="20"/>
                <w:szCs w:val="20"/>
              </w:rPr>
            </w:pPr>
            <w:r w:rsidRPr="003E6B33">
              <w:rPr>
                <w:sz w:val="20"/>
                <w:szCs w:val="20"/>
              </w:rPr>
              <w:t>Long-term safety</w:t>
            </w:r>
          </w:p>
        </w:tc>
      </w:tr>
      <w:tr w:rsidR="00C145FC" w:rsidRPr="003E6B33" w:rsidTr="00427E0D">
        <w:trPr>
          <w:trHeight w:val="1328"/>
        </w:trPr>
        <w:tc>
          <w:tcPr>
            <w:tcW w:w="5856" w:type="dxa"/>
          </w:tcPr>
          <w:p w:rsidR="00C145FC" w:rsidRPr="003E6B33" w:rsidRDefault="00C145FC" w:rsidP="00C145FC">
            <w:pPr>
              <w:ind w:left="0" w:right="0"/>
              <w:rPr>
                <w:sz w:val="20"/>
                <w:szCs w:val="20"/>
              </w:rPr>
            </w:pPr>
            <w:r w:rsidRPr="003E6B33">
              <w:rPr>
                <w:sz w:val="20"/>
                <w:szCs w:val="20"/>
              </w:rPr>
              <w:t>M13-004</w:t>
            </w:r>
          </w:p>
          <w:p w:rsidR="00C145FC" w:rsidRPr="003E6B33" w:rsidRDefault="00C145FC" w:rsidP="002A1A76">
            <w:pPr>
              <w:ind w:left="0" w:right="0"/>
              <w:rPr>
                <w:sz w:val="20"/>
                <w:szCs w:val="20"/>
              </w:rPr>
            </w:pPr>
            <w:r w:rsidRPr="003E6B33">
              <w:rPr>
                <w:sz w:val="20"/>
                <w:szCs w:val="20"/>
              </w:rPr>
              <w:t xml:space="preserve">Study to Evaluate the Efficacy and Safety of </w:t>
            </w:r>
            <w:r w:rsidR="00F573D0" w:rsidRPr="003E6B33">
              <w:rPr>
                <w:sz w:val="20"/>
                <w:szCs w:val="20"/>
              </w:rPr>
              <w:t>paritaprevir</w:t>
            </w:r>
            <w:r w:rsidR="002A1A76" w:rsidRPr="003E6B33">
              <w:rPr>
                <w:sz w:val="20"/>
                <w:szCs w:val="20"/>
              </w:rPr>
              <w:t>/r</w:t>
            </w:r>
            <w:r w:rsidRPr="003E6B33">
              <w:rPr>
                <w:sz w:val="20"/>
                <w:szCs w:val="20"/>
              </w:rPr>
              <w:t>itonavir/</w:t>
            </w:r>
            <w:r w:rsidR="002A1A76" w:rsidRPr="003E6B33">
              <w:rPr>
                <w:sz w:val="20"/>
                <w:szCs w:val="20"/>
              </w:rPr>
              <w:t xml:space="preserve">ombitasvir </w:t>
            </w:r>
            <w:r w:rsidRPr="003E6B33">
              <w:rPr>
                <w:sz w:val="20"/>
                <w:szCs w:val="20"/>
              </w:rPr>
              <w:t>in Japanese Adults With Subgenotype 1b Chronic Hepatitis C Virus (HCV) Infection (GIFT I)</w:t>
            </w:r>
          </w:p>
        </w:tc>
        <w:tc>
          <w:tcPr>
            <w:tcW w:w="2815" w:type="dxa"/>
          </w:tcPr>
          <w:p w:rsidR="00C145FC" w:rsidRPr="003E6B33" w:rsidRDefault="00C145FC" w:rsidP="00C145FC">
            <w:pPr>
              <w:ind w:left="0" w:right="0"/>
              <w:rPr>
                <w:sz w:val="20"/>
                <w:szCs w:val="20"/>
              </w:rPr>
            </w:pPr>
            <w:r w:rsidRPr="003E6B33">
              <w:rPr>
                <w:sz w:val="20"/>
                <w:szCs w:val="20"/>
              </w:rPr>
              <w:t>Non-Caucasian patients</w:t>
            </w:r>
          </w:p>
        </w:tc>
      </w:tr>
      <w:tr w:rsidR="00C145FC" w:rsidRPr="003E6B33" w:rsidTr="00427E0D">
        <w:trPr>
          <w:trHeight w:val="1315"/>
        </w:trPr>
        <w:tc>
          <w:tcPr>
            <w:tcW w:w="5856" w:type="dxa"/>
          </w:tcPr>
          <w:p w:rsidR="00C145FC" w:rsidRPr="003E6B33" w:rsidRDefault="00C145FC" w:rsidP="00C145FC">
            <w:pPr>
              <w:ind w:left="0" w:right="0"/>
              <w:rPr>
                <w:sz w:val="20"/>
                <w:szCs w:val="20"/>
              </w:rPr>
            </w:pPr>
            <w:r w:rsidRPr="003E6B33">
              <w:rPr>
                <w:sz w:val="20"/>
                <w:szCs w:val="20"/>
              </w:rPr>
              <w:lastRenderedPageBreak/>
              <w:t>M14-153</w:t>
            </w:r>
          </w:p>
          <w:p w:rsidR="00C145FC" w:rsidRPr="003E6B33" w:rsidRDefault="00C145FC" w:rsidP="002A1A76">
            <w:pPr>
              <w:ind w:left="0" w:right="0"/>
              <w:rPr>
                <w:sz w:val="20"/>
                <w:szCs w:val="20"/>
              </w:rPr>
            </w:pPr>
            <w:r w:rsidRPr="003E6B33">
              <w:rPr>
                <w:sz w:val="20"/>
                <w:szCs w:val="20"/>
              </w:rPr>
              <w:t xml:space="preserve">Study to Evaluate the Efficacy and Safety of </w:t>
            </w:r>
            <w:r w:rsidR="00F573D0" w:rsidRPr="003E6B33">
              <w:rPr>
                <w:sz w:val="20"/>
                <w:szCs w:val="20"/>
              </w:rPr>
              <w:t>paritaprevir</w:t>
            </w:r>
            <w:r w:rsidR="002A1A76" w:rsidRPr="003E6B33">
              <w:rPr>
                <w:sz w:val="20"/>
                <w:szCs w:val="20"/>
              </w:rPr>
              <w:t>/r</w:t>
            </w:r>
            <w:r w:rsidRPr="003E6B33">
              <w:rPr>
                <w:sz w:val="20"/>
                <w:szCs w:val="20"/>
              </w:rPr>
              <w:t>itonavir/</w:t>
            </w:r>
            <w:r w:rsidR="002A1A76" w:rsidRPr="003E6B33">
              <w:rPr>
                <w:sz w:val="20"/>
                <w:szCs w:val="20"/>
              </w:rPr>
              <w:t xml:space="preserve"> ombitasvir </w:t>
            </w:r>
            <w:r w:rsidRPr="003E6B33">
              <w:rPr>
                <w:sz w:val="20"/>
                <w:szCs w:val="20"/>
              </w:rPr>
              <w:t>in Japanese Adults With Genotype 2 Chronic Hepatitis C Virus (HCV) Infection (GIFT II)</w:t>
            </w:r>
          </w:p>
        </w:tc>
        <w:tc>
          <w:tcPr>
            <w:tcW w:w="2815" w:type="dxa"/>
          </w:tcPr>
          <w:p w:rsidR="00C145FC" w:rsidRPr="003E6B33" w:rsidRDefault="00C145FC" w:rsidP="00C145FC">
            <w:pPr>
              <w:ind w:left="0" w:right="0"/>
              <w:rPr>
                <w:sz w:val="20"/>
                <w:szCs w:val="20"/>
              </w:rPr>
            </w:pPr>
            <w:r w:rsidRPr="003E6B33">
              <w:rPr>
                <w:sz w:val="20"/>
                <w:szCs w:val="20"/>
              </w:rPr>
              <w:t>Non-Caucasian patients;</w:t>
            </w:r>
          </w:p>
          <w:p w:rsidR="00C145FC" w:rsidRPr="003E6B33" w:rsidRDefault="00C145FC" w:rsidP="00C145FC">
            <w:pPr>
              <w:ind w:left="0" w:right="0"/>
              <w:rPr>
                <w:sz w:val="20"/>
                <w:szCs w:val="20"/>
              </w:rPr>
            </w:pPr>
            <w:r w:rsidRPr="003E6B33">
              <w:rPr>
                <w:sz w:val="20"/>
                <w:szCs w:val="20"/>
              </w:rPr>
              <w:t>Patients with genotype 2, 3, 4, 5 or 6 HCV infection</w:t>
            </w:r>
          </w:p>
        </w:tc>
      </w:tr>
      <w:tr w:rsidR="00C145FC" w:rsidRPr="003E6B33" w:rsidTr="00427E0D">
        <w:trPr>
          <w:trHeight w:val="1085"/>
        </w:trPr>
        <w:tc>
          <w:tcPr>
            <w:tcW w:w="5856" w:type="dxa"/>
          </w:tcPr>
          <w:p w:rsidR="00C145FC" w:rsidRPr="003E6B33" w:rsidRDefault="00FA2B41" w:rsidP="00C145FC">
            <w:pPr>
              <w:ind w:left="0" w:right="0"/>
              <w:rPr>
                <w:sz w:val="20"/>
                <w:szCs w:val="20"/>
              </w:rPr>
            </w:pPr>
            <w:r w:rsidRPr="003E6B33">
              <w:rPr>
                <w:sz w:val="20"/>
                <w:szCs w:val="20"/>
              </w:rPr>
              <w:t>M14-250</w:t>
            </w:r>
          </w:p>
          <w:p w:rsidR="00C145FC" w:rsidRPr="003E6B33" w:rsidRDefault="00C145FC" w:rsidP="002A1A76">
            <w:pPr>
              <w:ind w:left="0" w:right="0"/>
              <w:rPr>
                <w:sz w:val="20"/>
                <w:szCs w:val="20"/>
              </w:rPr>
            </w:pPr>
            <w:r w:rsidRPr="003E6B33">
              <w:rPr>
                <w:sz w:val="20"/>
                <w:szCs w:val="20"/>
              </w:rPr>
              <w:t xml:space="preserve">Co-administration of </w:t>
            </w:r>
            <w:r w:rsidR="00F573D0" w:rsidRPr="003E6B33">
              <w:rPr>
                <w:sz w:val="20"/>
                <w:szCs w:val="20"/>
              </w:rPr>
              <w:t>paritaprevir</w:t>
            </w:r>
            <w:r w:rsidR="002A1A76" w:rsidRPr="003E6B33">
              <w:rPr>
                <w:sz w:val="20"/>
                <w:szCs w:val="20"/>
              </w:rPr>
              <w:t>/r</w:t>
            </w:r>
            <w:r w:rsidRPr="003E6B33">
              <w:rPr>
                <w:sz w:val="20"/>
                <w:szCs w:val="20"/>
              </w:rPr>
              <w:t>itonavir/</w:t>
            </w:r>
            <w:r w:rsidR="00590286" w:rsidRPr="003E6B33">
              <w:rPr>
                <w:sz w:val="20"/>
                <w:szCs w:val="20"/>
              </w:rPr>
              <w:t>ombitasvir</w:t>
            </w:r>
            <w:r w:rsidRPr="003E6B33">
              <w:rPr>
                <w:sz w:val="20"/>
                <w:szCs w:val="20"/>
              </w:rPr>
              <w:t xml:space="preserve"> </w:t>
            </w:r>
            <w:r w:rsidR="002A1A76" w:rsidRPr="003E6B33">
              <w:rPr>
                <w:sz w:val="20"/>
                <w:szCs w:val="20"/>
              </w:rPr>
              <w:t xml:space="preserve">with ribavirin </w:t>
            </w:r>
            <w:r w:rsidRPr="003E6B33">
              <w:rPr>
                <w:sz w:val="20"/>
                <w:szCs w:val="20"/>
              </w:rPr>
              <w:t>(RBV) in Adults With Genotype 4 (</w:t>
            </w:r>
            <w:r w:rsidR="00202E0D" w:rsidRPr="003E6B33">
              <w:rPr>
                <w:sz w:val="20"/>
                <w:szCs w:val="20"/>
              </w:rPr>
              <w:t>genotype</w:t>
            </w:r>
            <w:r w:rsidRPr="003E6B33">
              <w:rPr>
                <w:sz w:val="20"/>
                <w:szCs w:val="20"/>
              </w:rPr>
              <w:t>4) Hepatitis C Virus (HCV) in Egypt</w:t>
            </w:r>
          </w:p>
        </w:tc>
        <w:tc>
          <w:tcPr>
            <w:tcW w:w="2815" w:type="dxa"/>
          </w:tcPr>
          <w:p w:rsidR="00C145FC" w:rsidRPr="003E6B33" w:rsidRDefault="00C145FC" w:rsidP="00C145FC">
            <w:pPr>
              <w:ind w:left="0" w:right="0"/>
              <w:rPr>
                <w:sz w:val="20"/>
                <w:szCs w:val="20"/>
              </w:rPr>
            </w:pPr>
            <w:r w:rsidRPr="003E6B33">
              <w:rPr>
                <w:sz w:val="20"/>
                <w:szCs w:val="20"/>
              </w:rPr>
              <w:t>Patients with genotype 2, 3, 4, 5 or 6 HCV infection</w:t>
            </w:r>
          </w:p>
        </w:tc>
      </w:tr>
      <w:tr w:rsidR="00C145FC" w:rsidRPr="003E6B33" w:rsidTr="00427E0D">
        <w:trPr>
          <w:trHeight w:val="1085"/>
        </w:trPr>
        <w:tc>
          <w:tcPr>
            <w:tcW w:w="5856" w:type="dxa"/>
          </w:tcPr>
          <w:p w:rsidR="00C145FC" w:rsidRPr="003E6B33" w:rsidRDefault="00C145FC" w:rsidP="00C145FC">
            <w:pPr>
              <w:ind w:left="0" w:right="0"/>
              <w:rPr>
                <w:sz w:val="20"/>
                <w:szCs w:val="20"/>
              </w:rPr>
            </w:pPr>
            <w:r w:rsidRPr="003E6B33">
              <w:rPr>
                <w:sz w:val="20"/>
                <w:szCs w:val="20"/>
              </w:rPr>
              <w:t>M14-226</w:t>
            </w:r>
          </w:p>
          <w:p w:rsidR="00C145FC" w:rsidRPr="003E6B33" w:rsidRDefault="00C145FC" w:rsidP="00C145FC">
            <w:pPr>
              <w:ind w:left="0" w:right="0"/>
              <w:rPr>
                <w:sz w:val="20"/>
                <w:szCs w:val="20"/>
              </w:rPr>
            </w:pPr>
            <w:r w:rsidRPr="003E6B33">
              <w:rPr>
                <w:sz w:val="20"/>
                <w:szCs w:val="20"/>
              </w:rPr>
              <w:t>Ombitasvir/</w:t>
            </w:r>
            <w:r w:rsidR="00F573D0" w:rsidRPr="003E6B33">
              <w:rPr>
                <w:sz w:val="20"/>
                <w:szCs w:val="20"/>
              </w:rPr>
              <w:t>paritaprevir</w:t>
            </w:r>
            <w:r w:rsidR="002A1A76" w:rsidRPr="003E6B33">
              <w:rPr>
                <w:sz w:val="20"/>
                <w:szCs w:val="20"/>
              </w:rPr>
              <w:t>/r</w:t>
            </w:r>
            <w:r w:rsidRPr="003E6B33">
              <w:rPr>
                <w:sz w:val="20"/>
                <w:szCs w:val="20"/>
              </w:rPr>
              <w:t xml:space="preserve">itonavir and Dasabuvir With or Without Ribavirin in </w:t>
            </w:r>
            <w:r w:rsidR="0030257D" w:rsidRPr="003E6B33">
              <w:rPr>
                <w:sz w:val="20"/>
                <w:szCs w:val="20"/>
              </w:rPr>
              <w:t>Treatment naïve</w:t>
            </w:r>
            <w:r w:rsidRPr="003E6B33">
              <w:rPr>
                <w:sz w:val="20"/>
                <w:szCs w:val="20"/>
              </w:rPr>
              <w:t xml:space="preserve"> HCV Genotype 1-Infected Adults With Chronic Kidney Disease</w:t>
            </w:r>
          </w:p>
        </w:tc>
        <w:tc>
          <w:tcPr>
            <w:tcW w:w="2815" w:type="dxa"/>
          </w:tcPr>
          <w:p w:rsidR="00C145FC" w:rsidRPr="003E6B33" w:rsidRDefault="00C145FC" w:rsidP="00C145FC">
            <w:pPr>
              <w:ind w:left="0" w:right="0"/>
              <w:rPr>
                <w:sz w:val="20"/>
                <w:szCs w:val="20"/>
              </w:rPr>
            </w:pPr>
            <w:r w:rsidRPr="003E6B33">
              <w:rPr>
                <w:sz w:val="20"/>
                <w:szCs w:val="20"/>
              </w:rPr>
              <w:t>Patients with severe renal impairment</w:t>
            </w:r>
          </w:p>
        </w:tc>
      </w:tr>
    </w:tbl>
    <w:p w:rsidR="008E7846" w:rsidRPr="0009209E" w:rsidRDefault="008E7846" w:rsidP="008E7846">
      <w:pPr>
        <w:pStyle w:val="Heading4"/>
        <w:rPr>
          <w:lang w:eastAsia="en-AU"/>
        </w:rPr>
      </w:pPr>
      <w:r w:rsidRPr="0009209E">
        <w:rPr>
          <w:lang w:eastAsia="en-AU"/>
        </w:rPr>
        <w:t xml:space="preserve">Risk </w:t>
      </w:r>
      <w:r w:rsidR="003A7F6C" w:rsidRPr="0009209E">
        <w:rPr>
          <w:lang w:eastAsia="en-AU"/>
        </w:rPr>
        <w:t>m</w:t>
      </w:r>
      <w:r w:rsidRPr="0009209E">
        <w:rPr>
          <w:lang w:eastAsia="en-AU"/>
        </w:rPr>
        <w:t xml:space="preserve">inimisation </w:t>
      </w:r>
      <w:r w:rsidR="003A7F6C" w:rsidRPr="0009209E">
        <w:rPr>
          <w:lang w:eastAsia="en-AU"/>
        </w:rPr>
        <w:t>a</w:t>
      </w:r>
      <w:r w:rsidRPr="0009209E">
        <w:rPr>
          <w:lang w:eastAsia="en-AU"/>
        </w:rPr>
        <w:t>ctivities</w:t>
      </w:r>
    </w:p>
    <w:p w:rsidR="00C145FC" w:rsidRPr="0009209E" w:rsidRDefault="00C145FC" w:rsidP="00C145FC">
      <w:bookmarkStart w:id="195" w:name="_Toc247691527"/>
      <w:r w:rsidRPr="0009209E">
        <w:t>The sponsor proposes no additional risk minimisation activities.</w:t>
      </w:r>
    </w:p>
    <w:p w:rsidR="0009209E" w:rsidRPr="0009209E" w:rsidRDefault="006F25B8" w:rsidP="0009209E">
      <w:pPr>
        <w:pStyle w:val="Heading4"/>
        <w:rPr>
          <w:lang w:eastAsia="en-AU"/>
        </w:rPr>
      </w:pPr>
      <w:r w:rsidRPr="0009209E">
        <w:rPr>
          <w:lang w:eastAsia="en-AU"/>
        </w:rPr>
        <w:t>Reconciliation of is</w:t>
      </w:r>
      <w:r w:rsidR="00FC34D9" w:rsidRPr="0009209E">
        <w:rPr>
          <w:lang w:eastAsia="en-AU"/>
        </w:rPr>
        <w:t>sues outlined in the RMP report</w:t>
      </w:r>
    </w:p>
    <w:p w:rsidR="00FC34D9" w:rsidRDefault="00FC34D9" w:rsidP="00FC34D9">
      <w:pPr>
        <w:pStyle w:val="Heading5"/>
        <w:rPr>
          <w:lang w:eastAsia="en-AU"/>
        </w:rPr>
      </w:pPr>
      <w:r w:rsidRPr="0009209E">
        <w:rPr>
          <w:lang w:eastAsia="en-AU"/>
        </w:rPr>
        <w:t>Recommendation 1 in RMP report</w:t>
      </w:r>
    </w:p>
    <w:p w:rsidR="0009209E" w:rsidRPr="0009209E" w:rsidRDefault="0009209E" w:rsidP="0009209E">
      <w:r w:rsidRPr="0009209E">
        <w:t>The sponsor should provide information on the overseas registration status of Viekira-Pak-RBV.</w:t>
      </w:r>
    </w:p>
    <w:p w:rsidR="00F00F8B" w:rsidRPr="0009209E" w:rsidRDefault="00FC34D9" w:rsidP="00F00F8B">
      <w:pPr>
        <w:rPr>
          <w:i/>
        </w:rPr>
      </w:pPr>
      <w:r w:rsidRPr="0009209E">
        <w:rPr>
          <w:i/>
        </w:rPr>
        <w:t>Sponsor’s response</w:t>
      </w:r>
    </w:p>
    <w:p w:rsidR="0009209E" w:rsidRPr="0009209E" w:rsidRDefault="0009209E" w:rsidP="0009209E">
      <w:r w:rsidRPr="0009209E">
        <w:t>Viekira PAK-RBV has not been submitted for registration in any other country besides</w:t>
      </w:r>
      <w:r w:rsidR="00CD3229">
        <w:t xml:space="preserve"> </w:t>
      </w:r>
      <w:r w:rsidRPr="0009209E">
        <w:t>Australia.</w:t>
      </w:r>
      <w:r>
        <w:t xml:space="preserve"> </w:t>
      </w:r>
      <w:r w:rsidRPr="0009209E">
        <w:t>The registration status of the</w:t>
      </w:r>
      <w:r w:rsidR="00BD522A">
        <w:t xml:space="preserve"> </w:t>
      </w:r>
      <w:r w:rsidR="00237CBE">
        <w:t>3DAA</w:t>
      </w:r>
      <w:r w:rsidR="00BD522A">
        <w:t xml:space="preserve"> regimen is shown in the T</w:t>
      </w:r>
      <w:r w:rsidRPr="0009209E">
        <w:t xml:space="preserve">able </w:t>
      </w:r>
      <w:r w:rsidR="00654113">
        <w:t>24</w:t>
      </w:r>
      <w:r w:rsidRPr="0009209E">
        <w:t>.</w:t>
      </w:r>
    </w:p>
    <w:p w:rsidR="0009209E" w:rsidRPr="00BD522A" w:rsidRDefault="0009209E" w:rsidP="0009209E">
      <w:pPr>
        <w:pStyle w:val="Tabletitle0"/>
      </w:pPr>
      <w:r w:rsidRPr="00BD522A">
        <w:lastRenderedPageBreak/>
        <w:t xml:space="preserve">Table </w:t>
      </w:r>
      <w:r w:rsidR="00654113">
        <w:t>24</w:t>
      </w:r>
      <w:r w:rsidR="00BD522A" w:rsidRPr="00BD522A">
        <w:t>:</w:t>
      </w:r>
      <w:r w:rsidRPr="00BD522A">
        <w:t xml:space="preserve"> The registration status of the </w:t>
      </w:r>
      <w:r w:rsidR="00237CBE">
        <w:t>3DAA</w:t>
      </w:r>
      <w:r w:rsidRPr="00BD522A">
        <w:t xml:space="preserve"> regimen</w:t>
      </w:r>
    </w:p>
    <w:p w:rsidR="0009209E" w:rsidRPr="00BD522A" w:rsidRDefault="00DA39BE" w:rsidP="00F00F8B">
      <w:r w:rsidRPr="00BD522A">
        <w:rPr>
          <w:noProof/>
          <w:lang w:eastAsia="en-AU"/>
        </w:rPr>
        <w:drawing>
          <wp:inline distT="0" distB="0" distL="0" distR="0" wp14:anchorId="7879CE5B" wp14:editId="73EE6F84">
            <wp:extent cx="4772025" cy="5114925"/>
            <wp:effectExtent l="0" t="0" r="9525" b="9525"/>
            <wp:docPr id="49" name="Picture 49" descr="Table 24: The registration status of the 3-DAA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72025" cy="5114925"/>
                    </a:xfrm>
                    <a:prstGeom prst="rect">
                      <a:avLst/>
                    </a:prstGeom>
                  </pic:spPr>
                </pic:pic>
              </a:graphicData>
            </a:graphic>
          </wp:inline>
        </w:drawing>
      </w:r>
    </w:p>
    <w:p w:rsidR="00CD3229" w:rsidRPr="00CD3229" w:rsidRDefault="00CD3229" w:rsidP="00CD3229">
      <w:pPr>
        <w:rPr>
          <w:i/>
        </w:rPr>
      </w:pPr>
      <w:r w:rsidRPr="00CD3229">
        <w:rPr>
          <w:i/>
        </w:rPr>
        <w:t>RMP evaluator’s comment</w:t>
      </w:r>
    </w:p>
    <w:p w:rsidR="0009209E" w:rsidRPr="00CD3229" w:rsidRDefault="00CD3229" w:rsidP="00CD3229">
      <w:pPr>
        <w:rPr>
          <w:highlight w:val="yellow"/>
        </w:rPr>
      </w:pPr>
      <w:r w:rsidRPr="00CD3229">
        <w:t>The sponsor’s response has been noted.</w:t>
      </w:r>
    </w:p>
    <w:p w:rsidR="00CD3229" w:rsidRPr="00CD3229" w:rsidRDefault="00CD3229" w:rsidP="00CD3229">
      <w:pPr>
        <w:pStyle w:val="Heading5"/>
        <w:rPr>
          <w:lang w:eastAsia="en-AU"/>
        </w:rPr>
      </w:pPr>
      <w:r w:rsidRPr="00CD3229">
        <w:rPr>
          <w:lang w:eastAsia="en-AU"/>
        </w:rPr>
        <w:t>Recommendation 2 in RMP report</w:t>
      </w:r>
    </w:p>
    <w:p w:rsidR="00CD3229" w:rsidRPr="00CD3229" w:rsidRDefault="00CD3229" w:rsidP="00CD3229">
      <w:r w:rsidRPr="00CD3229">
        <w:t>The sponsor should integrate the information associated with ribavirin into one risk management plan, or, at the very least update the ribavirin RMP annex with the information requested by the RMP Evaluator.</w:t>
      </w:r>
    </w:p>
    <w:p w:rsidR="00CD3229" w:rsidRPr="0009209E" w:rsidRDefault="00CD3229" w:rsidP="00CD3229">
      <w:pPr>
        <w:rPr>
          <w:i/>
        </w:rPr>
      </w:pPr>
      <w:r w:rsidRPr="0009209E">
        <w:rPr>
          <w:i/>
        </w:rPr>
        <w:t>Sponsor’s response</w:t>
      </w:r>
    </w:p>
    <w:p w:rsidR="00CD3229" w:rsidRPr="00CD3229" w:rsidRDefault="00CD3229" w:rsidP="00CD3229">
      <w:r w:rsidRPr="00CD3229">
        <w:t>AbbVie has updated the ribavirin RMP annex to address the comments from the OPR reviewer.</w:t>
      </w:r>
    </w:p>
    <w:p w:rsidR="00CD3229" w:rsidRPr="00CD3229" w:rsidRDefault="00CD3229" w:rsidP="00CD3229">
      <w:pPr>
        <w:rPr>
          <w:i/>
        </w:rPr>
      </w:pPr>
      <w:r w:rsidRPr="00CD3229">
        <w:rPr>
          <w:i/>
        </w:rPr>
        <w:t>RMP evaluator’s comment</w:t>
      </w:r>
    </w:p>
    <w:p w:rsidR="0009209E" w:rsidRPr="00CD3229" w:rsidRDefault="00CD3229" w:rsidP="00CD3229">
      <w:pPr>
        <w:rPr>
          <w:highlight w:val="yellow"/>
        </w:rPr>
      </w:pPr>
      <w:r w:rsidRPr="00CD3229">
        <w:t>This is considered acceptable in the context of this application.</w:t>
      </w:r>
    </w:p>
    <w:p w:rsidR="00CD3229" w:rsidRPr="00CD3229" w:rsidRDefault="00CD3229" w:rsidP="00CD3229">
      <w:pPr>
        <w:pStyle w:val="Heading5"/>
        <w:rPr>
          <w:lang w:eastAsia="en-AU"/>
        </w:rPr>
      </w:pPr>
      <w:r>
        <w:rPr>
          <w:lang w:eastAsia="en-AU"/>
        </w:rPr>
        <w:t>Recommendation 3</w:t>
      </w:r>
      <w:r w:rsidRPr="00CD3229">
        <w:rPr>
          <w:lang w:eastAsia="en-AU"/>
        </w:rPr>
        <w:t xml:space="preserve"> in RMP report</w:t>
      </w:r>
    </w:p>
    <w:p w:rsidR="00CD3229" w:rsidRPr="00CD3229" w:rsidRDefault="00CD3229" w:rsidP="00CD3229">
      <w:r w:rsidRPr="00CD3229">
        <w:t xml:space="preserve">It is recommended that the following should be added as Ongoing Safety Concerns and become part of a pharmacovigilance plan that combines the </w:t>
      </w:r>
      <w:r w:rsidR="00237CBE">
        <w:t>3DAA</w:t>
      </w:r>
      <w:r w:rsidRPr="00CD3229">
        <w:t xml:space="preserve"> regimen and ribavirin:</w:t>
      </w:r>
    </w:p>
    <w:p w:rsidR="00CD3229" w:rsidRPr="00CD3229" w:rsidRDefault="00CD3229" w:rsidP="00CD3229">
      <w:r w:rsidRPr="00CD3229">
        <w:t xml:space="preserve">Important </w:t>
      </w:r>
      <w:r w:rsidR="00722E17" w:rsidRPr="00CD3229">
        <w:t>identified risks</w:t>
      </w:r>
    </w:p>
    <w:p w:rsidR="00CD3229" w:rsidRPr="00CD3229" w:rsidRDefault="00CD3229" w:rsidP="00CD3229">
      <w:pPr>
        <w:pStyle w:val="Numberbullet2"/>
      </w:pPr>
      <w:r w:rsidRPr="00CD3229">
        <w:t xml:space="preserve">Anaemia (for the </w:t>
      </w:r>
      <w:r w:rsidR="00237CBE">
        <w:t>3DAA</w:t>
      </w:r>
      <w:r w:rsidRPr="00CD3229">
        <w:t xml:space="preserve"> regimen);</w:t>
      </w:r>
    </w:p>
    <w:p w:rsidR="00CD3229" w:rsidRPr="00CD3229" w:rsidRDefault="00CD3229" w:rsidP="00CD3229">
      <w:pPr>
        <w:pStyle w:val="Numberbullet2"/>
      </w:pPr>
      <w:r w:rsidRPr="00CD3229">
        <w:lastRenderedPageBreak/>
        <w:t>Hyperbilirubinaemia;</w:t>
      </w:r>
    </w:p>
    <w:p w:rsidR="00CD3229" w:rsidRPr="00CD3229" w:rsidRDefault="00CD3229" w:rsidP="00CD3229">
      <w:pPr>
        <w:pStyle w:val="Numberbullet2"/>
      </w:pPr>
      <w:r w:rsidRPr="00CD3229">
        <w:t>Teratogenicity (in combination therapy with ribavirin);</w:t>
      </w:r>
    </w:p>
    <w:p w:rsidR="00CD3229" w:rsidRPr="00CD3229" w:rsidRDefault="00722E17" w:rsidP="00CD3229">
      <w:pPr>
        <w:pStyle w:val="Numberbullet2"/>
      </w:pPr>
      <w:r w:rsidRPr="00CD3229">
        <w:t>Neutropenia</w:t>
      </w:r>
      <w:r w:rsidR="00CD3229" w:rsidRPr="00CD3229">
        <w:t xml:space="preserve"> (in combination therapy with ribavirin);</w:t>
      </w:r>
    </w:p>
    <w:p w:rsidR="00CD3229" w:rsidRPr="00CD3229" w:rsidRDefault="00722E17" w:rsidP="00CD3229">
      <w:pPr>
        <w:pStyle w:val="Numberbullet2"/>
      </w:pPr>
      <w:r w:rsidRPr="00CD3229">
        <w:t>Thrombocytopenia</w:t>
      </w:r>
      <w:r w:rsidR="00CD3229" w:rsidRPr="00CD3229">
        <w:t xml:space="preserve"> (in combination therapy with ribavirin);</w:t>
      </w:r>
    </w:p>
    <w:p w:rsidR="00CD3229" w:rsidRPr="00CD3229" w:rsidRDefault="00722E17" w:rsidP="00CD3229">
      <w:pPr>
        <w:pStyle w:val="Numberbullet2"/>
      </w:pPr>
      <w:r w:rsidRPr="00CD3229">
        <w:t>Pancytopenia</w:t>
      </w:r>
      <w:r w:rsidR="00CD3229" w:rsidRPr="00CD3229">
        <w:t xml:space="preserve"> (in combination therapy with ribavirin);</w:t>
      </w:r>
    </w:p>
    <w:p w:rsidR="00CD3229" w:rsidRPr="00CD3229" w:rsidRDefault="00CD3229" w:rsidP="00CD3229">
      <w:pPr>
        <w:pStyle w:val="Numberbullet2"/>
      </w:pPr>
      <w:r w:rsidRPr="00CD3229">
        <w:t>Depression (in combi</w:t>
      </w:r>
      <w:r w:rsidR="00722E17">
        <w:t>nation therapy with ribavirin);</w:t>
      </w:r>
    </w:p>
    <w:p w:rsidR="00CD3229" w:rsidRPr="00CD3229" w:rsidRDefault="00CD3229" w:rsidP="00CD3229">
      <w:pPr>
        <w:pStyle w:val="Numberbullet2"/>
      </w:pPr>
      <w:r w:rsidRPr="00CD3229">
        <w:t>Mitochondrial toxicity (in combination therapy with ribavirin); and</w:t>
      </w:r>
    </w:p>
    <w:p w:rsidR="00CD3229" w:rsidRDefault="00CD3229" w:rsidP="00CD3229">
      <w:pPr>
        <w:pStyle w:val="Numberbullet2"/>
      </w:pPr>
      <w:r w:rsidRPr="00CD3229">
        <w:t>Gastrointestinal effects (including nausea and diarrhoea).</w:t>
      </w:r>
    </w:p>
    <w:p w:rsidR="00CD3229" w:rsidRPr="00CD3229" w:rsidRDefault="00CD3229" w:rsidP="00CD3229">
      <w:r w:rsidRPr="00CD3229">
        <w:t>Important Potential Risks</w:t>
      </w:r>
    </w:p>
    <w:p w:rsidR="00CD3229" w:rsidRPr="00CD3229" w:rsidRDefault="00CD3229" w:rsidP="00CD3229">
      <w:pPr>
        <w:pStyle w:val="Numberbullet2"/>
      </w:pPr>
      <w:r w:rsidRPr="00CD3229">
        <w:t xml:space="preserve">Hypersensitivity (for the </w:t>
      </w:r>
      <w:r w:rsidR="00237CBE">
        <w:t>3DAA</w:t>
      </w:r>
      <w:r w:rsidRPr="00CD3229">
        <w:t xml:space="preserve"> regimen); and</w:t>
      </w:r>
    </w:p>
    <w:p w:rsidR="00CD3229" w:rsidRDefault="00CD3229" w:rsidP="00CD3229">
      <w:pPr>
        <w:pStyle w:val="Numberbullet2"/>
      </w:pPr>
      <w:r w:rsidRPr="00CD3229">
        <w:t>Adverse gallbladder effects.</w:t>
      </w:r>
    </w:p>
    <w:p w:rsidR="00A57F36" w:rsidRPr="00A57F36" w:rsidRDefault="00A57F36" w:rsidP="00A57F36">
      <w:r w:rsidRPr="00A57F36">
        <w:t>Missing Information</w:t>
      </w:r>
    </w:p>
    <w:p w:rsidR="00A57F36" w:rsidRPr="00A57F36" w:rsidRDefault="00A57F36" w:rsidP="00A57F36">
      <w:pPr>
        <w:pStyle w:val="Numberbullet2"/>
      </w:pPr>
      <w:r w:rsidRPr="00A57F36">
        <w:t>Patients over 70 years;</w:t>
      </w:r>
    </w:p>
    <w:p w:rsidR="00A57F36" w:rsidRPr="00A57F36" w:rsidRDefault="00A57F36" w:rsidP="00A57F36">
      <w:pPr>
        <w:pStyle w:val="Numberbullet2"/>
      </w:pPr>
      <w:r w:rsidRPr="00A57F36">
        <w:t>Acute liver disease (other than HCV infection);</w:t>
      </w:r>
    </w:p>
    <w:p w:rsidR="00A57F36" w:rsidRPr="00A57F36" w:rsidRDefault="00A57F36" w:rsidP="00A57F36">
      <w:pPr>
        <w:pStyle w:val="Numberbullet2"/>
      </w:pPr>
      <w:r w:rsidRPr="00A57F36">
        <w:t>Long-term safety;</w:t>
      </w:r>
    </w:p>
    <w:p w:rsidR="00A57F36" w:rsidRPr="00A57F36" w:rsidRDefault="00A57F36" w:rsidP="00A57F36">
      <w:pPr>
        <w:pStyle w:val="Numberbullet2"/>
      </w:pPr>
      <w:r w:rsidRPr="00A57F36">
        <w:t>Patients with portal hypertension;</w:t>
      </w:r>
    </w:p>
    <w:p w:rsidR="00A57F36" w:rsidRPr="00A57F36" w:rsidRDefault="00A57F36" w:rsidP="00A57F36">
      <w:pPr>
        <w:pStyle w:val="Numberbullet2"/>
      </w:pPr>
      <w:r w:rsidRPr="00A57F36">
        <w:t>Patients with HBV co-infection;</w:t>
      </w:r>
    </w:p>
    <w:p w:rsidR="00A57F36" w:rsidRPr="00A57F36" w:rsidRDefault="00A57F36" w:rsidP="00A57F36">
      <w:pPr>
        <w:pStyle w:val="Numberbullet2"/>
      </w:pPr>
      <w:r w:rsidRPr="00A57F36">
        <w:t>Non-Caucasian patients (including Asian or Australian Indigenous populations);</w:t>
      </w:r>
    </w:p>
    <w:p w:rsidR="00A57F36" w:rsidRPr="00A57F36" w:rsidRDefault="00A57F36" w:rsidP="00A57F36">
      <w:pPr>
        <w:pStyle w:val="Numberbullet2"/>
      </w:pPr>
      <w:r w:rsidRPr="00A57F36">
        <w:t>Patients with genotype 2, 3, 4, 5 or 6 HCV infection;</w:t>
      </w:r>
    </w:p>
    <w:p w:rsidR="00A26E99" w:rsidRDefault="00A57F36" w:rsidP="00A57F36">
      <w:pPr>
        <w:pStyle w:val="Numberbullet2"/>
      </w:pPr>
      <w:r w:rsidRPr="00A57F36">
        <w:t>Carcinogenicity data for ombitasvir and dasabuvir;</w:t>
      </w:r>
    </w:p>
    <w:p w:rsidR="00A57F36" w:rsidRPr="00A57F36" w:rsidRDefault="00A57F36" w:rsidP="00A57F36">
      <w:pPr>
        <w:pStyle w:val="Numberbullet2"/>
      </w:pPr>
      <w:r w:rsidRPr="00A57F36">
        <w:t>Effectiveness of hormonal contraception;</w:t>
      </w:r>
    </w:p>
    <w:p w:rsidR="00A57F36" w:rsidRPr="00A57F36" w:rsidRDefault="00A57F36" w:rsidP="00A57F36">
      <w:pPr>
        <w:pStyle w:val="Numberbullet2"/>
      </w:pPr>
      <w:r w:rsidRPr="00A57F36">
        <w:t>Patients with severe renal impairment; and</w:t>
      </w:r>
    </w:p>
    <w:p w:rsidR="00A57F36" w:rsidRPr="00A57F36" w:rsidRDefault="00A57F36" w:rsidP="00A57F36">
      <w:pPr>
        <w:pStyle w:val="Numberbullet2"/>
      </w:pPr>
      <w:r w:rsidRPr="00A57F36">
        <w:t>Patients with Child Pugh Score C/decompensated cirrhosis.</w:t>
      </w:r>
    </w:p>
    <w:p w:rsidR="00CD3229" w:rsidRPr="00CD3229" w:rsidRDefault="00CD3229" w:rsidP="00CD3229">
      <w:pPr>
        <w:rPr>
          <w:i/>
        </w:rPr>
      </w:pPr>
      <w:r w:rsidRPr="00CD3229">
        <w:rPr>
          <w:i/>
        </w:rPr>
        <w:t>Sponsor’s response</w:t>
      </w:r>
    </w:p>
    <w:p w:rsidR="00CD3229" w:rsidRPr="00237CBE" w:rsidRDefault="00CD3229" w:rsidP="00CD3229">
      <w:pPr>
        <w:rPr>
          <w:i/>
        </w:rPr>
      </w:pPr>
      <w:r w:rsidRPr="00237CBE">
        <w:rPr>
          <w:i/>
        </w:rPr>
        <w:t xml:space="preserve">Important </w:t>
      </w:r>
      <w:r w:rsidR="00237CBE" w:rsidRPr="00237CBE">
        <w:rPr>
          <w:i/>
        </w:rPr>
        <w:t>identified risks</w:t>
      </w:r>
    </w:p>
    <w:p w:rsidR="00CD3229" w:rsidRPr="00CD3229" w:rsidRDefault="00CD3229" w:rsidP="00CD3229">
      <w:r w:rsidRPr="00CD3229">
        <w:rPr>
          <w:rFonts w:hint="eastAsia"/>
        </w:rPr>
        <w:t>The ribavirin annex located in Annex 13 includes the identified risk of</w:t>
      </w:r>
      <w:r w:rsidRPr="00CD3229">
        <w:t xml:space="preserve"> teratogenicity. The important identified risk of mitochondrial toxicity has been added to this annex.</w:t>
      </w:r>
    </w:p>
    <w:p w:rsidR="00CD3229" w:rsidRPr="00CD3229" w:rsidRDefault="00CD3229" w:rsidP="00CD3229">
      <w:r w:rsidRPr="00CD3229">
        <w:rPr>
          <w:rFonts w:hint="eastAsia"/>
        </w:rPr>
        <w:t>AbbVie does not believe that the identified risks of neutropenia, pancytopenia or</w:t>
      </w:r>
      <w:r w:rsidRPr="00CD3229">
        <w:t xml:space="preserve"> thrombocytopenia should be added for the </w:t>
      </w:r>
      <w:r w:rsidR="00237CBE">
        <w:t>3DAA</w:t>
      </w:r>
      <w:r w:rsidRPr="00CD3229">
        <w:t xml:space="preserve"> regimen when administered with ribavirin. Thrombocytopenia and neutropenia are side effects observed when pegylated interferon is used, and product </w:t>
      </w:r>
      <w:r w:rsidR="00BD522A" w:rsidRPr="00CD3229">
        <w:t>labelling</w:t>
      </w:r>
      <w:r w:rsidRPr="00CD3229">
        <w:t xml:space="preserve"> for pegylated interferon includes dose reduction for thrombocytopenia and neutropenia [reference: SmPC for peg-IFN]. Ribavirin is not dose reduced for these hematologic effects. Furthermore, du</w:t>
      </w:r>
      <w:r w:rsidR="00722E17">
        <w:t xml:space="preserve">ring clinical trials with the </w:t>
      </w:r>
      <w:r w:rsidR="00237CBE">
        <w:t>3DAA</w:t>
      </w:r>
      <w:r w:rsidRPr="00CD3229">
        <w:t xml:space="preserve"> regimen and ribavirin (N = 2,044 subjects), few subjects experienced neutropenia (defined as neutrophil count &lt; 1 </w:t>
      </w:r>
      <w:r>
        <w:t>x</w:t>
      </w:r>
      <w:r w:rsidRPr="00CD3229">
        <w:t xml:space="preserve"> 10</w:t>
      </w:r>
      <w:r w:rsidRPr="00CD3229">
        <w:rPr>
          <w:vertAlign w:val="superscript"/>
        </w:rPr>
        <w:t>9</w:t>
      </w:r>
      <w:r w:rsidRPr="00CD3229">
        <w:t>/L, 0.4%) or th</w:t>
      </w:r>
      <w:r w:rsidR="00722E17">
        <w:t>rombocytopenia (defined as &lt; 50 </w:t>
      </w:r>
      <w:r>
        <w:t>x</w:t>
      </w:r>
      <w:r w:rsidR="00722E17">
        <w:t> </w:t>
      </w:r>
      <w:r w:rsidRPr="00CD3229">
        <w:t>10</w:t>
      </w:r>
      <w:r w:rsidRPr="00CD3229">
        <w:rPr>
          <w:vertAlign w:val="superscript"/>
        </w:rPr>
        <w:t>9</w:t>
      </w:r>
      <w:r w:rsidRPr="00CD3229">
        <w:t xml:space="preserve">/L, 0.2%), and there were no cases of pancytopenia despite use of ribavirin. While HCV regimens which used both pegylated interferon and ribavirin were associated with hematologic side effects, these effects are diminished when pegylated interferon is not co-administered. This is also reflected in lower rates of </w:t>
      </w:r>
      <w:r w:rsidR="00722E17" w:rsidRPr="00CD3229">
        <w:t>anaemia</w:t>
      </w:r>
      <w:r w:rsidRPr="00CD3229">
        <w:t xml:space="preserve"> (see response for </w:t>
      </w:r>
      <w:r w:rsidR="00BD522A" w:rsidRPr="00CD3229">
        <w:t>anaemia</w:t>
      </w:r>
      <w:r w:rsidRPr="00CD3229">
        <w:t xml:space="preserve"> as an identified risk for the </w:t>
      </w:r>
      <w:r w:rsidR="00237CBE">
        <w:t>3DAA</w:t>
      </w:r>
      <w:r w:rsidRPr="00CD3229">
        <w:t xml:space="preserve"> regimen below). On this basis, AbbVie does not believe that these hematologic side effects should be considered important identified risks, even when ribavirin is co-administered with the </w:t>
      </w:r>
      <w:r w:rsidR="00237CBE">
        <w:t>3DAA</w:t>
      </w:r>
      <w:r w:rsidRPr="00CD3229">
        <w:t xml:space="preserve"> regimen.</w:t>
      </w:r>
    </w:p>
    <w:p w:rsidR="00CD3229" w:rsidRPr="00CD3229" w:rsidRDefault="00BD522A" w:rsidP="00CD3229">
      <w:r w:rsidRPr="00CD3229">
        <w:lastRenderedPageBreak/>
        <w:t>Anaemia</w:t>
      </w:r>
      <w:r w:rsidR="00CD3229" w:rsidRPr="00CD3229">
        <w:rPr>
          <w:rFonts w:hint="eastAsia"/>
        </w:rPr>
        <w:t xml:space="preserve"> is an identified risk in the ribavirin annex and it is identified as an</w:t>
      </w:r>
      <w:r w:rsidR="00CD3229" w:rsidRPr="00CD3229">
        <w:t xml:space="preserve"> important class effect in Section SVII 5.2 of the </w:t>
      </w:r>
      <w:r w:rsidR="00237CBE">
        <w:t>3DAA</w:t>
      </w:r>
      <w:r w:rsidR="00CD3229" w:rsidRPr="00CD3229">
        <w:t xml:space="preserve"> RMP. AbbVie does not believe that it should be added as an important identified risk of the </w:t>
      </w:r>
      <w:r w:rsidR="00237CBE">
        <w:t>3DAA</w:t>
      </w:r>
      <w:r w:rsidR="00CD3229" w:rsidRPr="00CD3229">
        <w:t xml:space="preserve"> regimen without ribavirin.</w:t>
      </w:r>
    </w:p>
    <w:p w:rsidR="00CD3229" w:rsidRPr="00CD3229" w:rsidRDefault="00CD3229" w:rsidP="00CD3229">
      <w:r w:rsidRPr="00CD3229">
        <w:t>The graphs below are from Section 6.1.2.1 of the ISS. When ribavirin is not used wi</w:t>
      </w:r>
      <w:r w:rsidR="00722E17">
        <w:t xml:space="preserve">th the </w:t>
      </w:r>
      <w:r w:rsidR="00237CBE">
        <w:t>3DAA</w:t>
      </w:r>
      <w:r w:rsidR="00722E17">
        <w:t xml:space="preserve"> regimen (regimen </w:t>
      </w:r>
      <w:r w:rsidRPr="00CD3229">
        <w:t xml:space="preserve">controlled studies), the decline from baseline in </w:t>
      </w:r>
      <w:r w:rsidR="00BD522A" w:rsidRPr="00CD3229">
        <w:t>haemoglobin</w:t>
      </w:r>
      <w:r w:rsidRPr="00CD3229">
        <w:t xml:space="preserve"> is sim</w:t>
      </w:r>
      <w:r w:rsidR="00722E17">
        <w:t xml:space="preserve">ilar to the placebo arm in the placebo </w:t>
      </w:r>
      <w:r w:rsidRPr="00CD3229">
        <w:t>controlled studies.</w:t>
      </w:r>
    </w:p>
    <w:p w:rsidR="00CD3229" w:rsidRPr="00CD3229" w:rsidRDefault="004D59A3" w:rsidP="00CD3229">
      <w:pPr>
        <w:pStyle w:val="FigureTitle"/>
      </w:pPr>
      <w:r>
        <w:t>Figure 1</w:t>
      </w:r>
      <w:r w:rsidR="00B03483">
        <w:t>0</w:t>
      </w:r>
      <w:r w:rsidR="00CD3229" w:rsidRPr="00CD3229">
        <w:t>: Mean change from baseline in haemoglobin (g/L) (placebo controlled analysis set)</w:t>
      </w:r>
    </w:p>
    <w:p w:rsidR="00CD3229" w:rsidRPr="00CD3229" w:rsidRDefault="00CD3229" w:rsidP="00CD3229">
      <w:r w:rsidRPr="00CD3229">
        <w:rPr>
          <w:noProof/>
          <w:lang w:eastAsia="en-AU"/>
        </w:rPr>
        <w:drawing>
          <wp:inline distT="0" distB="0" distL="0" distR="0" wp14:anchorId="1D3921E7" wp14:editId="33D653A4">
            <wp:extent cx="5124450" cy="2867025"/>
            <wp:effectExtent l="0" t="0" r="0" b="9525"/>
            <wp:docPr id="36" name="Picture 36" descr="Figure 10: Mean change from baseline in haemoglobin (g/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24450" cy="2867025"/>
                    </a:xfrm>
                    <a:prstGeom prst="rect">
                      <a:avLst/>
                    </a:prstGeom>
                  </pic:spPr>
                </pic:pic>
              </a:graphicData>
            </a:graphic>
          </wp:inline>
        </w:drawing>
      </w:r>
    </w:p>
    <w:p w:rsidR="00CD3229" w:rsidRPr="00CD3229" w:rsidRDefault="004D59A3" w:rsidP="00CD3229">
      <w:pPr>
        <w:pStyle w:val="FigureTitle"/>
      </w:pPr>
      <w:r>
        <w:t>Figure 1</w:t>
      </w:r>
      <w:r w:rsidR="00B03483">
        <w:t>1</w:t>
      </w:r>
      <w:r w:rsidR="00CD3229" w:rsidRPr="00CD3229">
        <w:t>: Mean change from baseline in haemoglobin (g/L) (regimen controlled analysis set)</w:t>
      </w:r>
    </w:p>
    <w:p w:rsidR="00CD3229" w:rsidRPr="00CD3229" w:rsidRDefault="00CD3229" w:rsidP="00CD3229">
      <w:r w:rsidRPr="00CD3229">
        <w:rPr>
          <w:noProof/>
          <w:lang w:eastAsia="en-AU"/>
        </w:rPr>
        <w:drawing>
          <wp:inline distT="0" distB="0" distL="0" distR="0" wp14:anchorId="40538150" wp14:editId="5E949F85">
            <wp:extent cx="5105400" cy="2809875"/>
            <wp:effectExtent l="0" t="0" r="0" b="9525"/>
            <wp:docPr id="37" name="Picture 37" descr="Figure 11: Mean change from baseline in haemoglobin (g/L)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5400" cy="2809875"/>
                    </a:xfrm>
                    <a:prstGeom prst="rect">
                      <a:avLst/>
                    </a:prstGeom>
                  </pic:spPr>
                </pic:pic>
              </a:graphicData>
            </a:graphic>
          </wp:inline>
        </w:drawing>
      </w:r>
    </w:p>
    <w:p w:rsidR="00CD3229" w:rsidRPr="00CD3229" w:rsidRDefault="00CD3229" w:rsidP="00CD3229">
      <w:r w:rsidRPr="00CD3229">
        <w:t xml:space="preserve">For the risk of </w:t>
      </w:r>
      <w:r w:rsidR="00722E17" w:rsidRPr="00CD3229">
        <w:t>hyperbilirubinaemia</w:t>
      </w:r>
      <w:r w:rsidRPr="00CD3229">
        <w:t xml:space="preserve">, the </w:t>
      </w:r>
      <w:r w:rsidR="00237CBE">
        <w:t>sponsor</w:t>
      </w:r>
      <w:r w:rsidRPr="00CD3229">
        <w:t xml:space="preserve"> notes that this risk is categorized in Section SVII5.2 of the </w:t>
      </w:r>
      <w:r w:rsidR="00237CBE">
        <w:t>3DAA</w:t>
      </w:r>
      <w:r w:rsidRPr="00CD3229">
        <w:t xml:space="preserve"> RMP. Elevations in total, predominantly indirect bilirubin are a known</w:t>
      </w:r>
      <w:r w:rsidR="00722E17">
        <w:t xml:space="preserve"> effect of the use of ribavirin </w:t>
      </w:r>
      <w:r w:rsidRPr="00CD3229">
        <w:t xml:space="preserve">related </w:t>
      </w:r>
      <w:r w:rsidR="00722E17" w:rsidRPr="00CD3229">
        <w:t>haemolysis</w:t>
      </w:r>
      <w:r w:rsidRPr="00CD3229">
        <w:t xml:space="preserve"> and due to inhibition of the OATP bilirubin transporter by </w:t>
      </w:r>
      <w:r w:rsidR="00237CBE">
        <w:t>paritaprevir</w:t>
      </w:r>
      <w:r w:rsidRPr="00CD3229">
        <w:t xml:space="preserve">. As described in ISS Section 6.2.3, when ribavirin is not used with the </w:t>
      </w:r>
      <w:r w:rsidR="00237CBE">
        <w:t>3DAA</w:t>
      </w:r>
      <w:r w:rsidRPr="00CD3229">
        <w:t xml:space="preserve"> regimen, the rate of </w:t>
      </w:r>
      <w:r w:rsidR="00BD522A" w:rsidRPr="00CD3229">
        <w:t>hyperbilirubinaemia</w:t>
      </w:r>
      <w:r w:rsidRPr="00CD3229">
        <w:t xml:space="preserve"> is greatly reduced (see graphs below). Thus, based on the known effect of ribavirin on </w:t>
      </w:r>
      <w:r w:rsidR="00BD522A" w:rsidRPr="00CD3229">
        <w:t>haemolysis</w:t>
      </w:r>
      <w:r w:rsidRPr="00CD3229">
        <w:t xml:space="preserve">, ribavirin enhances the </w:t>
      </w:r>
      <w:r w:rsidR="00BD522A" w:rsidRPr="00CD3229">
        <w:t>hyperbilirubinaemia</w:t>
      </w:r>
      <w:r w:rsidRPr="00CD3229">
        <w:t xml:space="preserve"> effect when it is taken with the </w:t>
      </w:r>
      <w:r w:rsidR="00237CBE">
        <w:t>3DAA</w:t>
      </w:r>
      <w:r w:rsidRPr="00CD3229">
        <w:t xml:space="preserve"> regimen. AbbVie </w:t>
      </w:r>
      <w:r w:rsidRPr="00CD3229">
        <w:lastRenderedPageBreak/>
        <w:t xml:space="preserve">does not believe that </w:t>
      </w:r>
      <w:r w:rsidR="00BD522A" w:rsidRPr="00CD3229">
        <w:t>hyperbilirubinaemia</w:t>
      </w:r>
      <w:r w:rsidRPr="00CD3229">
        <w:t xml:space="preserve"> should be added as</w:t>
      </w:r>
      <w:r w:rsidR="00237CBE">
        <w:t xml:space="preserve"> an identified risk for the 3DAA</w:t>
      </w:r>
      <w:r w:rsidRPr="00CD3229">
        <w:t xml:space="preserve"> regimen without ribavirin. This has been agreed to by the RMP evaluator in the email reply dated 04 February 2015.</w:t>
      </w:r>
    </w:p>
    <w:p w:rsidR="00CD3229" w:rsidRPr="00CD3229" w:rsidRDefault="005038AE" w:rsidP="00CD3229">
      <w:pPr>
        <w:pStyle w:val="FigureTitle"/>
      </w:pPr>
      <w:r>
        <w:t>Figure 1</w:t>
      </w:r>
      <w:r w:rsidR="00B03483">
        <w:t>2</w:t>
      </w:r>
      <w:r w:rsidR="00CD3229" w:rsidRPr="00CD3229">
        <w:t>: Mean change from baseline in total bilirubin (µmol/L) (placebo controlled analysis set)</w:t>
      </w:r>
    </w:p>
    <w:p w:rsidR="00CD3229" w:rsidRPr="00CD3229" w:rsidRDefault="00CD3229" w:rsidP="00CD3229">
      <w:r w:rsidRPr="00CD3229">
        <w:rPr>
          <w:noProof/>
          <w:lang w:eastAsia="en-AU"/>
        </w:rPr>
        <w:drawing>
          <wp:inline distT="0" distB="0" distL="0" distR="0" wp14:anchorId="06B899C5" wp14:editId="72EFD5FB">
            <wp:extent cx="5238750" cy="2876550"/>
            <wp:effectExtent l="0" t="0" r="0" b="0"/>
            <wp:docPr id="38" name="Picture 38" descr="Figure 12: Mean change from baseline in total bilirubin (µmol/L) (placebo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8750" cy="2876550"/>
                    </a:xfrm>
                    <a:prstGeom prst="rect">
                      <a:avLst/>
                    </a:prstGeom>
                  </pic:spPr>
                </pic:pic>
              </a:graphicData>
            </a:graphic>
          </wp:inline>
        </w:drawing>
      </w:r>
    </w:p>
    <w:p w:rsidR="00CD3229" w:rsidRPr="00CD3229" w:rsidRDefault="00CD3229" w:rsidP="00CD3229">
      <w:pPr>
        <w:pStyle w:val="FigureTitle"/>
      </w:pPr>
      <w:r w:rsidRPr="00CD3229">
        <w:t>Figure</w:t>
      </w:r>
      <w:r w:rsidR="005038AE">
        <w:t xml:space="preserve"> 1</w:t>
      </w:r>
      <w:r w:rsidR="00B03483">
        <w:t>3</w:t>
      </w:r>
      <w:r w:rsidRPr="00CD3229">
        <w:t>: Mean change from baseline in total bilirubin (µmol/L) (regimen controlled analysis set)</w:t>
      </w:r>
    </w:p>
    <w:p w:rsidR="00CD3229" w:rsidRPr="00CD3229" w:rsidRDefault="00CD3229" w:rsidP="00CD3229">
      <w:r w:rsidRPr="00CD3229">
        <w:rPr>
          <w:noProof/>
          <w:lang w:eastAsia="en-AU"/>
        </w:rPr>
        <w:drawing>
          <wp:inline distT="0" distB="0" distL="0" distR="0" wp14:anchorId="75F0FFF5" wp14:editId="39984AEC">
            <wp:extent cx="5076825" cy="2847975"/>
            <wp:effectExtent l="0" t="0" r="9525" b="9525"/>
            <wp:docPr id="39" name="Picture 39" descr="Figure 13: Mean change from baseline in total bilirubin (µmol/L) (regimen 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76825" cy="2847975"/>
                    </a:xfrm>
                    <a:prstGeom prst="rect">
                      <a:avLst/>
                    </a:prstGeom>
                  </pic:spPr>
                </pic:pic>
              </a:graphicData>
            </a:graphic>
          </wp:inline>
        </w:drawing>
      </w:r>
    </w:p>
    <w:p w:rsidR="00CD3229" w:rsidRPr="00CD3229" w:rsidRDefault="00CD3229" w:rsidP="00CD3229">
      <w:r w:rsidRPr="00CD3229">
        <w:t xml:space="preserve">Gastrointestinal events, including nausea and </w:t>
      </w:r>
      <w:r w:rsidR="00BD522A" w:rsidRPr="00CD3229">
        <w:t>diarrhoea</w:t>
      </w:r>
      <w:r w:rsidRPr="00CD3229">
        <w:t xml:space="preserve"> were reported in both the </w:t>
      </w:r>
      <w:r w:rsidR="00237CBE">
        <w:t>3DAA</w:t>
      </w:r>
      <w:r w:rsidRPr="00CD3229">
        <w:t xml:space="preserve"> + ribavirin and </w:t>
      </w:r>
      <w:r w:rsidR="00237CBE">
        <w:t>3DAA</w:t>
      </w:r>
      <w:r w:rsidRPr="00CD3229">
        <w:t xml:space="preserve"> treatment groups; however, when evaluating whether these events meet criteria for classification of a risk in a RMP, other factors should be assessed. Among the events that are reflected with a MedDRA preferred term (PT) containing abdominal pain, &lt; 4% in any given PT were believed to be related to the regimen. The MedDRA PTs of </w:t>
      </w:r>
      <w:r w:rsidR="00BD522A" w:rsidRPr="00CD3229">
        <w:t>diarrhoea</w:t>
      </w:r>
      <w:r w:rsidRPr="00CD3229">
        <w:t xml:space="preserve">, nausea, and vomiting were considered related to the regimen in approximately 9%, 15%, and 3% of subjects, respectively. Among these gastrointestinal events of abdominal pain, nausea, </w:t>
      </w:r>
      <w:r w:rsidR="00BD522A" w:rsidRPr="00CD3229">
        <w:t>diarrhoea</w:t>
      </w:r>
      <w:r w:rsidRPr="00CD3229">
        <w:t xml:space="preserve">, and vomiting, most were mild in severity. Overall, the serious adverse event rate was low (approximately 2.5%) for the DAA regimen with or without ribavirin. All gastrointestinal events (any MedDRA PT in the Gastrointestinal </w:t>
      </w:r>
      <w:r w:rsidRPr="00CD3229">
        <w:lastRenderedPageBreak/>
        <w:t xml:space="preserve">Disorders system organ class) including events such as abdominal pain, </w:t>
      </w:r>
      <w:r w:rsidR="00BD522A" w:rsidRPr="00CD3229">
        <w:t>diarrhoea</w:t>
      </w:r>
      <w:r w:rsidRPr="00CD3229">
        <w:t xml:space="preserve">, nausea, or vomiting comprised approximately 0.3% of these serious adverse events. There were no serious events in the </w:t>
      </w:r>
      <w:r w:rsidR="00237CBE">
        <w:t>3DAA</w:t>
      </w:r>
      <w:r w:rsidRPr="00CD3229">
        <w:t xml:space="preserve"> without ribavirin group. The discontinuation rate for the DAA regimen was low, and gastrointestinal events (any MedDRA PT in the Gastrointestinal Disorders system organ class) comprised 0.2% of all discontinuations. No subjects discontinued due to these events from the </w:t>
      </w:r>
      <w:r w:rsidR="00237CBE">
        <w:t>3DAA</w:t>
      </w:r>
      <w:r w:rsidRPr="00CD3229">
        <w:t xml:space="preserve"> without ribavirin group [reference: All-treated dataset in the ISS]. AbbVie does not believe that these events represent an identified risk warranting specific inclusion in the RMP since these events were not treatment limiting and the majority were considered mild in severity and did not require treatment discontinuation.</w:t>
      </w:r>
    </w:p>
    <w:p w:rsidR="00A57F36" w:rsidRPr="00237CBE" w:rsidRDefault="00A57F36" w:rsidP="00A57F36">
      <w:pPr>
        <w:rPr>
          <w:i/>
        </w:rPr>
      </w:pPr>
      <w:r w:rsidRPr="00237CBE">
        <w:rPr>
          <w:i/>
        </w:rPr>
        <w:t xml:space="preserve">Important </w:t>
      </w:r>
      <w:r w:rsidR="00237CBE" w:rsidRPr="00237CBE">
        <w:rPr>
          <w:i/>
        </w:rPr>
        <w:t>potential risks</w:t>
      </w:r>
    </w:p>
    <w:p w:rsidR="00A57F36" w:rsidRPr="00A57F36" w:rsidRDefault="00A57F36" w:rsidP="00A57F36">
      <w:r w:rsidRPr="00A57F36">
        <w:t xml:space="preserve">AbbVie acknowledges that there is a risk of hypersensitivity with any new chemical entity and the Australian package insert has language about this, as does the company core </w:t>
      </w:r>
      <w:r w:rsidR="00BD522A" w:rsidRPr="00A57F36">
        <w:t>labelling</w:t>
      </w:r>
      <w:r w:rsidRPr="00A57F36">
        <w:t xml:space="preserve">. This language, however, is not based on specific data which implicates the </w:t>
      </w:r>
      <w:r w:rsidR="00237CBE">
        <w:t>3DAA</w:t>
      </w:r>
      <w:r w:rsidRPr="00A57F36">
        <w:t xml:space="preserve"> regimen with the risk of hypersensitivity, but is based on the theoretical risk for this type of event with any new chemical entity. AbbVie agrees to add this theoretical risk to the Australian Specific Annex (ASA) per TGA's request.</w:t>
      </w:r>
    </w:p>
    <w:p w:rsidR="00A57F36" w:rsidRPr="00A57F36" w:rsidRDefault="00A57F36" w:rsidP="00A57F36">
      <w:r w:rsidRPr="00A57F36">
        <w:t xml:space="preserve">In the </w:t>
      </w:r>
      <w:r w:rsidR="00237CBE">
        <w:t>3DAA</w:t>
      </w:r>
      <w:r w:rsidRPr="00A57F36">
        <w:t xml:space="preserve"> RMP Module SII, the preclinical finding of adverse histopathological findings in the gallbladder is described. In this section, it is also described that these findings were isolated to one species and were observed in a 6 month study at exposures </w:t>
      </w:r>
      <w:r w:rsidR="00237CBE">
        <w:t>which were 31 </w:t>
      </w:r>
      <w:r w:rsidRPr="00A57F36">
        <w:t>fold above human clinical exposures. In addition, similar findings were not observed in the 3 month stud</w:t>
      </w:r>
      <w:r w:rsidR="00237CBE">
        <w:t xml:space="preserve">y at exposures which reached 60 </w:t>
      </w:r>
      <w:r w:rsidRPr="00A57F36">
        <w:t xml:space="preserve">fold above human clinical exposures. In Section SVIII of version 1.0 of the RMP, findings using a MedDRA SMQ were described showing that there was a low rate of gallbladder events in the Phase </w:t>
      </w:r>
      <w:r w:rsidR="00237CBE">
        <w:t>II-III</w:t>
      </w:r>
      <w:r w:rsidRPr="00A57F36">
        <w:t xml:space="preserve"> dataset, and this rate was much lower than observed ep</w:t>
      </w:r>
      <w:r w:rsidR="00237CBE">
        <w:t xml:space="preserve">idemiological studies in an HCV </w:t>
      </w:r>
      <w:r w:rsidRPr="00A57F36">
        <w:t>infected population. Based on this, AbbVie did not carry this risk forward. AbbVie maintains this and in the approved EU RMP Version 1.2, the risk of gallbladder findings is not listed as an important potential risk.</w:t>
      </w:r>
    </w:p>
    <w:p w:rsidR="00A57F36" w:rsidRPr="00A57F36" w:rsidRDefault="00A57F36" w:rsidP="00A57F36">
      <w:r w:rsidRPr="00A57F36">
        <w:t>In addition, the following are based on the preclinical findings:</w:t>
      </w:r>
    </w:p>
    <w:p w:rsidR="00A57F36" w:rsidRPr="00A57F36" w:rsidRDefault="00A57F36" w:rsidP="00A57F36">
      <w:pPr>
        <w:pStyle w:val="ListBullet"/>
        <w:numPr>
          <w:ilvl w:val="0"/>
          <w:numId w:val="0"/>
        </w:numPr>
      </w:pPr>
      <w:r w:rsidRPr="00A57F36">
        <w:t xml:space="preserve">Repeat dose toxicity studies (CD-1 mice) and dose selection (TgHras mice): No gallbladder findings were observed in the 3 month study in CD-1 mice at exposures </w:t>
      </w:r>
      <w:proofErr w:type="gramStart"/>
      <w:r w:rsidRPr="00A57F36">
        <w:t>up to 417 µg.hr/mL</w:t>
      </w:r>
      <w:proofErr w:type="gramEnd"/>
      <w:r w:rsidRPr="00A57F36">
        <w:t>. In the 6 month study in CD-1 mice, gallbladder findings consisted of focal erosion/ulceration, inflammation and epithelial hypertrophy/hyperplasia in some mice at paritaprevir exposures ≥ 220 µg.hr/mL. The severity score for the erosions/ulcerations varied from minimal to moderate, whereas the remaining changes were classified as minimal to mild. Changes in the gallbladders of the recovery mice were limited to minimal epithelial hypertrophy/hyperplasia in one male and acute inflammation in two males administered 300/30 mg/kg/day. The lack of erosions/ulcerations in the recovery animals and the minimal nature of the ongoing inflammation/hyperplasia/hypertrophy are consistent with a regressing change. For the carcinogenicity study in the transgenic mice, 300 mg/kg/day (paritaprevir/ritonavir) was selected as the high dose as it resulted in maximal feasible exposure in both the CD-1 mouse (6 month study) and the wild type TgHras mouse (1 month study) (300/30 mg/kg/day) in order to ensure that the potential for carcinogenicity was adequately evaluated from an exposure standpoint.</w:t>
      </w:r>
    </w:p>
    <w:p w:rsidR="00A57F36" w:rsidRPr="00A57F36" w:rsidRDefault="00A57F36" w:rsidP="00A57F36">
      <w:pPr>
        <w:pStyle w:val="ListBullet"/>
        <w:numPr>
          <w:ilvl w:val="0"/>
          <w:numId w:val="0"/>
        </w:numPr>
      </w:pPr>
      <w:r w:rsidRPr="00A57F36">
        <w:t>Relevance of TgHras Mouse Strain</w:t>
      </w:r>
      <w:r w:rsidRPr="00A57F36">
        <w:rPr>
          <w:rStyle w:val="FootnoteReference"/>
        </w:rPr>
        <w:footnoteReference w:id="66"/>
      </w:r>
      <w:r w:rsidRPr="00A57F36">
        <w:t>: AbbVie considers the 6 month study in the TgHras mouse to be a robust evaluation for detection of a carcinogenic risk, including the potential for progression of the gallbladder hypertrophy/hyperplasia to a neoplastic state. The TgHras mouse (CByB6F1-</w:t>
      </w:r>
      <w:proofErr w:type="gramStart"/>
      <w:r w:rsidRPr="00A57F36">
        <w:t>Tg(</w:t>
      </w:r>
      <w:proofErr w:type="gramEnd"/>
      <w:r w:rsidRPr="00A57F36">
        <w:t xml:space="preserve">HRAS)2Jic) model was selected as it is an accepted </w:t>
      </w:r>
      <w:r w:rsidRPr="00A57F36">
        <w:lastRenderedPageBreak/>
        <w:t>model for evaluation of both genotoxic and non</w:t>
      </w:r>
      <w:r w:rsidR="00BD522A">
        <w:t>-</w:t>
      </w:r>
      <w:r w:rsidRPr="00A57F36">
        <w:t>genotoxic compounds. This mouse model has its own promoter/enhancer elements and harbors a single point mutation which induces high enhancer activity. Since the pathogenesis of human cancer is often multifactorial, AbbVie believes that the promoter/enhancer properties inherent to this mouse strain combined with the paritaprevir associated gallbladder hypertrophy/hyperplasia/inflammation would constitute a suitable model for evaluation of the overall paritaprevir carcinogenic risk.</w:t>
      </w:r>
    </w:p>
    <w:p w:rsidR="00A57F36" w:rsidRPr="00A57F36" w:rsidRDefault="00A57F36" w:rsidP="00A57F36">
      <w:r w:rsidRPr="00A57F36">
        <w:t>Treatment with the tumour promoter 12-o-tetradecanolyphorbol-13-acetate (TPA) results in an epithelial hyperplastic response. The HrasG12V knock-in allele (Caggs</w:t>
      </w:r>
      <w:r w:rsidRPr="00A57F36">
        <w:noBreakHyphen/>
        <w:t>Cre/FR</w:t>
      </w:r>
      <w:r w:rsidRPr="00A57F36">
        <w:noBreakHyphen/>
        <w:t xml:space="preserve">HrasG12V model) has been shown to be sensitive to TPA. In this model, topical treatment with TPA results in </w:t>
      </w:r>
      <w:r w:rsidR="00BD522A" w:rsidRPr="00A57F36">
        <w:t>tumours</w:t>
      </w:r>
      <w:r w:rsidRPr="00A57F36">
        <w:t>,</w:t>
      </w:r>
      <w:r w:rsidRPr="00A57F36">
        <w:rPr>
          <w:rStyle w:val="FootnoteReference"/>
        </w:rPr>
        <w:footnoteReference w:id="67"/>
      </w:r>
      <w:r w:rsidRPr="00A57F36">
        <w:t xml:space="preserve"> without the requirement for topical applications of the initiator 7</w:t>
      </w:r>
      <w:proofErr w:type="gramStart"/>
      <w:r w:rsidRPr="00A57F36">
        <w:t>,12</w:t>
      </w:r>
      <w:proofErr w:type="gramEnd"/>
      <w:r w:rsidRPr="00A57F36">
        <w:t>-dimethylbenz(a)anthracene (DMBA). Also of interest are publications citing concordance between transgenic and non-transgenic mice with respect to evaluation of other compounds that result in hyperplasia (ethylene thiourea, p-cresidine, 4</w:t>
      </w:r>
      <w:proofErr w:type="gramStart"/>
      <w:r w:rsidRPr="00A57F36">
        <w:t>,4'</w:t>
      </w:r>
      <w:proofErr w:type="gramEnd"/>
      <w:r w:rsidRPr="00A57F36">
        <w:t>-thiodianiline)</w:t>
      </w:r>
      <w:r w:rsidRPr="00A57F36">
        <w:rPr>
          <w:rStyle w:val="FootnoteReference"/>
        </w:rPr>
        <w:footnoteReference w:id="68"/>
      </w:r>
      <w:r w:rsidRPr="00A57F36">
        <w:t>,</w:t>
      </w:r>
      <w:r w:rsidRPr="00A57F36">
        <w:rPr>
          <w:rStyle w:val="FootnoteReference"/>
        </w:rPr>
        <w:footnoteReference w:id="69"/>
      </w:r>
      <w:r w:rsidRPr="00A57F36">
        <w:t>,</w:t>
      </w:r>
      <w:r w:rsidRPr="00A57F36">
        <w:rPr>
          <w:rStyle w:val="FootnoteReference"/>
        </w:rPr>
        <w:footnoteReference w:id="70"/>
      </w:r>
      <w:r w:rsidRPr="00A57F36">
        <w:t xml:space="preserve"> and for concordance in general between the TgHras model and the 2 year rat model.</w:t>
      </w:r>
      <w:r w:rsidRPr="00A57F36">
        <w:rPr>
          <w:rStyle w:val="FootnoteReference"/>
        </w:rPr>
        <w:footnoteReference w:id="71"/>
      </w:r>
      <w:r w:rsidRPr="00A57F36">
        <w:t xml:space="preserve"> Other evidence of the interaction of inflammation and Hras </w:t>
      </w:r>
      <w:r w:rsidR="00BD522A" w:rsidRPr="00A57F36">
        <w:t>signalling</w:t>
      </w:r>
      <w:r w:rsidRPr="00A57F36">
        <w:t xml:space="preserve"> in the progression of epithelial cell neoplasia has been identified in other models of Hras mutant mouse epithelial tumours.</w:t>
      </w:r>
      <w:r w:rsidRPr="00A57F36">
        <w:rPr>
          <w:rStyle w:val="FootnoteReference"/>
        </w:rPr>
        <w:footnoteReference w:id="72"/>
      </w:r>
    </w:p>
    <w:p w:rsidR="00CD3229" w:rsidRPr="00A57F36" w:rsidRDefault="00A57F36" w:rsidP="00CD3229">
      <w:r w:rsidRPr="00A57F36">
        <w:t>In summary, AbbVie believes that the risk for progression of gallbladder hypertrophy/hyperplasia/inflammation has been adequately evaluated. The lack of gallbladder findings at exposures approximately 60 fold exposures at the maximal clinical dose in the 3 month study coupled with the evidence of regression of these findings in the 6 month study is consistent with a transient change. Additionally, AbbVie believes that use of the TgHras transgenic model allowed investigation of the potential for progression of the hypertrophy/hyperplasia/inflammation to a neoplastic state by virtue of the promoter/e</w:t>
      </w:r>
      <w:r>
        <w:t>nhancer activity of this model.</w:t>
      </w:r>
    </w:p>
    <w:p w:rsidR="00FC34D9" w:rsidRPr="00A57F36" w:rsidRDefault="00FC34D9" w:rsidP="00FC34D9">
      <w:pPr>
        <w:rPr>
          <w:i/>
        </w:rPr>
      </w:pPr>
      <w:r w:rsidRPr="00A57F36">
        <w:rPr>
          <w:i/>
        </w:rPr>
        <w:t xml:space="preserve">Missing </w:t>
      </w:r>
      <w:r w:rsidR="00237CBE" w:rsidRPr="00A57F36">
        <w:rPr>
          <w:i/>
        </w:rPr>
        <w:t>information risks</w:t>
      </w:r>
    </w:p>
    <w:p w:rsidR="00FC34D9" w:rsidRPr="00A57F36" w:rsidRDefault="00FC34D9" w:rsidP="00FC34D9">
      <w:r w:rsidRPr="00A57F36">
        <w:t xml:space="preserve">The following </w:t>
      </w:r>
      <w:r w:rsidR="00455EB0" w:rsidRPr="00A57F36">
        <w:t>as shown in Table 2</w:t>
      </w:r>
      <w:r w:rsidR="00654113">
        <w:t>5</w:t>
      </w:r>
      <w:r w:rsidR="00455EB0" w:rsidRPr="00A57F36">
        <w:t xml:space="preserve"> </w:t>
      </w:r>
      <w:r w:rsidRPr="00A57F36">
        <w:t>have been added as missing information risks in the approved EU RMP Version 1.2.</w:t>
      </w:r>
    </w:p>
    <w:p w:rsidR="00455EB0" w:rsidRPr="00A57F36" w:rsidRDefault="00654113" w:rsidP="00654113">
      <w:pPr>
        <w:pStyle w:val="Tabletitle0"/>
      </w:pPr>
      <w:r>
        <w:lastRenderedPageBreak/>
        <w:t>Table 25</w:t>
      </w:r>
      <w:r w:rsidR="00455EB0" w:rsidRPr="00A57F36">
        <w:t>: missing information risks added to the revised RMP</w:t>
      </w:r>
    </w:p>
    <w:tbl>
      <w:tblPr>
        <w:tblStyle w:val="TableTGAblue"/>
        <w:tblW w:w="0" w:type="auto"/>
        <w:tblLook w:val="04A0" w:firstRow="1" w:lastRow="0" w:firstColumn="1" w:lastColumn="0" w:noHBand="0" w:noVBand="1"/>
      </w:tblPr>
      <w:tblGrid>
        <w:gridCol w:w="1809"/>
        <w:gridCol w:w="6663"/>
      </w:tblGrid>
      <w:tr w:rsidR="00455EB0" w:rsidRPr="00A57F36" w:rsidTr="009E2121">
        <w:trPr>
          <w:cnfStyle w:val="100000000000" w:firstRow="1" w:lastRow="0" w:firstColumn="0" w:lastColumn="0" w:oddVBand="0" w:evenVBand="0" w:oddHBand="0" w:evenHBand="0" w:firstRowFirstColumn="0" w:firstRowLastColumn="0" w:lastRowFirstColumn="0" w:lastRowLastColumn="0"/>
        </w:trPr>
        <w:tc>
          <w:tcPr>
            <w:tcW w:w="8472" w:type="dxa"/>
            <w:gridSpan w:val="2"/>
          </w:tcPr>
          <w:p w:rsidR="00455EB0" w:rsidRPr="00A57F36" w:rsidRDefault="00455EB0" w:rsidP="00BD522A">
            <w:pPr>
              <w:keepLines/>
              <w:rPr>
                <w:sz w:val="20"/>
                <w:szCs w:val="20"/>
              </w:rPr>
            </w:pPr>
            <w:r w:rsidRPr="00A57F36">
              <w:rPr>
                <w:sz w:val="20"/>
                <w:szCs w:val="20"/>
              </w:rPr>
              <w:t>Information added to RMP</w:t>
            </w:r>
          </w:p>
        </w:tc>
      </w:tr>
      <w:tr w:rsidR="00455EB0" w:rsidRPr="00A57F36" w:rsidTr="009E2121">
        <w:tc>
          <w:tcPr>
            <w:tcW w:w="1809" w:type="dxa"/>
            <w:vMerge w:val="restart"/>
          </w:tcPr>
          <w:p w:rsidR="00455EB0" w:rsidRPr="00A57F36" w:rsidRDefault="00455EB0" w:rsidP="00BD522A">
            <w:pPr>
              <w:keepNext/>
              <w:keepLines/>
              <w:rPr>
                <w:sz w:val="20"/>
                <w:szCs w:val="20"/>
              </w:rPr>
            </w:pPr>
            <w:r w:rsidRPr="00A57F36">
              <w:rPr>
                <w:sz w:val="20"/>
                <w:szCs w:val="20"/>
              </w:rPr>
              <w:t>Important missing information</w:t>
            </w:r>
          </w:p>
        </w:tc>
        <w:tc>
          <w:tcPr>
            <w:tcW w:w="6663" w:type="dxa"/>
          </w:tcPr>
          <w:p w:rsidR="00455EB0" w:rsidRPr="00A57F36" w:rsidRDefault="00455EB0" w:rsidP="00BD522A">
            <w:pPr>
              <w:keepNext/>
              <w:keepLines/>
              <w:rPr>
                <w:sz w:val="20"/>
                <w:szCs w:val="20"/>
              </w:rPr>
            </w:pPr>
            <w:r w:rsidRPr="00A57F36">
              <w:rPr>
                <w:sz w:val="20"/>
                <w:szCs w:val="20"/>
              </w:rPr>
              <w:t>Safety in patients with hepatic impairment (Child-Pugh B)</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patients with renal impairment (creatinine clearance &lt; 60 mL/min)</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post liver transplant patients</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patients co-infected with HIV-1</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 xml:space="preserve">Safety in pregnancy in patient using the </w:t>
            </w:r>
            <w:r w:rsidR="00237CBE">
              <w:rPr>
                <w:sz w:val="20"/>
                <w:szCs w:val="20"/>
              </w:rPr>
              <w:t>3DAA</w:t>
            </w:r>
            <w:r w:rsidRPr="00A57F36">
              <w:rPr>
                <w:sz w:val="20"/>
                <w:szCs w:val="20"/>
              </w:rPr>
              <w:t xml:space="preserve"> regiment without RBV</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patients co-infected with HBV</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elderly patients</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 patients who have failed prior DAA treatments</w:t>
            </w:r>
          </w:p>
        </w:tc>
      </w:tr>
      <w:tr w:rsidR="00455EB0" w:rsidRPr="00A57F36" w:rsidTr="009E2121">
        <w:tc>
          <w:tcPr>
            <w:tcW w:w="1809" w:type="dxa"/>
            <w:vMerge/>
          </w:tcPr>
          <w:p w:rsidR="00455EB0" w:rsidRPr="00A57F36" w:rsidRDefault="00455EB0" w:rsidP="00BD522A">
            <w:pPr>
              <w:keepNext/>
              <w:keepLines/>
              <w:rPr>
                <w:sz w:val="20"/>
                <w:szCs w:val="20"/>
              </w:rPr>
            </w:pPr>
          </w:p>
        </w:tc>
        <w:tc>
          <w:tcPr>
            <w:tcW w:w="6663" w:type="dxa"/>
          </w:tcPr>
          <w:p w:rsidR="00455EB0" w:rsidRPr="00A57F36" w:rsidRDefault="00455EB0" w:rsidP="00BD522A">
            <w:pPr>
              <w:keepNext/>
              <w:keepLines/>
              <w:rPr>
                <w:sz w:val="20"/>
                <w:szCs w:val="20"/>
              </w:rPr>
            </w:pPr>
            <w:r w:rsidRPr="00A57F36">
              <w:rPr>
                <w:sz w:val="20"/>
                <w:szCs w:val="20"/>
              </w:rPr>
              <w:t>Safety in</w:t>
            </w:r>
            <w:r w:rsidR="009F6EED" w:rsidRPr="00A57F36">
              <w:rPr>
                <w:sz w:val="20"/>
                <w:szCs w:val="20"/>
              </w:rPr>
              <w:t xml:space="preserve"> genotype</w:t>
            </w:r>
            <w:r w:rsidRPr="00A57F36">
              <w:rPr>
                <w:sz w:val="20"/>
                <w:szCs w:val="20"/>
              </w:rPr>
              <w:t>4 infected patients with cirrhosis</w:t>
            </w:r>
          </w:p>
        </w:tc>
      </w:tr>
    </w:tbl>
    <w:p w:rsidR="00FC34D9" w:rsidRPr="00A57F36" w:rsidRDefault="00FC34D9" w:rsidP="00FC34D9">
      <w:r w:rsidRPr="00A57F36">
        <w:t>Based on this revised table, AbbVie believes that the missing information in patients &gt;</w:t>
      </w:r>
      <w:r w:rsidR="00237CBE">
        <w:t> 70 </w:t>
      </w:r>
      <w:r w:rsidR="00E458BE" w:rsidRPr="00A57F36">
        <w:t xml:space="preserve">years of age, in HBV </w:t>
      </w:r>
      <w:r w:rsidRPr="00A57F36">
        <w:t xml:space="preserve">co-infected patients, renal impairment, and </w:t>
      </w:r>
      <w:r w:rsidR="00455EB0" w:rsidRPr="00A57F36">
        <w:t>moderate hepatic impairment has</w:t>
      </w:r>
      <w:r w:rsidRPr="00A57F36">
        <w:t xml:space="preserve"> been addressed.</w:t>
      </w:r>
    </w:p>
    <w:p w:rsidR="00FC34D9" w:rsidRPr="00A57F36" w:rsidRDefault="00FC34D9" w:rsidP="00FC34D9">
      <w:r w:rsidRPr="00A57F36">
        <w:t xml:space="preserve">AbbVie does not believe that a missing information risk should be added for acute liver disease. The </w:t>
      </w:r>
      <w:r w:rsidR="00237CBE">
        <w:t>3DAA</w:t>
      </w:r>
      <w:r w:rsidRPr="00A57F36">
        <w:t xml:space="preserve"> regimen has been developed for and has specific antiviral effect against hepatitis C. It is not indicated for treatment of other hepatic diseases, thus adding a missing information risk for acute liver disease is not appropriate given that the regimen is not indicated for use in other hepatic diseases. The section of the RMP that the RMP evaluator quotes is specifically based on exclusion criteria of the clinical trials in which patients were excluded if they had causes for liver disease other than HCV. This exclusion criteria was included as part of the clinical trial to allow for inclusion of subjects for chronic HCV infection and not liver disease due to another cause. Based on the indication for the regimen, a missing information risk is not believed to be necessary.</w:t>
      </w:r>
    </w:p>
    <w:p w:rsidR="00FC34D9" w:rsidRPr="00A57F36" w:rsidRDefault="00FC34D9" w:rsidP="00FC34D9">
      <w:r w:rsidRPr="00A57F36">
        <w:t xml:space="preserve">AbbVie does not believe that a missing information risk should be added for portal hypertension. Patients with Child Pugh B (moderate hepatic impairment) are included as missing information in the </w:t>
      </w:r>
      <w:r w:rsidR="00237CBE">
        <w:t>3DAA</w:t>
      </w:r>
      <w:r w:rsidRPr="00A57F36">
        <w:t xml:space="preserve"> RMP v1.2 and use of the </w:t>
      </w:r>
      <w:r w:rsidR="00237CBE">
        <w:t>3DAA</w:t>
      </w:r>
      <w:r w:rsidRPr="00A57F36">
        <w:t xml:space="preserve"> regimen is contraindicated for use in patients with Child Pugh C (severe hepatic impairment).</w:t>
      </w:r>
    </w:p>
    <w:p w:rsidR="00FC34D9" w:rsidRPr="00A57F36" w:rsidRDefault="00FC34D9" w:rsidP="00FC34D9">
      <w:r w:rsidRPr="00A57F36">
        <w:t xml:space="preserve">AbbVie does not believe that a missing information risk </w:t>
      </w:r>
      <w:r w:rsidR="00455EB0" w:rsidRPr="00A57F36">
        <w:t xml:space="preserve">should be added for genotypes 2 to </w:t>
      </w:r>
      <w:r w:rsidRPr="00A57F36">
        <w:t xml:space="preserve">6. The </w:t>
      </w:r>
      <w:r w:rsidR="00237CBE">
        <w:t>3DAA</w:t>
      </w:r>
      <w:r w:rsidRPr="00A57F36">
        <w:t xml:space="preserve"> regimen is not indicated for use in these genotypes. In addition, off label use (including use in genotypes other than those indicated) is included as a potential risk in the </w:t>
      </w:r>
      <w:r w:rsidR="00237CBE">
        <w:t>3DAA</w:t>
      </w:r>
      <w:r w:rsidRPr="00A57F36">
        <w:t xml:space="preserve"> RMP. Finally, dasabuvir is less effective in genotypes other than 1, thus this regimen will not be submitted for indications in these other genotypes.</w:t>
      </w:r>
    </w:p>
    <w:p w:rsidR="00FC34D9" w:rsidRPr="00A57F36" w:rsidRDefault="00FC34D9" w:rsidP="00FC34D9">
      <w:r w:rsidRPr="00A57F36">
        <w:t xml:space="preserve">In addition, because one of the identified risks with the </w:t>
      </w:r>
      <w:r w:rsidR="00237CBE">
        <w:t>3DAA</w:t>
      </w:r>
      <w:r w:rsidRPr="00A57F36">
        <w:t xml:space="preserve"> regimen is ALT elevations, a category 3 </w:t>
      </w:r>
      <w:r w:rsidR="00D5410E" w:rsidRPr="00A57F36">
        <w:t xml:space="preserve">post authorisation </w:t>
      </w:r>
      <w:r w:rsidR="005F62CF" w:rsidRPr="00A57F36">
        <w:t>safety studies</w:t>
      </w:r>
      <w:r w:rsidR="0039640D" w:rsidRPr="00A57F36">
        <w:t xml:space="preserve"> (PASS</w:t>
      </w:r>
      <w:r w:rsidR="005F62CF" w:rsidRPr="00A57F36">
        <w:t xml:space="preserve">) </w:t>
      </w:r>
      <w:r w:rsidRPr="00A57F36">
        <w:t>protocol is being developed and is under review by the EMA. This protocol is designed to evaluate frequency of grade 3</w:t>
      </w:r>
      <w:r w:rsidR="00D5410E" w:rsidRPr="00A57F36">
        <w:rPr>
          <w:vertAlign w:val="superscript"/>
        </w:rPr>
        <w:t>+</w:t>
      </w:r>
      <w:r w:rsidRPr="00A57F36">
        <w:t xml:space="preserve"> ALT elevations in the real world (post</w:t>
      </w:r>
      <w:r w:rsidR="00455EB0" w:rsidRPr="00A57F36">
        <w:t>-</w:t>
      </w:r>
      <w:r w:rsidRPr="00A57F36">
        <w:t xml:space="preserve">market) and to evaluate whether there are any acute hepatic outcomes related to these elevations (Part III Pharmacovigilance Plan of the v 1.2 RMP). Because the </w:t>
      </w:r>
      <w:r w:rsidR="00237CBE">
        <w:t>3DAA</w:t>
      </w:r>
      <w:r w:rsidRPr="00A57F36">
        <w:t xml:space="preserve"> regimen is used for 3 or 6 months, a specific risk for long-term safety is not included in the RMP. Clinical trials have been followed through 48 weeks post-DAA dosing, and no safety signals have been identified during this follow-up period. </w:t>
      </w:r>
      <w:r w:rsidRPr="00A57F36">
        <w:lastRenderedPageBreak/>
        <w:t xml:space="preserve">In addition, persistence of resistance and </w:t>
      </w:r>
      <w:r w:rsidR="00455EB0" w:rsidRPr="00A57F36">
        <w:t xml:space="preserve">5 </w:t>
      </w:r>
      <w:r w:rsidRPr="00A57F36">
        <w:t>year long-term studies to evaluate impact of achieving SVR on hepatic outcomes are underway and are included in v1.2 of the RMP.</w:t>
      </w:r>
    </w:p>
    <w:p w:rsidR="00FC34D9" w:rsidRPr="00A57F36" w:rsidRDefault="00FC34D9" w:rsidP="00FC34D9">
      <w:r w:rsidRPr="00A57F36">
        <w:t>A missing information risk for non-Caucasians, including the Australian Indigenous populations has been added to the ASA per TGA's request.</w:t>
      </w:r>
    </w:p>
    <w:p w:rsidR="00FC34D9" w:rsidRPr="00A57F36" w:rsidRDefault="00FC34D9" w:rsidP="00FC34D9">
      <w:pPr>
        <w:rPr>
          <w:i/>
        </w:rPr>
      </w:pPr>
      <w:r w:rsidRPr="00A57F36">
        <w:rPr>
          <w:i/>
        </w:rPr>
        <w:t xml:space="preserve">Missing </w:t>
      </w:r>
      <w:r w:rsidR="00D5410E" w:rsidRPr="00A57F36">
        <w:rPr>
          <w:i/>
        </w:rPr>
        <w:t>information for carcinogenicity</w:t>
      </w:r>
    </w:p>
    <w:p w:rsidR="00FC34D9" w:rsidRDefault="00FC34D9" w:rsidP="00FC34D9">
      <w:r w:rsidRPr="00A57F36">
        <w:t>The rat carcinogenicity studies for dasabuvir and ombitasvir will be available in April of 2015 and will be submitted at that time.</w:t>
      </w:r>
    </w:p>
    <w:p w:rsidR="000018C0" w:rsidRPr="00284B6B" w:rsidRDefault="000018C0" w:rsidP="000018C0">
      <w:pPr>
        <w:rPr>
          <w:i/>
        </w:rPr>
      </w:pPr>
      <w:r w:rsidRPr="00284B6B">
        <w:rPr>
          <w:i/>
        </w:rPr>
        <w:t xml:space="preserve">Effectiveness </w:t>
      </w:r>
      <w:r w:rsidR="00005219" w:rsidRPr="00284B6B">
        <w:rPr>
          <w:i/>
        </w:rPr>
        <w:t>of hormonal contraception</w:t>
      </w:r>
    </w:p>
    <w:p w:rsidR="000018C0" w:rsidRPr="00284B6B" w:rsidRDefault="000018C0" w:rsidP="000018C0">
      <w:r w:rsidRPr="00284B6B">
        <w:t xml:space="preserve">A </w:t>
      </w:r>
      <w:r w:rsidR="00D36561" w:rsidRPr="00284B6B">
        <w:t>Phase I</w:t>
      </w:r>
      <w:r w:rsidRPr="00284B6B">
        <w:t xml:space="preserve"> study in healthy volunteers has been conducted with the DAA regimen and oral contraceptives. This study included a</w:t>
      </w:r>
      <w:r w:rsidR="00D36561" w:rsidRPr="00284B6B">
        <w:t xml:space="preserve">rms with ethinyl estradiol (EE) </w:t>
      </w:r>
      <w:r w:rsidRPr="00284B6B">
        <w:t>containing oral contraceptives and progestin (PG)-only contraceptives [Study M12-205]. Co</w:t>
      </w:r>
      <w:r w:rsidR="00D36561" w:rsidRPr="00284B6B">
        <w:noBreakHyphen/>
      </w:r>
      <w:r w:rsidRPr="00284B6B">
        <w:t xml:space="preserve">administration of the progestin-only oral contraceptive, norethindrone, with the </w:t>
      </w:r>
      <w:r w:rsidR="00766FAF" w:rsidRPr="00284B6B">
        <w:t>paritaprevir</w:t>
      </w:r>
      <w:r w:rsidRPr="00284B6B">
        <w:t>/r</w:t>
      </w:r>
      <w:r w:rsidR="00766FAF" w:rsidRPr="00284B6B">
        <w:t>itonavir</w:t>
      </w:r>
      <w:r w:rsidRPr="00284B6B">
        <w:t>/</w:t>
      </w:r>
      <w:r w:rsidR="00766FAF" w:rsidRPr="00284B6B">
        <w:t>ombitasvir</w:t>
      </w:r>
      <w:r w:rsidRPr="00284B6B">
        <w:t xml:space="preserve"> plus </w:t>
      </w:r>
      <w:r w:rsidR="00766FAF" w:rsidRPr="00284B6B">
        <w:t>dasabuvir</w:t>
      </w:r>
      <w:r w:rsidRPr="00284B6B">
        <w:t xml:space="preserve"> regimen did not affect exposures (</w:t>
      </w:r>
      <w:r w:rsidR="003A33A4" w:rsidRPr="00284B6B">
        <w:t>C</w:t>
      </w:r>
      <w:r w:rsidR="003A33A4" w:rsidRPr="00284B6B">
        <w:rPr>
          <w:vertAlign w:val="subscript"/>
        </w:rPr>
        <w:t>max</w:t>
      </w:r>
      <w:r w:rsidRPr="00284B6B">
        <w:t xml:space="preserve">, AUC and </w:t>
      </w:r>
      <w:r w:rsidR="003A33A4" w:rsidRPr="00284B6B">
        <w:t>C</w:t>
      </w:r>
      <w:r w:rsidR="003A33A4" w:rsidRPr="00284B6B">
        <w:rPr>
          <w:vertAlign w:val="subscript"/>
        </w:rPr>
        <w:t>trough</w:t>
      </w:r>
      <w:r w:rsidRPr="00284B6B">
        <w:t>) of norethindrone (</w:t>
      </w:r>
      <w:r w:rsidR="00766FAF" w:rsidRPr="00284B6B">
        <w:t>≤</w:t>
      </w:r>
      <w:r w:rsidRPr="00284B6B">
        <w:t xml:space="preserve"> 17% decrease). No dose adjustment is needed for norethindrone when administered with the </w:t>
      </w:r>
      <w:r w:rsidR="00237CBE">
        <w:t>3DAA</w:t>
      </w:r>
      <w:r w:rsidRPr="00284B6B">
        <w:t xml:space="preserve"> regimen. With the co</w:t>
      </w:r>
      <w:r w:rsidR="00766FAF" w:rsidRPr="00284B6B">
        <w:t>-</w:t>
      </w:r>
      <w:r w:rsidRPr="00284B6B">
        <w:t xml:space="preserve">administration of norethindrone and the </w:t>
      </w:r>
      <w:r w:rsidR="00237CBE">
        <w:t>3DAA</w:t>
      </w:r>
      <w:r w:rsidRPr="00284B6B">
        <w:t xml:space="preserve"> regimen, </w:t>
      </w:r>
      <w:r w:rsidR="00766FAF" w:rsidRPr="00284B6B">
        <w:t>paritaprevir</w:t>
      </w:r>
      <w:r w:rsidRPr="00284B6B">
        <w:t xml:space="preserve"> </w:t>
      </w:r>
      <w:r w:rsidR="003A33A4" w:rsidRPr="00284B6B">
        <w:t>C</w:t>
      </w:r>
      <w:r w:rsidR="003A33A4" w:rsidRPr="00284B6B">
        <w:rPr>
          <w:vertAlign w:val="subscript"/>
        </w:rPr>
        <w:t>max</w:t>
      </w:r>
      <w:r w:rsidRPr="00284B6B">
        <w:t xml:space="preserve"> and AUC values increased by 24%, and 23%, respectively. Ritonavir </w:t>
      </w:r>
      <w:r w:rsidR="003A33A4" w:rsidRPr="00284B6B">
        <w:t>C</w:t>
      </w:r>
      <w:r w:rsidR="003A33A4" w:rsidRPr="00284B6B">
        <w:rPr>
          <w:vertAlign w:val="subscript"/>
        </w:rPr>
        <w:t>max</w:t>
      </w:r>
      <w:r w:rsidRPr="00284B6B">
        <w:t xml:space="preserve"> and AUC values showed less than a 27% increase.</w:t>
      </w:r>
    </w:p>
    <w:p w:rsidR="000018C0" w:rsidRPr="00284B6B" w:rsidRDefault="00766FAF" w:rsidP="000018C0">
      <w:r w:rsidRPr="00284B6B">
        <w:t xml:space="preserve">Ombitasvir </w:t>
      </w:r>
      <w:r w:rsidR="000018C0" w:rsidRPr="00284B6B">
        <w:t>exposures (</w:t>
      </w:r>
      <w:r w:rsidR="003A33A4" w:rsidRPr="00284B6B">
        <w:t>C</w:t>
      </w:r>
      <w:r w:rsidR="003A33A4" w:rsidRPr="00284B6B">
        <w:rPr>
          <w:vertAlign w:val="subscript"/>
        </w:rPr>
        <w:t>max</w:t>
      </w:r>
      <w:r w:rsidR="000018C0" w:rsidRPr="00284B6B">
        <w:t xml:space="preserve"> and AUC) were comparable to those without norethindrone co</w:t>
      </w:r>
      <w:r w:rsidRPr="00284B6B">
        <w:t>-</w:t>
      </w:r>
      <w:r w:rsidR="000018C0" w:rsidRPr="00284B6B">
        <w:t xml:space="preserve">administration. No dose adjustment for the DAAs is recommended as the increase in </w:t>
      </w:r>
      <w:r w:rsidRPr="00284B6B">
        <w:t xml:space="preserve">paritaprevir </w:t>
      </w:r>
      <w:r w:rsidR="000018C0" w:rsidRPr="00284B6B">
        <w:t>exposures when co</w:t>
      </w:r>
      <w:r w:rsidRPr="00284B6B">
        <w:t>-</w:t>
      </w:r>
      <w:r w:rsidR="000018C0" w:rsidRPr="00284B6B">
        <w:t>administered with a progestin-only oral contraceptive, norethindrone, is not expected to have a clinically meaningful impact on DAA safety.</w:t>
      </w:r>
    </w:p>
    <w:p w:rsidR="000018C0" w:rsidRPr="00284B6B" w:rsidRDefault="00337F42" w:rsidP="000018C0">
      <w:r w:rsidRPr="00284B6B">
        <w:t xml:space="preserve">As an example of a progestin </w:t>
      </w:r>
      <w:r w:rsidR="000018C0" w:rsidRPr="00284B6B">
        <w:t>only product, norethindrone (Micronor Australian PI) has been available by prescription since 1957 as a progestational agent, and has been used extensively in the treatment of amenorrhea, menstrual irregularity, functional uterine bleeding, infertility, habitual and threatened abortion, premenstrual tension, and dysmenorrhea. More recently, it has been utilized as the progestational component of several oral contraceptives, in combination with ethinyl estradiol or its 3-methyl ether. A new concept of contraception has evolved from the investigations of the progestational components, na</w:t>
      </w:r>
      <w:r w:rsidR="00766FAF" w:rsidRPr="00284B6B">
        <w:t xml:space="preserve">mely, the use of continuous low </w:t>
      </w:r>
      <w:r w:rsidR="000018C0" w:rsidRPr="00284B6B">
        <w:t xml:space="preserve">level doses in amounts which produce contraception and, at the same time, permit menstrual bleeding. These </w:t>
      </w:r>
      <w:r w:rsidR="00766FAF" w:rsidRPr="00284B6B">
        <w:t>progestin</w:t>
      </w:r>
      <w:r w:rsidRPr="00284B6B">
        <w:t xml:space="preserve"> </w:t>
      </w:r>
      <w:r w:rsidR="000018C0" w:rsidRPr="00284B6B">
        <w:t xml:space="preserve">only contraceptives may be used with the DAA regimen and were included for evaluation in the </w:t>
      </w:r>
      <w:r w:rsidR="00D36561" w:rsidRPr="00284B6B">
        <w:t>Phase I</w:t>
      </w:r>
      <w:r w:rsidR="000018C0" w:rsidRPr="00284B6B">
        <w:t xml:space="preserve"> study described above.</w:t>
      </w:r>
    </w:p>
    <w:p w:rsidR="000018C0" w:rsidRPr="00284B6B" w:rsidRDefault="000018C0" w:rsidP="000018C0">
      <w:r w:rsidRPr="00284B6B">
        <w:t xml:space="preserve">The Australian PI contains language about the use of at least 2 effective forms of birth control. </w:t>
      </w:r>
      <w:r w:rsidR="00766FAF" w:rsidRPr="00284B6B">
        <w:t xml:space="preserve">Ethinyl estradiol </w:t>
      </w:r>
      <w:r w:rsidRPr="00284B6B">
        <w:t>containing contraceptives are contraindicated based on the safety issue with ALT e</w:t>
      </w:r>
      <w:r w:rsidR="00337F42" w:rsidRPr="00284B6B">
        <w:t xml:space="preserve">levations; therefore, progestin </w:t>
      </w:r>
      <w:r w:rsidRPr="00284B6B">
        <w:t>only contraceptives would need to be considered if a hormonal form of birth control is being used. In addition, non</w:t>
      </w:r>
      <w:r w:rsidR="00766FAF" w:rsidRPr="00284B6B">
        <w:t>-</w:t>
      </w:r>
      <w:r w:rsidRPr="00284B6B">
        <w:t xml:space="preserve">hormonal forms of birth control should also be considered. These include effectiveness barrier methods. These methods do not interact with the DAA regimen, so if at least 2 </w:t>
      </w:r>
      <w:proofErr w:type="gramStart"/>
      <w:r w:rsidRPr="00284B6B">
        <w:t>forms</w:t>
      </w:r>
      <w:proofErr w:type="gramEnd"/>
      <w:r w:rsidRPr="00284B6B">
        <w:t xml:space="preserve"> of contraception are </w:t>
      </w:r>
      <w:r w:rsidR="00337F42" w:rsidRPr="00284B6B">
        <w:t>used;</w:t>
      </w:r>
      <w:r w:rsidRPr="00284B6B">
        <w:t xml:space="preserve"> this would comply with the Australian Viekira PAK-RBV PI. In addition, this would comply with the PIs for ribavirin, which is a teratogen and for which two effective forms of birth control are required.</w:t>
      </w:r>
    </w:p>
    <w:p w:rsidR="00FC34D9" w:rsidRPr="00284B6B" w:rsidRDefault="000018C0" w:rsidP="000018C0">
      <w:r w:rsidRPr="00284B6B">
        <w:t xml:space="preserve">Based on this, AbbVie does not believe that a missing information risk for effectiveness of hormonal contraceptives is needed in the </w:t>
      </w:r>
      <w:r w:rsidR="00237CBE">
        <w:t>3DAA</w:t>
      </w:r>
      <w:r w:rsidRPr="00284B6B">
        <w:t xml:space="preserve"> RMP or the ASA.</w:t>
      </w:r>
    </w:p>
    <w:p w:rsidR="00FC34D9" w:rsidRPr="00284B6B" w:rsidRDefault="000018C0" w:rsidP="00FC34D9">
      <w:pPr>
        <w:rPr>
          <w:i/>
        </w:rPr>
      </w:pPr>
      <w:r w:rsidRPr="00284B6B">
        <w:rPr>
          <w:i/>
        </w:rPr>
        <w:t>RMP evaluator’s comment</w:t>
      </w:r>
    </w:p>
    <w:p w:rsidR="00284B6B" w:rsidRPr="00284B6B" w:rsidRDefault="00284B6B" w:rsidP="00284B6B">
      <w:r w:rsidRPr="00284B6B">
        <w:t>This is considered acceptable in the context of this application.</w:t>
      </w:r>
    </w:p>
    <w:p w:rsidR="00284B6B" w:rsidRPr="00284B6B" w:rsidRDefault="00284B6B" w:rsidP="00284B6B">
      <w:r w:rsidRPr="00284B6B">
        <w:t>It is noted that the sponsor has not responded to the issue of ‘depression’. However, given that the risks associated with ribavirin are relatively well-established, it does not need to be included in the context of this application. However, this does not constitute a regulatory precedent.</w:t>
      </w:r>
    </w:p>
    <w:p w:rsidR="000018C0" w:rsidRPr="00284B6B" w:rsidRDefault="000018C0" w:rsidP="000018C0">
      <w:pPr>
        <w:pStyle w:val="Heading5"/>
        <w:rPr>
          <w:lang w:eastAsia="en-AU"/>
        </w:rPr>
      </w:pPr>
      <w:r w:rsidRPr="00284B6B">
        <w:rPr>
          <w:lang w:eastAsia="en-AU"/>
        </w:rPr>
        <w:lastRenderedPageBreak/>
        <w:t xml:space="preserve">Recommendation </w:t>
      </w:r>
      <w:r w:rsidR="00284B6B" w:rsidRPr="00284B6B">
        <w:rPr>
          <w:lang w:eastAsia="en-AU"/>
        </w:rPr>
        <w:t>4</w:t>
      </w:r>
      <w:r w:rsidRPr="00284B6B">
        <w:rPr>
          <w:lang w:eastAsia="en-AU"/>
        </w:rPr>
        <w:t xml:space="preserve"> in RMP report</w:t>
      </w:r>
    </w:p>
    <w:p w:rsidR="000018C0" w:rsidRPr="00284B6B" w:rsidRDefault="000018C0" w:rsidP="00284B6B">
      <w:r w:rsidRPr="00284B6B">
        <w:t>The safety concern 'Transplant patients' should be altered to include transplants ot</w:t>
      </w:r>
      <w:r w:rsidR="00766FAF" w:rsidRPr="00284B6B">
        <w:t>her than liver transplants; and</w:t>
      </w:r>
    </w:p>
    <w:p w:rsidR="000018C0" w:rsidRPr="00284B6B" w:rsidRDefault="000018C0" w:rsidP="000018C0">
      <w:pPr>
        <w:rPr>
          <w:i/>
        </w:rPr>
      </w:pPr>
      <w:r w:rsidRPr="00284B6B">
        <w:rPr>
          <w:i/>
        </w:rPr>
        <w:t>Sponsor’s response</w:t>
      </w:r>
    </w:p>
    <w:p w:rsidR="000018C0" w:rsidRPr="00284B6B" w:rsidRDefault="000018C0" w:rsidP="000018C0">
      <w:r w:rsidRPr="00284B6B">
        <w:t>This change has been made in the revised RMP.</w:t>
      </w:r>
    </w:p>
    <w:p w:rsidR="00284B6B" w:rsidRPr="00284B6B" w:rsidRDefault="00284B6B" w:rsidP="00284B6B">
      <w:pPr>
        <w:rPr>
          <w:i/>
        </w:rPr>
      </w:pPr>
      <w:r w:rsidRPr="00284B6B">
        <w:rPr>
          <w:i/>
        </w:rPr>
        <w:t>RMP evaluator’s comment</w:t>
      </w:r>
    </w:p>
    <w:p w:rsidR="00284B6B" w:rsidRPr="00284B6B" w:rsidRDefault="00284B6B" w:rsidP="000018C0">
      <w:r w:rsidRPr="00284B6B">
        <w:t>This is considered acceptable in t</w:t>
      </w:r>
      <w:r>
        <w:t>he context of this application.</w:t>
      </w:r>
    </w:p>
    <w:p w:rsidR="00F00ADB" w:rsidRPr="00284B6B" w:rsidRDefault="00F00ADB" w:rsidP="00F00ADB">
      <w:pPr>
        <w:pStyle w:val="Heading5"/>
        <w:rPr>
          <w:lang w:eastAsia="en-AU"/>
        </w:rPr>
      </w:pPr>
      <w:r w:rsidRPr="00284B6B">
        <w:rPr>
          <w:lang w:eastAsia="en-AU"/>
        </w:rPr>
        <w:t xml:space="preserve">Recommendation </w:t>
      </w:r>
      <w:r w:rsidR="00284B6B" w:rsidRPr="00284B6B">
        <w:rPr>
          <w:lang w:eastAsia="en-AU"/>
        </w:rPr>
        <w:t>5</w:t>
      </w:r>
      <w:r w:rsidRPr="00284B6B">
        <w:rPr>
          <w:lang w:eastAsia="en-AU"/>
        </w:rPr>
        <w:t xml:space="preserve"> in RMP report</w:t>
      </w:r>
    </w:p>
    <w:p w:rsidR="00F00ADB" w:rsidRPr="00284B6B" w:rsidRDefault="00F00ADB" w:rsidP="00F00ADB">
      <w:r w:rsidRPr="00284B6B">
        <w:t>The proposed study investigating concomitant systemic oestrogen use should be added to the pharmacovigilance plan and the protocol made available to the TGA.</w:t>
      </w:r>
    </w:p>
    <w:p w:rsidR="00F00ADB" w:rsidRPr="00284B6B" w:rsidRDefault="00F00ADB" w:rsidP="00F00ADB">
      <w:pPr>
        <w:rPr>
          <w:i/>
        </w:rPr>
      </w:pPr>
      <w:r w:rsidRPr="00284B6B">
        <w:rPr>
          <w:i/>
        </w:rPr>
        <w:t>Sponsor’s response</w:t>
      </w:r>
    </w:p>
    <w:p w:rsidR="00F00ADB" w:rsidRPr="00284B6B" w:rsidRDefault="00F00ADB" w:rsidP="00F00ADB">
      <w:r w:rsidRPr="00284B6B">
        <w:t>The proposed study investigating concomitant systemic oestrogen use has been added to the pharmacovigilance plan and the protocol has been included in the updated version (v 1.2) of the RMP. This study is a category 3 PASS protocol and will include evaluation of grade 3</w:t>
      </w:r>
      <w:r w:rsidRPr="00284B6B">
        <w:rPr>
          <w:vertAlign w:val="superscript"/>
        </w:rPr>
        <w:t>+</w:t>
      </w:r>
      <w:r w:rsidRPr="00284B6B">
        <w:t xml:space="preserve"> ALT elevations and risks factors for these elevations, including estrogens. Ethinyl estradiol </w:t>
      </w:r>
      <w:r w:rsidR="00766FAF" w:rsidRPr="00284B6B">
        <w:t xml:space="preserve">(EE) </w:t>
      </w:r>
      <w:r w:rsidRPr="00284B6B">
        <w:t>estrogens are contraindicated with the DAA regimen, so among the risk factors, the risk of ALT elevation among non EE estrogen users will be explored. See Part III Pharmacovigilance Plan in the revised RMP.</w:t>
      </w:r>
    </w:p>
    <w:p w:rsidR="00F00ADB" w:rsidRPr="00284B6B" w:rsidRDefault="00F00ADB" w:rsidP="00F00ADB">
      <w:pPr>
        <w:rPr>
          <w:i/>
        </w:rPr>
      </w:pPr>
      <w:r w:rsidRPr="00284B6B">
        <w:rPr>
          <w:i/>
        </w:rPr>
        <w:t>RMP evaluator’s comment</w:t>
      </w:r>
    </w:p>
    <w:p w:rsidR="00F00ADB" w:rsidRPr="00284B6B" w:rsidRDefault="00F00ADB" w:rsidP="00F00ADB">
      <w:r w:rsidRPr="00284B6B">
        <w:t>This is considered acceptable in the context of this application.</w:t>
      </w:r>
    </w:p>
    <w:p w:rsidR="00F00ADB" w:rsidRPr="00284B6B" w:rsidRDefault="00284B6B" w:rsidP="00F00ADB">
      <w:pPr>
        <w:pStyle w:val="Heading5"/>
        <w:rPr>
          <w:lang w:eastAsia="en-AU"/>
        </w:rPr>
      </w:pPr>
      <w:r w:rsidRPr="00284B6B">
        <w:rPr>
          <w:lang w:eastAsia="en-AU"/>
        </w:rPr>
        <w:t>Recommendation 6</w:t>
      </w:r>
      <w:r w:rsidR="00F00ADB" w:rsidRPr="00284B6B">
        <w:rPr>
          <w:lang w:eastAsia="en-AU"/>
        </w:rPr>
        <w:t xml:space="preserve"> in RMP report</w:t>
      </w:r>
    </w:p>
    <w:p w:rsidR="00F00ADB" w:rsidRPr="00284B6B" w:rsidRDefault="00E61944" w:rsidP="00E61944">
      <w:r w:rsidRPr="00284B6B">
        <w:t>It is noted that the sponsor is already conducting or planning to conduct additional pharmacovigilance activities. These additional pharmacovigilance activities should be added to the pharmacovigilance plan.</w:t>
      </w:r>
    </w:p>
    <w:p w:rsidR="00F00ADB" w:rsidRPr="00284B6B" w:rsidRDefault="00F00ADB" w:rsidP="009E2121">
      <w:pPr>
        <w:keepNext/>
        <w:rPr>
          <w:i/>
        </w:rPr>
      </w:pPr>
      <w:r w:rsidRPr="00284B6B">
        <w:rPr>
          <w:i/>
        </w:rPr>
        <w:t>Sponsor’s response</w:t>
      </w:r>
    </w:p>
    <w:p w:rsidR="00F00ADB" w:rsidRPr="00284B6B" w:rsidRDefault="00E61944" w:rsidP="00E61944">
      <w:r w:rsidRPr="00284B6B">
        <w:t>The additional pharmacovigilance activities have been added to the pharmacovigilance plan in the updated version (v 1.2) of the RMP.</w:t>
      </w:r>
    </w:p>
    <w:p w:rsidR="00F00ADB" w:rsidRPr="00284B6B" w:rsidRDefault="00F00ADB" w:rsidP="00F00ADB">
      <w:pPr>
        <w:rPr>
          <w:i/>
        </w:rPr>
      </w:pPr>
      <w:r w:rsidRPr="00284B6B">
        <w:rPr>
          <w:i/>
        </w:rPr>
        <w:t>RMP evaluator’s comment</w:t>
      </w:r>
    </w:p>
    <w:p w:rsidR="00F00ADB" w:rsidRPr="00284B6B" w:rsidRDefault="00E61944" w:rsidP="00F00ADB">
      <w:r w:rsidRPr="00284B6B">
        <w:t>This is considered acceptable in the context of this application.</w:t>
      </w:r>
    </w:p>
    <w:p w:rsidR="00F00ADB" w:rsidRPr="00284B6B" w:rsidRDefault="00284B6B" w:rsidP="00F00ADB">
      <w:pPr>
        <w:pStyle w:val="Heading5"/>
        <w:rPr>
          <w:lang w:eastAsia="en-AU"/>
        </w:rPr>
      </w:pPr>
      <w:r w:rsidRPr="00284B6B">
        <w:rPr>
          <w:lang w:eastAsia="en-AU"/>
        </w:rPr>
        <w:t>Recommendation 7</w:t>
      </w:r>
      <w:r w:rsidR="00F00ADB" w:rsidRPr="00284B6B">
        <w:rPr>
          <w:lang w:eastAsia="en-AU"/>
        </w:rPr>
        <w:t xml:space="preserve"> in RMP report</w:t>
      </w:r>
    </w:p>
    <w:p w:rsidR="00F00ADB" w:rsidRPr="00284B6B" w:rsidRDefault="00E61944" w:rsidP="00F00ADB">
      <w:r w:rsidRPr="00284B6B">
        <w:t>Not all study protocols have been attached to the submission. The sponsor should provide the missing protocols, once available.</w:t>
      </w:r>
    </w:p>
    <w:p w:rsidR="00F00ADB" w:rsidRPr="00284B6B" w:rsidRDefault="00F00ADB" w:rsidP="00F00ADB">
      <w:pPr>
        <w:rPr>
          <w:i/>
        </w:rPr>
      </w:pPr>
      <w:r w:rsidRPr="00284B6B">
        <w:rPr>
          <w:i/>
        </w:rPr>
        <w:t>Sponsor’s response</w:t>
      </w:r>
    </w:p>
    <w:p w:rsidR="00F00ADB" w:rsidRPr="00284B6B" w:rsidRDefault="00E61944" w:rsidP="00F00ADB">
      <w:r w:rsidRPr="00284B6B">
        <w:t>All available study protocols have been included in the updated version (v 1.2) of the RMP.</w:t>
      </w:r>
    </w:p>
    <w:p w:rsidR="00F00ADB" w:rsidRPr="00284B6B" w:rsidRDefault="00F00ADB" w:rsidP="00F00ADB">
      <w:pPr>
        <w:rPr>
          <w:i/>
        </w:rPr>
      </w:pPr>
      <w:r w:rsidRPr="00284B6B">
        <w:rPr>
          <w:i/>
        </w:rPr>
        <w:t>RMP evaluator’s comment</w:t>
      </w:r>
    </w:p>
    <w:p w:rsidR="00F00ADB" w:rsidRPr="00284B6B" w:rsidRDefault="008912E8" w:rsidP="00F00ADB">
      <w:r w:rsidRPr="00284B6B">
        <w:t>This is considered acceptable in the context of this application.</w:t>
      </w:r>
    </w:p>
    <w:p w:rsidR="00F00ADB" w:rsidRPr="006A2668" w:rsidRDefault="00284B6B" w:rsidP="00F00ADB">
      <w:pPr>
        <w:pStyle w:val="Heading5"/>
        <w:rPr>
          <w:lang w:eastAsia="en-AU"/>
        </w:rPr>
      </w:pPr>
      <w:r w:rsidRPr="006A2668">
        <w:rPr>
          <w:lang w:eastAsia="en-AU"/>
        </w:rPr>
        <w:t>Recommendation 8</w:t>
      </w:r>
      <w:r w:rsidR="00F00ADB" w:rsidRPr="006A2668">
        <w:rPr>
          <w:lang w:eastAsia="en-AU"/>
        </w:rPr>
        <w:t xml:space="preserve"> in RMP report</w:t>
      </w:r>
    </w:p>
    <w:p w:rsidR="00F00ADB" w:rsidRPr="006A2668" w:rsidRDefault="008912E8" w:rsidP="00F00ADB">
      <w:r w:rsidRPr="006A2668">
        <w:t xml:space="preserve">The </w:t>
      </w:r>
      <w:r w:rsidR="00766FAF" w:rsidRPr="006A2668">
        <w:t xml:space="preserve">following missing information </w:t>
      </w:r>
      <w:r w:rsidRPr="006A2668">
        <w:t>item requires additional pharmacovigilance activities</w:t>
      </w:r>
      <w:r w:rsidR="00766FAF" w:rsidRPr="006A2668">
        <w:t xml:space="preserve"> in the pharmacovigilance plan: </w:t>
      </w:r>
      <w:r w:rsidRPr="006A2668">
        <w:t>Effectiv</w:t>
      </w:r>
      <w:r w:rsidR="00427E0D" w:rsidRPr="006A2668">
        <w:t>eness of hormonal contraception.</w:t>
      </w:r>
    </w:p>
    <w:p w:rsidR="00F00ADB" w:rsidRPr="006A2668" w:rsidRDefault="00F00ADB" w:rsidP="00F00ADB">
      <w:pPr>
        <w:rPr>
          <w:i/>
        </w:rPr>
      </w:pPr>
      <w:r w:rsidRPr="006A2668">
        <w:rPr>
          <w:i/>
        </w:rPr>
        <w:t>Sponsor’s response</w:t>
      </w:r>
    </w:p>
    <w:p w:rsidR="008912E8" w:rsidRPr="006A2668" w:rsidRDefault="008912E8" w:rsidP="008912E8">
      <w:pPr>
        <w:pStyle w:val="ListBullet"/>
      </w:pPr>
      <w:r w:rsidRPr="006A2668">
        <w:t xml:space="preserve">A </w:t>
      </w:r>
      <w:r w:rsidR="00D36561" w:rsidRPr="006A2668">
        <w:t>Phase I</w:t>
      </w:r>
      <w:r w:rsidRPr="006A2668">
        <w:t xml:space="preserve"> study in healthy volunteers has been conducted with the AbbVie DAA regimen and oral contraceptives. This stud</w:t>
      </w:r>
      <w:r w:rsidR="00973BDE" w:rsidRPr="006A2668">
        <w:t xml:space="preserve">y included arms with EE </w:t>
      </w:r>
      <w:r w:rsidRPr="006A2668">
        <w:t xml:space="preserve">containing oral </w:t>
      </w:r>
      <w:r w:rsidRPr="006A2668">
        <w:lastRenderedPageBreak/>
        <w:t>contraceptives and progestin (PG)-only contraceptives [Reference Study M12-205]. Co</w:t>
      </w:r>
      <w:r w:rsidR="00766FAF" w:rsidRPr="006A2668">
        <w:t xml:space="preserve">-administration of the progestin </w:t>
      </w:r>
      <w:r w:rsidRPr="006A2668">
        <w:t xml:space="preserve">only oral contraceptive, norethindrone, with the </w:t>
      </w:r>
      <w:r w:rsidR="003A33A4" w:rsidRPr="006A2668">
        <w:t>paritaprevir</w:t>
      </w:r>
      <w:r w:rsidRPr="006A2668">
        <w:t>/r</w:t>
      </w:r>
      <w:r w:rsidR="003A33A4" w:rsidRPr="006A2668">
        <w:t>itonavir</w:t>
      </w:r>
      <w:r w:rsidRPr="006A2668">
        <w:t>/</w:t>
      </w:r>
      <w:r w:rsidR="003A33A4" w:rsidRPr="006A2668">
        <w:t>ombitasvir</w:t>
      </w:r>
      <w:r w:rsidRPr="006A2668">
        <w:t xml:space="preserve"> plus </w:t>
      </w:r>
      <w:r w:rsidR="003A33A4" w:rsidRPr="006A2668">
        <w:t>dasabuvir</w:t>
      </w:r>
      <w:r w:rsidRPr="006A2668">
        <w:t xml:space="preserve"> regimen did not affect exposures (</w:t>
      </w:r>
      <w:r w:rsidR="003A33A4" w:rsidRPr="006A2668">
        <w:t>C</w:t>
      </w:r>
      <w:r w:rsidR="003A33A4" w:rsidRPr="006A2668">
        <w:rPr>
          <w:vertAlign w:val="subscript"/>
        </w:rPr>
        <w:t>max</w:t>
      </w:r>
      <w:r w:rsidRPr="006A2668">
        <w:t xml:space="preserve">, AUC and </w:t>
      </w:r>
      <w:r w:rsidR="003A33A4" w:rsidRPr="006A2668">
        <w:t>C</w:t>
      </w:r>
      <w:r w:rsidR="003A33A4" w:rsidRPr="006A2668">
        <w:rPr>
          <w:vertAlign w:val="subscript"/>
        </w:rPr>
        <w:t>trough</w:t>
      </w:r>
      <w:r w:rsidRPr="006A2668">
        <w:t xml:space="preserve">) of norethindrone (≤ 17% decrease). No dose adjustment is needed for norethindrone when administered with the </w:t>
      </w:r>
      <w:r w:rsidR="00237CBE">
        <w:t>3DAA</w:t>
      </w:r>
      <w:r w:rsidRPr="006A2668">
        <w:t xml:space="preserve"> regimen. With the co</w:t>
      </w:r>
      <w:r w:rsidR="003A33A4" w:rsidRPr="006A2668">
        <w:t>-</w:t>
      </w:r>
      <w:r w:rsidRPr="006A2668">
        <w:t xml:space="preserve">administration of norethindrone and the </w:t>
      </w:r>
      <w:r w:rsidR="00237CBE">
        <w:t>3DAA</w:t>
      </w:r>
      <w:r w:rsidRPr="006A2668">
        <w:t xml:space="preserve"> regimen, </w:t>
      </w:r>
      <w:r w:rsidR="00766FAF" w:rsidRPr="006A2668">
        <w:t>paritaprevir</w:t>
      </w:r>
      <w:r w:rsidRPr="006A2668">
        <w:t xml:space="preserve"> </w:t>
      </w:r>
      <w:r w:rsidR="003A33A4" w:rsidRPr="006A2668">
        <w:t>C</w:t>
      </w:r>
      <w:r w:rsidR="003A33A4" w:rsidRPr="006A2668">
        <w:rPr>
          <w:vertAlign w:val="subscript"/>
        </w:rPr>
        <w:t>max</w:t>
      </w:r>
      <w:r w:rsidRPr="006A2668">
        <w:t xml:space="preserve"> and AUC values increased by 24%, and 23%, respectively. Ritonavir </w:t>
      </w:r>
      <w:r w:rsidR="003A33A4" w:rsidRPr="006A2668">
        <w:t>C</w:t>
      </w:r>
      <w:r w:rsidR="003A33A4" w:rsidRPr="006A2668">
        <w:rPr>
          <w:vertAlign w:val="subscript"/>
        </w:rPr>
        <w:t>max</w:t>
      </w:r>
      <w:r w:rsidRPr="006A2668">
        <w:t xml:space="preserve"> and AUC values showed less than a 27% increase. </w:t>
      </w:r>
      <w:r w:rsidR="003A33A4" w:rsidRPr="006A2668">
        <w:t>Ombitasvir</w:t>
      </w:r>
      <w:r w:rsidRPr="006A2668">
        <w:t xml:space="preserve"> exposures (</w:t>
      </w:r>
      <w:r w:rsidR="003A33A4" w:rsidRPr="006A2668">
        <w:t>C</w:t>
      </w:r>
      <w:r w:rsidR="003A33A4" w:rsidRPr="006A2668">
        <w:rPr>
          <w:vertAlign w:val="subscript"/>
        </w:rPr>
        <w:t>max</w:t>
      </w:r>
      <w:r w:rsidRPr="006A2668">
        <w:t xml:space="preserve"> and AUC) were comparable to those without norethindrone coadministration. No dose adjustment for the DAAs is recommended as the increase in </w:t>
      </w:r>
      <w:r w:rsidR="003A33A4" w:rsidRPr="006A2668">
        <w:t>paritaprevir</w:t>
      </w:r>
      <w:r w:rsidRPr="006A2668">
        <w:t xml:space="preserve"> exposures when co</w:t>
      </w:r>
      <w:r w:rsidR="003A33A4" w:rsidRPr="006A2668">
        <w:noBreakHyphen/>
        <w:t xml:space="preserve">administered with a progestin </w:t>
      </w:r>
      <w:r w:rsidRPr="006A2668">
        <w:t>only oral contraceptive, norethindrone, is not expected to have a clinically meaningful impact on DAA safety.</w:t>
      </w:r>
    </w:p>
    <w:p w:rsidR="008912E8" w:rsidRPr="006A2668" w:rsidRDefault="003A33A4" w:rsidP="00F00ADB">
      <w:pPr>
        <w:pStyle w:val="ListBullet"/>
      </w:pPr>
      <w:r w:rsidRPr="006A2668">
        <w:t xml:space="preserve">As an example of a progestin </w:t>
      </w:r>
      <w:r w:rsidR="008912E8" w:rsidRPr="006A2668">
        <w:t>only product, norethindrone (reference Micronor Australian PI) has been available by prescription since 1957 as a progestational agent, and has been used extensively in the treatment of amenorrhea, menstrual irregularity, functional uterine bleeding, infertility, habitual and threatened abortion, premenstrual tension, and dysmenorrhea. More recently, it has been utilized as the progestational component of several oral contraceptives, in combination with ethinyl estradiol or its 3-methyl ether. A new concept of contraception has evolved from the investigations of the progestational components, na</w:t>
      </w:r>
      <w:r w:rsidRPr="006A2668">
        <w:t xml:space="preserve">mely, the use of continuous low </w:t>
      </w:r>
      <w:r w:rsidR="008912E8" w:rsidRPr="006A2668">
        <w:t>level doses in amounts which produce contraception and, at the same time, permit menstrual bleeding.</w:t>
      </w:r>
    </w:p>
    <w:p w:rsidR="008912E8" w:rsidRPr="006A2668" w:rsidRDefault="008912E8" w:rsidP="006A2668">
      <w:pPr>
        <w:pStyle w:val="ListBullet"/>
      </w:pPr>
      <w:r w:rsidRPr="006A2668">
        <w:t>The Australian PI contains language about use of an effect</w:t>
      </w:r>
      <w:r w:rsidR="00973BDE" w:rsidRPr="006A2668">
        <w:t>ive form of birth control. EE </w:t>
      </w:r>
      <w:r w:rsidRPr="006A2668">
        <w:t>containing contraceptives are contraindicated based on the safety issue with ALT elevations, so progestin only contraceptives would need to be considered if a hormonal form of birth control is being used. In addition, non</w:t>
      </w:r>
      <w:r w:rsidR="003A33A4" w:rsidRPr="006A2668">
        <w:t>-</w:t>
      </w:r>
      <w:r w:rsidRPr="006A2668">
        <w:t>hormonal forms of birth control can also be considered. These include effectiveness barrier methods. These methods do not interact with the DAA regimen, so would comply with the Australian Viekira P</w:t>
      </w:r>
      <w:r w:rsidR="006A2668" w:rsidRPr="006A2668">
        <w:t>ak-RBV</w:t>
      </w:r>
      <w:r w:rsidRPr="006A2668">
        <w:t xml:space="preserve"> PI. </w:t>
      </w:r>
      <w:r w:rsidR="006A2668" w:rsidRPr="006A2668">
        <w:t xml:space="preserve">In addition, this would comply with PIs for ribavirin which is a teratogen and for which two effective forms of birth control are required. Based on this, AbbVie does not believe that a missing information risk for effectiveness of hormonal contraceptives is needed in the </w:t>
      </w:r>
      <w:r w:rsidR="00237CBE">
        <w:t>3DAA</w:t>
      </w:r>
      <w:r w:rsidR="006A2668" w:rsidRPr="006A2668">
        <w:t xml:space="preserve"> RMP or the ASA.</w:t>
      </w:r>
    </w:p>
    <w:p w:rsidR="008912E8" w:rsidRPr="006A2668" w:rsidRDefault="008912E8" w:rsidP="008912E8">
      <w:pPr>
        <w:pStyle w:val="ListBullet"/>
      </w:pPr>
      <w:r w:rsidRPr="006A2668">
        <w:t>AbbVie's routine pharmacovigilance includes collection of reports in pregnancy both in clinical trials and in the post</w:t>
      </w:r>
      <w:r w:rsidR="003A33A4" w:rsidRPr="006A2668">
        <w:t>-</w:t>
      </w:r>
      <w:r w:rsidRPr="006A2668">
        <w:t xml:space="preserve">market period. These reports are evaluated with data summarized in the periodic update safety reports (PSURs). </w:t>
      </w:r>
      <w:r w:rsidR="003A33A4" w:rsidRPr="006A2668">
        <w:t>Labelling</w:t>
      </w:r>
      <w:r w:rsidRPr="006A2668">
        <w:t xml:space="preserve"> updates or other pharmacovigilance activities are considered, when appropriate, to address any issues which are identified.</w:t>
      </w:r>
    </w:p>
    <w:p w:rsidR="00F00ADB" w:rsidRPr="006A2668" w:rsidRDefault="00F00ADB" w:rsidP="00F00ADB">
      <w:pPr>
        <w:rPr>
          <w:i/>
        </w:rPr>
      </w:pPr>
      <w:r w:rsidRPr="006A2668">
        <w:rPr>
          <w:i/>
        </w:rPr>
        <w:t>RMP evaluator’s comment</w:t>
      </w:r>
    </w:p>
    <w:p w:rsidR="008912E8" w:rsidRPr="006A2668" w:rsidRDefault="008912E8" w:rsidP="008912E8">
      <w:r w:rsidRPr="006A2668">
        <w:t>This is considered acceptable in the context of this application.</w:t>
      </w:r>
    </w:p>
    <w:p w:rsidR="008912E8" w:rsidRPr="006A2668" w:rsidRDefault="008912E8" w:rsidP="008912E8">
      <w:r w:rsidRPr="006A2668">
        <w:t xml:space="preserve">It is noted that the </w:t>
      </w:r>
      <w:r w:rsidR="00BC0FF6" w:rsidRPr="006A2668">
        <w:t>Advisory Committee for the Safety of Medicines (</w:t>
      </w:r>
      <w:r w:rsidRPr="006A2668">
        <w:t>ACSOM</w:t>
      </w:r>
      <w:r w:rsidR="00BC0FF6" w:rsidRPr="006A2668">
        <w:t>)</w:t>
      </w:r>
      <w:r w:rsidRPr="006A2668">
        <w:t xml:space="preserve"> provided the following comment: “The committee advised that while the V</w:t>
      </w:r>
      <w:r w:rsidR="003A33A4" w:rsidRPr="006A2668">
        <w:t>iekira</w:t>
      </w:r>
      <w:r w:rsidRPr="006A2668">
        <w:t xml:space="preserve"> P</w:t>
      </w:r>
      <w:r w:rsidR="003A33A4" w:rsidRPr="006A2668">
        <w:t>ak</w:t>
      </w:r>
      <w:r w:rsidRPr="006A2668">
        <w:t xml:space="preserve"> – oestrogen drug interaction was a safety signal that needed to be managed, additional pharmacovigilance activities to further evaluate the effectiveness of hormonal contraceptive agents when used in conjunction with </w:t>
      </w:r>
      <w:r w:rsidR="003A33A4" w:rsidRPr="006A2668">
        <w:t>Viekira Pak</w:t>
      </w:r>
      <w:r w:rsidRPr="006A2668">
        <w:t>/</w:t>
      </w:r>
      <w:r w:rsidR="003A33A4" w:rsidRPr="006A2668">
        <w:t>Viekira Pak</w:t>
      </w:r>
      <w:r w:rsidR="006A2668" w:rsidRPr="006A2668">
        <w:t>-</w:t>
      </w:r>
      <w:r w:rsidRPr="006A2668">
        <w:t xml:space="preserve">RBV were not necessary. Instead, information for patients and prescribers needed to be strengthened and aligned to the information in the </w:t>
      </w:r>
      <w:r w:rsidR="00BC0FF6" w:rsidRPr="006A2668">
        <w:t>Eu SmPC</w:t>
      </w:r>
      <w:r w:rsidRPr="006A2668">
        <w:t>.”</w:t>
      </w:r>
    </w:p>
    <w:p w:rsidR="00F00ADB" w:rsidRPr="006A2668" w:rsidRDefault="006A2668" w:rsidP="00F00ADB">
      <w:pPr>
        <w:pStyle w:val="Heading5"/>
        <w:rPr>
          <w:lang w:eastAsia="en-AU"/>
        </w:rPr>
      </w:pPr>
      <w:r w:rsidRPr="006A2668">
        <w:rPr>
          <w:lang w:eastAsia="en-AU"/>
        </w:rPr>
        <w:t>Recommendation 9</w:t>
      </w:r>
      <w:r w:rsidR="00F00ADB" w:rsidRPr="006A2668">
        <w:rPr>
          <w:lang w:eastAsia="en-AU"/>
        </w:rPr>
        <w:t xml:space="preserve"> in RMP report</w:t>
      </w:r>
    </w:p>
    <w:p w:rsidR="008912E8" w:rsidRPr="006A2668" w:rsidRDefault="008912E8" w:rsidP="008912E8">
      <w:r w:rsidRPr="006A2668">
        <w:t xml:space="preserve">The </w:t>
      </w:r>
      <w:r w:rsidR="003A33A4" w:rsidRPr="006A2668">
        <w:t xml:space="preserve">following missing information </w:t>
      </w:r>
      <w:r w:rsidRPr="006A2668">
        <w:t>items would benefit from additional pharmacovigilance activities in the pharmacovigilance plan:</w:t>
      </w:r>
    </w:p>
    <w:p w:rsidR="008912E8" w:rsidRPr="006A2668" w:rsidRDefault="008912E8" w:rsidP="008847BA">
      <w:pPr>
        <w:pStyle w:val="Numberbullet2"/>
        <w:numPr>
          <w:ilvl w:val="1"/>
          <w:numId w:val="14"/>
        </w:numPr>
      </w:pPr>
      <w:r w:rsidRPr="006A2668">
        <w:t>Patients with portal hypertension</w:t>
      </w:r>
    </w:p>
    <w:p w:rsidR="00F00ADB" w:rsidRPr="006A2668" w:rsidRDefault="008912E8" w:rsidP="008847BA">
      <w:pPr>
        <w:pStyle w:val="Numberbullet2"/>
        <w:numPr>
          <w:ilvl w:val="1"/>
          <w:numId w:val="14"/>
        </w:numPr>
      </w:pPr>
      <w:r w:rsidRPr="006A2668">
        <w:lastRenderedPageBreak/>
        <w:t>Patients with HBV co-infection.</w:t>
      </w:r>
    </w:p>
    <w:p w:rsidR="00F00ADB" w:rsidRPr="006A2668" w:rsidRDefault="00F00ADB" w:rsidP="00427E0D">
      <w:pPr>
        <w:keepNext/>
        <w:rPr>
          <w:i/>
        </w:rPr>
      </w:pPr>
      <w:r w:rsidRPr="006A2668">
        <w:rPr>
          <w:i/>
        </w:rPr>
        <w:t>Sponsor’s response</w:t>
      </w:r>
    </w:p>
    <w:p w:rsidR="006A2668" w:rsidRPr="006A2668" w:rsidRDefault="006A2668" w:rsidP="006A2668">
      <w:r w:rsidRPr="006A2668">
        <w:t>Patients with HBV co-infection have been addressed in the updated version (v 1.2) of the RMP.</w:t>
      </w:r>
    </w:p>
    <w:p w:rsidR="008912E8" w:rsidRPr="006A2668" w:rsidRDefault="008912E8" w:rsidP="008912E8">
      <w:r w:rsidRPr="006A2668">
        <w:t xml:space="preserve">AbbVie does not believe that a missing information risk should be added for portal hypertension. Patients with Child-Pugh B (moderate hepatic impairment) are included as missing information in the </w:t>
      </w:r>
      <w:r w:rsidR="00237CBE">
        <w:t>3DAA</w:t>
      </w:r>
      <w:r w:rsidRPr="006A2668">
        <w:t xml:space="preserve"> RMP, (new version now being submitted), and use of the </w:t>
      </w:r>
      <w:r w:rsidR="00237CBE">
        <w:t>3DAA</w:t>
      </w:r>
      <w:r w:rsidRPr="006A2668">
        <w:t xml:space="preserve"> regimen is contraindicated for use in patients with Child-Pugh C (severe hepatic impairment).</w:t>
      </w:r>
    </w:p>
    <w:p w:rsidR="00F00ADB" w:rsidRPr="006A2668" w:rsidRDefault="00F00ADB" w:rsidP="008912E8">
      <w:pPr>
        <w:rPr>
          <w:i/>
        </w:rPr>
      </w:pPr>
      <w:r w:rsidRPr="006A2668">
        <w:rPr>
          <w:i/>
        </w:rPr>
        <w:t>RMP evaluator’s comment</w:t>
      </w:r>
    </w:p>
    <w:p w:rsidR="008912E8" w:rsidRPr="006A2668" w:rsidRDefault="008912E8" w:rsidP="008912E8">
      <w:r w:rsidRPr="006A2668">
        <w:t>This is considered acceptable in the context of this application.</w:t>
      </w:r>
    </w:p>
    <w:p w:rsidR="00F00ADB" w:rsidRPr="006A2668" w:rsidRDefault="006A2668" w:rsidP="00F00ADB">
      <w:pPr>
        <w:pStyle w:val="Heading5"/>
        <w:rPr>
          <w:lang w:eastAsia="en-AU"/>
        </w:rPr>
      </w:pPr>
      <w:r w:rsidRPr="006A2668">
        <w:rPr>
          <w:lang w:eastAsia="en-AU"/>
        </w:rPr>
        <w:t>Recommendation 10</w:t>
      </w:r>
      <w:r w:rsidR="00F00ADB" w:rsidRPr="006A2668">
        <w:rPr>
          <w:lang w:eastAsia="en-AU"/>
        </w:rPr>
        <w:t xml:space="preserve"> in RMP report</w:t>
      </w:r>
    </w:p>
    <w:p w:rsidR="006A2668" w:rsidRPr="006A2668" w:rsidRDefault="006A2668" w:rsidP="006A2668">
      <w:r w:rsidRPr="006A2668">
        <w:t>The sponsor should state which of the different packaging forms is proposed for Australia, and whether ribavirin will be supplied in a separate bottle.</w:t>
      </w:r>
    </w:p>
    <w:p w:rsidR="00F00ADB" w:rsidRPr="006A2668" w:rsidRDefault="00F00ADB" w:rsidP="00F00ADB">
      <w:pPr>
        <w:rPr>
          <w:i/>
        </w:rPr>
      </w:pPr>
      <w:r w:rsidRPr="006A2668">
        <w:rPr>
          <w:i/>
        </w:rPr>
        <w:t>Sponsor’s response</w:t>
      </w:r>
    </w:p>
    <w:p w:rsidR="006A2668" w:rsidRPr="006A2668" w:rsidRDefault="006A2668" w:rsidP="006A2668">
      <w:r w:rsidRPr="006A2668">
        <w:t xml:space="preserve">Of the two packaging configurations shown in section 9.2 Potential for Medication Errors, option 2 will only be supplied in Australia; a blister containing co-packaged </w:t>
      </w:r>
      <w:r w:rsidR="00237CBE">
        <w:t>paritaprevir</w:t>
      </w:r>
      <w:r w:rsidRPr="006A2668">
        <w:t>/ritonavir/</w:t>
      </w:r>
      <w:r w:rsidR="00237CBE">
        <w:t>/ombitasvir</w:t>
      </w:r>
      <w:r w:rsidRPr="006A2668">
        <w:t xml:space="preserve"> and </w:t>
      </w:r>
      <w:r w:rsidR="00237CBE">
        <w:t>dasabuvir</w:t>
      </w:r>
      <w:r w:rsidRPr="006A2668">
        <w:t>. The ribavirin will be supplied in a separate bottle, but all components will be supplied in a single monthly carton. Additionally, the ribavirin bottle will be labelled "ribavirin film-coated tablets, as part of VIEKIRA PAK-RBV combination therapy" and will not be sold as a separate component.</w:t>
      </w:r>
    </w:p>
    <w:p w:rsidR="006A2668" w:rsidRPr="006A2668" w:rsidRDefault="006A2668" w:rsidP="006A2668">
      <w:r w:rsidRPr="006A2668">
        <w:t>A description of the packaging has been added to the Australian-specific Annex.</w:t>
      </w:r>
    </w:p>
    <w:p w:rsidR="00F00ADB" w:rsidRPr="006A2668" w:rsidRDefault="00F00ADB" w:rsidP="00F00ADB">
      <w:pPr>
        <w:rPr>
          <w:i/>
        </w:rPr>
      </w:pPr>
      <w:r w:rsidRPr="006A2668">
        <w:rPr>
          <w:i/>
        </w:rPr>
        <w:t>RMP evaluator’s comment</w:t>
      </w:r>
    </w:p>
    <w:p w:rsidR="008912E8" w:rsidRDefault="008912E8" w:rsidP="008912E8">
      <w:r w:rsidRPr="006A2668">
        <w:t>This is considered acceptable in the context of this application.</w:t>
      </w:r>
    </w:p>
    <w:p w:rsidR="006A2668" w:rsidRPr="006A2668" w:rsidRDefault="006A2668" w:rsidP="006A2668">
      <w:pPr>
        <w:pStyle w:val="Heading5"/>
        <w:rPr>
          <w:lang w:eastAsia="en-AU"/>
        </w:rPr>
      </w:pPr>
      <w:r w:rsidRPr="006A2668">
        <w:rPr>
          <w:lang w:eastAsia="en-AU"/>
        </w:rPr>
        <w:t xml:space="preserve">Recommendation </w:t>
      </w:r>
      <w:r>
        <w:rPr>
          <w:lang w:eastAsia="en-AU"/>
        </w:rPr>
        <w:t>11</w:t>
      </w:r>
      <w:r w:rsidRPr="006A2668">
        <w:rPr>
          <w:lang w:eastAsia="en-AU"/>
        </w:rPr>
        <w:t xml:space="preserve"> in RMP report</w:t>
      </w:r>
    </w:p>
    <w:p w:rsidR="006A2668" w:rsidRPr="006A2668" w:rsidRDefault="006A2668" w:rsidP="006A2668">
      <w:r w:rsidRPr="006A2668">
        <w:t>A separate patient education sheet with (individualised) dosage and administration information is necessary to minimise potential medication errors, in particular due to the teratogenic nature of ribavirin, the amount of different tablets to be taken at different times, and the potential for resistance if some tablets are missed.</w:t>
      </w:r>
    </w:p>
    <w:p w:rsidR="00DA39BE" w:rsidRPr="00DA39BE" w:rsidRDefault="00DA39BE" w:rsidP="00DA39BE">
      <w:pPr>
        <w:rPr>
          <w:i/>
        </w:rPr>
      </w:pPr>
      <w:r w:rsidRPr="00DA39BE">
        <w:rPr>
          <w:i/>
        </w:rPr>
        <w:t>Sponsor’s response</w:t>
      </w:r>
    </w:p>
    <w:p w:rsidR="00DA39BE" w:rsidRPr="00DA39BE" w:rsidRDefault="00DA39BE" w:rsidP="00DA39BE">
      <w:r w:rsidRPr="00DA39BE">
        <w:t>AbbVie acknowledges the reviewer's comment on necessity to minimize the potential medication errors.</w:t>
      </w:r>
    </w:p>
    <w:p w:rsidR="00DA39BE" w:rsidRPr="00DA39BE" w:rsidRDefault="00DA39BE" w:rsidP="00DA39BE">
      <w:r w:rsidRPr="00DA39BE">
        <w:t>AbbVie believes the potential for medication errors can be mitigated through routine risk minimization activities including product information and packaging designs. A potential risk for medication errors is included in the RMP, and data for medication errors will be evaluated and communicated in the periodic safety update reports.</w:t>
      </w:r>
    </w:p>
    <w:p w:rsidR="00DA39BE" w:rsidRPr="00DA39BE" w:rsidRDefault="00DA39BE" w:rsidP="00DA39BE">
      <w:r w:rsidRPr="00DA39BE">
        <w:t>Changes to the prescribing information or other measures will be taken, as appropriate, based on any trends observed from the evaluation of the data.</w:t>
      </w:r>
    </w:p>
    <w:p w:rsidR="00DA39BE" w:rsidRPr="00DA39BE" w:rsidRDefault="00DA39BE" w:rsidP="00DA39BE">
      <w:r w:rsidRPr="00DA39BE">
        <w:t>Proposed enhancements to the product information to minimize the potential for medication errors are described below.</w:t>
      </w:r>
    </w:p>
    <w:p w:rsidR="00DA39BE" w:rsidRPr="00DA39BE" w:rsidRDefault="00DA39BE" w:rsidP="00DA39BE">
      <w:r w:rsidRPr="00DA39BE">
        <w:t xml:space="preserve">The sponsor will strengthen the Consumer Medicine Information (CMI) document by including further patient friendly information and/or diagrams on how to minimize potential medication errors. The CMI will clearly state the number of pills to be taken and the times of day at which they should be taken. In addition to the current language regarding the risk of RBV use during pregnancy, the CMI will also emphasize the difference </w:t>
      </w:r>
      <w:r w:rsidRPr="00DA39BE">
        <w:lastRenderedPageBreak/>
        <w:t xml:space="preserve">between Viekira PAK and Viekira PAK-RBV to ensure patients understand which medicine they are supposed to take and to minimize confusion between the two products. The importance of compliance with medication dosing and using the regimen for the entire treatment duration will be emphasized, and the potential for drug resistance when the regimen is not taken appropriately will also be added in a prominent location in the CMI. A revised CMI will be provided with the revised product </w:t>
      </w:r>
      <w:r w:rsidR="00237CBE" w:rsidRPr="00DA39BE">
        <w:t>labelling</w:t>
      </w:r>
      <w:r w:rsidRPr="00DA39BE">
        <w:t>.</w:t>
      </w:r>
    </w:p>
    <w:p w:rsidR="00DA39BE" w:rsidRPr="00DA39BE" w:rsidRDefault="00DA39BE" w:rsidP="00DA39BE">
      <w:r w:rsidRPr="00DA39BE">
        <w:t xml:space="preserve">In addition to the CMI, the sponsor will develop a patient education card that will include dosing instructions for the </w:t>
      </w:r>
      <w:r w:rsidR="00237CBE">
        <w:t>3DAA</w:t>
      </w:r>
      <w:r w:rsidRPr="00DA39BE">
        <w:t xml:space="preserve"> component and individualised dosing instructions for the ribavirin component to minimize potential errors. A draft card has been included but this will be finalised closer to the date when the product is marketed.</w:t>
      </w:r>
    </w:p>
    <w:p w:rsidR="00DA39BE" w:rsidRPr="00DA39BE" w:rsidRDefault="00DA39BE" w:rsidP="00DA39BE">
      <w:r w:rsidRPr="00DA39BE">
        <w:t>Finally, a comprehensive care model approach will be used to support patients throughout their HCV treatment. The model will provide educational support and materials focused on key areas (disease awareness, proper use of product/dosing with specific emphasis on DDIs and side effects, reminders to enhance adherence) using different media (written, online etc.) to ensure availability of materials for use by patients.</w:t>
      </w:r>
    </w:p>
    <w:p w:rsidR="00DA39BE" w:rsidRPr="00DA39BE" w:rsidRDefault="00DA39BE" w:rsidP="00DA39BE">
      <w:r w:rsidRPr="00DA39BE">
        <w:t>This model will also extend to prescribers and pharmacists providing them with education and support. These materials will be delivered by commercial and medical affairs personnel and will be targeted at delivering additional support to the HCV treatment delivery team led by prescribers who are specialists with expertise in HCV treatment.</w:t>
      </w:r>
    </w:p>
    <w:p w:rsidR="00DA39BE" w:rsidRDefault="00DA39BE" w:rsidP="00DA39BE">
      <w:r w:rsidRPr="00DA39BE">
        <w:t>The sponsor believes the prescribing information with enhanced CMI, and voluntary patient care model approach are complementary and will communicate the necessary information to support proper use of the product and minimize the potential for medication errors with V</w:t>
      </w:r>
      <w:r w:rsidR="00BD522A" w:rsidRPr="00DA39BE">
        <w:t>iekira</w:t>
      </w:r>
      <w:r w:rsidRPr="00DA39BE">
        <w:t xml:space="preserve"> P</w:t>
      </w:r>
      <w:r w:rsidR="00BD522A" w:rsidRPr="00DA39BE">
        <w:t>ak</w:t>
      </w:r>
      <w:r w:rsidRPr="00DA39BE">
        <w:t>-RBV. With these items in place, AbbVie does not believe that risk minimization tools are necessary.</w:t>
      </w:r>
    </w:p>
    <w:p w:rsidR="00DA39BE" w:rsidRPr="00DA39BE" w:rsidRDefault="00DA39BE" w:rsidP="00DA39BE">
      <w:pPr>
        <w:pStyle w:val="FigureTitle"/>
      </w:pPr>
      <w:r>
        <w:lastRenderedPageBreak/>
        <w:t>Figure 1</w:t>
      </w:r>
      <w:r w:rsidR="00B03483">
        <w:t>4</w:t>
      </w:r>
      <w:r w:rsidR="00BD522A">
        <w:t>:</w:t>
      </w:r>
      <w:r>
        <w:t xml:space="preserve"> CMI instructions</w:t>
      </w:r>
    </w:p>
    <w:p w:rsidR="006A2668" w:rsidRDefault="00DA39BE" w:rsidP="006A2668">
      <w:r>
        <w:rPr>
          <w:noProof/>
          <w:lang w:eastAsia="en-AU"/>
        </w:rPr>
        <w:drawing>
          <wp:inline distT="0" distB="0" distL="0" distR="0" wp14:anchorId="227F0F63" wp14:editId="7F7DFFA9">
            <wp:extent cx="4514850" cy="6496050"/>
            <wp:effectExtent l="0" t="0" r="0" b="0"/>
            <wp:docPr id="50" name="Picture 50" descr="Figure 14: CMI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4850" cy="6496050"/>
                    </a:xfrm>
                    <a:prstGeom prst="rect">
                      <a:avLst/>
                    </a:prstGeom>
                  </pic:spPr>
                </pic:pic>
              </a:graphicData>
            </a:graphic>
          </wp:inline>
        </w:drawing>
      </w:r>
    </w:p>
    <w:p w:rsidR="00DA39BE" w:rsidRDefault="00DA39BE" w:rsidP="00DA39BE">
      <w:pPr>
        <w:pStyle w:val="FigureTitle"/>
      </w:pPr>
      <w:r>
        <w:lastRenderedPageBreak/>
        <w:t>Figure 1</w:t>
      </w:r>
      <w:r w:rsidR="00B03483">
        <w:t>4</w:t>
      </w:r>
      <w:r w:rsidR="008A405A">
        <w:t xml:space="preserve"> </w:t>
      </w:r>
      <w:r>
        <w:t>(continued)</w:t>
      </w:r>
      <w:r w:rsidR="008A405A">
        <w:t>:</w:t>
      </w:r>
      <w:r>
        <w:t xml:space="preserve"> CMI instructions</w:t>
      </w:r>
    </w:p>
    <w:p w:rsidR="00DA39BE" w:rsidRDefault="00DA39BE" w:rsidP="006A2668">
      <w:r>
        <w:rPr>
          <w:noProof/>
          <w:lang w:eastAsia="en-AU"/>
        </w:rPr>
        <w:drawing>
          <wp:inline distT="0" distB="0" distL="0" distR="0" wp14:anchorId="1FC5E72A" wp14:editId="0641F7F9">
            <wp:extent cx="4457700" cy="6286500"/>
            <wp:effectExtent l="0" t="0" r="0" b="0"/>
            <wp:docPr id="51" name="Picture 51" descr="Figure 14 (continued): CMI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57700" cy="6286500"/>
                    </a:xfrm>
                    <a:prstGeom prst="rect">
                      <a:avLst/>
                    </a:prstGeom>
                  </pic:spPr>
                </pic:pic>
              </a:graphicData>
            </a:graphic>
          </wp:inline>
        </w:drawing>
      </w:r>
    </w:p>
    <w:p w:rsidR="00DA39BE" w:rsidRPr="00DA39BE" w:rsidRDefault="00DA39BE" w:rsidP="00DA39BE">
      <w:pPr>
        <w:rPr>
          <w:i/>
        </w:rPr>
      </w:pPr>
      <w:r w:rsidRPr="00DA39BE">
        <w:rPr>
          <w:i/>
        </w:rPr>
        <w:t>RMP evaluator’s comment</w:t>
      </w:r>
    </w:p>
    <w:p w:rsidR="00DA39BE" w:rsidRPr="006A2668" w:rsidRDefault="00DA39BE" w:rsidP="006A2668">
      <w:r w:rsidRPr="00DA39BE">
        <w:t>This is considered acceptable in t</w:t>
      </w:r>
      <w:r w:rsidR="00497244">
        <w:t>he context of this application.</w:t>
      </w:r>
    </w:p>
    <w:p w:rsidR="00F00ADB" w:rsidRPr="00497244" w:rsidRDefault="00F00ADB" w:rsidP="00F00ADB">
      <w:pPr>
        <w:pStyle w:val="Heading5"/>
        <w:rPr>
          <w:lang w:eastAsia="en-AU"/>
        </w:rPr>
      </w:pPr>
      <w:r w:rsidRPr="00497244">
        <w:rPr>
          <w:lang w:eastAsia="en-AU"/>
        </w:rPr>
        <w:t>Recommendation 1</w:t>
      </w:r>
      <w:r w:rsidR="00497244" w:rsidRPr="00497244">
        <w:rPr>
          <w:lang w:eastAsia="en-AU"/>
        </w:rPr>
        <w:t>2</w:t>
      </w:r>
      <w:r w:rsidRPr="00497244">
        <w:rPr>
          <w:lang w:eastAsia="en-AU"/>
        </w:rPr>
        <w:t xml:space="preserve"> in RMP report</w:t>
      </w:r>
    </w:p>
    <w:p w:rsidR="00F00ADB" w:rsidRPr="00497244" w:rsidRDefault="008912E8" w:rsidP="00F00ADB">
      <w:r w:rsidRPr="00497244">
        <w:t>A table summarising the pharmacovigilance and risk minimisation activities for all of the specified ongoing safety concerns and missing information proposed for Australia should be included in the revised ASA.</w:t>
      </w:r>
    </w:p>
    <w:p w:rsidR="00F00ADB" w:rsidRPr="00497244" w:rsidRDefault="00F00ADB" w:rsidP="00F00ADB">
      <w:pPr>
        <w:rPr>
          <w:i/>
        </w:rPr>
      </w:pPr>
      <w:r w:rsidRPr="00497244">
        <w:rPr>
          <w:i/>
        </w:rPr>
        <w:t>Sponsor’s response</w:t>
      </w:r>
    </w:p>
    <w:p w:rsidR="00F00ADB" w:rsidRPr="00497244" w:rsidRDefault="008912E8" w:rsidP="008912E8">
      <w:r w:rsidRPr="00497244">
        <w:t>An updated table summarizing the pharmacovigilance and risk minimization activities for all of the specified ongoing safety concerns and missing information has been included in the updated ASA.</w:t>
      </w:r>
    </w:p>
    <w:p w:rsidR="00F00ADB" w:rsidRPr="00497244" w:rsidRDefault="00F00ADB" w:rsidP="009E2121">
      <w:pPr>
        <w:keepNext/>
        <w:rPr>
          <w:i/>
        </w:rPr>
      </w:pPr>
      <w:r w:rsidRPr="00497244">
        <w:rPr>
          <w:i/>
        </w:rPr>
        <w:lastRenderedPageBreak/>
        <w:t>RMP evaluator’s comment</w:t>
      </w:r>
    </w:p>
    <w:p w:rsidR="008912E8" w:rsidRPr="00497244" w:rsidRDefault="008912E8" w:rsidP="00F00ADB">
      <w:r w:rsidRPr="00497244">
        <w:t>This is considered acceptable in the context of this application.</w:t>
      </w:r>
    </w:p>
    <w:p w:rsidR="00F00ADB" w:rsidRPr="00497244" w:rsidRDefault="00497244" w:rsidP="00F00ADB">
      <w:pPr>
        <w:pStyle w:val="Heading5"/>
        <w:rPr>
          <w:lang w:eastAsia="en-AU"/>
        </w:rPr>
      </w:pPr>
      <w:r w:rsidRPr="00497244">
        <w:rPr>
          <w:lang w:eastAsia="en-AU"/>
        </w:rPr>
        <w:t>Recommendation 13</w:t>
      </w:r>
      <w:r w:rsidR="00F00ADB" w:rsidRPr="00497244">
        <w:rPr>
          <w:lang w:eastAsia="en-AU"/>
        </w:rPr>
        <w:t xml:space="preserve"> in RMP report</w:t>
      </w:r>
    </w:p>
    <w:p w:rsidR="00497244" w:rsidRPr="00497244" w:rsidRDefault="00497244" w:rsidP="00497244">
      <w:r w:rsidRPr="00497244">
        <w:t xml:space="preserve">The sponsor states (RMP, </w:t>
      </w:r>
      <w:r w:rsidR="00237CBE">
        <w:t xml:space="preserve">p. 81), that “[a] change of 0.5 to 2.0 </w:t>
      </w:r>
      <w:r w:rsidRPr="00497244">
        <w:t>fold in the exposures (C</w:t>
      </w:r>
      <w:r w:rsidRPr="00237CBE">
        <w:rPr>
          <w:vertAlign w:val="subscript"/>
        </w:rPr>
        <w:t>max</w:t>
      </w:r>
      <w:r w:rsidRPr="00497244">
        <w:t xml:space="preserve"> and AUC) of </w:t>
      </w:r>
      <w:r w:rsidR="00237CBE">
        <w:t>paritaprevir</w:t>
      </w:r>
      <w:r w:rsidRPr="00497244">
        <w:t xml:space="preserve">, </w:t>
      </w:r>
      <w:r w:rsidR="00237CBE">
        <w:t>ombitasvir</w:t>
      </w:r>
      <w:r w:rsidRPr="00497244">
        <w:t xml:space="preserve">, and </w:t>
      </w:r>
      <w:r w:rsidR="00237CBE">
        <w:t>dasabuvir</w:t>
      </w:r>
      <w:r w:rsidRPr="00497244">
        <w:t xml:space="preserve"> is not considered clinically relevant and does not require dose adjustment for </w:t>
      </w:r>
      <w:r w:rsidR="00237CBE">
        <w:t>paritaprevir/ritonavir/ombitasvir</w:t>
      </w:r>
      <w:r w:rsidRPr="00497244">
        <w:t xml:space="preserve"> with </w:t>
      </w:r>
      <w:r w:rsidR="00237CBE">
        <w:t>dasabuvir</w:t>
      </w:r>
      <w:r w:rsidRPr="00497244">
        <w:t>.” The sponsor should provide the rationale for this statement.</w:t>
      </w:r>
    </w:p>
    <w:p w:rsidR="00497244" w:rsidRPr="00497244" w:rsidRDefault="00497244" w:rsidP="00497244">
      <w:pPr>
        <w:keepNext/>
        <w:rPr>
          <w:i/>
        </w:rPr>
      </w:pPr>
      <w:r w:rsidRPr="00497244">
        <w:rPr>
          <w:i/>
        </w:rPr>
        <w:t>Sponsor’s response</w:t>
      </w:r>
    </w:p>
    <w:p w:rsidR="00497244" w:rsidRPr="00497244" w:rsidRDefault="00497244" w:rsidP="00497244">
      <w:r w:rsidRPr="00497244">
        <w:t>This statement has been removed from the updated version of the RMP.</w:t>
      </w:r>
    </w:p>
    <w:p w:rsidR="00497244" w:rsidRPr="00497244" w:rsidRDefault="00497244" w:rsidP="00497244">
      <w:pPr>
        <w:keepNext/>
        <w:rPr>
          <w:i/>
        </w:rPr>
      </w:pPr>
      <w:r w:rsidRPr="00497244">
        <w:rPr>
          <w:i/>
        </w:rPr>
        <w:t>RMP evaluator’s comment</w:t>
      </w:r>
    </w:p>
    <w:p w:rsidR="00497244" w:rsidRPr="00497244" w:rsidRDefault="00497244" w:rsidP="00497244">
      <w:pPr>
        <w:rPr>
          <w:highlight w:val="yellow"/>
        </w:rPr>
      </w:pPr>
      <w:r w:rsidRPr="00497244">
        <w:t>This is considered acceptable in the context of this application.</w:t>
      </w:r>
    </w:p>
    <w:p w:rsidR="00497244" w:rsidRPr="00497244" w:rsidRDefault="00497244" w:rsidP="00497244">
      <w:pPr>
        <w:pStyle w:val="Heading5"/>
        <w:rPr>
          <w:lang w:eastAsia="en-AU"/>
        </w:rPr>
      </w:pPr>
      <w:r w:rsidRPr="00497244">
        <w:rPr>
          <w:lang w:eastAsia="en-AU"/>
        </w:rPr>
        <w:t>Recommendation 1</w:t>
      </w:r>
      <w:r>
        <w:rPr>
          <w:lang w:eastAsia="en-AU"/>
        </w:rPr>
        <w:t>4</w:t>
      </w:r>
      <w:r w:rsidRPr="00497244">
        <w:rPr>
          <w:lang w:eastAsia="en-AU"/>
        </w:rPr>
        <w:t xml:space="preserve"> in RMP report</w:t>
      </w:r>
    </w:p>
    <w:p w:rsidR="00497244" w:rsidRPr="00497244" w:rsidRDefault="00497244" w:rsidP="00497244">
      <w:r w:rsidRPr="00497244">
        <w:t xml:space="preserve">It is recommended to the Delegate the PI for Viekira-Pak-RBV and the PI for Viekira-Pak </w:t>
      </w:r>
      <w:proofErr w:type="gramStart"/>
      <w:r w:rsidRPr="00497244">
        <w:t>be</w:t>
      </w:r>
      <w:proofErr w:type="gramEnd"/>
      <w:r w:rsidRPr="00497244">
        <w:t xml:space="preserve"> separate documents, as some of the prescribing information does not apply to both, in particular the teratogenicity of ribavirin.</w:t>
      </w:r>
    </w:p>
    <w:p w:rsidR="00497244" w:rsidRPr="00497244" w:rsidRDefault="00497244" w:rsidP="00497244">
      <w:pPr>
        <w:keepNext/>
        <w:rPr>
          <w:i/>
        </w:rPr>
      </w:pPr>
      <w:r w:rsidRPr="00497244">
        <w:rPr>
          <w:i/>
        </w:rPr>
        <w:t>Sponsor’s response</w:t>
      </w:r>
    </w:p>
    <w:p w:rsidR="00497244" w:rsidRPr="00497244" w:rsidRDefault="00497244" w:rsidP="00497244">
      <w:r w:rsidRPr="00497244">
        <w:t xml:space="preserve">There are separate PI’s for Viekira Pak and Viekira Pak-RBV. Please refer to </w:t>
      </w:r>
      <w:r w:rsidR="00237CBE">
        <w:t>the</w:t>
      </w:r>
      <w:r w:rsidRPr="00497244">
        <w:t xml:space="preserve"> response</w:t>
      </w:r>
      <w:r w:rsidR="00237CBE">
        <w:t xml:space="preserve"> provided</w:t>
      </w:r>
      <w:r w:rsidRPr="00497244">
        <w:t>.</w:t>
      </w:r>
    </w:p>
    <w:p w:rsidR="00497244" w:rsidRPr="00497244" w:rsidRDefault="00497244" w:rsidP="00497244">
      <w:pPr>
        <w:keepNext/>
        <w:rPr>
          <w:i/>
        </w:rPr>
      </w:pPr>
      <w:r w:rsidRPr="00497244">
        <w:rPr>
          <w:i/>
        </w:rPr>
        <w:t>RMP evaluator’s comment</w:t>
      </w:r>
    </w:p>
    <w:p w:rsidR="00497244" w:rsidRPr="00497244" w:rsidRDefault="00497244" w:rsidP="00497244">
      <w:r w:rsidRPr="00497244">
        <w:t>It is noted that the PI documents are now separate, as requested. This is considered acceptable in the context of this application.</w:t>
      </w:r>
    </w:p>
    <w:p w:rsidR="00497244" w:rsidRDefault="00497244" w:rsidP="00497244">
      <w:pPr>
        <w:pStyle w:val="Heading5"/>
        <w:rPr>
          <w:lang w:eastAsia="en-AU"/>
        </w:rPr>
      </w:pPr>
      <w:r>
        <w:rPr>
          <w:lang w:eastAsia="en-AU"/>
        </w:rPr>
        <w:t>Recommendation 15 in RMP report</w:t>
      </w:r>
    </w:p>
    <w:p w:rsidR="00497244" w:rsidRPr="00497244" w:rsidRDefault="00497244" w:rsidP="00497244">
      <w:pPr>
        <w:rPr>
          <w:highlight w:val="yellow"/>
        </w:rPr>
      </w:pPr>
      <w:r w:rsidRPr="00497244">
        <w:t xml:space="preserve">It is recommended to the Delegate that the relevant information from a currently approved Australian PI document for ribavirin be included in the PI document for Viekira-Pak-RBV, as ribavirin is co-packaged with the </w:t>
      </w:r>
      <w:r w:rsidR="00237CBE">
        <w:t>3DAA</w:t>
      </w:r>
      <w:r w:rsidRPr="00497244">
        <w:t xml:space="preserve"> regimen.</w:t>
      </w:r>
    </w:p>
    <w:p w:rsidR="00497244" w:rsidRDefault="00497244" w:rsidP="00497244">
      <w:pPr>
        <w:keepNext/>
        <w:rPr>
          <w:i/>
        </w:rPr>
      </w:pPr>
      <w:r>
        <w:rPr>
          <w:i/>
        </w:rPr>
        <w:t>Sponsor’s response</w:t>
      </w:r>
    </w:p>
    <w:p w:rsidR="00497244" w:rsidRPr="00497244" w:rsidRDefault="00497244" w:rsidP="00497244">
      <w:r w:rsidRPr="00497244">
        <w:t>Relevant information from the ribavirin labelling has been added to the Viekira Pak-RBV</w:t>
      </w:r>
      <w:r>
        <w:t xml:space="preserve"> </w:t>
      </w:r>
      <w:r w:rsidRPr="00497244">
        <w:t>Australian PI.</w:t>
      </w:r>
    </w:p>
    <w:p w:rsidR="00497244" w:rsidRPr="00497244" w:rsidRDefault="00497244" w:rsidP="00497244">
      <w:pPr>
        <w:keepNext/>
        <w:rPr>
          <w:i/>
        </w:rPr>
      </w:pPr>
      <w:r w:rsidRPr="00497244">
        <w:rPr>
          <w:i/>
        </w:rPr>
        <w:t>RMP evaluator’s comment</w:t>
      </w:r>
    </w:p>
    <w:p w:rsidR="00497244" w:rsidRPr="00497244" w:rsidRDefault="00497244" w:rsidP="00497244">
      <w:r w:rsidRPr="00497244">
        <w:t>This is considered acceptable in the context of this application for RMP purposes, subject to approval by the Delegate.</w:t>
      </w:r>
    </w:p>
    <w:p w:rsidR="00497244" w:rsidRDefault="00497244" w:rsidP="00497244">
      <w:pPr>
        <w:pStyle w:val="Heading5"/>
        <w:rPr>
          <w:lang w:eastAsia="en-AU"/>
        </w:rPr>
      </w:pPr>
      <w:r>
        <w:rPr>
          <w:lang w:eastAsia="en-AU"/>
        </w:rPr>
        <w:t>Recommendation 16 in RMP report</w:t>
      </w:r>
    </w:p>
    <w:p w:rsidR="00497244" w:rsidRPr="00497244" w:rsidRDefault="00497244" w:rsidP="00497244">
      <w:r w:rsidRPr="00497244">
        <w:t>It is recommended to the Delegate that the relevant information from a currently approved Australian PI document for ritonavir be included</w:t>
      </w:r>
      <w:r>
        <w:t xml:space="preserve"> in the PI document for Viekira </w:t>
      </w:r>
      <w:r w:rsidRPr="00497244">
        <w:t xml:space="preserve">Pak-RBV, as ritonavir is part of the </w:t>
      </w:r>
      <w:r w:rsidR="00237CBE">
        <w:t>3DAA</w:t>
      </w:r>
      <w:r w:rsidRPr="00497244">
        <w:t xml:space="preserve"> regimen.</w:t>
      </w:r>
    </w:p>
    <w:p w:rsidR="00497244" w:rsidRDefault="00497244" w:rsidP="00497244">
      <w:pPr>
        <w:keepNext/>
        <w:rPr>
          <w:i/>
        </w:rPr>
      </w:pPr>
      <w:r>
        <w:rPr>
          <w:i/>
        </w:rPr>
        <w:t>Sponsor’s response</w:t>
      </w:r>
    </w:p>
    <w:p w:rsidR="00497244" w:rsidRPr="00082286" w:rsidRDefault="00082286" w:rsidP="00082286">
      <w:pPr>
        <w:rPr>
          <w:highlight w:val="yellow"/>
        </w:rPr>
      </w:pPr>
      <w:r w:rsidRPr="00082286">
        <w:t xml:space="preserve">Relevant information from the ritonavir </w:t>
      </w:r>
      <w:r w:rsidR="00237CBE" w:rsidRPr="00082286">
        <w:t>labelling</w:t>
      </w:r>
      <w:r w:rsidRPr="00082286">
        <w:t xml:space="preserve"> has been added to the Viekira Pak-RBV Australian PI and the Viekira Pak Australian PI, so the </w:t>
      </w:r>
      <w:r w:rsidR="00237CBE">
        <w:t>sponsor</w:t>
      </w:r>
      <w:r w:rsidRPr="00082286">
        <w:t xml:space="preserve"> does not believe that a separate ritonavir PI is necessary.</w:t>
      </w:r>
    </w:p>
    <w:p w:rsidR="00082286" w:rsidRPr="00497244" w:rsidRDefault="00082286" w:rsidP="00082286">
      <w:pPr>
        <w:keepNext/>
        <w:rPr>
          <w:i/>
        </w:rPr>
      </w:pPr>
      <w:r w:rsidRPr="00497244">
        <w:rPr>
          <w:i/>
        </w:rPr>
        <w:t>RMP evaluator’s comment</w:t>
      </w:r>
    </w:p>
    <w:p w:rsidR="00497244" w:rsidRPr="00082286" w:rsidRDefault="00082286" w:rsidP="00082286">
      <w:pPr>
        <w:rPr>
          <w:highlight w:val="yellow"/>
        </w:rPr>
      </w:pPr>
      <w:r w:rsidRPr="00082286">
        <w:t>This is considered acceptable in the context of this application for RMP purposes, subject to approval by the Delegate.</w:t>
      </w:r>
    </w:p>
    <w:p w:rsidR="00082286" w:rsidRDefault="00082286" w:rsidP="00082286">
      <w:pPr>
        <w:pStyle w:val="Heading5"/>
        <w:rPr>
          <w:lang w:eastAsia="en-AU"/>
        </w:rPr>
      </w:pPr>
      <w:r>
        <w:rPr>
          <w:lang w:eastAsia="en-AU"/>
        </w:rPr>
        <w:lastRenderedPageBreak/>
        <w:t>Recommendation 17 in RMP report</w:t>
      </w:r>
    </w:p>
    <w:p w:rsidR="00082286" w:rsidRPr="00082286" w:rsidRDefault="00082286" w:rsidP="00082286">
      <w:r w:rsidRPr="00082286">
        <w:t>In the ‘Indications’ section, the Delegate may wish to consider inclusion of ‘in adults’,</w:t>
      </w:r>
      <w:r w:rsidR="00355DDE">
        <w:t xml:space="preserve"> </w:t>
      </w:r>
      <w:r w:rsidRPr="00082286">
        <w:t>to clearly identify Viekira Pak is only to be used in an adult population.</w:t>
      </w:r>
    </w:p>
    <w:p w:rsidR="00082286" w:rsidRDefault="00082286" w:rsidP="00082286">
      <w:pPr>
        <w:keepNext/>
        <w:rPr>
          <w:i/>
        </w:rPr>
      </w:pPr>
      <w:r>
        <w:rPr>
          <w:i/>
        </w:rPr>
        <w:t>Sponsor’s response</w:t>
      </w:r>
    </w:p>
    <w:p w:rsidR="00082286" w:rsidRPr="00082286" w:rsidRDefault="00082286" w:rsidP="00082286">
      <w:r w:rsidRPr="00082286">
        <w:t xml:space="preserve">The </w:t>
      </w:r>
      <w:r w:rsidR="00237CBE">
        <w:t>sponsor</w:t>
      </w:r>
      <w:r w:rsidRPr="00082286">
        <w:t xml:space="preserve"> has reviewed and will not include "adults" in the indications section. The PI does indicate that the regimen has not been studied in the paediatric population.</w:t>
      </w:r>
    </w:p>
    <w:p w:rsidR="00082286" w:rsidRDefault="00082286" w:rsidP="00082286">
      <w:pPr>
        <w:keepNext/>
        <w:rPr>
          <w:i/>
        </w:rPr>
      </w:pPr>
      <w:r>
        <w:rPr>
          <w:i/>
        </w:rPr>
        <w:t>RMP evaluator’s comment</w:t>
      </w:r>
    </w:p>
    <w:p w:rsidR="00082286" w:rsidRPr="00082286" w:rsidRDefault="00082286" w:rsidP="00082286">
      <w:r w:rsidRPr="00082286">
        <w:t>The sponsor’s response has been noted and will be referred to the Delegate.</w:t>
      </w:r>
    </w:p>
    <w:p w:rsidR="00082286" w:rsidRPr="00082286" w:rsidRDefault="00082286" w:rsidP="00082286">
      <w:pPr>
        <w:pStyle w:val="Heading5"/>
        <w:rPr>
          <w:lang w:eastAsia="en-AU"/>
        </w:rPr>
      </w:pPr>
      <w:r w:rsidRPr="00082286">
        <w:rPr>
          <w:lang w:eastAsia="en-AU"/>
        </w:rPr>
        <w:t>Recommendation 18 in RMP report</w:t>
      </w:r>
    </w:p>
    <w:p w:rsidR="008912E8" w:rsidRPr="00082286" w:rsidRDefault="00526C82" w:rsidP="008912E8">
      <w:r w:rsidRPr="00082286">
        <w:t>In the 'Contraindications' section, above the list of contraindicated agents, the PI should include a statement that these are extensively metabolised by CYP3A to enable prescribers to take appropriate care when considering other agents metabolised by CYP3A that are not listed.</w:t>
      </w:r>
    </w:p>
    <w:p w:rsidR="008912E8" w:rsidRPr="00082286" w:rsidRDefault="008912E8" w:rsidP="008912E8">
      <w:pPr>
        <w:rPr>
          <w:i/>
        </w:rPr>
      </w:pPr>
      <w:r w:rsidRPr="00082286">
        <w:rPr>
          <w:i/>
        </w:rPr>
        <w:t>Sponsor’s response</w:t>
      </w:r>
    </w:p>
    <w:p w:rsidR="00526C82" w:rsidRPr="00082286" w:rsidRDefault="00526C82" w:rsidP="00526C82">
      <w:r w:rsidRPr="00082286">
        <w:t>The PI has been revised to include the following statement:</w:t>
      </w:r>
    </w:p>
    <w:p w:rsidR="008912E8" w:rsidRPr="00082286" w:rsidRDefault="00526C82" w:rsidP="00526C82">
      <w:r w:rsidRPr="00082286">
        <w:t xml:space="preserve">The following drugs are extensively metabolised by CYP3A and contraindicated with </w:t>
      </w:r>
      <w:r w:rsidR="003A33A4" w:rsidRPr="00082286">
        <w:t>Viekira Pak</w:t>
      </w:r>
      <w:r w:rsidRPr="00082286">
        <w:t xml:space="preserve"> (see </w:t>
      </w:r>
      <w:r w:rsidR="00640225" w:rsidRPr="00082286">
        <w:t>‘Interaction with other medicines’</w:t>
      </w:r>
      <w:r w:rsidRPr="00082286">
        <w:t>).</w:t>
      </w:r>
    </w:p>
    <w:p w:rsidR="008912E8" w:rsidRPr="00082286" w:rsidRDefault="008912E8" w:rsidP="008912E8">
      <w:pPr>
        <w:rPr>
          <w:i/>
        </w:rPr>
      </w:pPr>
      <w:r w:rsidRPr="00082286">
        <w:rPr>
          <w:i/>
        </w:rPr>
        <w:t>RMP evaluator’s comment</w:t>
      </w:r>
    </w:p>
    <w:p w:rsidR="008912E8" w:rsidRDefault="00526C82" w:rsidP="00526C82">
      <w:r w:rsidRPr="00082286">
        <w:t>The RMP evaluator considers this acceptable within the submitted application pending approval by the Delegate.</w:t>
      </w:r>
    </w:p>
    <w:p w:rsidR="00082286" w:rsidRDefault="00082286" w:rsidP="00082286">
      <w:pPr>
        <w:pStyle w:val="Heading5"/>
        <w:rPr>
          <w:lang w:eastAsia="en-AU"/>
        </w:rPr>
      </w:pPr>
      <w:r>
        <w:rPr>
          <w:lang w:eastAsia="en-AU"/>
        </w:rPr>
        <w:t>Recommendation 19 in RMP report</w:t>
      </w:r>
    </w:p>
    <w:p w:rsidR="008912E8" w:rsidRPr="00082286" w:rsidRDefault="00526C82" w:rsidP="00526C82">
      <w:r w:rsidRPr="00082286">
        <w:t>In the 'Contraindications' section, the Delegate may wish to consider inclusion of astemizole and terfenadine (as per the EU SmPC for the co-formulated tablet) and fusidic acid and salmeterol (as per the EU SmPC for dasabuvir tablet).</w:t>
      </w:r>
    </w:p>
    <w:p w:rsidR="008912E8" w:rsidRPr="00082286" w:rsidRDefault="008912E8" w:rsidP="008912E8">
      <w:pPr>
        <w:rPr>
          <w:i/>
        </w:rPr>
      </w:pPr>
      <w:r w:rsidRPr="00082286">
        <w:rPr>
          <w:i/>
        </w:rPr>
        <w:t>Sponsor’s response</w:t>
      </w:r>
    </w:p>
    <w:p w:rsidR="008912E8" w:rsidRPr="00082286" w:rsidRDefault="00526C82" w:rsidP="008912E8">
      <w:r w:rsidRPr="00082286">
        <w:t>Astemizole, terfenadine, fusidic acid, and salmeterol have been included in the list of contraindicated medications.</w:t>
      </w:r>
    </w:p>
    <w:p w:rsidR="008912E8" w:rsidRPr="00082286" w:rsidRDefault="008912E8" w:rsidP="008912E8">
      <w:pPr>
        <w:rPr>
          <w:i/>
        </w:rPr>
      </w:pPr>
      <w:r w:rsidRPr="00082286">
        <w:rPr>
          <w:i/>
        </w:rPr>
        <w:t>RMP evaluator’s comment</w:t>
      </w:r>
    </w:p>
    <w:p w:rsidR="008912E8" w:rsidRPr="00082286" w:rsidRDefault="00526C82" w:rsidP="00526C82">
      <w:r w:rsidRPr="00082286">
        <w:t>This is considered acceptable in the context of this application for RMP purposes, subject to approval by the Delegate.</w:t>
      </w:r>
    </w:p>
    <w:p w:rsidR="008912E8" w:rsidRPr="00082286" w:rsidRDefault="008912E8" w:rsidP="008912E8">
      <w:pPr>
        <w:pStyle w:val="Heading5"/>
        <w:rPr>
          <w:lang w:eastAsia="en-AU"/>
        </w:rPr>
      </w:pPr>
      <w:r w:rsidRPr="00082286">
        <w:rPr>
          <w:lang w:eastAsia="en-AU"/>
        </w:rPr>
        <w:t xml:space="preserve">Recommendation </w:t>
      </w:r>
      <w:r w:rsidR="00082286" w:rsidRPr="00082286">
        <w:rPr>
          <w:lang w:eastAsia="en-AU"/>
        </w:rPr>
        <w:t>20</w:t>
      </w:r>
      <w:r w:rsidRPr="00082286">
        <w:rPr>
          <w:lang w:eastAsia="en-AU"/>
        </w:rPr>
        <w:t xml:space="preserve"> in RMP report</w:t>
      </w:r>
    </w:p>
    <w:p w:rsidR="008912E8" w:rsidRPr="00082286" w:rsidRDefault="00526C82" w:rsidP="008912E8">
      <w:r w:rsidRPr="00082286">
        <w:t>In the 'Contraindications' section, 'rifampin' should be changed to 'rifampicin', which is the approved name used in Australia.</w:t>
      </w:r>
    </w:p>
    <w:p w:rsidR="008912E8" w:rsidRPr="00082286" w:rsidRDefault="008912E8" w:rsidP="008912E8">
      <w:pPr>
        <w:rPr>
          <w:i/>
        </w:rPr>
      </w:pPr>
      <w:r w:rsidRPr="00082286">
        <w:rPr>
          <w:i/>
        </w:rPr>
        <w:t>Sponsor’s response</w:t>
      </w:r>
    </w:p>
    <w:p w:rsidR="00526C82" w:rsidRPr="00082286" w:rsidRDefault="00526C82" w:rsidP="00526C82">
      <w:r w:rsidRPr="00082286">
        <w:t>"Rifampin" has been changed to "rifampicin."</w:t>
      </w:r>
    </w:p>
    <w:p w:rsidR="008912E8" w:rsidRPr="00082286" w:rsidRDefault="008912E8" w:rsidP="008912E8">
      <w:pPr>
        <w:rPr>
          <w:i/>
        </w:rPr>
      </w:pPr>
      <w:r w:rsidRPr="00082286">
        <w:rPr>
          <w:i/>
        </w:rPr>
        <w:t>RMP evaluator’s comment</w:t>
      </w:r>
    </w:p>
    <w:p w:rsidR="00082286" w:rsidRDefault="00526C82" w:rsidP="00526C82">
      <w:r w:rsidRPr="00082286">
        <w:t>This is considered acceptable in the context of this application for RMP purposes, subject to approval by the Delegate.</w:t>
      </w:r>
    </w:p>
    <w:p w:rsidR="00082286" w:rsidRDefault="00082286" w:rsidP="00082286">
      <w:pPr>
        <w:pStyle w:val="Heading5"/>
        <w:rPr>
          <w:lang w:eastAsia="en-AU"/>
        </w:rPr>
      </w:pPr>
      <w:r>
        <w:rPr>
          <w:lang w:eastAsia="en-AU"/>
        </w:rPr>
        <w:t>Recommendation 21 in RMP report</w:t>
      </w:r>
    </w:p>
    <w:p w:rsidR="00082286" w:rsidRPr="00082286" w:rsidRDefault="00082286" w:rsidP="00082286">
      <w:r w:rsidRPr="00082286">
        <w:t>In the ‘Precautions’ section or another appropriate section, the Delegate may wish to consider inclusion of data regarding HCV genotype 4.</w:t>
      </w:r>
    </w:p>
    <w:p w:rsidR="00082286" w:rsidRPr="00082286" w:rsidRDefault="00082286" w:rsidP="00082286">
      <w:pPr>
        <w:keepNext/>
        <w:rPr>
          <w:i/>
        </w:rPr>
      </w:pPr>
      <w:r w:rsidRPr="00082286">
        <w:rPr>
          <w:i/>
        </w:rPr>
        <w:lastRenderedPageBreak/>
        <w:t>Sponsor’s response</w:t>
      </w:r>
    </w:p>
    <w:p w:rsidR="00082286" w:rsidRPr="00082286" w:rsidRDefault="00082286" w:rsidP="00082286">
      <w:r w:rsidRPr="00082286">
        <w:t>A submission for genotype 4 will be part of a separate filing, so this is not included in the current PI.</w:t>
      </w:r>
    </w:p>
    <w:p w:rsidR="00082286" w:rsidRPr="00082286" w:rsidRDefault="00082286" w:rsidP="00082286">
      <w:pPr>
        <w:keepNext/>
        <w:rPr>
          <w:i/>
        </w:rPr>
      </w:pPr>
      <w:r w:rsidRPr="00082286">
        <w:rPr>
          <w:i/>
        </w:rPr>
        <w:t>RMP evaluator’s comment</w:t>
      </w:r>
    </w:p>
    <w:p w:rsidR="00082286" w:rsidRPr="00082286" w:rsidRDefault="00082286" w:rsidP="00082286">
      <w:r w:rsidRPr="00082286">
        <w:t>This is considered acceptable in the context of this application for RMP purposes, subject to approval by the Delegate.</w:t>
      </w:r>
    </w:p>
    <w:p w:rsidR="008912E8" w:rsidRPr="005865C9" w:rsidRDefault="005865C9" w:rsidP="008912E8">
      <w:pPr>
        <w:pStyle w:val="Heading5"/>
        <w:rPr>
          <w:lang w:eastAsia="en-AU"/>
        </w:rPr>
      </w:pPr>
      <w:r w:rsidRPr="005865C9">
        <w:rPr>
          <w:lang w:eastAsia="en-AU"/>
        </w:rPr>
        <w:t>Recommendation 22</w:t>
      </w:r>
      <w:r w:rsidR="008912E8" w:rsidRPr="005865C9">
        <w:rPr>
          <w:lang w:eastAsia="en-AU"/>
        </w:rPr>
        <w:t xml:space="preserve"> in RMP report</w:t>
      </w:r>
    </w:p>
    <w:p w:rsidR="008912E8" w:rsidRPr="005865C9" w:rsidRDefault="00526C82" w:rsidP="00526C82">
      <w:r w:rsidRPr="005865C9">
        <w:t xml:space="preserve">In the 'Precautions' section, the PI should include a statement that herbal supplements such as milk thistle may decrease serum ALT, thereby interfering with evaluation of serum ALT with treatment of </w:t>
      </w:r>
      <w:r w:rsidR="005865C9" w:rsidRPr="005865C9">
        <w:t>HCV</w:t>
      </w:r>
      <w:r w:rsidR="00237CBE">
        <w:t xml:space="preserve"> </w:t>
      </w:r>
      <w:r w:rsidR="005865C9" w:rsidRPr="005865C9">
        <w:t>(or a statement to that effect).</w:t>
      </w:r>
    </w:p>
    <w:p w:rsidR="008912E8" w:rsidRPr="005865C9" w:rsidRDefault="008912E8" w:rsidP="008912E8">
      <w:pPr>
        <w:rPr>
          <w:i/>
        </w:rPr>
      </w:pPr>
      <w:r w:rsidRPr="005865C9">
        <w:rPr>
          <w:i/>
        </w:rPr>
        <w:t>Sponsor’s response</w:t>
      </w:r>
    </w:p>
    <w:p w:rsidR="00526C82" w:rsidRPr="005865C9" w:rsidRDefault="00526C82" w:rsidP="007D0808">
      <w:r w:rsidRPr="005865C9">
        <w:t>AbbVie does not believe that language concerning milk thistle should be added to the Australian PI. First, in studies in pati</w:t>
      </w:r>
      <w:r w:rsidR="00E458BE" w:rsidRPr="005865C9">
        <w:t>ents infected with HCV</w:t>
      </w:r>
      <w:r w:rsidRPr="005865C9">
        <w:t>, inconsistent findings have been observed with milk thistle use</w:t>
      </w:r>
      <w:r w:rsidR="004F2D40" w:rsidRPr="005865C9">
        <w:t>.</w:t>
      </w:r>
      <w:r w:rsidR="004F2D40" w:rsidRPr="005865C9">
        <w:rPr>
          <w:vertAlign w:val="superscript"/>
        </w:rPr>
        <w:fldChar w:fldCharType="begin"/>
      </w:r>
      <w:r w:rsidR="004F2D40" w:rsidRPr="005865C9">
        <w:rPr>
          <w:vertAlign w:val="superscript"/>
        </w:rPr>
        <w:instrText xml:space="preserve"> NOTEREF _Ref473293935 \h  \* MERGEFORMAT </w:instrText>
      </w:r>
      <w:r w:rsidR="004F2D40" w:rsidRPr="005865C9">
        <w:rPr>
          <w:vertAlign w:val="superscript"/>
        </w:rPr>
      </w:r>
      <w:r w:rsidR="004F2D40" w:rsidRPr="005865C9">
        <w:rPr>
          <w:vertAlign w:val="superscript"/>
        </w:rPr>
        <w:fldChar w:fldCharType="separate"/>
      </w:r>
      <w:r w:rsidR="004F2D40" w:rsidRPr="005865C9">
        <w:rPr>
          <w:vertAlign w:val="superscript"/>
        </w:rPr>
        <w:t>62</w:t>
      </w:r>
      <w:r w:rsidR="004F2D40" w:rsidRPr="005865C9">
        <w:rPr>
          <w:vertAlign w:val="superscript"/>
        </w:rPr>
        <w:fldChar w:fldCharType="end"/>
      </w:r>
      <w:r w:rsidR="004F2D40" w:rsidRPr="005865C9">
        <w:t>,</w:t>
      </w:r>
      <w:r w:rsidR="004F2D40" w:rsidRPr="005865C9">
        <w:rPr>
          <w:rStyle w:val="FootnoteReference"/>
        </w:rPr>
        <w:footnoteReference w:id="73"/>
      </w:r>
      <w:r w:rsidRPr="005865C9">
        <w:t xml:space="preserve"> Further, there are no data with milk thistle and highly active direct acting antivirals such as the AbbVie DAA regimen showing that in the context of HCV viral clearance, milk thistle has an effect on serum ALT levels. Taking both things in context, addition of language about milk thistle in the PI is not supported.</w:t>
      </w:r>
    </w:p>
    <w:p w:rsidR="008912E8" w:rsidRPr="005865C9" w:rsidRDefault="008912E8" w:rsidP="008912E8">
      <w:pPr>
        <w:rPr>
          <w:i/>
        </w:rPr>
      </w:pPr>
      <w:r w:rsidRPr="005865C9">
        <w:rPr>
          <w:i/>
        </w:rPr>
        <w:t>RMP evaluator’s comment</w:t>
      </w:r>
    </w:p>
    <w:p w:rsidR="00082286" w:rsidRDefault="007D0808" w:rsidP="007D0808">
      <w:r w:rsidRPr="005865C9">
        <w:t>This is considered acceptable in the context of this application for RMP purposes, subject to approval by the Delegate.</w:t>
      </w:r>
    </w:p>
    <w:p w:rsidR="005865C9" w:rsidRPr="005865C9" w:rsidRDefault="005865C9" w:rsidP="005865C9">
      <w:pPr>
        <w:pStyle w:val="Heading5"/>
        <w:rPr>
          <w:lang w:eastAsia="en-AU"/>
        </w:rPr>
      </w:pPr>
      <w:r w:rsidRPr="005865C9">
        <w:rPr>
          <w:lang w:eastAsia="en-AU"/>
        </w:rPr>
        <w:t xml:space="preserve">Recommendation </w:t>
      </w:r>
      <w:r>
        <w:rPr>
          <w:lang w:eastAsia="en-AU"/>
        </w:rPr>
        <w:t>23</w:t>
      </w:r>
      <w:r w:rsidRPr="005865C9">
        <w:rPr>
          <w:lang w:eastAsia="en-AU"/>
        </w:rPr>
        <w:t xml:space="preserve"> in RMP report</w:t>
      </w:r>
    </w:p>
    <w:p w:rsidR="005865C9" w:rsidRPr="005865C9" w:rsidRDefault="005865C9" w:rsidP="005865C9">
      <w:r w:rsidRPr="005865C9">
        <w:t>In the 'Precautions' section, the PI should include a statement that there is a dose-response relationship between paritaprevir (formerly veruprevir) and ALT, and that appropriate monitoring should occur.</w:t>
      </w:r>
    </w:p>
    <w:p w:rsidR="005865C9" w:rsidRPr="005865C9" w:rsidRDefault="005865C9" w:rsidP="005865C9">
      <w:pPr>
        <w:rPr>
          <w:i/>
        </w:rPr>
      </w:pPr>
      <w:r w:rsidRPr="005865C9">
        <w:rPr>
          <w:i/>
        </w:rPr>
        <w:t>Sponsor’s response</w:t>
      </w:r>
    </w:p>
    <w:p w:rsidR="005865C9" w:rsidRPr="005865C9" w:rsidRDefault="005865C9" w:rsidP="005865C9">
      <w:r w:rsidRPr="005865C9">
        <w:t>Proposed language has been added in the revised PI. The rationale for this language is included with the Australian PI response document.</w:t>
      </w:r>
    </w:p>
    <w:p w:rsidR="005865C9" w:rsidRPr="005865C9" w:rsidRDefault="005865C9" w:rsidP="005865C9">
      <w:pPr>
        <w:rPr>
          <w:i/>
        </w:rPr>
      </w:pPr>
      <w:r w:rsidRPr="005865C9">
        <w:rPr>
          <w:i/>
        </w:rPr>
        <w:t>RMP evaluator’s comment</w:t>
      </w:r>
    </w:p>
    <w:p w:rsidR="00082286" w:rsidRPr="005865C9" w:rsidRDefault="005865C9" w:rsidP="007D0808">
      <w:r w:rsidRPr="005865C9">
        <w:t>This is considered acceptable in the context of this application for RMP purposes, subject to approval by the Delegate.</w:t>
      </w:r>
    </w:p>
    <w:p w:rsidR="008912E8" w:rsidRPr="005865C9" w:rsidRDefault="008912E8" w:rsidP="008912E8">
      <w:pPr>
        <w:pStyle w:val="Heading5"/>
        <w:rPr>
          <w:lang w:eastAsia="en-AU"/>
        </w:rPr>
      </w:pPr>
      <w:r w:rsidRPr="005865C9">
        <w:rPr>
          <w:lang w:eastAsia="en-AU"/>
        </w:rPr>
        <w:t>Recommendation 2</w:t>
      </w:r>
      <w:r w:rsidR="005865C9" w:rsidRPr="005865C9">
        <w:rPr>
          <w:lang w:eastAsia="en-AU"/>
        </w:rPr>
        <w:t>4</w:t>
      </w:r>
      <w:r w:rsidRPr="005865C9">
        <w:rPr>
          <w:lang w:eastAsia="en-AU"/>
        </w:rPr>
        <w:t xml:space="preserve"> in RMP report</w:t>
      </w:r>
    </w:p>
    <w:p w:rsidR="008912E8" w:rsidRPr="005865C9" w:rsidRDefault="007D0808" w:rsidP="005865C9">
      <w:r w:rsidRPr="005865C9">
        <w:t>In the 'Precautions' section, the PI should include a statement regarding the efficacy of hormonal contraception when u</w:t>
      </w:r>
      <w:r w:rsidR="00A85FC4" w:rsidRPr="005865C9">
        <w:t xml:space="preserve">sed in conjunction with Viekira </w:t>
      </w:r>
      <w:r w:rsidRPr="005865C9">
        <w:t>Pak</w:t>
      </w:r>
      <w:r w:rsidR="005865C9" w:rsidRPr="005865C9">
        <w:t>-RBV and the need for non-hormonal contraception, where hormonal contraception is not effective.</w:t>
      </w:r>
    </w:p>
    <w:p w:rsidR="008912E8" w:rsidRPr="005865C9" w:rsidRDefault="008912E8" w:rsidP="008912E8">
      <w:pPr>
        <w:rPr>
          <w:i/>
        </w:rPr>
      </w:pPr>
      <w:r w:rsidRPr="005865C9">
        <w:rPr>
          <w:i/>
        </w:rPr>
        <w:t>Sponsor’s response</w:t>
      </w:r>
    </w:p>
    <w:p w:rsidR="008912E8" w:rsidRPr="005865C9" w:rsidRDefault="007D0808" w:rsidP="007D0808">
      <w:r w:rsidRPr="005865C9">
        <w:t>The PI has been revised to includ</w:t>
      </w:r>
      <w:r w:rsidR="00A85FC4" w:rsidRPr="005865C9">
        <w:t xml:space="preserve">e language about the use of non </w:t>
      </w:r>
      <w:r w:rsidRPr="005865C9">
        <w:t>ethinyl estradio</w:t>
      </w:r>
      <w:r w:rsidR="00A85FC4" w:rsidRPr="005865C9">
        <w:t xml:space="preserve">l </w:t>
      </w:r>
      <w:r w:rsidRPr="005865C9">
        <w:t xml:space="preserve">containing contraceptives or non-hormonal contraceptive methods. See the response to recommendation </w:t>
      </w:r>
      <w:r w:rsidR="00237CBE">
        <w:t>8</w:t>
      </w:r>
      <w:r w:rsidRPr="005865C9">
        <w:t xml:space="preserve"> regarding efficacy of hormonal contraception.</w:t>
      </w:r>
    </w:p>
    <w:p w:rsidR="008912E8" w:rsidRPr="005865C9" w:rsidRDefault="008912E8" w:rsidP="008912E8">
      <w:pPr>
        <w:rPr>
          <w:i/>
        </w:rPr>
      </w:pPr>
      <w:r w:rsidRPr="005865C9">
        <w:rPr>
          <w:i/>
        </w:rPr>
        <w:t>RMP evaluator’s comment</w:t>
      </w:r>
    </w:p>
    <w:p w:rsidR="008912E8" w:rsidRPr="005865C9" w:rsidRDefault="007D0808" w:rsidP="007D0808">
      <w:r w:rsidRPr="005865C9">
        <w:t>This is considered acceptable in the context of this application for RMP purposes, subject to approval by the Delegate.</w:t>
      </w:r>
    </w:p>
    <w:p w:rsidR="008912E8" w:rsidRPr="005865C9" w:rsidRDefault="00F15515" w:rsidP="008912E8">
      <w:pPr>
        <w:pStyle w:val="Heading5"/>
        <w:rPr>
          <w:lang w:eastAsia="en-AU"/>
        </w:rPr>
      </w:pPr>
      <w:r>
        <w:rPr>
          <w:lang w:eastAsia="en-AU"/>
        </w:rPr>
        <w:lastRenderedPageBreak/>
        <w:t>Recommendation 25</w:t>
      </w:r>
      <w:r w:rsidR="008912E8" w:rsidRPr="005865C9">
        <w:rPr>
          <w:lang w:eastAsia="en-AU"/>
        </w:rPr>
        <w:t xml:space="preserve"> in RMP report</w:t>
      </w:r>
    </w:p>
    <w:p w:rsidR="008912E8" w:rsidRPr="005865C9" w:rsidRDefault="00AD64E5" w:rsidP="008912E8">
      <w:r w:rsidRPr="005865C9">
        <w:t>In the 'Precautions' section, under 'Use in the Elderly', the PI should include a statement that safety and efficacy have not been established in patients over 70 years (or a statement to that effect).</w:t>
      </w:r>
    </w:p>
    <w:p w:rsidR="008912E8" w:rsidRPr="005865C9" w:rsidRDefault="008912E8" w:rsidP="008912E8">
      <w:pPr>
        <w:rPr>
          <w:i/>
        </w:rPr>
      </w:pPr>
      <w:r w:rsidRPr="005865C9">
        <w:rPr>
          <w:i/>
        </w:rPr>
        <w:t>Sponsor’s response</w:t>
      </w:r>
    </w:p>
    <w:p w:rsidR="00AD64E5" w:rsidRPr="005865C9" w:rsidRDefault="00AD64E5" w:rsidP="00AD64E5">
      <w:r w:rsidRPr="005865C9">
        <w:t xml:space="preserve">The following statement has been added to the PI: "The safety and effectiveness of </w:t>
      </w:r>
      <w:r w:rsidR="00A85FC4" w:rsidRPr="005865C9">
        <w:t>Viekira </w:t>
      </w:r>
      <w:r w:rsidR="003A33A4" w:rsidRPr="005865C9">
        <w:t>Pak</w:t>
      </w:r>
      <w:r w:rsidRPr="005865C9">
        <w:t xml:space="preserve"> has not been established in patients aged 70 years or over."</w:t>
      </w:r>
    </w:p>
    <w:p w:rsidR="008912E8" w:rsidRPr="005865C9" w:rsidRDefault="008912E8" w:rsidP="008912E8">
      <w:pPr>
        <w:rPr>
          <w:i/>
        </w:rPr>
      </w:pPr>
      <w:r w:rsidRPr="005865C9">
        <w:rPr>
          <w:i/>
        </w:rPr>
        <w:t>RMP evaluator’s comment</w:t>
      </w:r>
    </w:p>
    <w:p w:rsidR="00AD64E5" w:rsidRPr="005865C9" w:rsidRDefault="00AD64E5" w:rsidP="00AD64E5">
      <w:r w:rsidRPr="005865C9">
        <w:t>This is considered acceptable in the context of this application for RMP purposes, subject to approval by the Delegate.</w:t>
      </w:r>
    </w:p>
    <w:p w:rsidR="008912E8" w:rsidRPr="005865C9" w:rsidRDefault="00F15515" w:rsidP="008912E8">
      <w:pPr>
        <w:pStyle w:val="Heading5"/>
        <w:rPr>
          <w:lang w:eastAsia="en-AU"/>
        </w:rPr>
      </w:pPr>
      <w:r>
        <w:rPr>
          <w:lang w:eastAsia="en-AU"/>
        </w:rPr>
        <w:t>Recommendation 26</w:t>
      </w:r>
      <w:r w:rsidR="008912E8" w:rsidRPr="005865C9">
        <w:rPr>
          <w:lang w:eastAsia="en-AU"/>
        </w:rPr>
        <w:t xml:space="preserve"> in RMP report</w:t>
      </w:r>
    </w:p>
    <w:p w:rsidR="008912E8" w:rsidRPr="005865C9" w:rsidRDefault="00AD64E5" w:rsidP="008912E8">
      <w:r w:rsidRPr="005865C9">
        <w:t>In the 'Precautions' section, under 'Use in the Elderly', the PI should include a statement on the experience in patients over 65 years.</w:t>
      </w:r>
    </w:p>
    <w:p w:rsidR="008912E8" w:rsidRPr="005865C9" w:rsidRDefault="008912E8" w:rsidP="008912E8">
      <w:pPr>
        <w:rPr>
          <w:i/>
        </w:rPr>
      </w:pPr>
      <w:r w:rsidRPr="005865C9">
        <w:rPr>
          <w:i/>
        </w:rPr>
        <w:t>Sponsor’s response</w:t>
      </w:r>
    </w:p>
    <w:p w:rsidR="00AD64E5" w:rsidRPr="005865C9" w:rsidRDefault="00AD64E5" w:rsidP="00AD64E5">
      <w:r w:rsidRPr="005865C9">
        <w:t>The following information is included in the "Precautions" section under "Use in the Elderly:"</w:t>
      </w:r>
    </w:p>
    <w:p w:rsidR="008912E8" w:rsidRPr="005865C9" w:rsidRDefault="00AD64E5" w:rsidP="00AD64E5">
      <w:r w:rsidRPr="005865C9">
        <w:t xml:space="preserve">No dose adjustment of </w:t>
      </w:r>
      <w:r w:rsidR="003A33A4" w:rsidRPr="005865C9">
        <w:t>Viekira Pak</w:t>
      </w:r>
      <w:r w:rsidRPr="005865C9">
        <w:t xml:space="preserve"> is warranted</w:t>
      </w:r>
      <w:r w:rsidR="00A85FC4" w:rsidRPr="005865C9">
        <w:t xml:space="preserve"> in elderly patients. In Phase III clinical trials, 8.5% (174 out of </w:t>
      </w:r>
      <w:r w:rsidRPr="005865C9">
        <w:t>2</w:t>
      </w:r>
      <w:r w:rsidR="00427E0D" w:rsidRPr="005865C9">
        <w:t>,</w:t>
      </w:r>
      <w:r w:rsidRPr="005865C9">
        <w:t xml:space="preserve">053) of subjects were age 65 or over. No overall differences in safety or effectiveness were observed between these subjects and younger subjects, and other reported clinical experience has not identified differences in responses between the elderly and younger subjects. The safety and effectiveness of </w:t>
      </w:r>
      <w:r w:rsidR="003A33A4" w:rsidRPr="005865C9">
        <w:t>Viekira Pak</w:t>
      </w:r>
      <w:r w:rsidRPr="005865C9">
        <w:t xml:space="preserve"> has not been established in patients aged 70 years or over.</w:t>
      </w:r>
    </w:p>
    <w:p w:rsidR="008912E8" w:rsidRPr="005865C9" w:rsidRDefault="008912E8" w:rsidP="008912E8">
      <w:pPr>
        <w:rPr>
          <w:i/>
        </w:rPr>
      </w:pPr>
      <w:r w:rsidRPr="005865C9">
        <w:rPr>
          <w:i/>
        </w:rPr>
        <w:t>RMP evaluator’s comment</w:t>
      </w:r>
    </w:p>
    <w:p w:rsidR="008912E8" w:rsidRPr="005865C9" w:rsidRDefault="00AD64E5" w:rsidP="00AD64E5">
      <w:r w:rsidRPr="005865C9">
        <w:t>This is considered acceptable in the context of this application for RMP purposes, subject to approval by the Delegate.</w:t>
      </w:r>
    </w:p>
    <w:p w:rsidR="008912E8" w:rsidRPr="005865C9" w:rsidRDefault="008912E8" w:rsidP="008912E8">
      <w:pPr>
        <w:pStyle w:val="Heading5"/>
        <w:rPr>
          <w:lang w:eastAsia="en-AU"/>
        </w:rPr>
      </w:pPr>
      <w:r w:rsidRPr="005865C9">
        <w:rPr>
          <w:lang w:eastAsia="en-AU"/>
        </w:rPr>
        <w:t>Recommendation 2</w:t>
      </w:r>
      <w:r w:rsidR="00F15515">
        <w:rPr>
          <w:lang w:eastAsia="en-AU"/>
        </w:rPr>
        <w:t>7</w:t>
      </w:r>
      <w:r w:rsidRPr="005865C9">
        <w:rPr>
          <w:lang w:eastAsia="en-AU"/>
        </w:rPr>
        <w:t xml:space="preserve"> in RMP report</w:t>
      </w:r>
    </w:p>
    <w:p w:rsidR="008912E8" w:rsidRPr="00F15515" w:rsidRDefault="00AD64E5" w:rsidP="00AD64E5">
      <w:r w:rsidRPr="00F15515">
        <w:t xml:space="preserve">In the 'Precautions' section, under 'Use in Pregnancy', the sponsor should determine the pregnancy category in conjunction with the </w:t>
      </w:r>
      <w:r w:rsidR="008C7CF5" w:rsidRPr="00F15515">
        <w:t>nonclinical evaluator</w:t>
      </w:r>
      <w:r w:rsidRPr="00F15515">
        <w:t>. It is noted that the sponsor is pr</w:t>
      </w:r>
      <w:r w:rsidR="00A85FC4" w:rsidRPr="00F15515">
        <w:t xml:space="preserve">oposing category B1 for Viekira </w:t>
      </w:r>
      <w:r w:rsidRPr="00F15515">
        <w:t>Pak without ribavirin, even though ritonavir is classified as c</w:t>
      </w:r>
      <w:r w:rsidR="00A85FC4" w:rsidRPr="00F15515">
        <w:t>ategory B3</w:t>
      </w:r>
      <w:r w:rsidR="008C7CF5" w:rsidRPr="00F15515">
        <w:t>.</w:t>
      </w:r>
    </w:p>
    <w:p w:rsidR="008912E8" w:rsidRPr="00F15515" w:rsidRDefault="008912E8" w:rsidP="008912E8">
      <w:pPr>
        <w:rPr>
          <w:i/>
        </w:rPr>
      </w:pPr>
      <w:r w:rsidRPr="00F15515">
        <w:rPr>
          <w:i/>
        </w:rPr>
        <w:t>Sponsor’s response</w:t>
      </w:r>
    </w:p>
    <w:p w:rsidR="008912E8" w:rsidRPr="00803012" w:rsidRDefault="00AD64E5" w:rsidP="00AD64E5">
      <w:r w:rsidRPr="00803012">
        <w:t>AbbVie believes that the Pregnancy Category of B1 for Viekira Pak without ribavirin is appropriate given current available information for ritonavir from the Antivir</w:t>
      </w:r>
      <w:r w:rsidR="00F15515" w:rsidRPr="00803012">
        <w:t>al Pregnancy Registry database.</w:t>
      </w:r>
    </w:p>
    <w:p w:rsidR="00F15515" w:rsidRPr="00803012" w:rsidRDefault="00F15515" w:rsidP="00F15515">
      <w:r w:rsidRPr="00F15515">
        <w:t>Ritonavir was classified as B3 based on the animal data presented to the agency in the original filing. Developmental toxicity in embryofetal development studies with ritonavir alone was limited to dosages that were maternally toxic in both species rat and rabbit. Additional human data are available now from the Antiviral Pregnancy Registry (APR). The antiviral pregnancy registry interim report, December 2014 is located at: www.apregistry.com/forms/interim_report.pdf. These data is outlined below and is considered to supersede the animal data for ritonavir.</w:t>
      </w:r>
    </w:p>
    <w:p w:rsidR="00F15515" w:rsidRPr="00F15515" w:rsidRDefault="00F15515" w:rsidP="00F15515">
      <w:r w:rsidRPr="00F15515">
        <w:t>As of July 2014, the APR has received reports of 5</w:t>
      </w:r>
      <w:r w:rsidR="00237CBE">
        <w:t>,</w:t>
      </w:r>
      <w:r w:rsidRPr="00F15515">
        <w:t>634 exposures to ritonavir containing regimens (2</w:t>
      </w:r>
      <w:r w:rsidR="00237CBE">
        <w:t>,</w:t>
      </w:r>
      <w:r w:rsidRPr="00F15515">
        <w:t>542 exposed in the first trimester and 3</w:t>
      </w:r>
      <w:r w:rsidR="00237CBE">
        <w:t>,</w:t>
      </w:r>
      <w:r w:rsidRPr="00F15515">
        <w:t>092 exposed in the second and third trimester). Birth defects occurred in 60 of the 2</w:t>
      </w:r>
      <w:r w:rsidR="00237CBE">
        <w:t>,</w:t>
      </w:r>
      <w:r w:rsidRPr="00F15515">
        <w:t>542 (2.4%) live birth (first trimester exposure) and 90 of the 3</w:t>
      </w:r>
      <w:r w:rsidR="00237CBE">
        <w:t>,</w:t>
      </w:r>
      <w:r w:rsidRPr="00F15515">
        <w:t xml:space="preserve">092 (2.9%) live births (second/third trimester exposure). This proportion is not significantly higher than those reported in the Registry's two population </w:t>
      </w:r>
      <w:r w:rsidRPr="00F15515">
        <w:lastRenderedPageBreak/>
        <w:t xml:space="preserve">base comparators, the </w:t>
      </w:r>
      <w:r w:rsidR="00237CBE" w:rsidRPr="00F15515">
        <w:t>Centre</w:t>
      </w:r>
      <w:r w:rsidRPr="00F15515">
        <w:t xml:space="preserve"> for Disease Control (CDC) birth defects surveillance system (2.72 per 100 lives birth; 95% confidence interval) and the Texas Birth defects registry (TBDR)(4.17 per 100 live births). The APR has sufficient numbers of first trimester pregnancy exp</w:t>
      </w:r>
      <w:r w:rsidR="00237CBE">
        <w:t xml:space="preserve">osures to detect at least a 1.5 </w:t>
      </w:r>
      <w:r w:rsidRPr="00F15515">
        <w:t>fold increase in risk o</w:t>
      </w:r>
      <w:r w:rsidR="00237CBE">
        <w:t xml:space="preserve">f overall birth defects and a 2 </w:t>
      </w:r>
      <w:r w:rsidRPr="00F15515">
        <w:t>fold increase in risk of birth defects in the more common classes as cardiovascular and genitourinary systems. The APR finds no apparent increases in frequency of specific defects with first trimester exposures and no pattern to suggest a common cause. Additionally, there was no association of ritonavir with cryptorchidism.</w:t>
      </w:r>
    </w:p>
    <w:p w:rsidR="00F15515" w:rsidRPr="00803012" w:rsidRDefault="00F15515" w:rsidP="00AD64E5">
      <w:r w:rsidRPr="00F15515">
        <w:t>Given that the ritonavir pregnancy registry data indicated no increased frequency of birth defects and the absence of fetal findings associated with paritaprevir/ritonavir in embryofetal development toxicity studies, AbbVie considers the initial Viekira Pak pregnancy category conclusions (B1) to be reasonable.</w:t>
      </w:r>
    </w:p>
    <w:p w:rsidR="008912E8" w:rsidRPr="00803012" w:rsidRDefault="008912E8" w:rsidP="008912E8">
      <w:pPr>
        <w:rPr>
          <w:i/>
        </w:rPr>
      </w:pPr>
      <w:r w:rsidRPr="00803012">
        <w:rPr>
          <w:i/>
        </w:rPr>
        <w:t>RMP evaluator’s comment</w:t>
      </w:r>
    </w:p>
    <w:p w:rsidR="00803012" w:rsidRPr="00803012" w:rsidRDefault="00803012" w:rsidP="00803012">
      <w:r w:rsidRPr="00803012">
        <w:t xml:space="preserve">The sponsor should </w:t>
      </w:r>
      <w:r>
        <w:t xml:space="preserve">remove reference to the Viekira </w:t>
      </w:r>
      <w:r w:rsidRPr="00803012">
        <w:t>Pak preg</w:t>
      </w:r>
      <w:r>
        <w:t>nancy category from the Viekira Pak-</w:t>
      </w:r>
      <w:r w:rsidRPr="00803012">
        <w:t>RBV PI document.</w:t>
      </w:r>
    </w:p>
    <w:p w:rsidR="008912E8" w:rsidRPr="00803012" w:rsidRDefault="00803012" w:rsidP="00A85FC4">
      <w:r w:rsidRPr="00803012">
        <w:t xml:space="preserve">The pregnancy category will be determined by the </w:t>
      </w:r>
      <w:r>
        <w:t>nonclinical evaluator</w:t>
      </w:r>
      <w:r w:rsidRPr="00803012">
        <w:t>.</w:t>
      </w:r>
    </w:p>
    <w:p w:rsidR="008912E8" w:rsidRPr="00803012" w:rsidRDefault="008912E8" w:rsidP="008912E8">
      <w:pPr>
        <w:pStyle w:val="Heading5"/>
        <w:rPr>
          <w:lang w:eastAsia="en-AU"/>
        </w:rPr>
      </w:pPr>
      <w:r w:rsidRPr="00803012">
        <w:rPr>
          <w:lang w:eastAsia="en-AU"/>
        </w:rPr>
        <w:t>Recommendation 2</w:t>
      </w:r>
      <w:r w:rsidR="00803012" w:rsidRPr="00803012">
        <w:rPr>
          <w:lang w:eastAsia="en-AU"/>
        </w:rPr>
        <w:t>8</w:t>
      </w:r>
      <w:r w:rsidRPr="00803012">
        <w:rPr>
          <w:lang w:eastAsia="en-AU"/>
        </w:rPr>
        <w:t xml:space="preserve"> in RMP report</w:t>
      </w:r>
    </w:p>
    <w:p w:rsidR="008912E8" w:rsidRPr="00803012" w:rsidRDefault="007A53A4" w:rsidP="008912E8">
      <w:r w:rsidRPr="00803012">
        <w:t xml:space="preserve">In the "Interactions with other medicines: Potential for other drugs to affect </w:t>
      </w:r>
      <w:r w:rsidR="003A33A4" w:rsidRPr="00803012">
        <w:t>Viekira Pak</w:t>
      </w:r>
      <w:r w:rsidR="00A85FC4" w:rsidRPr="00803012">
        <w:t>”</w:t>
      </w:r>
      <w:r w:rsidRPr="00803012">
        <w:t xml:space="preserve"> section of the PI a statement should be included that CYP2C8 inhibitors can prolong the effect of dasabuvir and can increase the risk of experiencing AEs</w:t>
      </w:r>
      <w:r w:rsidR="00803012" w:rsidRPr="00803012">
        <w:t xml:space="preserve"> (or a statement to that effect)</w:t>
      </w:r>
      <w:r w:rsidRPr="00803012">
        <w:t>.</w:t>
      </w:r>
    </w:p>
    <w:p w:rsidR="008912E8" w:rsidRPr="00803012" w:rsidRDefault="008912E8" w:rsidP="008912E8">
      <w:pPr>
        <w:rPr>
          <w:i/>
        </w:rPr>
      </w:pPr>
      <w:r w:rsidRPr="00803012">
        <w:rPr>
          <w:i/>
        </w:rPr>
        <w:t>Sponsor’s response</w:t>
      </w:r>
    </w:p>
    <w:p w:rsidR="007A53A4" w:rsidRPr="00803012" w:rsidRDefault="007A53A4" w:rsidP="007A53A4">
      <w:r w:rsidRPr="00803012">
        <w:t>The following statement has been added to the "Interactions with other medicines" section: "Additionally, drugs that are strong CYP2C8 inhibitors may increase dasabuvir concentrations and can prolong the effect of dasabuvir potentially increasing the risk of dasabuvir related adverse effects."</w:t>
      </w:r>
    </w:p>
    <w:p w:rsidR="008912E8" w:rsidRPr="00803012" w:rsidRDefault="008912E8" w:rsidP="008912E8">
      <w:pPr>
        <w:rPr>
          <w:i/>
        </w:rPr>
      </w:pPr>
      <w:r w:rsidRPr="00803012">
        <w:rPr>
          <w:i/>
        </w:rPr>
        <w:t>RMP evaluator’s comment</w:t>
      </w:r>
    </w:p>
    <w:p w:rsidR="008912E8" w:rsidRPr="00803012" w:rsidRDefault="007A53A4" w:rsidP="007A53A4">
      <w:r w:rsidRPr="00803012">
        <w:t>This is considered acceptable in the context of this application for RMP purposes, subject to approval by the Delegate.</w:t>
      </w:r>
    </w:p>
    <w:p w:rsidR="008912E8" w:rsidRPr="00803012" w:rsidRDefault="00803012" w:rsidP="008912E8">
      <w:pPr>
        <w:pStyle w:val="Heading5"/>
        <w:rPr>
          <w:lang w:eastAsia="en-AU"/>
        </w:rPr>
      </w:pPr>
      <w:r w:rsidRPr="00803012">
        <w:rPr>
          <w:lang w:eastAsia="en-AU"/>
        </w:rPr>
        <w:t>Recommendation 29</w:t>
      </w:r>
      <w:r w:rsidR="008912E8" w:rsidRPr="00803012">
        <w:rPr>
          <w:lang w:eastAsia="en-AU"/>
        </w:rPr>
        <w:t xml:space="preserve"> in RMP report</w:t>
      </w:r>
    </w:p>
    <w:p w:rsidR="008912E8" w:rsidRPr="00803012" w:rsidRDefault="007A53A4" w:rsidP="007A53A4">
      <w:r w:rsidRPr="00803012">
        <w:t xml:space="preserve">In the 'Interactions with other medicines' section, under 'Potential for other drugs to affect </w:t>
      </w:r>
      <w:r w:rsidR="003A33A4" w:rsidRPr="00803012">
        <w:t>Viekira Pak</w:t>
      </w:r>
      <w:r w:rsidRPr="00803012">
        <w:t>', the PI should additionally state that CYP3A4 inducers can potentially increase the risk of experiencing AEs (or a statement to that effect).</w:t>
      </w:r>
    </w:p>
    <w:p w:rsidR="008912E8" w:rsidRPr="00803012" w:rsidRDefault="008912E8" w:rsidP="008912E8">
      <w:pPr>
        <w:rPr>
          <w:i/>
        </w:rPr>
      </w:pPr>
      <w:r w:rsidRPr="00803012">
        <w:rPr>
          <w:i/>
        </w:rPr>
        <w:t>Sponsor’s response</w:t>
      </w:r>
    </w:p>
    <w:p w:rsidR="008912E8" w:rsidRPr="00803012" w:rsidRDefault="007A53A4" w:rsidP="008912E8">
      <w:r w:rsidRPr="00803012">
        <w:t xml:space="preserve">The following statement has been added to the PI under the "Potential for other drugs to affect </w:t>
      </w:r>
      <w:r w:rsidR="003A33A4" w:rsidRPr="00803012">
        <w:t>Viekira Pak</w:t>
      </w:r>
      <w:r w:rsidRPr="00803012">
        <w:t>" heading: "CYP3A4 inducers can potentially increase the risk of experiencing adverse effects."</w:t>
      </w:r>
    </w:p>
    <w:p w:rsidR="008912E8" w:rsidRPr="00803012" w:rsidRDefault="008912E8" w:rsidP="008912E8">
      <w:pPr>
        <w:rPr>
          <w:i/>
        </w:rPr>
      </w:pPr>
      <w:r w:rsidRPr="00803012">
        <w:rPr>
          <w:i/>
        </w:rPr>
        <w:t>RMP evaluator’s comment</w:t>
      </w:r>
    </w:p>
    <w:p w:rsidR="008912E8" w:rsidRPr="00803012" w:rsidRDefault="007A53A4" w:rsidP="007A53A4">
      <w:r w:rsidRPr="00803012">
        <w:t>This is considered acceptable in the context of this application for RMP purposes, subject to approval by the Delegate.</w:t>
      </w:r>
    </w:p>
    <w:p w:rsidR="008912E8" w:rsidRPr="00803012" w:rsidRDefault="008912E8" w:rsidP="008912E8">
      <w:pPr>
        <w:pStyle w:val="Heading5"/>
        <w:rPr>
          <w:lang w:eastAsia="en-AU"/>
        </w:rPr>
      </w:pPr>
      <w:r w:rsidRPr="00803012">
        <w:rPr>
          <w:lang w:eastAsia="en-AU"/>
        </w:rPr>
        <w:t>Recom</w:t>
      </w:r>
      <w:r w:rsidR="00803012" w:rsidRPr="00803012">
        <w:rPr>
          <w:lang w:eastAsia="en-AU"/>
        </w:rPr>
        <w:t>mendation 30</w:t>
      </w:r>
      <w:r w:rsidRPr="00803012">
        <w:rPr>
          <w:lang w:eastAsia="en-AU"/>
        </w:rPr>
        <w:t xml:space="preserve"> in RMP report</w:t>
      </w:r>
    </w:p>
    <w:p w:rsidR="008912E8" w:rsidRPr="00803012" w:rsidRDefault="007A53A4" w:rsidP="007A53A4">
      <w:r w:rsidRPr="00803012">
        <w:t xml:space="preserve">In the 'Interactions with other medicines' section, under 'Potential for other drugs to affect </w:t>
      </w:r>
      <w:r w:rsidR="003A33A4" w:rsidRPr="00803012">
        <w:t>Viekira Pak</w:t>
      </w:r>
      <w:r w:rsidRPr="00803012">
        <w:t>', the PI should additionally include a statement that CYP3A4 inhibitors can potentially increase the</w:t>
      </w:r>
      <w:r w:rsidR="00A85FC4" w:rsidRPr="00803012">
        <w:t xml:space="preserve"> exposure to </w:t>
      </w:r>
      <w:r w:rsidR="00B76905" w:rsidRPr="00B76905">
        <w:t xml:space="preserve">paritaprevir </w:t>
      </w:r>
      <w:r w:rsidR="00A85FC4" w:rsidRPr="00803012">
        <w:t xml:space="preserve">up to 2 </w:t>
      </w:r>
      <w:r w:rsidRPr="00803012">
        <w:t>fold</w:t>
      </w:r>
      <w:r w:rsidR="00803012">
        <w:t xml:space="preserve"> (or a statement to that effect)</w:t>
      </w:r>
      <w:r w:rsidRPr="00803012">
        <w:t>.</w:t>
      </w:r>
    </w:p>
    <w:p w:rsidR="008912E8" w:rsidRPr="00803012" w:rsidRDefault="008912E8" w:rsidP="00803012">
      <w:pPr>
        <w:keepNext/>
        <w:rPr>
          <w:i/>
        </w:rPr>
      </w:pPr>
      <w:r w:rsidRPr="00803012">
        <w:rPr>
          <w:i/>
        </w:rPr>
        <w:lastRenderedPageBreak/>
        <w:t>Sponsor’s response</w:t>
      </w:r>
    </w:p>
    <w:p w:rsidR="008912E8" w:rsidRPr="00803012" w:rsidRDefault="007A53A4" w:rsidP="007A53A4">
      <w:r w:rsidRPr="00803012">
        <w:t xml:space="preserve">The following statement is included in the PI, immediately following the heading "Potential for other drugs to affect </w:t>
      </w:r>
      <w:r w:rsidR="003A33A4" w:rsidRPr="00803012">
        <w:t>Viekira Pak</w:t>
      </w:r>
      <w:r w:rsidRPr="00803012">
        <w:t xml:space="preserve">": "Co-administration of </w:t>
      </w:r>
      <w:r w:rsidR="003A33A4" w:rsidRPr="00803012">
        <w:t>Viekira Pak</w:t>
      </w:r>
      <w:r w:rsidRPr="00803012">
        <w:t xml:space="preserve"> with strong inhibitors of CYP3A may increase pari</w:t>
      </w:r>
      <w:r w:rsidR="00A85FC4" w:rsidRPr="00803012">
        <w:t xml:space="preserve">taprevir concentrations up to 2 </w:t>
      </w:r>
      <w:r w:rsidRPr="00803012">
        <w:t>fold."</w:t>
      </w:r>
    </w:p>
    <w:p w:rsidR="008912E8" w:rsidRPr="00803012" w:rsidRDefault="007A53A4" w:rsidP="008912E8">
      <w:pPr>
        <w:rPr>
          <w:i/>
        </w:rPr>
      </w:pPr>
      <w:r w:rsidRPr="00803012">
        <w:rPr>
          <w:i/>
        </w:rPr>
        <w:t>RMP evaluator’s comment</w:t>
      </w:r>
    </w:p>
    <w:p w:rsidR="007A53A4" w:rsidRPr="00803012" w:rsidRDefault="007A53A4" w:rsidP="007A53A4">
      <w:r w:rsidRPr="00803012">
        <w:t>This is considered acceptable in the context of this application for RMP purposes, subject to approval by the Delegate</w:t>
      </w:r>
    </w:p>
    <w:p w:rsidR="008912E8" w:rsidRPr="00803012" w:rsidRDefault="008912E8" w:rsidP="008912E8">
      <w:pPr>
        <w:pStyle w:val="Heading5"/>
        <w:rPr>
          <w:lang w:eastAsia="en-AU"/>
        </w:rPr>
      </w:pPr>
      <w:r w:rsidRPr="00803012">
        <w:rPr>
          <w:lang w:eastAsia="en-AU"/>
        </w:rPr>
        <w:t xml:space="preserve">Recommendation </w:t>
      </w:r>
      <w:r w:rsidR="00803012" w:rsidRPr="00803012">
        <w:rPr>
          <w:lang w:eastAsia="en-AU"/>
        </w:rPr>
        <w:t>31</w:t>
      </w:r>
      <w:r w:rsidRPr="00803012">
        <w:rPr>
          <w:lang w:eastAsia="en-AU"/>
        </w:rPr>
        <w:t xml:space="preserve"> in RMP report</w:t>
      </w:r>
    </w:p>
    <w:p w:rsidR="008912E8" w:rsidRPr="00803012" w:rsidRDefault="007A53A4" w:rsidP="007A53A4">
      <w:r w:rsidRPr="00803012">
        <w:t>In the 'Interactions with other medicines' section, the PI should additionally include representative examples of substrates of UGT1A1, BCRP, OATP1B1 and OATP1B3.</w:t>
      </w:r>
    </w:p>
    <w:p w:rsidR="008912E8" w:rsidRPr="00803012" w:rsidRDefault="008912E8" w:rsidP="008912E8">
      <w:pPr>
        <w:rPr>
          <w:i/>
        </w:rPr>
      </w:pPr>
      <w:r w:rsidRPr="00803012">
        <w:rPr>
          <w:i/>
        </w:rPr>
        <w:t>Sponsor’s response</w:t>
      </w:r>
    </w:p>
    <w:p w:rsidR="008912E8" w:rsidRPr="00803012" w:rsidRDefault="007A53A4" w:rsidP="008912E8">
      <w:r w:rsidRPr="00803012">
        <w:t>Representative examples of each of these substrates have been added to the PI: UGT1A1 (</w:t>
      </w:r>
      <w:r w:rsidR="00A85FC4" w:rsidRPr="00803012">
        <w:t>for example</w:t>
      </w:r>
      <w:r w:rsidRPr="00803012">
        <w:t>, raltegravir), BCRP (</w:t>
      </w:r>
      <w:r w:rsidR="00A85FC4" w:rsidRPr="00803012">
        <w:t>for example</w:t>
      </w:r>
      <w:r w:rsidRPr="00803012">
        <w:t>, rosuvastatin), OATP1B1 or OATP1B3 (</w:t>
      </w:r>
      <w:r w:rsidR="00A85FC4" w:rsidRPr="00803012">
        <w:t>for example</w:t>
      </w:r>
      <w:r w:rsidRPr="00803012">
        <w:t>, pravastatin).</w:t>
      </w:r>
    </w:p>
    <w:p w:rsidR="008912E8" w:rsidRPr="00803012" w:rsidRDefault="008912E8" w:rsidP="008912E8">
      <w:pPr>
        <w:rPr>
          <w:i/>
        </w:rPr>
      </w:pPr>
      <w:r w:rsidRPr="00803012">
        <w:rPr>
          <w:i/>
        </w:rPr>
        <w:t>RMP evaluator’s comment</w:t>
      </w:r>
    </w:p>
    <w:p w:rsidR="008912E8" w:rsidRPr="00803012" w:rsidRDefault="007A53A4" w:rsidP="007A53A4">
      <w:r w:rsidRPr="00803012">
        <w:t>This is considered acceptable in the context of this application for RMP purposes, subject to approval by the Delegate</w:t>
      </w:r>
    </w:p>
    <w:p w:rsidR="005F658B" w:rsidRDefault="005F658B" w:rsidP="005F658B">
      <w:pPr>
        <w:pStyle w:val="Heading5"/>
        <w:rPr>
          <w:lang w:eastAsia="en-AU"/>
        </w:rPr>
      </w:pPr>
      <w:r>
        <w:rPr>
          <w:lang w:eastAsia="en-AU"/>
        </w:rPr>
        <w:t>Recommendation 32 in RMP report</w:t>
      </w:r>
    </w:p>
    <w:p w:rsidR="005F658B" w:rsidRPr="005F658B" w:rsidRDefault="005F658B" w:rsidP="005F658B">
      <w:r w:rsidRPr="005F658B">
        <w:t>In the ‘Interactions with other medicines section Table 11’, the Delegate may consider requesting the sponsor to add a qualifying statement to the ‘rilpivirine’ inclusion. In the EU</w:t>
      </w:r>
      <w:r w:rsidR="007D369A">
        <w:t> </w:t>
      </w:r>
      <w:r w:rsidRPr="005F658B">
        <w:t>SmPC combination with Viekira Pak is not recommended as there is potential for QT interval prolongation with higher exposure with rilpivirine. As this combination may have a potential lethal outcome this information should be made available in the PI.</w:t>
      </w:r>
    </w:p>
    <w:p w:rsidR="005F658B" w:rsidRDefault="005F658B" w:rsidP="005F658B">
      <w:pPr>
        <w:rPr>
          <w:i/>
        </w:rPr>
      </w:pPr>
      <w:r>
        <w:rPr>
          <w:i/>
        </w:rPr>
        <w:t>Sponsor’s response</w:t>
      </w:r>
    </w:p>
    <w:p w:rsidR="005F658B" w:rsidRPr="005F658B" w:rsidRDefault="005F658B" w:rsidP="005F658B">
      <w:r w:rsidRPr="005F658B">
        <w:t>The following statement has been added to the end of Table 11 of the PI:</w:t>
      </w:r>
      <w:r>
        <w:t xml:space="preserve"> </w:t>
      </w:r>
      <w:r w:rsidRPr="005F658B">
        <w:t>"Co-administration of V</w:t>
      </w:r>
      <w:r w:rsidR="00237CBE" w:rsidRPr="005F658B">
        <w:t>iekira</w:t>
      </w:r>
      <w:r w:rsidRPr="005F658B">
        <w:t xml:space="preserve"> P</w:t>
      </w:r>
      <w:r w:rsidR="00237CBE" w:rsidRPr="005F658B">
        <w:t>ak</w:t>
      </w:r>
      <w:r w:rsidRPr="005F658B">
        <w:t>-RBV with rilpivirine once daily is not recommended due to potential for QT interval prolongation with higher exposures of rilpivirine."</w:t>
      </w:r>
    </w:p>
    <w:p w:rsidR="005F658B" w:rsidRDefault="005F658B" w:rsidP="005F658B">
      <w:pPr>
        <w:rPr>
          <w:i/>
        </w:rPr>
      </w:pPr>
      <w:r>
        <w:rPr>
          <w:i/>
        </w:rPr>
        <w:t>RMP evaluator’s comment</w:t>
      </w:r>
    </w:p>
    <w:p w:rsidR="00803012" w:rsidRPr="005F658B" w:rsidRDefault="005F658B" w:rsidP="005F658B">
      <w:pPr>
        <w:rPr>
          <w:highlight w:val="yellow"/>
        </w:rPr>
      </w:pPr>
      <w:r w:rsidRPr="005F658B">
        <w:t>This is considered acceptable in the context of this application for RMP purposes, subject to approval by the Delegate.</w:t>
      </w:r>
    </w:p>
    <w:p w:rsidR="00803012" w:rsidRPr="005F658B" w:rsidRDefault="005F658B" w:rsidP="005F658B">
      <w:pPr>
        <w:pStyle w:val="Heading5"/>
        <w:rPr>
          <w:lang w:eastAsia="en-AU"/>
        </w:rPr>
      </w:pPr>
      <w:r>
        <w:rPr>
          <w:lang w:eastAsia="en-AU"/>
        </w:rPr>
        <w:t>Recommendation 33 in RMP report</w:t>
      </w:r>
    </w:p>
    <w:p w:rsidR="005F658B" w:rsidRPr="005F658B" w:rsidRDefault="005F658B" w:rsidP="005F658B">
      <w:r w:rsidRPr="005F658B">
        <w:t>In the ‘Dosage and Administration’ section, the PI should display haemoglobin units as g/L rather than g/dL.</w:t>
      </w:r>
    </w:p>
    <w:p w:rsidR="005F658B" w:rsidRDefault="005F658B" w:rsidP="005F658B">
      <w:pPr>
        <w:rPr>
          <w:i/>
        </w:rPr>
      </w:pPr>
      <w:r>
        <w:rPr>
          <w:i/>
        </w:rPr>
        <w:t>Sponsor’s response</w:t>
      </w:r>
    </w:p>
    <w:p w:rsidR="005F658B" w:rsidRPr="005F658B" w:rsidRDefault="005F658B" w:rsidP="005F658B">
      <w:r w:rsidRPr="005F658B">
        <w:t>The haemoglobin units have been changed to g/L.</w:t>
      </w:r>
    </w:p>
    <w:p w:rsidR="005F658B" w:rsidRDefault="005F658B" w:rsidP="005F658B">
      <w:pPr>
        <w:rPr>
          <w:i/>
        </w:rPr>
      </w:pPr>
      <w:r>
        <w:rPr>
          <w:i/>
        </w:rPr>
        <w:t>RMP evaluator’s comment</w:t>
      </w:r>
    </w:p>
    <w:p w:rsidR="005F658B" w:rsidRPr="005F658B" w:rsidRDefault="005F658B" w:rsidP="005F658B">
      <w:pPr>
        <w:rPr>
          <w:highlight w:val="yellow"/>
        </w:rPr>
      </w:pPr>
      <w:r w:rsidRPr="005F658B">
        <w:t>This is considered acceptable in the context of this application for RMP purposes, subject to approval by the Delegate.</w:t>
      </w:r>
    </w:p>
    <w:p w:rsidR="008912E8" w:rsidRPr="005F658B" w:rsidRDefault="008912E8" w:rsidP="008912E8">
      <w:pPr>
        <w:pStyle w:val="Heading5"/>
        <w:rPr>
          <w:lang w:eastAsia="en-AU"/>
        </w:rPr>
      </w:pPr>
      <w:r w:rsidRPr="005F658B">
        <w:rPr>
          <w:lang w:eastAsia="en-AU"/>
        </w:rPr>
        <w:t xml:space="preserve">Recommendation </w:t>
      </w:r>
      <w:r w:rsidR="005F658B" w:rsidRPr="005F658B">
        <w:rPr>
          <w:lang w:eastAsia="en-AU"/>
        </w:rPr>
        <w:t>34</w:t>
      </w:r>
      <w:r w:rsidRPr="005F658B">
        <w:rPr>
          <w:lang w:eastAsia="en-AU"/>
        </w:rPr>
        <w:t xml:space="preserve"> in RMP report</w:t>
      </w:r>
    </w:p>
    <w:p w:rsidR="008912E8" w:rsidRPr="005F658B" w:rsidRDefault="00D67B18" w:rsidP="008912E8">
      <w:r w:rsidRPr="005F658B">
        <w:t>In the 'Dosage and Administration' section, the PI should contain a statement to swallow the Viekira Pak tablets whole (as per the EU SmPC).</w:t>
      </w:r>
    </w:p>
    <w:p w:rsidR="008912E8" w:rsidRPr="005F658B" w:rsidRDefault="008912E8" w:rsidP="00EA75EF">
      <w:pPr>
        <w:keepNext/>
        <w:rPr>
          <w:i/>
        </w:rPr>
      </w:pPr>
      <w:r w:rsidRPr="005F658B">
        <w:rPr>
          <w:i/>
        </w:rPr>
        <w:lastRenderedPageBreak/>
        <w:t>Sponsor’s response</w:t>
      </w:r>
    </w:p>
    <w:p w:rsidR="008912E8" w:rsidRPr="005F658B" w:rsidRDefault="00D67B18" w:rsidP="008912E8">
      <w:r w:rsidRPr="005F658B">
        <w:t>The following statement has been added to "Dosage and Administration" section: Patients should be instructed to swallow the tablets whole (</w:t>
      </w:r>
      <w:r w:rsidR="00640225" w:rsidRPr="005F658B">
        <w:t>that is</w:t>
      </w:r>
      <w:r w:rsidRPr="005F658B">
        <w:t>, patients should not chew, break or dissolve the tablet).</w:t>
      </w:r>
    </w:p>
    <w:p w:rsidR="008912E8" w:rsidRPr="005F658B" w:rsidRDefault="008912E8" w:rsidP="008912E8">
      <w:pPr>
        <w:rPr>
          <w:i/>
        </w:rPr>
      </w:pPr>
      <w:r w:rsidRPr="005F658B">
        <w:rPr>
          <w:i/>
        </w:rPr>
        <w:t>RMP evaluator’s comment</w:t>
      </w:r>
    </w:p>
    <w:p w:rsidR="00D67B18" w:rsidRPr="005F658B" w:rsidRDefault="00D67B18" w:rsidP="00D67B18">
      <w:r w:rsidRPr="005F658B">
        <w:t>This is considered acceptable in the context of this application for RMP purposes, subject to approval by the Delegate.</w:t>
      </w:r>
    </w:p>
    <w:p w:rsidR="008912E8" w:rsidRPr="005F658B" w:rsidRDefault="008912E8" w:rsidP="008912E8">
      <w:pPr>
        <w:pStyle w:val="Heading5"/>
        <w:rPr>
          <w:lang w:eastAsia="en-AU"/>
        </w:rPr>
      </w:pPr>
      <w:r w:rsidRPr="005F658B">
        <w:rPr>
          <w:lang w:eastAsia="en-AU"/>
        </w:rPr>
        <w:t xml:space="preserve">Recommendation </w:t>
      </w:r>
      <w:r w:rsidR="005F658B" w:rsidRPr="005F658B">
        <w:rPr>
          <w:lang w:eastAsia="en-AU"/>
        </w:rPr>
        <w:t>35</w:t>
      </w:r>
      <w:r w:rsidRPr="005F658B">
        <w:rPr>
          <w:lang w:eastAsia="en-AU"/>
        </w:rPr>
        <w:t xml:space="preserve"> in RMP report</w:t>
      </w:r>
    </w:p>
    <w:p w:rsidR="008912E8" w:rsidRPr="005F658B" w:rsidRDefault="00D67B18" w:rsidP="00D67B18">
      <w:r w:rsidRPr="005F658B">
        <w:t>In the 'Dosage and Administration' section, the PI should contain a statement on 'missed doses' (as per US Product Label, Health Canada Product Monograph and EU SmPC). The instructions specify 12 hours for the co-formulated tablet as the critical period, and 6 hours for the dasabuvir tablet.</w:t>
      </w:r>
    </w:p>
    <w:p w:rsidR="008912E8" w:rsidRPr="005F658B" w:rsidRDefault="008912E8" w:rsidP="008912E8">
      <w:pPr>
        <w:rPr>
          <w:i/>
        </w:rPr>
      </w:pPr>
      <w:r w:rsidRPr="005F658B">
        <w:rPr>
          <w:i/>
        </w:rPr>
        <w:t>Sponsor’s response</w:t>
      </w:r>
    </w:p>
    <w:p w:rsidR="00D67B18" w:rsidRPr="005F658B" w:rsidRDefault="00D67B18" w:rsidP="00D67B18">
      <w:r w:rsidRPr="005F658B">
        <w:t>The PI has been revised to include the following information under "Dosage and Administration:"</w:t>
      </w:r>
    </w:p>
    <w:p w:rsidR="00D67B18" w:rsidRPr="005F658B" w:rsidRDefault="00D67B18" w:rsidP="008C7CF5">
      <w:pPr>
        <w:ind w:left="720"/>
      </w:pPr>
      <w:r w:rsidRPr="005F658B">
        <w:t>Missed Dose</w:t>
      </w:r>
    </w:p>
    <w:p w:rsidR="00D67B18" w:rsidRPr="005F658B" w:rsidRDefault="00D67B18" w:rsidP="008C7CF5">
      <w:pPr>
        <w:ind w:left="720"/>
      </w:pPr>
      <w:r w:rsidRPr="005F658B">
        <w:t>Inform patients that in case a dose of paritaprevir, ritonavir, ombitasvir is missed, the prescribed dose can be taken within 12 hours.</w:t>
      </w:r>
    </w:p>
    <w:p w:rsidR="00D67B18" w:rsidRPr="005F658B" w:rsidRDefault="00D67B18" w:rsidP="008C7CF5">
      <w:pPr>
        <w:ind w:left="720"/>
      </w:pPr>
      <w:r w:rsidRPr="005F658B">
        <w:t>In case a dose of dasabuvir is missed, the prescribed dose can be taken within 6 hours.</w:t>
      </w:r>
    </w:p>
    <w:p w:rsidR="00D67B18" w:rsidRPr="005F658B" w:rsidRDefault="00D67B18" w:rsidP="008C7CF5">
      <w:pPr>
        <w:ind w:left="720"/>
      </w:pPr>
      <w:r w:rsidRPr="005F658B">
        <w:t>If more than 12 hours have passed since ombitasvir, paritaprevir, ritonavir is usually taken or more than 6 hours have passed since dasabuvir is usually taken, the missed dose should NOT be taken and the patient should take the next dose as per the usual dosing schedule.</w:t>
      </w:r>
    </w:p>
    <w:p w:rsidR="008912E8" w:rsidRPr="005F658B" w:rsidRDefault="00D67B18" w:rsidP="008C7CF5">
      <w:pPr>
        <w:ind w:left="720"/>
      </w:pPr>
      <w:r w:rsidRPr="005F658B">
        <w:t xml:space="preserve">Instruct patients not to take more than their prescribed dose of </w:t>
      </w:r>
      <w:r w:rsidR="003A33A4" w:rsidRPr="005F658B">
        <w:t>Viekira Pak</w:t>
      </w:r>
      <w:r w:rsidRPr="005F658B">
        <w:t xml:space="preserve"> to make up for a missed dose.</w:t>
      </w:r>
    </w:p>
    <w:p w:rsidR="008912E8" w:rsidRPr="005F658B" w:rsidRDefault="008912E8" w:rsidP="008912E8">
      <w:pPr>
        <w:rPr>
          <w:i/>
        </w:rPr>
      </w:pPr>
      <w:r w:rsidRPr="005F658B">
        <w:rPr>
          <w:i/>
        </w:rPr>
        <w:t>RMP evaluator’s comment</w:t>
      </w:r>
    </w:p>
    <w:p w:rsidR="00D67B18" w:rsidRPr="005F658B" w:rsidRDefault="00D67B18" w:rsidP="008912E8">
      <w:r w:rsidRPr="005F658B">
        <w:t>This is considered acceptable in the context of this application for RMP purposes, subject to approval by the Delegate.</w:t>
      </w:r>
    </w:p>
    <w:p w:rsidR="008912E8" w:rsidRPr="005F658B" w:rsidRDefault="005F658B" w:rsidP="008912E8">
      <w:pPr>
        <w:pStyle w:val="Heading5"/>
        <w:rPr>
          <w:lang w:eastAsia="en-AU"/>
        </w:rPr>
      </w:pPr>
      <w:r w:rsidRPr="005F658B">
        <w:rPr>
          <w:lang w:eastAsia="en-AU"/>
        </w:rPr>
        <w:t>Recommendation 36</w:t>
      </w:r>
      <w:r w:rsidR="008912E8" w:rsidRPr="005F658B">
        <w:rPr>
          <w:lang w:eastAsia="en-AU"/>
        </w:rPr>
        <w:t xml:space="preserve"> in RMP report</w:t>
      </w:r>
    </w:p>
    <w:p w:rsidR="008912E8" w:rsidRPr="005F658B" w:rsidRDefault="00D67B18" w:rsidP="008912E8">
      <w:r w:rsidRPr="005F658B">
        <w:t>In the 'Dosage and Administration' section, the PI should contain a statement that while no dose adjustment of Viekira Pak is required for patients with mild renal impairment, there is no efficacy and safety data to support its administration in patients with moderate or severe renal impairment (or a statement to that effect).</w:t>
      </w:r>
    </w:p>
    <w:p w:rsidR="008912E8" w:rsidRPr="005F658B" w:rsidRDefault="008912E8" w:rsidP="008912E8">
      <w:pPr>
        <w:rPr>
          <w:i/>
        </w:rPr>
      </w:pPr>
      <w:r w:rsidRPr="005F658B">
        <w:rPr>
          <w:i/>
        </w:rPr>
        <w:t>Sponsor’s response</w:t>
      </w:r>
    </w:p>
    <w:p w:rsidR="008912E8" w:rsidRPr="005F658B" w:rsidRDefault="00D67B18" w:rsidP="008912E8">
      <w:r w:rsidRPr="005F658B">
        <w:t>This change has been made.</w:t>
      </w:r>
    </w:p>
    <w:p w:rsidR="008912E8" w:rsidRPr="005F658B" w:rsidRDefault="008912E8" w:rsidP="008912E8">
      <w:pPr>
        <w:rPr>
          <w:i/>
        </w:rPr>
      </w:pPr>
      <w:r w:rsidRPr="005F658B">
        <w:rPr>
          <w:i/>
        </w:rPr>
        <w:t>RMP evaluator’s comment</w:t>
      </w:r>
    </w:p>
    <w:p w:rsidR="008912E8" w:rsidRPr="005F658B" w:rsidRDefault="00D67B18" w:rsidP="00D67B18">
      <w:r w:rsidRPr="005F658B">
        <w:t>This is considered acceptable in the context of this application for RMP purposes, subject to approval by the Delegate.</w:t>
      </w:r>
    </w:p>
    <w:p w:rsidR="008912E8" w:rsidRPr="005F658B" w:rsidRDefault="008912E8" w:rsidP="008912E8">
      <w:pPr>
        <w:pStyle w:val="Heading5"/>
        <w:rPr>
          <w:lang w:eastAsia="en-AU"/>
        </w:rPr>
      </w:pPr>
      <w:r w:rsidRPr="005F658B">
        <w:rPr>
          <w:lang w:eastAsia="en-AU"/>
        </w:rPr>
        <w:t>Recommendation 3</w:t>
      </w:r>
      <w:r w:rsidR="005F658B" w:rsidRPr="005F658B">
        <w:rPr>
          <w:lang w:eastAsia="en-AU"/>
        </w:rPr>
        <w:t>7</w:t>
      </w:r>
      <w:r w:rsidRPr="005F658B">
        <w:rPr>
          <w:lang w:eastAsia="en-AU"/>
        </w:rPr>
        <w:t xml:space="preserve"> in RMP report</w:t>
      </w:r>
    </w:p>
    <w:p w:rsidR="005F658B" w:rsidRPr="005F658B" w:rsidRDefault="005F658B" w:rsidP="005F658B">
      <w:r w:rsidRPr="005F658B">
        <w:t>In the ‘Adverse Events’ section, the PI should include adverse events from all studies and other reliable sources.</w:t>
      </w:r>
    </w:p>
    <w:p w:rsidR="008912E8" w:rsidRPr="005F658B" w:rsidRDefault="008912E8" w:rsidP="008912E8">
      <w:pPr>
        <w:rPr>
          <w:i/>
        </w:rPr>
      </w:pPr>
      <w:r w:rsidRPr="005F658B">
        <w:rPr>
          <w:i/>
        </w:rPr>
        <w:t>Sponsor’s response</w:t>
      </w:r>
    </w:p>
    <w:p w:rsidR="00E250EA" w:rsidRPr="00E250EA" w:rsidRDefault="00E250EA" w:rsidP="00E250EA">
      <w:r w:rsidRPr="00E250EA">
        <w:lastRenderedPageBreak/>
        <w:t xml:space="preserve">The Australian PI contains data from available clinical trials with the DAA regimen. This includes adverse events from the All Treated Analysis set of the ISS, which includes all subjects administered the ombitasvir, paritaprevir/ritonavir and dasabuvir with or without RBV at the doses approved (or higher) for any duration in Phase </w:t>
      </w:r>
      <w:r>
        <w:t>II</w:t>
      </w:r>
      <w:r w:rsidRPr="00E250EA">
        <w:t xml:space="preserve"> or </w:t>
      </w:r>
      <w:r>
        <w:t>III</w:t>
      </w:r>
      <w:r w:rsidRPr="00E250EA">
        <w:t xml:space="preserve"> clinical trials.</w:t>
      </w:r>
    </w:p>
    <w:p w:rsidR="00E250EA" w:rsidRPr="00E250EA" w:rsidRDefault="00E250EA" w:rsidP="00E250EA">
      <w:r w:rsidRPr="00E250EA">
        <w:t>As new information becomes available from other sources, including the post</w:t>
      </w:r>
      <w:r w:rsidR="00237CBE">
        <w:t>-</w:t>
      </w:r>
      <w:r w:rsidRPr="00E250EA">
        <w:t>marketing period, the adverse event section of the PI will be updated, as appropriate, based on AbbVie's routine pharmacovigilance activities.</w:t>
      </w:r>
    </w:p>
    <w:p w:rsidR="008912E8" w:rsidRPr="005F658B" w:rsidRDefault="008912E8" w:rsidP="008912E8">
      <w:pPr>
        <w:rPr>
          <w:i/>
        </w:rPr>
      </w:pPr>
      <w:r w:rsidRPr="005F658B">
        <w:rPr>
          <w:i/>
        </w:rPr>
        <w:t>RMP evaluator’s comment</w:t>
      </w:r>
    </w:p>
    <w:p w:rsidR="00D67B18" w:rsidRPr="005F658B" w:rsidRDefault="00D67B18" w:rsidP="00D67B18">
      <w:r w:rsidRPr="005F658B">
        <w:t>This is considered acceptable in the context of this application for RMP purposes, subject to approval by the Delegate.</w:t>
      </w:r>
    </w:p>
    <w:p w:rsidR="008912E8" w:rsidRPr="00E250EA" w:rsidRDefault="00E250EA" w:rsidP="008912E8">
      <w:pPr>
        <w:pStyle w:val="Heading5"/>
        <w:rPr>
          <w:lang w:eastAsia="en-AU"/>
        </w:rPr>
      </w:pPr>
      <w:r w:rsidRPr="00E250EA">
        <w:rPr>
          <w:lang w:eastAsia="en-AU"/>
        </w:rPr>
        <w:t>Recommendation 38</w:t>
      </w:r>
      <w:r w:rsidR="008912E8" w:rsidRPr="00E250EA">
        <w:rPr>
          <w:lang w:eastAsia="en-AU"/>
        </w:rPr>
        <w:t xml:space="preserve"> in RMP report</w:t>
      </w:r>
    </w:p>
    <w:p w:rsidR="008912E8" w:rsidRPr="00E250EA" w:rsidRDefault="00D67B18" w:rsidP="008912E8">
      <w:r w:rsidRPr="00E250EA">
        <w:t>In regard to the proposed routine risk minimisation activities, it is recommended to the Delegate that the draft consumer medicines information document be revised to accommodate the changes made to the product information document.</w:t>
      </w:r>
    </w:p>
    <w:p w:rsidR="008912E8" w:rsidRPr="00E250EA" w:rsidRDefault="008912E8" w:rsidP="008912E8">
      <w:pPr>
        <w:rPr>
          <w:i/>
        </w:rPr>
      </w:pPr>
      <w:r w:rsidRPr="00E250EA">
        <w:rPr>
          <w:i/>
        </w:rPr>
        <w:t>Sponsor’s response</w:t>
      </w:r>
    </w:p>
    <w:p w:rsidR="008912E8" w:rsidRPr="00E250EA" w:rsidRDefault="00D67B18" w:rsidP="00D67B18">
      <w:r w:rsidRPr="00E250EA">
        <w:t xml:space="preserve">The </w:t>
      </w:r>
      <w:r w:rsidR="00427E0D" w:rsidRPr="00E250EA">
        <w:t>CMI</w:t>
      </w:r>
      <w:r w:rsidRPr="00E250EA">
        <w:t xml:space="preserve"> document will be updated appropriately.</w:t>
      </w:r>
    </w:p>
    <w:p w:rsidR="008912E8" w:rsidRPr="00E250EA" w:rsidRDefault="008912E8" w:rsidP="008912E8">
      <w:pPr>
        <w:rPr>
          <w:i/>
        </w:rPr>
      </w:pPr>
      <w:r w:rsidRPr="00E250EA">
        <w:rPr>
          <w:i/>
        </w:rPr>
        <w:t>RMP evaluator’s comment</w:t>
      </w:r>
    </w:p>
    <w:p w:rsidR="002359BE" w:rsidRPr="00E250EA" w:rsidRDefault="00D67B18" w:rsidP="002359BE">
      <w:r w:rsidRPr="00E250EA">
        <w:t>This is considered acceptable in the context of this application for RMP purposes, subject to approval by the Delegate.</w:t>
      </w:r>
    </w:p>
    <w:p w:rsidR="00D67B18" w:rsidRPr="00E250EA" w:rsidRDefault="008E7846" w:rsidP="00E250EA">
      <w:pPr>
        <w:pStyle w:val="Heading4"/>
      </w:pPr>
      <w:r w:rsidRPr="00E250EA">
        <w:t xml:space="preserve">Summary of </w:t>
      </w:r>
      <w:r w:rsidR="003A7F6C" w:rsidRPr="00E250EA">
        <w:t>r</w:t>
      </w:r>
      <w:r w:rsidRPr="00E250EA">
        <w:t>ecommendations</w:t>
      </w:r>
    </w:p>
    <w:p w:rsidR="00E250EA" w:rsidRPr="00E36F10" w:rsidRDefault="00E250EA" w:rsidP="00E250EA">
      <w:pPr>
        <w:pStyle w:val="Heading5"/>
      </w:pPr>
      <w:r w:rsidRPr="00E36F10">
        <w:t>Outstanding issues</w:t>
      </w:r>
      <w:r>
        <w:t xml:space="preserve"> from the Round 1 RMP </w:t>
      </w:r>
      <w:r w:rsidR="007D369A">
        <w:t xml:space="preserve">evaluation </w:t>
      </w:r>
      <w:r>
        <w:t>report</w:t>
      </w:r>
    </w:p>
    <w:p w:rsidR="00E250EA" w:rsidRPr="00E250EA" w:rsidRDefault="00E250EA" w:rsidP="00E250EA">
      <w:r w:rsidRPr="00E250EA">
        <w:t>The sponsor should remove reference to the Viekira-Pak pregnancy category from the Viekira-Pak RBV PI document.</w:t>
      </w:r>
    </w:p>
    <w:p w:rsidR="00E250EA" w:rsidRPr="00E32FE4" w:rsidRDefault="00E250EA" w:rsidP="00A25CDB">
      <w:pPr>
        <w:pStyle w:val="Heading5"/>
      </w:pPr>
      <w:r w:rsidRPr="00E32FE4">
        <w:t xml:space="preserve">Additional </w:t>
      </w:r>
      <w:r>
        <w:t xml:space="preserve">Round 2 RMP </w:t>
      </w:r>
      <w:r w:rsidR="007D369A">
        <w:t xml:space="preserve">advice </w:t>
      </w:r>
      <w:r w:rsidRPr="00E32FE4">
        <w:t>recommendations</w:t>
      </w:r>
    </w:p>
    <w:p w:rsidR="00E250EA" w:rsidRPr="00A25CDB" w:rsidRDefault="00E250EA" w:rsidP="00A25CDB">
      <w:r w:rsidRPr="00A25CDB">
        <w:t>It is noted that the sponsor has removed breastfeeding women from the Missing Information list. The sponsor should provide a compelling justification for this or reinstate this as a Missing Information item.</w:t>
      </w:r>
    </w:p>
    <w:p w:rsidR="00E250EA" w:rsidRPr="00A25CDB" w:rsidRDefault="00E250EA" w:rsidP="00A25CDB">
      <w:r w:rsidRPr="00A25CDB">
        <w:t>The sponsor should add drug-drug interaction information on atorvastatin to the proposed PI.</w:t>
      </w:r>
    </w:p>
    <w:p w:rsidR="00E250EA" w:rsidRPr="00A25CDB" w:rsidRDefault="00E250EA" w:rsidP="00A25CDB">
      <w:r w:rsidRPr="00A25CDB">
        <w:t>The sponsor should advise how patients will access/obtain the patient information sheet that contains individual dosing information.</w:t>
      </w:r>
    </w:p>
    <w:p w:rsidR="00E250EA" w:rsidRPr="00A25CDB" w:rsidRDefault="00E250EA" w:rsidP="00A25CDB">
      <w:r w:rsidRPr="00A25CDB">
        <w:t>It is noted that the sponsor is proposing an education program for prescribers.</w:t>
      </w:r>
    </w:p>
    <w:p w:rsidR="00E250EA" w:rsidRPr="00A25CDB" w:rsidRDefault="00E250EA" w:rsidP="00E250EA">
      <w:r w:rsidRPr="00A25CDB">
        <w:t>In the response to Round 1 recommendation 1.12, the sponsor stated:</w:t>
      </w:r>
    </w:p>
    <w:p w:rsidR="00E250EA" w:rsidRPr="00A25CDB" w:rsidRDefault="00E250EA" w:rsidP="00A25CDB">
      <w:pPr>
        <w:rPr>
          <w:i/>
        </w:rPr>
      </w:pPr>
      <w:r w:rsidRPr="00A25CDB">
        <w:rPr>
          <w:i/>
        </w:rPr>
        <w:t>“Finally, a comprehensive care model approach will be used to support patients throughout their HCV treatment. The model will provide educational support and materials focused on key areas (disease awareness, proper use of product/dosing with specific emphasis on DDIs and side effects, reminders to enhance adherence) using different media (written, online etc.) to ensure availability of materials for use by patients.</w:t>
      </w:r>
    </w:p>
    <w:p w:rsidR="00E250EA" w:rsidRPr="00A25CDB" w:rsidRDefault="00E250EA" w:rsidP="00E250EA">
      <w:pPr>
        <w:rPr>
          <w:i/>
        </w:rPr>
      </w:pPr>
      <w:r w:rsidRPr="00A25CDB">
        <w:rPr>
          <w:i/>
        </w:rPr>
        <w:t>This model will also extend to prescribers and pharmacists providing them with education and support. These materials will be delivered by commercial and medical affairs personnel and will be targeted at delivering additional support to the HCV treatment delivery team led by prescribers who are specialists with expertise in HCV treatment.”</w:t>
      </w:r>
    </w:p>
    <w:p w:rsidR="00E250EA" w:rsidRPr="00A25CDB" w:rsidRDefault="00E250EA" w:rsidP="00A25CDB">
      <w:r w:rsidRPr="00A25CDB">
        <w:lastRenderedPageBreak/>
        <w:t>The sponsor should provide the details of the planned education program (including but not limited to the education materials provided to health professionals).</w:t>
      </w:r>
    </w:p>
    <w:p w:rsidR="00E250EA" w:rsidRPr="00A25CDB" w:rsidRDefault="00E250EA" w:rsidP="00A25CDB">
      <w:r w:rsidRPr="00A25CDB">
        <w:t>The education program should specifically address the risk of drug-drug interactions and appropriate contraception (when used with ribavirin). Furthermore, the sponsor should provide the details of how the effectiveness of the planned education program will be measured.</w:t>
      </w:r>
    </w:p>
    <w:p w:rsidR="00E250EA" w:rsidRPr="00A25CDB" w:rsidRDefault="00E250EA" w:rsidP="00A25CDB">
      <w:r w:rsidRPr="00A25CDB">
        <w:t>A description of the education program including measures of effectiveness should be added to the next routine revision of the ASA.</w:t>
      </w:r>
    </w:p>
    <w:p w:rsidR="00D67B18" w:rsidRPr="00E250EA" w:rsidRDefault="00D67B18" w:rsidP="00D67B18">
      <w:pPr>
        <w:pStyle w:val="Heading5"/>
      </w:pPr>
      <w:r w:rsidRPr="00E250EA">
        <w:t>Advice from the Advisory Committee on the Safety of Medicines (ACSOM)</w:t>
      </w:r>
    </w:p>
    <w:p w:rsidR="00D67B18" w:rsidRDefault="00D67B18" w:rsidP="00D67B18">
      <w:r w:rsidRPr="00E250EA">
        <w:t>The ACSOM advic</w:t>
      </w:r>
      <w:r w:rsidR="008C7CF5" w:rsidRPr="00E250EA">
        <w:t>e has been reviewed by the RMP e</w:t>
      </w:r>
      <w:r w:rsidRPr="00E250EA">
        <w:t xml:space="preserve">valuator and relevant parts are incorporated in the </w:t>
      </w:r>
      <w:r w:rsidR="008C7CF5" w:rsidRPr="00E250EA">
        <w:t>second round report</w:t>
      </w:r>
      <w:r w:rsidRPr="00E250EA">
        <w:t>.</w:t>
      </w:r>
    </w:p>
    <w:p w:rsidR="00C71265" w:rsidRDefault="00C71265" w:rsidP="00C71265">
      <w:pPr>
        <w:pStyle w:val="Heading5"/>
      </w:pPr>
      <w:r>
        <w:t>Summary of key changes to the RMP</w:t>
      </w:r>
    </w:p>
    <w:p w:rsidR="00C71265" w:rsidRDefault="00C71265" w:rsidP="00C71265">
      <w:r w:rsidRPr="00C71265">
        <w:t xml:space="preserve">Table </w:t>
      </w:r>
      <w:r w:rsidR="00654113">
        <w:t>26</w:t>
      </w:r>
      <w:r w:rsidRPr="00C71265">
        <w:t xml:space="preserve"> shows the key changes between RMP (in EU-RMP format) Version 1.0 and RMP (in EU-RMP format) Version 1.2</w:t>
      </w:r>
      <w:r>
        <w:t>.</w:t>
      </w:r>
    </w:p>
    <w:p w:rsidR="008A405A" w:rsidRPr="00C71265" w:rsidRDefault="00654113" w:rsidP="008A405A">
      <w:pPr>
        <w:pStyle w:val="Tabletitle0"/>
      </w:pPr>
      <w:r>
        <w:t>Table 26</w:t>
      </w:r>
      <w:r w:rsidR="008A405A">
        <w:t>: Summary of key changes to the RMP</w:t>
      </w:r>
    </w:p>
    <w:tbl>
      <w:tblPr>
        <w:tblStyle w:val="TableTGAblue1"/>
        <w:tblW w:w="0" w:type="auto"/>
        <w:tblLook w:val="04A0" w:firstRow="1" w:lastRow="0" w:firstColumn="1" w:lastColumn="0" w:noHBand="0" w:noVBand="1"/>
      </w:tblPr>
      <w:tblGrid>
        <w:gridCol w:w="2078"/>
        <w:gridCol w:w="6642"/>
      </w:tblGrid>
      <w:tr w:rsidR="00A25CDB" w:rsidRPr="003E6B33" w:rsidTr="00CE16B7">
        <w:trPr>
          <w:cnfStyle w:val="100000000000" w:firstRow="1" w:lastRow="0" w:firstColumn="0" w:lastColumn="0" w:oddVBand="0" w:evenVBand="0" w:oddHBand="0" w:evenHBand="0" w:firstRowFirstColumn="0" w:firstRowLastColumn="0" w:lastRowFirstColumn="0" w:lastRowLastColumn="0"/>
          <w:cantSplit/>
          <w:trHeight w:val="274"/>
          <w:tblHeader/>
        </w:trPr>
        <w:tc>
          <w:tcPr>
            <w:tcW w:w="9854" w:type="dxa"/>
            <w:gridSpan w:val="2"/>
          </w:tcPr>
          <w:p w:rsidR="00A25CDB" w:rsidRPr="003E6B33" w:rsidRDefault="00A25CDB" w:rsidP="003E6B33">
            <w:pPr>
              <w:rPr>
                <w:sz w:val="20"/>
                <w:szCs w:val="20"/>
              </w:rPr>
            </w:pPr>
            <w:r w:rsidRPr="003E6B33">
              <w:rPr>
                <w:sz w:val="20"/>
                <w:szCs w:val="20"/>
              </w:rPr>
              <w:t>Summary of key changes between RMP (in EU-RMP format) Version 1.0 and RMP (in EU-RMP format) Version 1.2</w:t>
            </w:r>
          </w:p>
        </w:tc>
      </w:tr>
      <w:tr w:rsidR="00A25CDB" w:rsidRPr="003E6B33" w:rsidTr="00CE16B7">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25CDB" w:rsidRPr="003E6B33" w:rsidRDefault="00A25CDB" w:rsidP="003E6B33">
            <w:pPr>
              <w:rPr>
                <w:rFonts w:asciiTheme="minorHAnsi" w:hAnsiTheme="minorHAnsi"/>
                <w:sz w:val="20"/>
                <w:szCs w:val="20"/>
                <w:lang w:eastAsia="en-AU"/>
              </w:rPr>
            </w:pPr>
            <w:r w:rsidRPr="003E6B33">
              <w:rPr>
                <w:rFonts w:asciiTheme="minorHAnsi" w:hAnsiTheme="minorHAnsi"/>
                <w:sz w:val="20"/>
                <w:szCs w:val="20"/>
                <w:lang w:eastAsia="en-AU"/>
              </w:rPr>
              <w:t>Safety specification</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rFonts w:asciiTheme="minorHAnsi" w:hAnsiTheme="minorHAnsi"/>
                <w:sz w:val="20"/>
                <w:szCs w:val="20"/>
              </w:rPr>
            </w:pPr>
            <w:r w:rsidRPr="003E6B33">
              <w:rPr>
                <w:rFonts w:asciiTheme="minorHAnsi" w:hAnsiTheme="minorHAnsi"/>
                <w:sz w:val="20"/>
                <w:szCs w:val="20"/>
              </w:rPr>
              <w:t>Important Identified Risk changes:</w:t>
            </w:r>
          </w:p>
          <w:p w:rsidR="00A25CDB" w:rsidRPr="003E6B33" w:rsidRDefault="00A25CDB" w:rsidP="003E6B33">
            <w:pPr>
              <w:rPr>
                <w:sz w:val="20"/>
                <w:szCs w:val="20"/>
              </w:rPr>
            </w:pPr>
            <w:r w:rsidRPr="003E6B33">
              <w:rPr>
                <w:sz w:val="20"/>
                <w:szCs w:val="20"/>
              </w:rPr>
              <w:t>ALT elevation changed to: Hepatotoxicity (when administered with ethinyl-estradiol-containing medications)</w:t>
            </w:r>
          </w:p>
          <w:p w:rsidR="00A25CDB" w:rsidRPr="003E6B33" w:rsidRDefault="00A25CDB" w:rsidP="003E6B33">
            <w:pPr>
              <w:rPr>
                <w:sz w:val="20"/>
                <w:szCs w:val="20"/>
              </w:rPr>
            </w:pPr>
            <w:r w:rsidRPr="003E6B33">
              <w:rPr>
                <w:sz w:val="20"/>
                <w:szCs w:val="20"/>
              </w:rPr>
              <w:t>Mitochondrial toxicity added (for ribavirin)</w:t>
            </w:r>
          </w:p>
          <w:p w:rsidR="00A25CDB" w:rsidRPr="003E6B33" w:rsidRDefault="00A25CDB" w:rsidP="003E6B33">
            <w:pPr>
              <w:rPr>
                <w:rFonts w:asciiTheme="minorHAnsi" w:hAnsiTheme="minorHAnsi"/>
                <w:sz w:val="20"/>
                <w:szCs w:val="20"/>
              </w:rPr>
            </w:pPr>
            <w:r w:rsidRPr="003E6B33">
              <w:rPr>
                <w:rFonts w:asciiTheme="minorHAnsi" w:hAnsiTheme="minorHAnsi"/>
                <w:sz w:val="20"/>
                <w:szCs w:val="20"/>
              </w:rPr>
              <w:t>Important Potential Risk changes:</w:t>
            </w:r>
          </w:p>
          <w:p w:rsidR="00A25CDB" w:rsidRPr="003E6B33" w:rsidRDefault="00A25CDB" w:rsidP="003E6B33">
            <w:pPr>
              <w:rPr>
                <w:sz w:val="20"/>
                <w:szCs w:val="20"/>
              </w:rPr>
            </w:pPr>
            <w:r w:rsidRPr="003E6B33">
              <w:rPr>
                <w:sz w:val="20"/>
                <w:szCs w:val="20"/>
              </w:rPr>
              <w:t>ALT elevation (general population) (identified risk) changed to: Hepatotoxicity among non-users of ethinyl-estradiol-containing medications</w:t>
            </w:r>
          </w:p>
          <w:p w:rsidR="00A25CDB" w:rsidRPr="003E6B33" w:rsidRDefault="00A25CDB" w:rsidP="003E6B33">
            <w:pPr>
              <w:rPr>
                <w:sz w:val="20"/>
                <w:szCs w:val="20"/>
              </w:rPr>
            </w:pPr>
            <w:r w:rsidRPr="003E6B33">
              <w:rPr>
                <w:sz w:val="20"/>
                <w:szCs w:val="20"/>
              </w:rPr>
              <w:t>Added Important Potential Risks:</w:t>
            </w:r>
          </w:p>
          <w:p w:rsidR="00A25CDB" w:rsidRPr="003E6B33" w:rsidRDefault="00A25CDB" w:rsidP="003E6B33">
            <w:pPr>
              <w:rPr>
                <w:sz w:val="20"/>
                <w:szCs w:val="20"/>
              </w:rPr>
            </w:pPr>
            <w:r w:rsidRPr="003E6B33">
              <w:rPr>
                <w:sz w:val="20"/>
                <w:szCs w:val="20"/>
              </w:rPr>
              <w:t>Medication errors</w:t>
            </w:r>
          </w:p>
          <w:p w:rsidR="00A25CDB" w:rsidRPr="003E6B33" w:rsidRDefault="00A25CDB" w:rsidP="003E6B33">
            <w:pPr>
              <w:rPr>
                <w:sz w:val="20"/>
                <w:szCs w:val="20"/>
              </w:rPr>
            </w:pPr>
            <w:r w:rsidRPr="003E6B33">
              <w:rPr>
                <w:sz w:val="20"/>
                <w:szCs w:val="20"/>
              </w:rPr>
              <w:t>Risk of resistance development</w:t>
            </w:r>
          </w:p>
          <w:p w:rsidR="00A25CDB" w:rsidRPr="003E6B33" w:rsidRDefault="00A25CDB" w:rsidP="003E6B33">
            <w:pPr>
              <w:rPr>
                <w:sz w:val="20"/>
                <w:szCs w:val="20"/>
              </w:rPr>
            </w:pPr>
            <w:r w:rsidRPr="003E6B33">
              <w:rPr>
                <w:sz w:val="20"/>
                <w:szCs w:val="20"/>
              </w:rPr>
              <w:t>Fetal development toxicity (</w:t>
            </w:r>
            <w:r w:rsidR="00237CBE" w:rsidRPr="003E6B33">
              <w:rPr>
                <w:sz w:val="20"/>
                <w:szCs w:val="20"/>
              </w:rPr>
              <w:t>paritaprevir/ritonavir/ombitasvir</w:t>
            </w:r>
            <w:r w:rsidRPr="003E6B33">
              <w:rPr>
                <w:sz w:val="20"/>
                <w:szCs w:val="20"/>
              </w:rPr>
              <w:t xml:space="preserve"> only; added to the EU RMP per CHMP request)</w:t>
            </w:r>
          </w:p>
          <w:p w:rsidR="00A25CDB" w:rsidRPr="003E6B33" w:rsidRDefault="00A25CDB" w:rsidP="003E6B33">
            <w:pPr>
              <w:rPr>
                <w:sz w:val="20"/>
                <w:szCs w:val="20"/>
              </w:rPr>
            </w:pPr>
            <w:r w:rsidRPr="003E6B33">
              <w:rPr>
                <w:sz w:val="20"/>
                <w:szCs w:val="20"/>
              </w:rPr>
              <w:t>DDI: Concomitant use with drugs that are primarily metabolized by CYP3A and CYP2C19; drugs that are sensitive substrates of UGT1A1; drugs that are substrates of BCRP, OCT1, OATP1B1/1B3, or P-gp, including antiretroviral regimens that contain ritonavir; or immunosuppressant medications (OATP1B1 substrate interactions were downgraded to an Important Potential Risk).</w:t>
            </w:r>
          </w:p>
          <w:p w:rsidR="00A25CDB" w:rsidRPr="003E6B33" w:rsidRDefault="00A25CDB" w:rsidP="003E6B33">
            <w:pPr>
              <w:rPr>
                <w:rFonts w:asciiTheme="minorHAnsi" w:hAnsiTheme="minorHAnsi"/>
                <w:sz w:val="20"/>
                <w:szCs w:val="20"/>
              </w:rPr>
            </w:pPr>
            <w:r w:rsidRPr="003E6B33">
              <w:rPr>
                <w:rFonts w:asciiTheme="minorHAnsi" w:hAnsiTheme="minorHAnsi"/>
                <w:sz w:val="20"/>
                <w:szCs w:val="20"/>
              </w:rPr>
              <w:t>Missing information changes:</w:t>
            </w:r>
          </w:p>
          <w:p w:rsidR="00A25CDB" w:rsidRPr="003E6B33" w:rsidRDefault="00A25CDB" w:rsidP="003E6B33">
            <w:pPr>
              <w:rPr>
                <w:sz w:val="20"/>
                <w:szCs w:val="20"/>
              </w:rPr>
            </w:pPr>
            <w:r w:rsidRPr="003E6B33">
              <w:rPr>
                <w:sz w:val="20"/>
                <w:szCs w:val="20"/>
              </w:rPr>
              <w:t>Safety in transplant patients (language revised per TGA request)</w:t>
            </w:r>
          </w:p>
          <w:p w:rsidR="00A25CDB" w:rsidRPr="003E6B33" w:rsidRDefault="00A25CDB" w:rsidP="003E6B33">
            <w:pPr>
              <w:rPr>
                <w:sz w:val="20"/>
                <w:szCs w:val="20"/>
              </w:rPr>
            </w:pPr>
            <w:r w:rsidRPr="003E6B33">
              <w:rPr>
                <w:sz w:val="20"/>
                <w:szCs w:val="20"/>
              </w:rPr>
              <w:t>Breastfeeding removed</w:t>
            </w:r>
          </w:p>
          <w:p w:rsidR="00A25CDB" w:rsidRPr="003E6B33" w:rsidRDefault="00A25CDB" w:rsidP="003E6B33">
            <w:pPr>
              <w:rPr>
                <w:sz w:val="20"/>
                <w:szCs w:val="20"/>
              </w:rPr>
            </w:pPr>
            <w:r w:rsidRPr="003E6B33">
              <w:rPr>
                <w:sz w:val="20"/>
                <w:szCs w:val="20"/>
              </w:rPr>
              <w:t xml:space="preserve">Safety in </w:t>
            </w:r>
            <w:r w:rsidR="00237CBE" w:rsidRPr="003E6B33">
              <w:rPr>
                <w:sz w:val="20"/>
                <w:szCs w:val="20"/>
              </w:rPr>
              <w:t xml:space="preserve">genotype 4 </w:t>
            </w:r>
            <w:r w:rsidRPr="003E6B33">
              <w:rPr>
                <w:sz w:val="20"/>
                <w:szCs w:val="20"/>
              </w:rPr>
              <w:t>infected patients with cirrhosis (</w:t>
            </w:r>
            <w:r w:rsidR="00237CBE" w:rsidRPr="003E6B33">
              <w:rPr>
                <w:sz w:val="20"/>
                <w:szCs w:val="20"/>
              </w:rPr>
              <w:t>paritaprevir/ritonavir /ombitasvir</w:t>
            </w:r>
            <w:r w:rsidRPr="003E6B33">
              <w:rPr>
                <w:sz w:val="20"/>
                <w:szCs w:val="20"/>
              </w:rPr>
              <w:t xml:space="preserve"> only) added</w:t>
            </w:r>
          </w:p>
          <w:p w:rsidR="00A25CDB" w:rsidRPr="003E6B33" w:rsidRDefault="00A25CDB" w:rsidP="003E6B33">
            <w:pPr>
              <w:rPr>
                <w:rFonts w:asciiTheme="minorHAnsi" w:hAnsiTheme="minorHAnsi"/>
                <w:sz w:val="20"/>
                <w:szCs w:val="20"/>
              </w:rPr>
            </w:pPr>
            <w:r w:rsidRPr="003E6B33">
              <w:rPr>
                <w:rFonts w:asciiTheme="minorHAnsi" w:hAnsiTheme="minorHAnsi"/>
                <w:sz w:val="20"/>
                <w:szCs w:val="20"/>
              </w:rPr>
              <w:t>Ribavirin annex:</w:t>
            </w:r>
          </w:p>
          <w:p w:rsidR="00A25CDB" w:rsidRPr="003E6B33" w:rsidRDefault="00A25CDB" w:rsidP="003E6B33">
            <w:pPr>
              <w:rPr>
                <w:sz w:val="20"/>
                <w:szCs w:val="20"/>
              </w:rPr>
            </w:pPr>
            <w:r w:rsidRPr="003E6B33">
              <w:rPr>
                <w:sz w:val="20"/>
                <w:szCs w:val="20"/>
              </w:rPr>
              <w:t>Mitochondrial toxicity added as an Important Identified Risk</w:t>
            </w:r>
          </w:p>
        </w:tc>
      </w:tr>
      <w:tr w:rsidR="00A25CDB" w:rsidRPr="003E6B33" w:rsidTr="00CE16B7">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A25CDB" w:rsidRPr="003E6B33" w:rsidRDefault="00A25CDB" w:rsidP="003E6B33">
            <w:pPr>
              <w:rPr>
                <w:rFonts w:asciiTheme="minorHAnsi" w:hAnsiTheme="minorHAnsi"/>
                <w:sz w:val="20"/>
                <w:szCs w:val="20"/>
                <w:lang w:eastAsia="en-AU"/>
              </w:rPr>
            </w:pPr>
            <w:r w:rsidRPr="003E6B33">
              <w:rPr>
                <w:rFonts w:asciiTheme="minorHAnsi" w:hAnsiTheme="minorHAnsi"/>
                <w:sz w:val="20"/>
                <w:szCs w:val="20"/>
                <w:lang w:eastAsia="en-AU"/>
              </w:rPr>
              <w:lastRenderedPageBreak/>
              <w:t>Pharmacovigilance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sz w:val="20"/>
                <w:szCs w:val="20"/>
              </w:rPr>
            </w:pPr>
            <w:r w:rsidRPr="003E6B33">
              <w:rPr>
                <w:sz w:val="20"/>
                <w:szCs w:val="20"/>
              </w:rPr>
              <w:t>Updates to accommodate changes to Safety Concerns/Missing Information</w:t>
            </w:r>
          </w:p>
          <w:p w:rsidR="00A25CDB" w:rsidRPr="003E6B33" w:rsidRDefault="00A25CDB" w:rsidP="003E6B33">
            <w:pPr>
              <w:rPr>
                <w:sz w:val="20"/>
                <w:szCs w:val="20"/>
              </w:rPr>
            </w:pPr>
            <w:r w:rsidRPr="003E6B33">
              <w:rPr>
                <w:sz w:val="20"/>
                <w:szCs w:val="20"/>
              </w:rPr>
              <w:t>Additional pharmacovigilance activities added as per TGA request</w:t>
            </w:r>
          </w:p>
        </w:tc>
      </w:tr>
      <w:tr w:rsidR="00A25CDB" w:rsidRPr="003E6B33" w:rsidTr="00CE16B7">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rFonts w:asciiTheme="minorHAnsi" w:hAnsiTheme="minorHAnsi"/>
                <w:sz w:val="20"/>
                <w:szCs w:val="20"/>
                <w:lang w:eastAsia="en-AU"/>
              </w:rPr>
            </w:pPr>
            <w:r w:rsidRPr="003E6B33">
              <w:rPr>
                <w:rFonts w:asciiTheme="minorHAnsi" w:hAnsiTheme="minorHAnsi"/>
                <w:sz w:val="20"/>
                <w:szCs w:val="20"/>
                <w:lang w:eastAsia="en-AU"/>
              </w:rPr>
              <w:t>Risk minimisation activities</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sz w:val="20"/>
                <w:szCs w:val="20"/>
              </w:rPr>
            </w:pPr>
            <w:r w:rsidRPr="003E6B33">
              <w:rPr>
                <w:sz w:val="20"/>
                <w:szCs w:val="20"/>
              </w:rPr>
              <w:t>Updates to accommodate changes to Safety Concerns/Missing Information</w:t>
            </w:r>
          </w:p>
        </w:tc>
      </w:tr>
      <w:tr w:rsidR="00A25CDB" w:rsidRPr="003E6B33" w:rsidTr="00CE16B7">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rFonts w:asciiTheme="minorHAnsi" w:hAnsiTheme="minorHAnsi"/>
                <w:sz w:val="20"/>
                <w:szCs w:val="20"/>
                <w:lang w:eastAsia="en-AU"/>
              </w:rPr>
            </w:pPr>
            <w:r w:rsidRPr="003E6B33">
              <w:rPr>
                <w:rFonts w:asciiTheme="minorHAnsi" w:hAnsiTheme="minorHAnsi"/>
                <w:sz w:val="20"/>
                <w:szCs w:val="20"/>
                <w:lang w:eastAsia="en-AU"/>
              </w:rPr>
              <w:t>ASA</w:t>
            </w:r>
          </w:p>
        </w:tc>
        <w:tc>
          <w:tcPr>
            <w:tcW w:w="77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A25CDB" w:rsidRPr="003E6B33" w:rsidRDefault="00A25CDB" w:rsidP="003E6B33">
            <w:pPr>
              <w:rPr>
                <w:sz w:val="20"/>
                <w:szCs w:val="20"/>
              </w:rPr>
            </w:pPr>
            <w:r w:rsidRPr="003E6B33">
              <w:rPr>
                <w:sz w:val="20"/>
                <w:szCs w:val="20"/>
              </w:rPr>
              <w:t>Updates to accommodate changes to Safety Concerns/Missing Information in the EU-RMP</w:t>
            </w:r>
          </w:p>
          <w:p w:rsidR="00A25CDB" w:rsidRPr="003E6B33" w:rsidRDefault="00A25CDB" w:rsidP="003E6B33">
            <w:pPr>
              <w:rPr>
                <w:sz w:val="20"/>
                <w:szCs w:val="20"/>
              </w:rPr>
            </w:pPr>
            <w:r w:rsidRPr="003E6B33">
              <w:rPr>
                <w:sz w:val="20"/>
                <w:szCs w:val="20"/>
              </w:rPr>
              <w:t>Additional Australia-specific safety concerns added:</w:t>
            </w:r>
          </w:p>
          <w:p w:rsidR="00A25CDB" w:rsidRPr="003E6B33" w:rsidRDefault="00A25CDB" w:rsidP="003E6B33">
            <w:pPr>
              <w:rPr>
                <w:sz w:val="20"/>
                <w:szCs w:val="20"/>
              </w:rPr>
            </w:pPr>
            <w:r w:rsidRPr="003E6B33">
              <w:rPr>
                <w:sz w:val="20"/>
                <w:szCs w:val="20"/>
              </w:rPr>
              <w:t>Hypersensitivity as a</w:t>
            </w:r>
            <w:r w:rsidR="00237CBE" w:rsidRPr="003E6B33">
              <w:rPr>
                <w:sz w:val="20"/>
                <w:szCs w:val="20"/>
              </w:rPr>
              <w:t>n</w:t>
            </w:r>
            <w:r w:rsidRPr="003E6B33">
              <w:rPr>
                <w:sz w:val="20"/>
                <w:szCs w:val="20"/>
              </w:rPr>
              <w:t xml:space="preserve"> Important Potential Risk</w:t>
            </w:r>
          </w:p>
          <w:p w:rsidR="00A25CDB" w:rsidRPr="003E6B33" w:rsidRDefault="00A25CDB" w:rsidP="003E6B33">
            <w:pPr>
              <w:rPr>
                <w:sz w:val="20"/>
                <w:szCs w:val="20"/>
              </w:rPr>
            </w:pPr>
            <w:r w:rsidRPr="003E6B33">
              <w:rPr>
                <w:sz w:val="20"/>
                <w:szCs w:val="20"/>
              </w:rPr>
              <w:t>Safety in non-Caucasian patients (including Asian or Australian Indigenous populations) added as Missing Information</w:t>
            </w:r>
          </w:p>
        </w:tc>
      </w:tr>
    </w:tbl>
    <w:p w:rsidR="00A25CDB" w:rsidRDefault="00C71265" w:rsidP="00C71265">
      <w:pPr>
        <w:pStyle w:val="Heading5"/>
      </w:pPr>
      <w:r>
        <w:t>Summary of safety concerns</w:t>
      </w:r>
    </w:p>
    <w:p w:rsidR="00C71265" w:rsidRDefault="00C71265" w:rsidP="00C71265">
      <w:r>
        <w:t xml:space="preserve">Table </w:t>
      </w:r>
      <w:r w:rsidR="00654113">
        <w:t>27</w:t>
      </w:r>
      <w:r>
        <w:t xml:space="preserve"> shows a revised summary of safety concerns.</w:t>
      </w:r>
    </w:p>
    <w:p w:rsidR="008A405A" w:rsidRDefault="00654113" w:rsidP="008A405A">
      <w:pPr>
        <w:pStyle w:val="Tabletitle0"/>
      </w:pPr>
      <w:r>
        <w:t>Table 27</w:t>
      </w:r>
      <w:r w:rsidR="008A405A">
        <w:t>: Revised summary of safety concerns</w:t>
      </w:r>
    </w:p>
    <w:tbl>
      <w:tblPr>
        <w:tblStyle w:val="TableTGAblue"/>
        <w:tblW w:w="0" w:type="auto"/>
        <w:tblLook w:val="04A0" w:firstRow="1" w:lastRow="0" w:firstColumn="1" w:lastColumn="0" w:noHBand="0" w:noVBand="1"/>
      </w:tblPr>
      <w:tblGrid>
        <w:gridCol w:w="3510"/>
        <w:gridCol w:w="5210"/>
      </w:tblGrid>
      <w:tr w:rsidR="00C71265" w:rsidRPr="003E6B33" w:rsidTr="00C71265">
        <w:trPr>
          <w:cnfStyle w:val="100000000000" w:firstRow="1" w:lastRow="0" w:firstColumn="0" w:lastColumn="0" w:oddVBand="0" w:evenVBand="0" w:oddHBand="0" w:evenHBand="0" w:firstRowFirstColumn="0" w:firstRowLastColumn="0" w:lastRowFirstColumn="0" w:lastRowLastColumn="0"/>
        </w:trPr>
        <w:tc>
          <w:tcPr>
            <w:tcW w:w="3510" w:type="dxa"/>
          </w:tcPr>
          <w:p w:rsidR="00C71265" w:rsidRPr="003E6B33" w:rsidRDefault="00C71265" w:rsidP="003E6B33">
            <w:pPr>
              <w:rPr>
                <w:sz w:val="20"/>
                <w:szCs w:val="20"/>
              </w:rPr>
            </w:pPr>
            <w:r w:rsidRPr="003E6B33">
              <w:rPr>
                <w:sz w:val="20"/>
                <w:szCs w:val="20"/>
              </w:rPr>
              <w:t>Summary of safety concerns</w:t>
            </w:r>
          </w:p>
        </w:tc>
        <w:tc>
          <w:tcPr>
            <w:tcW w:w="5210" w:type="dxa"/>
          </w:tcPr>
          <w:p w:rsidR="00C71265" w:rsidRPr="003E6B33" w:rsidRDefault="00C71265" w:rsidP="003E6B33">
            <w:pPr>
              <w:rPr>
                <w:sz w:val="20"/>
                <w:szCs w:val="20"/>
              </w:rPr>
            </w:pPr>
          </w:p>
        </w:tc>
      </w:tr>
      <w:tr w:rsidR="00253F4B" w:rsidRPr="003E6B33" w:rsidTr="00C71265">
        <w:tc>
          <w:tcPr>
            <w:tcW w:w="3510" w:type="dxa"/>
            <w:vMerge w:val="restart"/>
          </w:tcPr>
          <w:p w:rsidR="00253F4B" w:rsidRPr="003E6B33" w:rsidRDefault="00253F4B" w:rsidP="003E6B33">
            <w:pPr>
              <w:rPr>
                <w:sz w:val="20"/>
                <w:szCs w:val="20"/>
              </w:rPr>
            </w:pPr>
            <w:r w:rsidRPr="003E6B33">
              <w:rPr>
                <w:sz w:val="20"/>
                <w:szCs w:val="20"/>
              </w:rPr>
              <w:t>Important identified risks</w:t>
            </w:r>
          </w:p>
        </w:tc>
        <w:tc>
          <w:tcPr>
            <w:tcW w:w="5210" w:type="dxa"/>
          </w:tcPr>
          <w:p w:rsidR="00253F4B" w:rsidRPr="003E6B33" w:rsidRDefault="00253F4B" w:rsidP="003E6B33">
            <w:pPr>
              <w:rPr>
                <w:sz w:val="20"/>
                <w:szCs w:val="20"/>
              </w:rPr>
            </w:pPr>
            <w:r w:rsidRPr="003E6B33">
              <w:rPr>
                <w:sz w:val="20"/>
                <w:szCs w:val="20"/>
              </w:rPr>
              <w:t>Drug-drug interactions:</w:t>
            </w:r>
          </w:p>
          <w:p w:rsidR="00253F4B" w:rsidRPr="003E6B33" w:rsidRDefault="00253F4B" w:rsidP="003E6B33">
            <w:pPr>
              <w:rPr>
                <w:sz w:val="20"/>
                <w:szCs w:val="20"/>
              </w:rPr>
            </w:pPr>
            <w:r w:rsidRPr="003E6B33">
              <w:rPr>
                <w:sz w:val="20"/>
                <w:szCs w:val="20"/>
              </w:rPr>
              <w:t>Concomitant use with drugs that are moderate or strong inducers of CYP3A (</w:t>
            </w:r>
            <w:r w:rsidR="00237CBE" w:rsidRPr="003E6B33">
              <w:rPr>
                <w:sz w:val="20"/>
                <w:szCs w:val="20"/>
              </w:rPr>
              <w:t>for example</w:t>
            </w:r>
            <w:r w:rsidRPr="003E6B33">
              <w:rPr>
                <w:sz w:val="20"/>
                <w:szCs w:val="20"/>
              </w:rPr>
              <w:t>, carbamazepine, phenytoin, phenobarbital, efavirenz, rifampicin, and St. John's Wort)</w:t>
            </w:r>
          </w:p>
          <w:p w:rsidR="00253F4B" w:rsidRPr="003E6B33" w:rsidRDefault="00253F4B" w:rsidP="003E6B33">
            <w:pPr>
              <w:rPr>
                <w:sz w:val="20"/>
                <w:szCs w:val="20"/>
              </w:rPr>
            </w:pPr>
            <w:r w:rsidRPr="003E6B33">
              <w:rPr>
                <w:sz w:val="20"/>
                <w:szCs w:val="20"/>
              </w:rPr>
              <w:t>Concomitant use with drugs that are moderate or strong inducers of CYP2C8 (</w:t>
            </w:r>
            <w:r w:rsidR="00237CBE" w:rsidRPr="003E6B33">
              <w:rPr>
                <w:sz w:val="20"/>
                <w:szCs w:val="20"/>
              </w:rPr>
              <w:t>for example</w:t>
            </w:r>
            <w:r w:rsidRPr="003E6B33">
              <w:rPr>
                <w:sz w:val="20"/>
                <w:szCs w:val="20"/>
              </w:rPr>
              <w:t xml:space="preserve">, rifampicin) when used as </w:t>
            </w:r>
            <w:r w:rsidR="00237CBE" w:rsidRPr="003E6B33">
              <w:rPr>
                <w:sz w:val="20"/>
                <w:szCs w:val="20"/>
              </w:rPr>
              <w:t>3DAA</w:t>
            </w:r>
            <w:r w:rsidRPr="003E6B33">
              <w:rPr>
                <w:sz w:val="20"/>
                <w:szCs w:val="20"/>
              </w:rPr>
              <w:t xml:space="preserve"> regimen</w:t>
            </w:r>
          </w:p>
          <w:p w:rsidR="00253F4B" w:rsidRPr="003E6B33" w:rsidRDefault="00253F4B" w:rsidP="003E6B33">
            <w:pPr>
              <w:rPr>
                <w:sz w:val="20"/>
                <w:szCs w:val="20"/>
              </w:rPr>
            </w:pPr>
            <w:r w:rsidRPr="003E6B33">
              <w:rPr>
                <w:sz w:val="20"/>
                <w:szCs w:val="20"/>
              </w:rPr>
              <w:t>Concomitant use with drugs that are sensitive CYP3A substrates (</w:t>
            </w:r>
            <w:r w:rsidR="00237CBE" w:rsidRPr="003E6B33">
              <w:rPr>
                <w:sz w:val="20"/>
                <w:szCs w:val="20"/>
              </w:rPr>
              <w:t>for example</w:t>
            </w:r>
            <w:r w:rsidRPr="003E6B33">
              <w:rPr>
                <w:sz w:val="20"/>
                <w:szCs w:val="20"/>
              </w:rPr>
              <w:t>, ergotamine, lovastatin, and salmeterol)</w:t>
            </w:r>
          </w:p>
          <w:p w:rsidR="00253F4B" w:rsidRPr="003E6B33" w:rsidRDefault="00253F4B" w:rsidP="003E6B33">
            <w:pPr>
              <w:rPr>
                <w:sz w:val="20"/>
                <w:szCs w:val="20"/>
              </w:rPr>
            </w:pPr>
            <w:r w:rsidRPr="003E6B33">
              <w:rPr>
                <w:sz w:val="20"/>
                <w:szCs w:val="20"/>
              </w:rPr>
              <w:t>Concomitant use with drugs that are strong CYP3A4 inhibitors</w:t>
            </w:r>
          </w:p>
          <w:p w:rsidR="00253F4B" w:rsidRPr="003E6B33" w:rsidRDefault="00253F4B" w:rsidP="003E6B33">
            <w:pPr>
              <w:rPr>
                <w:sz w:val="20"/>
                <w:szCs w:val="20"/>
              </w:rPr>
            </w:pPr>
            <w:r w:rsidRPr="003E6B33">
              <w:rPr>
                <w:sz w:val="20"/>
                <w:szCs w:val="20"/>
              </w:rPr>
              <w:t>Concomitant use with drugs that are strong CYP2C8 inhibitors (</w:t>
            </w:r>
            <w:r w:rsidR="00237CBE" w:rsidRPr="003E6B33">
              <w:rPr>
                <w:sz w:val="20"/>
                <w:szCs w:val="20"/>
              </w:rPr>
              <w:t>for example</w:t>
            </w:r>
            <w:r w:rsidRPr="003E6B33">
              <w:rPr>
                <w:sz w:val="20"/>
                <w:szCs w:val="20"/>
              </w:rPr>
              <w:t xml:space="preserve">, gemfibrozil) when used as </w:t>
            </w:r>
            <w:r w:rsidR="00237CBE" w:rsidRPr="003E6B33">
              <w:rPr>
                <w:sz w:val="20"/>
                <w:szCs w:val="20"/>
              </w:rPr>
              <w:t>3DAA</w:t>
            </w:r>
            <w:r w:rsidRPr="003E6B33">
              <w:rPr>
                <w:sz w:val="20"/>
                <w:szCs w:val="20"/>
              </w:rPr>
              <w:t xml:space="preserve"> regimen</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Hepatotoxicity when co-administered with ethinyl estradiol-containing medications</w:t>
            </w:r>
          </w:p>
        </w:tc>
      </w:tr>
      <w:tr w:rsidR="00253F4B" w:rsidRPr="003E6B33" w:rsidTr="00C71265">
        <w:tc>
          <w:tcPr>
            <w:tcW w:w="3510" w:type="dxa"/>
            <w:vMerge w:val="restart"/>
          </w:tcPr>
          <w:p w:rsidR="00253F4B" w:rsidRPr="003E6B33" w:rsidRDefault="00253F4B" w:rsidP="003E6B33">
            <w:pPr>
              <w:rPr>
                <w:sz w:val="20"/>
                <w:szCs w:val="20"/>
              </w:rPr>
            </w:pPr>
            <w:r w:rsidRPr="003E6B33">
              <w:rPr>
                <w:sz w:val="20"/>
                <w:szCs w:val="20"/>
              </w:rPr>
              <w:t>Important potential risks</w:t>
            </w:r>
          </w:p>
        </w:tc>
        <w:tc>
          <w:tcPr>
            <w:tcW w:w="5210" w:type="dxa"/>
          </w:tcPr>
          <w:p w:rsidR="00253F4B" w:rsidRPr="003E6B33" w:rsidRDefault="00253F4B" w:rsidP="003E6B33">
            <w:pPr>
              <w:rPr>
                <w:sz w:val="20"/>
                <w:szCs w:val="20"/>
              </w:rPr>
            </w:pPr>
            <w:r w:rsidRPr="003E6B33">
              <w:rPr>
                <w:sz w:val="20"/>
                <w:szCs w:val="20"/>
              </w:rPr>
              <w:t>Drug-drug interactions:</w:t>
            </w:r>
          </w:p>
          <w:p w:rsidR="00253F4B" w:rsidRPr="003E6B33" w:rsidRDefault="00253F4B" w:rsidP="003E6B33">
            <w:pPr>
              <w:rPr>
                <w:sz w:val="20"/>
                <w:szCs w:val="20"/>
              </w:rPr>
            </w:pPr>
            <w:r w:rsidRPr="003E6B33">
              <w:rPr>
                <w:sz w:val="20"/>
                <w:szCs w:val="20"/>
              </w:rPr>
              <w:t>Concomitant use with drugs that are primarily metabolized by CYP3A and CYP2C19; drugs that are sensitive substrates of UGT1A1; drugs that are substrates of BCRP, OCT1, OATP1B1/1B3, or P-gp, including antiretroviral regimens that contain ritonavir; or immunosuppressant medications</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Hepatotoxicity among non-users of ethinyl estradiol-containing medications</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Potential for off-label use including:</w:t>
            </w:r>
          </w:p>
          <w:p w:rsidR="00253F4B" w:rsidRPr="003E6B33" w:rsidRDefault="00253F4B" w:rsidP="003E6B33">
            <w:pPr>
              <w:rPr>
                <w:sz w:val="20"/>
                <w:szCs w:val="20"/>
              </w:rPr>
            </w:pPr>
            <w:proofErr w:type="gramStart"/>
            <w:r w:rsidRPr="003E6B33">
              <w:rPr>
                <w:sz w:val="20"/>
                <w:szCs w:val="20"/>
              </w:rPr>
              <w:t>use</w:t>
            </w:r>
            <w:proofErr w:type="gramEnd"/>
            <w:r w:rsidRPr="003E6B33">
              <w:rPr>
                <w:sz w:val="20"/>
                <w:szCs w:val="20"/>
              </w:rPr>
              <w:t xml:space="preserve"> of the DAA regimen in patients with genotypes other than HCV GT1 or GT4 (Note: a separate filing for genotype 4 is planned for Australia.)</w:t>
            </w:r>
          </w:p>
          <w:p w:rsidR="00253F4B" w:rsidRPr="003E6B33" w:rsidRDefault="00253F4B" w:rsidP="003E6B33">
            <w:pPr>
              <w:rPr>
                <w:sz w:val="20"/>
                <w:szCs w:val="20"/>
              </w:rPr>
            </w:pPr>
            <w:r w:rsidRPr="003E6B33">
              <w:rPr>
                <w:sz w:val="20"/>
                <w:szCs w:val="20"/>
              </w:rPr>
              <w:t>use in other DAA combinations</w:t>
            </w:r>
          </w:p>
          <w:p w:rsidR="00253F4B" w:rsidRPr="003E6B33" w:rsidRDefault="00253F4B" w:rsidP="003E6B33">
            <w:pPr>
              <w:rPr>
                <w:sz w:val="20"/>
                <w:szCs w:val="20"/>
              </w:rPr>
            </w:pPr>
            <w:r w:rsidRPr="003E6B33">
              <w:rPr>
                <w:sz w:val="20"/>
                <w:szCs w:val="20"/>
              </w:rPr>
              <w:t xml:space="preserve">use in </w:t>
            </w:r>
            <w:r w:rsidR="00237CBE" w:rsidRPr="003E6B33">
              <w:rPr>
                <w:sz w:val="20"/>
                <w:szCs w:val="20"/>
              </w:rPr>
              <w:t>paediatric</w:t>
            </w:r>
            <w:r w:rsidRPr="003E6B33">
              <w:rPr>
                <w:sz w:val="20"/>
                <w:szCs w:val="20"/>
              </w:rPr>
              <w:t xml:space="preserve"> patients</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Medication errors</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Risk of resistance development</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Fetal development toxicity (</w:t>
            </w:r>
            <w:r w:rsidR="00237CBE" w:rsidRPr="003E6B33">
              <w:rPr>
                <w:sz w:val="20"/>
                <w:szCs w:val="20"/>
              </w:rPr>
              <w:t>paritaprevir/ritonavir/ombitasvir</w:t>
            </w:r>
            <w:r w:rsidRPr="003E6B33">
              <w:rPr>
                <w:sz w:val="20"/>
                <w:szCs w:val="20"/>
              </w:rPr>
              <w:t xml:space="preserve"> only; added to the EU RMP per CHMP request)</w:t>
            </w:r>
          </w:p>
        </w:tc>
      </w:tr>
      <w:tr w:rsidR="00253F4B" w:rsidRPr="003E6B33" w:rsidTr="00C71265">
        <w:tc>
          <w:tcPr>
            <w:tcW w:w="3510" w:type="dxa"/>
            <w:vMerge/>
          </w:tcPr>
          <w:p w:rsidR="00253F4B" w:rsidRPr="003E6B33" w:rsidRDefault="00253F4B" w:rsidP="003E6B33">
            <w:pPr>
              <w:rPr>
                <w:sz w:val="20"/>
                <w:szCs w:val="20"/>
              </w:rPr>
            </w:pPr>
          </w:p>
        </w:tc>
        <w:tc>
          <w:tcPr>
            <w:tcW w:w="5210" w:type="dxa"/>
          </w:tcPr>
          <w:p w:rsidR="00253F4B" w:rsidRPr="003E6B33" w:rsidRDefault="00253F4B" w:rsidP="003E6B33">
            <w:pPr>
              <w:rPr>
                <w:sz w:val="20"/>
                <w:szCs w:val="20"/>
              </w:rPr>
            </w:pPr>
            <w:r w:rsidRPr="003E6B33">
              <w:rPr>
                <w:sz w:val="20"/>
                <w:szCs w:val="20"/>
              </w:rPr>
              <w:t>Hypersensitivity (requested by TGA)</w:t>
            </w:r>
          </w:p>
        </w:tc>
      </w:tr>
      <w:tr w:rsidR="007D369A" w:rsidRPr="003E6B33" w:rsidTr="00C71265">
        <w:tc>
          <w:tcPr>
            <w:tcW w:w="3510" w:type="dxa"/>
            <w:vMerge w:val="restart"/>
          </w:tcPr>
          <w:p w:rsidR="007D369A" w:rsidRPr="003E6B33" w:rsidRDefault="007D369A" w:rsidP="003E6B33">
            <w:pPr>
              <w:rPr>
                <w:sz w:val="20"/>
                <w:szCs w:val="20"/>
              </w:rPr>
            </w:pPr>
            <w:r w:rsidRPr="003E6B33">
              <w:rPr>
                <w:sz w:val="20"/>
                <w:szCs w:val="20"/>
              </w:rPr>
              <w:t>Important missing information</w:t>
            </w:r>
          </w:p>
        </w:tc>
        <w:tc>
          <w:tcPr>
            <w:tcW w:w="5210" w:type="dxa"/>
          </w:tcPr>
          <w:p w:rsidR="007D369A" w:rsidRPr="003E6B33" w:rsidRDefault="007D369A" w:rsidP="003E6B33">
            <w:pPr>
              <w:rPr>
                <w:sz w:val="20"/>
                <w:szCs w:val="20"/>
              </w:rPr>
            </w:pPr>
            <w:r w:rsidRPr="003E6B33">
              <w:rPr>
                <w:rFonts w:ascii="Times New Roman" w:eastAsiaTheme="minorHAnsi" w:hAnsi="Times New Roman"/>
                <w:sz w:val="20"/>
                <w:szCs w:val="20"/>
              </w:rPr>
              <w:t>Safety in patients with hepatic impairment (Child-Pugh B)</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rFonts w:ascii="Times New Roman" w:eastAsiaTheme="minorHAnsi" w:hAnsi="Times New Roman"/>
                <w:sz w:val="20"/>
                <w:szCs w:val="20"/>
              </w:rPr>
            </w:pPr>
            <w:r w:rsidRPr="003E6B33">
              <w:rPr>
                <w:rFonts w:ascii="Times New Roman" w:eastAsiaTheme="minorHAnsi" w:hAnsi="Times New Roman"/>
                <w:sz w:val="20"/>
                <w:szCs w:val="20"/>
              </w:rPr>
              <w:t>Safety in patients with renal impairment (creatinine clearance &lt; 60 mL/min)</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rFonts w:ascii="Times New Roman" w:eastAsiaTheme="minorHAnsi" w:hAnsi="Times New Roman"/>
                <w:sz w:val="20"/>
                <w:szCs w:val="20"/>
              </w:rPr>
              <w:t>Safety in transplant patients (language revised per TGA request)</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rFonts w:ascii="Times New Roman" w:eastAsiaTheme="minorHAnsi" w:hAnsi="Times New Roman"/>
                <w:sz w:val="20"/>
                <w:szCs w:val="20"/>
              </w:rPr>
              <w:t>Safety in patients co-infected with HIV-1</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rFonts w:ascii="Times New Roman" w:eastAsiaTheme="minorHAnsi" w:hAnsi="Times New Roman"/>
                <w:sz w:val="20"/>
                <w:szCs w:val="20"/>
              </w:rPr>
            </w:pPr>
            <w:r w:rsidRPr="003E6B33">
              <w:rPr>
                <w:rFonts w:ascii="Times New Roman" w:eastAsiaTheme="minorHAnsi" w:hAnsi="Times New Roman"/>
                <w:sz w:val="20"/>
                <w:szCs w:val="20"/>
              </w:rPr>
              <w:t>Safety in pregnancy in patients using the 3DAA regimen without RBV</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rFonts w:ascii="Times New Roman" w:eastAsiaTheme="minorHAnsi" w:hAnsi="Times New Roman"/>
                <w:sz w:val="20"/>
                <w:szCs w:val="20"/>
              </w:rPr>
              <w:t>Safety in patients co-infected with HBV</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rFonts w:ascii="Times New Roman" w:eastAsiaTheme="minorHAnsi" w:hAnsi="Times New Roman"/>
                <w:sz w:val="20"/>
                <w:szCs w:val="20"/>
              </w:rPr>
              <w:t>Safety in elderly patients</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rFonts w:ascii="Times New Roman" w:eastAsiaTheme="minorHAnsi" w:hAnsi="Times New Roman"/>
                <w:sz w:val="20"/>
                <w:szCs w:val="20"/>
              </w:rPr>
            </w:pPr>
            <w:r w:rsidRPr="003E6B33">
              <w:rPr>
                <w:rFonts w:ascii="Times New Roman" w:eastAsiaTheme="minorHAnsi" w:hAnsi="Times New Roman"/>
                <w:sz w:val="20"/>
                <w:szCs w:val="20"/>
              </w:rPr>
              <w:t>Safety in patients who have failed prior DAA treatments</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sz w:val="20"/>
                <w:szCs w:val="20"/>
              </w:rPr>
              <w:t>Safety in genotype 4 infected patients with cirrhosis (paritaprevir/ritonavir/ombitasvir only) (Note: a separate filing for genotype 4 is planned for Australia. This risk is currently not applicable in Australia.)</w:t>
            </w:r>
          </w:p>
        </w:tc>
      </w:tr>
      <w:tr w:rsidR="007D369A" w:rsidRPr="003E6B33" w:rsidTr="00C71265">
        <w:tc>
          <w:tcPr>
            <w:tcW w:w="3510" w:type="dxa"/>
            <w:vMerge/>
          </w:tcPr>
          <w:p w:rsidR="007D369A" w:rsidRPr="003E6B33" w:rsidRDefault="007D369A" w:rsidP="003E6B33">
            <w:pPr>
              <w:rPr>
                <w:sz w:val="20"/>
                <w:szCs w:val="20"/>
              </w:rPr>
            </w:pPr>
          </w:p>
        </w:tc>
        <w:tc>
          <w:tcPr>
            <w:tcW w:w="5210" w:type="dxa"/>
          </w:tcPr>
          <w:p w:rsidR="007D369A" w:rsidRPr="003E6B33" w:rsidRDefault="007D369A" w:rsidP="003E6B33">
            <w:pPr>
              <w:rPr>
                <w:sz w:val="20"/>
                <w:szCs w:val="20"/>
              </w:rPr>
            </w:pPr>
            <w:r w:rsidRPr="003E6B33">
              <w:rPr>
                <w:sz w:val="20"/>
                <w:szCs w:val="20"/>
              </w:rPr>
              <w:t>Safety in non-Caucasian patients (including Asian or Australian Indigenous populations) – requested by TGA</w:t>
            </w:r>
          </w:p>
        </w:tc>
      </w:tr>
      <w:tr w:rsidR="00253F4B" w:rsidRPr="003E6B33" w:rsidTr="00C71265">
        <w:tc>
          <w:tcPr>
            <w:tcW w:w="3510" w:type="dxa"/>
          </w:tcPr>
          <w:p w:rsidR="00253F4B" w:rsidRPr="003E6B33" w:rsidRDefault="00253F4B" w:rsidP="003E6B33">
            <w:pPr>
              <w:rPr>
                <w:rFonts w:asciiTheme="minorHAnsi" w:hAnsiTheme="minorHAnsi"/>
                <w:sz w:val="20"/>
                <w:szCs w:val="20"/>
              </w:rPr>
            </w:pPr>
            <w:r w:rsidRPr="003E6B33">
              <w:rPr>
                <w:rFonts w:asciiTheme="minorHAnsi" w:hAnsiTheme="minorHAnsi"/>
                <w:sz w:val="20"/>
                <w:szCs w:val="20"/>
              </w:rPr>
              <w:t>Ribavirin Annex</w:t>
            </w:r>
          </w:p>
          <w:p w:rsidR="00253F4B" w:rsidRPr="003E6B33" w:rsidRDefault="00253F4B" w:rsidP="003E6B33">
            <w:pPr>
              <w:rPr>
                <w:sz w:val="20"/>
                <w:szCs w:val="20"/>
              </w:rPr>
            </w:pPr>
            <w:r w:rsidRPr="003E6B33">
              <w:rPr>
                <w:rFonts w:asciiTheme="minorHAnsi" w:hAnsiTheme="minorHAnsi"/>
                <w:sz w:val="20"/>
                <w:szCs w:val="20"/>
              </w:rPr>
              <w:t>Important Identified Risks</w:t>
            </w:r>
          </w:p>
        </w:tc>
        <w:tc>
          <w:tcPr>
            <w:tcW w:w="5210" w:type="dxa"/>
          </w:tcPr>
          <w:p w:rsidR="00253F4B" w:rsidRPr="003E6B33" w:rsidRDefault="00253F4B" w:rsidP="003E6B33">
            <w:pPr>
              <w:rPr>
                <w:sz w:val="20"/>
                <w:szCs w:val="20"/>
              </w:rPr>
            </w:pPr>
            <w:r w:rsidRPr="003E6B33">
              <w:rPr>
                <w:sz w:val="20"/>
                <w:szCs w:val="20"/>
              </w:rPr>
              <w:t>Anaemia</w:t>
            </w:r>
          </w:p>
          <w:p w:rsidR="00253F4B" w:rsidRPr="003E6B33" w:rsidRDefault="00253F4B" w:rsidP="003E6B33">
            <w:pPr>
              <w:rPr>
                <w:sz w:val="20"/>
                <w:szCs w:val="20"/>
              </w:rPr>
            </w:pPr>
            <w:r w:rsidRPr="003E6B33">
              <w:rPr>
                <w:sz w:val="20"/>
                <w:szCs w:val="20"/>
              </w:rPr>
              <w:t>Teratogenicity</w:t>
            </w:r>
          </w:p>
          <w:p w:rsidR="00253F4B" w:rsidRPr="003E6B33" w:rsidRDefault="00253F4B" w:rsidP="003E6B33">
            <w:pPr>
              <w:rPr>
                <w:sz w:val="20"/>
                <w:szCs w:val="20"/>
              </w:rPr>
            </w:pPr>
            <w:r w:rsidRPr="003E6B33">
              <w:rPr>
                <w:sz w:val="20"/>
                <w:szCs w:val="20"/>
              </w:rPr>
              <w:lastRenderedPageBreak/>
              <w:t>Hypersensitivity</w:t>
            </w:r>
          </w:p>
          <w:p w:rsidR="00253F4B" w:rsidRPr="003E6B33" w:rsidRDefault="00253F4B" w:rsidP="003E6B33">
            <w:pPr>
              <w:rPr>
                <w:sz w:val="20"/>
                <w:szCs w:val="20"/>
              </w:rPr>
            </w:pPr>
            <w:r w:rsidRPr="003E6B33">
              <w:rPr>
                <w:sz w:val="20"/>
                <w:szCs w:val="20"/>
              </w:rPr>
              <w:t>Use in patients with renal impairment</w:t>
            </w:r>
          </w:p>
          <w:p w:rsidR="00253F4B" w:rsidRPr="003E6B33" w:rsidRDefault="00253F4B" w:rsidP="003E6B33">
            <w:pPr>
              <w:rPr>
                <w:sz w:val="20"/>
                <w:szCs w:val="20"/>
              </w:rPr>
            </w:pPr>
            <w:r w:rsidRPr="003E6B33">
              <w:rPr>
                <w:sz w:val="20"/>
                <w:szCs w:val="20"/>
              </w:rPr>
              <w:t>Drug-drug interactions</w:t>
            </w:r>
          </w:p>
          <w:p w:rsidR="00253F4B" w:rsidRPr="003E6B33" w:rsidRDefault="00253F4B" w:rsidP="003E6B33">
            <w:pPr>
              <w:rPr>
                <w:sz w:val="20"/>
                <w:szCs w:val="20"/>
              </w:rPr>
            </w:pPr>
            <w:r w:rsidRPr="003E6B33">
              <w:rPr>
                <w:sz w:val="20"/>
                <w:szCs w:val="20"/>
              </w:rPr>
              <w:t>Mitochondrial toxicity</w:t>
            </w:r>
          </w:p>
        </w:tc>
      </w:tr>
    </w:tbl>
    <w:p w:rsidR="00D67B18" w:rsidRPr="00E250EA" w:rsidRDefault="00D67B18" w:rsidP="00D67B18">
      <w:pPr>
        <w:pStyle w:val="Heading5"/>
      </w:pPr>
      <w:r w:rsidRPr="00E250EA">
        <w:lastRenderedPageBreak/>
        <w:t>Suggested wording</w:t>
      </w:r>
      <w:r w:rsidR="00427E0D" w:rsidRPr="00E250EA">
        <w:t xml:space="preserve"> for conditions of registration</w:t>
      </w:r>
    </w:p>
    <w:p w:rsidR="00D67B18" w:rsidRPr="00E250EA" w:rsidRDefault="00D67B18" w:rsidP="00D67B18">
      <w:r w:rsidRPr="00E250EA">
        <w:t>RMP</w:t>
      </w:r>
    </w:p>
    <w:p w:rsidR="00D67B18" w:rsidRPr="00D67B18" w:rsidRDefault="00D67B18" w:rsidP="00D67B18">
      <w:r w:rsidRPr="00E250EA">
        <w:t>Implement RMP (in EU-RMP format) Version 1.2 (dated February 2015, DLP 24 January 2014) and Australian Specific Annex (ASA) Version 1.2 (dated February 2015) and any future updates as a condition of registration.</w:t>
      </w:r>
    </w:p>
    <w:p w:rsidR="008E7846" w:rsidRPr="00792A32" w:rsidRDefault="008E7846" w:rsidP="008E7846">
      <w:pPr>
        <w:pStyle w:val="Heading2"/>
      </w:pPr>
      <w:bookmarkStart w:id="196" w:name="_Toc314842510"/>
      <w:bookmarkStart w:id="197" w:name="_Toc48081159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56"/>
      <w:bookmarkEnd w:id="195"/>
      <w:bookmarkEnd w:id="196"/>
      <w:bookmarkEnd w:id="197"/>
    </w:p>
    <w:p w:rsidR="008E7846" w:rsidRDefault="008E7846" w:rsidP="008E7846">
      <w:bookmarkStart w:id="198" w:name="_Toc247691528"/>
      <w:r>
        <w:t xml:space="preserve">The submission was summarised in the following </w:t>
      </w:r>
      <w:r w:rsidRPr="00EF5C48">
        <w:t xml:space="preserve">Delegate’s </w:t>
      </w:r>
      <w:r>
        <w:t>overview</w:t>
      </w:r>
      <w:r w:rsidRPr="00EF5C48">
        <w:t xml:space="preserve"> and recommendation</w:t>
      </w:r>
      <w:r w:rsidR="00427E0D">
        <w:t>s.</w:t>
      </w:r>
    </w:p>
    <w:p w:rsidR="008E7846" w:rsidRDefault="008E7846" w:rsidP="008E7846">
      <w:pPr>
        <w:pStyle w:val="Heading3"/>
      </w:pPr>
      <w:bookmarkStart w:id="199" w:name="_Toc314842511"/>
      <w:bookmarkStart w:id="200" w:name="_Toc480811594"/>
      <w:r>
        <w:t>Quality</w:t>
      </w:r>
      <w:bookmarkEnd w:id="198"/>
      <w:bookmarkEnd w:id="199"/>
      <w:bookmarkEnd w:id="200"/>
    </w:p>
    <w:p w:rsidR="00F306A9" w:rsidRPr="00F306A9" w:rsidRDefault="00F306A9" w:rsidP="00F306A9">
      <w:r w:rsidRPr="00F306A9">
        <w:t>A consequence of evaluating three new active substances and a new version of ribavirin is that there was a large amount of information. Key points are summarised here. Detailed information is provided in the reports for each respective submission (</w:t>
      </w:r>
      <w:r w:rsidR="008B6F3C">
        <w:t>Viekira Pak</w:t>
      </w:r>
      <w:r w:rsidRPr="00F306A9">
        <w:t xml:space="preserve">, PM 2014-01436-1-2 and </w:t>
      </w:r>
      <w:r w:rsidR="008B6F3C">
        <w:t>Viekira Pak</w:t>
      </w:r>
      <w:r w:rsidRPr="00F306A9">
        <w:t>-RBV, PM 2014-01438-1-2).</w:t>
      </w:r>
    </w:p>
    <w:p w:rsidR="00F306A9" w:rsidRPr="00F306A9" w:rsidRDefault="00F306A9" w:rsidP="00F306A9">
      <w:r w:rsidRPr="00F306A9">
        <w:t xml:space="preserve">Registration of the proposed </w:t>
      </w:r>
      <w:r w:rsidR="008B6F3C">
        <w:t>Viekira Pak</w:t>
      </w:r>
      <w:r w:rsidRPr="00F306A9">
        <w:t xml:space="preserve"> and </w:t>
      </w:r>
      <w:r w:rsidR="008B6F3C">
        <w:t>Viekira Pak</w:t>
      </w:r>
      <w:r w:rsidRPr="00F306A9">
        <w:t>-RBV combination therapy composite packs was recommended with respect to quality and biopharmaceutic aspects. All issues raised during the initial evaluation of this application were satisfactorily resolved apart from a minor PI issue and some labelling revisions.</w:t>
      </w:r>
    </w:p>
    <w:p w:rsidR="008E7846" w:rsidRDefault="008E7846" w:rsidP="008E7846">
      <w:pPr>
        <w:pStyle w:val="Heading3"/>
      </w:pPr>
      <w:bookmarkStart w:id="201" w:name="_Toc314842512"/>
      <w:bookmarkStart w:id="202" w:name="_Toc480811595"/>
      <w:r>
        <w:t>Nonclinical</w:t>
      </w:r>
      <w:bookmarkEnd w:id="201"/>
      <w:bookmarkEnd w:id="202"/>
    </w:p>
    <w:p w:rsidR="00F306A9" w:rsidRPr="00F306A9" w:rsidRDefault="00427E0D" w:rsidP="00F306A9">
      <w:bookmarkStart w:id="203" w:name="_Toc247691530"/>
      <w:bookmarkStart w:id="204" w:name="_Toc314842513"/>
      <w:r>
        <w:t>For the non</w:t>
      </w:r>
      <w:r w:rsidR="00F306A9" w:rsidRPr="00F306A9">
        <w:t>clinical evaluation, reports were provided for the individual new active substances (paritaprevir, ombitasvir and dasabuvir) as three separate attachments, in addition to the report for the fixed dose combination. Detailed information is provided in these reports.</w:t>
      </w:r>
    </w:p>
    <w:p w:rsidR="00F306A9" w:rsidRPr="00F306A9" w:rsidRDefault="00F306A9" w:rsidP="00F306A9">
      <w:r w:rsidRPr="00F306A9">
        <w:t xml:space="preserve">There were no nonclinical objections to the registration of </w:t>
      </w:r>
      <w:r w:rsidR="008B6F3C">
        <w:t>Viekira Pak</w:t>
      </w:r>
      <w:r w:rsidRPr="00F306A9">
        <w:t xml:space="preserve"> and </w:t>
      </w:r>
      <w:r w:rsidR="00427E0D">
        <w:t>Viekira </w:t>
      </w:r>
      <w:r w:rsidR="008B6F3C">
        <w:t>Pak</w:t>
      </w:r>
      <w:r w:rsidR="00427E0D">
        <w:noBreakHyphen/>
      </w:r>
      <w:r w:rsidRPr="00F306A9">
        <w:t xml:space="preserve">RBV. The overall quality of the submission was high. Only limited combination toxicology studies were submitted, which is in accordance with a new FDA draft guidance document for HCV </w:t>
      </w:r>
      <w:r w:rsidR="00237CBE">
        <w:t>3DAA</w:t>
      </w:r>
      <w:r w:rsidRPr="00F306A9">
        <w:t xml:space="preserve"> treatments, and was considered to be acceptable.</w:t>
      </w:r>
    </w:p>
    <w:p w:rsidR="00F306A9" w:rsidRPr="00F306A9" w:rsidRDefault="00F306A9" w:rsidP="00F306A9">
      <w:r w:rsidRPr="00F306A9">
        <w:t xml:space="preserve">While a pregnancy category of B1 is appropriate for paritaprevir, ombitasvir and dasabuvir alone, it was noted that ritonavir alone has a pregnancy category of B3. The nonclinical data do not support a change for ritonavir to B1.This has been accepted by the sponsor with the recent response to </w:t>
      </w:r>
      <w:r w:rsidR="00E5395F">
        <w:t>the second round</w:t>
      </w:r>
      <w:r w:rsidRPr="00F306A9">
        <w:t xml:space="preserve"> </w:t>
      </w:r>
      <w:r w:rsidR="00E5395F" w:rsidRPr="00F306A9">
        <w:t xml:space="preserve">evaluation reports </w:t>
      </w:r>
      <w:r w:rsidRPr="00F306A9">
        <w:t>(29 April 2015).</w:t>
      </w:r>
    </w:p>
    <w:p w:rsidR="008E7846" w:rsidRDefault="008E7846" w:rsidP="008E7846">
      <w:pPr>
        <w:pStyle w:val="Heading3"/>
      </w:pPr>
      <w:bookmarkStart w:id="205" w:name="_Toc480811596"/>
      <w:r>
        <w:t>Clinical</w:t>
      </w:r>
      <w:bookmarkEnd w:id="203"/>
      <w:bookmarkEnd w:id="204"/>
      <w:bookmarkEnd w:id="205"/>
    </w:p>
    <w:p w:rsidR="00F306A9" w:rsidRPr="00F306A9" w:rsidRDefault="00F306A9" w:rsidP="00F306A9">
      <w:bookmarkStart w:id="206" w:name="_Toc314842514"/>
      <w:r w:rsidRPr="00F306A9">
        <w:t>The submission contained the following information</w:t>
      </w:r>
      <w:r>
        <w:t>:</w:t>
      </w:r>
    </w:p>
    <w:p w:rsidR="00F306A9" w:rsidRPr="00F306A9" w:rsidRDefault="00F306A9" w:rsidP="00F306A9">
      <w:pPr>
        <w:pStyle w:val="ListBullet"/>
      </w:pPr>
      <w:r w:rsidRPr="00F306A9">
        <w:lastRenderedPageBreak/>
        <w:t>61 clinical pharmacology studies, including 59 that provided PK data and five studies that provided pharmacodynamic data.</w:t>
      </w:r>
    </w:p>
    <w:p w:rsidR="00F306A9" w:rsidRPr="00F306A9" w:rsidRDefault="00F306A9" w:rsidP="00F306A9">
      <w:pPr>
        <w:pStyle w:val="ListBullet"/>
      </w:pPr>
      <w:r w:rsidRPr="00F306A9">
        <w:t>Two population PK analyses.</w:t>
      </w:r>
    </w:p>
    <w:p w:rsidR="00F306A9" w:rsidRPr="00F306A9" w:rsidRDefault="00F306A9" w:rsidP="00F306A9">
      <w:pPr>
        <w:pStyle w:val="ListBullet"/>
      </w:pPr>
      <w:r w:rsidRPr="00F306A9">
        <w:t>Six pivotal efficacy/safety studies: M11-646 (Sapphire-I), M13-098 (Sapphire-II), M13-389 (PEARL-II), M13-961 (PEARL-III), M14-002 (PEARL-IV), M13-099 (TURQUOISE II).</w:t>
      </w:r>
    </w:p>
    <w:p w:rsidR="00F306A9" w:rsidRPr="00F306A9" w:rsidRDefault="00F306A9" w:rsidP="00F306A9">
      <w:pPr>
        <w:pStyle w:val="ListBullet"/>
      </w:pPr>
      <w:r w:rsidRPr="00F306A9">
        <w:t xml:space="preserve">Multiple </w:t>
      </w:r>
      <w:r w:rsidR="00F201F8">
        <w:t>Phase I</w:t>
      </w:r>
      <w:r w:rsidRPr="00F306A9">
        <w:t xml:space="preserve"> and </w:t>
      </w:r>
      <w:r w:rsidR="00A71C23">
        <w:t>II</w:t>
      </w:r>
      <w:r w:rsidRPr="00F306A9">
        <w:t xml:space="preserve"> studies used to justify the selected regimen, dose and treatment duration.</w:t>
      </w:r>
    </w:p>
    <w:p w:rsidR="00F306A9" w:rsidRPr="00F306A9" w:rsidRDefault="00F306A9" w:rsidP="00F306A9">
      <w:pPr>
        <w:pStyle w:val="ListBullet"/>
      </w:pPr>
      <w:r w:rsidRPr="00F306A9">
        <w:t xml:space="preserve">Five other efficacy/safety studies: M12-114, M13-386, M12-746, M12-998, M14-103. The preliminary report of a long-term follow-up study (M13-102) of all patients who had received </w:t>
      </w:r>
      <w:r w:rsidR="00237CBE">
        <w:t>3DAA</w:t>
      </w:r>
      <w:r w:rsidRPr="00F306A9">
        <w:t xml:space="preserve"> in a </w:t>
      </w:r>
      <w:r w:rsidR="00F201F8">
        <w:t>Phase II</w:t>
      </w:r>
      <w:r w:rsidRPr="00F306A9">
        <w:t xml:space="preserve"> or </w:t>
      </w:r>
      <w:r w:rsidR="00167A1A">
        <w:t>III</w:t>
      </w:r>
      <w:r w:rsidRPr="00F306A9">
        <w:t xml:space="preserve"> study was also included.</w:t>
      </w:r>
    </w:p>
    <w:p w:rsidR="00F306A9" w:rsidRPr="00F306A9" w:rsidRDefault="00F306A9" w:rsidP="00F306A9">
      <w:pPr>
        <w:pStyle w:val="ListBullet"/>
      </w:pPr>
      <w:r w:rsidRPr="00F306A9">
        <w:t xml:space="preserve">Two additional efficacy/safety studies not directly related to the proposed indication: M11-652, a completed </w:t>
      </w:r>
      <w:r w:rsidR="00F201F8">
        <w:t>Phase II</w:t>
      </w:r>
      <w:r w:rsidRPr="00F306A9">
        <w:t xml:space="preserve"> study in patients with </w:t>
      </w:r>
      <w:r w:rsidR="00202E0D">
        <w:t>genotype</w:t>
      </w:r>
      <w:r w:rsidRPr="00F306A9">
        <w:t xml:space="preserve">1 infection given </w:t>
      </w:r>
      <w:r w:rsidR="00237CBE">
        <w:t>3DAA</w:t>
      </w:r>
      <w:r w:rsidRPr="00F306A9">
        <w:t xml:space="preserve"> +/- RBV for 8, 12 or 24 weeks; and M13-393(PEARL-1), an ongoing study in patients with </w:t>
      </w:r>
      <w:r w:rsidR="00202E0D">
        <w:t>genotype</w:t>
      </w:r>
      <w:r w:rsidRPr="00F306A9">
        <w:t>4 infection t</w:t>
      </w:r>
      <w:r w:rsidR="00A71C23">
        <w:t>reated with a 2DAA combination.</w:t>
      </w:r>
    </w:p>
    <w:p w:rsidR="00F306A9" w:rsidRPr="00F306A9" w:rsidRDefault="00F306A9" w:rsidP="00F306A9">
      <w:pPr>
        <w:pStyle w:val="ListBullet"/>
      </w:pPr>
      <w:r w:rsidRPr="00F306A9">
        <w:t>Pooled efficacy and safety analyses, Integrated Summary of Efficacy, Integrated Summary of Safety.</w:t>
      </w:r>
    </w:p>
    <w:p w:rsidR="00F306A9" w:rsidRPr="00F306A9" w:rsidRDefault="00F306A9" w:rsidP="00F306A9">
      <w:pPr>
        <w:pStyle w:val="Heading4"/>
      </w:pPr>
      <w:r w:rsidRPr="00F306A9">
        <w:t>Pharmacology</w:t>
      </w:r>
      <w:r>
        <w:t xml:space="preserve"> and </w:t>
      </w:r>
      <w:r w:rsidR="003E6B33">
        <w:t>p</w:t>
      </w:r>
      <w:r w:rsidRPr="00F306A9">
        <w:t>harmacokinetics</w:t>
      </w:r>
    </w:p>
    <w:p w:rsidR="00F306A9" w:rsidRPr="00F306A9" w:rsidRDefault="00F306A9" w:rsidP="00F306A9">
      <w:r w:rsidRPr="00F306A9">
        <w:t>Key points include the following</w:t>
      </w:r>
      <w:r w:rsidR="00427E0D">
        <w:t>:</w:t>
      </w:r>
    </w:p>
    <w:p w:rsidR="00F306A9" w:rsidRPr="00F306A9" w:rsidRDefault="00F306A9" w:rsidP="00F306A9">
      <w:r w:rsidRPr="00F306A9">
        <w:t>A number of different formulations of the active drugs were used during the clinical trial program.</w:t>
      </w:r>
    </w:p>
    <w:p w:rsidR="00F306A9" w:rsidRPr="00F306A9" w:rsidRDefault="00F306A9" w:rsidP="00F306A9">
      <w:r w:rsidRPr="00F306A9">
        <w:t xml:space="preserve">With regards to dose selection and dose duration, the evaluator commented that conventional dose ranging studies were not feasible in chronic HCV infection because of the dangers of viral resistance in patients who receive potentially sub-optimal treatment. This was particularly relevant to a novel </w:t>
      </w:r>
      <w:r w:rsidR="00237CBE">
        <w:t>3DAA</w:t>
      </w:r>
      <w:r w:rsidRPr="00F306A9">
        <w:t xml:space="preserve"> combination. The dosage and regimen selected for the </w:t>
      </w:r>
      <w:r w:rsidR="00F201F8">
        <w:t>Phase III</w:t>
      </w:r>
      <w:r w:rsidRPr="00F306A9">
        <w:t xml:space="preserve"> studies was appropriate after consideration of a large b</w:t>
      </w:r>
      <w:r w:rsidR="00427E0D">
        <w:t>ody of in vitro and in vivo pre</w:t>
      </w:r>
      <w:r w:rsidRPr="00F306A9">
        <w:t xml:space="preserve">clinical and </w:t>
      </w:r>
      <w:r w:rsidR="00F201F8">
        <w:t>Phase I</w:t>
      </w:r>
      <w:r w:rsidR="00A71C23">
        <w:t xml:space="preserve"> and II</w:t>
      </w:r>
      <w:r w:rsidRPr="00F306A9">
        <w:t xml:space="preserve"> data. For the </w:t>
      </w:r>
      <w:r w:rsidR="00F201F8">
        <w:t>Phase II</w:t>
      </w:r>
      <w:r w:rsidRPr="00F306A9">
        <w:t xml:space="preserve"> and </w:t>
      </w:r>
      <w:r w:rsidR="00167A1A">
        <w:t>III</w:t>
      </w:r>
      <w:r w:rsidRPr="00F306A9">
        <w:t xml:space="preserve"> studies, the optimal treatment duration was assumed to be 12 weeks but SVR rates were compared in different patient groups during treatment</w:t>
      </w:r>
      <w:r w:rsidR="00427E0D">
        <w:t xml:space="preserve"> periods of 8, 12 and 24 weeks.</w:t>
      </w:r>
    </w:p>
    <w:p w:rsidR="00F306A9" w:rsidRDefault="00A71C23" w:rsidP="003E6B33">
      <w:pPr>
        <w:ind w:right="-427"/>
      </w:pPr>
      <w:r>
        <w:t>P</w:t>
      </w:r>
      <w:r w:rsidR="00F573D0">
        <w:t>aritaprevir</w:t>
      </w:r>
      <w:r w:rsidR="00427E0D">
        <w:t xml:space="preserve"> displays non</w:t>
      </w:r>
      <w:r w:rsidR="00F306A9" w:rsidRPr="00F306A9">
        <w:t xml:space="preserve">linear pharmacokinetics with the addition of ritonavir providing considerable boosting over and above the </w:t>
      </w:r>
      <w:r w:rsidR="00F573D0">
        <w:t>paritaprevir</w:t>
      </w:r>
      <w:r w:rsidR="00F306A9" w:rsidRPr="00F306A9">
        <w:t xml:space="preserve"> </w:t>
      </w:r>
      <w:r w:rsidR="00F306A9" w:rsidRPr="00A456BC">
        <w:t xml:space="preserve">pharmacokinetics (Tables </w:t>
      </w:r>
      <w:r w:rsidR="00A456BC" w:rsidRPr="00A456BC">
        <w:t>2</w:t>
      </w:r>
      <w:r w:rsidR="00654113">
        <w:t>8</w:t>
      </w:r>
      <w:r w:rsidR="00A456BC" w:rsidRPr="00A456BC">
        <w:t xml:space="preserve"> and</w:t>
      </w:r>
      <w:r w:rsidR="00F306A9" w:rsidRPr="00A456BC">
        <w:t xml:space="preserve"> </w:t>
      </w:r>
      <w:r w:rsidR="00A456BC">
        <w:t>2</w:t>
      </w:r>
      <w:r w:rsidR="00654113">
        <w:t>9</w:t>
      </w:r>
      <w:r w:rsidR="00F306A9" w:rsidRPr="00F306A9">
        <w:t>).</w:t>
      </w:r>
    </w:p>
    <w:p w:rsidR="00C96E40" w:rsidRDefault="00C96E40" w:rsidP="00654113">
      <w:pPr>
        <w:pStyle w:val="Tabletitle0"/>
      </w:pPr>
      <w:r w:rsidRPr="00A456BC">
        <w:lastRenderedPageBreak/>
        <w:t xml:space="preserve">Table </w:t>
      </w:r>
      <w:r w:rsidR="00A456BC" w:rsidRPr="00A456BC">
        <w:t>2</w:t>
      </w:r>
      <w:r w:rsidR="00654113">
        <w:t>8</w:t>
      </w:r>
      <w:r w:rsidR="00A456BC" w:rsidRPr="00A456BC">
        <w:t>:</w:t>
      </w:r>
      <w:r w:rsidRPr="00A456BC">
        <w:t xml:space="preserve"> Study M10</w:t>
      </w:r>
      <w:r>
        <w:t>-749</w:t>
      </w:r>
      <w:r w:rsidR="00A456BC">
        <w:t>.</w:t>
      </w:r>
      <w:r>
        <w:t xml:space="preserve"> The mean ± SD PK parameters of </w:t>
      </w:r>
      <w:r w:rsidR="00237CBE">
        <w:t>paritaprevir</w:t>
      </w:r>
      <w:r w:rsidR="00E5395F">
        <w:t xml:space="preserve"> (paritaprevir)</w:t>
      </w:r>
      <w:r w:rsidR="00EA75EF">
        <w:t xml:space="preserve"> in s</w:t>
      </w:r>
      <w:r>
        <w:t>ubstudy 1 after single dose administration</w:t>
      </w:r>
    </w:p>
    <w:p w:rsidR="00C96E40" w:rsidRDefault="00C96E40" w:rsidP="00F306A9">
      <w:r>
        <w:rPr>
          <w:noProof/>
          <w:lang w:eastAsia="en-AU"/>
        </w:rPr>
        <w:drawing>
          <wp:inline distT="0" distB="0" distL="0" distR="0" wp14:anchorId="2BD2CA66" wp14:editId="50AB74B5">
            <wp:extent cx="4905375" cy="2314575"/>
            <wp:effectExtent l="0" t="0" r="9525" b="9525"/>
            <wp:docPr id="24" name="Picture 24" descr="Table 28: Study M10-749. The mean ± SD PK parameters of ABT-450 (paritaprevir) in Substudy 1 after single dos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05375" cy="2314575"/>
                    </a:xfrm>
                    <a:prstGeom prst="rect">
                      <a:avLst/>
                    </a:prstGeom>
                  </pic:spPr>
                </pic:pic>
              </a:graphicData>
            </a:graphic>
          </wp:inline>
        </w:drawing>
      </w:r>
    </w:p>
    <w:p w:rsidR="00C96E40" w:rsidRDefault="00C96E40" w:rsidP="00654113">
      <w:pPr>
        <w:pStyle w:val="Tabletitle0"/>
      </w:pPr>
      <w:r w:rsidRPr="00A456BC">
        <w:t xml:space="preserve">Table </w:t>
      </w:r>
      <w:r w:rsidR="00654113">
        <w:t>29</w:t>
      </w:r>
      <w:r w:rsidR="00A456BC" w:rsidRPr="00A456BC">
        <w:t>:</w:t>
      </w:r>
      <w:r w:rsidRPr="00A456BC">
        <w:t xml:space="preserve"> Study</w:t>
      </w:r>
      <w:r>
        <w:t xml:space="preserve"> M10-749</w:t>
      </w:r>
    </w:p>
    <w:p w:rsidR="00C96E40" w:rsidRPr="00F306A9" w:rsidRDefault="00C96E40" w:rsidP="00F306A9">
      <w:r>
        <w:rPr>
          <w:noProof/>
          <w:lang w:eastAsia="en-AU"/>
        </w:rPr>
        <w:drawing>
          <wp:inline distT="0" distB="0" distL="0" distR="0" wp14:anchorId="5CA932CC" wp14:editId="620E9D4A">
            <wp:extent cx="5172075" cy="2619375"/>
            <wp:effectExtent l="0" t="0" r="9525" b="9525"/>
            <wp:docPr id="32" name="Picture 32" descr="Table 29: Study M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72075" cy="2619375"/>
                    </a:xfrm>
                    <a:prstGeom prst="rect">
                      <a:avLst/>
                    </a:prstGeom>
                  </pic:spPr>
                </pic:pic>
              </a:graphicData>
            </a:graphic>
          </wp:inline>
        </w:drawing>
      </w:r>
    </w:p>
    <w:p w:rsidR="00F306A9" w:rsidRPr="00F306A9" w:rsidRDefault="00F306A9" w:rsidP="00F306A9">
      <w:pPr>
        <w:pStyle w:val="Heading5"/>
      </w:pPr>
      <w:r w:rsidRPr="00F306A9">
        <w:t>Bioavailability</w:t>
      </w:r>
    </w:p>
    <w:p w:rsidR="00F306A9" w:rsidRPr="00F306A9" w:rsidRDefault="00F306A9" w:rsidP="00F306A9">
      <w:r w:rsidRPr="00F306A9">
        <w:t>Studies to determine the absolute bioavailabi</w:t>
      </w:r>
      <w:r w:rsidR="00590286">
        <w:t>lity of paritaprevir</w:t>
      </w:r>
      <w:r w:rsidRPr="00F306A9">
        <w:t xml:space="preserve"> and </w:t>
      </w:r>
      <w:r w:rsidR="00590286">
        <w:t>ombitasvir</w:t>
      </w:r>
      <w:r w:rsidRPr="00F306A9">
        <w:t xml:space="preserve"> were not conducted. The sponsor provided a justification for this, based on the extensive PK evaluation which was acce</w:t>
      </w:r>
      <w:r w:rsidR="00A71C23">
        <w:t>pted by the clinical evaluator.</w:t>
      </w:r>
    </w:p>
    <w:p w:rsidR="00F306A9" w:rsidRDefault="00F306A9" w:rsidP="00F306A9">
      <w:r w:rsidRPr="00F306A9">
        <w:t>The absolute bioavailability of a 400 mg oral tablet dose of dasab</w:t>
      </w:r>
      <w:r w:rsidR="00590286">
        <w:t>uvir</w:t>
      </w:r>
      <w:r w:rsidRPr="00F306A9">
        <w:t xml:space="preserve"> compared to an intravenous micro</w:t>
      </w:r>
      <w:r w:rsidR="007D369A">
        <w:t>-</w:t>
      </w:r>
      <w:r w:rsidRPr="00F306A9">
        <w:t xml:space="preserve">dose of approximately 85 </w:t>
      </w:r>
      <w:r w:rsidR="00913482">
        <w:t>µ</w:t>
      </w:r>
      <w:r w:rsidR="00913482" w:rsidRPr="00E56F3B">
        <w:t>g</w:t>
      </w:r>
      <w:r w:rsidRPr="00F306A9">
        <w:t xml:space="preserve"> of </w:t>
      </w:r>
      <w:r w:rsidR="00630EF4" w:rsidRPr="00630EF4">
        <w:rPr>
          <w:vertAlign w:val="superscript"/>
        </w:rPr>
        <w:t>14</w:t>
      </w:r>
      <w:r w:rsidR="00630EF4" w:rsidRPr="003E036A">
        <w:t>C</w:t>
      </w:r>
      <w:r w:rsidRPr="00F306A9">
        <w:t>-</w:t>
      </w:r>
      <w:r w:rsidR="00590286">
        <w:t>dasabuvir</w:t>
      </w:r>
      <w:r w:rsidR="006123CE">
        <w:t xml:space="preserve"> was 46%. Study M13-331</w:t>
      </w:r>
      <w:r w:rsidRPr="00F306A9">
        <w:t xml:space="preserve"> assessed the relative bioavailability of the 250 mg </w:t>
      </w:r>
      <w:r w:rsidR="00590286">
        <w:t>dasabuvir</w:t>
      </w:r>
      <w:r w:rsidRPr="00F306A9">
        <w:t xml:space="preserve"> optimised formulation intended for </w:t>
      </w:r>
      <w:r w:rsidR="00F201F8">
        <w:t>Phase III</w:t>
      </w:r>
      <w:r w:rsidRPr="00F306A9">
        <w:t xml:space="preserve">, compared to the 400 mg </w:t>
      </w:r>
      <w:r w:rsidR="00590286">
        <w:t>dasabuvir</w:t>
      </w:r>
      <w:r w:rsidRPr="00F306A9">
        <w:t xml:space="preserve"> </w:t>
      </w:r>
      <w:r w:rsidR="00F201F8">
        <w:t>Phase II</w:t>
      </w:r>
      <w:r w:rsidRPr="00F306A9">
        <w:t xml:space="preserve">b formulation.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values for </w:t>
      </w:r>
      <w:r w:rsidR="00590286">
        <w:t>dasabuvir</w:t>
      </w:r>
      <w:r w:rsidRPr="00F306A9">
        <w:t xml:space="preserve"> were bioequivalent following administration of the 250 mg optimised tablet and the 400 mg formulation</w:t>
      </w:r>
      <w:r>
        <w:t xml:space="preserve"> </w:t>
      </w:r>
      <w:r w:rsidRPr="00A456BC">
        <w:t xml:space="preserve">(Table </w:t>
      </w:r>
      <w:r w:rsidR="00654113">
        <w:t>30</w:t>
      </w:r>
      <w:r w:rsidR="00E5395F" w:rsidRPr="00A456BC">
        <w:t>)</w:t>
      </w:r>
      <w:r w:rsidRPr="00A456BC">
        <w:t>.</w:t>
      </w:r>
    </w:p>
    <w:p w:rsidR="006123CE" w:rsidRDefault="006123CE" w:rsidP="006123CE">
      <w:pPr>
        <w:pStyle w:val="Tabletitle0"/>
      </w:pPr>
      <w:r w:rsidRPr="00A456BC">
        <w:lastRenderedPageBreak/>
        <w:t xml:space="preserve">Table </w:t>
      </w:r>
      <w:r w:rsidR="00654113">
        <w:t>30</w:t>
      </w:r>
      <w:r w:rsidR="00A456BC" w:rsidRPr="00A456BC">
        <w:t>:</w:t>
      </w:r>
      <w:r w:rsidRPr="00A456BC">
        <w:t xml:space="preserve"> Study M13</w:t>
      </w:r>
      <w:r>
        <w:t>-331</w:t>
      </w:r>
    </w:p>
    <w:p w:rsidR="006123CE" w:rsidRPr="00F306A9" w:rsidRDefault="006123CE" w:rsidP="00F306A9">
      <w:r>
        <w:rPr>
          <w:noProof/>
          <w:lang w:eastAsia="en-AU"/>
        </w:rPr>
        <w:drawing>
          <wp:inline distT="0" distB="0" distL="0" distR="0" wp14:anchorId="65B51046" wp14:editId="6E3E38F3">
            <wp:extent cx="5095875" cy="3219450"/>
            <wp:effectExtent l="0" t="0" r="9525" b="0"/>
            <wp:docPr id="33" name="Picture 33" descr="Table 30: Study M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5875" cy="3219450"/>
                    </a:xfrm>
                    <a:prstGeom prst="rect">
                      <a:avLst/>
                    </a:prstGeom>
                  </pic:spPr>
                </pic:pic>
              </a:graphicData>
            </a:graphic>
          </wp:inline>
        </w:drawing>
      </w:r>
    </w:p>
    <w:p w:rsidR="00F306A9" w:rsidRPr="00F306A9" w:rsidRDefault="00F306A9" w:rsidP="00F306A9">
      <w:pPr>
        <w:pStyle w:val="Heading5"/>
      </w:pPr>
      <w:r w:rsidRPr="00F306A9">
        <w:t>Food-effect</w:t>
      </w:r>
    </w:p>
    <w:p w:rsidR="00F306A9" w:rsidRPr="00F306A9" w:rsidRDefault="00F306A9" w:rsidP="00F306A9">
      <w:r w:rsidRPr="00F306A9">
        <w:t>Exposures of all four drugs were increased by administration with a moderate or</w:t>
      </w:r>
      <w:r>
        <w:t xml:space="preserve"> </w:t>
      </w:r>
      <w:r w:rsidRPr="00F306A9">
        <w:t>high fat meal, with the highest increases ob</w:t>
      </w:r>
      <w:r w:rsidR="00590286">
        <w:t>served for paritaprevir and ombitasvir.</w:t>
      </w:r>
      <w:bookmarkStart w:id="207" w:name="_Ref473549299"/>
      <w:r w:rsidRPr="00590286">
        <w:rPr>
          <w:vertAlign w:val="superscript"/>
        </w:rPr>
        <w:footnoteReference w:id="74"/>
      </w:r>
      <w:bookmarkEnd w:id="207"/>
      <w:r w:rsidR="004024BC">
        <w:t xml:space="preserve"> </w:t>
      </w:r>
      <w:r w:rsidRPr="00F306A9">
        <w:t xml:space="preserve">Following administration of the proposed daily dose of the co-formulated </w:t>
      </w:r>
      <w:r w:rsidR="00F573D0">
        <w:t>paritaprevir</w:t>
      </w:r>
      <w:r w:rsidR="00630EF4">
        <w:t xml:space="preserve">/ritonavir/ </w:t>
      </w:r>
      <w:r w:rsidR="00590286">
        <w:t>ombitasvir</w:t>
      </w:r>
      <w:r w:rsidRPr="00F306A9">
        <w:t xml:space="preserve"> tablet, a </w:t>
      </w:r>
      <w:r w:rsidR="009F7EDA">
        <w:t>moderate fat</w:t>
      </w:r>
      <w:r w:rsidRPr="00F306A9">
        <w:t xml:space="preserve"> breakfast increased the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of </w:t>
      </w:r>
      <w:r w:rsidR="00F573D0">
        <w:t>paritaprevir</w:t>
      </w:r>
      <w:r w:rsidRPr="00F306A9">
        <w:t xml:space="preserve"> by 4.6</w:t>
      </w:r>
      <w:r w:rsidR="009C3D3A">
        <w:t xml:space="preserve">7 </w:t>
      </w:r>
      <w:r w:rsidRPr="00F306A9">
        <w:t>and 3.11</w:t>
      </w:r>
      <w:r w:rsidR="00BF1FC5">
        <w:t xml:space="preserve"> fold</w:t>
      </w:r>
      <w:r w:rsidRPr="00F306A9">
        <w:t>, respectively, compared to administration under fasted conditions</w:t>
      </w:r>
      <w:r w:rsidR="006123CE">
        <w:t xml:space="preserve">. </w:t>
      </w:r>
      <w:proofErr w:type="gramStart"/>
      <w:r w:rsidRPr="00F306A9">
        <w:t xml:space="preserve">The </w:t>
      </w:r>
      <w:r w:rsidR="003A33A4" w:rsidRPr="008912E8">
        <w:t>C</w:t>
      </w:r>
      <w:r w:rsidR="003A33A4" w:rsidRPr="003A33A4">
        <w:rPr>
          <w:vertAlign w:val="subscript"/>
        </w:rPr>
        <w:t>max</w:t>
      </w:r>
      <w:r w:rsidR="00630EF4">
        <w:t xml:space="preserve"> </w:t>
      </w:r>
      <w:r w:rsidRPr="00F306A9">
        <w:t xml:space="preserve">and </w:t>
      </w:r>
      <w:r w:rsidR="00630EF4" w:rsidRPr="003E036A">
        <w:t>AUC</w:t>
      </w:r>
      <w:r w:rsidR="00630EF4" w:rsidRPr="00630EF4">
        <w:rPr>
          <w:vertAlign w:val="subscript"/>
        </w:rPr>
        <w:t>inf</w:t>
      </w:r>
      <w:r w:rsidRPr="00F306A9">
        <w:t xml:space="preserve"> of </w:t>
      </w:r>
      <w:r w:rsidR="00590286">
        <w:t>ombitasvir</w:t>
      </w:r>
      <w:r w:rsidRPr="00F306A9">
        <w:t xml:space="preserve"> increased by 2.2</w:t>
      </w:r>
      <w:r w:rsidR="009C3D3A">
        <w:t xml:space="preserve">7 </w:t>
      </w:r>
      <w:r w:rsidRPr="00F306A9">
        <w:t>and 1.82</w:t>
      </w:r>
      <w:r w:rsidR="00BF1FC5">
        <w:t xml:space="preserve"> fold</w:t>
      </w:r>
      <w:r w:rsidRPr="00F306A9">
        <w:t>, respectively.</w:t>
      </w:r>
      <w:proofErr w:type="gramEnd"/>
      <w:r w:rsidR="008B6F3C">
        <w:t xml:space="preserve"> </w:t>
      </w:r>
      <w:r w:rsidRPr="00F306A9">
        <w:t>For this reason, the proposed PI recommends that V</w:t>
      </w:r>
      <w:r w:rsidR="006123CE" w:rsidRPr="00F306A9">
        <w:t>iekira</w:t>
      </w:r>
      <w:r w:rsidRPr="00F306A9">
        <w:t>-</w:t>
      </w:r>
      <w:r w:rsidR="000C3156">
        <w:t>Pak</w:t>
      </w:r>
      <w:r w:rsidRPr="00F306A9">
        <w:t xml:space="preserve"> be taken with food, ‘without regard to fat or calorie content’, to maximise absorption.</w:t>
      </w:r>
    </w:p>
    <w:p w:rsidR="00F306A9" w:rsidRPr="00F306A9" w:rsidRDefault="00F306A9" w:rsidP="00F306A9">
      <w:pPr>
        <w:pStyle w:val="Heading5"/>
      </w:pPr>
      <w:r w:rsidRPr="00F306A9">
        <w:t>Metabolism</w:t>
      </w:r>
    </w:p>
    <w:p w:rsidR="00F306A9" w:rsidRPr="00F306A9" w:rsidRDefault="00F306A9" w:rsidP="00F306A9">
      <w:r w:rsidRPr="00F306A9">
        <w:t>Paritaprevir (</w:t>
      </w:r>
      <w:r w:rsidR="00F573D0">
        <w:t>paritaprevir</w:t>
      </w:r>
      <w:r w:rsidR="00590286">
        <w:t>), ritonavir, ombitasvir and dasabuvir</w:t>
      </w:r>
      <w:r w:rsidRPr="00F306A9">
        <w:t xml:space="preserve"> are primarily metabolised in vitro by: CYP3A4; CYP3A; CYP3A4/5 and CYP2C8; and CYP2C8, respectively.</w:t>
      </w:r>
    </w:p>
    <w:p w:rsidR="00F306A9" w:rsidRPr="00F306A9" w:rsidRDefault="00F306A9" w:rsidP="00F306A9">
      <w:pPr>
        <w:pStyle w:val="Heading5"/>
      </w:pPr>
      <w:r>
        <w:t>Excretion</w:t>
      </w:r>
    </w:p>
    <w:p w:rsidR="00F306A9" w:rsidRPr="00F306A9" w:rsidRDefault="00F306A9" w:rsidP="00F306A9">
      <w:r w:rsidRPr="00F306A9">
        <w:t>Paritaprevir is primarily eliminated in the bile with minimal renal elimination1. Unchanged parent drug accounted for only 1.1% and 0.05% of the total radioactivity in faeces and urine respectively. Ombitasvir is predominately eliminated unchanged via the hepatobiliary route, with minimal renal elimination</w:t>
      </w:r>
      <w:r w:rsidR="00387B61">
        <w:t>.</w:t>
      </w:r>
      <w:r w:rsidR="00387B61" w:rsidRPr="00387B61">
        <w:rPr>
          <w:vertAlign w:val="superscript"/>
        </w:rPr>
        <w:fldChar w:fldCharType="begin"/>
      </w:r>
      <w:r w:rsidR="00387B61" w:rsidRPr="00387B61">
        <w:rPr>
          <w:vertAlign w:val="superscript"/>
        </w:rPr>
        <w:instrText xml:space="preserve"> NOTEREF _Ref473549991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387B61" w:rsidRPr="00387B61">
        <w:rPr>
          <w:vertAlign w:val="superscript"/>
        </w:rPr>
        <w:t>1</w:t>
      </w:r>
      <w:r w:rsidR="00387B61" w:rsidRPr="00387B61">
        <w:rPr>
          <w:vertAlign w:val="superscript"/>
        </w:rPr>
        <w:fldChar w:fldCharType="end"/>
      </w:r>
      <w:r w:rsidRPr="00F306A9">
        <w:t xml:space="preserve"> Unchanged parent drug accounted for 87.8% of total radioactivity recovered </w:t>
      </w:r>
      <w:r w:rsidR="006123CE">
        <w:t>in faeces. Dasabuvir</w:t>
      </w:r>
      <w:r w:rsidRPr="00F306A9">
        <w:t xml:space="preserve"> is primarily eliminated in the bile with minimal renal elimination1. </w:t>
      </w:r>
      <w:r w:rsidR="006123CE">
        <w:t>D</w:t>
      </w:r>
      <w:r w:rsidR="00590286">
        <w:t>asabuvir</w:t>
      </w:r>
      <w:r w:rsidR="00427E0D">
        <w:t xml:space="preserve"> </w:t>
      </w:r>
      <w:r w:rsidRPr="00F306A9">
        <w:t>M1 was the most abundant metabolite in faeces representing 31.5% of administered dose, with unchanged parent drug accounting for 26% in faeces.</w:t>
      </w:r>
    </w:p>
    <w:p w:rsidR="00F306A9" w:rsidRPr="00F306A9" w:rsidRDefault="00F306A9" w:rsidP="00F306A9">
      <w:pPr>
        <w:pStyle w:val="Heading5"/>
      </w:pPr>
      <w:r w:rsidRPr="00F306A9">
        <w:t>Hepatic impairment</w:t>
      </w:r>
    </w:p>
    <w:p w:rsidR="00F306A9" w:rsidRPr="00F306A9" w:rsidRDefault="00F306A9" w:rsidP="00F306A9">
      <w:r w:rsidRPr="00F306A9">
        <w:t xml:space="preserve">A study of 24 patients, study M12-215, assessed the pharmacokinetics of the active constituents following a single dose of 25 mg </w:t>
      </w:r>
      <w:r w:rsidR="00590286">
        <w:t>ombitasvir</w:t>
      </w:r>
      <w:r w:rsidRPr="00F306A9">
        <w:t xml:space="preserve">, 400 mg </w:t>
      </w:r>
      <w:r w:rsidR="00590286">
        <w:t>dasabuvir</w:t>
      </w:r>
      <w:r w:rsidRPr="00F306A9">
        <w:t>, and 2</w:t>
      </w:r>
      <w:r w:rsidR="00661B33">
        <w:t>00 mg</w:t>
      </w:r>
      <w:r w:rsidRPr="00F306A9">
        <w:t xml:space="preserve"> </w:t>
      </w:r>
      <w:r w:rsidR="00F573D0">
        <w:t>paritaprevir</w:t>
      </w:r>
      <w:r w:rsidRPr="00F306A9">
        <w:t>/1</w:t>
      </w:r>
      <w:r w:rsidR="00661B33">
        <w:t>00 mg</w:t>
      </w:r>
      <w:r w:rsidRPr="00F306A9">
        <w:t xml:space="preserve"> ritonavir under non-fasting conditions in subjects with normal </w:t>
      </w:r>
      <w:r w:rsidRPr="00F306A9">
        <w:lastRenderedPageBreak/>
        <w:t>hepatic function</w:t>
      </w:r>
      <w:r w:rsidR="007D369A">
        <w:t xml:space="preserve"> </w:t>
      </w:r>
      <w:r w:rsidRPr="00F306A9">
        <w:t>(n</w:t>
      </w:r>
      <w:r w:rsidR="00BF1FC5">
        <w:t xml:space="preserve"> = </w:t>
      </w:r>
      <w:r w:rsidRPr="00F306A9">
        <w:t>7), subjects with mild stable chronic</w:t>
      </w:r>
      <w:r w:rsidR="00EA75EF">
        <w:t xml:space="preserve"> </w:t>
      </w:r>
      <w:r w:rsidRPr="00F306A9">
        <w:t>(n</w:t>
      </w:r>
      <w:r w:rsidR="00BF1FC5">
        <w:t xml:space="preserve"> = </w:t>
      </w:r>
      <w:r w:rsidRPr="00F306A9">
        <w:t>6), moderate stable</w:t>
      </w:r>
      <w:r w:rsidR="00EA75EF">
        <w:t xml:space="preserve"> </w:t>
      </w:r>
      <w:r w:rsidRPr="00F306A9">
        <w:t>(n</w:t>
      </w:r>
      <w:r w:rsidR="00BF1FC5">
        <w:t xml:space="preserve"> = </w:t>
      </w:r>
      <w:r w:rsidRPr="00F306A9">
        <w:t>6) to severe stable</w:t>
      </w:r>
      <w:r w:rsidR="00EA75EF">
        <w:t xml:space="preserve"> </w:t>
      </w:r>
      <w:r w:rsidRPr="00F306A9">
        <w:t>(n</w:t>
      </w:r>
      <w:r w:rsidR="00BF1FC5">
        <w:t xml:space="preserve"> = </w:t>
      </w:r>
      <w:r w:rsidRPr="00F306A9">
        <w:t>5) chronic hepatic impairment.</w:t>
      </w:r>
      <w:r w:rsidR="008B6F3C">
        <w:t xml:space="preserve"> </w:t>
      </w:r>
      <w:r w:rsidRPr="00F306A9">
        <w:t>The FDA summary report</w:t>
      </w:r>
      <w:r w:rsidR="00387B61" w:rsidRPr="00387B61">
        <w:rPr>
          <w:vertAlign w:val="superscript"/>
        </w:rPr>
        <w:fldChar w:fldCharType="begin"/>
      </w:r>
      <w:r w:rsidR="00387B61" w:rsidRPr="00387B61">
        <w:rPr>
          <w:vertAlign w:val="superscript"/>
        </w:rPr>
        <w:instrText xml:space="preserve"> NOTEREF _Ref473549299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387B61" w:rsidRPr="00387B61">
        <w:rPr>
          <w:vertAlign w:val="superscript"/>
        </w:rPr>
        <w:t>64</w:t>
      </w:r>
      <w:r w:rsidR="00387B61" w:rsidRPr="00387B61">
        <w:rPr>
          <w:vertAlign w:val="superscript"/>
        </w:rPr>
        <w:fldChar w:fldCharType="end"/>
      </w:r>
      <w:r w:rsidR="00387B61">
        <w:t xml:space="preserve"> </w:t>
      </w:r>
      <w:r w:rsidRPr="00F306A9">
        <w:t>summarised the findings as follows:</w:t>
      </w:r>
    </w:p>
    <w:p w:rsidR="00F306A9" w:rsidRPr="00F306A9" w:rsidRDefault="00F306A9" w:rsidP="00427E0D">
      <w:pPr>
        <w:ind w:left="720"/>
      </w:pPr>
      <w:r w:rsidRPr="00F306A9">
        <w:t xml:space="preserve">Compared to subjects with normal hepatic function, there were only mild decreases or slight increases in AUCs for all three of the DAAs in </w:t>
      </w:r>
      <w:r w:rsidR="008B6F3C">
        <w:t>Viekira Pak</w:t>
      </w:r>
      <w:r w:rsidRPr="00F306A9">
        <w:t xml:space="preserve"> in mild hepatic impairment. In moderate hepatic impairment paritaprevir AUCs increased by 62%.</w:t>
      </w:r>
    </w:p>
    <w:p w:rsidR="00F306A9" w:rsidRPr="00F306A9" w:rsidRDefault="00F306A9" w:rsidP="00427E0D">
      <w:pPr>
        <w:ind w:left="720"/>
      </w:pPr>
      <w:r w:rsidRPr="00F306A9">
        <w:t>In subjects with severe hepatic impairment, paritaprevir and dasabuvir AUCs increased by approximately 945% and 325%, respectively, and ombitasvir AUCs decreased by 54%. For thi</w:t>
      </w:r>
      <w:r w:rsidR="006123CE">
        <w:t xml:space="preserve">s reason and given the exposure </w:t>
      </w:r>
      <w:r w:rsidRPr="00F306A9">
        <w:t xml:space="preserve">response relationship of paritaprevir and ALT elevations, </w:t>
      </w:r>
      <w:r w:rsidR="008B6F3C">
        <w:t>Viekira Pak</w:t>
      </w:r>
      <w:r w:rsidRPr="00F306A9">
        <w:t xml:space="preserve"> will be contraindicated in patients with severe hepatic impairment.</w:t>
      </w:r>
    </w:p>
    <w:p w:rsidR="00F306A9" w:rsidRPr="00F306A9" w:rsidRDefault="00F306A9" w:rsidP="00F306A9">
      <w:pPr>
        <w:pStyle w:val="Heading5"/>
      </w:pPr>
      <w:r w:rsidRPr="00F306A9">
        <w:t>Renal impairment</w:t>
      </w:r>
    </w:p>
    <w:p w:rsidR="00F306A9" w:rsidRPr="00F306A9" w:rsidRDefault="00F306A9" w:rsidP="00F306A9">
      <w:r w:rsidRPr="00F306A9">
        <w:t xml:space="preserve">A study of 24 patients, M12-193, </w:t>
      </w:r>
      <w:r w:rsidR="006123CE">
        <w:t>administered a single dose of 2-</w:t>
      </w:r>
      <w:r w:rsidRPr="00F306A9">
        <w:t>DAA (</w:t>
      </w:r>
      <w:r w:rsidR="00F573D0">
        <w:t>paritaprevir</w:t>
      </w:r>
      <w:r w:rsidRPr="00F306A9">
        <w:t>/</w:t>
      </w:r>
      <w:r w:rsidR="00427E0D" w:rsidRPr="00F306A9">
        <w:t>r</w:t>
      </w:r>
      <w:r w:rsidR="00427E0D">
        <w:t>itonavir</w:t>
      </w:r>
      <w:r w:rsidRPr="00F306A9">
        <w:t xml:space="preserve"> + </w:t>
      </w:r>
      <w:r w:rsidR="00590286">
        <w:t>ombitasvir</w:t>
      </w:r>
      <w:r w:rsidRPr="00F306A9">
        <w:t xml:space="preserve">) and </w:t>
      </w:r>
      <w:r w:rsidR="00237CBE">
        <w:t>3DAA</w:t>
      </w:r>
      <w:r w:rsidRPr="00F306A9">
        <w:t xml:space="preserve"> (</w:t>
      </w:r>
      <w:r w:rsidR="00F573D0">
        <w:t>paritaprevir</w:t>
      </w:r>
      <w:r w:rsidRPr="00F306A9">
        <w:t>/</w:t>
      </w:r>
      <w:r w:rsidR="006123CE" w:rsidRPr="00F306A9">
        <w:t>ritonavir</w:t>
      </w:r>
      <w:r w:rsidRPr="00F306A9">
        <w:t xml:space="preserve"> + </w:t>
      </w:r>
      <w:r w:rsidR="00590286">
        <w:t>ombitasvir</w:t>
      </w:r>
      <w:r w:rsidRPr="00F306A9">
        <w:t xml:space="preserve"> + </w:t>
      </w:r>
      <w:r w:rsidR="00590286">
        <w:t>dasabuvir</w:t>
      </w:r>
      <w:r w:rsidRPr="00F306A9">
        <w:t>) combinations under non-fasting conditions suggested that no dose adjustment was necessary for patients with renal impairment.</w:t>
      </w:r>
      <w:r w:rsidR="008B6F3C">
        <w:t xml:space="preserve"> </w:t>
      </w:r>
      <w:r w:rsidRPr="00F306A9">
        <w:t xml:space="preserve">Data were limited to 6 subjects with normal renal function, and 6 subjects in each of the mild, moderate and </w:t>
      </w:r>
      <w:r w:rsidR="006123CE">
        <w:t>severe renal impairment groups.</w:t>
      </w:r>
    </w:p>
    <w:p w:rsidR="00F306A9" w:rsidRPr="00F306A9" w:rsidRDefault="00F306A9" w:rsidP="00F306A9">
      <w:pPr>
        <w:pStyle w:val="Heading5"/>
      </w:pPr>
      <w:r w:rsidRPr="00F306A9">
        <w:t>Ethnicity</w:t>
      </w:r>
    </w:p>
    <w:p w:rsidR="00F306A9" w:rsidRPr="00F306A9" w:rsidRDefault="00F306A9" w:rsidP="00F306A9">
      <w:r w:rsidRPr="00F306A9">
        <w:t xml:space="preserve">The evaluator commented that exposure was higher in Asians and patient numbers in the </w:t>
      </w:r>
      <w:r w:rsidR="00F201F8">
        <w:t>Phase III</w:t>
      </w:r>
      <w:r w:rsidRPr="00F306A9">
        <w:t xml:space="preserve"> studies were not sufficient to address possible racial differences. Study M12-221 indicated that relative to the values in Caucasians, the </w:t>
      </w:r>
      <w:r w:rsidR="00F573D0">
        <w:t>paritaprevir</w:t>
      </w:r>
      <w:r w:rsidRPr="00F306A9">
        <w:t xml:space="preserve"> AUC</w:t>
      </w:r>
      <w:r w:rsidRPr="006123CE">
        <w:rPr>
          <w:vertAlign w:val="subscript"/>
        </w:rPr>
        <w:t>24</w:t>
      </w:r>
      <w:r w:rsidRPr="00F306A9">
        <w:t xml:space="preserve"> values were 2.4</w:t>
      </w:r>
      <w:r w:rsidR="009C3D3A">
        <w:t xml:space="preserve">7 </w:t>
      </w:r>
      <w:r w:rsidRPr="00F306A9">
        <w:t>and 2.91</w:t>
      </w:r>
      <w:r w:rsidR="00BF1FC5">
        <w:t xml:space="preserve"> fold</w:t>
      </w:r>
      <w:r w:rsidRPr="00F306A9">
        <w:t xml:space="preserve"> higher in Han Chinese and Japanese subjects, respectively, and the </w:t>
      </w:r>
      <w:r w:rsidR="00590286">
        <w:t>dasabuvir</w:t>
      </w:r>
      <w:r w:rsidR="006123CE">
        <w:noBreakHyphen/>
      </w:r>
      <w:r w:rsidR="00E5395F">
        <w:t>M1 AUC values were 1.35</w:t>
      </w:r>
      <w:r w:rsidRPr="00F306A9">
        <w:t xml:space="preserve"> and 1.50</w:t>
      </w:r>
      <w:r w:rsidR="00BF1FC5">
        <w:t xml:space="preserve"> fold</w:t>
      </w:r>
      <w:r w:rsidRPr="00F306A9">
        <w:t xml:space="preserve"> higher in Han Chinese and Japanese subjects, respectively. The evaluator provided a further response dated 24 April 2015 in reply to a query from the sponsor regarding wording of the PI in regards to Asian and Hispanic/Latino subjects. This will be addressed with the pre-ACPM response.</w:t>
      </w:r>
    </w:p>
    <w:p w:rsidR="00F306A9" w:rsidRPr="00F306A9" w:rsidRDefault="00F306A9" w:rsidP="00F306A9">
      <w:pPr>
        <w:pStyle w:val="Heading5"/>
      </w:pPr>
      <w:r w:rsidRPr="00F306A9">
        <w:t>Drug-drug interactions</w:t>
      </w:r>
    </w:p>
    <w:p w:rsidR="00F306A9" w:rsidRPr="00F306A9" w:rsidRDefault="00F306A9" w:rsidP="00F306A9">
      <w:r w:rsidRPr="00F306A9">
        <w:t xml:space="preserve">A number of drug-drug interaction studies were conducted as part of the clinical development program, with drugs likely to be co-administered with </w:t>
      </w:r>
      <w:r w:rsidR="008B6F3C">
        <w:t>Viekira Pak</w:t>
      </w:r>
      <w:r w:rsidRPr="00F306A9">
        <w:t xml:space="preserve"> and </w:t>
      </w:r>
      <w:r w:rsidR="008B6F3C">
        <w:t>Viekira Pak</w:t>
      </w:r>
      <w:r w:rsidR="006123CE">
        <w:t>-RBV.</w:t>
      </w:r>
    </w:p>
    <w:p w:rsidR="00F306A9" w:rsidRPr="00F306A9" w:rsidRDefault="00F306A9" w:rsidP="00F306A9">
      <w:r w:rsidRPr="00F306A9">
        <w:t xml:space="preserve">Based on the results of these studies, drug-drug interactions were stratified into those having a large effect on pharmacokinetics (hence contra-indicated), those with an intermediate effect (dose adjustment recommended) and those with little or no effect on pharmacokinetics </w:t>
      </w:r>
      <w:r w:rsidR="006123CE">
        <w:t>(dose adjustment not required).</w:t>
      </w:r>
    </w:p>
    <w:p w:rsidR="00F306A9" w:rsidRPr="00F306A9" w:rsidRDefault="00F306A9" w:rsidP="00F306A9">
      <w:r w:rsidRPr="00F306A9">
        <w:t>Many of the clinically relevant drug interactions relate to paritaprevir being extensively metabolised by CYP3A4, with ritonavir a potent inhibitor of CYP3A4.</w:t>
      </w:r>
      <w:r w:rsidR="008B6F3C">
        <w:t xml:space="preserve"> </w:t>
      </w:r>
      <w:r w:rsidRPr="00F306A9">
        <w:t xml:space="preserve">CYP2C8 plays a major role in dasabuvir metabolism. The drugs in </w:t>
      </w:r>
      <w:r w:rsidR="008B6F3C">
        <w:t>Viekira Pak</w:t>
      </w:r>
      <w:r w:rsidRPr="00F306A9">
        <w:t xml:space="preserve"> also inhibit </w:t>
      </w:r>
      <w:r w:rsidR="00C75F81">
        <w:t>P-gp</w:t>
      </w:r>
      <w:r w:rsidRPr="00F306A9">
        <w:t xml:space="preserve"> and organic anion transporting polypeptide (OATP) transporters, further increasing the possibility of drug-drug interactions.</w:t>
      </w:r>
      <w:bookmarkStart w:id="208" w:name="_Ref473541474"/>
      <w:r w:rsidR="00387B61" w:rsidRPr="00387B61">
        <w:rPr>
          <w:vertAlign w:val="superscript"/>
        </w:rPr>
        <w:fldChar w:fldCharType="begin"/>
      </w:r>
      <w:r w:rsidR="00387B61" w:rsidRPr="00387B61">
        <w:rPr>
          <w:vertAlign w:val="superscript"/>
        </w:rPr>
        <w:instrText xml:space="preserve"> NOTEREF _Ref473549299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387B61" w:rsidRPr="00387B61">
        <w:rPr>
          <w:vertAlign w:val="superscript"/>
        </w:rPr>
        <w:t>64</w:t>
      </w:r>
      <w:r w:rsidR="00387B61" w:rsidRPr="00387B61">
        <w:rPr>
          <w:vertAlign w:val="superscript"/>
        </w:rPr>
        <w:fldChar w:fldCharType="end"/>
      </w:r>
      <w:bookmarkEnd w:id="208"/>
      <w:r w:rsidR="00957B05">
        <w:t xml:space="preserve"> </w:t>
      </w:r>
      <w:r w:rsidRPr="00F306A9">
        <w:t xml:space="preserve">Consequently, co-administration of </w:t>
      </w:r>
      <w:r w:rsidR="008B6F3C">
        <w:t>Viekira Pak</w:t>
      </w:r>
      <w:r w:rsidRPr="00F306A9">
        <w:t xml:space="preserve"> with strong inhibitors of CYP3A may increase paritaprevir and ritonavir concentrations and co-administration of </w:t>
      </w:r>
      <w:r w:rsidR="008B6F3C">
        <w:t>Viekira Pak</w:t>
      </w:r>
      <w:r w:rsidRPr="00F306A9">
        <w:t xml:space="preserve"> with drugs that inhibit CYP2C8 may increase dasabuvir concentrations. Conversely, drugs which are moderate or strong inducers of CYP3A or CYP2C8 may result in substantially lower concentrations of these agents and reduced therapeutic effect. Inhibition of </w:t>
      </w:r>
      <w:r w:rsidR="00C75F81">
        <w:t>P-gp</w:t>
      </w:r>
      <w:r w:rsidRPr="00F306A9">
        <w:t xml:space="preserve"> and other transporters BCRP (Breast cancer resistance protein), OATP1B1 or OATP1B3 may also increase the plasma concentrations of the various components of </w:t>
      </w:r>
      <w:r w:rsidR="008B6F3C">
        <w:t>Viekira Pak</w:t>
      </w:r>
      <w:r w:rsidRPr="00F306A9">
        <w:t>, as described in the PI. Ombitasvir does not appear to contribute to drug-drug interactions observed.</w:t>
      </w:r>
      <w:r w:rsidR="00957B05" w:rsidRPr="00957B05">
        <w:rPr>
          <w:vertAlign w:val="superscript"/>
        </w:rPr>
        <w:fldChar w:fldCharType="begin"/>
      </w:r>
      <w:r w:rsidR="00957B05" w:rsidRPr="00957B05">
        <w:rPr>
          <w:vertAlign w:val="superscript"/>
        </w:rPr>
        <w:instrText xml:space="preserve"> NOTEREF _Ref473549991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57B05" w:rsidRPr="00957B05">
        <w:rPr>
          <w:vertAlign w:val="superscript"/>
        </w:rPr>
        <w:t>1</w:t>
      </w:r>
      <w:r w:rsidR="00957B05" w:rsidRPr="00957B05">
        <w:rPr>
          <w:vertAlign w:val="superscript"/>
        </w:rPr>
        <w:fldChar w:fldCharType="end"/>
      </w:r>
    </w:p>
    <w:p w:rsidR="00F306A9" w:rsidRPr="00F306A9" w:rsidRDefault="00F306A9" w:rsidP="00F306A9">
      <w:pPr>
        <w:pStyle w:val="Heading6"/>
      </w:pPr>
      <w:r w:rsidRPr="00F306A9">
        <w:lastRenderedPageBreak/>
        <w:t>Ribavirin</w:t>
      </w:r>
    </w:p>
    <w:p w:rsidR="00A26E99" w:rsidRDefault="008B6F3C" w:rsidP="00F306A9">
      <w:r>
        <w:t>Viekira Pak</w:t>
      </w:r>
      <w:r w:rsidR="00F306A9" w:rsidRPr="00F306A9">
        <w:t xml:space="preserve"> will be given with ribavirin to many patients. Drug interaction studies were conducted without ribavirin, as ribavirin is not hepatically eliminated via the cytochrome P450</w:t>
      </w:r>
      <w:r w:rsidR="00683E27">
        <w:t xml:space="preserve"> (CYP)</w:t>
      </w:r>
      <w:r w:rsidR="00F306A9" w:rsidRPr="00F306A9">
        <w:t xml:space="preserve"> system.</w:t>
      </w:r>
      <w:bookmarkStart w:id="209" w:name="_Ref473552709"/>
      <w:r w:rsidR="00957B05">
        <w:rPr>
          <w:rStyle w:val="FootnoteReference"/>
        </w:rPr>
        <w:footnoteReference w:id="75"/>
      </w:r>
      <w:bookmarkEnd w:id="209"/>
    </w:p>
    <w:p w:rsidR="00F306A9" w:rsidRPr="00F306A9" w:rsidRDefault="00F306A9" w:rsidP="00F306A9">
      <w:r w:rsidRPr="00F306A9">
        <w:t xml:space="preserve">The clinical evaluator raised several questions following round 1, in relation to the drug interaction studies for R-warfarin , carbamazepine, darunavir/ritonavir, methadone or buprenorphine/naloxone and escitalopram, most of which were satisfactorily addressed by the sponsor </w:t>
      </w:r>
      <w:r w:rsidR="00683E27">
        <w:t>in their</w:t>
      </w:r>
      <w:r w:rsidRPr="00F306A9">
        <w:t xml:space="preserve"> response. Outstanding issues were the timing of buprenorphine, when co-administered with </w:t>
      </w:r>
      <w:r w:rsidR="00237CBE">
        <w:t>3DAA</w:t>
      </w:r>
      <w:r w:rsidRPr="00F306A9">
        <w:t>. This should be reflected in PI prior to registration, given that higher exposures were observed when given 4 hours after V</w:t>
      </w:r>
      <w:r w:rsidR="00683E27" w:rsidRPr="00F306A9">
        <w:t>iekira</w:t>
      </w:r>
      <w:r w:rsidRPr="00F306A9">
        <w:t>-</w:t>
      </w:r>
      <w:r w:rsidR="000C3156">
        <w:t>Pak</w:t>
      </w:r>
      <w:r w:rsidRPr="00F306A9">
        <w:t xml:space="preserve"> in study M13-100. The response to </w:t>
      </w:r>
      <w:r w:rsidR="00683E27">
        <w:t>the second round</w:t>
      </w:r>
      <w:r w:rsidRPr="00F306A9">
        <w:t xml:space="preserve"> evaluation reports (29 April 2015) has addressed the issue of timing o</w:t>
      </w:r>
      <w:r w:rsidR="00683E27">
        <w:t>f buprenorphine satisfactorily.</w:t>
      </w:r>
    </w:p>
    <w:p w:rsidR="00F306A9" w:rsidRPr="00F306A9" w:rsidRDefault="00F306A9" w:rsidP="00F306A9">
      <w:pPr>
        <w:pStyle w:val="Heading4"/>
      </w:pPr>
      <w:r w:rsidRPr="00F306A9">
        <w:t>Population pharmacokinetics</w:t>
      </w:r>
    </w:p>
    <w:p w:rsidR="00F306A9" w:rsidRPr="00F306A9" w:rsidRDefault="00F306A9" w:rsidP="00F306A9">
      <w:r w:rsidRPr="004D1BF0">
        <w:t xml:space="preserve">The clinical evaluator report on the population PK studies in presented in </w:t>
      </w:r>
      <w:r w:rsidR="004D1BF0" w:rsidRPr="004D1BF0">
        <w:t>Section 4.4.3 of Attachment 2</w:t>
      </w:r>
      <w:r w:rsidRPr="004D1BF0">
        <w:t>, with the submission also considered by the Pharmaceutical Subcommittee</w:t>
      </w:r>
      <w:r w:rsidR="00683E27" w:rsidRPr="004D1BF0">
        <w:t xml:space="preserve"> (PSC)</w:t>
      </w:r>
      <w:r w:rsidRPr="004D1BF0">
        <w:t xml:space="preserve"> meeting 159 (24 November 2014).</w:t>
      </w:r>
    </w:p>
    <w:p w:rsidR="00F306A9" w:rsidRPr="00F306A9" w:rsidRDefault="00F306A9" w:rsidP="00F306A9">
      <w:r w:rsidRPr="00F306A9">
        <w:t xml:space="preserve">The TGA was unable to engage an expert in pharmacometrics to review and replicate the results of the analyses. As a consequence, the population pharmacokinetics </w:t>
      </w:r>
      <w:r w:rsidR="004D1BF0">
        <w:t>was</w:t>
      </w:r>
      <w:r w:rsidRPr="00F306A9">
        <w:t xml:space="preserve"> not reviewed by PSC. The </w:t>
      </w:r>
      <w:r w:rsidR="00683E27">
        <w:t>clinical evaluation report</w:t>
      </w:r>
      <w:r w:rsidRPr="00F306A9">
        <w:t xml:space="preserve"> included an extensive consideration of possible reasons for different results concerning the absorpt</w:t>
      </w:r>
      <w:r w:rsidR="00590286">
        <w:t>ion and elimination of ombitasvir</w:t>
      </w:r>
      <w:r w:rsidRPr="00F306A9">
        <w:t xml:space="preserve"> and </w:t>
      </w:r>
      <w:r w:rsidR="00590286">
        <w:t>dasabuvir</w:t>
      </w:r>
      <w:r w:rsidRPr="00F306A9">
        <w:t>. The evaluator favoured the analysis RD 14-0047 PPK,</w:t>
      </w:r>
      <w:r w:rsidR="004D1BF0">
        <w:t xml:space="preserve"> </w:t>
      </w:r>
      <w:r w:rsidRPr="00F306A9">
        <w:t xml:space="preserve">indicating that the final model for </w:t>
      </w:r>
      <w:r w:rsidR="00590286">
        <w:t>ombitasvir</w:t>
      </w:r>
      <w:r w:rsidRPr="00F306A9">
        <w:t xml:space="preserve"> was a one-compartment model and for </w:t>
      </w:r>
      <w:r w:rsidR="00590286">
        <w:t>dasabuvir</w:t>
      </w:r>
      <w:r w:rsidRPr="00F306A9">
        <w:t xml:space="preserve"> was a two-compartment model.</w:t>
      </w:r>
    </w:p>
    <w:p w:rsidR="00F306A9" w:rsidRDefault="00F306A9" w:rsidP="00F306A9">
      <w:pPr>
        <w:pStyle w:val="Heading4"/>
      </w:pPr>
      <w:r w:rsidRPr="00F306A9">
        <w:t>Pharmacodynamics</w:t>
      </w:r>
    </w:p>
    <w:p w:rsidR="00F306A9" w:rsidRPr="00F306A9" w:rsidRDefault="00F306A9" w:rsidP="00F306A9">
      <w:r w:rsidRPr="00F306A9">
        <w:t>Primary and secondary pharmacodynamics effects were studied through in vitro and in vivo studies, with three PK studies examining the antiviral activity of the DAAs in V</w:t>
      </w:r>
      <w:r w:rsidR="00683E27" w:rsidRPr="00F306A9">
        <w:t>iekira</w:t>
      </w:r>
      <w:r w:rsidRPr="00F306A9">
        <w:t>-</w:t>
      </w:r>
      <w:r w:rsidR="000C3156">
        <w:t>Pak</w:t>
      </w:r>
      <w:r w:rsidRPr="00F306A9">
        <w:t xml:space="preserve">. The effect of genetic variations conferring resistance </w:t>
      </w:r>
      <w:r w:rsidR="00683E27">
        <w:t>was</w:t>
      </w:r>
      <w:r w:rsidRPr="00F306A9">
        <w:t xml:space="preserve"> discussed.</w:t>
      </w:r>
    </w:p>
    <w:p w:rsidR="00F306A9" w:rsidRPr="00F306A9" w:rsidRDefault="00683E27" w:rsidP="00F306A9">
      <w:r>
        <w:t>Two studies, M12-990</w:t>
      </w:r>
      <w:r w:rsidR="00F306A9" w:rsidRPr="00F306A9">
        <w:t xml:space="preserve"> and M12-680 examined the effects of therapeutic and supra-therapeutic doses on QT in healthy subjects however</w:t>
      </w:r>
      <w:r w:rsidR="008B6F3C">
        <w:t xml:space="preserve"> </w:t>
      </w:r>
      <w:r w:rsidR="00F306A9" w:rsidRPr="00F306A9">
        <w:t xml:space="preserve">the first study did not include a positive control (such as moxifloxacin). Therapeutic and supratherapeutic doses of </w:t>
      </w:r>
      <w:r w:rsidR="00F573D0">
        <w:t>paritaprevir</w:t>
      </w:r>
      <w:r w:rsidR="00630EF4">
        <w:t xml:space="preserve">/ritonavir/ </w:t>
      </w:r>
      <w:r w:rsidR="00590286">
        <w:t>ombitasvir</w:t>
      </w:r>
      <w:r w:rsidR="00F306A9" w:rsidRPr="00F306A9">
        <w:t xml:space="preserve"> + </w:t>
      </w:r>
      <w:r w:rsidR="00590286">
        <w:t>dasabuvir</w:t>
      </w:r>
      <w:r w:rsidR="00F306A9" w:rsidRPr="00F306A9">
        <w:t xml:space="preserve"> di</w:t>
      </w:r>
      <w:r>
        <w:t>d not prolong QT interval.</w:t>
      </w:r>
    </w:p>
    <w:p w:rsidR="00F306A9" w:rsidRPr="00F306A9" w:rsidRDefault="00F306A9" w:rsidP="00F306A9">
      <w:r w:rsidRPr="00F306A9">
        <w:t>No studies examined the gender- and age-related differences in pharmacodynamic response or pharmacodynamics interactions.</w:t>
      </w:r>
    </w:p>
    <w:p w:rsidR="00F306A9" w:rsidRPr="00F306A9" w:rsidRDefault="00F306A9" w:rsidP="00F306A9">
      <w:pPr>
        <w:pStyle w:val="Heading4"/>
      </w:pPr>
      <w:r w:rsidRPr="00F306A9">
        <w:t>Efficacy</w:t>
      </w:r>
    </w:p>
    <w:p w:rsidR="00F306A9" w:rsidRPr="00F306A9" w:rsidRDefault="00F306A9" w:rsidP="00F306A9">
      <w:r w:rsidRPr="00F306A9">
        <w:t>Data to support the proposed indications w</w:t>
      </w:r>
      <w:r w:rsidR="00683E27">
        <w:t>ere primarily derived from six P</w:t>
      </w:r>
      <w:r w:rsidRPr="00F306A9">
        <w:t xml:space="preserve">hase </w:t>
      </w:r>
      <w:r w:rsidR="00167A1A">
        <w:t>III</w:t>
      </w:r>
      <w:r w:rsidRPr="00F306A9">
        <w:t xml:space="preserve"> trials. All trials enrolled </w:t>
      </w:r>
      <w:r w:rsidR="00202E0D">
        <w:t>genotype</w:t>
      </w:r>
      <w:r w:rsidRPr="00F306A9">
        <w:t>-1 infected adults only and it was therefore possible to pool demographic data across the trials.</w:t>
      </w:r>
      <w:bookmarkStart w:id="210" w:name="_Ref473548153"/>
      <w:r w:rsidR="00957B05" w:rsidRPr="00957B05">
        <w:rPr>
          <w:vertAlign w:val="superscript"/>
        </w:rPr>
        <w:fldChar w:fldCharType="begin"/>
      </w:r>
      <w:r w:rsidR="00957B05" w:rsidRPr="00957B05">
        <w:rPr>
          <w:vertAlign w:val="superscript"/>
        </w:rPr>
        <w:instrText xml:space="preserve"> NOTEREF _Ref473549991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57B05" w:rsidRPr="00957B05">
        <w:rPr>
          <w:vertAlign w:val="superscript"/>
        </w:rPr>
        <w:t>1</w:t>
      </w:r>
      <w:r w:rsidR="00957B05" w:rsidRPr="00957B05">
        <w:rPr>
          <w:vertAlign w:val="superscript"/>
        </w:rPr>
        <w:fldChar w:fldCharType="end"/>
      </w:r>
      <w:bookmarkEnd w:id="210"/>
    </w:p>
    <w:p w:rsidR="00F306A9" w:rsidRPr="00F306A9" w:rsidRDefault="00F306A9" w:rsidP="00F306A9">
      <w:r w:rsidRPr="00F306A9">
        <w:t>The study reports included data for 12 week outcomes, with studies ongoing at the time of submission. The primary efficacy endpoint for all trials was the propo</w:t>
      </w:r>
      <w:r w:rsidR="00985396">
        <w:t>rtion of subjects achieving SVR</w:t>
      </w:r>
      <w:r w:rsidRPr="00985396">
        <w:rPr>
          <w:vertAlign w:val="subscript"/>
        </w:rPr>
        <w:t>12</w:t>
      </w:r>
      <w:r w:rsidRPr="00F306A9">
        <w:t xml:space="preserve"> (HCV RNA below the lower limit of quantification 12 weeks after the end of study treatment).</w:t>
      </w:r>
    </w:p>
    <w:p w:rsidR="00F306A9" w:rsidRPr="00F306A9" w:rsidRDefault="00F306A9" w:rsidP="00F306A9">
      <w:r w:rsidRPr="00F306A9">
        <w:lastRenderedPageBreak/>
        <w:t xml:space="preserve">Within the study population, important subgroups with known differing response rates to telaprevir + pegIFN/RBV were identified and analysed. These subgroups included patients with </w:t>
      </w:r>
      <w:r w:rsidR="00202E0D">
        <w:t>genotype</w:t>
      </w:r>
      <w:r w:rsidRPr="00F306A9">
        <w:t xml:space="preserve">1a and </w:t>
      </w:r>
      <w:r w:rsidR="00202E0D">
        <w:t>genotype</w:t>
      </w:r>
      <w:r w:rsidRPr="00F306A9">
        <w:t>1b infection, cirrhotic and no</w:t>
      </w:r>
      <w:r w:rsidR="00683E27">
        <w:t xml:space="preserve">n-cirrhotic patients, treatment naïve and treatment </w:t>
      </w:r>
      <w:r w:rsidRPr="00F306A9">
        <w:t>experienced patients, other subgroups defined by IL28B status and releva</w:t>
      </w:r>
      <w:r w:rsidR="00683E27">
        <w:t>nt demographic characteristics.</w:t>
      </w:r>
    </w:p>
    <w:p w:rsidR="00F306A9" w:rsidRPr="00F306A9" w:rsidRDefault="00F306A9" w:rsidP="00F306A9">
      <w:r w:rsidRPr="00F306A9">
        <w:t>The primary efficacy comparison in all six trials was the historica</w:t>
      </w:r>
      <w:r w:rsidR="00985396">
        <w:t>l SVR</w:t>
      </w:r>
      <w:r w:rsidRPr="00F306A9">
        <w:t xml:space="preserve"> rate of telaprevir plus pegylated interferon (pegIFN) with RBV therapy.</w:t>
      </w:r>
      <w:r w:rsidR="00957B05" w:rsidRPr="00957B05">
        <w:rPr>
          <w:vertAlign w:val="superscript"/>
        </w:rPr>
        <w:fldChar w:fldCharType="begin"/>
      </w:r>
      <w:r w:rsidR="00957B05" w:rsidRPr="00957B05">
        <w:rPr>
          <w:vertAlign w:val="superscript"/>
        </w:rPr>
        <w:instrText xml:space="preserve"> NOTEREF _Ref473549299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57B05" w:rsidRPr="00957B05">
        <w:rPr>
          <w:vertAlign w:val="superscript"/>
        </w:rPr>
        <w:t>64</w:t>
      </w:r>
      <w:r w:rsidR="00957B05" w:rsidRPr="00957B05">
        <w:rPr>
          <w:vertAlign w:val="superscript"/>
        </w:rPr>
        <w:fldChar w:fldCharType="end"/>
      </w:r>
    </w:p>
    <w:p w:rsidR="00F306A9" w:rsidRPr="00F306A9" w:rsidRDefault="00F306A9" w:rsidP="00F306A9">
      <w:r w:rsidRPr="00F306A9">
        <w:t>Telaprevir and pegIFN/RBV were selected for comparison, because this regimen provided the highest SVR rates of all approved therapies at the time the studies w</w:t>
      </w:r>
      <w:r w:rsidR="00683E27">
        <w:t>ere designed (Clinical Overview</w:t>
      </w:r>
      <w:r w:rsidRPr="00F306A9">
        <w:t>). While the evaluator commented that ideally an active control group of 1-DAA + pegIFN/RBV should have been included, the sponsor justified its exclusion on the gr</w:t>
      </w:r>
      <w:r w:rsidR="00683E27">
        <w:t xml:space="preserve">ounds of difficulties of double </w:t>
      </w:r>
      <w:r w:rsidRPr="00F306A9">
        <w:t>dummy blinding injectable</w:t>
      </w:r>
      <w:r w:rsidR="00683E27">
        <w:t xml:space="preserve"> medications, blinding the well</w:t>
      </w:r>
      <w:r w:rsidR="00683E27">
        <w:noBreakHyphen/>
        <w:t xml:space="preserve">known side </w:t>
      </w:r>
      <w:r w:rsidRPr="00F306A9">
        <w:t>effects of pegIFN/RBV and the currently approved DAAs, and the ethics of prolonged treatment with poorly tolerated combination therapi</w:t>
      </w:r>
      <w:r w:rsidR="00683E27">
        <w:t>es. This was deemed acceptable.</w:t>
      </w:r>
    </w:p>
    <w:p w:rsidR="00A26E99" w:rsidRDefault="00F306A9" w:rsidP="00F306A9">
      <w:r w:rsidRPr="00F306A9">
        <w:t xml:space="preserve">To demonstrate non-inferiority to the historic telaprevir rate, the lower bound of the 95% CI for the rate of </w:t>
      </w:r>
      <w:r w:rsidR="006A2EA5" w:rsidRPr="00FE5487">
        <w:t>SVR</w:t>
      </w:r>
      <w:r w:rsidR="006A2EA5" w:rsidRPr="006A2EA5">
        <w:rPr>
          <w:vertAlign w:val="subscript"/>
        </w:rPr>
        <w:t>12</w:t>
      </w:r>
      <w:r w:rsidRPr="00F306A9">
        <w:t xml:space="preserve"> in </w:t>
      </w:r>
      <w:r w:rsidR="00237CBE">
        <w:t>3DAA</w:t>
      </w:r>
      <w:r w:rsidRPr="00F306A9">
        <w:t xml:space="preserve"> regimen with RBV had to exceed the upper bound for the control rate minus 10.5 percentage points (non-inferiority margin). This margin was chosen based on the most recent non-inferiority ILLUMINATE study for telaprevir.</w:t>
      </w:r>
      <w:r w:rsidR="00957B05">
        <w:rPr>
          <w:rStyle w:val="FootnoteReference"/>
        </w:rPr>
        <w:footnoteReference w:id="76"/>
      </w:r>
    </w:p>
    <w:p w:rsidR="00F306A9" w:rsidRDefault="00F306A9" w:rsidP="00F306A9">
      <w:r w:rsidRPr="00F306A9">
        <w:t>The study program was based on current US and EU guidelines for the treatment of chronic HCV infection, with scientific advice on study design and methodolo</w:t>
      </w:r>
      <w:r w:rsidR="003B6B40">
        <w:t>gy sought from the FDA and EMA.</w:t>
      </w:r>
    </w:p>
    <w:p w:rsidR="009208F2" w:rsidRDefault="009208F2" w:rsidP="00F51C39">
      <w:pPr>
        <w:pStyle w:val="TableTitle"/>
        <w:rPr>
          <w:vertAlign w:val="superscript"/>
        </w:rPr>
      </w:pPr>
      <w:r>
        <w:t xml:space="preserve">Table </w:t>
      </w:r>
      <w:r w:rsidR="00654113">
        <w:t>31</w:t>
      </w:r>
      <w:r>
        <w:t xml:space="preserve">: </w:t>
      </w:r>
      <w:r w:rsidRPr="00F306A9">
        <w:t xml:space="preserve">Pivotal </w:t>
      </w:r>
      <w:r>
        <w:t>Phase III</w:t>
      </w:r>
      <w:r w:rsidRPr="00F306A9">
        <w:t xml:space="preserve"> </w:t>
      </w:r>
      <w:r>
        <w:t>t</w:t>
      </w:r>
      <w:r w:rsidRPr="00F306A9">
        <w:t>rials</w:t>
      </w:r>
      <w:bookmarkStart w:id="211" w:name="_Ref473548270"/>
      <w:r w:rsidR="00957B05" w:rsidRPr="00957B05">
        <w:rPr>
          <w:vertAlign w:val="superscript"/>
        </w:rPr>
        <w:fldChar w:fldCharType="begin"/>
      </w:r>
      <w:r w:rsidR="00957B05" w:rsidRPr="00957B05">
        <w:rPr>
          <w:vertAlign w:val="superscript"/>
        </w:rPr>
        <w:instrText xml:space="preserve"> NOTEREF _Ref473549299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57B05" w:rsidRPr="00957B05">
        <w:rPr>
          <w:vertAlign w:val="superscript"/>
        </w:rPr>
        <w:t>64</w:t>
      </w:r>
      <w:r w:rsidR="00957B05" w:rsidRPr="00957B05">
        <w:rPr>
          <w:vertAlign w:val="superscript"/>
        </w:rPr>
        <w:fldChar w:fldCharType="end"/>
      </w:r>
      <w:bookmarkEnd w:id="211"/>
    </w:p>
    <w:tbl>
      <w:tblPr>
        <w:tblStyle w:val="TableTGAblue"/>
        <w:tblW w:w="0" w:type="auto"/>
        <w:tblLook w:val="04A0" w:firstRow="1" w:lastRow="0" w:firstColumn="1" w:lastColumn="0" w:noHBand="0" w:noVBand="1"/>
      </w:tblPr>
      <w:tblGrid>
        <w:gridCol w:w="1479"/>
        <w:gridCol w:w="1535"/>
        <w:gridCol w:w="1587"/>
        <w:gridCol w:w="1298"/>
        <w:gridCol w:w="1470"/>
        <w:gridCol w:w="1351"/>
      </w:tblGrid>
      <w:tr w:rsidR="00742237" w:rsidRPr="00236585" w:rsidTr="00605D3B">
        <w:trPr>
          <w:cnfStyle w:val="100000000000" w:firstRow="1" w:lastRow="0" w:firstColumn="0" w:lastColumn="0" w:oddVBand="0" w:evenVBand="0" w:oddHBand="0" w:evenHBand="0" w:firstRowFirstColumn="0" w:firstRowLastColumn="0" w:lastRowFirstColumn="0" w:lastRowLastColumn="0"/>
        </w:trPr>
        <w:tc>
          <w:tcPr>
            <w:tcW w:w="1547" w:type="dxa"/>
          </w:tcPr>
          <w:p w:rsidR="00742237" w:rsidRPr="00236585" w:rsidRDefault="00742237" w:rsidP="00742237">
            <w:pPr>
              <w:ind w:left="0"/>
              <w:rPr>
                <w:sz w:val="20"/>
                <w:szCs w:val="20"/>
              </w:rPr>
            </w:pPr>
            <w:r w:rsidRPr="00236585">
              <w:rPr>
                <w:sz w:val="20"/>
                <w:szCs w:val="20"/>
              </w:rPr>
              <w:t>Study</w:t>
            </w:r>
          </w:p>
        </w:tc>
        <w:tc>
          <w:tcPr>
            <w:tcW w:w="1547" w:type="dxa"/>
          </w:tcPr>
          <w:p w:rsidR="00742237" w:rsidRPr="00236585" w:rsidRDefault="00742237" w:rsidP="00742237">
            <w:pPr>
              <w:ind w:left="98"/>
              <w:rPr>
                <w:sz w:val="20"/>
                <w:szCs w:val="20"/>
              </w:rPr>
            </w:pPr>
            <w:r w:rsidRPr="00236585">
              <w:rPr>
                <w:sz w:val="20"/>
                <w:szCs w:val="20"/>
              </w:rPr>
              <w:t>Design</w:t>
            </w:r>
          </w:p>
        </w:tc>
        <w:tc>
          <w:tcPr>
            <w:tcW w:w="1548" w:type="dxa"/>
          </w:tcPr>
          <w:p w:rsidR="00742237" w:rsidRPr="00236585" w:rsidRDefault="00742237" w:rsidP="00605D3B">
            <w:pPr>
              <w:rPr>
                <w:sz w:val="20"/>
                <w:szCs w:val="20"/>
              </w:rPr>
            </w:pPr>
            <w:r w:rsidRPr="00236585">
              <w:rPr>
                <w:sz w:val="20"/>
                <w:szCs w:val="20"/>
              </w:rPr>
              <w:t>Population</w:t>
            </w:r>
          </w:p>
        </w:tc>
        <w:tc>
          <w:tcPr>
            <w:tcW w:w="1548" w:type="dxa"/>
          </w:tcPr>
          <w:p w:rsidR="00742237" w:rsidRPr="00236585" w:rsidRDefault="00742237" w:rsidP="00605D3B">
            <w:pPr>
              <w:rPr>
                <w:sz w:val="20"/>
                <w:szCs w:val="20"/>
              </w:rPr>
            </w:pPr>
            <w:r w:rsidRPr="00236585">
              <w:rPr>
                <w:sz w:val="20"/>
                <w:szCs w:val="20"/>
              </w:rPr>
              <w:t>Number of subjects treated</w:t>
            </w:r>
          </w:p>
        </w:tc>
        <w:tc>
          <w:tcPr>
            <w:tcW w:w="1548" w:type="dxa"/>
          </w:tcPr>
          <w:p w:rsidR="00742237" w:rsidRPr="00236585" w:rsidRDefault="00742237" w:rsidP="00605D3B">
            <w:pPr>
              <w:rPr>
                <w:sz w:val="20"/>
                <w:szCs w:val="20"/>
              </w:rPr>
            </w:pPr>
            <w:r w:rsidRPr="00236585">
              <w:rPr>
                <w:sz w:val="20"/>
                <w:szCs w:val="20"/>
              </w:rPr>
              <w:t>Study arms, treatment duration</w:t>
            </w:r>
          </w:p>
        </w:tc>
        <w:tc>
          <w:tcPr>
            <w:tcW w:w="1548" w:type="dxa"/>
          </w:tcPr>
          <w:p w:rsidR="00742237" w:rsidRPr="00236585" w:rsidRDefault="00742237" w:rsidP="00605D3B">
            <w:pPr>
              <w:rPr>
                <w:sz w:val="20"/>
                <w:szCs w:val="20"/>
              </w:rPr>
            </w:pPr>
            <w:r w:rsidRPr="00236585">
              <w:rPr>
                <w:sz w:val="20"/>
                <w:szCs w:val="20"/>
              </w:rPr>
              <w:t>Study duration</w:t>
            </w:r>
          </w:p>
        </w:tc>
      </w:tr>
      <w:tr w:rsidR="00742237" w:rsidRPr="00236585" w:rsidTr="00605D3B">
        <w:tc>
          <w:tcPr>
            <w:tcW w:w="9286" w:type="dxa"/>
            <w:gridSpan w:val="6"/>
          </w:tcPr>
          <w:p w:rsidR="00742237" w:rsidRPr="00236585" w:rsidRDefault="00742237" w:rsidP="00742237">
            <w:pPr>
              <w:ind w:left="0"/>
              <w:rPr>
                <w:sz w:val="20"/>
                <w:szCs w:val="20"/>
              </w:rPr>
            </w:pPr>
            <w:r w:rsidRPr="00236585">
              <w:rPr>
                <w:sz w:val="20"/>
                <w:szCs w:val="20"/>
              </w:rPr>
              <w:t>Placebo controlled, no cirrhosis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t>SAPPHIRE-I</w:t>
            </w:r>
          </w:p>
          <w:p w:rsidR="00742237" w:rsidRPr="00236585" w:rsidRDefault="00742237" w:rsidP="00742237">
            <w:pPr>
              <w:ind w:left="0"/>
              <w:rPr>
                <w:sz w:val="20"/>
                <w:szCs w:val="20"/>
              </w:rPr>
            </w:pPr>
            <w:r w:rsidRPr="00236585">
              <w:rPr>
                <w:sz w:val="20"/>
                <w:szCs w:val="20"/>
              </w:rPr>
              <w:t>M11-646</w:t>
            </w:r>
          </w:p>
        </w:tc>
        <w:tc>
          <w:tcPr>
            <w:tcW w:w="1547" w:type="dxa"/>
          </w:tcPr>
          <w:p w:rsidR="00742237" w:rsidRPr="00236585" w:rsidRDefault="00742237" w:rsidP="00742237">
            <w:pPr>
              <w:ind w:left="98"/>
              <w:rPr>
                <w:sz w:val="20"/>
                <w:szCs w:val="20"/>
              </w:rPr>
            </w:pPr>
            <w:r w:rsidRPr="00236585">
              <w:rPr>
                <w:sz w:val="20"/>
                <w:szCs w:val="20"/>
              </w:rPr>
              <w:t>Multicentre randomised double blind</w:t>
            </w:r>
          </w:p>
        </w:tc>
        <w:tc>
          <w:tcPr>
            <w:tcW w:w="1548" w:type="dxa"/>
          </w:tcPr>
          <w:p w:rsidR="00742237" w:rsidRPr="00236585" w:rsidRDefault="00742237" w:rsidP="00605D3B">
            <w:pPr>
              <w:rPr>
                <w:sz w:val="20"/>
                <w:szCs w:val="20"/>
              </w:rPr>
            </w:pPr>
            <w:r w:rsidRPr="00236585">
              <w:rPr>
                <w:sz w:val="20"/>
                <w:szCs w:val="20"/>
              </w:rPr>
              <w:t>GT1 (a and b)</w:t>
            </w:r>
          </w:p>
          <w:p w:rsidR="00742237" w:rsidRPr="00236585" w:rsidRDefault="00742237" w:rsidP="00605D3B">
            <w:pPr>
              <w:rPr>
                <w:sz w:val="20"/>
                <w:szCs w:val="20"/>
              </w:rPr>
            </w:pPr>
            <w:r w:rsidRPr="00236585">
              <w:rPr>
                <w:sz w:val="20"/>
                <w:szCs w:val="20"/>
              </w:rPr>
              <w:t>Treatment naïve without cirrhosis</w:t>
            </w:r>
          </w:p>
        </w:tc>
        <w:tc>
          <w:tcPr>
            <w:tcW w:w="1548" w:type="dxa"/>
          </w:tcPr>
          <w:p w:rsidR="00742237" w:rsidRPr="00236585" w:rsidRDefault="00742237" w:rsidP="00605D3B">
            <w:pPr>
              <w:rPr>
                <w:sz w:val="20"/>
                <w:szCs w:val="20"/>
              </w:rPr>
            </w:pPr>
            <w:r w:rsidRPr="00236585">
              <w:rPr>
                <w:sz w:val="20"/>
                <w:szCs w:val="20"/>
              </w:rPr>
              <w:t>631</w:t>
            </w:r>
          </w:p>
        </w:tc>
        <w:tc>
          <w:tcPr>
            <w:tcW w:w="1548" w:type="dxa"/>
          </w:tcPr>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(12 weeks)</w:t>
            </w:r>
          </w:p>
          <w:p w:rsidR="00742237" w:rsidRPr="00236585" w:rsidRDefault="00742237" w:rsidP="00605D3B">
            <w:pPr>
              <w:rPr>
                <w:sz w:val="20"/>
                <w:szCs w:val="20"/>
              </w:rPr>
            </w:pPr>
            <w:r w:rsidRPr="00236585">
              <w:rPr>
                <w:sz w:val="20"/>
                <w:szCs w:val="20"/>
              </w:rPr>
              <w:t>Placebo</w:t>
            </w:r>
          </w:p>
        </w:tc>
        <w:tc>
          <w:tcPr>
            <w:tcW w:w="1548" w:type="dxa"/>
          </w:tcPr>
          <w:p w:rsidR="00742237" w:rsidRPr="00236585" w:rsidRDefault="00742237" w:rsidP="00605D3B">
            <w:pPr>
              <w:rPr>
                <w:sz w:val="20"/>
                <w:szCs w:val="20"/>
              </w:rPr>
            </w:pPr>
            <w:r w:rsidRPr="00236585">
              <w:rPr>
                <w:sz w:val="20"/>
                <w:szCs w:val="20"/>
              </w:rPr>
              <w:t>72 weeks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t>SAPPHIRE-II</w:t>
            </w:r>
          </w:p>
          <w:p w:rsidR="00742237" w:rsidRPr="00236585" w:rsidRDefault="00742237" w:rsidP="00742237">
            <w:pPr>
              <w:ind w:left="0"/>
              <w:rPr>
                <w:sz w:val="20"/>
                <w:szCs w:val="20"/>
              </w:rPr>
            </w:pPr>
            <w:r w:rsidRPr="00236585">
              <w:rPr>
                <w:sz w:val="20"/>
                <w:szCs w:val="20"/>
              </w:rPr>
              <w:t>M13-098</w:t>
            </w:r>
          </w:p>
        </w:tc>
        <w:tc>
          <w:tcPr>
            <w:tcW w:w="1547" w:type="dxa"/>
          </w:tcPr>
          <w:p w:rsidR="00742237" w:rsidRPr="00236585" w:rsidRDefault="00742237" w:rsidP="00B82810">
            <w:pPr>
              <w:ind w:left="98"/>
              <w:rPr>
                <w:sz w:val="20"/>
                <w:szCs w:val="20"/>
              </w:rPr>
            </w:pPr>
            <w:r w:rsidRPr="00236585">
              <w:rPr>
                <w:sz w:val="20"/>
                <w:szCs w:val="20"/>
              </w:rPr>
              <w:t xml:space="preserve">Multicentre, randomised double blind </w:t>
            </w:r>
          </w:p>
        </w:tc>
        <w:tc>
          <w:tcPr>
            <w:tcW w:w="1548" w:type="dxa"/>
          </w:tcPr>
          <w:p w:rsidR="00742237" w:rsidRPr="00236585" w:rsidRDefault="00742237" w:rsidP="00605D3B">
            <w:pPr>
              <w:rPr>
                <w:sz w:val="20"/>
                <w:szCs w:val="20"/>
              </w:rPr>
            </w:pPr>
            <w:r w:rsidRPr="00236585">
              <w:rPr>
                <w:sz w:val="20"/>
                <w:szCs w:val="20"/>
              </w:rPr>
              <w:t>GT1 (a and b)</w:t>
            </w:r>
          </w:p>
          <w:p w:rsidR="00742237" w:rsidRPr="00236585" w:rsidRDefault="00742237" w:rsidP="00605D3B">
            <w:pPr>
              <w:rPr>
                <w:sz w:val="20"/>
                <w:szCs w:val="20"/>
              </w:rPr>
            </w:pPr>
            <w:r w:rsidRPr="00236585">
              <w:rPr>
                <w:sz w:val="20"/>
                <w:szCs w:val="20"/>
              </w:rPr>
              <w:t>Treatment experienced without cirrhosis</w:t>
            </w:r>
          </w:p>
        </w:tc>
        <w:tc>
          <w:tcPr>
            <w:tcW w:w="1548" w:type="dxa"/>
          </w:tcPr>
          <w:p w:rsidR="00742237" w:rsidRPr="00236585" w:rsidRDefault="00742237" w:rsidP="00605D3B">
            <w:pPr>
              <w:rPr>
                <w:sz w:val="20"/>
                <w:szCs w:val="20"/>
              </w:rPr>
            </w:pPr>
            <w:r w:rsidRPr="00236585">
              <w:rPr>
                <w:sz w:val="20"/>
                <w:szCs w:val="20"/>
              </w:rPr>
              <w:t>394</w:t>
            </w:r>
          </w:p>
        </w:tc>
        <w:tc>
          <w:tcPr>
            <w:tcW w:w="1548" w:type="dxa"/>
          </w:tcPr>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(12 weeks)</w:t>
            </w:r>
          </w:p>
          <w:p w:rsidR="00742237" w:rsidRPr="00236585" w:rsidRDefault="00742237" w:rsidP="00605D3B">
            <w:pPr>
              <w:rPr>
                <w:sz w:val="20"/>
                <w:szCs w:val="20"/>
              </w:rPr>
            </w:pPr>
            <w:r w:rsidRPr="00236585">
              <w:rPr>
                <w:sz w:val="20"/>
                <w:szCs w:val="20"/>
              </w:rPr>
              <w:t>Placebo</w:t>
            </w:r>
          </w:p>
        </w:tc>
        <w:tc>
          <w:tcPr>
            <w:tcW w:w="1548" w:type="dxa"/>
          </w:tcPr>
          <w:p w:rsidR="00742237" w:rsidRPr="00236585" w:rsidRDefault="00742237" w:rsidP="00605D3B">
            <w:pPr>
              <w:rPr>
                <w:sz w:val="20"/>
                <w:szCs w:val="20"/>
              </w:rPr>
            </w:pPr>
            <w:r w:rsidRPr="00236585">
              <w:rPr>
                <w:sz w:val="20"/>
                <w:szCs w:val="20"/>
              </w:rPr>
              <w:t>72 weeks</w:t>
            </w:r>
          </w:p>
        </w:tc>
      </w:tr>
      <w:tr w:rsidR="00742237" w:rsidRPr="00236585" w:rsidTr="00605D3B">
        <w:tc>
          <w:tcPr>
            <w:tcW w:w="9286" w:type="dxa"/>
            <w:gridSpan w:val="6"/>
          </w:tcPr>
          <w:p w:rsidR="00742237" w:rsidRPr="00236585" w:rsidRDefault="00742237" w:rsidP="00742237">
            <w:pPr>
              <w:ind w:left="0"/>
              <w:rPr>
                <w:sz w:val="20"/>
                <w:szCs w:val="20"/>
              </w:rPr>
            </w:pPr>
            <w:r w:rsidRPr="00236585">
              <w:rPr>
                <w:sz w:val="20"/>
                <w:szCs w:val="20"/>
              </w:rPr>
              <w:t>Viekira Pak-RBV versus VIEKIRA-Pak, no cirrhosis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t>PEARL-II</w:t>
            </w:r>
          </w:p>
          <w:p w:rsidR="00742237" w:rsidRPr="00236585" w:rsidRDefault="00742237" w:rsidP="00742237">
            <w:pPr>
              <w:ind w:left="0"/>
              <w:rPr>
                <w:sz w:val="20"/>
                <w:szCs w:val="20"/>
              </w:rPr>
            </w:pPr>
            <w:r w:rsidRPr="00236585">
              <w:rPr>
                <w:sz w:val="20"/>
                <w:szCs w:val="20"/>
              </w:rPr>
              <w:lastRenderedPageBreak/>
              <w:t>M13-389</w:t>
            </w:r>
          </w:p>
          <w:p w:rsidR="00742237" w:rsidRPr="00236585" w:rsidRDefault="00742237" w:rsidP="00742237">
            <w:pPr>
              <w:ind w:left="0"/>
              <w:rPr>
                <w:sz w:val="20"/>
                <w:szCs w:val="20"/>
              </w:rPr>
            </w:pPr>
          </w:p>
        </w:tc>
        <w:tc>
          <w:tcPr>
            <w:tcW w:w="1547" w:type="dxa"/>
          </w:tcPr>
          <w:p w:rsidR="00742237" w:rsidRPr="00236585" w:rsidRDefault="00742237" w:rsidP="00742237">
            <w:pPr>
              <w:ind w:left="98"/>
              <w:rPr>
                <w:sz w:val="20"/>
                <w:szCs w:val="20"/>
              </w:rPr>
            </w:pPr>
            <w:r w:rsidRPr="00236585">
              <w:rPr>
                <w:sz w:val="20"/>
                <w:szCs w:val="20"/>
              </w:rPr>
              <w:lastRenderedPageBreak/>
              <w:t xml:space="preserve">Multicentre, </w:t>
            </w:r>
            <w:r w:rsidRPr="00236585">
              <w:rPr>
                <w:sz w:val="20"/>
                <w:szCs w:val="20"/>
              </w:rPr>
              <w:lastRenderedPageBreak/>
              <w:t>randomised, open label</w:t>
            </w:r>
          </w:p>
        </w:tc>
        <w:tc>
          <w:tcPr>
            <w:tcW w:w="1548" w:type="dxa"/>
          </w:tcPr>
          <w:p w:rsidR="00742237" w:rsidRPr="00236585" w:rsidRDefault="00742237" w:rsidP="00605D3B">
            <w:pPr>
              <w:rPr>
                <w:sz w:val="20"/>
                <w:szCs w:val="20"/>
              </w:rPr>
            </w:pPr>
            <w:r w:rsidRPr="00236585">
              <w:rPr>
                <w:sz w:val="20"/>
                <w:szCs w:val="20"/>
              </w:rPr>
              <w:lastRenderedPageBreak/>
              <w:t xml:space="preserve">GT1b, </w:t>
            </w:r>
            <w:r w:rsidRPr="00236585">
              <w:rPr>
                <w:sz w:val="20"/>
                <w:szCs w:val="20"/>
              </w:rPr>
              <w:lastRenderedPageBreak/>
              <w:t>Treatment experienced without cirrhosis</w:t>
            </w:r>
          </w:p>
        </w:tc>
        <w:tc>
          <w:tcPr>
            <w:tcW w:w="1548" w:type="dxa"/>
          </w:tcPr>
          <w:p w:rsidR="00742237" w:rsidRPr="00236585" w:rsidRDefault="00742237" w:rsidP="00605D3B">
            <w:pPr>
              <w:rPr>
                <w:sz w:val="20"/>
                <w:szCs w:val="20"/>
              </w:rPr>
            </w:pPr>
            <w:r w:rsidRPr="00236585">
              <w:rPr>
                <w:sz w:val="20"/>
                <w:szCs w:val="20"/>
              </w:rPr>
              <w:lastRenderedPageBreak/>
              <w:t>186</w:t>
            </w:r>
          </w:p>
        </w:tc>
        <w:tc>
          <w:tcPr>
            <w:tcW w:w="1548" w:type="dxa"/>
          </w:tcPr>
          <w:p w:rsidR="00742237" w:rsidRPr="00236585" w:rsidRDefault="00742237" w:rsidP="00605D3B">
            <w:pPr>
              <w:rPr>
                <w:sz w:val="20"/>
                <w:szCs w:val="20"/>
              </w:rPr>
            </w:pPr>
            <w:r w:rsidRPr="00236585">
              <w:rPr>
                <w:sz w:val="20"/>
                <w:szCs w:val="20"/>
              </w:rPr>
              <w:t xml:space="preserve">Viekira </w:t>
            </w:r>
            <w:r w:rsidRPr="00236585">
              <w:rPr>
                <w:sz w:val="20"/>
                <w:szCs w:val="20"/>
              </w:rPr>
              <w:lastRenderedPageBreak/>
              <w:t>Pak+RBV</w:t>
            </w:r>
          </w:p>
          <w:p w:rsidR="00742237" w:rsidRPr="00236585" w:rsidRDefault="00742237" w:rsidP="00605D3B">
            <w:pPr>
              <w:rPr>
                <w:sz w:val="20"/>
                <w:szCs w:val="20"/>
              </w:rPr>
            </w:pPr>
            <w:r w:rsidRPr="00236585">
              <w:rPr>
                <w:sz w:val="20"/>
                <w:szCs w:val="20"/>
              </w:rPr>
              <w:t>( 12 weeks)</w:t>
            </w:r>
          </w:p>
          <w:p w:rsidR="00742237" w:rsidRPr="00236585" w:rsidRDefault="00742237" w:rsidP="00605D3B">
            <w:pPr>
              <w:rPr>
                <w:sz w:val="20"/>
                <w:szCs w:val="20"/>
              </w:rPr>
            </w:pPr>
            <w:r w:rsidRPr="00236585">
              <w:rPr>
                <w:sz w:val="20"/>
                <w:szCs w:val="20"/>
              </w:rPr>
              <w:t>Viekira Pak (12 weeks)</w:t>
            </w:r>
          </w:p>
        </w:tc>
        <w:tc>
          <w:tcPr>
            <w:tcW w:w="1548" w:type="dxa"/>
          </w:tcPr>
          <w:p w:rsidR="00742237" w:rsidRPr="00236585" w:rsidRDefault="00742237" w:rsidP="00605D3B">
            <w:pPr>
              <w:rPr>
                <w:sz w:val="20"/>
                <w:szCs w:val="20"/>
              </w:rPr>
            </w:pPr>
            <w:r w:rsidRPr="00236585">
              <w:rPr>
                <w:sz w:val="20"/>
                <w:szCs w:val="20"/>
              </w:rPr>
              <w:lastRenderedPageBreak/>
              <w:t xml:space="preserve">60 </w:t>
            </w:r>
            <w:r w:rsidRPr="00236585">
              <w:rPr>
                <w:sz w:val="20"/>
                <w:szCs w:val="20"/>
              </w:rPr>
              <w:lastRenderedPageBreak/>
              <w:t>weeks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lastRenderedPageBreak/>
              <w:t>PEARL-III</w:t>
            </w:r>
          </w:p>
          <w:p w:rsidR="00742237" w:rsidRPr="00236585" w:rsidRDefault="00742237" w:rsidP="00742237">
            <w:pPr>
              <w:ind w:left="0"/>
              <w:rPr>
                <w:sz w:val="20"/>
                <w:szCs w:val="20"/>
              </w:rPr>
            </w:pPr>
            <w:r w:rsidRPr="00236585">
              <w:rPr>
                <w:sz w:val="20"/>
                <w:szCs w:val="20"/>
              </w:rPr>
              <w:t>M13-961</w:t>
            </w:r>
          </w:p>
        </w:tc>
        <w:tc>
          <w:tcPr>
            <w:tcW w:w="1547" w:type="dxa"/>
          </w:tcPr>
          <w:p w:rsidR="00742237" w:rsidRPr="00236585" w:rsidRDefault="00742237" w:rsidP="00742237">
            <w:pPr>
              <w:ind w:left="98"/>
              <w:rPr>
                <w:sz w:val="20"/>
                <w:szCs w:val="20"/>
              </w:rPr>
            </w:pPr>
            <w:r w:rsidRPr="00236585">
              <w:rPr>
                <w:sz w:val="20"/>
                <w:szCs w:val="20"/>
              </w:rPr>
              <w:t>Multicentre, randomised, double blind</w:t>
            </w:r>
          </w:p>
        </w:tc>
        <w:tc>
          <w:tcPr>
            <w:tcW w:w="1548" w:type="dxa"/>
          </w:tcPr>
          <w:p w:rsidR="00742237" w:rsidRPr="00236585" w:rsidRDefault="00742237" w:rsidP="00605D3B">
            <w:pPr>
              <w:rPr>
                <w:sz w:val="20"/>
                <w:szCs w:val="20"/>
              </w:rPr>
            </w:pPr>
            <w:r w:rsidRPr="00236585">
              <w:rPr>
                <w:sz w:val="20"/>
                <w:szCs w:val="20"/>
              </w:rPr>
              <w:t>GT1b, Treatment naïve without cirrhosis</w:t>
            </w:r>
          </w:p>
        </w:tc>
        <w:tc>
          <w:tcPr>
            <w:tcW w:w="1548" w:type="dxa"/>
          </w:tcPr>
          <w:p w:rsidR="00742237" w:rsidRPr="00236585" w:rsidRDefault="00742237" w:rsidP="00605D3B">
            <w:pPr>
              <w:rPr>
                <w:sz w:val="20"/>
                <w:szCs w:val="20"/>
              </w:rPr>
            </w:pPr>
            <w:r w:rsidRPr="00236585">
              <w:rPr>
                <w:sz w:val="20"/>
                <w:szCs w:val="20"/>
              </w:rPr>
              <w:t>419</w:t>
            </w:r>
          </w:p>
        </w:tc>
        <w:tc>
          <w:tcPr>
            <w:tcW w:w="1548" w:type="dxa"/>
          </w:tcPr>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( 12 weeks)</w:t>
            </w:r>
          </w:p>
          <w:p w:rsidR="00742237" w:rsidRPr="00236585" w:rsidRDefault="00742237" w:rsidP="00605D3B">
            <w:pPr>
              <w:rPr>
                <w:sz w:val="20"/>
                <w:szCs w:val="20"/>
              </w:rPr>
            </w:pPr>
            <w:r w:rsidRPr="00236585">
              <w:rPr>
                <w:sz w:val="20"/>
                <w:szCs w:val="20"/>
              </w:rPr>
              <w:t>Viekira Pak (12 weeks)</w:t>
            </w:r>
          </w:p>
        </w:tc>
        <w:tc>
          <w:tcPr>
            <w:tcW w:w="1548" w:type="dxa"/>
          </w:tcPr>
          <w:p w:rsidR="00742237" w:rsidRPr="00236585" w:rsidRDefault="00742237" w:rsidP="00605D3B">
            <w:pPr>
              <w:rPr>
                <w:sz w:val="20"/>
                <w:szCs w:val="20"/>
              </w:rPr>
            </w:pPr>
            <w:r w:rsidRPr="00236585">
              <w:rPr>
                <w:sz w:val="20"/>
                <w:szCs w:val="20"/>
              </w:rPr>
              <w:t>60 weeks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t>PEARL-IV</w:t>
            </w:r>
          </w:p>
          <w:p w:rsidR="00742237" w:rsidRPr="00236585" w:rsidRDefault="00742237" w:rsidP="00742237">
            <w:pPr>
              <w:ind w:left="0"/>
              <w:rPr>
                <w:sz w:val="20"/>
                <w:szCs w:val="20"/>
              </w:rPr>
            </w:pPr>
            <w:r w:rsidRPr="00236585">
              <w:rPr>
                <w:sz w:val="20"/>
                <w:szCs w:val="20"/>
              </w:rPr>
              <w:t>M14-002</w:t>
            </w:r>
          </w:p>
        </w:tc>
        <w:tc>
          <w:tcPr>
            <w:tcW w:w="1547" w:type="dxa"/>
          </w:tcPr>
          <w:p w:rsidR="00742237" w:rsidRPr="00236585" w:rsidRDefault="00742237" w:rsidP="00742237">
            <w:pPr>
              <w:ind w:left="98"/>
              <w:rPr>
                <w:sz w:val="20"/>
                <w:szCs w:val="20"/>
              </w:rPr>
            </w:pPr>
            <w:r w:rsidRPr="00236585">
              <w:rPr>
                <w:sz w:val="20"/>
                <w:szCs w:val="20"/>
              </w:rPr>
              <w:t>Multicentre, randomised, double blind</w:t>
            </w:r>
          </w:p>
        </w:tc>
        <w:tc>
          <w:tcPr>
            <w:tcW w:w="1548" w:type="dxa"/>
          </w:tcPr>
          <w:p w:rsidR="00742237" w:rsidRPr="00236585" w:rsidRDefault="00742237" w:rsidP="00605D3B">
            <w:pPr>
              <w:rPr>
                <w:sz w:val="20"/>
                <w:szCs w:val="20"/>
              </w:rPr>
            </w:pPr>
            <w:r w:rsidRPr="00236585">
              <w:rPr>
                <w:sz w:val="20"/>
                <w:szCs w:val="20"/>
              </w:rPr>
              <w:t>GT1a Treatment naïve without cirrhosis</w:t>
            </w:r>
          </w:p>
        </w:tc>
        <w:tc>
          <w:tcPr>
            <w:tcW w:w="1548" w:type="dxa"/>
          </w:tcPr>
          <w:p w:rsidR="00742237" w:rsidRPr="00236585" w:rsidRDefault="00742237" w:rsidP="00605D3B">
            <w:pPr>
              <w:rPr>
                <w:sz w:val="20"/>
                <w:szCs w:val="20"/>
              </w:rPr>
            </w:pPr>
            <w:r w:rsidRPr="00236585">
              <w:rPr>
                <w:sz w:val="20"/>
                <w:szCs w:val="20"/>
              </w:rPr>
              <w:t>305</w:t>
            </w:r>
          </w:p>
        </w:tc>
        <w:tc>
          <w:tcPr>
            <w:tcW w:w="1548" w:type="dxa"/>
          </w:tcPr>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( 12 weeks)</w:t>
            </w:r>
          </w:p>
          <w:p w:rsidR="00742237" w:rsidRPr="00236585" w:rsidRDefault="00742237" w:rsidP="00605D3B">
            <w:pPr>
              <w:rPr>
                <w:sz w:val="20"/>
                <w:szCs w:val="20"/>
              </w:rPr>
            </w:pPr>
            <w:r w:rsidRPr="00236585">
              <w:rPr>
                <w:sz w:val="20"/>
                <w:szCs w:val="20"/>
              </w:rPr>
              <w:t>Viekira Pak (12 weeks)</w:t>
            </w:r>
          </w:p>
        </w:tc>
        <w:tc>
          <w:tcPr>
            <w:tcW w:w="1548" w:type="dxa"/>
          </w:tcPr>
          <w:p w:rsidR="00742237" w:rsidRPr="00236585" w:rsidRDefault="00742237" w:rsidP="00605D3B">
            <w:pPr>
              <w:rPr>
                <w:sz w:val="20"/>
                <w:szCs w:val="20"/>
              </w:rPr>
            </w:pPr>
            <w:r w:rsidRPr="00236585">
              <w:rPr>
                <w:sz w:val="20"/>
                <w:szCs w:val="20"/>
              </w:rPr>
              <w:t>60 weeks</w:t>
            </w:r>
          </w:p>
        </w:tc>
      </w:tr>
      <w:tr w:rsidR="00742237" w:rsidRPr="00236585" w:rsidTr="00605D3B">
        <w:tc>
          <w:tcPr>
            <w:tcW w:w="9286" w:type="dxa"/>
            <w:gridSpan w:val="6"/>
          </w:tcPr>
          <w:p w:rsidR="00742237" w:rsidRPr="00236585" w:rsidRDefault="00742237" w:rsidP="00742237">
            <w:pPr>
              <w:ind w:left="0"/>
              <w:rPr>
                <w:sz w:val="20"/>
                <w:szCs w:val="20"/>
              </w:rPr>
            </w:pPr>
            <w:r w:rsidRPr="00236585">
              <w:rPr>
                <w:sz w:val="20"/>
                <w:szCs w:val="20"/>
              </w:rPr>
              <w:t>Viekira Pak-RBV, cirrhosis</w:t>
            </w:r>
          </w:p>
        </w:tc>
      </w:tr>
      <w:tr w:rsidR="00742237" w:rsidRPr="00236585" w:rsidTr="00605D3B">
        <w:tc>
          <w:tcPr>
            <w:tcW w:w="1547" w:type="dxa"/>
          </w:tcPr>
          <w:p w:rsidR="00742237" w:rsidRPr="00236585" w:rsidRDefault="00742237" w:rsidP="00742237">
            <w:pPr>
              <w:ind w:left="0"/>
              <w:rPr>
                <w:sz w:val="20"/>
                <w:szCs w:val="20"/>
              </w:rPr>
            </w:pPr>
            <w:r w:rsidRPr="00236585">
              <w:rPr>
                <w:sz w:val="20"/>
                <w:szCs w:val="20"/>
              </w:rPr>
              <w:t>TURQUOISE-II</w:t>
            </w:r>
            <w:r>
              <w:rPr>
                <w:sz w:val="20"/>
                <w:szCs w:val="20"/>
              </w:rPr>
              <w:t xml:space="preserve"> </w:t>
            </w:r>
            <w:r w:rsidRPr="00236585">
              <w:rPr>
                <w:sz w:val="20"/>
                <w:szCs w:val="20"/>
              </w:rPr>
              <w:t xml:space="preserve">M13-099 </w:t>
            </w:r>
          </w:p>
        </w:tc>
        <w:tc>
          <w:tcPr>
            <w:tcW w:w="1547" w:type="dxa"/>
          </w:tcPr>
          <w:p w:rsidR="00742237" w:rsidRPr="00236585" w:rsidRDefault="00742237" w:rsidP="00742237">
            <w:pPr>
              <w:ind w:left="98"/>
              <w:rPr>
                <w:sz w:val="20"/>
                <w:szCs w:val="20"/>
              </w:rPr>
            </w:pPr>
            <w:r w:rsidRPr="00236585">
              <w:rPr>
                <w:sz w:val="20"/>
                <w:szCs w:val="20"/>
              </w:rPr>
              <w:t>Multicentre, randomised, open label</w:t>
            </w:r>
          </w:p>
        </w:tc>
        <w:tc>
          <w:tcPr>
            <w:tcW w:w="1548" w:type="dxa"/>
          </w:tcPr>
          <w:p w:rsidR="00742237" w:rsidRPr="00236585" w:rsidRDefault="00742237" w:rsidP="00605D3B">
            <w:pPr>
              <w:rPr>
                <w:sz w:val="20"/>
                <w:szCs w:val="20"/>
              </w:rPr>
            </w:pPr>
            <w:r w:rsidRPr="00236585">
              <w:rPr>
                <w:sz w:val="20"/>
                <w:szCs w:val="20"/>
              </w:rPr>
              <w:t>GT1 (a and b)</w:t>
            </w:r>
          </w:p>
          <w:p w:rsidR="00742237" w:rsidRPr="00236585" w:rsidRDefault="00742237" w:rsidP="00605D3B">
            <w:pPr>
              <w:rPr>
                <w:sz w:val="20"/>
                <w:szCs w:val="20"/>
              </w:rPr>
            </w:pPr>
            <w:r w:rsidRPr="00236585">
              <w:rPr>
                <w:sz w:val="20"/>
                <w:szCs w:val="20"/>
              </w:rPr>
              <w:t>Treatment experienced and treatment naïve with cirrhosis</w:t>
            </w:r>
          </w:p>
        </w:tc>
        <w:tc>
          <w:tcPr>
            <w:tcW w:w="1548" w:type="dxa"/>
          </w:tcPr>
          <w:p w:rsidR="00742237" w:rsidRPr="00236585" w:rsidRDefault="00742237" w:rsidP="00605D3B">
            <w:pPr>
              <w:rPr>
                <w:sz w:val="20"/>
                <w:szCs w:val="20"/>
              </w:rPr>
            </w:pPr>
            <w:r w:rsidRPr="00236585">
              <w:rPr>
                <w:sz w:val="20"/>
                <w:szCs w:val="20"/>
              </w:rPr>
              <w:t>380</w:t>
            </w:r>
          </w:p>
        </w:tc>
        <w:tc>
          <w:tcPr>
            <w:tcW w:w="1548" w:type="dxa"/>
          </w:tcPr>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( 12 weeks)</w:t>
            </w:r>
          </w:p>
          <w:p w:rsidR="00742237" w:rsidRPr="00236585" w:rsidRDefault="00742237" w:rsidP="00605D3B">
            <w:pPr>
              <w:rPr>
                <w:sz w:val="20"/>
                <w:szCs w:val="20"/>
              </w:rPr>
            </w:pPr>
            <w:r w:rsidRPr="00236585">
              <w:rPr>
                <w:sz w:val="20"/>
                <w:szCs w:val="20"/>
              </w:rPr>
              <w:t>Viekira Pak+RBV</w:t>
            </w:r>
          </w:p>
          <w:p w:rsidR="00742237" w:rsidRPr="00236585" w:rsidRDefault="00742237" w:rsidP="00605D3B">
            <w:pPr>
              <w:rPr>
                <w:sz w:val="20"/>
                <w:szCs w:val="20"/>
              </w:rPr>
            </w:pPr>
            <w:r w:rsidRPr="00236585">
              <w:rPr>
                <w:sz w:val="20"/>
                <w:szCs w:val="20"/>
              </w:rPr>
              <w:t>(24 weeks)</w:t>
            </w:r>
          </w:p>
        </w:tc>
        <w:tc>
          <w:tcPr>
            <w:tcW w:w="1548" w:type="dxa"/>
          </w:tcPr>
          <w:p w:rsidR="00742237" w:rsidRPr="00236585" w:rsidRDefault="00742237" w:rsidP="00605D3B">
            <w:pPr>
              <w:rPr>
                <w:sz w:val="20"/>
                <w:szCs w:val="20"/>
              </w:rPr>
            </w:pPr>
            <w:r w:rsidRPr="00236585">
              <w:rPr>
                <w:sz w:val="20"/>
                <w:szCs w:val="20"/>
              </w:rPr>
              <w:t>72 weeks</w:t>
            </w:r>
          </w:p>
        </w:tc>
      </w:tr>
    </w:tbl>
    <w:p w:rsidR="00FE5487" w:rsidRDefault="00FE5487" w:rsidP="00FE5487">
      <w:pPr>
        <w:pStyle w:val="Heading5"/>
      </w:pPr>
      <w:r w:rsidRPr="00FE5487">
        <w:t>M11-646, SAPPHIRE-I</w:t>
      </w:r>
      <w:bookmarkStart w:id="212" w:name="_Ref473550907"/>
      <w:r w:rsidR="00957B05">
        <w:rPr>
          <w:rStyle w:val="FootnoteReference"/>
        </w:rPr>
        <w:footnoteReference w:id="77"/>
      </w:r>
      <w:bookmarkEnd w:id="212"/>
    </w:p>
    <w:p w:rsidR="00FE5487" w:rsidRPr="00FE5487" w:rsidRDefault="003B6B40" w:rsidP="00FE5487">
      <w:proofErr w:type="gramStart"/>
      <w:r>
        <w:t xml:space="preserve">Genotype 1, </w:t>
      </w:r>
      <w:r w:rsidR="0030257D">
        <w:t>treatment naïve</w:t>
      </w:r>
      <w:r>
        <w:t>.</w:t>
      </w:r>
      <w:proofErr w:type="gramEnd"/>
    </w:p>
    <w:p w:rsidR="00FE5487" w:rsidRPr="00FE5487" w:rsidRDefault="00FE5487" w:rsidP="00FE5487">
      <w:r w:rsidRPr="00FE5487">
        <w:t xml:space="preserve">This was a </w:t>
      </w:r>
      <w:r w:rsidR="00F201F8">
        <w:t>Phase III</w:t>
      </w:r>
      <w:r w:rsidRPr="00FE5487">
        <w:t xml:space="preserve">, multicentre, randomised, </w:t>
      </w:r>
      <w:r w:rsidR="00CA123F">
        <w:t>double blind</w:t>
      </w:r>
      <w:r w:rsidRPr="00FE5487">
        <w:t xml:space="preserve">, </w:t>
      </w:r>
      <w:r w:rsidR="00720CFF">
        <w:t>placebo controlled</w:t>
      </w:r>
      <w:r w:rsidRPr="00FE5487">
        <w:t xml:space="preserve"> safety and efficacy study of </w:t>
      </w:r>
      <w:r w:rsidR="00F573D0">
        <w:t>paritaprevir</w:t>
      </w:r>
      <w:r w:rsidR="00630EF4">
        <w:t xml:space="preserve">/ritonavir/ </w:t>
      </w:r>
      <w:r w:rsidR="00590286">
        <w:t>ombitasvir</w:t>
      </w:r>
      <w:r w:rsidRPr="00FE5487">
        <w:t xml:space="preserve"> and </w:t>
      </w:r>
      <w:r w:rsidR="00590286">
        <w:t>dasabuvir</w:t>
      </w:r>
      <w:r w:rsidRPr="00FE5487">
        <w:t xml:space="preserve"> co-administered with ribavirin (</w:t>
      </w:r>
      <w:r w:rsidR="00237CBE">
        <w:t>3DAA</w:t>
      </w:r>
      <w:r w:rsidRPr="00FE5487">
        <w:t xml:space="preserve"> + RBV) in </w:t>
      </w:r>
      <w:r w:rsidR="0030257D">
        <w:t>treatment naïve</w:t>
      </w:r>
      <w:r w:rsidRPr="00FE5487">
        <w:t xml:space="preserve"> non-cirrho</w:t>
      </w:r>
      <w:r w:rsidR="009F6EED">
        <w:t>tic adults with genotype 1</w:t>
      </w:r>
      <w:r w:rsidRPr="00FE5487">
        <w:t xml:space="preserve"> chronic HCV infection. It was conducted at 79 centres in 13 countries. The primary efficacy objective was to show the non-inferiority in </w:t>
      </w:r>
      <w:r w:rsidR="006A2EA5" w:rsidRPr="00FE5487">
        <w:t>SVR</w:t>
      </w:r>
      <w:r w:rsidR="006A2EA5" w:rsidRPr="006A2EA5">
        <w:rPr>
          <w:vertAlign w:val="subscript"/>
        </w:rPr>
        <w:t>12</w:t>
      </w:r>
      <w:r w:rsidRPr="00FE5487">
        <w:t xml:space="preserve"> rates after 12 weeks of treatment with </w:t>
      </w:r>
      <w:r w:rsidR="00237CBE">
        <w:t>3DAA</w:t>
      </w:r>
      <w:r w:rsidRPr="00FE5487">
        <w:t xml:space="preserve"> + RBV, compared with the historical SVR rate </w:t>
      </w:r>
      <w:r w:rsidR="003B6B40">
        <w:t>for telaprevir plus pegIFN/RBV.</w:t>
      </w:r>
    </w:p>
    <w:p w:rsidR="00FE5487" w:rsidRPr="00FE5487" w:rsidRDefault="00FE5487" w:rsidP="00FE5487">
      <w:r w:rsidRPr="00FE5487">
        <w:lastRenderedPageBreak/>
        <w:t xml:space="preserve">Approximately 600 patients were randomised to one of two arms in a 3:1 ratio to receive </w:t>
      </w:r>
      <w:r w:rsidR="00237CBE">
        <w:t>3DAA</w:t>
      </w:r>
      <w:r w:rsidRPr="00FE5487">
        <w:t xml:space="preserve"> + RBV for 12 weeks (Group A), or placebo </w:t>
      </w:r>
      <w:r w:rsidR="00237CBE">
        <w:t>3DAA</w:t>
      </w:r>
      <w:r w:rsidRPr="00FE5487">
        <w:t xml:space="preserve"> +</w:t>
      </w:r>
      <w:r w:rsidR="003B6B40">
        <w:t xml:space="preserve"> RBV for 12 weeks followed by </w:t>
      </w:r>
      <w:r w:rsidR="00237CBE">
        <w:t>3DAA</w:t>
      </w:r>
      <w:r w:rsidRPr="00FE5487">
        <w:t xml:space="preserve"> + RBV for 12</w:t>
      </w:r>
      <w:r w:rsidR="003B6B40">
        <w:t xml:space="preserve"> weeks (Group B). In the double </w:t>
      </w:r>
      <w:r w:rsidRPr="00FE5487">
        <w:t xml:space="preserve">blind treatment period, randomisation was stratified according to HCV subtype (1a and non-1a) and IL28B genotype (CC and non-CC). The duration of the study was </w:t>
      </w:r>
      <w:r w:rsidR="003B6B40">
        <w:t xml:space="preserve">72 weeks consisting of a double blind treatment period, an open </w:t>
      </w:r>
      <w:r w:rsidRPr="00FE5487">
        <w:t>label treatment period (for patients ra</w:t>
      </w:r>
      <w:r w:rsidR="003B6B40">
        <w:t xml:space="preserve">ndomised to placebo) and a post </w:t>
      </w:r>
      <w:r w:rsidRPr="00FE5487">
        <w:t xml:space="preserve">dosing period. All patients who received active study drugs </w:t>
      </w:r>
      <w:r w:rsidR="003B6B40">
        <w:t xml:space="preserve">were followed for 48 weeks post </w:t>
      </w:r>
      <w:r w:rsidRPr="00FE5487">
        <w:t>treatment to monitor safety, HCV RNA, and the emergence and/or persistence of resistant viral variants.</w:t>
      </w:r>
    </w:p>
    <w:p w:rsidR="00FE5487" w:rsidRPr="00FE5487" w:rsidRDefault="00FE5487" w:rsidP="00FE5487">
      <w:pPr>
        <w:pStyle w:val="Heading6"/>
      </w:pPr>
      <w:r w:rsidRPr="00FE5487">
        <w:t>Results</w:t>
      </w:r>
    </w:p>
    <w:p w:rsidR="00FE5487" w:rsidRPr="00FE5487" w:rsidRDefault="00FE5487" w:rsidP="00FE5487">
      <w:r w:rsidRPr="00FE5487">
        <w:t>Sustained viro</w:t>
      </w:r>
      <w:r w:rsidR="003B6B40">
        <w:t xml:space="preserve">logic response at 12 weeks post </w:t>
      </w:r>
      <w:r w:rsidRPr="00FE5487">
        <w:t>dosing (</w:t>
      </w:r>
      <w:r w:rsidR="006A2EA5" w:rsidRPr="00FE5487">
        <w:t>SVR</w:t>
      </w:r>
      <w:r w:rsidR="006A2EA5" w:rsidRPr="006A2EA5">
        <w:rPr>
          <w:vertAlign w:val="subscript"/>
        </w:rPr>
        <w:t>12</w:t>
      </w:r>
      <w:r w:rsidRPr="00FE5487">
        <w:t>) was achieved by 96.2% patients (95% CI: 94.5%, 97.9%). Both primary endpoints were achieved, namely non-inferiority and superiority comp</w:t>
      </w:r>
      <w:r w:rsidR="003B6B40">
        <w:t xml:space="preserve">ared with historical telaprevir </w:t>
      </w:r>
      <w:r w:rsidRPr="00FE5487">
        <w:t>based therapy (</w:t>
      </w:r>
      <w:r w:rsidR="000C3156">
        <w:t xml:space="preserve">&gt; </w:t>
      </w:r>
      <w:r w:rsidRPr="00FE5487">
        <w:t>70% for the lower bound of the 95% CI non-inferiority threshold (</w:t>
      </w:r>
      <w:r w:rsidRPr="00237CBE">
        <w:t>LCB), and</w:t>
      </w:r>
      <w:r w:rsidRPr="00FE5487">
        <w:t xml:space="preserve"> </w:t>
      </w:r>
      <w:r w:rsidR="000C3156">
        <w:t xml:space="preserve">&gt; </w:t>
      </w:r>
      <w:r w:rsidRPr="00FE5487">
        <w:t>80% for the lower bound of the 95% CI superiority threshold). All patients achieved viral suppression. Virologic failure whilst on treatment was experienced by one patient (0.2%), one patient (0.2%) experienced viral rebound, and seven (</w:t>
      </w:r>
      <w:r w:rsidR="003B6B40">
        <w:t xml:space="preserve">1.5%) patients relapsed by post </w:t>
      </w:r>
      <w:r w:rsidRPr="00FE5487">
        <w:t xml:space="preserve">treatment Week 12. The remaining reasons for non-response were missing data or premature study discontinuation. Compliance was </w:t>
      </w:r>
      <w:r w:rsidR="000C3156">
        <w:t xml:space="preserve">≥ </w:t>
      </w:r>
      <w:r w:rsidRPr="00FE5487">
        <w:t>95% in the patients who had on-treatment virologic failure or relapse.</w:t>
      </w:r>
    </w:p>
    <w:p w:rsidR="00FE5487" w:rsidRPr="00FE5487" w:rsidRDefault="005038AE" w:rsidP="00FE5487">
      <w:pPr>
        <w:pStyle w:val="FigureTitle"/>
      </w:pPr>
      <w:r>
        <w:t>Figure 1</w:t>
      </w:r>
      <w:r w:rsidR="00B03483">
        <w:t>5</w:t>
      </w:r>
      <w:r w:rsidR="00746D48">
        <w:t xml:space="preserve">: </w:t>
      </w:r>
      <w:r w:rsidR="00FE5487" w:rsidRPr="00FE5487">
        <w:t>Rates of sustained virologic response (</w:t>
      </w:r>
      <w:r w:rsidR="006A2EA5" w:rsidRPr="00FE5487">
        <w:t>SVR</w:t>
      </w:r>
      <w:r w:rsidR="006A2EA5" w:rsidRPr="006A2EA5">
        <w:rPr>
          <w:vertAlign w:val="subscript"/>
        </w:rPr>
        <w:t>12</w:t>
      </w:r>
      <w:r w:rsidR="00FE5487" w:rsidRPr="00FE5487">
        <w:t>) among all patients and</w:t>
      </w:r>
      <w:r w:rsidR="00FE5487">
        <w:t xml:space="preserve"> </w:t>
      </w:r>
      <w:r w:rsidR="00FE5487" w:rsidRPr="00FE5487">
        <w:t>according to HCV Genotype in the historical control group and in Group A</w:t>
      </w:r>
      <w:r w:rsidR="00957B05" w:rsidRPr="00957B05">
        <w:rPr>
          <w:vertAlign w:val="superscript"/>
        </w:rPr>
        <w:fldChar w:fldCharType="begin"/>
      </w:r>
      <w:r w:rsidR="00957B05" w:rsidRPr="00957B05">
        <w:rPr>
          <w:vertAlign w:val="superscript"/>
        </w:rPr>
        <w:instrText xml:space="preserve"> NOTEREF _Ref473550907 \h </w:instrText>
      </w:r>
      <w:r w:rsidR="00957B05">
        <w:rPr>
          <w:vertAlign w:val="superscript"/>
        </w:rPr>
        <w:instrText xml:space="preserve"> \* MERGEFORMAT </w:instrText>
      </w:r>
      <w:r w:rsidR="00957B05" w:rsidRPr="00957B05">
        <w:rPr>
          <w:vertAlign w:val="superscript"/>
        </w:rPr>
      </w:r>
      <w:r w:rsidR="00957B05" w:rsidRPr="00957B05">
        <w:rPr>
          <w:vertAlign w:val="superscript"/>
        </w:rPr>
        <w:fldChar w:fldCharType="separate"/>
      </w:r>
      <w:r w:rsidR="00957B05" w:rsidRPr="00957B05">
        <w:rPr>
          <w:vertAlign w:val="superscript"/>
        </w:rPr>
        <w:t>67</w:t>
      </w:r>
      <w:r w:rsidR="00957B05" w:rsidRPr="00957B05">
        <w:rPr>
          <w:vertAlign w:val="superscript"/>
        </w:rPr>
        <w:fldChar w:fldCharType="end"/>
      </w:r>
    </w:p>
    <w:p w:rsidR="00F306A9" w:rsidRDefault="00FE5487" w:rsidP="007B6132">
      <w:r>
        <w:rPr>
          <w:noProof/>
          <w:lang w:eastAsia="en-AU"/>
        </w:rPr>
        <w:drawing>
          <wp:inline distT="0" distB="0" distL="0" distR="0" wp14:anchorId="641BB537" wp14:editId="1603F140">
            <wp:extent cx="3857625" cy="3009900"/>
            <wp:effectExtent l="0" t="0" r="9525" b="0"/>
            <wp:docPr id="7" name="Picture 7" descr="Figure 15: Rates of sustained virologic response (SVR12) among all patients and according to HCV Genotype in the historical control group and in Group 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57625" cy="3009900"/>
                    </a:xfrm>
                    <a:prstGeom prst="rect">
                      <a:avLst/>
                    </a:prstGeom>
                  </pic:spPr>
                </pic:pic>
              </a:graphicData>
            </a:graphic>
          </wp:inline>
        </w:drawing>
      </w:r>
    </w:p>
    <w:p w:rsidR="00FE5487" w:rsidRPr="00FE5487" w:rsidRDefault="00FE5487" w:rsidP="00FE5487">
      <w:pPr>
        <w:pStyle w:val="TableDescription"/>
      </w:pPr>
      <w:r w:rsidRPr="00FE5487">
        <w:t xml:space="preserve">Group A: patients receiving </w:t>
      </w:r>
      <w:r w:rsidR="00F573D0">
        <w:t>paritaprevir</w:t>
      </w:r>
      <w:r w:rsidRPr="00FE5487">
        <w:t xml:space="preserve">/r–ombitasvir and dasabuvir with ribavirin during the </w:t>
      </w:r>
      <w:r w:rsidR="00CA123F">
        <w:t>double blind</w:t>
      </w:r>
      <w:r w:rsidRPr="00FE5487">
        <w:t xml:space="preserve"> period. Dots indicate the point estimates in the control group. I bars indicate 95% confidence intervals. Numbers above the confidence intervals are the rates of sustained virologic response.</w:t>
      </w:r>
    </w:p>
    <w:p w:rsidR="00FE5487" w:rsidRDefault="00FE5487" w:rsidP="00FE5487">
      <w:pPr>
        <w:pStyle w:val="Heading5"/>
      </w:pPr>
      <w:r w:rsidRPr="00FE5487">
        <w:t>M13-098, SAPPHIRE-II</w:t>
      </w:r>
      <w:bookmarkStart w:id="213" w:name="_Ref473548587"/>
      <w:r w:rsidRPr="003B6B40">
        <w:rPr>
          <w:rFonts w:eastAsia="Cambria"/>
          <w:vertAlign w:val="superscript"/>
        </w:rPr>
        <w:footnoteReference w:id="78"/>
      </w:r>
      <w:bookmarkEnd w:id="213"/>
    </w:p>
    <w:p w:rsidR="00FE5487" w:rsidRPr="00FE5487" w:rsidRDefault="00FE5487" w:rsidP="00FE5487">
      <w:r w:rsidRPr="00FE5487">
        <w:t>Ge</w:t>
      </w:r>
      <w:r w:rsidR="003B6B40">
        <w:t>notype 1, treatment experienced</w:t>
      </w:r>
    </w:p>
    <w:p w:rsidR="00FE5487" w:rsidRPr="00FE5487" w:rsidRDefault="00FE5487" w:rsidP="00FE5487">
      <w:r w:rsidRPr="00FE5487">
        <w:t xml:space="preserve">This was a </w:t>
      </w:r>
      <w:r w:rsidR="00F201F8">
        <w:t>Phase III</w:t>
      </w:r>
      <w:r w:rsidRPr="00FE5487">
        <w:t>, multicentre, ra</w:t>
      </w:r>
      <w:r w:rsidR="003B6B40">
        <w:t xml:space="preserve">ndomised, double blind, placebo </w:t>
      </w:r>
      <w:r w:rsidRPr="00FE5487">
        <w:t xml:space="preserve">controlled safety and efficacy study of </w:t>
      </w:r>
      <w:r w:rsidR="00F573D0">
        <w:t>paritaprevir</w:t>
      </w:r>
      <w:r w:rsidR="003B6B40">
        <w:t>/ritonavir/</w:t>
      </w:r>
      <w:r w:rsidR="00590286">
        <w:t>ombitasvir</w:t>
      </w:r>
      <w:r w:rsidRPr="00FE5487">
        <w:t xml:space="preserve"> and </w:t>
      </w:r>
      <w:r w:rsidR="00590286">
        <w:t>dasabuvir</w:t>
      </w:r>
      <w:r w:rsidRPr="00FE5487">
        <w:t xml:space="preserve"> co-administered with </w:t>
      </w:r>
      <w:r w:rsidRPr="00FE5487">
        <w:lastRenderedPageBreak/>
        <w:t>ri</w:t>
      </w:r>
      <w:r w:rsidR="003B6B40">
        <w:t xml:space="preserve">bavirin in pegIFN/RBV treatment </w:t>
      </w:r>
      <w:r w:rsidRPr="00FE5487">
        <w:t xml:space="preserve">experienced non-cirrhotic adults with </w:t>
      </w:r>
      <w:r w:rsidR="00202E0D">
        <w:t>genotype</w:t>
      </w:r>
      <w:r w:rsidRPr="00FE5487">
        <w:t>1 chronic HCV infection. It was conducted at 76 centres in 15 countries. The study design, efficacy assessments and endpoints were identical to study M11-646(SAPPHIRE-I) except that the po</w:t>
      </w:r>
      <w:r w:rsidR="003B6B40">
        <w:t xml:space="preserve">pulation consisted of treatment </w:t>
      </w:r>
      <w:r w:rsidRPr="00FE5487">
        <w:t>experienced patients.</w:t>
      </w:r>
    </w:p>
    <w:p w:rsidR="00FE5487" w:rsidRPr="00FE5487" w:rsidRDefault="00FE5487" w:rsidP="00FE5487">
      <w:pPr>
        <w:pStyle w:val="Heading6"/>
      </w:pPr>
      <w:r w:rsidRPr="00FE5487">
        <w:t>Results</w:t>
      </w:r>
    </w:p>
    <w:p w:rsidR="0000341D" w:rsidRPr="00746D48" w:rsidRDefault="006A2EA5" w:rsidP="00FE5487">
      <w:r w:rsidRPr="00FE5487">
        <w:t>SVR</w:t>
      </w:r>
      <w:r w:rsidRPr="006A2EA5">
        <w:rPr>
          <w:vertAlign w:val="subscript"/>
        </w:rPr>
        <w:t>12</w:t>
      </w:r>
      <w:r w:rsidR="00FE5487" w:rsidRPr="00FE5487">
        <w:t xml:space="preserve"> was achieved by 96.3% of patients (95% CI: 94.1%, 98.4%). Both primary endpoints were met as the 60% non-inferiority and 70% </w:t>
      </w:r>
      <w:r w:rsidR="00FE5487" w:rsidRPr="00237CBE">
        <w:t>superiority LCB</w:t>
      </w:r>
      <w:r w:rsidR="00FE5487" w:rsidRPr="00FE5487">
        <w:t xml:space="preserve"> thresholds were achieved. There were no cases of on-treatment virologic failure; 2.4% of patient</w:t>
      </w:r>
      <w:r w:rsidR="003B6B40">
        <w:t xml:space="preserve">s had virologic relapse by post </w:t>
      </w:r>
      <w:r w:rsidR="00FE5487" w:rsidRPr="00FE5487">
        <w:t xml:space="preserve">treatment Week 12; and 1.3% discontinued drug treatment prematurely. </w:t>
      </w:r>
      <w:r w:rsidRPr="00FE5487">
        <w:t>SVR</w:t>
      </w:r>
      <w:r w:rsidRPr="006A2EA5">
        <w:rPr>
          <w:vertAlign w:val="subscript"/>
        </w:rPr>
        <w:t>12</w:t>
      </w:r>
      <w:r w:rsidR="00FE5487" w:rsidRPr="00FE5487">
        <w:t xml:space="preserve"> rates and 95% CIs were comparable in the randomisation strata based on previous pegIFN/RBV treatment failure (null responders, partial responders, and relapsers) (</w:t>
      </w:r>
      <w:r w:rsidR="00FE5487" w:rsidRPr="0000341D">
        <w:t xml:space="preserve">Table </w:t>
      </w:r>
      <w:r w:rsidR="0000341D">
        <w:t>24 Attachment 2</w:t>
      </w:r>
      <w:r w:rsidR="00FE5487" w:rsidRPr="00FE5487">
        <w:t xml:space="preserve">), and in sub-groups defined by HCV genotype, IL28B genotype, gender, age, race, geographic region, BMI, baseline HCV RNA, baseline IP-10, and fibrosis stage </w:t>
      </w:r>
      <w:r w:rsidR="00FE5487" w:rsidRPr="00746D48">
        <w:t xml:space="preserve">(Table </w:t>
      </w:r>
      <w:r w:rsidR="00746D48" w:rsidRPr="00746D48">
        <w:t>3</w:t>
      </w:r>
      <w:r w:rsidR="00FF289D">
        <w:t>2</w:t>
      </w:r>
      <w:r w:rsidR="0030257D" w:rsidRPr="00746D48">
        <w:t>).</w:t>
      </w:r>
    </w:p>
    <w:p w:rsidR="00FE5487" w:rsidRDefault="00FE5487" w:rsidP="00FE5487">
      <w:r w:rsidRPr="00746D48">
        <w:t>The clinical evaluator</w:t>
      </w:r>
      <w:r w:rsidRPr="00FE5487">
        <w:t xml:space="preserve"> commented that the patient population was restricted to patients who had failed to achieve viral clearance following pegIFN/RBV and the prior use of any other antiviral agents, including DAAs, was excluded.</w:t>
      </w:r>
    </w:p>
    <w:p w:rsidR="0000341D" w:rsidRDefault="0000341D" w:rsidP="0000341D">
      <w:pPr>
        <w:pStyle w:val="Tabletitle0"/>
      </w:pPr>
      <w:r w:rsidRPr="00746D48">
        <w:lastRenderedPageBreak/>
        <w:t xml:space="preserve">Table </w:t>
      </w:r>
      <w:r w:rsidR="00FF289D">
        <w:t>32</w:t>
      </w:r>
      <w:r w:rsidR="00746D48" w:rsidRPr="00746D48">
        <w:t>:</w:t>
      </w:r>
      <w:r w:rsidRPr="00746D48">
        <w:t xml:space="preserve"> Study M11-098</w:t>
      </w:r>
      <w:r w:rsidR="007D369A">
        <w:t>.</w:t>
      </w:r>
      <w:r w:rsidRPr="00746D48">
        <w:t xml:space="preserve"> Virologic response (</w:t>
      </w:r>
      <w:r w:rsidR="006A2EA5" w:rsidRPr="00746D48">
        <w:t>SVR</w:t>
      </w:r>
      <w:r w:rsidR="006A2EA5" w:rsidRPr="00746D48">
        <w:rPr>
          <w:vertAlign w:val="subscript"/>
        </w:rPr>
        <w:t>12</w:t>
      </w:r>
      <w:r w:rsidRPr="00746D48">
        <w:t xml:space="preserve">) for subgroups of the </w:t>
      </w:r>
      <w:r w:rsidR="00237CBE">
        <w:t>3DAA</w:t>
      </w:r>
      <w:r w:rsidRPr="00746D48">
        <w:t xml:space="preserve"> + RBV treatment</w:t>
      </w:r>
      <w:r>
        <w:t xml:space="preserve"> groups (intent to treat population)</w:t>
      </w:r>
    </w:p>
    <w:p w:rsidR="0000341D" w:rsidRDefault="0000341D" w:rsidP="0000341D">
      <w:r>
        <w:rPr>
          <w:noProof/>
          <w:lang w:eastAsia="en-AU"/>
        </w:rPr>
        <w:drawing>
          <wp:inline distT="0" distB="0" distL="0" distR="0" wp14:anchorId="304AD7CD" wp14:editId="4245AC1D">
            <wp:extent cx="4159250" cy="8229600"/>
            <wp:effectExtent l="0" t="0" r="0" b="0"/>
            <wp:docPr id="42" name="Picture 42" descr="Table 32: Study M11-098 Virologic response (SVR12) for subgroups of the 3-DAA + RBV treatment 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59250" cy="8229600"/>
                    </a:xfrm>
                    <a:prstGeom prst="rect">
                      <a:avLst/>
                    </a:prstGeom>
                  </pic:spPr>
                </pic:pic>
              </a:graphicData>
            </a:graphic>
          </wp:inline>
        </w:drawing>
      </w:r>
    </w:p>
    <w:p w:rsidR="0000341D" w:rsidRDefault="0000341D" w:rsidP="0000341D">
      <w:pPr>
        <w:pStyle w:val="Tabletitle0"/>
      </w:pPr>
      <w:r w:rsidRPr="00746D48">
        <w:lastRenderedPageBreak/>
        <w:t xml:space="preserve">Table </w:t>
      </w:r>
      <w:r w:rsidR="00FF289D">
        <w:t>32</w:t>
      </w:r>
      <w:r w:rsidRPr="00746D48">
        <w:t xml:space="preserve"> (continued)</w:t>
      </w:r>
      <w:r w:rsidR="00746D48" w:rsidRPr="00746D48">
        <w:t>:</w:t>
      </w:r>
      <w:r w:rsidRPr="00746D48">
        <w:t xml:space="preserve"> Study M11-098</w:t>
      </w:r>
      <w:r w:rsidR="007D369A">
        <w:t>.</w:t>
      </w:r>
      <w:r>
        <w:t xml:space="preserve"> Virologic response (</w:t>
      </w:r>
      <w:r w:rsidR="006A2EA5" w:rsidRPr="00FE5487">
        <w:t>SVR</w:t>
      </w:r>
      <w:r w:rsidR="006A2EA5" w:rsidRPr="006A2EA5">
        <w:rPr>
          <w:vertAlign w:val="subscript"/>
        </w:rPr>
        <w:t>12</w:t>
      </w:r>
      <w:r>
        <w:t xml:space="preserve">) for subgroups of the </w:t>
      </w:r>
      <w:r w:rsidR="00237CBE">
        <w:t>3DAA</w:t>
      </w:r>
      <w:r>
        <w:t xml:space="preserve"> + RBV treatment groups (intent to treat population)</w:t>
      </w:r>
    </w:p>
    <w:p w:rsidR="0000341D" w:rsidRPr="0000341D" w:rsidRDefault="0000341D" w:rsidP="0000341D">
      <w:r>
        <w:rPr>
          <w:noProof/>
          <w:lang w:eastAsia="en-AU"/>
        </w:rPr>
        <w:drawing>
          <wp:inline distT="0" distB="0" distL="0" distR="0" wp14:anchorId="05E8A9CF" wp14:editId="49C7126F">
            <wp:extent cx="5248275" cy="7134225"/>
            <wp:effectExtent l="0" t="0" r="9525" b="9525"/>
            <wp:docPr id="43" name="Picture 43" descr="Table 32 (continued): Study M11-098 Virologic response (SVR12) for subgroups of the 3-DAA + RBV treatment 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48275" cy="7134225"/>
                    </a:xfrm>
                    <a:prstGeom prst="rect">
                      <a:avLst/>
                    </a:prstGeom>
                  </pic:spPr>
                </pic:pic>
              </a:graphicData>
            </a:graphic>
          </wp:inline>
        </w:drawing>
      </w:r>
    </w:p>
    <w:p w:rsidR="00FE5487" w:rsidRPr="00FE5487" w:rsidRDefault="005038AE" w:rsidP="00FE5487">
      <w:pPr>
        <w:pStyle w:val="FigureTitle"/>
      </w:pPr>
      <w:r>
        <w:lastRenderedPageBreak/>
        <w:t>Figure 1</w:t>
      </w:r>
      <w:r w:rsidR="00B03483">
        <w:t>6</w:t>
      </w:r>
      <w:r w:rsidR="00746D48">
        <w:t xml:space="preserve">: </w:t>
      </w:r>
      <w:r w:rsidR="00FE5487" w:rsidRPr="00FE5487">
        <w:t>Su</w:t>
      </w:r>
      <w:r w:rsidR="00985396">
        <w:t xml:space="preserve">stained </w:t>
      </w:r>
      <w:r w:rsidR="007D369A">
        <w:t xml:space="preserve">virologic response </w:t>
      </w:r>
      <w:r w:rsidR="00985396">
        <w:t>(SVR</w:t>
      </w:r>
      <w:r w:rsidR="00FE5487" w:rsidRPr="00985396">
        <w:rPr>
          <w:vertAlign w:val="subscript"/>
        </w:rPr>
        <w:t>12</w:t>
      </w:r>
      <w:r w:rsidR="00FE5487" w:rsidRPr="00FE5487">
        <w:t xml:space="preserve">) in the entire active-regimen group and according to </w:t>
      </w:r>
      <w:r w:rsidR="00E458BE">
        <w:t>HCV</w:t>
      </w:r>
      <w:r w:rsidR="00FE5487" w:rsidRPr="00FE5487">
        <w:t xml:space="preserve"> Genotype</w:t>
      </w:r>
      <w:r w:rsidR="00387B61">
        <w:t xml:space="preserve"> </w:t>
      </w:r>
      <w:r w:rsidR="00387B61" w:rsidRPr="00387B61">
        <w:rPr>
          <w:vertAlign w:val="superscript"/>
        </w:rPr>
        <w:fldChar w:fldCharType="begin"/>
      </w:r>
      <w:r w:rsidR="00387B61" w:rsidRPr="00387B61">
        <w:rPr>
          <w:vertAlign w:val="superscript"/>
        </w:rPr>
        <w:instrText xml:space="preserve"> NOTEREF _Ref473548587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387B61" w:rsidRPr="00387B61">
        <w:rPr>
          <w:vertAlign w:val="superscript"/>
        </w:rPr>
        <w:t>68</w:t>
      </w:r>
      <w:r w:rsidR="00387B61" w:rsidRPr="00387B61">
        <w:rPr>
          <w:vertAlign w:val="superscript"/>
        </w:rPr>
        <w:fldChar w:fldCharType="end"/>
      </w:r>
    </w:p>
    <w:p w:rsidR="00FE5487" w:rsidRPr="00FE5487" w:rsidRDefault="00FE5487" w:rsidP="00FE5487">
      <w:r>
        <w:rPr>
          <w:noProof/>
          <w:lang w:eastAsia="en-AU"/>
        </w:rPr>
        <w:drawing>
          <wp:inline distT="0" distB="0" distL="0" distR="0" wp14:anchorId="751B1AEA" wp14:editId="2BE4871C">
            <wp:extent cx="2857500" cy="2295525"/>
            <wp:effectExtent l="0" t="0" r="0" b="9525"/>
            <wp:docPr id="8" name="Picture 8" descr="Figure 16: Sustained Virologic Response (SVR 12) in the entire active-regimen group and according to Hepatitis C Virus (HCV) Genotyp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57500" cy="2295525"/>
                    </a:xfrm>
                    <a:prstGeom prst="rect">
                      <a:avLst/>
                    </a:prstGeom>
                  </pic:spPr>
                </pic:pic>
              </a:graphicData>
            </a:graphic>
          </wp:inline>
        </w:drawing>
      </w:r>
    </w:p>
    <w:p w:rsidR="00F306A9" w:rsidRPr="00FE5487" w:rsidRDefault="00FE5487" w:rsidP="00FE5487">
      <w:pPr>
        <w:pStyle w:val="TableDescription"/>
      </w:pPr>
      <w:r w:rsidRPr="00FE5487">
        <w:t>The numbers at the bottom of each bar are the number of patients with a sustained response and the total number of patients. I bars indicate 95% confidence intervals.</w:t>
      </w:r>
    </w:p>
    <w:p w:rsidR="00FE5487" w:rsidRDefault="0000341D" w:rsidP="00FE5487">
      <w:pPr>
        <w:pStyle w:val="Heading5"/>
      </w:pPr>
      <w:r>
        <w:t>M13-389, PEARL-II</w:t>
      </w:r>
    </w:p>
    <w:p w:rsidR="00FE5487" w:rsidRPr="00FE5487" w:rsidRDefault="0000341D" w:rsidP="00FE5487">
      <w:r>
        <w:t>G</w:t>
      </w:r>
      <w:r w:rsidR="00202E0D">
        <w:t>enotype</w:t>
      </w:r>
      <w:r>
        <w:t>1b, treatment experienced</w:t>
      </w:r>
    </w:p>
    <w:p w:rsidR="00FE5487" w:rsidRPr="00FE5487" w:rsidRDefault="00FE5487" w:rsidP="00FE5487">
      <w:r w:rsidRPr="00FE5487">
        <w:t xml:space="preserve">This was a </w:t>
      </w:r>
      <w:r w:rsidR="00F201F8">
        <w:t>Phase III</w:t>
      </w:r>
      <w:r w:rsidR="0000341D">
        <w:t xml:space="preserve">, multicentre, open </w:t>
      </w:r>
      <w:r w:rsidRPr="00FE5487">
        <w:t xml:space="preserve">label safety and efficacy study of </w:t>
      </w:r>
      <w:r w:rsidR="00F573D0">
        <w:t>paritaprevir</w:t>
      </w:r>
      <w:r w:rsidR="0000341D">
        <w:t>/ritonavir/</w:t>
      </w:r>
      <w:r w:rsidR="00590286">
        <w:t>ombitasvir</w:t>
      </w:r>
      <w:r w:rsidRPr="00FE5487">
        <w:t xml:space="preserve"> and </w:t>
      </w:r>
      <w:r w:rsidR="00590286">
        <w:t>dasabuvir</w:t>
      </w:r>
      <w:r w:rsidRPr="00FE5487">
        <w:t xml:space="preserve"> with and without ribavirin in pegIFN/RBV </w:t>
      </w:r>
      <w:r w:rsidR="00CA123F">
        <w:t>treatment experienced</w:t>
      </w:r>
      <w:r w:rsidRPr="00FE5487">
        <w:t xml:space="preserve"> non-cirrhotic adults with </w:t>
      </w:r>
      <w:r w:rsidR="00202E0D">
        <w:t>genotype</w:t>
      </w:r>
      <w:r w:rsidRPr="00FE5487">
        <w:t>1b chronic HCV infection. It was conducted</w:t>
      </w:r>
      <w:r w:rsidR="006A2EA5">
        <w:t xml:space="preserve"> at 43 centres in 10 countries.</w:t>
      </w:r>
    </w:p>
    <w:p w:rsidR="00FE5487" w:rsidRPr="00FE5487" w:rsidRDefault="00FE5487" w:rsidP="00FE5487">
      <w:r w:rsidRPr="00FE5487">
        <w:t xml:space="preserve">The primary efficacy objective was to demonstrate non-inferiority in </w:t>
      </w:r>
      <w:r w:rsidR="006A2EA5" w:rsidRPr="00FE5487">
        <w:t>SVR</w:t>
      </w:r>
      <w:r w:rsidR="006A2EA5" w:rsidRPr="006A2EA5">
        <w:rPr>
          <w:vertAlign w:val="subscript"/>
        </w:rPr>
        <w:t>12</w:t>
      </w:r>
      <w:r w:rsidRPr="00FE5487">
        <w:t xml:space="preserve"> rates in both arms after 12 weeks of treatment with </w:t>
      </w:r>
      <w:r w:rsidR="00237CBE">
        <w:t>3DAA</w:t>
      </w:r>
      <w:r w:rsidRPr="00FE5487">
        <w:t xml:space="preserve"> with and without RBV compared with the historical SVR rate of telaprevir plus pegIFN/RBV. Approximately 210 patients were to be randomised in a 1:1 ratio to receive either</w:t>
      </w:r>
      <w:r w:rsidR="006A2EA5">
        <w:t>,</w:t>
      </w:r>
      <w:r w:rsidRPr="00FE5487">
        <w:t xml:space="preserve"> </w:t>
      </w:r>
      <w:r w:rsidR="00237CBE">
        <w:t>3DAA</w:t>
      </w:r>
      <w:r w:rsidRPr="00FE5487">
        <w:t xml:space="preserve"> + RBV (Arm 1) or </w:t>
      </w:r>
      <w:r w:rsidR="00237CBE">
        <w:t>3DAA</w:t>
      </w:r>
      <w:r w:rsidRPr="00FE5487">
        <w:t xml:space="preserve"> without RBV (Arm 2). Randomisation was stratified according to the type of response to previous pegIFN/RBV treatment (null responder, partial responder, or relapser).The duration of the study was 60 weeks consisting of a 12 week treatment period, and a post-dosing observation period of up to 48 weeks to monitor safety, HCV RNA, and the emergence and/or persistence of resistant viral variants.</w:t>
      </w:r>
    </w:p>
    <w:p w:rsidR="00FE5487" w:rsidRPr="00FE5487" w:rsidRDefault="00FE5487" w:rsidP="00FE5487">
      <w:r w:rsidRPr="00FE5487">
        <w:t xml:space="preserve">The original protocol included patients with </w:t>
      </w:r>
      <w:r w:rsidR="00202E0D">
        <w:t>genotype</w:t>
      </w:r>
      <w:r w:rsidRPr="00FE5487">
        <w:t xml:space="preserve">1a and </w:t>
      </w:r>
      <w:r w:rsidR="00202E0D">
        <w:t>genotype</w:t>
      </w:r>
      <w:r w:rsidRPr="00FE5487">
        <w:t xml:space="preserve">1b infection but this was amended to allow recruitment of only </w:t>
      </w:r>
      <w:r w:rsidR="00202E0D">
        <w:t>genotype</w:t>
      </w:r>
      <w:r w:rsidR="006A2EA5">
        <w:t xml:space="preserve">1b </w:t>
      </w:r>
      <w:r w:rsidRPr="00FE5487">
        <w:t xml:space="preserve">infected patients. This amendment was made after two patients with </w:t>
      </w:r>
      <w:r w:rsidR="00202E0D">
        <w:t>genotype</w:t>
      </w:r>
      <w:r w:rsidRPr="00FE5487">
        <w:t>1a infection had been randomised.</w:t>
      </w:r>
    </w:p>
    <w:p w:rsidR="00FE5487" w:rsidRPr="00FE5487" w:rsidRDefault="00FE5487" w:rsidP="00FE5487">
      <w:pPr>
        <w:pStyle w:val="Heading6"/>
      </w:pPr>
      <w:r w:rsidRPr="00FE5487">
        <w:t>Results</w:t>
      </w:r>
    </w:p>
    <w:p w:rsidR="00FE5487" w:rsidRDefault="006A2EA5" w:rsidP="00FE5487">
      <w:r w:rsidRPr="00FE5487">
        <w:t>SVR</w:t>
      </w:r>
      <w:r w:rsidRPr="006A2EA5">
        <w:rPr>
          <w:vertAlign w:val="subscript"/>
        </w:rPr>
        <w:t>12</w:t>
      </w:r>
      <w:r w:rsidR="00FE5487" w:rsidRPr="00FE5487">
        <w:t xml:space="preserve"> was achieved by 96.6% of patients (95% CI: 92.8%, 100%) in the </w:t>
      </w:r>
      <w:r w:rsidR="00237CBE">
        <w:t>3DAA</w:t>
      </w:r>
      <w:r w:rsidR="00FE5487" w:rsidRPr="00FE5487">
        <w:t xml:space="preserve"> + RBV group, and by 100% of patients (95% CI: 95.9%, 100%) in the </w:t>
      </w:r>
      <w:r w:rsidR="00237CBE">
        <w:t>3DAA</w:t>
      </w:r>
      <w:r w:rsidR="00FE5487" w:rsidRPr="00FE5487">
        <w:t xml:space="preserve"> group. Both primary endpoints were met as the 64% non-inferiority LCB thresholds were achieved in both groups. There were no cases of on-treatment virologic failure, and no cases of virologic relapse by post-treatment Week 12. Two patients (2.3%) discontinued treatment prematurely, and one patient had missing </w:t>
      </w:r>
      <w:r w:rsidRPr="00FE5487">
        <w:t>SVR</w:t>
      </w:r>
      <w:r w:rsidRPr="006A2EA5">
        <w:rPr>
          <w:vertAlign w:val="subscript"/>
        </w:rPr>
        <w:t>12</w:t>
      </w:r>
      <w:r w:rsidR="00FE5487" w:rsidRPr="00FE5487">
        <w:t xml:space="preserve"> data. </w:t>
      </w:r>
      <w:r w:rsidRPr="00FE5487">
        <w:t>SVR</w:t>
      </w:r>
      <w:r w:rsidRPr="006A2EA5">
        <w:rPr>
          <w:vertAlign w:val="subscript"/>
        </w:rPr>
        <w:t>12</w:t>
      </w:r>
      <w:r w:rsidR="00FE5487" w:rsidRPr="00FE5487">
        <w:t xml:space="preserve"> rates and 95% CIs were comparable in the randomisation strata based on previous pegIFN/RBV treatment failure (null responders, partial responders, and relapsers) </w:t>
      </w:r>
      <w:r w:rsidR="00FE5487" w:rsidRPr="00746D48">
        <w:t>(</w:t>
      </w:r>
      <w:r w:rsidR="00720CFF" w:rsidRPr="00746D48">
        <w:t xml:space="preserve">Table </w:t>
      </w:r>
      <w:r w:rsidR="00FF289D">
        <w:t>33</w:t>
      </w:r>
      <w:r w:rsidR="00FE5487" w:rsidRPr="00FE5487">
        <w:t xml:space="preserve">), and in sub-groups defined by HCV genotype, IL28B genotype, gender, age, race, geographic region, BMI, baseline HCV RNA, baseline IP-10, and fibrosis </w:t>
      </w:r>
      <w:r w:rsidR="00FE5487" w:rsidRPr="00746D48">
        <w:t>stage (</w:t>
      </w:r>
      <w:r w:rsidR="00720CFF" w:rsidRPr="00746D48">
        <w:t xml:space="preserve">Table </w:t>
      </w:r>
      <w:r w:rsidR="00FF289D">
        <w:t>34</w:t>
      </w:r>
      <w:r w:rsidR="00FE5487" w:rsidRPr="00746D48">
        <w:t>).</w:t>
      </w:r>
    </w:p>
    <w:p w:rsidR="00FA7F18" w:rsidRDefault="00FA7F18" w:rsidP="00FA7F18">
      <w:pPr>
        <w:pStyle w:val="Tabletitle0"/>
      </w:pPr>
      <w:r w:rsidRPr="00746D48">
        <w:lastRenderedPageBreak/>
        <w:t xml:space="preserve">Table </w:t>
      </w:r>
      <w:r w:rsidR="00FF289D">
        <w:t>33</w:t>
      </w:r>
      <w:r w:rsidR="00746D48" w:rsidRPr="00746D48">
        <w:t>:</w:t>
      </w:r>
      <w:r w:rsidRPr="00746D48">
        <w:t xml:space="preserve"> Study M13-389</w:t>
      </w:r>
      <w:r w:rsidR="007D369A">
        <w:t>.</w:t>
      </w:r>
      <w:r w:rsidRPr="00746D48">
        <w:t xml:space="preserve"> </w:t>
      </w:r>
      <w:r w:rsidR="00720CFF" w:rsidRPr="00746D48">
        <w:t>Virologic</w:t>
      </w:r>
      <w:r w:rsidRPr="00746D48">
        <w:t xml:space="preserve"> response (SVR</w:t>
      </w:r>
      <w:r w:rsidRPr="00746D48">
        <w:rPr>
          <w:vertAlign w:val="subscript"/>
        </w:rPr>
        <w:t>12</w:t>
      </w:r>
      <w:r w:rsidRPr="00746D48">
        <w:t>) by randomisation strata (Intent to treat</w:t>
      </w:r>
      <w:r w:rsidR="009F6EED">
        <w:t xml:space="preserve"> genotype</w:t>
      </w:r>
      <w:r w:rsidRPr="00746D48">
        <w:t>1b efficacy subset population)</w:t>
      </w:r>
    </w:p>
    <w:p w:rsidR="00720CFF" w:rsidRDefault="00720CFF" w:rsidP="00720CFF">
      <w:r>
        <w:rPr>
          <w:noProof/>
          <w:lang w:eastAsia="en-AU"/>
        </w:rPr>
        <w:drawing>
          <wp:inline distT="0" distB="0" distL="0" distR="0" wp14:anchorId="791FF9A3" wp14:editId="5AB8D275">
            <wp:extent cx="5248275" cy="3257550"/>
            <wp:effectExtent l="0" t="0" r="9525" b="0"/>
            <wp:docPr id="35" name="Picture 35" descr="Table 33: Study M13-389 Virologic response (SVR12) by randomisation strata (Intent to treat GT1b efficacy sub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48275" cy="3257550"/>
                    </a:xfrm>
                    <a:prstGeom prst="rect">
                      <a:avLst/>
                    </a:prstGeom>
                  </pic:spPr>
                </pic:pic>
              </a:graphicData>
            </a:graphic>
          </wp:inline>
        </w:drawing>
      </w:r>
    </w:p>
    <w:p w:rsidR="00720CFF" w:rsidRDefault="00720CFF" w:rsidP="00720CFF">
      <w:pPr>
        <w:pStyle w:val="Tabletitle0"/>
      </w:pPr>
      <w:r w:rsidRPr="00746D48">
        <w:lastRenderedPageBreak/>
        <w:t xml:space="preserve">Table </w:t>
      </w:r>
      <w:r w:rsidR="00FF289D">
        <w:t>34</w:t>
      </w:r>
      <w:r w:rsidR="00746D48" w:rsidRPr="00746D48">
        <w:t>:</w:t>
      </w:r>
      <w:r w:rsidRPr="00746D48">
        <w:t xml:space="preserve"> Study M13-389</w:t>
      </w:r>
      <w:r w:rsidR="007D369A">
        <w:t>.</w:t>
      </w:r>
      <w:r w:rsidRPr="00746D48">
        <w:t xml:space="preserve"> Virologic response (SVR</w:t>
      </w:r>
      <w:r w:rsidRPr="00746D48">
        <w:rPr>
          <w:vertAlign w:val="subscript"/>
        </w:rPr>
        <w:t>12</w:t>
      </w:r>
      <w:r w:rsidRPr="00746D48">
        <w:t>) for pre</w:t>
      </w:r>
      <w:r w:rsidR="00746D48" w:rsidRPr="00746D48">
        <w:t xml:space="preserve"> </w:t>
      </w:r>
      <w:r w:rsidRPr="00746D48">
        <w:t>specified subgroups (intent to treat</w:t>
      </w:r>
      <w:r w:rsidR="009F6EED">
        <w:t xml:space="preserve"> genotype</w:t>
      </w:r>
      <w:r w:rsidRPr="00746D48">
        <w:t>1b efficacy subset population)</w:t>
      </w:r>
    </w:p>
    <w:p w:rsidR="00720CFF" w:rsidRPr="00720CFF" w:rsidRDefault="00720CFF" w:rsidP="00720CFF">
      <w:r>
        <w:rPr>
          <w:noProof/>
          <w:lang w:eastAsia="en-AU"/>
        </w:rPr>
        <w:drawing>
          <wp:inline distT="0" distB="0" distL="0" distR="0" wp14:anchorId="7F6EB016" wp14:editId="5466372C">
            <wp:extent cx="4601260" cy="4995893"/>
            <wp:effectExtent l="0" t="0" r="8890" b="0"/>
            <wp:docPr id="40" name="Picture 40" descr="Table 34: Study M13-389 Virologic response (SVR12) for pre specified subgroups (intent to treat GT1b efficacy sub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99714" cy="4994214"/>
                    </a:xfrm>
                    <a:prstGeom prst="rect">
                      <a:avLst/>
                    </a:prstGeom>
                  </pic:spPr>
                </pic:pic>
              </a:graphicData>
            </a:graphic>
          </wp:inline>
        </w:drawing>
      </w:r>
    </w:p>
    <w:p w:rsidR="00FE5487" w:rsidRPr="00FE5487" w:rsidRDefault="00FE5487" w:rsidP="00FE5487">
      <w:r w:rsidRPr="00FE5487">
        <w:t xml:space="preserve">The clinical evaluator commented that efficacy rates in patients given </w:t>
      </w:r>
      <w:r w:rsidR="00237CBE">
        <w:t>3DAA</w:t>
      </w:r>
      <w:r w:rsidRPr="00FE5487">
        <w:t xml:space="preserve"> +/- RBV were comparable and that the results justify the recommendation for the use of </w:t>
      </w:r>
      <w:r w:rsidR="00237CBE">
        <w:t>3DAA</w:t>
      </w:r>
      <w:r w:rsidRPr="00FE5487">
        <w:t xml:space="preserve"> without RBV for 12 we</w:t>
      </w:r>
      <w:r w:rsidR="00720CFF">
        <w:t xml:space="preserve">eks in non-cirrhotic, treatment </w:t>
      </w:r>
      <w:r w:rsidRPr="00FE5487">
        <w:t xml:space="preserve">experienced patients with </w:t>
      </w:r>
      <w:r w:rsidR="00202E0D">
        <w:t>genotype</w:t>
      </w:r>
      <w:r w:rsidRPr="00FE5487">
        <w:t>1b infection.</w:t>
      </w:r>
    </w:p>
    <w:p w:rsidR="00FE5487" w:rsidRPr="00FE5487" w:rsidRDefault="00FE5487" w:rsidP="00FE5487">
      <w:r w:rsidRPr="00FE5487">
        <w:t>Justification was sought from the evaluator for use of a</w:t>
      </w:r>
      <w:r w:rsidR="006A2EA5">
        <w:t xml:space="preserve">n open </w:t>
      </w:r>
      <w:r w:rsidRPr="00FE5487">
        <w:t xml:space="preserve">label design. The sponsor explained that Study M13-389(PEARL-II) was originally an ongoing </w:t>
      </w:r>
      <w:r w:rsidR="00F201F8">
        <w:t>Phase II</w:t>
      </w:r>
      <w:r w:rsidRPr="00FE5487">
        <w:t xml:space="preserve"> </w:t>
      </w:r>
      <w:r w:rsidR="00720CFF">
        <w:t>study which was converted to a P</w:t>
      </w:r>
      <w:r w:rsidRPr="00FE5487">
        <w:t xml:space="preserve">hase </w:t>
      </w:r>
      <w:r w:rsidR="00167A1A">
        <w:t>III</w:t>
      </w:r>
      <w:r w:rsidRPr="00FE5487">
        <w:t xml:space="preserve"> study. Conversion to a blinded study (including creation of blinded RBV/placebo) would have significantly delayed the </w:t>
      </w:r>
      <w:r w:rsidR="00F201F8">
        <w:t>Phase III</w:t>
      </w:r>
      <w:r w:rsidR="00720CFF">
        <w:t xml:space="preserve"> program. The open </w:t>
      </w:r>
      <w:r w:rsidRPr="00FE5487">
        <w:t>label nature of the study design did not unduly affect the efficacy comparisons because the primary and secondary efficacy endpoints were based on laboratory measurements. Data from the blinded PEARL III (M13-961) and IV (M14-002) studies were able to assess the impact of RBV on the overall adverse event profile of the regimen.</w:t>
      </w:r>
    </w:p>
    <w:p w:rsidR="00FE5487" w:rsidRDefault="00720CFF" w:rsidP="00FE5487">
      <w:pPr>
        <w:pStyle w:val="Heading5"/>
      </w:pPr>
      <w:r>
        <w:t>Study M13-961, PEARL III</w:t>
      </w:r>
    </w:p>
    <w:p w:rsidR="00FE5487" w:rsidRPr="00FE5487" w:rsidRDefault="00FE5487" w:rsidP="00FE5487">
      <w:proofErr w:type="gramStart"/>
      <w:r w:rsidRPr="00FE5487">
        <w:t xml:space="preserve">Treatment naïve, </w:t>
      </w:r>
      <w:r w:rsidR="00202E0D">
        <w:t>genotype</w:t>
      </w:r>
      <w:r w:rsidRPr="00FE5487">
        <w:t>1b infection</w:t>
      </w:r>
      <w:r w:rsidR="00720CFF">
        <w:t>.</w:t>
      </w:r>
      <w:proofErr w:type="gramEnd"/>
    </w:p>
    <w:p w:rsidR="00FE5487" w:rsidRPr="00FE5487" w:rsidRDefault="00FE5487" w:rsidP="00FE5487">
      <w:r w:rsidRPr="00FE5487">
        <w:t xml:space="preserve">This was a </w:t>
      </w:r>
      <w:r w:rsidR="00F201F8">
        <w:t>Phase III</w:t>
      </w:r>
      <w:r w:rsidRPr="00FE5487">
        <w:t xml:space="preserve">, </w:t>
      </w:r>
      <w:r w:rsidR="00720CFF">
        <w:t xml:space="preserve">randomised, multicentre, double </w:t>
      </w:r>
      <w:r w:rsidRPr="00FE5487">
        <w:t xml:space="preserve">blind, </w:t>
      </w:r>
      <w:r w:rsidR="00720CFF">
        <w:t>placebo controlled</w:t>
      </w:r>
      <w:r w:rsidRPr="00FE5487">
        <w:t xml:space="preserve">, safety and efficacy study of </w:t>
      </w:r>
      <w:r w:rsidR="00F573D0">
        <w:t>paritaprevir</w:t>
      </w:r>
      <w:r w:rsidR="00630EF4">
        <w:t xml:space="preserve">/ritonavir/ </w:t>
      </w:r>
      <w:r w:rsidR="00590286">
        <w:t>ombitasvir</w:t>
      </w:r>
      <w:r w:rsidRPr="00FE5487">
        <w:t xml:space="preserve"> and </w:t>
      </w:r>
      <w:r w:rsidR="00590286">
        <w:t>dasabuvir</w:t>
      </w:r>
      <w:r w:rsidRPr="00FE5487">
        <w:t xml:space="preserve"> with and without ribavirin in </w:t>
      </w:r>
      <w:r w:rsidR="00720CFF">
        <w:t>treatment naive</w:t>
      </w:r>
      <w:r w:rsidRPr="00FE5487">
        <w:t xml:space="preserve"> non-cirrhotic adults with </w:t>
      </w:r>
      <w:r w:rsidR="00202E0D">
        <w:t>genotype</w:t>
      </w:r>
      <w:r w:rsidRPr="00FE5487">
        <w:t xml:space="preserve">1b chronic HCV infection. It was conducted at 50 centres in 11 countries. The primary efficacy objective was to demonstrate non-inferiority in </w:t>
      </w:r>
      <w:r w:rsidR="006A2EA5" w:rsidRPr="00FE5487">
        <w:t>SVR</w:t>
      </w:r>
      <w:r w:rsidR="006A2EA5" w:rsidRPr="006A2EA5">
        <w:rPr>
          <w:vertAlign w:val="subscript"/>
        </w:rPr>
        <w:t>12</w:t>
      </w:r>
      <w:r w:rsidRPr="00FE5487">
        <w:t xml:space="preserve"> rates in both arms after 12 weeks of treatment with </w:t>
      </w:r>
      <w:r w:rsidR="00237CBE">
        <w:lastRenderedPageBreak/>
        <w:t>3DAA</w:t>
      </w:r>
      <w:r w:rsidRPr="00FE5487">
        <w:t xml:space="preserve"> with and without RBV compared with the historical SVR rate of telaprevir plus pegIFN/RBV.</w:t>
      </w:r>
    </w:p>
    <w:p w:rsidR="00FE5487" w:rsidRPr="00FE5487" w:rsidRDefault="00FE5487" w:rsidP="00FE5487">
      <w:r w:rsidRPr="00FE5487">
        <w:t>Approximately 400 patients were randomised in a 1:1 ratio to receive either</w:t>
      </w:r>
      <w:r w:rsidR="00720CFF">
        <w:t>,</w:t>
      </w:r>
      <w:r w:rsidRPr="00FE5487">
        <w:t xml:space="preserve"> </w:t>
      </w:r>
      <w:r w:rsidR="00237CBE">
        <w:t>3DAA</w:t>
      </w:r>
      <w:r w:rsidRPr="00FE5487">
        <w:t xml:space="preserve"> + RBV (Arm A) or </w:t>
      </w:r>
      <w:r w:rsidR="00237CBE">
        <w:t>3DAA</w:t>
      </w:r>
      <w:r w:rsidRPr="00FE5487">
        <w:t xml:space="preserve"> without RBV (Arm B). Randomisation was stratified according to the IL28B genotype. The duration of the study was 60 weeks consisting of a 12 week treatment period, and a post-dosing observation period of up to 48 weeks to monitor safety, HCV RNA, and the emergence and/or persistence of resistant viral variants.</w:t>
      </w:r>
    </w:p>
    <w:p w:rsidR="00FE5487" w:rsidRPr="00FE5487" w:rsidRDefault="00FE5487" w:rsidP="00FE5487">
      <w:pPr>
        <w:pStyle w:val="Heading6"/>
      </w:pPr>
      <w:r w:rsidRPr="00FE5487">
        <w:t>Results</w:t>
      </w:r>
    </w:p>
    <w:p w:rsidR="00FE5487" w:rsidRDefault="006A2EA5" w:rsidP="00FE5487">
      <w:r w:rsidRPr="00FE5487">
        <w:t>SVR</w:t>
      </w:r>
      <w:r w:rsidRPr="006A2EA5">
        <w:rPr>
          <w:vertAlign w:val="subscript"/>
        </w:rPr>
        <w:t>12</w:t>
      </w:r>
      <w:r w:rsidR="00FE5487" w:rsidRPr="00FE5487">
        <w:t xml:space="preserve"> was achieved by 99.5% of patients (95% CI: 98.6%, 100%) in the </w:t>
      </w:r>
      <w:r w:rsidR="00237CBE">
        <w:t>3DAA</w:t>
      </w:r>
      <w:r w:rsidR="00FE5487" w:rsidRPr="00FE5487">
        <w:t xml:space="preserve"> + RBV group, and by 99.0% of patients (95% CI: 97.7%, 100%) in the </w:t>
      </w:r>
      <w:r w:rsidR="00237CBE">
        <w:t>3DAA</w:t>
      </w:r>
      <w:r w:rsidR="00FE5487" w:rsidRPr="00FE5487">
        <w:t xml:space="preserve"> group. Both primary endpoints were met as the 73% non-inferiority LCB thresholds were achieved in both groups. There were no cases of on-treatment virologic failu</w:t>
      </w:r>
      <w:r w:rsidR="00720CFF">
        <w:t xml:space="preserve">re in the </w:t>
      </w:r>
      <w:r w:rsidR="00237CBE">
        <w:t>3DAA</w:t>
      </w:r>
      <w:r w:rsidR="00720CFF">
        <w:t xml:space="preserve"> group. In the </w:t>
      </w:r>
      <w:r w:rsidR="00237CBE">
        <w:t>3DAA</w:t>
      </w:r>
      <w:r w:rsidR="00FE5487" w:rsidRPr="00FE5487">
        <w:t xml:space="preserve"> + RBV group, one patient (0.5%) experienced virologic failure but there were no cases of virologic relapse in either arm. Two patients (1%) had missing </w:t>
      </w:r>
      <w:r w:rsidRPr="00FE5487">
        <w:t>SVR</w:t>
      </w:r>
      <w:r w:rsidRPr="006A2EA5">
        <w:rPr>
          <w:vertAlign w:val="subscript"/>
        </w:rPr>
        <w:t>12</w:t>
      </w:r>
      <w:r w:rsidR="00FE5487" w:rsidRPr="00FE5487">
        <w:t xml:space="preserve"> data but no patients discontinued drug treatment prematurely. </w:t>
      </w:r>
      <w:r w:rsidRPr="00FE5487">
        <w:t>SVR</w:t>
      </w:r>
      <w:r w:rsidRPr="006A2EA5">
        <w:rPr>
          <w:vertAlign w:val="subscript"/>
        </w:rPr>
        <w:t>12</w:t>
      </w:r>
      <w:r w:rsidR="00FE5487" w:rsidRPr="00FE5487">
        <w:t xml:space="preserve"> rates and 95% CIs were comparable in the randomisation strata based on IL28B genotype (CC versus non-CC), and in sub-groups defined by gender, age, race, geographic region, BMI, baseline HCV RNA, baseline IP-10, and fibrosis </w:t>
      </w:r>
      <w:r w:rsidR="00FE5487" w:rsidRPr="00376D29">
        <w:t xml:space="preserve">stage (Table </w:t>
      </w:r>
      <w:r w:rsidR="00FF289D">
        <w:t>35</w:t>
      </w:r>
      <w:r w:rsidR="00FE5487" w:rsidRPr="00FE5487">
        <w:t>)</w:t>
      </w:r>
      <w:r w:rsidR="00CA123F">
        <w:t>.</w:t>
      </w:r>
    </w:p>
    <w:p w:rsidR="00CA123F" w:rsidRDefault="00CA123F" w:rsidP="00CA123F">
      <w:pPr>
        <w:pStyle w:val="Tabletitle0"/>
      </w:pPr>
      <w:r w:rsidRPr="00376D29">
        <w:lastRenderedPageBreak/>
        <w:t xml:space="preserve">Table </w:t>
      </w:r>
      <w:r w:rsidR="00FF289D">
        <w:t>35</w:t>
      </w:r>
      <w:r w:rsidR="00376D29" w:rsidRPr="00376D29">
        <w:t>:</w:t>
      </w:r>
      <w:r w:rsidRPr="00376D29">
        <w:t xml:space="preserve"> Study</w:t>
      </w:r>
      <w:r>
        <w:t xml:space="preserve"> M13-961</w:t>
      </w:r>
      <w:r w:rsidR="007D369A">
        <w:t>.</w:t>
      </w:r>
      <w:r>
        <w:t xml:space="preserve"> Virologic response (SVR</w:t>
      </w:r>
      <w:r>
        <w:rPr>
          <w:vertAlign w:val="subscript"/>
        </w:rPr>
        <w:t>12</w:t>
      </w:r>
      <w:r>
        <w:t>) for pre</w:t>
      </w:r>
      <w:r w:rsidR="00387B61">
        <w:t>-</w:t>
      </w:r>
      <w:r>
        <w:t>specified subgroups (intent to treat population)</w:t>
      </w:r>
    </w:p>
    <w:p w:rsidR="00CA123F" w:rsidRPr="00CA123F" w:rsidRDefault="00CA123F" w:rsidP="00FE5487">
      <w:r>
        <w:rPr>
          <w:noProof/>
          <w:lang w:eastAsia="en-AU"/>
        </w:rPr>
        <w:drawing>
          <wp:inline distT="0" distB="0" distL="0" distR="0" wp14:anchorId="705F8480" wp14:editId="1B6B0376">
            <wp:extent cx="5114925" cy="5505450"/>
            <wp:effectExtent l="0" t="0" r="9525" b="0"/>
            <wp:docPr id="44" name="Picture 44" descr="Table 35: Study M13-961 Virologic response (SVR12) for pre-specified sub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14925" cy="5505450"/>
                    </a:xfrm>
                    <a:prstGeom prst="rect">
                      <a:avLst/>
                    </a:prstGeom>
                  </pic:spPr>
                </pic:pic>
              </a:graphicData>
            </a:graphic>
          </wp:inline>
        </w:drawing>
      </w:r>
    </w:p>
    <w:p w:rsidR="00FE5487" w:rsidRPr="00FE5487" w:rsidRDefault="00FE5487" w:rsidP="00FE5487">
      <w:r w:rsidRPr="00FE5487">
        <w:t>The evaluator commented that the study design and objec</w:t>
      </w:r>
      <w:r w:rsidR="00376D29">
        <w:t>tives were similar to study M13</w:t>
      </w:r>
      <w:r w:rsidR="00376D29">
        <w:noBreakHyphen/>
      </w:r>
      <w:r w:rsidRPr="00FE5487">
        <w:t xml:space="preserve">389 (PEARL-II) with the exception that the population of HCV </w:t>
      </w:r>
      <w:r w:rsidR="00202E0D">
        <w:t>genotype</w:t>
      </w:r>
      <w:r w:rsidR="00376D29">
        <w:t xml:space="preserve">1b </w:t>
      </w:r>
      <w:r w:rsidRPr="00FE5487">
        <w:t xml:space="preserve">infected patients was </w:t>
      </w:r>
      <w:r w:rsidR="0030257D">
        <w:t>treatment naïve</w:t>
      </w:r>
      <w:r w:rsidRPr="00FE5487">
        <w:t xml:space="preserve">, and the RBV treatment was given </w:t>
      </w:r>
      <w:r w:rsidR="00CA123F">
        <w:t>double blind</w:t>
      </w:r>
      <w:r w:rsidRPr="00FE5487">
        <w:t xml:space="preserve">. The data from both studies failed to demonstrate any efficacy benefit with the addition of RBV to </w:t>
      </w:r>
      <w:r w:rsidR="00237CBE">
        <w:t>3DAA</w:t>
      </w:r>
      <w:r w:rsidRPr="00FE5487">
        <w:t xml:space="preserve"> </w:t>
      </w:r>
      <w:r w:rsidR="00CA123F">
        <w:t xml:space="preserve">given for 12 weeks in treatment </w:t>
      </w:r>
      <w:r w:rsidRPr="00FE5487">
        <w:t xml:space="preserve">naïve or </w:t>
      </w:r>
      <w:r w:rsidR="00CA123F">
        <w:t>treatment experienced</w:t>
      </w:r>
      <w:r w:rsidRPr="00FE5487">
        <w:t xml:space="preserve"> patients with HCV </w:t>
      </w:r>
      <w:r w:rsidR="00202E0D">
        <w:t>genotype</w:t>
      </w:r>
      <w:r w:rsidRPr="00FE5487">
        <w:t xml:space="preserve">1b infection. Overall, the data supported the use of </w:t>
      </w:r>
      <w:r w:rsidR="00237CBE">
        <w:t>3DAA</w:t>
      </w:r>
      <w:r w:rsidRPr="00FE5487">
        <w:t xml:space="preserve"> without RBV for all non-cirrhotic patient groups with </w:t>
      </w:r>
      <w:r w:rsidR="00202E0D">
        <w:t>genotype</w:t>
      </w:r>
      <w:r w:rsidRPr="00FE5487">
        <w:t>1b infection.</w:t>
      </w:r>
    </w:p>
    <w:p w:rsidR="00FE5487" w:rsidRDefault="00CA123F" w:rsidP="00FE5487">
      <w:pPr>
        <w:pStyle w:val="Heading5"/>
      </w:pPr>
      <w:r>
        <w:t>M14-002, PEARL-IV</w:t>
      </w:r>
    </w:p>
    <w:p w:rsidR="00FE5487" w:rsidRPr="00FE5487" w:rsidRDefault="00FE5487" w:rsidP="00FE5487">
      <w:proofErr w:type="gramStart"/>
      <w:r w:rsidRPr="00FE5487">
        <w:t xml:space="preserve">Treatment naïve, </w:t>
      </w:r>
      <w:r w:rsidR="00202E0D">
        <w:t>genotype</w:t>
      </w:r>
      <w:r w:rsidRPr="00FE5487">
        <w:t>1a infection</w:t>
      </w:r>
      <w:r w:rsidR="00CA123F">
        <w:t>.</w:t>
      </w:r>
      <w:proofErr w:type="gramEnd"/>
    </w:p>
    <w:p w:rsidR="00FE5487" w:rsidRPr="00FE5487" w:rsidRDefault="00FE5487" w:rsidP="00FE5487">
      <w:r w:rsidRPr="00FE5487">
        <w:t xml:space="preserve">This was a </w:t>
      </w:r>
      <w:r w:rsidR="00F201F8">
        <w:t>Phase III</w:t>
      </w:r>
      <w:r w:rsidRPr="00FE5487">
        <w:t xml:space="preserve">, randomised, multicentre, </w:t>
      </w:r>
      <w:r w:rsidR="00CA123F">
        <w:t>double blind</w:t>
      </w:r>
      <w:r w:rsidRPr="00FE5487">
        <w:t xml:space="preserve">, </w:t>
      </w:r>
      <w:r w:rsidR="00720CFF">
        <w:t>placebo controlled</w:t>
      </w:r>
      <w:r w:rsidRPr="00FE5487">
        <w:t xml:space="preserve">, safety and efficacy study of </w:t>
      </w:r>
      <w:r w:rsidR="00F573D0">
        <w:t>paritaprevir</w:t>
      </w:r>
      <w:r w:rsidR="00CA123F">
        <w:t>/ritonavir/</w:t>
      </w:r>
      <w:r w:rsidR="00590286">
        <w:t>ombitasvir</w:t>
      </w:r>
      <w:r w:rsidRPr="00FE5487">
        <w:t xml:space="preserve"> and </w:t>
      </w:r>
      <w:r w:rsidR="00590286">
        <w:t>dasabuvir</w:t>
      </w:r>
      <w:r w:rsidRPr="00FE5487">
        <w:t xml:space="preserve"> with and without ribavirin in </w:t>
      </w:r>
      <w:r w:rsidR="00720CFF">
        <w:t>treatment naive</w:t>
      </w:r>
      <w:r w:rsidRPr="00FE5487">
        <w:t xml:space="preserve"> non-cirrhotic adults with </w:t>
      </w:r>
      <w:r w:rsidR="00202E0D">
        <w:t>genotype</w:t>
      </w:r>
      <w:r w:rsidRPr="00FE5487">
        <w:t>1a chronic HCV infection. It was conducted at 53 centres in Canada, UK and the US. The study design and primary objectives and efficacy endpoints were the same as for study M13-961, PEARL III.</w:t>
      </w:r>
    </w:p>
    <w:p w:rsidR="00FE5487" w:rsidRPr="00FE5487" w:rsidRDefault="00FE5487" w:rsidP="00FE5487">
      <w:pPr>
        <w:pStyle w:val="Heading6"/>
      </w:pPr>
      <w:r w:rsidRPr="00FE5487">
        <w:lastRenderedPageBreak/>
        <w:t>Results</w:t>
      </w:r>
    </w:p>
    <w:p w:rsidR="00FE5487" w:rsidRDefault="006A2EA5" w:rsidP="00FE5487">
      <w:r w:rsidRPr="00FE5487">
        <w:t>SVR</w:t>
      </w:r>
      <w:r w:rsidRPr="006A2EA5">
        <w:rPr>
          <w:vertAlign w:val="subscript"/>
        </w:rPr>
        <w:t>12</w:t>
      </w:r>
      <w:r w:rsidR="00FE5487" w:rsidRPr="00FE5487">
        <w:t xml:space="preserve"> was achieved by 97.0% of patients (95% CI: 93.7%, 100%) in the </w:t>
      </w:r>
      <w:r w:rsidR="00237CBE">
        <w:t>3DAA</w:t>
      </w:r>
      <w:r w:rsidR="00FE5487" w:rsidRPr="00FE5487">
        <w:t xml:space="preserve"> + RBV group, and by 90.2% of patients (95% CI: 86.2%, 94.3%) in the </w:t>
      </w:r>
      <w:r w:rsidR="00237CBE">
        <w:t>3DAA</w:t>
      </w:r>
      <w:r w:rsidR="00FE5487" w:rsidRPr="00FE5487">
        <w:t xml:space="preserve"> group. Both primary endpoints were met as the 65% non-inferiority LCB thresholds were achieved in both groups. All patients achieved virologic suppression but on-treatment virologic failure occurred in 1 (1.0%) patient in the </w:t>
      </w:r>
      <w:r w:rsidR="00237CBE">
        <w:t>3DAA</w:t>
      </w:r>
      <w:r w:rsidR="00FE5487" w:rsidRPr="00FE5487">
        <w:t xml:space="preserve"> + RBV group, and six (2.9%) patients</w:t>
      </w:r>
      <w:r w:rsidR="00CA123F">
        <w:t xml:space="preserve"> in the </w:t>
      </w:r>
      <w:r w:rsidR="00237CBE">
        <w:t>3DAA</w:t>
      </w:r>
      <w:r w:rsidR="00FE5487" w:rsidRPr="00FE5487">
        <w:t xml:space="preserve"> group. In the </w:t>
      </w:r>
      <w:r w:rsidR="00237CBE">
        <w:t>3DAA</w:t>
      </w:r>
      <w:r w:rsidR="00FE5487" w:rsidRPr="00FE5487">
        <w:t xml:space="preserve"> + RBV group, one patient (1.0%) experi</w:t>
      </w:r>
      <w:r w:rsidR="00CA123F">
        <w:t xml:space="preserve">enced virologic relapse by post </w:t>
      </w:r>
      <w:r w:rsidR="00FE5487" w:rsidRPr="00FE5487">
        <w:t xml:space="preserve">treatment Week 12 compared with 10 (5.2%) patients in the </w:t>
      </w:r>
      <w:r w:rsidR="00237CBE">
        <w:t>3DAA</w:t>
      </w:r>
      <w:r w:rsidR="00FE5487" w:rsidRPr="00FE5487">
        <w:t xml:space="preserve"> group. One patient (1%) in each group had missing </w:t>
      </w:r>
      <w:r w:rsidRPr="00FE5487">
        <w:t>SVR</w:t>
      </w:r>
      <w:r w:rsidRPr="006A2EA5">
        <w:rPr>
          <w:vertAlign w:val="subscript"/>
        </w:rPr>
        <w:t>12</w:t>
      </w:r>
      <w:r w:rsidR="00FE5487" w:rsidRPr="00FE5487">
        <w:t xml:space="preserve"> data. In the </w:t>
      </w:r>
      <w:r w:rsidR="00237CBE">
        <w:t>3DAA</w:t>
      </w:r>
      <w:r w:rsidR="00FE5487" w:rsidRPr="00FE5487">
        <w:t xml:space="preserve"> + RBV group, </w:t>
      </w:r>
      <w:r w:rsidRPr="00FE5487">
        <w:t>SVR</w:t>
      </w:r>
      <w:r w:rsidRPr="006A2EA5">
        <w:rPr>
          <w:vertAlign w:val="subscript"/>
        </w:rPr>
        <w:t>12</w:t>
      </w:r>
      <w:r w:rsidR="00FE5487" w:rsidRPr="00FE5487">
        <w:t xml:space="preserve"> rates and 95% CIs were comparable in the randomisation strata based on IL28B genotype (CC versus non-CC), and in sub-groups defined by gender, age, race, geographic region, BMI, baseline HCV RNA, and fibrosis stage </w:t>
      </w:r>
      <w:r w:rsidR="00FE5487" w:rsidRPr="00376D29">
        <w:t>(</w:t>
      </w:r>
      <w:r w:rsidR="00CA123F" w:rsidRPr="00376D29">
        <w:t xml:space="preserve">Table </w:t>
      </w:r>
      <w:r w:rsidR="00FF289D">
        <w:t>36</w:t>
      </w:r>
      <w:r w:rsidR="00FE5487" w:rsidRPr="00FE5487">
        <w:t>).</w:t>
      </w:r>
    </w:p>
    <w:p w:rsidR="00CA123F" w:rsidRDefault="00CA123F" w:rsidP="00CA123F">
      <w:pPr>
        <w:pStyle w:val="Tabletitle0"/>
      </w:pPr>
      <w:r w:rsidRPr="00376D29">
        <w:t xml:space="preserve">Table </w:t>
      </w:r>
      <w:r w:rsidR="00FF289D">
        <w:t>36</w:t>
      </w:r>
      <w:r w:rsidR="00376D29">
        <w:t>:</w:t>
      </w:r>
      <w:r>
        <w:t xml:space="preserve"> Study M14-002</w:t>
      </w:r>
      <w:r w:rsidR="007D369A">
        <w:t>.</w:t>
      </w:r>
      <w:r>
        <w:t xml:space="preserve"> </w:t>
      </w:r>
      <w:r w:rsidRPr="00CA123F">
        <w:t>Virologic response (SVR</w:t>
      </w:r>
      <w:r w:rsidRPr="00CA123F">
        <w:rPr>
          <w:vertAlign w:val="subscript"/>
        </w:rPr>
        <w:t>12</w:t>
      </w:r>
      <w:r>
        <w:t>) for pre</w:t>
      </w:r>
      <w:r w:rsidR="00376D29">
        <w:t xml:space="preserve"> </w:t>
      </w:r>
      <w:r>
        <w:t>specified subgroups (intent to treat population)</w:t>
      </w:r>
    </w:p>
    <w:p w:rsidR="00CA123F" w:rsidRPr="00CA123F" w:rsidRDefault="00CA123F" w:rsidP="00CA123F">
      <w:r>
        <w:rPr>
          <w:noProof/>
          <w:lang w:eastAsia="en-AU"/>
        </w:rPr>
        <w:drawing>
          <wp:inline distT="0" distB="0" distL="0" distR="0" wp14:anchorId="73707AFD" wp14:editId="3D2B33CC">
            <wp:extent cx="4263940" cy="4389120"/>
            <wp:effectExtent l="0" t="0" r="3810" b="0"/>
            <wp:docPr id="45" name="Picture 45" descr="Table 35: Study M14-002 Virologic response (SVR12) for pre specified subgroup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261750" cy="4386866"/>
                    </a:xfrm>
                    <a:prstGeom prst="rect">
                      <a:avLst/>
                    </a:prstGeom>
                  </pic:spPr>
                </pic:pic>
              </a:graphicData>
            </a:graphic>
          </wp:inline>
        </w:drawing>
      </w:r>
    </w:p>
    <w:p w:rsidR="00FE5487" w:rsidRPr="00FE5487" w:rsidRDefault="00FE5487" w:rsidP="00FE5487">
      <w:r w:rsidRPr="00FE5487">
        <w:t xml:space="preserve">Both treatments were superior to the historical control rate for telaprevir plus pegIFN/RBV therapy. Although the SVR rate was </w:t>
      </w:r>
      <w:r w:rsidR="000C3156">
        <w:t xml:space="preserve">&gt; </w:t>
      </w:r>
      <w:r w:rsidRPr="00FE5487">
        <w:t xml:space="preserve">90% in the </w:t>
      </w:r>
      <w:r w:rsidR="00237CBE">
        <w:t>3DAA</w:t>
      </w:r>
      <w:r w:rsidRPr="00FE5487">
        <w:t xml:space="preserve"> group, it was not shown to be non-inferior to the </w:t>
      </w:r>
      <w:r w:rsidR="00237CBE">
        <w:t>3DAA</w:t>
      </w:r>
      <w:r w:rsidRPr="00FE5487">
        <w:t xml:space="preserve"> + RBV group. Virologic failure occurred in 2.0% of the </w:t>
      </w:r>
      <w:r w:rsidR="00237CBE">
        <w:t>3DAA</w:t>
      </w:r>
      <w:r w:rsidRPr="00FE5487">
        <w:t xml:space="preserve"> + RBV compared with 7.8% in the </w:t>
      </w:r>
      <w:r w:rsidR="00237CBE">
        <w:t>3DAA</w:t>
      </w:r>
      <w:r w:rsidRPr="00FE5487">
        <w:t xml:space="preserve"> group. Anaemia was reported in 42.0% of patients in the </w:t>
      </w:r>
      <w:r w:rsidR="00237CBE">
        <w:t>3DAA</w:t>
      </w:r>
      <w:r w:rsidRPr="00FE5487">
        <w:t xml:space="preserve"> + RBV group and 3.9% in the </w:t>
      </w:r>
      <w:r w:rsidR="00237CBE">
        <w:t>3DAA</w:t>
      </w:r>
      <w:r w:rsidRPr="00FE5487">
        <w:t xml:space="preserve"> group.</w:t>
      </w:r>
    </w:p>
    <w:p w:rsidR="00F306A9" w:rsidRDefault="00FE5487" w:rsidP="007B6132">
      <w:r w:rsidRPr="00FE5487">
        <w:t xml:space="preserve">Overall, the study results confirmed high efficacy rates in HCV </w:t>
      </w:r>
      <w:r w:rsidR="00202E0D">
        <w:t>genotype</w:t>
      </w:r>
      <w:r w:rsidR="00CA123F">
        <w:t xml:space="preserve">1a </w:t>
      </w:r>
      <w:r w:rsidRPr="00FE5487">
        <w:t xml:space="preserve">infected patients, matching the rates observed in patients with </w:t>
      </w:r>
      <w:r w:rsidR="00202E0D">
        <w:t>genotype</w:t>
      </w:r>
      <w:r w:rsidRPr="00FE5487">
        <w:t xml:space="preserve">1b infection. </w:t>
      </w:r>
      <w:r w:rsidR="006A2EA5" w:rsidRPr="00FE5487">
        <w:t>SVR</w:t>
      </w:r>
      <w:r w:rsidR="006A2EA5" w:rsidRPr="006A2EA5">
        <w:rPr>
          <w:vertAlign w:val="subscript"/>
        </w:rPr>
        <w:t>12</w:t>
      </w:r>
      <w:r w:rsidRPr="00FE5487">
        <w:t xml:space="preserve"> rates were higher with the addition of RBV to the treatment regimen. The evaluator commented that the high </w:t>
      </w:r>
      <w:r w:rsidR="006A2EA5" w:rsidRPr="00FE5487">
        <w:t>SVR</w:t>
      </w:r>
      <w:r w:rsidR="006A2EA5" w:rsidRPr="006A2EA5">
        <w:rPr>
          <w:vertAlign w:val="subscript"/>
        </w:rPr>
        <w:t>12</w:t>
      </w:r>
      <w:r w:rsidRPr="00FE5487">
        <w:t xml:space="preserve"> rates in the </w:t>
      </w:r>
      <w:r w:rsidR="00237CBE">
        <w:t>3DAA</w:t>
      </w:r>
      <w:r w:rsidRPr="00FE5487">
        <w:t xml:space="preserve"> group (</w:t>
      </w:r>
      <w:r w:rsidR="000C3156">
        <w:t xml:space="preserve">&gt; </w:t>
      </w:r>
      <w:r w:rsidRPr="00FE5487">
        <w:t xml:space="preserve">90%) could justify the use of </w:t>
      </w:r>
      <w:r w:rsidR="00237CBE">
        <w:t>3DAA</w:t>
      </w:r>
      <w:r w:rsidRPr="00FE5487">
        <w:t xml:space="preserve"> alone in patients with </w:t>
      </w:r>
      <w:r w:rsidR="00202E0D">
        <w:t>genotype</w:t>
      </w:r>
      <w:r w:rsidRPr="00FE5487">
        <w:t>1a infec</w:t>
      </w:r>
      <w:r w:rsidR="00CA123F">
        <w:t>tion who are intolerant to RBV.</w:t>
      </w:r>
    </w:p>
    <w:p w:rsidR="00595D4B" w:rsidRPr="00595D4B" w:rsidRDefault="00595D4B" w:rsidP="00CA123F">
      <w:pPr>
        <w:pStyle w:val="Heading6"/>
      </w:pPr>
      <w:r w:rsidRPr="00595D4B">
        <w:lastRenderedPageBreak/>
        <w:t>Results: PEARL III and IV</w:t>
      </w:r>
      <w:r w:rsidR="00CA123F">
        <w:t xml:space="preserve"> </w:t>
      </w:r>
      <w:bookmarkStart w:id="214" w:name="_Ref473548447"/>
      <w:r w:rsidRPr="00CA123F">
        <w:rPr>
          <w:vertAlign w:val="superscript"/>
        </w:rPr>
        <w:footnoteReference w:id="79"/>
      </w:r>
      <w:bookmarkEnd w:id="214"/>
    </w:p>
    <w:p w:rsidR="00F306A9" w:rsidRPr="00595D4B" w:rsidRDefault="005038AE" w:rsidP="00595D4B">
      <w:pPr>
        <w:pStyle w:val="FigureTitle"/>
      </w:pPr>
      <w:r>
        <w:t>Figure 1</w:t>
      </w:r>
      <w:r w:rsidR="00B03483">
        <w:t>7</w:t>
      </w:r>
      <w:r w:rsidR="00376D29">
        <w:t xml:space="preserve">: </w:t>
      </w:r>
      <w:r w:rsidR="00595D4B" w:rsidRPr="00595D4B">
        <w:t xml:space="preserve">Sustained </w:t>
      </w:r>
      <w:r w:rsidR="007D369A" w:rsidRPr="00595D4B">
        <w:t xml:space="preserve">virologic response </w:t>
      </w:r>
      <w:r w:rsidR="00595D4B" w:rsidRPr="00595D4B">
        <w:t xml:space="preserve">at 12 Weeks after the end of </w:t>
      </w:r>
      <w:r w:rsidR="00376D29">
        <w:t>treatment</w:t>
      </w:r>
    </w:p>
    <w:p w:rsidR="00F306A9" w:rsidRDefault="00595D4B" w:rsidP="007B6132">
      <w:r>
        <w:rPr>
          <w:noProof/>
          <w:lang w:eastAsia="en-AU"/>
        </w:rPr>
        <w:drawing>
          <wp:inline distT="0" distB="0" distL="0" distR="0" wp14:anchorId="3D6EE490" wp14:editId="62433EC7">
            <wp:extent cx="3771900" cy="2733675"/>
            <wp:effectExtent l="0" t="0" r="0" b="9525"/>
            <wp:docPr id="9" name="Picture 9" descr="Figure 17: Sustained Virologic Response at 12 Weeks after the end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71900" cy="2733675"/>
                    </a:xfrm>
                    <a:prstGeom prst="rect">
                      <a:avLst/>
                    </a:prstGeom>
                  </pic:spPr>
                </pic:pic>
              </a:graphicData>
            </a:graphic>
          </wp:inline>
        </w:drawing>
      </w:r>
    </w:p>
    <w:p w:rsidR="00595D4B" w:rsidRPr="00595D4B" w:rsidRDefault="00595D4B" w:rsidP="00595D4B">
      <w:pPr>
        <w:pStyle w:val="TableDescription"/>
      </w:pPr>
      <w:r w:rsidRPr="00595D4B">
        <w:t>The dashed horizontal lines indicate non</w:t>
      </w:r>
      <w:r w:rsidR="007D369A">
        <w:t>-</w:t>
      </w:r>
      <w:r w:rsidRPr="00595D4B">
        <w:t>inferiority thresholds, based on the historical rate of sustained virologic response with telaprevir plus peg</w:t>
      </w:r>
      <w:r w:rsidR="007D369A">
        <w:t xml:space="preserve"> </w:t>
      </w:r>
      <w:r w:rsidRPr="00595D4B">
        <w:t>interferon–ribavirin. The solid horizontal lines indicate superiority thresholds, based on the historical rate with telaprevir plus peg</w:t>
      </w:r>
      <w:r w:rsidR="007D369A">
        <w:t xml:space="preserve"> </w:t>
      </w:r>
      <w:r w:rsidRPr="00595D4B">
        <w:t>interferon–ribavirin. I bars indicate 95%</w:t>
      </w:r>
      <w:r>
        <w:t xml:space="preserve"> </w:t>
      </w:r>
      <w:r w:rsidRPr="00595D4B">
        <w:t>confidence intervals.</w:t>
      </w:r>
    </w:p>
    <w:p w:rsidR="00595D4B" w:rsidRDefault="00595D4B" w:rsidP="00595D4B">
      <w:pPr>
        <w:pStyle w:val="Heading5"/>
      </w:pPr>
      <w:proofErr w:type="gramStart"/>
      <w:r w:rsidRPr="00595D4B">
        <w:t>M13-099.</w:t>
      </w:r>
      <w:proofErr w:type="gramEnd"/>
      <w:r w:rsidRPr="00595D4B">
        <w:t xml:space="preserve"> TURQUOISE II</w:t>
      </w:r>
    </w:p>
    <w:p w:rsidR="00595D4B" w:rsidRPr="00595D4B" w:rsidRDefault="00595D4B" w:rsidP="00595D4B">
      <w:proofErr w:type="gramStart"/>
      <w:r w:rsidRPr="00595D4B">
        <w:t>Genotype 1, treatment naïve and experienced, compensated cirrhosis</w:t>
      </w:r>
      <w:r w:rsidR="0030257D">
        <w:t>.</w:t>
      </w:r>
      <w:bookmarkStart w:id="215" w:name="_Ref473548753"/>
      <w:proofErr w:type="gramEnd"/>
      <w:r w:rsidRPr="00CA123F">
        <w:rPr>
          <w:vertAlign w:val="superscript"/>
        </w:rPr>
        <w:footnoteReference w:id="80"/>
      </w:r>
      <w:bookmarkEnd w:id="215"/>
    </w:p>
    <w:p w:rsidR="00595D4B" w:rsidRPr="00595D4B" w:rsidRDefault="00595D4B" w:rsidP="00595D4B">
      <w:r w:rsidRPr="00595D4B">
        <w:t xml:space="preserve">This was a Phase </w:t>
      </w:r>
      <w:r w:rsidR="00462A94">
        <w:t>III</w:t>
      </w:r>
      <w:r w:rsidRPr="00595D4B">
        <w:t xml:space="preserve">, randomised, multicentre, </w:t>
      </w:r>
      <w:r w:rsidR="0030257D">
        <w:t>open label</w:t>
      </w:r>
      <w:r w:rsidRPr="00595D4B">
        <w:t xml:space="preserve"> safety and efficacy study of </w:t>
      </w:r>
      <w:r w:rsidR="00F573D0">
        <w:t>paritaprevir</w:t>
      </w:r>
      <w:r w:rsidR="00630EF4">
        <w:t xml:space="preserve">/ritonavir/ </w:t>
      </w:r>
      <w:r w:rsidR="00590286">
        <w:t>ombitasvir</w:t>
      </w:r>
      <w:r w:rsidRPr="00595D4B">
        <w:t xml:space="preserve"> + </w:t>
      </w:r>
      <w:r w:rsidR="00590286">
        <w:t>dasabuvir</w:t>
      </w:r>
      <w:r w:rsidRPr="00595D4B">
        <w:t xml:space="preserve"> with ribavirin in </w:t>
      </w:r>
      <w:r w:rsidR="00720CFF">
        <w:t>treatment naive</w:t>
      </w:r>
      <w:r w:rsidRPr="00595D4B">
        <w:t xml:space="preserve"> and pegIFN/RBV </w:t>
      </w:r>
      <w:r w:rsidR="00CA123F">
        <w:t>treatment experienced</w:t>
      </w:r>
      <w:r w:rsidRPr="00595D4B">
        <w:t xml:space="preserve"> adults with genotype 1a and 1b chronic HCV infection and compensated cirrhosis. It was conducted at 78 centres in North America and Europe. Randomisation was stratified according to previous pegIFN/RBV therapy (</w:t>
      </w:r>
      <w:r w:rsidR="00CA123F">
        <w:t>treatment experienced</w:t>
      </w:r>
      <w:r w:rsidRPr="00595D4B">
        <w:t>) or no previous therapy (</w:t>
      </w:r>
      <w:r w:rsidR="00720CFF">
        <w:t>treatment naive</w:t>
      </w:r>
      <w:r w:rsidRPr="00595D4B">
        <w:t xml:space="preserve">). The </w:t>
      </w:r>
      <w:r w:rsidR="00CA123F">
        <w:t>treatment experienced</w:t>
      </w:r>
      <w:r w:rsidRPr="00595D4B">
        <w:t xml:space="preserve"> patients were stratified according to non-response to previous pegIFN/RBV treatment (null responder, partial responder, or relapser) and IL28B genotype. The </w:t>
      </w:r>
      <w:r w:rsidR="0030257D">
        <w:t>treatment naïve</w:t>
      </w:r>
      <w:r w:rsidRPr="00595D4B">
        <w:t xml:space="preserve"> patients were stratified by HCV genotype (1a or 1b).</w:t>
      </w:r>
    </w:p>
    <w:p w:rsidR="00595D4B" w:rsidRPr="00595D4B" w:rsidRDefault="00595D4B" w:rsidP="00595D4B">
      <w:r w:rsidRPr="00595D4B">
        <w:t>The duration of the treatment period was either 12 or 24 we</w:t>
      </w:r>
      <w:r w:rsidR="0030257D">
        <w:t xml:space="preserve">eks, followed by a 48 week post </w:t>
      </w:r>
      <w:r w:rsidRPr="00595D4B">
        <w:t>treatment period to monitor safety, HCV RNA, and the emergence and/or persistence of resistant viral variants. A final follow-up visit was conducted at Week 72.</w:t>
      </w:r>
    </w:p>
    <w:p w:rsidR="00595D4B" w:rsidRPr="00595D4B" w:rsidRDefault="00595D4B" w:rsidP="00462A94">
      <w:pPr>
        <w:pStyle w:val="Heading6"/>
      </w:pPr>
      <w:r w:rsidRPr="00595D4B">
        <w:t>Results</w:t>
      </w:r>
    </w:p>
    <w:p w:rsidR="00F306A9" w:rsidRPr="00595D4B" w:rsidRDefault="006A2EA5" w:rsidP="00595D4B">
      <w:r w:rsidRPr="00FE5487">
        <w:t>SVR</w:t>
      </w:r>
      <w:r w:rsidRPr="006A2EA5">
        <w:rPr>
          <w:vertAlign w:val="subscript"/>
        </w:rPr>
        <w:t>12</w:t>
      </w:r>
      <w:r w:rsidR="00595D4B" w:rsidRPr="00595D4B">
        <w:t xml:space="preserve"> was achieved by 91.8% of patients (97.5% CI: 87.6%, 96.1%) in the 12</w:t>
      </w:r>
      <w:r w:rsidR="003C3383">
        <w:t xml:space="preserve"> week</w:t>
      </w:r>
      <w:r w:rsidR="00595D4B" w:rsidRPr="00595D4B">
        <w:t xml:space="preserve"> treatment group, and by 95.9% of patients (97.5% CI: 92.6%, 99.3%) in the 24</w:t>
      </w:r>
      <w:r w:rsidR="003C3383">
        <w:t xml:space="preserve"> week</w:t>
      </w:r>
      <w:r w:rsidR="00595D4B" w:rsidRPr="00595D4B">
        <w:t xml:space="preserve"> group. Both primary endpoints were met as the 43% non-inferiority LCB thresholds were achieved in both groups.</w:t>
      </w:r>
    </w:p>
    <w:p w:rsidR="00462A94" w:rsidRPr="00462A94" w:rsidRDefault="00462A94" w:rsidP="00462A94">
      <w:r w:rsidRPr="00462A94">
        <w:t>All patients achieved virologic suppression but on-treatment virologic failure occurred in 1 (0.5%) patient in the 12</w:t>
      </w:r>
      <w:r w:rsidR="003C3383">
        <w:t xml:space="preserve"> week</w:t>
      </w:r>
      <w:r w:rsidRPr="00462A94">
        <w:t xml:space="preserve"> group and 3 (1.7%) patients in the 24</w:t>
      </w:r>
      <w:r w:rsidR="003C3383">
        <w:t xml:space="preserve"> week</w:t>
      </w:r>
      <w:r w:rsidRPr="00462A94">
        <w:t xml:space="preserve"> group. In the 12</w:t>
      </w:r>
      <w:r w:rsidR="003C3383">
        <w:t xml:space="preserve"> week</w:t>
      </w:r>
      <w:r w:rsidRPr="00462A94">
        <w:t xml:space="preserve"> group, 12 patients (5.9%) experi</w:t>
      </w:r>
      <w:r w:rsidR="0030257D">
        <w:t xml:space="preserve">enced virologic relapse by post treatment </w:t>
      </w:r>
      <w:r w:rsidR="0030257D">
        <w:lastRenderedPageBreak/>
        <w:t>Week </w:t>
      </w:r>
      <w:r w:rsidRPr="00462A94">
        <w:t>12 compared with one (0.6%) patient in the 24</w:t>
      </w:r>
      <w:r w:rsidR="003C3383">
        <w:t xml:space="preserve"> week</w:t>
      </w:r>
      <w:r w:rsidRPr="00462A94">
        <w:t xml:space="preserve"> group. No patients had missing </w:t>
      </w:r>
      <w:r w:rsidR="006A2EA5" w:rsidRPr="00FE5487">
        <w:t>SVR</w:t>
      </w:r>
      <w:r w:rsidR="006A2EA5" w:rsidRPr="006A2EA5">
        <w:rPr>
          <w:vertAlign w:val="subscript"/>
        </w:rPr>
        <w:t>12</w:t>
      </w:r>
      <w:r w:rsidRPr="00462A94">
        <w:t xml:space="preserve"> data. </w:t>
      </w:r>
      <w:r w:rsidR="006A2EA5" w:rsidRPr="00FE5487">
        <w:t>SVR</w:t>
      </w:r>
      <w:r w:rsidR="006A2EA5" w:rsidRPr="006A2EA5">
        <w:rPr>
          <w:vertAlign w:val="subscript"/>
        </w:rPr>
        <w:t>12</w:t>
      </w:r>
      <w:r w:rsidRPr="00462A94">
        <w:t xml:space="preserve"> rates by randomisation strata are shown below.</w:t>
      </w:r>
    </w:p>
    <w:p w:rsidR="00462A94" w:rsidRPr="00462A94" w:rsidRDefault="00462A94" w:rsidP="00462A94">
      <w:r w:rsidRPr="00462A94">
        <w:t xml:space="preserve">In both treatment groups, the </w:t>
      </w:r>
      <w:r w:rsidR="006A2EA5" w:rsidRPr="00FE5487">
        <w:t>SVR</w:t>
      </w:r>
      <w:r w:rsidR="006A2EA5" w:rsidRPr="006A2EA5">
        <w:rPr>
          <w:vertAlign w:val="subscript"/>
        </w:rPr>
        <w:t>12</w:t>
      </w:r>
      <w:r w:rsidRPr="00462A94">
        <w:t xml:space="preserve"> rates were higher in patients with </w:t>
      </w:r>
      <w:r w:rsidR="00202E0D">
        <w:t>genotype</w:t>
      </w:r>
      <w:r w:rsidRPr="00462A94">
        <w:t xml:space="preserve">1b infection compared with </w:t>
      </w:r>
      <w:r w:rsidR="00202E0D">
        <w:t>genotype</w:t>
      </w:r>
      <w:r w:rsidRPr="00462A94">
        <w:t>1a infection (98.5% versus 88.6% in the 12</w:t>
      </w:r>
      <w:r w:rsidR="003C3383">
        <w:t xml:space="preserve"> week</w:t>
      </w:r>
      <w:r w:rsidRPr="00462A94">
        <w:t xml:space="preserve"> group, 100% versus 94.2% in the 24</w:t>
      </w:r>
      <w:r w:rsidR="003C3383">
        <w:t xml:space="preserve"> week</w:t>
      </w:r>
      <w:r w:rsidRPr="00462A94">
        <w:t xml:space="preserve"> group). There were no meaningful differences in </w:t>
      </w:r>
      <w:r w:rsidR="006A2EA5" w:rsidRPr="00FE5487">
        <w:t>SVR</w:t>
      </w:r>
      <w:r w:rsidR="006A2EA5" w:rsidRPr="006A2EA5">
        <w:rPr>
          <w:vertAlign w:val="subscript"/>
        </w:rPr>
        <w:t>12</w:t>
      </w:r>
      <w:r w:rsidRPr="00462A94">
        <w:t xml:space="preserve"> rates between </w:t>
      </w:r>
      <w:r w:rsidR="0030257D">
        <w:t>treatment naïve</w:t>
      </w:r>
      <w:r w:rsidRPr="00462A94">
        <w:t xml:space="preserve"> and </w:t>
      </w:r>
      <w:r w:rsidR="00CA123F">
        <w:t>treatment experienced</w:t>
      </w:r>
      <w:r w:rsidRPr="00462A94">
        <w:t xml:space="preserve"> patients with the exception of prior null responders with </w:t>
      </w:r>
      <w:r w:rsidR="00202E0D">
        <w:t>genotype</w:t>
      </w:r>
      <w:r w:rsidRPr="00462A94">
        <w:t>1a infection in the 12 week arm (</w:t>
      </w:r>
      <w:r w:rsidR="006A2EA5" w:rsidRPr="00FE5487">
        <w:t>SVR</w:t>
      </w:r>
      <w:r w:rsidR="006A2EA5" w:rsidRPr="006A2EA5">
        <w:rPr>
          <w:vertAlign w:val="subscript"/>
        </w:rPr>
        <w:t>12</w:t>
      </w:r>
      <w:r w:rsidRPr="00462A94">
        <w:t xml:space="preserve"> 80.0% ). In prior null responders, the </w:t>
      </w:r>
      <w:r w:rsidR="006A2EA5" w:rsidRPr="00FE5487">
        <w:t>SVR</w:t>
      </w:r>
      <w:r w:rsidR="006A2EA5" w:rsidRPr="006A2EA5">
        <w:rPr>
          <w:vertAlign w:val="subscript"/>
        </w:rPr>
        <w:t>12</w:t>
      </w:r>
      <w:r w:rsidRPr="00462A94">
        <w:t xml:space="preserve"> rate was higher in the 24</w:t>
      </w:r>
      <w:r w:rsidR="003C3383">
        <w:t xml:space="preserve"> week</w:t>
      </w:r>
      <w:r w:rsidRPr="00462A94">
        <w:t xml:space="preserve"> group than in the 12</w:t>
      </w:r>
      <w:r w:rsidR="003C3383">
        <w:t xml:space="preserve"> week</w:t>
      </w:r>
      <w:r w:rsidRPr="00462A94">
        <w:t xml:space="preserve"> group (95.2% versus 86.7%, respectively).</w:t>
      </w:r>
    </w:p>
    <w:p w:rsidR="00462A94" w:rsidRPr="00462A94" w:rsidRDefault="005038AE" w:rsidP="00462A94">
      <w:pPr>
        <w:pStyle w:val="FigureTitle"/>
      </w:pPr>
      <w:r>
        <w:t>Figure 1</w:t>
      </w:r>
      <w:r w:rsidR="00B03483">
        <w:t>8</w:t>
      </w:r>
      <w:r w:rsidR="00376D29">
        <w:t xml:space="preserve">: </w:t>
      </w:r>
      <w:r w:rsidR="00462A94" w:rsidRPr="00462A94">
        <w:t xml:space="preserve">Sustained </w:t>
      </w:r>
      <w:r w:rsidR="00376D29" w:rsidRPr="00462A94">
        <w:t xml:space="preserve">virologic response </w:t>
      </w:r>
      <w:r w:rsidR="00462A94" w:rsidRPr="00462A94">
        <w:t xml:space="preserve">at </w:t>
      </w:r>
      <w:r w:rsidR="00376D29" w:rsidRPr="00462A94">
        <w:t xml:space="preserve">post-treatment </w:t>
      </w:r>
      <w:r w:rsidR="00462A94" w:rsidRPr="00462A94">
        <w:t xml:space="preserve">Week 12 </w:t>
      </w:r>
      <w:r w:rsidR="00376D29" w:rsidRPr="00462A94">
        <w:t>in each treatment group</w:t>
      </w:r>
      <w:r w:rsidR="00462A94" w:rsidRPr="00462A94">
        <w:t xml:space="preserve">, </w:t>
      </w:r>
      <w:r w:rsidR="00376D29" w:rsidRPr="00462A94">
        <w:t>overall and according to subgroups</w:t>
      </w:r>
      <w:r w:rsidR="00387B61" w:rsidRPr="00387B61">
        <w:rPr>
          <w:vertAlign w:val="superscript"/>
        </w:rPr>
        <w:fldChar w:fldCharType="begin"/>
      </w:r>
      <w:r w:rsidR="00387B61" w:rsidRPr="00387B61">
        <w:rPr>
          <w:vertAlign w:val="superscript"/>
        </w:rPr>
        <w:instrText xml:space="preserve"> NOTEREF _Ref473548753 \h </w:instrText>
      </w:r>
      <w:r w:rsidR="00387B61">
        <w:rPr>
          <w:vertAlign w:val="superscript"/>
        </w:rPr>
        <w:instrText xml:space="preserve"> \* MERGEFORMAT </w:instrText>
      </w:r>
      <w:r w:rsidR="00387B61" w:rsidRPr="00387B61">
        <w:rPr>
          <w:vertAlign w:val="superscript"/>
        </w:rPr>
      </w:r>
      <w:r w:rsidR="00387B61" w:rsidRPr="00387B61">
        <w:rPr>
          <w:vertAlign w:val="superscript"/>
        </w:rPr>
        <w:fldChar w:fldCharType="separate"/>
      </w:r>
      <w:r w:rsidR="00376D29" w:rsidRPr="00387B61">
        <w:rPr>
          <w:vertAlign w:val="superscript"/>
        </w:rPr>
        <w:t>70</w:t>
      </w:r>
      <w:r w:rsidR="00387B61" w:rsidRPr="00387B61">
        <w:rPr>
          <w:vertAlign w:val="superscript"/>
        </w:rPr>
        <w:fldChar w:fldCharType="end"/>
      </w:r>
    </w:p>
    <w:p w:rsidR="00F306A9" w:rsidRDefault="00462A94" w:rsidP="00462A94">
      <w:r>
        <w:rPr>
          <w:noProof/>
          <w:lang w:eastAsia="en-AU"/>
        </w:rPr>
        <w:drawing>
          <wp:inline distT="0" distB="0" distL="0" distR="0" wp14:anchorId="48CC49A9" wp14:editId="6032AB6A">
            <wp:extent cx="5400040" cy="2809160"/>
            <wp:effectExtent l="0" t="0" r="0" b="0"/>
            <wp:docPr id="10" name="Picture 10" descr="Figure 18: Sustained virologic response at post-treatment Week 12 in each treatment group, overall and according to subgroups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040" cy="2809160"/>
                    </a:xfrm>
                    <a:prstGeom prst="rect">
                      <a:avLst/>
                    </a:prstGeom>
                  </pic:spPr>
                </pic:pic>
              </a:graphicData>
            </a:graphic>
          </wp:inline>
        </w:drawing>
      </w:r>
    </w:p>
    <w:p w:rsidR="00462A94" w:rsidRPr="00462A94" w:rsidRDefault="00462A94" w:rsidP="00462A94">
      <w:pPr>
        <w:pStyle w:val="TableDescription"/>
      </w:pPr>
      <w:r w:rsidRPr="00462A94">
        <w:t>To establish non</w:t>
      </w:r>
      <w:r w:rsidR="00387B61">
        <w:t>-</w:t>
      </w:r>
      <w:r w:rsidRPr="00462A94">
        <w:t xml:space="preserve">inferiority and superiority of ritonavir-enhanced </w:t>
      </w:r>
      <w:r w:rsidR="00F573D0">
        <w:t>paritaprevir</w:t>
      </w:r>
      <w:r w:rsidRPr="00462A94">
        <w:t>, ombitasvir, dasabuvir, and ribavirin to the historical control (telaprevir plus peg</w:t>
      </w:r>
      <w:r w:rsidR="007D369A">
        <w:t xml:space="preserve"> </w:t>
      </w:r>
      <w:r w:rsidRPr="00462A94">
        <w:t>interferon–ribavirin), the lower boundary of the confidence interval for the rate of sustained virologic response at post-treatment week 12 in each treatment group had to exceed 43% (dashed line) and 54% (solid line), respectively. All confidence intervals (I bars) are two-sided, with an overall alpha level of 0.05.</w:t>
      </w:r>
    </w:p>
    <w:p w:rsidR="00462A94" w:rsidRPr="00462A94" w:rsidRDefault="00462A94" w:rsidP="00462A94">
      <w:pPr>
        <w:pStyle w:val="Heading5"/>
      </w:pPr>
      <w:r w:rsidRPr="00462A94">
        <w:t>Other efficacy trials</w:t>
      </w:r>
    </w:p>
    <w:p w:rsidR="00462A94" w:rsidRPr="00462A94" w:rsidRDefault="00462A94" w:rsidP="00462A94">
      <w:r w:rsidRPr="00462A94">
        <w:t xml:space="preserve">Other efficacy trials are described </w:t>
      </w:r>
      <w:r w:rsidR="0030257D">
        <w:t>in the clinical evaluation report (see Attachment 2) with a large P</w:t>
      </w:r>
      <w:r w:rsidRPr="00462A94">
        <w:t>hase IIb trial also published.</w:t>
      </w:r>
      <w:r w:rsidRPr="0030257D">
        <w:rPr>
          <w:vertAlign w:val="superscript"/>
        </w:rPr>
        <w:footnoteReference w:id="81"/>
      </w:r>
    </w:p>
    <w:p w:rsidR="00462A94" w:rsidRDefault="00462A94" w:rsidP="00462A94">
      <w:pPr>
        <w:pStyle w:val="Heading6"/>
      </w:pPr>
      <w:r w:rsidRPr="00462A94">
        <w:t>Study M13-393 (PEARL-1)</w:t>
      </w:r>
    </w:p>
    <w:p w:rsidR="00462A94" w:rsidRPr="00462A94" w:rsidRDefault="00462A94" w:rsidP="00462A94">
      <w:r w:rsidRPr="00462A94">
        <w:t xml:space="preserve">Study M13-393 (PEARL-1) Genotype 4 infection, treatment naïve and experienced, </w:t>
      </w:r>
      <w:r w:rsidR="00202E0D">
        <w:t>genotype</w:t>
      </w:r>
      <w:r w:rsidRPr="00462A94">
        <w:t>1b infection, with and without cirrhosis, treatment naï</w:t>
      </w:r>
      <w:r w:rsidR="0030257D">
        <w:t>ve and experienced.</w:t>
      </w:r>
    </w:p>
    <w:p w:rsidR="00462A94" w:rsidRPr="00462A94" w:rsidRDefault="00462A94" w:rsidP="00462A94">
      <w:r w:rsidRPr="00462A94">
        <w:t xml:space="preserve">This was an </w:t>
      </w:r>
      <w:r w:rsidR="0030257D">
        <w:t>open label</w:t>
      </w:r>
      <w:r w:rsidRPr="00462A94">
        <w:t>, randomised, efficacy and safety study of the 2-DAA combination treatment (</w:t>
      </w:r>
      <w:r w:rsidR="00F573D0">
        <w:t>paritaprevir</w:t>
      </w:r>
      <w:r w:rsidRPr="00462A94">
        <w:t>/</w:t>
      </w:r>
      <w:r w:rsidR="0030257D">
        <w:t>ritonavir</w:t>
      </w:r>
      <w:r w:rsidRPr="00462A94">
        <w:t xml:space="preserve"> administered with </w:t>
      </w:r>
      <w:r w:rsidR="00590286">
        <w:t>ombitasvir</w:t>
      </w:r>
      <w:r w:rsidRPr="00462A94">
        <w:t xml:space="preserve"> with and without RBV) in adults with chronic HCV infection. The results presented were an interim analysis of the on-going study.</w:t>
      </w:r>
      <w:r w:rsidR="008B6F3C">
        <w:t xml:space="preserve"> </w:t>
      </w:r>
      <w:r w:rsidRPr="00462A94">
        <w:t xml:space="preserve">The study objectives were to compare </w:t>
      </w:r>
      <w:r w:rsidR="006A2EA5" w:rsidRPr="00FE5487">
        <w:t>SVR</w:t>
      </w:r>
      <w:r w:rsidR="006A2EA5" w:rsidRPr="006A2EA5">
        <w:rPr>
          <w:vertAlign w:val="subscript"/>
        </w:rPr>
        <w:t>12</w:t>
      </w:r>
      <w:r w:rsidRPr="00462A94">
        <w:t xml:space="preserve"> rates in </w:t>
      </w:r>
      <w:r w:rsidR="0030257D">
        <w:t>treatment naïve</w:t>
      </w:r>
      <w:r w:rsidRPr="00462A94">
        <w:t xml:space="preserve"> and </w:t>
      </w:r>
      <w:r w:rsidR="00CA123F">
        <w:t>treatment experienced</w:t>
      </w:r>
      <w:r w:rsidRPr="00462A94">
        <w:t xml:space="preserve"> patients with HCV </w:t>
      </w:r>
      <w:r w:rsidR="00202E0D">
        <w:t>genotype</w:t>
      </w:r>
      <w:r w:rsidR="0030257D">
        <w:t xml:space="preserve"> </w:t>
      </w:r>
      <w:r w:rsidRPr="00462A94">
        <w:t xml:space="preserve">4 </w:t>
      </w:r>
      <w:proofErr w:type="gramStart"/>
      <w:r w:rsidRPr="00462A94">
        <w:t>infection</w:t>
      </w:r>
      <w:proofErr w:type="gramEnd"/>
      <w:r w:rsidRPr="00462A94">
        <w:t xml:space="preserve">, and in patients with and without cirrhosis with HCV </w:t>
      </w:r>
      <w:r w:rsidR="00202E0D">
        <w:t>genotype</w:t>
      </w:r>
      <w:r w:rsidRPr="00462A94">
        <w:t>1b infection.</w:t>
      </w:r>
    </w:p>
    <w:p w:rsidR="00462A94" w:rsidRPr="00462A94" w:rsidRDefault="0030257D" w:rsidP="00462A94">
      <w:r>
        <w:t>D</w:t>
      </w:r>
      <w:r w:rsidR="00590286">
        <w:t>asabuvir</w:t>
      </w:r>
      <w:r w:rsidR="00462A94" w:rsidRPr="00462A94">
        <w:t xml:space="preserve"> has no potent in vitro activity against HCV </w:t>
      </w:r>
      <w:r w:rsidR="00202E0D">
        <w:t>genotype</w:t>
      </w:r>
      <w:r w:rsidR="00E458BE">
        <w:t xml:space="preserve"> </w:t>
      </w:r>
      <w:r w:rsidR="00462A94" w:rsidRPr="00462A94">
        <w:t>4, so it was not included in the treatment regimen in this study. These preliminary r</w:t>
      </w:r>
      <w:r>
        <w:t xml:space="preserve">esults showed that 2-DAA for </w:t>
      </w:r>
      <w:r>
        <w:lastRenderedPageBreak/>
        <w:t>12 </w:t>
      </w:r>
      <w:r w:rsidR="00462A94" w:rsidRPr="00462A94">
        <w:t xml:space="preserve">weeks is effective in </w:t>
      </w:r>
      <w:r>
        <w:t>treatment naïve</w:t>
      </w:r>
      <w:r w:rsidR="00462A94" w:rsidRPr="00462A94">
        <w:t xml:space="preserve"> patients with HCV </w:t>
      </w:r>
      <w:r w:rsidR="00202E0D">
        <w:t>genotype</w:t>
      </w:r>
      <w:r>
        <w:t xml:space="preserve"> </w:t>
      </w:r>
      <w:r w:rsidR="00462A94" w:rsidRPr="00462A94">
        <w:t>4 infection (</w:t>
      </w:r>
      <w:r w:rsidR="006A2EA5" w:rsidRPr="00FE5487">
        <w:t>SVR</w:t>
      </w:r>
      <w:r w:rsidR="006A2EA5" w:rsidRPr="006A2EA5">
        <w:rPr>
          <w:vertAlign w:val="subscript"/>
        </w:rPr>
        <w:t>12</w:t>
      </w:r>
      <w:r w:rsidR="00462A94" w:rsidRPr="00462A94">
        <w:t xml:space="preserve"> rate 90.9%). In the group with added RBV, 100% of patients achieved </w:t>
      </w:r>
      <w:r w:rsidR="006A2EA5" w:rsidRPr="00FE5487">
        <w:t>SVR</w:t>
      </w:r>
      <w:r w:rsidR="006A2EA5" w:rsidRPr="006A2EA5">
        <w:rPr>
          <w:vertAlign w:val="subscript"/>
        </w:rPr>
        <w:t>12</w:t>
      </w:r>
      <w:r w:rsidR="00462A94" w:rsidRPr="00462A94">
        <w:t xml:space="preserve"> with similar efficacy in </w:t>
      </w:r>
      <w:r w:rsidR="00CA123F">
        <w:t>treatment experienced</w:t>
      </w:r>
      <w:r w:rsidR="00462A94" w:rsidRPr="00462A94">
        <w:t xml:space="preserve"> patients.</w:t>
      </w:r>
    </w:p>
    <w:p w:rsidR="00462A94" w:rsidRPr="00462A94" w:rsidRDefault="00462A94" w:rsidP="00462A94">
      <w:r w:rsidRPr="00462A94">
        <w:t xml:space="preserve">It is noted that an indication for use in </w:t>
      </w:r>
      <w:r w:rsidR="00202E0D">
        <w:t>genotype</w:t>
      </w:r>
      <w:r w:rsidR="0030257D">
        <w:t xml:space="preserve"> </w:t>
      </w:r>
      <w:r w:rsidRPr="00462A94">
        <w:t xml:space="preserve">4 has not been sought by the sponsor but that Europe has included use for </w:t>
      </w:r>
      <w:r w:rsidR="00202E0D">
        <w:t>genotype</w:t>
      </w:r>
      <w:r w:rsidR="0030257D">
        <w:t xml:space="preserve"> </w:t>
      </w:r>
      <w:r w:rsidRPr="00462A94">
        <w:t xml:space="preserve">4 in their </w:t>
      </w:r>
      <w:r w:rsidR="0030257D">
        <w:t>SmPC</w:t>
      </w:r>
      <w:r w:rsidRPr="00462A94">
        <w:t>.</w:t>
      </w:r>
    </w:p>
    <w:p w:rsidR="00462A94" w:rsidRPr="00462A94" w:rsidRDefault="00462A94" w:rsidP="00462A94">
      <w:pPr>
        <w:pStyle w:val="Heading5"/>
      </w:pPr>
      <w:r w:rsidRPr="00462A94">
        <w:t>A</w:t>
      </w:r>
      <w:r>
        <w:t>nalyses performed across trials</w:t>
      </w:r>
    </w:p>
    <w:p w:rsidR="00462A94" w:rsidRPr="00462A94" w:rsidRDefault="00462A94" w:rsidP="00462A94">
      <w:r w:rsidRPr="00462A94">
        <w:t xml:space="preserve">These are summarised in the CER </w:t>
      </w:r>
      <w:r w:rsidR="0030257D">
        <w:t>(see Attachment 2)</w:t>
      </w:r>
      <w:r w:rsidRPr="00462A94">
        <w:t xml:space="preserve"> and not described in this Over</w:t>
      </w:r>
      <w:r w:rsidR="0030257D">
        <w:t>view, given the results of the P</w:t>
      </w:r>
      <w:r w:rsidRPr="00462A94">
        <w:t xml:space="preserve">hase </w:t>
      </w:r>
      <w:r w:rsidR="00167A1A">
        <w:t>III</w:t>
      </w:r>
      <w:r w:rsidRPr="00462A94">
        <w:t xml:space="preserve"> trials clearly demonstrated efficacy in relevant patient subgroups.</w:t>
      </w:r>
    </w:p>
    <w:p w:rsidR="00462A94" w:rsidRPr="00462A94" w:rsidRDefault="00462A94" w:rsidP="00462A94">
      <w:pPr>
        <w:pStyle w:val="Heading5"/>
      </w:pPr>
      <w:r w:rsidRPr="00462A94">
        <w:t>Influence of IL28B genotype</w:t>
      </w:r>
    </w:p>
    <w:p w:rsidR="00462A94" w:rsidRPr="00462A94" w:rsidRDefault="00462A94" w:rsidP="00462A94">
      <w:r w:rsidRPr="00462A94">
        <w:t xml:space="preserve">The potential influence of IL28B genotype sub-types was addressed in all the pivotal studies and no interactions were demonstrated. The FDA </w:t>
      </w:r>
      <w:r w:rsidRPr="00387B61">
        <w:t>and EU reviews</w:t>
      </w:r>
      <w:r w:rsidR="002E5CB5">
        <w:t xml:space="preserve"> </w:t>
      </w:r>
      <w:r w:rsidR="002E5CB5" w:rsidRPr="002E5CB5">
        <w:rPr>
          <w:vertAlign w:val="superscript"/>
        </w:rPr>
        <w:fldChar w:fldCharType="begin"/>
      </w:r>
      <w:r w:rsidR="002E5CB5" w:rsidRPr="002E5CB5">
        <w:rPr>
          <w:vertAlign w:val="superscript"/>
        </w:rPr>
        <w:instrText xml:space="preserve"> NOTEREF _Ref473549991 \h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1</w:t>
      </w:r>
      <w:r w:rsidR="002E5CB5" w:rsidRPr="002E5CB5">
        <w:rPr>
          <w:vertAlign w:val="superscript"/>
        </w:rPr>
        <w:fldChar w:fldCharType="end"/>
      </w:r>
      <w:r w:rsidR="00387B61" w:rsidRPr="00387B61">
        <w:rPr>
          <w:vertAlign w:val="superscript"/>
        </w:rPr>
        <w:t xml:space="preserve">, </w:t>
      </w:r>
      <w:r w:rsidR="00387B61" w:rsidRPr="00387B61">
        <w:rPr>
          <w:vertAlign w:val="superscript"/>
        </w:rPr>
        <w:fldChar w:fldCharType="begin"/>
      </w:r>
      <w:r w:rsidR="00387B61" w:rsidRPr="00387B61">
        <w:rPr>
          <w:vertAlign w:val="superscript"/>
        </w:rPr>
        <w:instrText xml:space="preserve"> NOTEREF _Ref473541474 \h  \* MERGEFORMAT </w:instrText>
      </w:r>
      <w:r w:rsidR="00387B61" w:rsidRPr="00387B61">
        <w:rPr>
          <w:vertAlign w:val="superscript"/>
        </w:rPr>
      </w:r>
      <w:r w:rsidR="00387B61" w:rsidRPr="00387B61">
        <w:rPr>
          <w:vertAlign w:val="superscript"/>
        </w:rPr>
        <w:fldChar w:fldCharType="separate"/>
      </w:r>
      <w:r w:rsidR="00387B61" w:rsidRPr="00387B61">
        <w:rPr>
          <w:vertAlign w:val="superscript"/>
        </w:rPr>
        <w:t>65</w:t>
      </w:r>
      <w:r w:rsidR="00387B61" w:rsidRPr="00387B61">
        <w:rPr>
          <w:vertAlign w:val="superscript"/>
        </w:rPr>
        <w:fldChar w:fldCharType="end"/>
      </w:r>
      <w:r w:rsidRPr="00387B61">
        <w:t xml:space="preserve"> reported</w:t>
      </w:r>
      <w:r w:rsidRPr="00462A94">
        <w:t xml:space="preserve"> that in non-cirrhotic </w:t>
      </w:r>
      <w:r w:rsidR="00202E0D">
        <w:t>genotype</w:t>
      </w:r>
      <w:r w:rsidRPr="00462A94">
        <w:t xml:space="preserve">1a subjects with non-CC genotypes treated with </w:t>
      </w:r>
      <w:r w:rsidR="00237CBE">
        <w:t>3DAA</w:t>
      </w:r>
      <w:r w:rsidRPr="00462A94">
        <w:t xml:space="preserve"> + RBV, the </w:t>
      </w:r>
      <w:r w:rsidR="006A2EA5" w:rsidRPr="00FE5487">
        <w:t>SVR</w:t>
      </w:r>
      <w:r w:rsidR="006A2EA5" w:rsidRPr="006A2EA5">
        <w:rPr>
          <w:vertAlign w:val="subscript"/>
        </w:rPr>
        <w:t>12</w:t>
      </w:r>
      <w:r w:rsidRPr="00462A94">
        <w:t xml:space="preserve"> rate was 95%, and when RBV was not included in the regimen the rate was lower at 87%, suggesting that ribavirin reduced the relapse rate, and that these subjects would benefit from the addition of RBV to their treatment regimen. </w:t>
      </w:r>
      <w:r w:rsidR="006A2EA5" w:rsidRPr="00FE5487">
        <w:t>SVR</w:t>
      </w:r>
      <w:r w:rsidR="006A2EA5" w:rsidRPr="006A2EA5">
        <w:rPr>
          <w:vertAlign w:val="subscript"/>
        </w:rPr>
        <w:t>12</w:t>
      </w:r>
      <w:r w:rsidRPr="00462A94">
        <w:t xml:space="preserve"> data in </w:t>
      </w:r>
      <w:r w:rsidR="00202E0D">
        <w:t>genotype</w:t>
      </w:r>
      <w:r w:rsidRPr="00462A94">
        <w:t xml:space="preserve">1a treatment naive cirrhotic subjects with non-CC genotypes also suggested a </w:t>
      </w:r>
      <w:r w:rsidR="00237CBE">
        <w:t>benefit from 24 </w:t>
      </w:r>
      <w:r w:rsidRPr="00462A94">
        <w:t xml:space="preserve">weeks over 12 weeks of treatment. Treatment naïve </w:t>
      </w:r>
      <w:r w:rsidR="00202E0D">
        <w:t>genotype</w:t>
      </w:r>
      <w:r w:rsidRPr="00462A94">
        <w:t xml:space="preserve">1b subjects achieved </w:t>
      </w:r>
      <w:r w:rsidR="006A2EA5" w:rsidRPr="00FE5487">
        <w:t>SVR</w:t>
      </w:r>
      <w:r w:rsidR="006A2EA5" w:rsidRPr="006A2EA5">
        <w:rPr>
          <w:vertAlign w:val="subscript"/>
        </w:rPr>
        <w:t>12</w:t>
      </w:r>
      <w:r w:rsidRPr="00462A94">
        <w:t xml:space="preserve"> rates 99% regardless of IL28B genotype or the inclusion of</w:t>
      </w:r>
      <w:r w:rsidR="0030257D">
        <w:t xml:space="preserve"> RBV in the treatment regimen.</w:t>
      </w:r>
      <w:r w:rsidR="002E5CB5" w:rsidRPr="002E5CB5">
        <w:rPr>
          <w:vertAlign w:val="superscript"/>
        </w:rPr>
        <w:fldChar w:fldCharType="begin"/>
      </w:r>
      <w:r w:rsidR="002E5CB5" w:rsidRPr="002E5CB5">
        <w:rPr>
          <w:vertAlign w:val="superscript"/>
        </w:rPr>
        <w:instrText xml:space="preserve"> NOTEREF _Ref473549991 \h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1</w:t>
      </w:r>
      <w:r w:rsidR="002E5CB5" w:rsidRPr="002E5CB5">
        <w:rPr>
          <w:vertAlign w:val="superscript"/>
        </w:rPr>
        <w:fldChar w:fldCharType="end"/>
      </w:r>
    </w:p>
    <w:p w:rsidR="00462A94" w:rsidRPr="00462A94" w:rsidRDefault="00462A94" w:rsidP="00462A94">
      <w:pPr>
        <w:pStyle w:val="Heading5"/>
      </w:pPr>
      <w:r w:rsidRPr="00462A94">
        <w:t>Overall conclusions</w:t>
      </w:r>
      <w:r w:rsidR="006366CC">
        <w:t xml:space="preserve"> for clinical efficacy</w:t>
      </w:r>
    </w:p>
    <w:p w:rsidR="00462A94" w:rsidRPr="00462A94" w:rsidRDefault="00462A94" w:rsidP="00462A94">
      <w:r w:rsidRPr="00462A94">
        <w:t xml:space="preserve">The clinical evaluator concluded that the benefit-risk balance of </w:t>
      </w:r>
      <w:r w:rsidR="008B6F3C">
        <w:t>Viekira Pak</w:t>
      </w:r>
      <w:r w:rsidRPr="00462A94">
        <w:t xml:space="preserve"> and </w:t>
      </w:r>
      <w:r w:rsidR="0030257D">
        <w:t>Viekira </w:t>
      </w:r>
      <w:r w:rsidR="008B6F3C">
        <w:t>Pak</w:t>
      </w:r>
      <w:r w:rsidRPr="00462A94">
        <w:t xml:space="preserve">-RBV given the proposed </w:t>
      </w:r>
      <w:r w:rsidR="007D369A" w:rsidRPr="00462A94">
        <w:t>usage</w:t>
      </w:r>
      <w:r w:rsidRPr="00462A94">
        <w:t xml:space="preserve"> was highly favourable with efficacy rates</w:t>
      </w:r>
      <w:r w:rsidR="0030257D">
        <w:t xml:space="preserve"> notably better than telaprevir </w:t>
      </w:r>
      <w:r w:rsidRPr="00462A94">
        <w:t>based therapy in the sam</w:t>
      </w:r>
      <w:r w:rsidR="0030257D">
        <w:t>e subgroups</w:t>
      </w:r>
      <w:r w:rsidRPr="00462A94">
        <w:t xml:space="preserve">. The data did not support the use of </w:t>
      </w:r>
      <w:r w:rsidR="008B6F3C">
        <w:t>Viekira Pak</w:t>
      </w:r>
      <w:r w:rsidRPr="00462A94">
        <w:t xml:space="preserve"> for any genotype subgroup other than 1b, although the evaluator did comment that in </w:t>
      </w:r>
      <w:r w:rsidR="0030257D">
        <w:t>treatment naïve</w:t>
      </w:r>
      <w:r w:rsidRPr="00462A94">
        <w:t xml:space="preserve"> patients with genotype 1a infection without cirrhosis, the addition of ribavirin confers additional benefit but outstanding SVR rates could still be achieved in patients who are intolerant of ribavirin. Given the TGA is proposing separate </w:t>
      </w:r>
      <w:proofErr w:type="gramStart"/>
      <w:r w:rsidRPr="00462A94">
        <w:t>PIs,</w:t>
      </w:r>
      <w:proofErr w:type="gramEnd"/>
      <w:r w:rsidRPr="00462A94">
        <w:t xml:space="preserve"> this may need some clarification in the PI for </w:t>
      </w:r>
      <w:r w:rsidR="008B6F3C">
        <w:t>Viekira Pak</w:t>
      </w:r>
      <w:r w:rsidRPr="00462A94">
        <w:t>.</w:t>
      </w:r>
    </w:p>
    <w:p w:rsidR="00462A94" w:rsidRPr="00462A94" w:rsidRDefault="00462A94" w:rsidP="00462A94">
      <w:pPr>
        <w:pStyle w:val="Heading6"/>
      </w:pPr>
      <w:r w:rsidRPr="00462A94">
        <w:t>Potential for virological resistance, virologic failure</w:t>
      </w:r>
    </w:p>
    <w:p w:rsidR="00462A94" w:rsidRPr="00462A94" w:rsidRDefault="00462A94" w:rsidP="00462A94">
      <w:r w:rsidRPr="00462A94">
        <w:t xml:space="preserve">The potential for virological resistance was not discussed at length in the CER. ACSOM commented that the presence of resistance-associated polymorphic forms of HCV were not predictive of therapeutic failure of </w:t>
      </w:r>
      <w:r w:rsidR="008B6F3C">
        <w:t>Viekira Pak</w:t>
      </w:r>
      <w:r w:rsidRPr="00462A94">
        <w:t xml:space="preserve"> and </w:t>
      </w:r>
      <w:r w:rsidR="008B6F3C">
        <w:t>Viekira Pak</w:t>
      </w:r>
      <w:r w:rsidR="002F4DAA">
        <w:t xml:space="preserve"> </w:t>
      </w:r>
      <w:r w:rsidRPr="00462A94">
        <w:t>RBV in clinical trials to date. However, routine clinical use will provide an opportunity for viral resistance to emerge and this should be kept under review. The FDA reviewer</w:t>
      </w:r>
      <w:r w:rsidR="002E5CB5" w:rsidRPr="002E5CB5">
        <w:rPr>
          <w:vertAlign w:val="superscript"/>
        </w:rPr>
        <w:fldChar w:fldCharType="begin"/>
      </w:r>
      <w:r w:rsidR="002E5CB5" w:rsidRPr="002E5CB5">
        <w:rPr>
          <w:vertAlign w:val="superscript"/>
        </w:rPr>
        <w:instrText xml:space="preserve"> NOTEREF _Ref473549991 \h </w:instrText>
      </w:r>
      <w:r w:rsidR="002E5CB5">
        <w:rPr>
          <w:vertAlign w:val="superscript"/>
        </w:rPr>
        <w:instrText xml:space="preserve">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1</w:t>
      </w:r>
      <w:r w:rsidR="002E5CB5" w:rsidRPr="002E5CB5">
        <w:rPr>
          <w:vertAlign w:val="superscript"/>
        </w:rPr>
        <w:fldChar w:fldCharType="end"/>
      </w:r>
      <w:r w:rsidRPr="00462A94">
        <w:t xml:space="preserve"> commented that resistance testing demonstrated </w:t>
      </w:r>
      <w:r w:rsidR="00640225">
        <w:t>treatment emergent</w:t>
      </w:r>
      <w:r w:rsidRPr="00462A94">
        <w:t xml:space="preserve"> substitutions in all three DAA targets, and that the substitutions were those expected based on preclinical virologic testing. The FDA reviewer also commented that pre-treatment screening for resistance mutations will not be required. A detailed discussion of resistance is also included in the EU review for Viekirax</w:t>
      </w:r>
      <w:proofErr w:type="gramStart"/>
      <w:r w:rsidR="002E5CB5">
        <w:t>,</w:t>
      </w:r>
      <w:proofErr w:type="gramEnd"/>
      <w:r w:rsidR="002E5CB5" w:rsidRPr="002E5CB5">
        <w:rPr>
          <w:vertAlign w:val="superscript"/>
        </w:rPr>
        <w:fldChar w:fldCharType="begin"/>
      </w:r>
      <w:r w:rsidR="002E5CB5" w:rsidRPr="002E5CB5">
        <w:rPr>
          <w:vertAlign w:val="superscript"/>
        </w:rPr>
        <w:instrText xml:space="preserve"> NOTEREF _Ref473552709 \h </w:instrText>
      </w:r>
      <w:r w:rsidR="002E5CB5">
        <w:rPr>
          <w:vertAlign w:val="superscript"/>
        </w:rPr>
        <w:instrText xml:space="preserve">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65</w:t>
      </w:r>
      <w:r w:rsidR="002E5CB5" w:rsidRPr="002E5CB5">
        <w:rPr>
          <w:vertAlign w:val="superscript"/>
        </w:rPr>
        <w:fldChar w:fldCharType="end"/>
      </w:r>
      <w:r w:rsidRPr="00462A94">
        <w:t xml:space="preserve"> </w:t>
      </w:r>
      <w:r w:rsidR="002F4DAA">
        <w:t>(</w:t>
      </w:r>
      <w:r w:rsidRPr="00462A94">
        <w:t>pp 7</w:t>
      </w:r>
      <w:r w:rsidR="00237CBE">
        <w:t>7-</w:t>
      </w:r>
      <w:r w:rsidRPr="00462A94">
        <w:t>84</w:t>
      </w:r>
      <w:r w:rsidR="002F4DAA">
        <w:t>)</w:t>
      </w:r>
      <w:r w:rsidRPr="00462A94">
        <w:t>. Note that the clinica</w:t>
      </w:r>
      <w:r w:rsidR="002F4DAA">
        <w:t>l studies concluded that in non</w:t>
      </w:r>
      <w:r w:rsidR="002F4DAA">
        <w:noBreakHyphen/>
      </w:r>
      <w:r w:rsidRPr="00462A94">
        <w:t xml:space="preserve">cirrhotic </w:t>
      </w:r>
      <w:r w:rsidR="00202E0D">
        <w:t>genotype</w:t>
      </w:r>
      <w:r w:rsidRPr="00462A94">
        <w:t xml:space="preserve">1a subjects, the addition of RBV appeared to decrease the relapse rate among those treated with </w:t>
      </w:r>
      <w:r w:rsidR="00237CBE">
        <w:t>3DAA</w:t>
      </w:r>
      <w:r w:rsidRPr="00462A94">
        <w:t xml:space="preserve"> + RBV. Among cirrhotic (treatment experienced) subjects with </w:t>
      </w:r>
      <w:r w:rsidR="00202E0D">
        <w:t>genotype</w:t>
      </w:r>
      <w:r w:rsidRPr="00462A94">
        <w:t>1a infection, the virologic failure rates were reduced with longer duration treatment.</w:t>
      </w:r>
      <w:r w:rsidR="002E5CB5" w:rsidRPr="002E5CB5">
        <w:rPr>
          <w:vertAlign w:val="superscript"/>
        </w:rPr>
        <w:fldChar w:fldCharType="begin"/>
      </w:r>
      <w:r w:rsidR="002E5CB5" w:rsidRPr="002E5CB5">
        <w:rPr>
          <w:vertAlign w:val="superscript"/>
        </w:rPr>
        <w:instrText xml:space="preserve"> NOTEREF _Ref473549991 \h </w:instrText>
      </w:r>
      <w:r w:rsidR="002E5CB5">
        <w:rPr>
          <w:vertAlign w:val="superscript"/>
        </w:rPr>
        <w:instrText xml:space="preserve">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1</w:t>
      </w:r>
      <w:r w:rsidR="002E5CB5" w:rsidRPr="002E5CB5">
        <w:rPr>
          <w:vertAlign w:val="superscript"/>
        </w:rPr>
        <w:fldChar w:fldCharType="end"/>
      </w:r>
    </w:p>
    <w:p w:rsidR="00462A94" w:rsidRPr="00462A94" w:rsidRDefault="002F4DAA" w:rsidP="00462A94">
      <w:pPr>
        <w:pStyle w:val="Heading4"/>
      </w:pPr>
      <w:r>
        <w:t>Safety</w:t>
      </w:r>
    </w:p>
    <w:p w:rsidR="00462A94" w:rsidRPr="00462A94" w:rsidRDefault="00462A94" w:rsidP="00462A94">
      <w:r w:rsidRPr="00462A94">
        <w:t xml:space="preserve">The overall safety profile of </w:t>
      </w:r>
      <w:r w:rsidR="00237CBE">
        <w:t>3DAA</w:t>
      </w:r>
      <w:r w:rsidRPr="00462A94">
        <w:t xml:space="preserve"> with or without RBV was clearly superior to any other approved pegIFN/RBV or DAA + pegIFN/RBV combination therapy.</w:t>
      </w:r>
    </w:p>
    <w:p w:rsidR="00462A94" w:rsidRPr="00462A94" w:rsidRDefault="00462A94" w:rsidP="00462A94">
      <w:r w:rsidRPr="00462A94">
        <w:lastRenderedPageBreak/>
        <w:t>It expected that the majority of Australian patients will need to take with ribavirin, which carries a risk of haemolytic anaemia.</w:t>
      </w:r>
    </w:p>
    <w:p w:rsidR="00462A94" w:rsidRPr="00462A94" w:rsidRDefault="00462A94" w:rsidP="00462A94">
      <w:r w:rsidRPr="00462A94">
        <w:t>The FDA Summary Review</w:t>
      </w:r>
      <w:r w:rsidR="002E5CB5" w:rsidRPr="002E5CB5">
        <w:rPr>
          <w:vertAlign w:val="superscript"/>
        </w:rPr>
        <w:fldChar w:fldCharType="begin"/>
      </w:r>
      <w:r w:rsidR="002E5CB5" w:rsidRPr="002E5CB5">
        <w:rPr>
          <w:vertAlign w:val="superscript"/>
        </w:rPr>
        <w:instrText xml:space="preserve"> NOTEREF _Ref473549299 \h </w:instrText>
      </w:r>
      <w:r w:rsidR="002E5CB5">
        <w:rPr>
          <w:vertAlign w:val="superscript"/>
        </w:rPr>
        <w:instrText xml:space="preserve">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64</w:t>
      </w:r>
      <w:r w:rsidR="002E5CB5" w:rsidRPr="002E5CB5">
        <w:rPr>
          <w:vertAlign w:val="superscript"/>
        </w:rPr>
        <w:fldChar w:fldCharType="end"/>
      </w:r>
      <w:r w:rsidRPr="00462A94">
        <w:t xml:space="preserve"> highlighted five pertinent clinical pharmacology issues for </w:t>
      </w:r>
      <w:r w:rsidR="008B6F3C">
        <w:t>Viekira Pak</w:t>
      </w:r>
      <w:r w:rsidRPr="00462A94">
        <w:t>, relevant to safety:</w:t>
      </w:r>
    </w:p>
    <w:p w:rsidR="00462A94" w:rsidRPr="00462A94" w:rsidRDefault="002F4DAA" w:rsidP="002F4DAA">
      <w:pPr>
        <w:pStyle w:val="Numberbullet0"/>
        <w:numPr>
          <w:ilvl w:val="0"/>
          <w:numId w:val="19"/>
        </w:numPr>
      </w:pPr>
      <w:r>
        <w:t xml:space="preserve">An exposure </w:t>
      </w:r>
      <w:r w:rsidR="00462A94" w:rsidRPr="00462A94">
        <w:t>response relationship for paritaprevir for transaminase elevati</w:t>
      </w:r>
      <w:r>
        <w:t>ons and other safety parameters</w:t>
      </w:r>
    </w:p>
    <w:p w:rsidR="00462A94" w:rsidRPr="00462A94" w:rsidRDefault="002F4DAA" w:rsidP="002F4DAA">
      <w:pPr>
        <w:pStyle w:val="Numberbullet0"/>
        <w:numPr>
          <w:ilvl w:val="0"/>
          <w:numId w:val="19"/>
        </w:numPr>
      </w:pPr>
      <w:r>
        <w:t>Food effect</w:t>
      </w:r>
    </w:p>
    <w:p w:rsidR="00462A94" w:rsidRPr="00462A94" w:rsidRDefault="00462A94" w:rsidP="002F4DAA">
      <w:pPr>
        <w:pStyle w:val="Numberbullet0"/>
        <w:numPr>
          <w:ilvl w:val="0"/>
          <w:numId w:val="19"/>
        </w:numPr>
      </w:pPr>
      <w:r w:rsidRPr="00462A94">
        <w:t>Increased exp</w:t>
      </w:r>
      <w:r w:rsidR="002F4DAA">
        <w:t>osures with hepatic impairment</w:t>
      </w:r>
    </w:p>
    <w:p w:rsidR="00462A94" w:rsidRPr="00462A94" w:rsidRDefault="00462A94" w:rsidP="002F4DAA">
      <w:pPr>
        <w:pStyle w:val="Numberbullet0"/>
        <w:numPr>
          <w:ilvl w:val="0"/>
          <w:numId w:val="19"/>
        </w:numPr>
      </w:pPr>
      <w:r w:rsidRPr="00462A94">
        <w:t>Multiple drug-drug interaction</w:t>
      </w:r>
      <w:r w:rsidR="002F4DAA">
        <w:t>s, and</w:t>
      </w:r>
    </w:p>
    <w:p w:rsidR="00462A94" w:rsidRPr="00462A94" w:rsidRDefault="00462A94" w:rsidP="002F4DAA">
      <w:pPr>
        <w:pStyle w:val="Numberbullet0"/>
        <w:numPr>
          <w:ilvl w:val="0"/>
          <w:numId w:val="19"/>
        </w:numPr>
      </w:pPr>
      <w:r w:rsidRPr="00462A94">
        <w:t>A drug-</w:t>
      </w:r>
      <w:r w:rsidR="002F4DAA">
        <w:t xml:space="preserve">drug interaction with oestrogen </w:t>
      </w:r>
      <w:r w:rsidRPr="00462A94">
        <w:t>based oral contraceptives (of unknown mechanism)</w:t>
      </w:r>
      <w:r w:rsidR="002F4DAA">
        <w:t>,</w:t>
      </w:r>
      <w:r w:rsidRPr="00462A94">
        <w:t xml:space="preserve"> that increases the frequency of transaminase elevations.</w:t>
      </w:r>
    </w:p>
    <w:p w:rsidR="00462A94" w:rsidRPr="00462A94" w:rsidRDefault="00462A94" w:rsidP="00462A94">
      <w:r w:rsidRPr="00462A94">
        <w:t xml:space="preserve">It is this Delegate’s view that </w:t>
      </w:r>
      <w:r w:rsidR="008B6F3C">
        <w:t>Viekira Pak</w:t>
      </w:r>
      <w:r w:rsidRPr="00462A94">
        <w:t xml:space="preserve"> and </w:t>
      </w:r>
      <w:r w:rsidR="008B6F3C">
        <w:t>Viekira Pak</w:t>
      </w:r>
      <w:r w:rsidRPr="00462A94">
        <w:t xml:space="preserve"> RBV will be prescribed by appropriately qualified specialists.</w:t>
      </w:r>
      <w:r w:rsidR="008B6F3C">
        <w:t xml:space="preserve"> </w:t>
      </w:r>
      <w:r w:rsidRPr="00462A94">
        <w:t>These matters can be handled appropriately by having adequate and well formatted information in the Product Information coupled with some risk minimisation activities directed at prescribers and patients.</w:t>
      </w:r>
    </w:p>
    <w:p w:rsidR="00462A94" w:rsidRPr="00462A94" w:rsidRDefault="00462A94" w:rsidP="00462A94">
      <w:r w:rsidRPr="00462A94">
        <w:t xml:space="preserve">While </w:t>
      </w:r>
      <w:r w:rsidR="008B6F3C">
        <w:t>Viekira Pak</w:t>
      </w:r>
      <w:r w:rsidRPr="00462A94">
        <w:t xml:space="preserve"> and </w:t>
      </w:r>
      <w:r w:rsidR="008B6F3C">
        <w:t>Viekira Pak</w:t>
      </w:r>
      <w:r w:rsidRPr="00462A94">
        <w:t xml:space="preserve"> RBV may cause transaminitis and </w:t>
      </w:r>
      <w:r w:rsidR="002F4DAA" w:rsidRPr="00462A94">
        <w:t>hyperbilirubinaemia</w:t>
      </w:r>
      <w:r w:rsidRPr="00462A94">
        <w:t xml:space="preserve"> (the latter attributable to </w:t>
      </w:r>
      <w:r w:rsidR="00F573D0">
        <w:t>paritaprevir</w:t>
      </w:r>
      <w:r w:rsidRPr="00462A94">
        <w:t xml:space="preserve"> inhibition of the bilirubin transporter OATP1B1 and augmented when given with RBV), an association with progression to serious drug-induced liver disease including hepatic failure has not been established.</w:t>
      </w:r>
      <w:r w:rsidR="002E5CB5" w:rsidRPr="002E5CB5">
        <w:rPr>
          <w:vertAlign w:val="superscript"/>
        </w:rPr>
        <w:fldChar w:fldCharType="begin"/>
      </w:r>
      <w:r w:rsidR="002E5CB5" w:rsidRPr="002E5CB5">
        <w:rPr>
          <w:vertAlign w:val="superscript"/>
        </w:rPr>
        <w:instrText xml:space="preserve"> NOTEREF _Ref473552709 \h </w:instrText>
      </w:r>
      <w:r w:rsidR="002E5CB5">
        <w:rPr>
          <w:vertAlign w:val="superscript"/>
        </w:rPr>
        <w:instrText xml:space="preserve">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65</w:t>
      </w:r>
      <w:r w:rsidR="002E5CB5" w:rsidRPr="002E5CB5">
        <w:rPr>
          <w:vertAlign w:val="superscript"/>
        </w:rPr>
        <w:fldChar w:fldCharType="end"/>
      </w:r>
    </w:p>
    <w:p w:rsidR="00462A94" w:rsidRPr="00462A94" w:rsidRDefault="00462A94" w:rsidP="00462A94">
      <w:r w:rsidRPr="00462A94">
        <w:t xml:space="preserve">The clinical evaluator commented that there were no direct comparisons of </w:t>
      </w:r>
      <w:r w:rsidR="00237CBE">
        <w:t>3DAA</w:t>
      </w:r>
      <w:r w:rsidRPr="00462A94">
        <w:t xml:space="preserve"> and placebo in a </w:t>
      </w:r>
      <w:r w:rsidR="00F201F8">
        <w:t>Phase III</w:t>
      </w:r>
      <w:r w:rsidRPr="00462A94">
        <w:t xml:space="preserve"> study and that safety has not been compared with other DAAs. With respect to serious skin related reactions, it is notable that there was a</w:t>
      </w:r>
      <w:r w:rsidR="002F4DAA">
        <w:t xml:space="preserve"> lack of severe or serious rash </w:t>
      </w:r>
      <w:r w:rsidRPr="00462A94">
        <w:t>related events in the pivotal studies. Most events were reversible</w:t>
      </w:r>
      <w:r w:rsidR="002F4DAA">
        <w:t xml:space="preserve"> and mild in severity.</w:t>
      </w:r>
    </w:p>
    <w:p w:rsidR="00462A94" w:rsidRPr="00462A94" w:rsidRDefault="00462A94" w:rsidP="00462A94">
      <w:pPr>
        <w:pStyle w:val="Heading5"/>
      </w:pPr>
      <w:r w:rsidRPr="00462A94">
        <w:t>Deaths and serious adverse events</w:t>
      </w:r>
    </w:p>
    <w:p w:rsidR="00462A94" w:rsidRPr="00462A94" w:rsidRDefault="00462A94" w:rsidP="00462A94">
      <w:r w:rsidRPr="00462A94">
        <w:t xml:space="preserve">The frequency of SAEs was low in all patient groups. Few SAEs and no deaths were attributed to </w:t>
      </w:r>
      <w:r w:rsidR="00237CBE">
        <w:t>3DAA</w:t>
      </w:r>
      <w:r w:rsidRPr="00462A94">
        <w:t xml:space="preserve"> by the investigators. The clinical evaluator commented that patients with significant co-mo</w:t>
      </w:r>
      <w:r w:rsidR="002F4DAA">
        <w:t xml:space="preserve">rbidities in the largely middle </w:t>
      </w:r>
      <w:r w:rsidRPr="00462A94">
        <w:t xml:space="preserve">aged population were excluded and the tolerability in real world patients may prove to be less, but the safety profile of </w:t>
      </w:r>
      <w:r w:rsidR="00237CBE">
        <w:t>3DAA</w:t>
      </w:r>
      <w:r w:rsidRPr="00462A94">
        <w:t xml:space="preserve"> in the </w:t>
      </w:r>
      <w:r w:rsidR="00F201F8">
        <w:t>Phase III</w:t>
      </w:r>
      <w:r w:rsidRPr="00462A94">
        <w:t xml:space="preserve"> st</w:t>
      </w:r>
      <w:r w:rsidR="002F4DAA">
        <w:t>udies was strongly encouraging.</w:t>
      </w:r>
    </w:p>
    <w:p w:rsidR="00462A94" w:rsidRPr="00462A94" w:rsidRDefault="00462A94" w:rsidP="00462A94">
      <w:r w:rsidRPr="00462A94">
        <w:t xml:space="preserve">Given the lack of post-marketing data currently available, as part of the pre-ACPM response, the sponsor has been requested to update the total number of patients exposed to </w:t>
      </w:r>
      <w:r w:rsidR="008B6F3C">
        <w:t>Viekira Pak</w:t>
      </w:r>
      <w:r w:rsidRPr="00462A94">
        <w:t xml:space="preserve"> and </w:t>
      </w:r>
      <w:r w:rsidR="008B6F3C">
        <w:t>Viekira Pak</w:t>
      </w:r>
      <w:r w:rsidR="002F4DAA">
        <w:t xml:space="preserve"> </w:t>
      </w:r>
      <w:r w:rsidRPr="00462A94">
        <w:t>RBV and to report any new safety issues which have arisen, particularly serious adverse events or serious consequences of drug/drug interactions. A report of the compassionate use program in Australia for the use of these agents (including the number of patients supplied, details of adverse events) has also been requested.</w:t>
      </w:r>
    </w:p>
    <w:p w:rsidR="008E7846" w:rsidRDefault="00386150" w:rsidP="007B6132">
      <w:pPr>
        <w:pStyle w:val="Heading3"/>
        <w:rPr>
          <w:lang w:eastAsia="en-AU"/>
        </w:rPr>
      </w:pPr>
      <w:bookmarkStart w:id="216" w:name="_Toc480811597"/>
      <w:r>
        <w:rPr>
          <w:lang w:eastAsia="en-AU"/>
        </w:rPr>
        <w:t>Risk m</w:t>
      </w:r>
      <w:r w:rsidR="008E7846">
        <w:rPr>
          <w:lang w:eastAsia="en-AU"/>
        </w:rPr>
        <w:t xml:space="preserve">anagement </w:t>
      </w:r>
      <w:r>
        <w:rPr>
          <w:lang w:eastAsia="en-AU"/>
        </w:rPr>
        <w:t>p</w:t>
      </w:r>
      <w:r w:rsidR="008E7846">
        <w:rPr>
          <w:lang w:eastAsia="en-AU"/>
        </w:rPr>
        <w:t>lan</w:t>
      </w:r>
      <w:bookmarkEnd w:id="206"/>
      <w:bookmarkEnd w:id="216"/>
    </w:p>
    <w:p w:rsidR="00462A94" w:rsidRPr="002F4DAA" w:rsidRDefault="00462A94" w:rsidP="00462A94">
      <w:pPr>
        <w:pStyle w:val="Heading4"/>
      </w:pPr>
      <w:r w:rsidRPr="003F08CF">
        <w:t>RMP evaluation</w:t>
      </w:r>
      <w:r>
        <w:t xml:space="preserve"> and ACSOM advice</w:t>
      </w:r>
    </w:p>
    <w:p w:rsidR="00462A94" w:rsidRDefault="00462A94" w:rsidP="00462A94">
      <w:pPr>
        <w:spacing w:before="0" w:after="0" w:line="240" w:lineRule="auto"/>
        <w:rPr>
          <w:rFonts w:asciiTheme="minorHAnsi" w:hAnsiTheme="minorHAnsi"/>
        </w:rPr>
      </w:pPr>
      <w:r>
        <w:rPr>
          <w:rFonts w:asciiTheme="minorHAnsi" w:hAnsiTheme="minorHAnsi"/>
        </w:rPr>
        <w:t xml:space="preserve">Following advice from ACSOM (13 February 2015) the Round 2 </w:t>
      </w:r>
      <w:r w:rsidR="002F4DAA">
        <w:rPr>
          <w:rFonts w:asciiTheme="minorHAnsi" w:hAnsiTheme="minorHAnsi"/>
        </w:rPr>
        <w:t>RMP</w:t>
      </w:r>
      <w:r>
        <w:rPr>
          <w:rFonts w:asciiTheme="minorHAnsi" w:hAnsiTheme="minorHAnsi"/>
        </w:rPr>
        <w:t xml:space="preserve"> reports were provided as separate documents for </w:t>
      </w:r>
      <w:r w:rsidR="008B6F3C">
        <w:rPr>
          <w:rFonts w:asciiTheme="minorHAnsi" w:hAnsiTheme="minorHAnsi"/>
        </w:rPr>
        <w:t>Viekira Pak</w:t>
      </w:r>
      <w:r w:rsidRPr="00A16631">
        <w:t xml:space="preserve"> </w:t>
      </w:r>
      <w:r>
        <w:t>(</w:t>
      </w:r>
      <w:r w:rsidRPr="00A16631">
        <w:rPr>
          <w:rFonts w:asciiTheme="minorHAnsi" w:hAnsiTheme="minorHAnsi"/>
        </w:rPr>
        <w:t>PM-2014-01436-1-2</w:t>
      </w:r>
      <w:r>
        <w:rPr>
          <w:rFonts w:asciiTheme="minorHAnsi" w:hAnsiTheme="minorHAnsi"/>
        </w:rPr>
        <w:t>)</w:t>
      </w:r>
      <w:r w:rsidRPr="00A16631">
        <w:rPr>
          <w:rFonts w:asciiTheme="minorHAnsi" w:hAnsiTheme="minorHAnsi"/>
        </w:rPr>
        <w:t xml:space="preserve"> and </w:t>
      </w:r>
      <w:r w:rsidR="008B6F3C">
        <w:rPr>
          <w:rFonts w:asciiTheme="minorHAnsi" w:hAnsiTheme="minorHAnsi"/>
        </w:rPr>
        <w:t>Viekira Pak</w:t>
      </w:r>
      <w:r w:rsidRPr="00A16631">
        <w:rPr>
          <w:rFonts w:asciiTheme="minorHAnsi" w:hAnsiTheme="minorHAnsi"/>
        </w:rPr>
        <w:t xml:space="preserve"> RBV</w:t>
      </w:r>
      <w:r w:rsidRPr="00A16631">
        <w:t xml:space="preserve"> </w:t>
      </w:r>
      <w:r>
        <w:t>(</w:t>
      </w:r>
      <w:r>
        <w:rPr>
          <w:rFonts w:asciiTheme="minorHAnsi" w:hAnsiTheme="minorHAnsi"/>
        </w:rPr>
        <w:t>PM-2014-01438</w:t>
      </w:r>
      <w:r w:rsidRPr="00A16631">
        <w:rPr>
          <w:rFonts w:asciiTheme="minorHAnsi" w:hAnsiTheme="minorHAnsi"/>
        </w:rPr>
        <w:t>-1-2</w:t>
      </w:r>
      <w:r>
        <w:rPr>
          <w:rFonts w:asciiTheme="minorHAnsi" w:hAnsiTheme="minorHAnsi"/>
        </w:rPr>
        <w:t>) respectively.</w:t>
      </w:r>
    </w:p>
    <w:p w:rsidR="003566FC" w:rsidRDefault="00462A94" w:rsidP="00462A94">
      <w:pPr>
        <w:spacing w:before="0" w:after="0" w:line="240" w:lineRule="auto"/>
        <w:rPr>
          <w:rFonts w:asciiTheme="minorHAnsi" w:hAnsiTheme="minorHAnsi"/>
        </w:rPr>
      </w:pPr>
      <w:r>
        <w:rPr>
          <w:rFonts w:asciiTheme="minorHAnsi" w:hAnsiTheme="minorHAnsi"/>
        </w:rPr>
        <w:t xml:space="preserve">The recommendations concerning outstanding issues for both submissions were satisfactorily addressed with the </w:t>
      </w:r>
      <w:r w:rsidR="002F4DAA">
        <w:rPr>
          <w:rFonts w:asciiTheme="minorHAnsi" w:hAnsiTheme="minorHAnsi"/>
        </w:rPr>
        <w:t>r</w:t>
      </w:r>
      <w:r>
        <w:rPr>
          <w:rFonts w:asciiTheme="minorHAnsi" w:hAnsiTheme="minorHAnsi"/>
        </w:rPr>
        <w:t xml:space="preserve">esponse to </w:t>
      </w:r>
      <w:r w:rsidR="002F4DAA">
        <w:rPr>
          <w:rFonts w:asciiTheme="minorHAnsi" w:hAnsiTheme="minorHAnsi"/>
        </w:rPr>
        <w:t>the first round</w:t>
      </w:r>
      <w:r>
        <w:rPr>
          <w:rFonts w:asciiTheme="minorHAnsi" w:hAnsiTheme="minorHAnsi"/>
        </w:rPr>
        <w:t xml:space="preserve"> reports (29 April 2015), with the exception of the wording in relation reporting</w:t>
      </w:r>
      <w:r w:rsidR="002F4DAA">
        <w:rPr>
          <w:rFonts w:asciiTheme="minorHAnsi" w:hAnsiTheme="minorHAnsi"/>
        </w:rPr>
        <w:t xml:space="preserve"> of adverse reactions in the PI.</w:t>
      </w:r>
    </w:p>
    <w:p w:rsidR="00462A94" w:rsidRPr="00DE46D4" w:rsidRDefault="00462A94" w:rsidP="00462A94">
      <w:pPr>
        <w:spacing w:before="0" w:after="0" w:line="240" w:lineRule="auto"/>
        <w:rPr>
          <w:rFonts w:eastAsiaTheme="minorHAnsi" w:cs="Cambria"/>
        </w:rPr>
      </w:pPr>
      <w:r>
        <w:rPr>
          <w:rFonts w:eastAsiaTheme="minorHAnsi" w:cs="Cambria"/>
        </w:rPr>
        <w:lastRenderedPageBreak/>
        <w:t>The RMP evaluator recommended</w:t>
      </w:r>
      <w:r w:rsidRPr="00DE46D4">
        <w:rPr>
          <w:rFonts w:eastAsiaTheme="minorHAnsi" w:cs="Cambria"/>
        </w:rPr>
        <w:t xml:space="preserve"> to the Delegate that the PI statement 'pruritis was the</w:t>
      </w:r>
      <w:r>
        <w:rPr>
          <w:rFonts w:eastAsiaTheme="minorHAnsi" w:cs="Cambria"/>
        </w:rPr>
        <w:t xml:space="preserve"> </w:t>
      </w:r>
      <w:r w:rsidRPr="00DE46D4">
        <w:rPr>
          <w:rFonts w:eastAsiaTheme="minorHAnsi" w:cs="Cambria"/>
        </w:rPr>
        <w:t xml:space="preserve">only identified adverse reaction' should be placed in context </w:t>
      </w:r>
      <w:r w:rsidR="005B05BF">
        <w:rPr>
          <w:rFonts w:eastAsiaTheme="minorHAnsi" w:cs="Cambria"/>
        </w:rPr>
        <w:t>that is</w:t>
      </w:r>
      <w:r w:rsidRPr="00DE46D4">
        <w:rPr>
          <w:rFonts w:eastAsiaTheme="minorHAnsi" w:cs="Cambria"/>
        </w:rPr>
        <w:t xml:space="preserve"> at the 5% level as this</w:t>
      </w:r>
    </w:p>
    <w:p w:rsidR="00462A94" w:rsidRPr="00DE46D4" w:rsidRDefault="00462A94" w:rsidP="00462A94">
      <w:pPr>
        <w:autoSpaceDE w:val="0"/>
        <w:autoSpaceDN w:val="0"/>
        <w:spacing w:before="0" w:after="0" w:line="240" w:lineRule="auto"/>
        <w:rPr>
          <w:rFonts w:eastAsiaTheme="minorHAnsi" w:cs="Cambria"/>
        </w:rPr>
      </w:pPr>
      <w:proofErr w:type="gramStart"/>
      <w:r w:rsidRPr="00DE46D4">
        <w:rPr>
          <w:rFonts w:eastAsiaTheme="minorHAnsi" w:cs="Cambria"/>
        </w:rPr>
        <w:t>statement</w:t>
      </w:r>
      <w:proofErr w:type="gramEnd"/>
      <w:r w:rsidRPr="00DE46D4">
        <w:rPr>
          <w:rFonts w:eastAsiaTheme="minorHAnsi" w:cs="Cambria"/>
        </w:rPr>
        <w:t xml:space="preserve"> implies that there were no other treatment‐emergent adverse reactions to</w:t>
      </w:r>
    </w:p>
    <w:p w:rsidR="008E7846" w:rsidRPr="00462A94" w:rsidRDefault="00462A94" w:rsidP="00462A94">
      <w:pPr>
        <w:autoSpaceDE w:val="0"/>
        <w:autoSpaceDN w:val="0"/>
        <w:spacing w:before="0" w:after="0" w:line="240" w:lineRule="auto"/>
        <w:rPr>
          <w:rFonts w:eastAsiaTheme="minorHAnsi" w:cs="Cambria"/>
        </w:rPr>
      </w:pPr>
      <w:proofErr w:type="gramStart"/>
      <w:r w:rsidRPr="00DE46D4">
        <w:rPr>
          <w:rFonts w:eastAsiaTheme="minorHAnsi" w:cs="Cambria"/>
        </w:rPr>
        <w:t>Viekira Pak with higher rates than placebo</w:t>
      </w:r>
      <w:r>
        <w:rPr>
          <w:rFonts w:eastAsiaTheme="minorHAnsi" w:cs="Cambria"/>
        </w:rPr>
        <w:t>.</w:t>
      </w:r>
      <w:proofErr w:type="gramEnd"/>
      <w:r w:rsidR="008B6F3C">
        <w:rPr>
          <w:rFonts w:eastAsiaTheme="minorHAnsi" w:cs="Cambria"/>
        </w:rPr>
        <w:t xml:space="preserve"> </w:t>
      </w:r>
      <w:r>
        <w:rPr>
          <w:rFonts w:eastAsiaTheme="minorHAnsi" w:cs="Cambria"/>
        </w:rPr>
        <w:t xml:space="preserve">The revised wording </w:t>
      </w:r>
      <w:r w:rsidR="002F4DAA">
        <w:rPr>
          <w:rFonts w:eastAsiaTheme="minorHAnsi" w:cs="Cambria"/>
        </w:rPr>
        <w:t>proposed by the sponsor required</w:t>
      </w:r>
      <w:r>
        <w:rPr>
          <w:rFonts w:eastAsiaTheme="minorHAnsi" w:cs="Cambria"/>
        </w:rPr>
        <w:t xml:space="preserve"> a minor amendment.</w:t>
      </w:r>
    </w:p>
    <w:p w:rsidR="008E7846" w:rsidRDefault="00AA0ED0" w:rsidP="008E7846">
      <w:pPr>
        <w:pStyle w:val="Heading3"/>
      </w:pPr>
      <w:bookmarkStart w:id="217" w:name="_Toc247691531"/>
      <w:bookmarkStart w:id="218" w:name="_Toc314842515"/>
      <w:bookmarkStart w:id="219" w:name="_Toc480811598"/>
      <w:bookmarkStart w:id="220" w:name="_Toc196046505"/>
      <w:bookmarkStart w:id="221" w:name="_Toc196046949"/>
      <w:r>
        <w:t>Risk-benefit a</w:t>
      </w:r>
      <w:r w:rsidR="008E7846">
        <w:t>nalysis</w:t>
      </w:r>
      <w:bookmarkEnd w:id="217"/>
      <w:bookmarkEnd w:id="218"/>
      <w:bookmarkEnd w:id="219"/>
    </w:p>
    <w:p w:rsidR="00D23139" w:rsidRDefault="00462A94" w:rsidP="00D23139">
      <w:pPr>
        <w:pStyle w:val="Heading4"/>
      </w:pPr>
      <w:r>
        <w:t>Delegate’s considerations</w:t>
      </w:r>
    </w:p>
    <w:p w:rsidR="00462A94" w:rsidRPr="00462A94" w:rsidRDefault="00462A94" w:rsidP="00462A94">
      <w:pPr>
        <w:pStyle w:val="Heading5"/>
      </w:pPr>
      <w:r w:rsidRPr="00462A94">
        <w:t>Discussion</w:t>
      </w:r>
    </w:p>
    <w:p w:rsidR="00462A94" w:rsidRPr="00462A94" w:rsidRDefault="00462A94" w:rsidP="00462A94">
      <w:r w:rsidRPr="00462A94">
        <w:t xml:space="preserve">This submission is unique, given the consideration of three new chemical entities for registration. Efficacy has been clearly demonstrated and represents a considerable advance over previous therapies. Safety is </w:t>
      </w:r>
      <w:r w:rsidR="002F4DAA" w:rsidRPr="00462A94">
        <w:t>acceptable;</w:t>
      </w:r>
      <w:r w:rsidRPr="00462A94">
        <w:t xml:space="preserve"> however the potential for drug-drug interactions is a major consideration. Clear recommendations to prescribers, pharmacists and patients are required in the PI and CMI and through the proposed education programmes.</w:t>
      </w:r>
    </w:p>
    <w:p w:rsidR="00462A94" w:rsidRPr="00462A94" w:rsidRDefault="00462A94" w:rsidP="00462A94">
      <w:r w:rsidRPr="00462A94">
        <w:t xml:space="preserve">The current format of the Australian Product Information differs from that of the European </w:t>
      </w:r>
      <w:r w:rsidR="002F4DAA">
        <w:t>SmPC</w:t>
      </w:r>
      <w:r w:rsidRPr="00462A94">
        <w:t xml:space="preserve">, the US Prescribing Information and the Canadian Product Monograph, as separate PIs are proposed by the TGA for </w:t>
      </w:r>
      <w:r w:rsidR="008B6F3C">
        <w:t>Viekira Pak</w:t>
      </w:r>
      <w:r w:rsidRPr="00462A94">
        <w:t xml:space="preserve"> and </w:t>
      </w:r>
      <w:r w:rsidR="008B6F3C">
        <w:t>Viekira Pak</w:t>
      </w:r>
      <w:r w:rsidRPr="00462A94">
        <w:t xml:space="preserve">-RBV (given the difference in pregnancy categorisation for ribavirin). This has implications for the presentation of the PI and the different patient populations for which </w:t>
      </w:r>
      <w:r w:rsidR="008B6F3C">
        <w:t>Viekira Pak</w:t>
      </w:r>
      <w:r w:rsidRPr="00462A94">
        <w:t xml:space="preserve"> and </w:t>
      </w:r>
      <w:r w:rsidR="008B6F3C">
        <w:t>Viekira Pak</w:t>
      </w:r>
      <w:r w:rsidRPr="00462A94">
        <w:t xml:space="preserve">-RBV are respectively recommended. The Delegate feels that clearer guidance is needed for the </w:t>
      </w:r>
      <w:r w:rsidR="008B6F3C">
        <w:t>Viekira Pak</w:t>
      </w:r>
      <w:r w:rsidRPr="00462A94">
        <w:t xml:space="preserve"> PI, given it is currently recommended for </w:t>
      </w:r>
      <w:r w:rsidR="00202E0D">
        <w:t>genotype</w:t>
      </w:r>
      <w:r w:rsidRPr="00462A94">
        <w:t xml:space="preserve">1b only. Inclusion of dosing information related to ribavirin in the </w:t>
      </w:r>
      <w:r w:rsidR="008B6F3C">
        <w:t>Viekira Pak</w:t>
      </w:r>
      <w:r w:rsidRPr="00462A94">
        <w:t xml:space="preserve"> PI may need to be reconsidered, as it may cause confusion for prescribers.</w:t>
      </w:r>
    </w:p>
    <w:p w:rsidR="00462A94" w:rsidRPr="00462A94" w:rsidRDefault="00462A94" w:rsidP="00462A94">
      <w:r w:rsidRPr="00462A94">
        <w:t xml:space="preserve">Studies have been conducted in a predominantly white male </w:t>
      </w:r>
      <w:r w:rsidR="002E5CB5" w:rsidRPr="00462A94">
        <w:t>population;</w:t>
      </w:r>
      <w:r w:rsidRPr="00462A94">
        <w:t xml:space="preserve"> results have been presented for 12 week outcomes only, with 48 week outcomes awaited. Results have been compared to historical control rates with telaprevir and pegylated interferon/ribavirin therapy. While unconventional, this is deemed acceptable given the challenges blinding an injectable medication and the well-known side effects of pegylated interferon/ribavirin.</w:t>
      </w:r>
    </w:p>
    <w:p w:rsidR="00462A94" w:rsidRPr="00462A94" w:rsidRDefault="00462A94" w:rsidP="00462A94">
      <w:r w:rsidRPr="00462A94">
        <w:t>ACSOM noted that clinical trial exclusion criteria had been applied to patients with advanced disease, co-infection, co-morbidity and concomitant medication, resulting in a limited dataset on which to comment. Specifically, data were not presented for patients with HIV co-infection or in post-transplant settings although overseas evaluation reports confirm these studies have been conducted</w:t>
      </w:r>
      <w:r w:rsidR="002E5CB5">
        <w:t xml:space="preserve">. </w:t>
      </w:r>
      <w:r w:rsidR="002E5CB5" w:rsidRPr="002E5CB5">
        <w:rPr>
          <w:vertAlign w:val="superscript"/>
        </w:rPr>
        <w:fldChar w:fldCharType="begin"/>
      </w:r>
      <w:r w:rsidR="002E5CB5" w:rsidRPr="002E5CB5">
        <w:rPr>
          <w:vertAlign w:val="superscript"/>
        </w:rPr>
        <w:instrText xml:space="preserve"> NOTEREF _Ref473549991 \h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1</w:t>
      </w:r>
      <w:r w:rsidR="002E5CB5" w:rsidRPr="002E5CB5">
        <w:rPr>
          <w:vertAlign w:val="superscript"/>
        </w:rPr>
        <w:fldChar w:fldCharType="end"/>
      </w:r>
      <w:proofErr w:type="gramStart"/>
      <w:r w:rsidR="002E5CB5">
        <w:t>,</w:t>
      </w:r>
      <w:proofErr w:type="gramEnd"/>
      <w:r w:rsidR="002E5CB5" w:rsidRPr="002E5CB5">
        <w:rPr>
          <w:vertAlign w:val="superscript"/>
        </w:rPr>
        <w:fldChar w:fldCharType="begin"/>
      </w:r>
      <w:r w:rsidR="002E5CB5" w:rsidRPr="002E5CB5">
        <w:rPr>
          <w:vertAlign w:val="superscript"/>
        </w:rPr>
        <w:instrText xml:space="preserve"> NOTEREF _Ref473552709 \h  \* MERGEFORMAT </w:instrText>
      </w:r>
      <w:r w:rsidR="002E5CB5" w:rsidRPr="002E5CB5">
        <w:rPr>
          <w:vertAlign w:val="superscript"/>
        </w:rPr>
      </w:r>
      <w:r w:rsidR="002E5CB5" w:rsidRPr="002E5CB5">
        <w:rPr>
          <w:vertAlign w:val="superscript"/>
        </w:rPr>
        <w:fldChar w:fldCharType="separate"/>
      </w:r>
      <w:r w:rsidR="002E5CB5" w:rsidRPr="002E5CB5">
        <w:rPr>
          <w:vertAlign w:val="superscript"/>
        </w:rPr>
        <w:t>65</w:t>
      </w:r>
      <w:r w:rsidR="002E5CB5" w:rsidRPr="002E5CB5">
        <w:rPr>
          <w:vertAlign w:val="superscript"/>
        </w:rPr>
        <w:fldChar w:fldCharType="end"/>
      </w:r>
      <w:r w:rsidRPr="00462A94">
        <w:t xml:space="preserve"> The sponsor is requested to provide an update of these studies and their intentions for Australia with the pre-ACPM response.</w:t>
      </w:r>
    </w:p>
    <w:p w:rsidR="00462A94" w:rsidRPr="00462A94" w:rsidRDefault="00462A94" w:rsidP="00462A94">
      <w:r w:rsidRPr="00462A94">
        <w:t xml:space="preserve">Given the paucity of post-marketing data currently available, as part of the pre-ACPM response, the sponsor has been requested to update the total number of patients exposed to </w:t>
      </w:r>
      <w:r w:rsidR="008B6F3C">
        <w:t>Viekira Pak</w:t>
      </w:r>
      <w:r w:rsidRPr="00462A94">
        <w:t xml:space="preserve"> and </w:t>
      </w:r>
      <w:r w:rsidR="008B6F3C">
        <w:t>Viekira Pak</w:t>
      </w:r>
      <w:r w:rsidRPr="00462A94">
        <w:t>-RBV and to report any new safety issues which have arisen, particularly serious adverse events or serious consequences of drug/drug interactions. A report of the compassionate use program in Australia for the use of these agents has also been requested and will require comment by ACPM.</w:t>
      </w:r>
    </w:p>
    <w:p w:rsidR="00462A94" w:rsidRDefault="00462A94" w:rsidP="00462A94">
      <w:r w:rsidRPr="00462A94">
        <w:t xml:space="preserve">Subject to advice from ACPM and resolution of the product information, the Delegate proposes to register </w:t>
      </w:r>
      <w:r w:rsidR="008B6F3C">
        <w:t>Viekira Pak</w:t>
      </w:r>
      <w:r w:rsidRPr="00462A94">
        <w:t xml:space="preserve"> combination therapy pack and </w:t>
      </w:r>
      <w:r w:rsidR="008B6F3C">
        <w:t>Viekira Pak</w:t>
      </w:r>
      <w:r w:rsidRPr="00462A94">
        <w:t xml:space="preserve">-RBV combination therapy pack for the for the treatment of genotype 1 chronic hepatitis C infection, including patients with compensated cirrhosis. Duration of therapy and addition of ribavirin are dependent on patient population. Registration is subject to implementation of the RMP (in EU-RMP format) Version 1.2 (dated February 2015, DLP 24 January 2014) and Australian Specific Annex (ASA) Version 1.2 (dated February 2015), any future updates as a condition of registration and resolution of the </w:t>
      </w:r>
      <w:r w:rsidR="003677DD">
        <w:t>PI</w:t>
      </w:r>
      <w:r w:rsidRPr="00462A94">
        <w:t>.</w:t>
      </w:r>
    </w:p>
    <w:p w:rsidR="00E62BA7" w:rsidRDefault="00E62BA7" w:rsidP="00E62BA7">
      <w:pPr>
        <w:pStyle w:val="Heading5"/>
      </w:pPr>
      <w:r>
        <w:lastRenderedPageBreak/>
        <w:t>Summary of issues</w:t>
      </w:r>
    </w:p>
    <w:p w:rsidR="00E62BA7" w:rsidRPr="00E62BA7" w:rsidRDefault="00E62BA7" w:rsidP="00E62BA7">
      <w:r w:rsidRPr="00E62BA7">
        <w:t>These products each include three new active substances taken in combination with ritonavir. Some patients will also take ribavirin.</w:t>
      </w:r>
      <w:r w:rsidR="008B6F3C">
        <w:t xml:space="preserve"> </w:t>
      </w:r>
      <w:r w:rsidRPr="00E62BA7">
        <w:t>Efficacy and safety from clinical trials are impressive. A major consequence of the use of these combinations is an extensive potential for drug-drug interactions, including a number of contraindicated combinations.</w:t>
      </w:r>
    </w:p>
    <w:p w:rsidR="00462A94" w:rsidRPr="00462A94" w:rsidRDefault="00F47ACD" w:rsidP="00462A94">
      <w:pPr>
        <w:pStyle w:val="Heading5"/>
      </w:pPr>
      <w:r>
        <w:t>Issues for the sponsor</w:t>
      </w:r>
    </w:p>
    <w:p w:rsidR="00462A94" w:rsidRDefault="00462A94" w:rsidP="002E5CB5">
      <w:pPr>
        <w:pStyle w:val="Numberbullet0"/>
        <w:numPr>
          <w:ilvl w:val="0"/>
          <w:numId w:val="20"/>
        </w:numPr>
      </w:pPr>
      <w:r w:rsidRPr="00462A94">
        <w:t>Please address the labelling queries from the</w:t>
      </w:r>
      <w:r w:rsidR="003677DD">
        <w:t xml:space="preserve"> quality </w:t>
      </w:r>
      <w:r w:rsidRPr="00462A94">
        <w:t xml:space="preserve">evaluator in relation to the various </w:t>
      </w:r>
      <w:r w:rsidR="008B6F3C">
        <w:t>Viekira Pak</w:t>
      </w:r>
      <w:r w:rsidRPr="00462A94">
        <w:t xml:space="preserve">-RBV (submission PM-2014-01438-1-2) </w:t>
      </w:r>
      <w:proofErr w:type="gramStart"/>
      <w:r w:rsidRPr="00462A94">
        <w:t>presentations,</w:t>
      </w:r>
      <w:proofErr w:type="gramEnd"/>
      <w:r w:rsidRPr="00462A94">
        <w:t xml:space="preserve"> given the ‘monthly’ carton labels for the various presentations are not sufficiently distinguished.</w:t>
      </w:r>
    </w:p>
    <w:p w:rsidR="00F47ACD" w:rsidRPr="00F47ACD" w:rsidRDefault="00F47ACD" w:rsidP="00605D3B">
      <w:pPr>
        <w:pStyle w:val="Heading6"/>
      </w:pPr>
      <w:r w:rsidRPr="00F47ACD">
        <w:t>Response from sponsor</w:t>
      </w:r>
    </w:p>
    <w:p w:rsidR="00F47ACD" w:rsidRPr="00F47ACD" w:rsidRDefault="00F47ACD" w:rsidP="00F47ACD">
      <w:r w:rsidRPr="00F47ACD">
        <w:t xml:space="preserve">AbbVie agrees to differentiate the monthly carton labels as requested by the </w:t>
      </w:r>
      <w:r w:rsidR="003677DD">
        <w:t>quality</w:t>
      </w:r>
      <w:r w:rsidRPr="00F47ACD">
        <w:t xml:space="preserve"> evaluator and in</w:t>
      </w:r>
      <w:r>
        <w:t xml:space="preserve"> </w:t>
      </w:r>
      <w:r w:rsidRPr="00F47ACD">
        <w:t>line with TGAs ’Best practice guideline on prescription medicine labelling</w:t>
      </w:r>
      <w:r w:rsidR="003677DD">
        <w:t>’</w:t>
      </w:r>
      <w:r w:rsidRPr="00F47ACD">
        <w:t xml:space="preserve">. </w:t>
      </w:r>
      <w:r>
        <w:t xml:space="preserve">AbbVie only plan to launch </w:t>
      </w:r>
      <w:r w:rsidR="008B6F3C">
        <w:t>Viekira Pak</w:t>
      </w:r>
      <w:r w:rsidRPr="00F47ACD">
        <w:t xml:space="preserve">-RBV with </w:t>
      </w:r>
      <w:proofErr w:type="gramStart"/>
      <w:r w:rsidRPr="00F47ACD">
        <w:t>either 600</w:t>
      </w:r>
      <w:r w:rsidR="003677DD">
        <w:t xml:space="preserve"> </w:t>
      </w:r>
      <w:r w:rsidRPr="00F47ACD">
        <w:t>mg ribavirin tablets (for 1200</w:t>
      </w:r>
      <w:r w:rsidR="003677DD">
        <w:t xml:space="preserve"> </w:t>
      </w:r>
      <w:r w:rsidRPr="00F47ACD">
        <w:t>mg/</w:t>
      </w:r>
      <w:r>
        <w:t>day dosing) and</w:t>
      </w:r>
      <w:proofErr w:type="gramEnd"/>
      <w:r>
        <w:t xml:space="preserve"> 2</w:t>
      </w:r>
      <w:r w:rsidR="00661B33">
        <w:t>00 mg</w:t>
      </w:r>
      <w:r>
        <w:t xml:space="preserve"> ribavirin </w:t>
      </w:r>
      <w:r w:rsidRPr="00F47ACD">
        <w:t>tablets (for 1000</w:t>
      </w:r>
      <w:r w:rsidR="003677DD">
        <w:t xml:space="preserve"> </w:t>
      </w:r>
      <w:r w:rsidRPr="00F47ACD">
        <w:t>mg/day dosing or dose reduction if required).</w:t>
      </w:r>
    </w:p>
    <w:p w:rsidR="00462A94" w:rsidRDefault="00462A94" w:rsidP="00462A94">
      <w:pPr>
        <w:pStyle w:val="Numberbullet0"/>
      </w:pPr>
      <w:r w:rsidRPr="00462A94">
        <w:t>Please provide a response to the evaluator comments sent 30 April 2015 regarding the concerns with current statement in the PI regarding race and ethnicity (with reference to Asian</w:t>
      </w:r>
      <w:r w:rsidR="00F47ACD">
        <w:t xml:space="preserve"> and Hispanic/Latino subjects).</w:t>
      </w:r>
    </w:p>
    <w:p w:rsidR="00F47ACD" w:rsidRPr="003677DD" w:rsidRDefault="00F47ACD" w:rsidP="00605D3B">
      <w:pPr>
        <w:pStyle w:val="Heading6"/>
      </w:pPr>
      <w:r w:rsidRPr="00F47ACD">
        <w:t xml:space="preserve">Response from </w:t>
      </w:r>
      <w:r>
        <w:t>s</w:t>
      </w:r>
      <w:r w:rsidRPr="00F47ACD">
        <w:t>ponsor</w:t>
      </w:r>
      <w:r w:rsidR="003677DD">
        <w:t>:</w:t>
      </w:r>
    </w:p>
    <w:p w:rsidR="00F47ACD" w:rsidRPr="00F47ACD" w:rsidRDefault="00F47ACD" w:rsidP="00F47ACD">
      <w:r w:rsidRPr="00F47ACD">
        <w:t>AbbVie respectfully disagrees to include the 2nd part of this statement (“however patient numbers in</w:t>
      </w:r>
      <w:r>
        <w:t xml:space="preserve"> </w:t>
      </w:r>
      <w:r w:rsidRPr="00F47ACD">
        <w:t>the clinical trials were not sufficient to address possible racial differences”).</w:t>
      </w:r>
    </w:p>
    <w:p w:rsidR="00F47ACD" w:rsidRPr="00F47ACD" w:rsidRDefault="00F47ACD" w:rsidP="00F47ACD">
      <w:r w:rsidRPr="00F47ACD">
        <w:t xml:space="preserve">As summarized in the </w:t>
      </w:r>
      <w:r w:rsidR="003677DD">
        <w:t>CER</w:t>
      </w:r>
      <w:r w:rsidRPr="00F47ACD">
        <w:t xml:space="preserve"> from the </w:t>
      </w:r>
      <w:r w:rsidR="003677DD">
        <w:t>TGA</w:t>
      </w:r>
      <w:r>
        <w:t xml:space="preserve">, two PPK studies, RD 13-1098 </w:t>
      </w:r>
      <w:r w:rsidR="003677DD">
        <w:t>PPK and RD 14</w:t>
      </w:r>
      <w:r w:rsidR="003677DD">
        <w:noBreakHyphen/>
      </w:r>
      <w:r w:rsidRPr="00F47ACD">
        <w:t xml:space="preserve">0047 PPK examined the population PKs of </w:t>
      </w:r>
      <w:r w:rsidR="00F573D0">
        <w:t>paritaprevir</w:t>
      </w:r>
      <w:r>
        <w:t xml:space="preserve">, </w:t>
      </w:r>
      <w:r w:rsidR="00590286">
        <w:t>ombitasvir</w:t>
      </w:r>
      <w:r>
        <w:t xml:space="preserve"> and </w:t>
      </w:r>
      <w:r w:rsidR="00590286">
        <w:t>dasabuvir</w:t>
      </w:r>
      <w:r>
        <w:t xml:space="preserve"> in </w:t>
      </w:r>
      <w:r w:rsidR="003677DD">
        <w:t xml:space="preserve">HCV genotype 1 </w:t>
      </w:r>
      <w:r w:rsidRPr="00F47ACD">
        <w:t>infected subjects. Study RD 14-0047 PPK included d</w:t>
      </w:r>
      <w:r>
        <w:t>ata from 2</w:t>
      </w:r>
      <w:r w:rsidR="003677DD">
        <w:t>,</w:t>
      </w:r>
      <w:r>
        <w:t xml:space="preserve">348 subjects from </w:t>
      </w:r>
      <w:r w:rsidR="00F201F8">
        <w:t>Phase II</w:t>
      </w:r>
      <w:r w:rsidRPr="00F47ACD">
        <w:t xml:space="preserve"> and </w:t>
      </w:r>
      <w:r w:rsidR="00F201F8">
        <w:t>Phase III</w:t>
      </w:r>
      <w:r w:rsidRPr="00F47ACD">
        <w:t xml:space="preserve"> studies in which the HCV genotype 1</w:t>
      </w:r>
      <w:r w:rsidR="00E458BE">
        <w:t xml:space="preserve"> </w:t>
      </w:r>
      <w:r>
        <w:t xml:space="preserve">infected patients received the </w:t>
      </w:r>
      <w:r w:rsidRPr="00F47ACD">
        <w:t xml:space="preserve">recommended dose of the co-formulated </w:t>
      </w:r>
      <w:r w:rsidR="00F573D0">
        <w:t>paritaprevir</w:t>
      </w:r>
      <w:r w:rsidR="00630EF4">
        <w:t xml:space="preserve">/ritonavir/ </w:t>
      </w:r>
      <w:r w:rsidR="00590286">
        <w:t>ombitasvir</w:t>
      </w:r>
      <w:r w:rsidRPr="00F47ACD">
        <w:t xml:space="preserve"> 150</w:t>
      </w:r>
      <w:r>
        <w:t xml:space="preserve">/100/25 mg tablets QD + </w:t>
      </w:r>
      <w:r w:rsidR="00590286">
        <w:t>dasabuvir</w:t>
      </w:r>
      <w:r>
        <w:t xml:space="preserve"> </w:t>
      </w:r>
      <w:r w:rsidRPr="00F47ACD">
        <w:t xml:space="preserve">250 mg tablets </w:t>
      </w:r>
      <w:r w:rsidR="000E1719">
        <w:t>BD</w:t>
      </w:r>
      <w:r w:rsidRPr="00F47ACD">
        <w:t xml:space="preserve">. As suggested by the </w:t>
      </w:r>
      <w:r w:rsidR="003677DD" w:rsidRPr="00F47ACD">
        <w:t>clinical evaluat</w:t>
      </w:r>
      <w:r>
        <w:t xml:space="preserve">or, RD 14-0047 PPK provides the </w:t>
      </w:r>
      <w:r w:rsidRPr="00F47ACD">
        <w:t xml:space="preserve">preferred and more reliable final PPK models for </w:t>
      </w:r>
      <w:r w:rsidR="00590286">
        <w:t>ombitasvir</w:t>
      </w:r>
      <w:r w:rsidRPr="00F47ACD">
        <w:t xml:space="preserve"> and </w:t>
      </w:r>
      <w:r w:rsidR="00590286">
        <w:t>dasabuvir</w:t>
      </w:r>
      <w:r w:rsidRPr="00F47ACD">
        <w:t>.</w:t>
      </w:r>
    </w:p>
    <w:p w:rsidR="00F47ACD" w:rsidRDefault="00F47ACD" w:rsidP="00F47ACD">
      <w:r w:rsidRPr="00F47ACD">
        <w:t>In RD 14-0047 PPK, there were a total of 144 Hispanic/Latino sub</w:t>
      </w:r>
      <w:r>
        <w:t xml:space="preserve">jects. Hispanic/Latino race was </w:t>
      </w:r>
      <w:r w:rsidRPr="00F47ACD">
        <w:t xml:space="preserve">not a significant covariate on the disposition of </w:t>
      </w:r>
      <w:r w:rsidR="00F573D0">
        <w:t>paritaprevir</w:t>
      </w:r>
      <w:r w:rsidRPr="00F47ACD">
        <w:t xml:space="preserve">, </w:t>
      </w:r>
      <w:r w:rsidR="00590286">
        <w:t>ombitasvir</w:t>
      </w:r>
      <w:r w:rsidRPr="00F47ACD">
        <w:t xml:space="preserve">, </w:t>
      </w:r>
      <w:r w:rsidR="00590286">
        <w:t>dasabuvir</w:t>
      </w:r>
      <w:r w:rsidRPr="00F47ACD">
        <w:t xml:space="preserve"> or ritonavir.</w:t>
      </w:r>
    </w:p>
    <w:p w:rsidR="00F47ACD" w:rsidRPr="00F47ACD" w:rsidRDefault="00F47ACD" w:rsidP="00F47ACD">
      <w:r w:rsidRPr="00F47ACD">
        <w:t>In RD 14-0047 PPK, there were a total of 38 Asian subjects. Asian race was not a significant</w:t>
      </w:r>
      <w:r>
        <w:t xml:space="preserve"> </w:t>
      </w:r>
      <w:r w:rsidRPr="00F47ACD">
        <w:t xml:space="preserve">covariate on the disposition of </w:t>
      </w:r>
      <w:r w:rsidR="00F573D0">
        <w:t>paritaprevir</w:t>
      </w:r>
      <w:r w:rsidRPr="00F47ACD">
        <w:t xml:space="preserve">, </w:t>
      </w:r>
      <w:r w:rsidR="00590286">
        <w:t>ombitasvir</w:t>
      </w:r>
      <w:r w:rsidRPr="00F47ACD">
        <w:t xml:space="preserve">, </w:t>
      </w:r>
      <w:r w:rsidR="00590286">
        <w:t>dasabuvir</w:t>
      </w:r>
      <w:r w:rsidRPr="00F47ACD">
        <w:t xml:space="preserve"> or r</w:t>
      </w:r>
      <w:r>
        <w:t xml:space="preserve">itonavir. Post-hoc steady-state </w:t>
      </w:r>
      <w:r w:rsidRPr="00F47ACD">
        <w:t xml:space="preserve">exposure data showed that </w:t>
      </w:r>
      <w:r w:rsidR="00F573D0">
        <w:t>paritaprevir</w:t>
      </w:r>
      <w:r w:rsidRPr="00F47ACD">
        <w:t xml:space="preserve">, </w:t>
      </w:r>
      <w:r w:rsidR="00590286">
        <w:t>ombitasvir</w:t>
      </w:r>
      <w:r w:rsidRPr="00F47ACD">
        <w:t xml:space="preserve">, </w:t>
      </w:r>
      <w:r w:rsidR="00590286">
        <w:t>dasabuvir</w:t>
      </w:r>
      <w:r w:rsidRPr="00F47ACD">
        <w:t xml:space="preserve"> and ritonavir exposures were generally</w:t>
      </w:r>
      <w:r>
        <w:t xml:space="preserve"> </w:t>
      </w:r>
      <w:r w:rsidRPr="00F47ACD">
        <w:t xml:space="preserve">comparable between Asian and </w:t>
      </w:r>
      <w:r w:rsidR="00A3290A">
        <w:t>Non-Asian</w:t>
      </w:r>
      <w:r w:rsidRPr="00F47ACD">
        <w:t xml:space="preserve"> (N</w:t>
      </w:r>
      <w:r w:rsidR="00BF1FC5">
        <w:t xml:space="preserve"> = </w:t>
      </w:r>
      <w:r w:rsidRPr="00F47ACD">
        <w:t>2</w:t>
      </w:r>
      <w:r w:rsidR="003677DD">
        <w:t>,</w:t>
      </w:r>
      <w:r w:rsidRPr="00F47ACD">
        <w:t>310) HCV ge</w:t>
      </w:r>
      <w:r w:rsidR="003677DD">
        <w:t xml:space="preserve">notype 1 </w:t>
      </w:r>
      <w:r w:rsidRPr="00F47ACD">
        <w:t>infected subjects, with a</w:t>
      </w:r>
      <w:r>
        <w:t xml:space="preserve"> </w:t>
      </w:r>
      <w:r w:rsidRPr="00F47ACD">
        <w:t xml:space="preserve">substantial portion of </w:t>
      </w:r>
      <w:r w:rsidR="00A3290A">
        <w:t>Non-Asian</w:t>
      </w:r>
      <w:r w:rsidRPr="00F47ACD">
        <w:t xml:space="preserve"> subjects having exposures high</w:t>
      </w:r>
      <w:r>
        <w:t xml:space="preserve">er than those observed in Asian </w:t>
      </w:r>
      <w:r w:rsidRPr="00F47ACD">
        <w:t xml:space="preserve">subjects. In addition, the safety was also comparable between Asian and </w:t>
      </w:r>
      <w:r w:rsidR="00A3290A">
        <w:t>Non-Asian</w:t>
      </w:r>
      <w:r w:rsidRPr="00F47ACD">
        <w:t xml:space="preserve"> subjects.</w:t>
      </w:r>
    </w:p>
    <w:p w:rsidR="00F47ACD" w:rsidRDefault="00F47ACD" w:rsidP="00F47ACD">
      <w:r w:rsidRPr="00F47ACD">
        <w:t xml:space="preserve">Additional details on Asian </w:t>
      </w:r>
      <w:r w:rsidR="003A33A4">
        <w:t>versus</w:t>
      </w:r>
      <w:r w:rsidRPr="00F47ACD">
        <w:t xml:space="preserve"> </w:t>
      </w:r>
      <w:r w:rsidR="00A3290A">
        <w:t>Non-Asian</w:t>
      </w:r>
      <w:r w:rsidRPr="00F47ACD">
        <w:t xml:space="preserve"> comparison of </w:t>
      </w:r>
      <w:r w:rsidR="00F201F8">
        <w:t>Phase I</w:t>
      </w:r>
      <w:r>
        <w:t xml:space="preserve"> data and </w:t>
      </w:r>
      <w:r w:rsidR="00F201F8">
        <w:t>Phase II</w:t>
      </w:r>
      <w:r>
        <w:t>/</w:t>
      </w:r>
      <w:r w:rsidR="00167A1A">
        <w:t>III</w:t>
      </w:r>
      <w:r>
        <w:t xml:space="preserve"> data are </w:t>
      </w:r>
      <w:r w:rsidRPr="00F47ACD">
        <w:t>summarized below.</w:t>
      </w:r>
    </w:p>
    <w:p w:rsidR="00F47ACD" w:rsidRPr="00F47ACD" w:rsidRDefault="00F47ACD" w:rsidP="00605D3B">
      <w:pPr>
        <w:pStyle w:val="Heading6"/>
      </w:pPr>
      <w:r w:rsidRPr="00F47ACD">
        <w:t xml:space="preserve">Asian </w:t>
      </w:r>
      <w:r w:rsidR="003677DD">
        <w:t>versus</w:t>
      </w:r>
      <w:r w:rsidRPr="00F47ACD">
        <w:t xml:space="preserve"> Non-Asian Subjects</w:t>
      </w:r>
    </w:p>
    <w:p w:rsidR="00F47ACD" w:rsidRPr="00F47ACD" w:rsidRDefault="00F47ACD" w:rsidP="00F47ACD">
      <w:r w:rsidRPr="00F47ACD">
        <w:t xml:space="preserve">The exposures of </w:t>
      </w:r>
      <w:r w:rsidR="00F573D0">
        <w:t>paritaprevir</w:t>
      </w:r>
      <w:r w:rsidRPr="00F47ACD">
        <w:t xml:space="preserve"> are highly variable across subjects (</w:t>
      </w:r>
      <w:r>
        <w:t>%</w:t>
      </w:r>
      <w:r w:rsidR="003677DD">
        <w:t xml:space="preserve"> </w:t>
      </w:r>
      <w:r w:rsidR="004A74D1">
        <w:t>coefficient of variation (</w:t>
      </w:r>
      <w:r>
        <w:t>CV</w:t>
      </w:r>
      <w:r w:rsidR="004A74D1">
        <w:t>)</w:t>
      </w:r>
      <w:r>
        <w:t xml:space="preserve"> of approximately 80% across </w:t>
      </w:r>
      <w:r w:rsidR="00F201F8">
        <w:t>Phase I</w:t>
      </w:r>
      <w:r w:rsidRPr="00F47ACD">
        <w:t xml:space="preserve"> studies) and</w:t>
      </w:r>
      <w:r w:rsidR="003677DD">
        <w:t xml:space="preserve"> therefore, cross study or cross </w:t>
      </w:r>
      <w:r w:rsidRPr="00F47ACD">
        <w:t>arm compa</w:t>
      </w:r>
      <w:r>
        <w:t xml:space="preserve">risons using small sample sizes </w:t>
      </w:r>
      <w:r w:rsidRPr="00F47ACD">
        <w:t xml:space="preserve">can be misleading. The </w:t>
      </w:r>
      <w:r w:rsidR="00237CBE">
        <w:t>3DAA</w:t>
      </w:r>
      <w:r w:rsidRPr="00F47ACD">
        <w:t xml:space="preserve"> arm of M12-221 (25 mg </w:t>
      </w:r>
      <w:r w:rsidR="00590286">
        <w:t>ombitasvir</w:t>
      </w:r>
      <w:r w:rsidRPr="00F47ACD">
        <w:t xml:space="preserve"> +</w:t>
      </w:r>
      <w:r>
        <w:t xml:space="preserve"> 150/100 mg </w:t>
      </w:r>
      <w:r w:rsidR="00F573D0">
        <w:t>paritaprevir</w:t>
      </w:r>
      <w:r>
        <w:t xml:space="preserve">/ritonavir + </w:t>
      </w:r>
      <w:r w:rsidRPr="00F47ACD">
        <w:t xml:space="preserve">400 mg </w:t>
      </w:r>
      <w:r w:rsidR="00590286">
        <w:t>dasabuvir</w:t>
      </w:r>
      <w:r w:rsidRPr="00F47ACD">
        <w:t xml:space="preserve">) </w:t>
      </w:r>
      <w:r w:rsidRPr="00F47ACD">
        <w:lastRenderedPageBreak/>
        <w:t>compared 6 subjects per ethnicity</w:t>
      </w:r>
      <w:r w:rsidRPr="009208F2">
        <w:t xml:space="preserve">. Table </w:t>
      </w:r>
      <w:r w:rsidR="00FF289D">
        <w:t>37</w:t>
      </w:r>
      <w:r w:rsidRPr="009208F2">
        <w:t xml:space="preserve"> shows</w:t>
      </w:r>
      <w:r>
        <w:t xml:space="preserve"> the mean AUC values from </w:t>
      </w:r>
      <w:r w:rsidRPr="00F47ACD">
        <w:t xml:space="preserve">M12-221 and the means from other </w:t>
      </w:r>
      <w:r w:rsidR="00F201F8">
        <w:t>Phase I</w:t>
      </w:r>
      <w:r w:rsidRPr="00F47ACD">
        <w:t xml:space="preserve"> studies.</w:t>
      </w:r>
    </w:p>
    <w:p w:rsidR="00F47ACD" w:rsidRPr="00F47ACD" w:rsidRDefault="00F47ACD" w:rsidP="00FF289D">
      <w:pPr>
        <w:pStyle w:val="Tabletitle0"/>
      </w:pPr>
      <w:r w:rsidRPr="00376D29">
        <w:t xml:space="preserve">Table </w:t>
      </w:r>
      <w:r w:rsidR="00FF289D">
        <w:t>37</w:t>
      </w:r>
      <w:r w:rsidRPr="00376D29">
        <w:t>: Geometric</w:t>
      </w:r>
      <w:r w:rsidRPr="00F47ACD">
        <w:t xml:space="preserve"> </w:t>
      </w:r>
      <w:r w:rsidR="009208F2" w:rsidRPr="00F47ACD">
        <w:t>m</w:t>
      </w:r>
      <w:r w:rsidRPr="00F47ACD">
        <w:t xml:space="preserve">ean AUC values for </w:t>
      </w:r>
      <w:r w:rsidR="00F573D0">
        <w:t>paritaprevir</w:t>
      </w:r>
      <w:r w:rsidRPr="00F47ACD">
        <w:t xml:space="preserve"> from M12-221 and other </w:t>
      </w:r>
      <w:r w:rsidR="00F201F8">
        <w:t>Phase I</w:t>
      </w:r>
      <w:r>
        <w:t xml:space="preserve"> </w:t>
      </w:r>
      <w:r w:rsidRPr="00F47ACD">
        <w:t xml:space="preserve">studies with the </w:t>
      </w:r>
      <w:r w:rsidR="00237CBE">
        <w:t>3DAA</w:t>
      </w:r>
      <w:r w:rsidRPr="00F47ACD">
        <w:t xml:space="preserve"> regimen at steady state using the same formu</w:t>
      </w:r>
      <w:r>
        <w:t xml:space="preserve">lation </w:t>
      </w:r>
      <w:r w:rsidRPr="00F47ACD">
        <w:t>as M12-221</w:t>
      </w:r>
    </w:p>
    <w:p w:rsidR="00F47ACD" w:rsidRDefault="00F47ACD" w:rsidP="00F47ACD">
      <w:r>
        <w:rPr>
          <w:noProof/>
          <w:lang w:eastAsia="en-AU"/>
        </w:rPr>
        <w:drawing>
          <wp:inline distT="0" distB="0" distL="0" distR="0" wp14:anchorId="12E6E53E" wp14:editId="3EF525EF">
            <wp:extent cx="4595159" cy="1397203"/>
            <wp:effectExtent l="0" t="0" r="0" b="0"/>
            <wp:docPr id="12" name="Picture 12" descr="Table 37: Geometric mean AUC values for paritaprevir from M12-221 and other Phase I studies with the 3-DAA regimen at steady state using the same formulation as M1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04497" cy="1400042"/>
                    </a:xfrm>
                    <a:prstGeom prst="rect">
                      <a:avLst/>
                    </a:prstGeom>
                  </pic:spPr>
                </pic:pic>
              </a:graphicData>
            </a:graphic>
          </wp:inline>
        </w:drawing>
      </w:r>
    </w:p>
    <w:p w:rsidR="00F47ACD" w:rsidRPr="00F47ACD" w:rsidRDefault="00F47ACD" w:rsidP="00F47ACD">
      <w:r w:rsidRPr="00F47ACD">
        <w:t xml:space="preserve">The geometric mean AUC of </w:t>
      </w:r>
      <w:r w:rsidR="00F573D0">
        <w:t>paritaprevir</w:t>
      </w:r>
      <w:r w:rsidRPr="00F47ACD">
        <w:t xml:space="preserve"> in Chinese subjects was in the range of geometric means of</w:t>
      </w:r>
      <w:r>
        <w:t xml:space="preserve"> </w:t>
      </w:r>
      <w:r w:rsidRPr="00F47ACD">
        <w:t xml:space="preserve">Caucasians in </w:t>
      </w:r>
      <w:r w:rsidR="00F201F8">
        <w:t>Phase I</w:t>
      </w:r>
      <w:r w:rsidRPr="00F47ACD">
        <w:t xml:space="preserve"> studies, and the geometric mean of AU</w:t>
      </w:r>
      <w:r>
        <w:t xml:space="preserve">C in Japanese subjects was only </w:t>
      </w:r>
      <w:r w:rsidRPr="00F47ACD">
        <w:t>slightly higher than the maximum in Caucasians. Thus while the e</w:t>
      </w:r>
      <w:r>
        <w:t xml:space="preserve">xposures of </w:t>
      </w:r>
      <w:r w:rsidR="00F573D0">
        <w:t>paritaprevir</w:t>
      </w:r>
      <w:r>
        <w:t xml:space="preserve"> were higher </w:t>
      </w:r>
      <w:r w:rsidRPr="00F47ACD">
        <w:t>in Asian subjects than Caucasians, the exact magnitude of the increase</w:t>
      </w:r>
      <w:r>
        <w:t xml:space="preserve"> is difficult to quantify given </w:t>
      </w:r>
      <w:r w:rsidRPr="00F47ACD">
        <w:t xml:space="preserve">the small sample size coupled with the high variability of </w:t>
      </w:r>
      <w:r w:rsidR="00F573D0">
        <w:t>paritaprevir</w:t>
      </w:r>
      <w:r w:rsidRPr="00F47ACD">
        <w:t xml:space="preserve"> exposures.</w:t>
      </w:r>
    </w:p>
    <w:p w:rsidR="00F47ACD" w:rsidRPr="00F47ACD" w:rsidRDefault="00F47ACD" w:rsidP="00F47ACD">
      <w:r w:rsidRPr="00F47ACD">
        <w:t xml:space="preserve">When a similar comparison was done across studies using the </w:t>
      </w:r>
      <w:r w:rsidR="00F201F8">
        <w:t>Phase III</w:t>
      </w:r>
      <w:r>
        <w:t xml:space="preserve"> formulation with a higher </w:t>
      </w:r>
      <w:r w:rsidRPr="00F47ACD">
        <w:t>number of subjects, th</w:t>
      </w:r>
      <w:r w:rsidR="003677DD">
        <w:t xml:space="preserve">e differences were much lower; </w:t>
      </w:r>
      <w:r w:rsidRPr="00F47ACD">
        <w:t xml:space="preserve">comparable AUC values for </w:t>
      </w:r>
      <w:r w:rsidR="00F573D0">
        <w:t>paritaprevir</w:t>
      </w:r>
      <w:r w:rsidRPr="00F47ACD">
        <w:t xml:space="preserve"> in</w:t>
      </w:r>
      <w:r>
        <w:t xml:space="preserve"> </w:t>
      </w:r>
      <w:r w:rsidRPr="00F47ACD">
        <w:t xml:space="preserve">Chinese and only </w:t>
      </w:r>
      <w:r w:rsidR="00F201F8">
        <w:t xml:space="preserve">approximately </w:t>
      </w:r>
      <w:r w:rsidRPr="00F47ACD">
        <w:t>60% higher AUC values (7136 ng</w:t>
      </w:r>
      <w:r w:rsidR="00C50A94">
        <w:t>.</w:t>
      </w:r>
      <w:r w:rsidRPr="00F47ACD">
        <w:t>hr/mL versus 4</w:t>
      </w:r>
      <w:r w:rsidR="00C50A94">
        <w:t>,</w:t>
      </w:r>
      <w:r w:rsidRPr="00F47ACD">
        <w:t>556 ng</w:t>
      </w:r>
      <w:r w:rsidR="003677DD">
        <w:t>.</w:t>
      </w:r>
      <w:r w:rsidRPr="00F47ACD">
        <w:t>hr/mL) in Japanese</w:t>
      </w:r>
      <w:r>
        <w:t xml:space="preserve"> </w:t>
      </w:r>
      <w:r w:rsidRPr="00F47ACD">
        <w:t xml:space="preserve">subjects compared to the US </w:t>
      </w:r>
      <w:r w:rsidRPr="00376D29">
        <w:t xml:space="preserve">subjects </w:t>
      </w:r>
      <w:r w:rsidR="009C3E30" w:rsidRPr="00376D29">
        <w:t xml:space="preserve">(Table </w:t>
      </w:r>
      <w:r w:rsidR="00FF289D">
        <w:t>38</w:t>
      </w:r>
      <w:r w:rsidR="009C3E30" w:rsidRPr="00376D29">
        <w:t xml:space="preserve"> and Figure </w:t>
      </w:r>
      <w:r w:rsidR="00B03483">
        <w:t>19</w:t>
      </w:r>
      <w:r w:rsidRPr="00376D29">
        <w:t>).</w:t>
      </w:r>
    </w:p>
    <w:p w:rsidR="00F47ACD" w:rsidRPr="00F47ACD" w:rsidRDefault="00F47ACD" w:rsidP="00FF289D">
      <w:pPr>
        <w:pStyle w:val="Tabletitle0"/>
      </w:pPr>
      <w:r w:rsidRPr="00376D29">
        <w:t xml:space="preserve">Table </w:t>
      </w:r>
      <w:r w:rsidR="00FF289D">
        <w:t>38</w:t>
      </w:r>
      <w:r w:rsidRPr="00376D29">
        <w:t>: Geometric</w:t>
      </w:r>
      <w:r w:rsidRPr="00F47ACD">
        <w:t xml:space="preserve"> </w:t>
      </w:r>
      <w:r w:rsidR="009208F2" w:rsidRPr="00F47ACD">
        <w:t>m</w:t>
      </w:r>
      <w:r w:rsidRPr="00F47ACD">
        <w:t xml:space="preserve">ean AUC values for </w:t>
      </w:r>
      <w:r w:rsidR="00F573D0">
        <w:t>paritaprevir</w:t>
      </w:r>
      <w:r w:rsidRPr="00F47ACD">
        <w:t xml:space="preserve"> in Chinese, Japanese and US</w:t>
      </w:r>
      <w:r>
        <w:t xml:space="preserve"> </w:t>
      </w:r>
      <w:r w:rsidRPr="00F47ACD">
        <w:t xml:space="preserve">subjects using the </w:t>
      </w:r>
      <w:r w:rsidR="00F201F8">
        <w:t>Phase III</w:t>
      </w:r>
      <w:r w:rsidRPr="00F47ACD">
        <w:t xml:space="preserve"> formulatio</w:t>
      </w:r>
      <w:r>
        <w:t xml:space="preserve">n following single dose of </w:t>
      </w:r>
      <w:r w:rsidR="009208F2">
        <w:t>paritaprevir/ritonavir/</w:t>
      </w:r>
      <w:r w:rsidR="00590286">
        <w:t>ombitasvir</w:t>
      </w:r>
      <w:r w:rsidRPr="00F47ACD">
        <w:t xml:space="preserve"> 150/100/25 mg</w:t>
      </w:r>
    </w:p>
    <w:p w:rsidR="00F47ACD" w:rsidRDefault="00131B9B" w:rsidP="00F47ACD">
      <w:r>
        <w:rPr>
          <w:noProof/>
          <w:lang w:eastAsia="en-AU"/>
        </w:rPr>
        <w:drawing>
          <wp:inline distT="0" distB="0" distL="0" distR="0" wp14:anchorId="5DBD1452" wp14:editId="39C1671B">
            <wp:extent cx="4016044" cy="1675497"/>
            <wp:effectExtent l="0" t="0" r="3810" b="1270"/>
            <wp:docPr id="13" name="Picture 13" descr="Table 38: Geometric mean AUC values for paritaprevir in Chinese, Japanese and US subjects using the Phase III formulation following single dose of paritaprevir/ritonavir/ombitasvir 150/100/25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17103" cy="1675939"/>
                    </a:xfrm>
                    <a:prstGeom prst="rect">
                      <a:avLst/>
                    </a:prstGeom>
                  </pic:spPr>
                </pic:pic>
              </a:graphicData>
            </a:graphic>
          </wp:inline>
        </w:drawing>
      </w:r>
    </w:p>
    <w:p w:rsidR="00F47ACD" w:rsidRDefault="009C3E30" w:rsidP="00131B9B">
      <w:pPr>
        <w:pStyle w:val="FigureTitle"/>
      </w:pPr>
      <w:r w:rsidRPr="00376D29">
        <w:lastRenderedPageBreak/>
        <w:t xml:space="preserve">Figure </w:t>
      </w:r>
      <w:r w:rsidR="00B03483">
        <w:t>19</w:t>
      </w:r>
      <w:r w:rsidR="00131B9B" w:rsidRPr="00376D29">
        <w:t xml:space="preserve">: </w:t>
      </w:r>
      <w:r w:rsidR="00DB3476" w:rsidRPr="00376D29">
        <w:t>P</w:t>
      </w:r>
      <w:r w:rsidR="00F573D0" w:rsidRPr="00376D29">
        <w:t>aritaprevir</w:t>
      </w:r>
      <w:r w:rsidR="00131B9B" w:rsidRPr="00131B9B">
        <w:t xml:space="preserve"> </w:t>
      </w:r>
      <w:r w:rsidR="003A33A4" w:rsidRPr="008912E8">
        <w:t>C</w:t>
      </w:r>
      <w:r w:rsidR="003A33A4" w:rsidRPr="003A33A4">
        <w:rPr>
          <w:vertAlign w:val="subscript"/>
        </w:rPr>
        <w:t>max</w:t>
      </w:r>
      <w:r w:rsidR="00630EF4">
        <w:t xml:space="preserve"> </w:t>
      </w:r>
      <w:r w:rsidR="00131B9B" w:rsidRPr="00131B9B">
        <w:t>and AUC values in Caucasian and Asian Subjects across</w:t>
      </w:r>
      <w:r w:rsidR="00131B9B">
        <w:t xml:space="preserve"> </w:t>
      </w:r>
      <w:r w:rsidR="00131B9B" w:rsidRPr="00131B9B">
        <w:t>studies</w:t>
      </w:r>
    </w:p>
    <w:p w:rsidR="00131B9B" w:rsidRPr="00131B9B" w:rsidRDefault="00131B9B" w:rsidP="00605D3B">
      <w:r>
        <w:rPr>
          <w:noProof/>
          <w:lang w:eastAsia="en-AU"/>
        </w:rPr>
        <w:drawing>
          <wp:inline distT="0" distB="0" distL="0" distR="0" wp14:anchorId="52D8B6A1" wp14:editId="5EE31840">
            <wp:extent cx="3972153" cy="5946794"/>
            <wp:effectExtent l="0" t="0" r="9525" b="0"/>
            <wp:docPr id="16" name="Picture 16" descr="Figure 19: Paritaprevir Cmax and AUC values in Caucasian and Asian Subject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70687" cy="5944599"/>
                    </a:xfrm>
                    <a:prstGeom prst="rect">
                      <a:avLst/>
                    </a:prstGeom>
                  </pic:spPr>
                </pic:pic>
              </a:graphicData>
            </a:graphic>
          </wp:inline>
        </w:drawing>
      </w:r>
    </w:p>
    <w:p w:rsidR="00131B9B" w:rsidRPr="00131B9B" w:rsidRDefault="00131B9B" w:rsidP="00131B9B">
      <w:r w:rsidRPr="00131B9B">
        <w:t xml:space="preserve">Similarly, in Study M13-505, following administration of </w:t>
      </w:r>
      <w:r w:rsidR="00F573D0">
        <w:t>paritaprevir</w:t>
      </w:r>
      <w:r w:rsidR="00630EF4">
        <w:t xml:space="preserve">/ritonavir/ </w:t>
      </w:r>
      <w:r w:rsidR="00590286">
        <w:t>ombitasvir</w:t>
      </w:r>
      <w:r w:rsidRPr="00131B9B">
        <w:t xml:space="preserve"> co-formulated tablets,</w:t>
      </w:r>
      <w:r>
        <w:t xml:space="preserve"> </w:t>
      </w:r>
      <w:r w:rsidR="00590286">
        <w:t>ombitasvir</w:t>
      </w:r>
      <w:r w:rsidRPr="00131B9B">
        <w:t xml:space="preserve"> AUC values in healthy Japanese and Chinese subjects were comparable o</w:t>
      </w:r>
      <w:r>
        <w:t xml:space="preserve">r slightly higher </w:t>
      </w:r>
      <w:r w:rsidRPr="00131B9B">
        <w:t>(Japanese/US AUC ratio: 1.06 to 1.21, Chinese/US AUC ratio:</w:t>
      </w:r>
      <w:r>
        <w:t xml:space="preserve"> 0.85 to 1.02) than </w:t>
      </w:r>
      <w:r w:rsidR="00590286">
        <w:t>ombitasvir</w:t>
      </w:r>
      <w:r>
        <w:t xml:space="preserve"> AUC </w:t>
      </w:r>
      <w:r w:rsidRPr="00131B9B">
        <w:t>values in healthy US subjects (M11-389, M11-391 and M12-189).</w:t>
      </w:r>
    </w:p>
    <w:p w:rsidR="00F47ACD" w:rsidRPr="00131B9B" w:rsidRDefault="00131B9B" w:rsidP="009C3E30">
      <w:pPr>
        <w:tabs>
          <w:tab w:val="left" w:pos="3969"/>
        </w:tabs>
      </w:pPr>
      <w:r w:rsidRPr="00131B9B">
        <w:t xml:space="preserve">Similar to the results from Study M13-505 with the </w:t>
      </w:r>
      <w:r w:rsidR="00F201F8">
        <w:t>Phase III</w:t>
      </w:r>
      <w:r w:rsidRPr="00131B9B">
        <w:t xml:space="preserve"> formulation, a pooled anal</w:t>
      </w:r>
      <w:r>
        <w:t xml:space="preserve">ysis of 38 </w:t>
      </w:r>
      <w:r w:rsidRPr="00131B9B">
        <w:t xml:space="preserve">Asian subjects dosed in one of the 6 </w:t>
      </w:r>
      <w:r w:rsidR="00F201F8">
        <w:t>Phase III</w:t>
      </w:r>
      <w:r w:rsidRPr="00131B9B">
        <w:t xml:space="preserve"> studies (M11-</w:t>
      </w:r>
      <w:r>
        <w:t xml:space="preserve">646, M13-098, M13-389, M13-961, </w:t>
      </w:r>
      <w:r w:rsidRPr="00131B9B">
        <w:t xml:space="preserve">M14-002, and M13-099) and supportive </w:t>
      </w:r>
      <w:r w:rsidR="00F201F8">
        <w:t>Phase II</w:t>
      </w:r>
      <w:r w:rsidRPr="00131B9B">
        <w:t xml:space="preserve"> Study M14-103 s</w:t>
      </w:r>
      <w:r>
        <w:t xml:space="preserve">howed only a modest increase in </w:t>
      </w:r>
      <w:r w:rsidRPr="00131B9B">
        <w:t xml:space="preserve">exposures of </w:t>
      </w:r>
      <w:r w:rsidR="00F573D0">
        <w:t>paritaprevir</w:t>
      </w:r>
      <w:r w:rsidRPr="00131B9B">
        <w:t xml:space="preserve"> compared with the</w:t>
      </w:r>
      <w:r w:rsidR="00C50A94">
        <w:t xml:space="preserve"> N</w:t>
      </w:r>
      <w:r w:rsidRPr="00131B9B">
        <w:t xml:space="preserve">on-Asian subjects. The </w:t>
      </w:r>
      <w:r w:rsidR="00C50A94">
        <w:t xml:space="preserve">geometric mean steady </w:t>
      </w:r>
      <w:r>
        <w:t xml:space="preserve">state </w:t>
      </w:r>
      <w:r w:rsidRPr="00CE16B7">
        <w:t>exposures (</w:t>
      </w:r>
      <w:r w:rsidR="000E1719" w:rsidRPr="00CE16B7">
        <w:t>maximum</w:t>
      </w:r>
      <w:r w:rsidR="00C50A94" w:rsidRPr="00CE16B7">
        <w:t xml:space="preserve"> plasma concentration at steady </w:t>
      </w:r>
      <w:r w:rsidR="000E1719" w:rsidRPr="00CE16B7">
        <w:t>state (</w:t>
      </w:r>
      <w:r w:rsidR="003A33A4" w:rsidRPr="00CE16B7">
        <w:t>C</w:t>
      </w:r>
      <w:r w:rsidR="003A33A4" w:rsidRPr="00CE16B7">
        <w:rPr>
          <w:vertAlign w:val="subscript"/>
        </w:rPr>
        <w:t>max</w:t>
      </w:r>
      <w:r w:rsidR="000E1719" w:rsidRPr="00CE16B7">
        <w:t>,</w:t>
      </w:r>
      <w:r w:rsidRPr="00CE16B7">
        <w:rPr>
          <w:vertAlign w:val="subscript"/>
        </w:rPr>
        <w:t>ss</w:t>
      </w:r>
      <w:r w:rsidR="000E1719" w:rsidRPr="00CE16B7">
        <w:t>)</w:t>
      </w:r>
      <w:r w:rsidRPr="00131B9B">
        <w:t xml:space="preserve"> and AUC</w:t>
      </w:r>
      <w:r w:rsidRPr="000E1719">
        <w:rPr>
          <w:vertAlign w:val="subscript"/>
        </w:rPr>
        <w:t>24</w:t>
      </w:r>
      <w:r w:rsidRPr="00131B9B">
        <w:t>,</w:t>
      </w:r>
      <w:r w:rsidRPr="000E1719">
        <w:rPr>
          <w:vertAlign w:val="subscript"/>
        </w:rPr>
        <w:t>ss</w:t>
      </w:r>
      <w:r w:rsidRPr="00131B9B">
        <w:t xml:space="preserve">) of </w:t>
      </w:r>
      <w:r w:rsidR="00F573D0">
        <w:t>paritaprevir</w:t>
      </w:r>
      <w:r w:rsidRPr="00131B9B">
        <w:t xml:space="preserve">, </w:t>
      </w:r>
      <w:r w:rsidR="00590286">
        <w:t>ombitasvir</w:t>
      </w:r>
      <w:r w:rsidRPr="00131B9B">
        <w:t xml:space="preserve"> and </w:t>
      </w:r>
      <w:r w:rsidR="00590286">
        <w:t>dasabuvir</w:t>
      </w:r>
      <w:r>
        <w:t xml:space="preserve"> for the Asian population (N</w:t>
      </w:r>
      <w:r w:rsidR="00BF1FC5">
        <w:t xml:space="preserve"> = </w:t>
      </w:r>
      <w:r w:rsidRPr="00131B9B">
        <w:t xml:space="preserve">38; 37 Asians and 1 White-Asian) were only 37% </w:t>
      </w:r>
      <w:r w:rsidR="00C50A94">
        <w:t>to</w:t>
      </w:r>
      <w:r w:rsidRPr="00131B9B">
        <w:t xml:space="preserve"> 39%, 18% </w:t>
      </w:r>
      <w:r w:rsidR="00C50A94">
        <w:t>to</w:t>
      </w:r>
      <w:r>
        <w:t xml:space="preserve"> 21% and 29% </w:t>
      </w:r>
      <w:r w:rsidR="00C50A94">
        <w:t>to</w:t>
      </w:r>
      <w:r>
        <w:t xml:space="preserve"> 39% higher than </w:t>
      </w:r>
      <w:r w:rsidRPr="00131B9B">
        <w:t>for Non-Asians (N</w:t>
      </w:r>
      <w:r w:rsidR="00BF1FC5">
        <w:t xml:space="preserve"> = </w:t>
      </w:r>
      <w:r w:rsidRPr="00131B9B">
        <w:t>2</w:t>
      </w:r>
      <w:r w:rsidR="00376D29">
        <w:t>,</w:t>
      </w:r>
      <w:r w:rsidRPr="00131B9B">
        <w:t xml:space="preserve">310), </w:t>
      </w:r>
      <w:r w:rsidRPr="00376D29">
        <w:t xml:space="preserve">respectively (Table </w:t>
      </w:r>
      <w:r w:rsidR="00FF289D">
        <w:t>39</w:t>
      </w:r>
      <w:r w:rsidRPr="00376D29">
        <w:t>). There</w:t>
      </w:r>
      <w:r w:rsidRPr="00131B9B">
        <w:t xml:space="preserve"> was signi</w:t>
      </w:r>
      <w:r>
        <w:t xml:space="preserve">ficant overlap in the ranges of </w:t>
      </w:r>
      <w:r w:rsidRPr="00131B9B">
        <w:t xml:space="preserve">exposures between Asians and Non-Asians as shown </w:t>
      </w:r>
      <w:r w:rsidRPr="003559F3">
        <w:t>in Figure</w:t>
      </w:r>
      <w:r w:rsidR="00DB3476" w:rsidRPr="003559F3">
        <w:t>s</w:t>
      </w:r>
      <w:r w:rsidRPr="003559F3">
        <w:t xml:space="preserve"> </w:t>
      </w:r>
      <w:r w:rsidR="005038AE">
        <w:t>2</w:t>
      </w:r>
      <w:r w:rsidR="00B03483">
        <w:t>0</w:t>
      </w:r>
      <w:r w:rsidRPr="003559F3">
        <w:t xml:space="preserve">, </w:t>
      </w:r>
      <w:r w:rsidR="005038AE">
        <w:t>2</w:t>
      </w:r>
      <w:r w:rsidR="00B03483">
        <w:t>1</w:t>
      </w:r>
      <w:r w:rsidRPr="003559F3">
        <w:t xml:space="preserve">, </w:t>
      </w:r>
      <w:r w:rsidR="005038AE">
        <w:t>2</w:t>
      </w:r>
      <w:r w:rsidR="00B03483">
        <w:t>2</w:t>
      </w:r>
      <w:r w:rsidRPr="003559F3">
        <w:t xml:space="preserve"> and </w:t>
      </w:r>
      <w:r w:rsidR="005038AE">
        <w:t>2</w:t>
      </w:r>
      <w:r w:rsidR="00B03483">
        <w:t>3</w:t>
      </w:r>
      <w:r>
        <w:t xml:space="preserve">. </w:t>
      </w:r>
      <w:r w:rsidRPr="00131B9B">
        <w:t xml:space="preserve">Eighteen of the 38 Asian subjects were female. Overall, </w:t>
      </w:r>
      <w:r w:rsidRPr="00131B9B">
        <w:lastRenderedPageBreak/>
        <w:t>the resu</w:t>
      </w:r>
      <w:r>
        <w:t xml:space="preserve">lts do not suggest a clinically </w:t>
      </w:r>
      <w:r w:rsidRPr="00131B9B">
        <w:t xml:space="preserve">meaningful impact of Asian race on the pharmacokinetics </w:t>
      </w:r>
      <w:r>
        <w:t xml:space="preserve">of </w:t>
      </w:r>
      <w:r w:rsidR="00F573D0">
        <w:t>paritaprevir</w:t>
      </w:r>
      <w:r>
        <w:t xml:space="preserve">, </w:t>
      </w:r>
      <w:r w:rsidR="00590286">
        <w:t>ombitasvir</w:t>
      </w:r>
      <w:r>
        <w:t xml:space="preserve">, </w:t>
      </w:r>
      <w:r w:rsidR="00590286">
        <w:t>dasabuvir</w:t>
      </w:r>
      <w:r>
        <w:t xml:space="preserve"> or </w:t>
      </w:r>
      <w:r w:rsidRPr="00131B9B">
        <w:t>ritonavir.</w:t>
      </w:r>
    </w:p>
    <w:p w:rsidR="00F47ACD" w:rsidRPr="006A2841" w:rsidRDefault="006A2841" w:rsidP="00FF289D">
      <w:pPr>
        <w:pStyle w:val="Tabletitle0"/>
      </w:pPr>
      <w:r w:rsidRPr="00376D29">
        <w:t xml:space="preserve">Table </w:t>
      </w:r>
      <w:r w:rsidR="00FF289D">
        <w:t>39</w:t>
      </w:r>
      <w:r w:rsidRPr="00376D29">
        <w:t>:</w:t>
      </w:r>
      <w:r w:rsidRPr="006A2841">
        <w:t xml:space="preserve"> Comparison of </w:t>
      </w:r>
      <w:r w:rsidR="00F573D0">
        <w:t>paritaprevir</w:t>
      </w:r>
      <w:r w:rsidRPr="006A2841">
        <w:t xml:space="preserve">, </w:t>
      </w:r>
      <w:r w:rsidR="00590286">
        <w:t>ombitasvir</w:t>
      </w:r>
      <w:r w:rsidRPr="006A2841">
        <w:t xml:space="preserve">, </w:t>
      </w:r>
      <w:r w:rsidR="00590286">
        <w:t>dasabuvir</w:t>
      </w:r>
      <w:r w:rsidRPr="006A2841">
        <w:t xml:space="preserve"> and </w:t>
      </w:r>
      <w:r w:rsidR="009208F2" w:rsidRPr="006A2841">
        <w:t>ritonavir steady-state exposur</w:t>
      </w:r>
      <w:r w:rsidRPr="006A2841">
        <w:t>es (</w:t>
      </w:r>
      <w:r w:rsidR="003A33A4" w:rsidRPr="008912E8">
        <w:t>C</w:t>
      </w:r>
      <w:r w:rsidR="003A33A4" w:rsidRPr="003A33A4">
        <w:rPr>
          <w:vertAlign w:val="subscript"/>
        </w:rPr>
        <w:t>max</w:t>
      </w:r>
      <w:r w:rsidR="00630EF4">
        <w:t xml:space="preserve"> </w:t>
      </w:r>
      <w:r w:rsidRPr="006A2841">
        <w:t xml:space="preserve">and AUC) </w:t>
      </w:r>
      <w:r w:rsidR="009208F2" w:rsidRPr="006A2841">
        <w:t>b</w:t>
      </w:r>
      <w:r w:rsidRPr="006A2841">
        <w:t xml:space="preserve">etween Asian and Non-Asian </w:t>
      </w:r>
      <w:r w:rsidR="009208F2" w:rsidRPr="006A2841">
        <w:t xml:space="preserve">populations in global </w:t>
      </w:r>
      <w:r w:rsidR="00F201F8">
        <w:t>Phase III</w:t>
      </w:r>
      <w:r w:rsidRPr="006A2841">
        <w:t xml:space="preserve"> </w:t>
      </w:r>
      <w:r w:rsidR="009208F2" w:rsidRPr="006A2841">
        <w:t>s</w:t>
      </w:r>
      <w:r w:rsidRPr="006A2841">
        <w:t xml:space="preserve">tudies plus Study M14-103 (using the </w:t>
      </w:r>
      <w:r w:rsidR="00F201F8">
        <w:t>Phase III</w:t>
      </w:r>
      <w:r w:rsidRPr="006A2841">
        <w:t xml:space="preserve"> </w:t>
      </w:r>
      <w:r w:rsidR="009208F2" w:rsidRPr="006A2841">
        <w:t>formulation and doses) (geometric mean value</w:t>
      </w:r>
      <w:r w:rsidRPr="006A2841">
        <w:t>s)</w:t>
      </w:r>
    </w:p>
    <w:p w:rsidR="00F47ACD" w:rsidRDefault="006A2841" w:rsidP="00F47ACD">
      <w:r>
        <w:rPr>
          <w:noProof/>
          <w:lang w:eastAsia="en-AU"/>
        </w:rPr>
        <w:drawing>
          <wp:inline distT="0" distB="0" distL="0" distR="0" wp14:anchorId="6E86D853" wp14:editId="4625CC8E">
            <wp:extent cx="4667097" cy="1641961"/>
            <wp:effectExtent l="0" t="0" r="635" b="0"/>
            <wp:docPr id="17" name="Picture 17" descr="Table 39: Comparison of paritaprevir, ombitasvir, dasabuvir and ritonavir steady-state exposures (Cmax and AUC) between Asian and Non-Asian populations in global Phase III studies plus Study M14-103 (using the Phase III formulation and doses) (geometric mea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9869" cy="1646455"/>
                    </a:xfrm>
                    <a:prstGeom prst="rect">
                      <a:avLst/>
                    </a:prstGeom>
                  </pic:spPr>
                </pic:pic>
              </a:graphicData>
            </a:graphic>
          </wp:inline>
        </w:drawing>
      </w:r>
    </w:p>
    <w:p w:rsidR="006A2841" w:rsidRPr="006A2841" w:rsidRDefault="006A2841" w:rsidP="006A2841">
      <w:pPr>
        <w:pStyle w:val="FigureTitle"/>
      </w:pPr>
      <w:r w:rsidRPr="003559F3">
        <w:t xml:space="preserve">Figure </w:t>
      </w:r>
      <w:r w:rsidR="005038AE">
        <w:t>2</w:t>
      </w:r>
      <w:r w:rsidR="00B03483">
        <w:t>0</w:t>
      </w:r>
      <w:r w:rsidRPr="003559F3">
        <w:t>: Comparison</w:t>
      </w:r>
      <w:r w:rsidRPr="006A2841">
        <w:t xml:space="preserve"> of </w:t>
      </w:r>
      <w:r w:rsidR="00DB3476">
        <w:t>paritaprevir</w:t>
      </w:r>
      <w:r w:rsidR="00DB3476" w:rsidRPr="006A2841">
        <w:t xml:space="preserve"> steady-state exposures </w:t>
      </w:r>
      <w:r w:rsidRPr="006A2841">
        <w:t>(</w:t>
      </w:r>
      <w:r w:rsidR="003A33A4" w:rsidRPr="008912E8">
        <w:t>C</w:t>
      </w:r>
      <w:r w:rsidR="003A33A4" w:rsidRPr="003A33A4">
        <w:rPr>
          <w:vertAlign w:val="subscript"/>
        </w:rPr>
        <w:t>max</w:t>
      </w:r>
      <w:r w:rsidR="00630EF4">
        <w:t xml:space="preserve"> </w:t>
      </w:r>
      <w:r w:rsidRPr="006A2841">
        <w:t xml:space="preserve">and AUC) </w:t>
      </w:r>
      <w:r w:rsidR="00DB3476" w:rsidRPr="006A2841">
        <w:t>b</w:t>
      </w:r>
      <w:r w:rsidRPr="006A2841">
        <w:t>etween</w:t>
      </w:r>
      <w:r>
        <w:t xml:space="preserve"> </w:t>
      </w:r>
      <w:r w:rsidRPr="006A2841">
        <w:t xml:space="preserve">Asian and Non-Asian </w:t>
      </w:r>
      <w:r w:rsidR="00DB3476" w:rsidRPr="006A2841">
        <w:t>populations in gl</w:t>
      </w:r>
      <w:r w:rsidR="00DB3476">
        <w:t xml:space="preserve">obal </w:t>
      </w:r>
      <w:r w:rsidR="00F201F8">
        <w:t>Phase III</w:t>
      </w:r>
      <w:r>
        <w:t xml:space="preserve"> Studies plus Study </w:t>
      </w:r>
      <w:r w:rsidRPr="006A2841">
        <w:t xml:space="preserve">M14-103 (using the </w:t>
      </w:r>
      <w:r w:rsidR="00F201F8">
        <w:t>Phase III</w:t>
      </w:r>
      <w:r w:rsidRPr="006A2841">
        <w:t xml:space="preserve"> </w:t>
      </w:r>
      <w:r w:rsidR="00DB3476" w:rsidRPr="006A2841">
        <w:t>formulation and doses</w:t>
      </w:r>
      <w:r w:rsidRPr="006A2841">
        <w:t>)</w:t>
      </w:r>
    </w:p>
    <w:p w:rsidR="006A2841" w:rsidRDefault="006A2841" w:rsidP="00F47ACD">
      <w:r>
        <w:rPr>
          <w:noProof/>
          <w:lang w:eastAsia="en-AU"/>
        </w:rPr>
        <w:drawing>
          <wp:inline distT="0" distB="0" distL="0" distR="0" wp14:anchorId="33254CB6" wp14:editId="38FCB5E3">
            <wp:extent cx="4411065" cy="1990634"/>
            <wp:effectExtent l="0" t="0" r="0" b="0"/>
            <wp:docPr id="18" name="Picture 18" descr="Figure 20: Comparison of paritaprevir steady-state exposures (Cmax and AUC) between Asian and Non-Asian populations in global Phase III Studies plus Study M14-103 (using the Phase III formulation and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12838" cy="1991434"/>
                    </a:xfrm>
                    <a:prstGeom prst="rect">
                      <a:avLst/>
                    </a:prstGeom>
                  </pic:spPr>
                </pic:pic>
              </a:graphicData>
            </a:graphic>
          </wp:inline>
        </w:drawing>
      </w:r>
    </w:p>
    <w:p w:rsidR="006A2841" w:rsidRPr="006A2841" w:rsidRDefault="006A2841" w:rsidP="006A2841">
      <w:pPr>
        <w:pStyle w:val="FigureTitle"/>
      </w:pPr>
      <w:r w:rsidRPr="003559F3">
        <w:t xml:space="preserve">Figure </w:t>
      </w:r>
      <w:r w:rsidR="005038AE">
        <w:t>2</w:t>
      </w:r>
      <w:r w:rsidR="00B03483">
        <w:t>1</w:t>
      </w:r>
      <w:r w:rsidRPr="003559F3">
        <w:t>: Comparison</w:t>
      </w:r>
      <w:r w:rsidRPr="006A2841">
        <w:t xml:space="preserve"> of </w:t>
      </w:r>
      <w:r w:rsidR="00590286">
        <w:t>ombitasvir</w:t>
      </w:r>
      <w:r w:rsidRPr="006A2841">
        <w:t xml:space="preserve"> </w:t>
      </w:r>
      <w:r w:rsidR="00DB3476">
        <w:t xml:space="preserve">steady </w:t>
      </w:r>
      <w:r w:rsidR="00DB3476" w:rsidRPr="006A2841">
        <w:t xml:space="preserve">state exposures </w:t>
      </w:r>
      <w:r w:rsidRPr="006A2841">
        <w:t>(</w:t>
      </w:r>
      <w:r w:rsidR="003A33A4" w:rsidRPr="008912E8">
        <w:t>C</w:t>
      </w:r>
      <w:r w:rsidR="003A33A4" w:rsidRPr="003A33A4">
        <w:rPr>
          <w:vertAlign w:val="subscript"/>
        </w:rPr>
        <w:t>max</w:t>
      </w:r>
      <w:r w:rsidR="00630EF4">
        <w:t xml:space="preserve"> </w:t>
      </w:r>
      <w:r w:rsidRPr="006A2841">
        <w:t xml:space="preserve">and AUC) </w:t>
      </w:r>
      <w:r w:rsidR="00DB3476">
        <w:t>b</w:t>
      </w:r>
      <w:r w:rsidRPr="006A2841">
        <w:t>etween</w:t>
      </w:r>
      <w:r>
        <w:t xml:space="preserve"> </w:t>
      </w:r>
      <w:r w:rsidRPr="006A2841">
        <w:t xml:space="preserve">Asian and Non-Asian </w:t>
      </w:r>
      <w:r w:rsidR="00DB3476" w:rsidRPr="006A2841">
        <w:t>populations in gl</w:t>
      </w:r>
      <w:r w:rsidR="00DB3476">
        <w:t xml:space="preserve">obal </w:t>
      </w:r>
      <w:r w:rsidR="00F201F8">
        <w:t>Phase III</w:t>
      </w:r>
      <w:r>
        <w:t xml:space="preserve"> Studies plus Study </w:t>
      </w:r>
      <w:r w:rsidRPr="006A2841">
        <w:t>M14-103</w:t>
      </w:r>
    </w:p>
    <w:p w:rsidR="006A2841" w:rsidRDefault="006A2841" w:rsidP="00F47ACD">
      <w:r>
        <w:rPr>
          <w:noProof/>
          <w:lang w:eastAsia="en-AU"/>
        </w:rPr>
        <w:drawing>
          <wp:inline distT="0" distB="0" distL="0" distR="0" wp14:anchorId="51DAA226" wp14:editId="4B8B8018">
            <wp:extent cx="4974336" cy="2187964"/>
            <wp:effectExtent l="0" t="0" r="0" b="3175"/>
            <wp:docPr id="19" name="Picture 19" descr="Figure 21: Comparison of ombitasvir steady state exposures (Cmax and AUC) between Asian and Non-Asian populations in global Phase III Studies plus Study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75647" cy="2188541"/>
                    </a:xfrm>
                    <a:prstGeom prst="rect">
                      <a:avLst/>
                    </a:prstGeom>
                  </pic:spPr>
                </pic:pic>
              </a:graphicData>
            </a:graphic>
          </wp:inline>
        </w:drawing>
      </w:r>
    </w:p>
    <w:p w:rsidR="006A2841" w:rsidRPr="006A2841" w:rsidRDefault="006A2841" w:rsidP="006A2841">
      <w:pPr>
        <w:pStyle w:val="FigureTitle"/>
      </w:pPr>
      <w:r w:rsidRPr="003559F3">
        <w:lastRenderedPageBreak/>
        <w:t xml:space="preserve">Figure </w:t>
      </w:r>
      <w:r w:rsidR="005038AE">
        <w:t>2</w:t>
      </w:r>
      <w:r w:rsidR="00B03483">
        <w:t>2</w:t>
      </w:r>
      <w:r w:rsidRPr="003559F3">
        <w:t xml:space="preserve">: Comparison of </w:t>
      </w:r>
      <w:r w:rsidR="00590286" w:rsidRPr="003559F3">
        <w:t>dasabuvir</w:t>
      </w:r>
      <w:r w:rsidRPr="003559F3">
        <w:t xml:space="preserve"> </w:t>
      </w:r>
      <w:r w:rsidR="00DB3476" w:rsidRPr="003559F3">
        <w:t xml:space="preserve">steady state exposures </w:t>
      </w:r>
      <w:r w:rsidRPr="003559F3">
        <w:t>(</w:t>
      </w:r>
      <w:r w:rsidR="003A33A4" w:rsidRPr="003559F3">
        <w:t>C</w:t>
      </w:r>
      <w:r w:rsidR="003A33A4" w:rsidRPr="003559F3">
        <w:rPr>
          <w:vertAlign w:val="subscript"/>
        </w:rPr>
        <w:t>max</w:t>
      </w:r>
      <w:r w:rsidR="00630EF4" w:rsidRPr="003559F3">
        <w:t xml:space="preserve"> </w:t>
      </w:r>
      <w:r w:rsidRPr="003559F3">
        <w:t xml:space="preserve">and AUC) </w:t>
      </w:r>
      <w:r w:rsidR="00DB3476" w:rsidRPr="003559F3">
        <w:t>b</w:t>
      </w:r>
      <w:r w:rsidRPr="003559F3">
        <w:t>etween</w:t>
      </w:r>
      <w:r>
        <w:t xml:space="preserve"> </w:t>
      </w:r>
      <w:r w:rsidRPr="006A2841">
        <w:t xml:space="preserve">Asian and Non-Asian </w:t>
      </w:r>
      <w:r w:rsidR="00DB3476" w:rsidRPr="006A2841">
        <w:t xml:space="preserve">populations in global </w:t>
      </w:r>
      <w:r w:rsidR="00F201F8">
        <w:t>Phase III</w:t>
      </w:r>
      <w:r w:rsidRPr="006A2841">
        <w:t xml:space="preserve"> Studies and M14-103</w:t>
      </w:r>
    </w:p>
    <w:p w:rsidR="006A2841" w:rsidRDefault="006A2841" w:rsidP="00F47ACD">
      <w:r>
        <w:rPr>
          <w:noProof/>
          <w:lang w:eastAsia="en-AU"/>
        </w:rPr>
        <w:drawing>
          <wp:inline distT="0" distB="0" distL="0" distR="0" wp14:anchorId="41BDEEF6" wp14:editId="2E852FD5">
            <wp:extent cx="4864608" cy="2078892"/>
            <wp:effectExtent l="0" t="0" r="0" b="0"/>
            <wp:docPr id="20" name="Picture 20" descr="Figure 22: Comparison of dasabuvir steady state exposures (Cmax and AUC) between Asian and Non-Asian population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71830" cy="2081978"/>
                    </a:xfrm>
                    <a:prstGeom prst="rect">
                      <a:avLst/>
                    </a:prstGeom>
                  </pic:spPr>
                </pic:pic>
              </a:graphicData>
            </a:graphic>
          </wp:inline>
        </w:drawing>
      </w:r>
    </w:p>
    <w:p w:rsidR="006A2841" w:rsidRPr="00A07EA4" w:rsidRDefault="009C3E30" w:rsidP="00A07EA4">
      <w:pPr>
        <w:pStyle w:val="FigureTitle"/>
      </w:pPr>
      <w:r w:rsidRPr="003559F3">
        <w:t xml:space="preserve">Figure </w:t>
      </w:r>
      <w:r w:rsidR="005038AE">
        <w:t>2</w:t>
      </w:r>
      <w:r w:rsidR="00B03483">
        <w:t>3</w:t>
      </w:r>
      <w:r w:rsidR="00A07EA4" w:rsidRPr="003559F3">
        <w:t>: Comparison</w:t>
      </w:r>
      <w:r w:rsidR="00A07EA4" w:rsidRPr="00A07EA4">
        <w:t xml:space="preserve"> </w:t>
      </w:r>
      <w:r w:rsidR="00DB3476" w:rsidRPr="00A07EA4">
        <w:t xml:space="preserve">of ritonavir steady-state exposures </w:t>
      </w:r>
      <w:r w:rsidR="00A07EA4" w:rsidRPr="00A07EA4">
        <w:t>(</w:t>
      </w:r>
      <w:r w:rsidR="003A33A4" w:rsidRPr="008912E8">
        <w:t>C</w:t>
      </w:r>
      <w:r w:rsidR="003A33A4" w:rsidRPr="003A33A4">
        <w:rPr>
          <w:vertAlign w:val="subscript"/>
        </w:rPr>
        <w:t>max</w:t>
      </w:r>
      <w:r w:rsidR="00630EF4">
        <w:t xml:space="preserve"> </w:t>
      </w:r>
      <w:r w:rsidR="00A07EA4" w:rsidRPr="00A07EA4">
        <w:t xml:space="preserve">and AUC) </w:t>
      </w:r>
      <w:r w:rsidR="00DB3476">
        <w:t>b</w:t>
      </w:r>
      <w:r w:rsidR="00A07EA4" w:rsidRPr="00A07EA4">
        <w:t xml:space="preserve">etween Asian and Non-Asian </w:t>
      </w:r>
      <w:r w:rsidR="00DB3476" w:rsidRPr="00A07EA4">
        <w:t xml:space="preserve">populations in global </w:t>
      </w:r>
      <w:r w:rsidR="00F201F8">
        <w:t>Phase III</w:t>
      </w:r>
      <w:r w:rsidR="00A07EA4" w:rsidRPr="00A07EA4">
        <w:t xml:space="preserve"> Studies and M14-103</w:t>
      </w:r>
    </w:p>
    <w:p w:rsidR="006A2841" w:rsidRDefault="00A07EA4" w:rsidP="00605D3B">
      <w:r>
        <w:rPr>
          <w:noProof/>
          <w:lang w:eastAsia="en-AU"/>
        </w:rPr>
        <w:drawing>
          <wp:inline distT="0" distB="0" distL="0" distR="0" wp14:anchorId="158E050A" wp14:editId="04641FE9">
            <wp:extent cx="4864608" cy="2096563"/>
            <wp:effectExtent l="0" t="0" r="0" b="0"/>
            <wp:docPr id="23" name="Picture 23" descr="Figure 23: Comparison of ritonavir steady-state exposures (Cmax and AUC) between Asian and Non-Asian population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66892" cy="2097547"/>
                    </a:xfrm>
                    <a:prstGeom prst="rect">
                      <a:avLst/>
                    </a:prstGeom>
                  </pic:spPr>
                </pic:pic>
              </a:graphicData>
            </a:graphic>
          </wp:inline>
        </w:drawing>
      </w:r>
    </w:p>
    <w:p w:rsidR="006A2841" w:rsidRPr="00A07EA4" w:rsidRDefault="00A07EA4" w:rsidP="00A07EA4">
      <w:r w:rsidRPr="00A07EA4">
        <w:t>In summary, while the mean exposures in Asian subjects are higher (up to 60%, 20% and 40% for</w:t>
      </w:r>
      <w:r>
        <w:t xml:space="preserve"> </w:t>
      </w:r>
      <w:r w:rsidR="00F573D0">
        <w:t>paritaprevir</w:t>
      </w:r>
      <w:r w:rsidRPr="00A07EA4">
        <w:t xml:space="preserve">, </w:t>
      </w:r>
      <w:r w:rsidR="00590286">
        <w:t>ombitasvir</w:t>
      </w:r>
      <w:r w:rsidRPr="00A07EA4">
        <w:t xml:space="preserve"> and </w:t>
      </w:r>
      <w:r w:rsidR="00590286">
        <w:t>dasabuvir</w:t>
      </w:r>
      <w:r w:rsidRPr="00A07EA4">
        <w:t>, respectively), the increa</w:t>
      </w:r>
      <w:r>
        <w:t xml:space="preserve">ses are modest and no change is </w:t>
      </w:r>
      <w:r w:rsidRPr="00A07EA4">
        <w:t>required in the dosing recommendation for any of the compounds in the regimen.</w:t>
      </w:r>
    </w:p>
    <w:p w:rsidR="006A2841" w:rsidRPr="002B75CE" w:rsidRDefault="002B75CE" w:rsidP="00605D3B">
      <w:pPr>
        <w:pStyle w:val="Heading6"/>
      </w:pPr>
      <w:r w:rsidRPr="002B75CE">
        <w:t xml:space="preserve">Safety in Asian and Non-Asian HCV </w:t>
      </w:r>
      <w:r w:rsidR="00202E0D">
        <w:t>genotype</w:t>
      </w:r>
      <w:r w:rsidRPr="002B75CE">
        <w:t>1-</w:t>
      </w:r>
      <w:r w:rsidR="00605D3B" w:rsidRPr="002B75CE">
        <w:t xml:space="preserve">infected subjects in the global </w:t>
      </w:r>
      <w:r w:rsidR="00237CBE">
        <w:t>3DAA</w:t>
      </w:r>
      <w:r w:rsidRPr="002B75CE">
        <w:t xml:space="preserve"> </w:t>
      </w:r>
      <w:r w:rsidR="00605D3B" w:rsidRPr="002B75CE">
        <w:t>development program</w:t>
      </w:r>
    </w:p>
    <w:p w:rsidR="002B75CE" w:rsidRPr="002B75CE" w:rsidRDefault="002B75CE" w:rsidP="002B75CE">
      <w:r w:rsidRPr="002B75CE">
        <w:t xml:space="preserve">A total of 38 Asian subjects participated in the 6 </w:t>
      </w:r>
      <w:r w:rsidR="00F201F8">
        <w:t>Phase III</w:t>
      </w:r>
      <w:r w:rsidRPr="002B75CE">
        <w:t xml:space="preserve"> studies and supportive </w:t>
      </w:r>
      <w:r w:rsidR="00F201F8">
        <w:t>Phase II</w:t>
      </w:r>
      <w:r w:rsidRPr="002B75CE">
        <w:t xml:space="preserve"> study</w:t>
      </w:r>
      <w:r>
        <w:t xml:space="preserve"> </w:t>
      </w:r>
      <w:r w:rsidRPr="002B75CE">
        <w:t xml:space="preserve">(M14-103) in the global </w:t>
      </w:r>
      <w:r w:rsidR="00237CBE">
        <w:t>3DAA</w:t>
      </w:r>
      <w:r w:rsidRPr="002B75CE">
        <w:t xml:space="preserve"> development program. These Asian subjects received 12 weeks </w:t>
      </w:r>
      <w:r>
        <w:t xml:space="preserve">of </w:t>
      </w:r>
      <w:r w:rsidR="00237CBE">
        <w:t>3DAA</w:t>
      </w:r>
      <w:r w:rsidRPr="002B75CE">
        <w:t xml:space="preserve">, 12 weeks of </w:t>
      </w:r>
      <w:r w:rsidR="00237CBE">
        <w:t>3DAA</w:t>
      </w:r>
      <w:r w:rsidRPr="002B75CE">
        <w:t xml:space="preserve"> + RBV, or 24 weeks of </w:t>
      </w:r>
      <w:r w:rsidR="00237CBE">
        <w:t>3DAA</w:t>
      </w:r>
      <w:r w:rsidRPr="002B75CE">
        <w:t xml:space="preserve"> + RBV de</w:t>
      </w:r>
      <w:r>
        <w:t xml:space="preserve">pending upon the trial in which </w:t>
      </w:r>
      <w:r w:rsidRPr="002B75CE">
        <w:t>they participated.</w:t>
      </w:r>
    </w:p>
    <w:p w:rsidR="002B75CE" w:rsidRPr="002B75CE" w:rsidRDefault="002B75CE" w:rsidP="002B75CE">
      <w:r w:rsidRPr="002B75CE">
        <w:t>Demographic characteristics of Asian subjects were comparable</w:t>
      </w:r>
      <w:r w:rsidR="00A621A8">
        <w:t xml:space="preserve"> to those of </w:t>
      </w:r>
      <w:r w:rsidR="00A3290A">
        <w:t>Non-Asian</w:t>
      </w:r>
      <w:r>
        <w:t xml:space="preserve"> subjects </w:t>
      </w:r>
      <w:r w:rsidRPr="002B75CE">
        <w:t>(</w:t>
      </w:r>
      <w:r w:rsidRPr="003559F3">
        <w:t xml:space="preserve">Table </w:t>
      </w:r>
      <w:r w:rsidR="00FF289D">
        <w:t>40</w:t>
      </w:r>
      <w:r w:rsidRPr="003559F3">
        <w:t>) except</w:t>
      </w:r>
      <w:r w:rsidRPr="002B75CE">
        <w:t xml:space="preserve"> that mean body weight was lower (67.9 kg versus 77.7 kg).</w:t>
      </w:r>
    </w:p>
    <w:p w:rsidR="006A2841" w:rsidRDefault="002B75CE" w:rsidP="002B75CE">
      <w:r w:rsidRPr="002B75CE">
        <w:t xml:space="preserve">Baseline disease characteristics for </w:t>
      </w:r>
      <w:r w:rsidR="00A3290A">
        <w:t>Non-Asian</w:t>
      </w:r>
      <w:r w:rsidRPr="002B75CE">
        <w:t xml:space="preserve"> and Asian subjects ar</w:t>
      </w:r>
      <w:r>
        <w:t xml:space="preserve">e presented in </w:t>
      </w:r>
      <w:r w:rsidR="00FF289D">
        <w:t>Table 41</w:t>
      </w:r>
      <w:r w:rsidRPr="003559F3">
        <w:t>.</w:t>
      </w:r>
      <w:r>
        <w:t xml:space="preserve"> Similar </w:t>
      </w:r>
      <w:r w:rsidRPr="002B75CE">
        <w:t xml:space="preserve">to </w:t>
      </w:r>
      <w:r w:rsidR="00A3290A">
        <w:t>Non-Asian</w:t>
      </w:r>
      <w:r w:rsidRPr="002B75CE">
        <w:t xml:space="preserve"> subjects, the majority of Asian subjects was </w:t>
      </w:r>
      <w:r w:rsidR="0030257D">
        <w:t>treatment naïve</w:t>
      </w:r>
      <w:r>
        <w:t xml:space="preserve"> (71.1%) and had minimal </w:t>
      </w:r>
      <w:r w:rsidR="00A621A8">
        <w:t>fibrosis (F0 to</w:t>
      </w:r>
      <w:r w:rsidRPr="002B75CE">
        <w:t xml:space="preserve"> F1, 63.2%). A total of 8 (21.2%) Asian subjects </w:t>
      </w:r>
      <w:r>
        <w:t xml:space="preserve">had compensated cirrhosis and 6 </w:t>
      </w:r>
      <w:r w:rsidRPr="002B75CE">
        <w:t>(15.8%) Asian subjects were null responders to previous</w:t>
      </w:r>
      <w:r>
        <w:t xml:space="preserve"> pegIFN/RBV treatment. A higher </w:t>
      </w:r>
      <w:r w:rsidRPr="002B75CE">
        <w:t>percentage of Asian subjects had IL28B CC (65.8% versus 21.</w:t>
      </w:r>
      <w:r>
        <w:t xml:space="preserve">1%) and were infected with </w:t>
      </w:r>
      <w:r w:rsidR="00202E0D">
        <w:t>genotype</w:t>
      </w:r>
      <w:r>
        <w:t xml:space="preserve">1b </w:t>
      </w:r>
      <w:r w:rsidRPr="002B75CE">
        <w:t xml:space="preserve">(60.5% </w:t>
      </w:r>
      <w:r w:rsidR="00A621A8">
        <w:t xml:space="preserve">versus 46.3%) compared with </w:t>
      </w:r>
      <w:r w:rsidR="00A3290A">
        <w:t>Non-Asian</w:t>
      </w:r>
      <w:r w:rsidRPr="002B75CE">
        <w:t xml:space="preserve"> subjects.</w:t>
      </w:r>
    </w:p>
    <w:p w:rsidR="002B75CE" w:rsidRDefault="002B75CE" w:rsidP="00FF289D">
      <w:pPr>
        <w:pStyle w:val="Tabletitle0"/>
      </w:pPr>
      <w:r w:rsidRPr="003559F3">
        <w:lastRenderedPageBreak/>
        <w:t xml:space="preserve">Table </w:t>
      </w:r>
      <w:r w:rsidR="00FF289D">
        <w:t>40</w:t>
      </w:r>
      <w:r w:rsidRPr="003559F3">
        <w:t>: Demographic</w:t>
      </w:r>
      <w:r w:rsidRPr="002B75CE">
        <w:t xml:space="preserve"> </w:t>
      </w:r>
      <w:r w:rsidR="009208F2" w:rsidRPr="002B75CE">
        <w:t>c</w:t>
      </w:r>
      <w:r w:rsidRPr="002B75CE">
        <w:t xml:space="preserve">haracteristics of Asian and Non-Asian </w:t>
      </w:r>
      <w:r w:rsidR="009208F2" w:rsidRPr="002B75CE">
        <w:t xml:space="preserve">subjects in global </w:t>
      </w:r>
      <w:r w:rsidR="00F201F8">
        <w:t>Phase II</w:t>
      </w:r>
      <w:r w:rsidRPr="002B75CE">
        <w:t xml:space="preserve"> and </w:t>
      </w:r>
      <w:r w:rsidR="00167A1A">
        <w:t>III</w:t>
      </w:r>
      <w:r w:rsidRPr="002B75CE">
        <w:t xml:space="preserve"> </w:t>
      </w:r>
      <w:r w:rsidR="009208F2" w:rsidRPr="002B75CE">
        <w:t>s</w:t>
      </w:r>
      <w:r w:rsidRPr="002B75CE">
        <w:t>tudies</w:t>
      </w:r>
    </w:p>
    <w:p w:rsidR="002B75CE" w:rsidRPr="002B75CE" w:rsidRDefault="002B75CE" w:rsidP="00605D3B">
      <w:r>
        <w:rPr>
          <w:noProof/>
          <w:lang w:eastAsia="en-AU"/>
        </w:rPr>
        <w:drawing>
          <wp:inline distT="0" distB="0" distL="0" distR="0" wp14:anchorId="773C31DD" wp14:editId="5B51EB90">
            <wp:extent cx="5092112" cy="2999232"/>
            <wp:effectExtent l="0" t="0" r="0" b="0"/>
            <wp:docPr id="26" name="Picture 26" descr="Table 40: Demographic characteristics of Asian and Non-Asian subjects in global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93454" cy="3000023"/>
                    </a:xfrm>
                    <a:prstGeom prst="rect">
                      <a:avLst/>
                    </a:prstGeom>
                  </pic:spPr>
                </pic:pic>
              </a:graphicData>
            </a:graphic>
          </wp:inline>
        </w:drawing>
      </w:r>
    </w:p>
    <w:p w:rsidR="002B75CE" w:rsidRDefault="002B75CE" w:rsidP="00FF289D">
      <w:pPr>
        <w:pStyle w:val="Tabletitle0"/>
      </w:pPr>
      <w:r w:rsidRPr="003559F3">
        <w:t xml:space="preserve">Table </w:t>
      </w:r>
      <w:r w:rsidR="00FF289D">
        <w:t>41</w:t>
      </w:r>
      <w:r w:rsidRPr="003559F3">
        <w:t>:</w:t>
      </w:r>
      <w:r w:rsidR="004643DC" w:rsidRPr="003559F3">
        <w:t xml:space="preserve"> Baseline</w:t>
      </w:r>
      <w:r w:rsidR="004643DC" w:rsidRPr="004643DC">
        <w:t xml:space="preserve"> </w:t>
      </w:r>
      <w:r w:rsidR="009208F2" w:rsidRPr="004643DC">
        <w:t xml:space="preserve">disease characteristics </w:t>
      </w:r>
      <w:r w:rsidR="004643DC" w:rsidRPr="004643DC">
        <w:t xml:space="preserve">of Asian and Non-Asian </w:t>
      </w:r>
      <w:r w:rsidR="009208F2" w:rsidRPr="004643DC">
        <w:t xml:space="preserve">subjects in global </w:t>
      </w:r>
      <w:r w:rsidR="00F201F8">
        <w:t>Phase II</w:t>
      </w:r>
      <w:r w:rsidR="004643DC" w:rsidRPr="004643DC">
        <w:t xml:space="preserve"> and </w:t>
      </w:r>
      <w:r w:rsidR="00167A1A">
        <w:t>III</w:t>
      </w:r>
      <w:r w:rsidR="004643DC" w:rsidRPr="004643DC">
        <w:t xml:space="preserve"> </w:t>
      </w:r>
      <w:r w:rsidR="009208F2" w:rsidRPr="004643DC">
        <w:t>s</w:t>
      </w:r>
      <w:r w:rsidR="004643DC" w:rsidRPr="004643DC">
        <w:t>tudies</w:t>
      </w:r>
    </w:p>
    <w:p w:rsidR="004643DC" w:rsidRPr="004643DC" w:rsidRDefault="004643DC" w:rsidP="00605D3B">
      <w:r>
        <w:rPr>
          <w:noProof/>
          <w:lang w:eastAsia="en-AU"/>
        </w:rPr>
        <w:drawing>
          <wp:inline distT="0" distB="0" distL="0" distR="0" wp14:anchorId="1613CD3F" wp14:editId="10B5B21F">
            <wp:extent cx="5193764" cy="4433011"/>
            <wp:effectExtent l="0" t="0" r="6985" b="5715"/>
            <wp:docPr id="29" name="Picture 29" descr="Table 41: Baseline disease characteristics of Asian and Non-Asian subjects in global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95133" cy="4434179"/>
                    </a:xfrm>
                    <a:prstGeom prst="rect">
                      <a:avLst/>
                    </a:prstGeom>
                  </pic:spPr>
                </pic:pic>
              </a:graphicData>
            </a:graphic>
          </wp:inline>
        </w:drawing>
      </w:r>
    </w:p>
    <w:p w:rsidR="004643DC" w:rsidRPr="004643DC" w:rsidRDefault="004643DC" w:rsidP="004643DC">
      <w:r w:rsidRPr="004643DC">
        <w:t xml:space="preserve">An overview of </w:t>
      </w:r>
      <w:r w:rsidR="00640225">
        <w:t>treatment emergent</w:t>
      </w:r>
      <w:r w:rsidRPr="004643DC">
        <w:t xml:space="preserve"> adverse events is presented </w:t>
      </w:r>
      <w:r w:rsidRPr="003559F3">
        <w:t xml:space="preserve">in Table </w:t>
      </w:r>
      <w:r w:rsidR="00FF289D">
        <w:t>42</w:t>
      </w:r>
      <w:r w:rsidRPr="003559F3">
        <w:t>.</w:t>
      </w:r>
      <w:r w:rsidRPr="004643DC">
        <w:t xml:space="preserve"> A majority of subjects</w:t>
      </w:r>
      <w:r>
        <w:t xml:space="preserve"> </w:t>
      </w:r>
      <w:r w:rsidRPr="004643DC">
        <w:t xml:space="preserve">(84.9% of </w:t>
      </w:r>
      <w:r w:rsidR="00A3290A">
        <w:t>Non-Asian</w:t>
      </w:r>
      <w:r w:rsidRPr="004643DC">
        <w:t xml:space="preserve"> subjects and 97.4% of Asian subjects, res</w:t>
      </w:r>
      <w:r>
        <w:t xml:space="preserve">pectively) </w:t>
      </w:r>
      <w:r>
        <w:lastRenderedPageBreak/>
        <w:t xml:space="preserve">experienced at least </w:t>
      </w:r>
      <w:r w:rsidRPr="004643DC">
        <w:t xml:space="preserve">1 </w:t>
      </w:r>
      <w:r w:rsidR="00640225">
        <w:t>treatment emergent</w:t>
      </w:r>
      <w:r w:rsidRPr="004643DC">
        <w:t xml:space="preserve"> adverse event. Most of these subjects experienced events that were m</w:t>
      </w:r>
      <w:r>
        <w:t xml:space="preserve">ild in </w:t>
      </w:r>
      <w:r w:rsidRPr="004643DC">
        <w:t>severity.</w:t>
      </w:r>
    </w:p>
    <w:p w:rsidR="004643DC" w:rsidRPr="004643DC" w:rsidRDefault="004643DC" w:rsidP="004643DC">
      <w:r w:rsidRPr="004643DC">
        <w:t>The most common adverse events (</w:t>
      </w:r>
      <w:r w:rsidR="000C3156">
        <w:t xml:space="preserve">≥ </w:t>
      </w:r>
      <w:r w:rsidRPr="004643DC">
        <w:t xml:space="preserve">10.0% of Asian or </w:t>
      </w:r>
      <w:r w:rsidR="00A3290A">
        <w:t>Non-Asian</w:t>
      </w:r>
      <w:r>
        <w:t xml:space="preserve"> subjects) are presented </w:t>
      </w:r>
      <w:r w:rsidRPr="003559F3">
        <w:t xml:space="preserve">in Table </w:t>
      </w:r>
      <w:r w:rsidR="00FF289D">
        <w:t>43</w:t>
      </w:r>
      <w:r w:rsidRPr="003559F3">
        <w:t xml:space="preserve"> and</w:t>
      </w:r>
      <w:r w:rsidRPr="004643DC">
        <w:t xml:space="preserve"> were generally comparable between </w:t>
      </w:r>
      <w:r w:rsidR="00A3290A">
        <w:t>Non-Asian</w:t>
      </w:r>
      <w:r w:rsidRPr="004643DC">
        <w:t xml:space="preserve"> a</w:t>
      </w:r>
      <w:r>
        <w:t xml:space="preserve">nd Asian subjects. There was no </w:t>
      </w:r>
      <w:r w:rsidRPr="004643DC">
        <w:t>apparent difference in the pattern of moderate</w:t>
      </w:r>
      <w:r w:rsidR="00BF1FC5">
        <w:t xml:space="preserve"> to</w:t>
      </w:r>
      <w:r w:rsidRPr="004643DC">
        <w:t>-severe advers</w:t>
      </w:r>
      <w:r>
        <w:t xml:space="preserve">e events between Asian and non- </w:t>
      </w:r>
      <w:r w:rsidRPr="004643DC">
        <w:t>Asian subjects.</w:t>
      </w:r>
    </w:p>
    <w:p w:rsidR="004643DC" w:rsidRPr="004643DC" w:rsidRDefault="004643DC" w:rsidP="004643DC">
      <w:r w:rsidRPr="004643DC">
        <w:t xml:space="preserve">The incidences of </w:t>
      </w:r>
      <w:r w:rsidR="00640225">
        <w:t>treatment emergent</w:t>
      </w:r>
      <w:r w:rsidRPr="004643DC">
        <w:t xml:space="preserve"> serious adverse events (2</w:t>
      </w:r>
      <w:r>
        <w:t xml:space="preserve">.6% in both Asian and </w:t>
      </w:r>
      <w:r w:rsidR="00A3290A">
        <w:t>Non-Asian</w:t>
      </w:r>
      <w:r>
        <w:t xml:space="preserve"> </w:t>
      </w:r>
      <w:r w:rsidRPr="004643DC">
        <w:t xml:space="preserve">subjects) and </w:t>
      </w:r>
      <w:r w:rsidR="00640225">
        <w:t>treatment emergent</w:t>
      </w:r>
      <w:r w:rsidRPr="004643DC">
        <w:t xml:space="preserve"> adverse events leading to discon</w:t>
      </w:r>
      <w:r>
        <w:t xml:space="preserve">tinuation of study drug (0% and </w:t>
      </w:r>
      <w:r w:rsidRPr="004643DC">
        <w:t xml:space="preserve">1.0% in Asian and </w:t>
      </w:r>
      <w:r w:rsidR="00A3290A">
        <w:t>Non-Asian</w:t>
      </w:r>
      <w:r w:rsidRPr="004643DC">
        <w:t xml:space="preserve"> groups, respectively) were low. Only </w:t>
      </w:r>
      <w:r>
        <w:t xml:space="preserve">one Asian subject experienced a </w:t>
      </w:r>
      <w:r w:rsidRPr="004643DC">
        <w:t>serious adverse event (subcutaneous abscess) that was c</w:t>
      </w:r>
      <w:r>
        <w:t xml:space="preserve">onsidered to have no reasonable </w:t>
      </w:r>
      <w:r w:rsidRPr="004643DC">
        <w:t xml:space="preserve">possibility of relatedness to </w:t>
      </w:r>
      <w:r w:rsidR="00237CBE">
        <w:t>3DAA</w:t>
      </w:r>
      <w:r w:rsidRPr="004643DC">
        <w:t xml:space="preserve"> or RBV. No deaths were observed among Asian </w:t>
      </w:r>
      <w:r w:rsidRPr="003559F3">
        <w:t xml:space="preserve">subjects (Table </w:t>
      </w:r>
      <w:r w:rsidR="00FF289D">
        <w:t>42</w:t>
      </w:r>
      <w:r w:rsidRPr="003559F3">
        <w:t>).</w:t>
      </w:r>
    </w:p>
    <w:p w:rsidR="004643DC" w:rsidRPr="004643DC" w:rsidRDefault="004643DC" w:rsidP="004643DC">
      <w:r w:rsidRPr="004643DC">
        <w:t>Laboratory abnormalities of special interest were also assessed f</w:t>
      </w:r>
      <w:r>
        <w:t xml:space="preserve">or Asian and </w:t>
      </w:r>
      <w:r w:rsidR="00A3290A">
        <w:t>Non-Asian</w:t>
      </w:r>
      <w:r>
        <w:t xml:space="preserve"> subjects </w:t>
      </w:r>
      <w:r w:rsidRPr="009208F2">
        <w:t>(</w:t>
      </w:r>
      <w:r w:rsidRPr="003559F3">
        <w:t xml:space="preserve">Table </w:t>
      </w:r>
      <w:r w:rsidR="003559F3" w:rsidRPr="003559F3">
        <w:t>4</w:t>
      </w:r>
      <w:r w:rsidR="00FF289D">
        <w:t>4</w:t>
      </w:r>
      <w:r w:rsidRPr="009208F2">
        <w:t>).</w:t>
      </w:r>
      <w:r w:rsidRPr="004643DC">
        <w:t xml:space="preserve"> The severity and frequency of laboratory abnormal</w:t>
      </w:r>
      <w:r>
        <w:t xml:space="preserve">ities among </w:t>
      </w:r>
      <w:r w:rsidR="00A3290A">
        <w:t>Non-Asian</w:t>
      </w:r>
      <w:r>
        <w:t xml:space="preserve"> and Asian </w:t>
      </w:r>
      <w:r w:rsidRPr="004643DC">
        <w:t>subjects were generally similar.</w:t>
      </w:r>
    </w:p>
    <w:p w:rsidR="004643DC" w:rsidRPr="004643DC" w:rsidRDefault="004643DC" w:rsidP="004643DC">
      <w:r w:rsidRPr="004643DC">
        <w:t xml:space="preserve">In summary, in the global </w:t>
      </w:r>
      <w:r w:rsidR="00237CBE">
        <w:t>3DAA</w:t>
      </w:r>
      <w:r w:rsidRPr="004643DC">
        <w:t xml:space="preserve"> development program, demograph</w:t>
      </w:r>
      <w:r>
        <w:t xml:space="preserve">ic and baseline characteristics </w:t>
      </w:r>
      <w:r w:rsidRPr="004643DC">
        <w:t xml:space="preserve">in Asian and </w:t>
      </w:r>
      <w:r w:rsidR="00A3290A">
        <w:t>Non-Asian</w:t>
      </w:r>
      <w:r w:rsidRPr="004643DC">
        <w:t xml:space="preserve"> subjects were generally similar except fo</w:t>
      </w:r>
      <w:r>
        <w:t xml:space="preserve">r the lower body weight, higher </w:t>
      </w:r>
      <w:r w:rsidRPr="004643DC">
        <w:t xml:space="preserve">percentage of IL28B-CC haplotype and higher percentage of </w:t>
      </w:r>
      <w:r w:rsidR="00202E0D">
        <w:t>genotype</w:t>
      </w:r>
      <w:r w:rsidRPr="004643DC">
        <w:t>1b infection in Asian</w:t>
      </w:r>
      <w:r>
        <w:t xml:space="preserve"> subjects, as </w:t>
      </w:r>
      <w:r w:rsidRPr="004643DC">
        <w:t xml:space="preserve">expected. The safety profile of the </w:t>
      </w:r>
      <w:r w:rsidR="00237CBE">
        <w:t>3DAA</w:t>
      </w:r>
      <w:r w:rsidRPr="004643DC">
        <w:t xml:space="preserve"> regimen in Asian and </w:t>
      </w:r>
      <w:r w:rsidR="00A3290A">
        <w:t>Non-Asian</w:t>
      </w:r>
      <w:r w:rsidRPr="004643DC">
        <w:t xml:space="preserve"> subjects </w:t>
      </w:r>
      <w:r w:rsidR="00A3290A">
        <w:t>was</w:t>
      </w:r>
      <w:r w:rsidR="00A3290A" w:rsidRPr="004643DC">
        <w:t xml:space="preserve"> </w:t>
      </w:r>
      <w:r w:rsidRPr="004643DC">
        <w:t>similar.</w:t>
      </w:r>
    </w:p>
    <w:p w:rsidR="002B75CE" w:rsidRPr="004643DC" w:rsidRDefault="004643DC" w:rsidP="004643DC">
      <w:r w:rsidRPr="004643DC">
        <w:t>Therefore, there is a reasonable amount of data from Latino or Asi</w:t>
      </w:r>
      <w:r>
        <w:t xml:space="preserve">an subjects in the global </w:t>
      </w:r>
      <w:r w:rsidR="00237CBE">
        <w:t>3DAA</w:t>
      </w:r>
      <w:r>
        <w:t xml:space="preserve"> </w:t>
      </w:r>
      <w:r w:rsidRPr="004643DC">
        <w:t>development program. The sponsor considers that, for the Austr</w:t>
      </w:r>
      <w:r>
        <w:t xml:space="preserve">alian PI, the recommendation of </w:t>
      </w:r>
      <w:r w:rsidRPr="004643DC">
        <w:t>“No dose adjustment is necessary for paritaprevir/ritonavir/ombitasvi</w:t>
      </w:r>
      <w:r>
        <w:t xml:space="preserve">r or dasabuvir based on race or </w:t>
      </w:r>
      <w:r w:rsidRPr="004643DC">
        <w:t>ethnicity.” is appropriate, and stating the magnitude of difference</w:t>
      </w:r>
      <w:r>
        <w:t xml:space="preserve">s between Asians and </w:t>
      </w:r>
      <w:r w:rsidR="00A3290A">
        <w:t>Non-Asian</w:t>
      </w:r>
      <w:r>
        <w:t xml:space="preserve">s </w:t>
      </w:r>
      <w:r w:rsidRPr="004643DC">
        <w:t>from population PK analysis is appropriate:</w:t>
      </w:r>
    </w:p>
    <w:p w:rsidR="002B75CE" w:rsidRPr="004643DC" w:rsidRDefault="004643DC" w:rsidP="004643DC">
      <w:r w:rsidRPr="004643DC">
        <w:t xml:space="preserve">“Based on population pharmacokinetic analysis of data from </w:t>
      </w:r>
      <w:r w:rsidR="00F201F8">
        <w:t>Phase III</w:t>
      </w:r>
      <w:r w:rsidRPr="004643DC">
        <w:t xml:space="preserve"> clinical studies, Asian</w:t>
      </w:r>
      <w:r>
        <w:t xml:space="preserve"> </w:t>
      </w:r>
      <w:r w:rsidRPr="004643DC">
        <w:t>subjects had 18% to 21%, 37% to 39% and 29% to 39% high</w:t>
      </w:r>
      <w:r>
        <w:t xml:space="preserve">er ombitasvir, paritaprevir and </w:t>
      </w:r>
      <w:r w:rsidRPr="004643DC">
        <w:t xml:space="preserve">dasabuvir exposures, respectively, than </w:t>
      </w:r>
      <w:r w:rsidR="00A3290A">
        <w:t>Non-Asian</w:t>
      </w:r>
      <w:r w:rsidRPr="004643DC">
        <w:t xml:space="preserve"> subject</w:t>
      </w:r>
      <w:r>
        <w:t xml:space="preserve">s. The ritonavir exposures were </w:t>
      </w:r>
      <w:r w:rsidRPr="004643DC">
        <w:t xml:space="preserve">comparable between Asians and </w:t>
      </w:r>
      <w:r w:rsidR="00A3290A">
        <w:t>Non-Asian</w:t>
      </w:r>
      <w:r w:rsidRPr="004643DC">
        <w:t>s.”</w:t>
      </w:r>
    </w:p>
    <w:p w:rsidR="002B75CE" w:rsidRPr="004643DC" w:rsidRDefault="004643DC" w:rsidP="00FF289D">
      <w:pPr>
        <w:pStyle w:val="Tabletitle0"/>
      </w:pPr>
      <w:r w:rsidRPr="003559F3">
        <w:t xml:space="preserve">Table </w:t>
      </w:r>
      <w:r w:rsidR="00FF289D">
        <w:t>42</w:t>
      </w:r>
      <w:r w:rsidRPr="003559F3">
        <w:t>:</w:t>
      </w:r>
      <w:r w:rsidRPr="004643DC">
        <w:t xml:space="preserve"> Overview of </w:t>
      </w:r>
      <w:r w:rsidR="009208F2">
        <w:t>treatment emer</w:t>
      </w:r>
      <w:r w:rsidR="00640225">
        <w:t>gent</w:t>
      </w:r>
      <w:r w:rsidRPr="004643DC">
        <w:t xml:space="preserve"> AEs for Asian and Non-Asian </w:t>
      </w:r>
      <w:r w:rsidR="009208F2" w:rsidRPr="004643DC">
        <w:t>s</w:t>
      </w:r>
      <w:r w:rsidRPr="004643DC">
        <w:t xml:space="preserve">ubjects in </w:t>
      </w:r>
      <w:r w:rsidR="009208F2" w:rsidRPr="004643DC">
        <w:t>g</w:t>
      </w:r>
      <w:r w:rsidRPr="004643DC">
        <w:t xml:space="preserve">lobal </w:t>
      </w:r>
      <w:r w:rsidR="00F201F8">
        <w:t>Phase III</w:t>
      </w:r>
      <w:r w:rsidRPr="004643DC">
        <w:t xml:space="preserve"> Studies and M14-103</w:t>
      </w:r>
    </w:p>
    <w:p w:rsidR="006A2841" w:rsidRDefault="004643DC" w:rsidP="00F47ACD">
      <w:r>
        <w:rPr>
          <w:noProof/>
          <w:lang w:eastAsia="en-AU"/>
        </w:rPr>
        <w:drawing>
          <wp:inline distT="0" distB="0" distL="0" distR="0" wp14:anchorId="1E74E211" wp14:editId="051155C2">
            <wp:extent cx="5400040" cy="2702328"/>
            <wp:effectExtent l="0" t="0" r="0" b="3175"/>
            <wp:docPr id="30" name="Picture 30" descr="Table 42: Overview of treatment emergent AEs for Asian and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2702328"/>
                    </a:xfrm>
                    <a:prstGeom prst="rect">
                      <a:avLst/>
                    </a:prstGeom>
                  </pic:spPr>
                </pic:pic>
              </a:graphicData>
            </a:graphic>
          </wp:inline>
        </w:drawing>
      </w:r>
    </w:p>
    <w:p w:rsidR="004643DC" w:rsidRPr="004643DC" w:rsidRDefault="004643DC" w:rsidP="00FF289D">
      <w:pPr>
        <w:pStyle w:val="Tabletitle0"/>
      </w:pPr>
      <w:r w:rsidRPr="003559F3">
        <w:lastRenderedPageBreak/>
        <w:t xml:space="preserve">Table </w:t>
      </w:r>
      <w:r w:rsidR="00FF289D">
        <w:t>43</w:t>
      </w:r>
      <w:r w:rsidRPr="003559F3">
        <w:t xml:space="preserve">: </w:t>
      </w:r>
      <w:r w:rsidR="00640225" w:rsidRPr="003559F3">
        <w:t>Treatment</w:t>
      </w:r>
      <w:r w:rsidR="00640225">
        <w:t xml:space="preserve"> emergent</w:t>
      </w:r>
      <w:r w:rsidRPr="004643DC">
        <w:t xml:space="preserve"> </w:t>
      </w:r>
      <w:r w:rsidR="009208F2">
        <w:t>AE</w:t>
      </w:r>
      <w:r w:rsidRPr="004643DC">
        <w:t xml:space="preserve">s </w:t>
      </w:r>
      <w:r w:rsidR="009208F2">
        <w:t>r</w:t>
      </w:r>
      <w:r w:rsidRPr="004643DC">
        <w:t xml:space="preserve">eported for </w:t>
      </w:r>
      <w:r w:rsidR="000C3156">
        <w:t xml:space="preserve">≥ </w:t>
      </w:r>
      <w:r w:rsidRPr="004643DC">
        <w:t xml:space="preserve">10.0% of Asian or Non-Asian </w:t>
      </w:r>
      <w:r w:rsidR="009208F2">
        <w:t>s</w:t>
      </w:r>
      <w:r w:rsidRPr="004643DC">
        <w:t xml:space="preserve">ubjects in </w:t>
      </w:r>
      <w:r w:rsidR="009208F2">
        <w:t>g</w:t>
      </w:r>
      <w:r w:rsidRPr="004643DC">
        <w:t xml:space="preserve">lobal </w:t>
      </w:r>
      <w:r w:rsidR="00F201F8">
        <w:t>Phase III</w:t>
      </w:r>
      <w:r w:rsidRPr="004643DC">
        <w:t xml:space="preserve"> </w:t>
      </w:r>
      <w:r w:rsidR="009208F2">
        <w:t>s</w:t>
      </w:r>
      <w:r w:rsidRPr="004643DC">
        <w:t>tudies</w:t>
      </w:r>
      <w:r>
        <w:t xml:space="preserve"> </w:t>
      </w:r>
      <w:r w:rsidRPr="004643DC">
        <w:t>and M14-103</w:t>
      </w:r>
    </w:p>
    <w:p w:rsidR="004643DC" w:rsidRDefault="004643DC" w:rsidP="00F47ACD">
      <w:r>
        <w:rPr>
          <w:noProof/>
          <w:lang w:eastAsia="en-AU"/>
        </w:rPr>
        <w:drawing>
          <wp:inline distT="0" distB="0" distL="0" distR="0" wp14:anchorId="0513B412" wp14:editId="5FEFB9AE">
            <wp:extent cx="5400040" cy="2859829"/>
            <wp:effectExtent l="0" t="0" r="0" b="0"/>
            <wp:docPr id="31" name="Picture 31" descr="Table 43: Treatment emergent AEs reported for ≥ 10.0% of Asian or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2859829"/>
                    </a:xfrm>
                    <a:prstGeom prst="rect">
                      <a:avLst/>
                    </a:prstGeom>
                  </pic:spPr>
                </pic:pic>
              </a:graphicData>
            </a:graphic>
          </wp:inline>
        </w:drawing>
      </w:r>
    </w:p>
    <w:p w:rsidR="004643DC" w:rsidRDefault="004643DC" w:rsidP="00FF289D">
      <w:pPr>
        <w:pStyle w:val="Tabletitle0"/>
      </w:pPr>
      <w:r w:rsidRPr="003559F3">
        <w:t xml:space="preserve">Table </w:t>
      </w:r>
      <w:r w:rsidR="00FF289D">
        <w:t>44</w:t>
      </w:r>
      <w:r w:rsidRPr="003559F3">
        <w:t>: Key</w:t>
      </w:r>
      <w:r w:rsidRPr="004643DC">
        <w:t xml:space="preserve"> </w:t>
      </w:r>
      <w:r w:rsidR="009208F2" w:rsidRPr="004643DC">
        <w:t xml:space="preserve">laboratory parameters by grade during the treatment period </w:t>
      </w:r>
      <w:r w:rsidRPr="004643DC">
        <w:t xml:space="preserve">for Asian and Non-Asian </w:t>
      </w:r>
      <w:r w:rsidR="009208F2" w:rsidRPr="004643DC">
        <w:t xml:space="preserve">subjects in global </w:t>
      </w:r>
      <w:r w:rsidR="00F201F8">
        <w:t>Phase III</w:t>
      </w:r>
      <w:r>
        <w:t xml:space="preserve"> </w:t>
      </w:r>
      <w:r w:rsidR="009208F2">
        <w:t>s</w:t>
      </w:r>
      <w:r w:rsidRPr="004643DC">
        <w:t>tudies and M14-103</w:t>
      </w:r>
    </w:p>
    <w:p w:rsidR="004643DC" w:rsidRPr="00F47ACD" w:rsidRDefault="004643DC" w:rsidP="00605D3B">
      <w:r>
        <w:rPr>
          <w:noProof/>
          <w:lang w:eastAsia="en-AU"/>
        </w:rPr>
        <w:drawing>
          <wp:inline distT="0" distB="0" distL="0" distR="0" wp14:anchorId="2DE3BE96" wp14:editId="15133BD7">
            <wp:extent cx="5400040" cy="3245793"/>
            <wp:effectExtent l="0" t="0" r="0" b="0"/>
            <wp:docPr id="34" name="Picture 34" descr="Table 44: Key laboratory parameters by grade during the treatment period for Asian and Non-Asian subjects in global Phase III studies and M1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3245793"/>
                    </a:xfrm>
                    <a:prstGeom prst="rect">
                      <a:avLst/>
                    </a:prstGeom>
                  </pic:spPr>
                </pic:pic>
              </a:graphicData>
            </a:graphic>
          </wp:inline>
        </w:drawing>
      </w:r>
    </w:p>
    <w:p w:rsidR="00462A94" w:rsidRDefault="00462A94" w:rsidP="00462A94">
      <w:pPr>
        <w:pStyle w:val="Numberbullet0"/>
      </w:pPr>
      <w:r w:rsidRPr="00462A94">
        <w:t xml:space="preserve">Please ensure there are regular updates to the PI in line with emerging data from clinical trials. In particular, please submit the data relating to special groups including HCV/HIV co-infection (M14-004), post-transplant (M12-99) and the results of the completed studies for this current submission (when available) as a formal future submission to the TGA. The Delegate notes that the data supporting use in patients with </w:t>
      </w:r>
      <w:r w:rsidR="00202E0D">
        <w:t>genotype</w:t>
      </w:r>
      <w:r w:rsidR="00A621A8">
        <w:t xml:space="preserve"> </w:t>
      </w:r>
      <w:r w:rsidRPr="00462A94">
        <w:t xml:space="preserve">4 </w:t>
      </w:r>
      <w:proofErr w:type="gramStart"/>
      <w:r w:rsidRPr="00462A94">
        <w:t>infection</w:t>
      </w:r>
      <w:proofErr w:type="gramEnd"/>
      <w:r w:rsidRPr="00462A94">
        <w:t xml:space="preserve"> will be submitted.</w:t>
      </w:r>
    </w:p>
    <w:p w:rsidR="00F47ACD" w:rsidRDefault="00F47ACD" w:rsidP="00F47ACD">
      <w:pPr>
        <w:rPr>
          <w:i/>
        </w:rPr>
      </w:pPr>
      <w:r w:rsidRPr="00F47ACD">
        <w:rPr>
          <w:i/>
        </w:rPr>
        <w:t>Response from sponsor</w:t>
      </w:r>
    </w:p>
    <w:p w:rsidR="00F47ACD" w:rsidRPr="00F47ACD" w:rsidRDefault="00F47ACD" w:rsidP="00F47ACD">
      <w:r w:rsidRPr="00F47ACD">
        <w:t>We agree to submit the data relating to special groups including HCV/HIV co-infection (M14-004), post</w:t>
      </w:r>
      <w:r>
        <w:t>-</w:t>
      </w:r>
      <w:r w:rsidRPr="00F47ACD">
        <w:t>transplant</w:t>
      </w:r>
      <w:r>
        <w:t xml:space="preserve"> </w:t>
      </w:r>
      <w:r w:rsidRPr="00F47ACD">
        <w:t>(M12-999) and the results of the completed studies for this current submissio</w:t>
      </w:r>
      <w:r>
        <w:t xml:space="preserve">n (when </w:t>
      </w:r>
      <w:r w:rsidRPr="00F47ACD">
        <w:t>available).</w:t>
      </w:r>
    </w:p>
    <w:p w:rsidR="00462A94" w:rsidRDefault="00462A94" w:rsidP="00462A94">
      <w:pPr>
        <w:pStyle w:val="Numberbullet0"/>
      </w:pPr>
      <w:r w:rsidRPr="00462A94">
        <w:lastRenderedPageBreak/>
        <w:t xml:space="preserve">Please provide the most recent version of the patient dosing card and information sheets for both </w:t>
      </w:r>
      <w:r w:rsidR="008B6F3C">
        <w:t>Viekira Pak</w:t>
      </w:r>
      <w:r w:rsidRPr="00462A94">
        <w:t xml:space="preserve"> and </w:t>
      </w:r>
      <w:r w:rsidR="008B6F3C">
        <w:t>Viekira Pak</w:t>
      </w:r>
      <w:r w:rsidRPr="00462A94">
        <w:t xml:space="preserve">-RBV with the pre-ACPM response (as described in the </w:t>
      </w:r>
      <w:r w:rsidR="00A621A8" w:rsidRPr="00462A94">
        <w:t>respon</w:t>
      </w:r>
      <w:r w:rsidRPr="00462A94">
        <w:t xml:space="preserve">se to </w:t>
      </w:r>
      <w:r w:rsidR="00A621A8">
        <w:t>the second round</w:t>
      </w:r>
      <w:r w:rsidRPr="00462A94">
        <w:t xml:space="preserve"> reports, RMP evaluation).</w:t>
      </w:r>
    </w:p>
    <w:p w:rsidR="00F47ACD" w:rsidRPr="00F47ACD" w:rsidRDefault="00F47ACD" w:rsidP="00F47ACD">
      <w:pPr>
        <w:rPr>
          <w:i/>
        </w:rPr>
      </w:pPr>
      <w:r w:rsidRPr="00F47ACD">
        <w:rPr>
          <w:i/>
        </w:rPr>
        <w:t>Response from sponsor</w:t>
      </w:r>
    </w:p>
    <w:p w:rsidR="00F47ACD" w:rsidRPr="00F47ACD" w:rsidRDefault="00F47ACD" w:rsidP="00F47ACD">
      <w:r w:rsidRPr="00F47ACD">
        <w:t xml:space="preserve">Please refer to </w:t>
      </w:r>
      <w:r w:rsidR="00F0556C">
        <w:t xml:space="preserve">the sponsor’s response to </w:t>
      </w:r>
      <w:r w:rsidR="003677DD">
        <w:t>Q</w:t>
      </w:r>
      <w:r w:rsidR="00F0556C">
        <w:t>uestion</w:t>
      </w:r>
      <w:r w:rsidRPr="00F47ACD">
        <w:t xml:space="preserve"> 3 in the </w:t>
      </w:r>
      <w:r w:rsidR="00A621A8" w:rsidRPr="00F47ACD">
        <w:t>re</w:t>
      </w:r>
      <w:r w:rsidRPr="00F47ACD">
        <w:t>quest for</w:t>
      </w:r>
      <w:r w:rsidR="00F0556C">
        <w:t xml:space="preserve"> ACPM</w:t>
      </w:r>
      <w:r w:rsidR="008B6F3C">
        <w:t xml:space="preserve"> </w:t>
      </w:r>
      <w:r w:rsidR="00A621A8" w:rsidRPr="00F47ACD">
        <w:t>a</w:t>
      </w:r>
      <w:r w:rsidRPr="00F47ACD">
        <w:t xml:space="preserve">dvice </w:t>
      </w:r>
      <w:r w:rsidR="00A621A8">
        <w:t xml:space="preserve">response from sponsor </w:t>
      </w:r>
      <w:r w:rsidRPr="00F47ACD">
        <w:t xml:space="preserve">section </w:t>
      </w:r>
      <w:r w:rsidR="00F0556C">
        <w:t>below</w:t>
      </w:r>
      <w:r w:rsidRPr="00F47ACD">
        <w:t>.</w:t>
      </w:r>
    </w:p>
    <w:p w:rsidR="00D23139" w:rsidRDefault="00D23139" w:rsidP="00D23139">
      <w:pPr>
        <w:pStyle w:val="Heading4"/>
      </w:pPr>
      <w:r w:rsidRPr="00D23139">
        <w:t>Proposed action</w:t>
      </w:r>
    </w:p>
    <w:p w:rsidR="00E62BA7" w:rsidRPr="00E62BA7" w:rsidRDefault="0080277C" w:rsidP="00E62BA7">
      <w:r>
        <w:t>The Delegate had</w:t>
      </w:r>
      <w:r w:rsidR="00E62BA7" w:rsidRPr="00E62BA7">
        <w:t xml:space="preserve"> no reason to say, at this time, that the applications for </w:t>
      </w:r>
      <w:r w:rsidR="008B6F3C">
        <w:t>Viekira Pak</w:t>
      </w:r>
      <w:r w:rsidR="00E62BA7" w:rsidRPr="00E62BA7">
        <w:t xml:space="preserve"> and </w:t>
      </w:r>
      <w:r w:rsidR="008B6F3C">
        <w:t>Viekira Pak</w:t>
      </w:r>
      <w:r w:rsidR="00E62BA7" w:rsidRPr="00E62BA7">
        <w:t xml:space="preserve"> RBV should not be approved for registration.</w:t>
      </w:r>
    </w:p>
    <w:p w:rsidR="00D23139" w:rsidRDefault="00D23139" w:rsidP="00D23139">
      <w:pPr>
        <w:pStyle w:val="Heading4"/>
      </w:pPr>
      <w:r w:rsidRPr="00D23139">
        <w:t>Request for ACPM advice</w:t>
      </w:r>
    </w:p>
    <w:p w:rsidR="00E62BA7" w:rsidRPr="00E62BA7" w:rsidRDefault="00E62BA7" w:rsidP="00E62BA7">
      <w:r w:rsidRPr="00E62BA7">
        <w:t>The committee is requested to provide advice on the following specific issues:</w:t>
      </w:r>
    </w:p>
    <w:p w:rsidR="00E62BA7" w:rsidRPr="00E62BA7" w:rsidRDefault="00E62BA7" w:rsidP="008847BA">
      <w:pPr>
        <w:pStyle w:val="Numberbullet0"/>
        <w:numPr>
          <w:ilvl w:val="0"/>
          <w:numId w:val="7"/>
        </w:numPr>
      </w:pPr>
      <w:r w:rsidRPr="00E62BA7">
        <w:t xml:space="preserve">The potential for virological resistance with the use of </w:t>
      </w:r>
      <w:r w:rsidR="008B6F3C">
        <w:t>Viekira Pak</w:t>
      </w:r>
      <w:r w:rsidRPr="00E62BA7">
        <w:t xml:space="preserve"> and </w:t>
      </w:r>
      <w:r w:rsidR="00A621A8">
        <w:t>Viekira </w:t>
      </w:r>
      <w:r w:rsidR="008B6F3C">
        <w:t>Pak</w:t>
      </w:r>
      <w:r w:rsidR="00502A5C">
        <w:noBreakHyphen/>
      </w:r>
      <w:r w:rsidRPr="00E62BA7">
        <w:t>RBV.</w:t>
      </w:r>
    </w:p>
    <w:p w:rsidR="00E62BA7" w:rsidRPr="00E62BA7" w:rsidRDefault="00E62BA7" w:rsidP="008847BA">
      <w:pPr>
        <w:pStyle w:val="Numberbullet0"/>
        <w:numPr>
          <w:ilvl w:val="0"/>
          <w:numId w:val="7"/>
        </w:numPr>
      </w:pPr>
      <w:r w:rsidRPr="00E62BA7">
        <w:t>The adequacy and clarity o</w:t>
      </w:r>
      <w:r w:rsidR="00CC1A0C">
        <w:t xml:space="preserve">f the PI with respect to contra </w:t>
      </w:r>
      <w:r w:rsidRPr="00E62BA7">
        <w:t>indications and drug-drug interactions sections, noting the Delegate’s proposed changes and the presentation o</w:t>
      </w:r>
      <w:r w:rsidR="00A621A8">
        <w:t xml:space="preserve">f overseas </w:t>
      </w:r>
      <w:r w:rsidR="00CC1A0C">
        <w:t>PI</w:t>
      </w:r>
      <w:r w:rsidR="00A621A8">
        <w:t>.</w:t>
      </w:r>
    </w:p>
    <w:p w:rsidR="00E62BA7" w:rsidRPr="00E62BA7" w:rsidRDefault="00E62BA7" w:rsidP="008847BA">
      <w:pPr>
        <w:pStyle w:val="Numberbullet0"/>
        <w:numPr>
          <w:ilvl w:val="0"/>
          <w:numId w:val="7"/>
        </w:numPr>
      </w:pPr>
      <w:r w:rsidRPr="00E62BA7">
        <w:t xml:space="preserve">The clarity of the CMI, patient dosing card and information sheets (see RMP </w:t>
      </w:r>
      <w:r w:rsidR="00CC1A0C">
        <w:t>second round</w:t>
      </w:r>
      <w:r w:rsidRPr="00E62BA7">
        <w:t xml:space="preserve"> report, recommendation 1.12, PM-2014-01438-1-2</w:t>
      </w:r>
      <w:r w:rsidR="00502A5C">
        <w:t xml:space="preserve"> (Viekira Pak-</w:t>
      </w:r>
      <w:r w:rsidR="00CC1A0C">
        <w:t>RBV</w:t>
      </w:r>
      <w:r w:rsidRPr="00E62BA7">
        <w:t>).</w:t>
      </w:r>
    </w:p>
    <w:p w:rsidR="00E62BA7" w:rsidRPr="00E62BA7" w:rsidRDefault="00E62BA7" w:rsidP="008847BA">
      <w:pPr>
        <w:pStyle w:val="Numberbullet0"/>
        <w:numPr>
          <w:ilvl w:val="0"/>
          <w:numId w:val="7"/>
        </w:numPr>
      </w:pPr>
      <w:r w:rsidRPr="00E62BA7">
        <w:t xml:space="preserve">With reference to </w:t>
      </w:r>
      <w:r w:rsidR="008B6F3C">
        <w:t>Viekira Pak</w:t>
      </w:r>
      <w:r w:rsidRPr="00E62BA7">
        <w:t xml:space="preserve"> and the proposed PI, is the broad indication proposed for genotype 1 infection for </w:t>
      </w:r>
      <w:r w:rsidR="008B6F3C">
        <w:t>Viekira Pak</w:t>
      </w:r>
      <w:r w:rsidRPr="00E62BA7">
        <w:t xml:space="preserve"> acceptable, given the data only support use in genotype 1b? Also, is clearer guidance needed for the </w:t>
      </w:r>
      <w:r w:rsidR="008B6F3C">
        <w:t>Viekira Pak</w:t>
      </w:r>
      <w:r w:rsidRPr="00E62BA7">
        <w:t xml:space="preserve"> PI indicating it is currently recommended for </w:t>
      </w:r>
      <w:r w:rsidR="00202E0D">
        <w:t>genotype</w:t>
      </w:r>
      <w:r w:rsidRPr="00E62BA7">
        <w:t>1b only? Should dosing information related to ribavirin be omitted?</w:t>
      </w:r>
    </w:p>
    <w:p w:rsidR="00E62BA7" w:rsidRPr="00E62BA7" w:rsidRDefault="00E62BA7" w:rsidP="008847BA">
      <w:pPr>
        <w:pStyle w:val="Numberbullet0"/>
        <w:numPr>
          <w:ilvl w:val="0"/>
          <w:numId w:val="7"/>
        </w:numPr>
      </w:pPr>
      <w:r w:rsidRPr="00E62BA7">
        <w:t>The updated safety data and report of the compassionate use program anticipated with the pre-ACPM response.</w:t>
      </w:r>
    </w:p>
    <w:p w:rsidR="00E62BA7" w:rsidRPr="00E62BA7" w:rsidRDefault="00E62BA7" w:rsidP="008847BA">
      <w:pPr>
        <w:pStyle w:val="Numberbullet0"/>
        <w:numPr>
          <w:ilvl w:val="0"/>
          <w:numId w:val="7"/>
        </w:numPr>
      </w:pPr>
      <w:r w:rsidRPr="00E62BA7">
        <w:t>Does the PI require further qualification in regards to race and ethnicity for Asian and Hispanic/Latino patients?</w:t>
      </w:r>
    </w:p>
    <w:p w:rsidR="00E62BA7" w:rsidRPr="00E62BA7" w:rsidRDefault="00E62BA7" w:rsidP="00E62BA7">
      <w:r w:rsidRPr="00E62BA7">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926A16">
        <w:t>sponsor</w:t>
      </w:r>
    </w:p>
    <w:p w:rsidR="005F0A89" w:rsidRDefault="00721B2E" w:rsidP="00721B2E">
      <w:r w:rsidRPr="00721B2E">
        <w:t>AbbVie Pty Ltd welcomes the opportunity to provide comments on the evaluation and proposed actions</w:t>
      </w:r>
      <w:r>
        <w:t xml:space="preserve"> </w:t>
      </w:r>
      <w:r w:rsidRPr="00721B2E">
        <w:t xml:space="preserve">in relation to the applications to register </w:t>
      </w:r>
      <w:r w:rsidR="008B6F3C">
        <w:t>Viekira Pak</w:t>
      </w:r>
      <w:r w:rsidRPr="00721B2E">
        <w:t xml:space="preserve"> and </w:t>
      </w:r>
      <w:r w:rsidR="005D0EDF">
        <w:t>Viekira </w:t>
      </w:r>
      <w:r w:rsidR="008B6F3C">
        <w:t>Pak</w:t>
      </w:r>
      <w:r w:rsidR="005D0EDF">
        <w:noBreakHyphen/>
      </w:r>
      <w:r w:rsidRPr="00721B2E">
        <w:t>RBV.</w:t>
      </w:r>
    </w:p>
    <w:p w:rsidR="00721B2E" w:rsidRPr="00721B2E" w:rsidRDefault="00721B2E" w:rsidP="00721B2E">
      <w:r w:rsidRPr="00721B2E">
        <w:t>AbbVie agrees with the assessment of the Delegate in the Reques</w:t>
      </w:r>
      <w:r>
        <w:t xml:space="preserve">t for ACPM’s Advice dated 5 May </w:t>
      </w:r>
      <w:r w:rsidRPr="00721B2E">
        <w:t>2015.</w:t>
      </w:r>
    </w:p>
    <w:p w:rsidR="00721B2E" w:rsidRPr="00721B2E" w:rsidRDefault="00721B2E" w:rsidP="00721B2E">
      <w:r w:rsidRPr="00721B2E">
        <w:t xml:space="preserve">The committee </w:t>
      </w:r>
      <w:r w:rsidR="0080277C">
        <w:t>was</w:t>
      </w:r>
      <w:r w:rsidRPr="00721B2E">
        <w:t xml:space="preserve"> requested to provide advice on the following specific issues:</w:t>
      </w:r>
    </w:p>
    <w:p w:rsidR="00721B2E" w:rsidRPr="005F0A89" w:rsidRDefault="00721B2E" w:rsidP="008847BA">
      <w:pPr>
        <w:pStyle w:val="Numberbullet0"/>
        <w:numPr>
          <w:ilvl w:val="0"/>
          <w:numId w:val="8"/>
        </w:numPr>
        <w:rPr>
          <w:i/>
        </w:rPr>
      </w:pPr>
      <w:r w:rsidRPr="005F0A89">
        <w:rPr>
          <w:i/>
        </w:rPr>
        <w:t xml:space="preserve">The potential for virological resistance with the use of </w:t>
      </w:r>
      <w:r w:rsidR="008B6F3C">
        <w:rPr>
          <w:i/>
        </w:rPr>
        <w:t>Viekira Pak</w:t>
      </w:r>
      <w:r w:rsidRPr="005F0A89">
        <w:rPr>
          <w:i/>
        </w:rPr>
        <w:t xml:space="preserve"> and </w:t>
      </w:r>
      <w:r w:rsidR="008B6F3C">
        <w:rPr>
          <w:i/>
        </w:rPr>
        <w:t>Viekira Pak</w:t>
      </w:r>
      <w:r w:rsidRPr="005F0A89">
        <w:rPr>
          <w:i/>
        </w:rPr>
        <w:t>‐RBV</w:t>
      </w:r>
    </w:p>
    <w:p w:rsidR="00721B2E" w:rsidRPr="00721B2E" w:rsidRDefault="00766FAF" w:rsidP="00721B2E">
      <w:r>
        <w:t>AbbVie</w:t>
      </w:r>
      <w:r w:rsidR="00721B2E" w:rsidRPr="00721B2E">
        <w:t xml:space="preserve"> Comment</w:t>
      </w:r>
      <w:r w:rsidR="003677DD">
        <w:t>:</w:t>
      </w:r>
    </w:p>
    <w:p w:rsidR="00721B2E" w:rsidRPr="00721B2E" w:rsidRDefault="00721B2E" w:rsidP="00721B2E">
      <w:r w:rsidRPr="00721B2E">
        <w:t xml:space="preserve">All interferon-free </w:t>
      </w:r>
      <w:r w:rsidR="005D0EDF">
        <w:t>DAA</w:t>
      </w:r>
      <w:r w:rsidRPr="00721B2E">
        <w:t xml:space="preserve"> combination therapies fo</w:t>
      </w:r>
      <w:r>
        <w:t xml:space="preserve">r genotype 1 infection that are </w:t>
      </w:r>
      <w:r w:rsidRPr="00721B2E">
        <w:t xml:space="preserve">approved or under review, including </w:t>
      </w:r>
      <w:r w:rsidR="008B6F3C">
        <w:t>Viekira Pak</w:t>
      </w:r>
      <w:r w:rsidRPr="00721B2E">
        <w:t xml:space="preserve"> </w:t>
      </w:r>
      <w:r w:rsidR="005D0EDF">
        <w:t>and</w:t>
      </w:r>
      <w:r w:rsidRPr="00721B2E">
        <w:t xml:space="preserve"> </w:t>
      </w:r>
      <w:r w:rsidR="008B6F3C">
        <w:t>Viekira Pak</w:t>
      </w:r>
      <w:r w:rsidRPr="00721B2E">
        <w:t>-RBV, are associated with a risk</w:t>
      </w:r>
      <w:r>
        <w:t xml:space="preserve"> </w:t>
      </w:r>
      <w:r w:rsidRPr="00721B2E">
        <w:t xml:space="preserve">for selection of resistance among patients who fail treatment. In particular, regimens like </w:t>
      </w:r>
      <w:r w:rsidR="008B6F3C">
        <w:t>Viekira Pak</w:t>
      </w:r>
      <w:r w:rsidRPr="00721B2E">
        <w:t>,</w:t>
      </w:r>
      <w:r>
        <w:t xml:space="preserve"> </w:t>
      </w:r>
      <w:r w:rsidRPr="00721B2E">
        <w:t xml:space="preserve">sofosbuvir/ledipasvir, and daclatasvir/asunaprevir combinations each of </w:t>
      </w:r>
      <w:r w:rsidRPr="00721B2E">
        <w:lastRenderedPageBreak/>
        <w:t>which contains an NS5A</w:t>
      </w:r>
      <w:r>
        <w:t xml:space="preserve"> </w:t>
      </w:r>
      <w:r w:rsidRPr="00721B2E">
        <w:t>inhibitor</w:t>
      </w:r>
      <w:r w:rsidR="005D0EDF">
        <w:t xml:space="preserve">, all lead to emergence of NS5A </w:t>
      </w:r>
      <w:r w:rsidRPr="00721B2E">
        <w:t>resistant variants among patients who fail treatment.</w:t>
      </w:r>
    </w:p>
    <w:p w:rsidR="00721B2E" w:rsidRPr="00721B2E" w:rsidRDefault="00721B2E" w:rsidP="00721B2E">
      <w:r w:rsidRPr="00721B2E">
        <w:t>The risk of resistance development and the persistence of resistant variants were studied in an analysis</w:t>
      </w:r>
      <w:r>
        <w:t xml:space="preserve"> </w:t>
      </w:r>
      <w:r w:rsidRPr="00721B2E">
        <w:t xml:space="preserve">presented at the International Liver Congress in Vienna in April 2015 </w:t>
      </w:r>
      <w:r w:rsidRPr="00502A5C">
        <w:t>(Krishnan et al., abstract #O057</w:t>
      </w:r>
      <w:r>
        <w:t>)</w:t>
      </w:r>
      <w:r w:rsidR="00502A5C">
        <w:rPr>
          <w:rStyle w:val="FootnoteReference"/>
        </w:rPr>
        <w:footnoteReference w:id="82"/>
      </w:r>
      <w:r>
        <w:t xml:space="preserve">. </w:t>
      </w:r>
      <w:r w:rsidRPr="00721B2E">
        <w:t>In this analysis, among subjects who received the regimen in the p</w:t>
      </w:r>
      <w:r>
        <w:t xml:space="preserve">roposed </w:t>
      </w:r>
      <w:r w:rsidR="008B6F3C">
        <w:t>Viekira Pak</w:t>
      </w:r>
      <w:r>
        <w:t xml:space="preserve"> and </w:t>
      </w:r>
      <w:r w:rsidR="008B6F3C">
        <w:t>Viekira Pak</w:t>
      </w:r>
      <w:r w:rsidRPr="00721B2E">
        <w:t>-RBV labels, the overall rate of virologic failure was 1.8%. Among t</w:t>
      </w:r>
      <w:r>
        <w:t xml:space="preserve">hose patients who did fail, the </w:t>
      </w:r>
      <w:r w:rsidRPr="00721B2E">
        <w:t>majority</w:t>
      </w:r>
      <w:r w:rsidR="005D0EDF">
        <w:t xml:space="preserve"> showed emergence of resistance </w:t>
      </w:r>
      <w:r w:rsidRPr="00721B2E">
        <w:t>associated variants in at least one target gene (</w:t>
      </w:r>
      <w:r>
        <w:t xml:space="preserve">NS3, NS5A, </w:t>
      </w:r>
      <w:r w:rsidR="005D0EDF" w:rsidRPr="00721B2E">
        <w:t>and NS5B</w:t>
      </w:r>
      <w:r w:rsidRPr="00721B2E">
        <w:t>). However, NS3 varian</w:t>
      </w:r>
      <w:r w:rsidR="005D0EDF">
        <w:t xml:space="preserve">ts (which might result in cross </w:t>
      </w:r>
      <w:r w:rsidRPr="00721B2E">
        <w:t>resistanc</w:t>
      </w:r>
      <w:r>
        <w:t xml:space="preserve">e to other protease inhibitors) </w:t>
      </w:r>
      <w:r w:rsidRPr="00721B2E">
        <w:t>decreased in frequency over 48 weeks of follow-up. NS5B variants tende</w:t>
      </w:r>
      <w:r>
        <w:t xml:space="preserve">d to persist over 48 weeks, but </w:t>
      </w:r>
      <w:r w:rsidRPr="00721B2E">
        <w:t>the</w:t>
      </w:r>
      <w:r w:rsidR="005D0EDF">
        <w:t xml:space="preserve">se variants do not confer cross </w:t>
      </w:r>
      <w:r w:rsidRPr="00721B2E">
        <w:t>resistance to any polymerase inhibitor</w:t>
      </w:r>
      <w:r>
        <w:t xml:space="preserve">s (nucleoside or nonnucleoside) </w:t>
      </w:r>
      <w:r w:rsidRPr="00721B2E">
        <w:t>currently approved (</w:t>
      </w:r>
      <w:r w:rsidR="009F7EDA">
        <w:t>for example</w:t>
      </w:r>
      <w:r w:rsidRPr="00721B2E">
        <w:t xml:space="preserve"> sofosbuvir) or in late-stage deve</w:t>
      </w:r>
      <w:r>
        <w:t xml:space="preserve">lopment, so they would not have </w:t>
      </w:r>
      <w:r w:rsidRPr="00721B2E">
        <w:t>any impact on re-treatment. The NS5A variants in this analysis persiste</w:t>
      </w:r>
      <w:r>
        <w:t xml:space="preserve">d over 48 weeks (96% were still </w:t>
      </w:r>
      <w:r w:rsidRPr="00721B2E">
        <w:t>present at 48 weeks).</w:t>
      </w:r>
    </w:p>
    <w:p w:rsidR="00721B2E" w:rsidRPr="00721B2E" w:rsidRDefault="005D0EDF" w:rsidP="00721B2E">
      <w:r>
        <w:t xml:space="preserve">However, long </w:t>
      </w:r>
      <w:r w:rsidR="00721B2E" w:rsidRPr="00721B2E">
        <w:t>term persistence appears to be a characteristic of NS5A</w:t>
      </w:r>
      <w:r w:rsidR="00721B2E">
        <w:t xml:space="preserve"> resistant variants in general, </w:t>
      </w:r>
      <w:r w:rsidR="00721B2E" w:rsidRPr="00721B2E">
        <w:t xml:space="preserve">and is not specific to </w:t>
      </w:r>
      <w:r w:rsidR="008B6F3C">
        <w:t>Viekira Pak</w:t>
      </w:r>
      <w:r w:rsidR="00721B2E" w:rsidRPr="00721B2E">
        <w:t xml:space="preserve"> or </w:t>
      </w:r>
      <w:r w:rsidR="008B6F3C">
        <w:t>Viekira Pak</w:t>
      </w:r>
      <w:r w:rsidR="00721B2E" w:rsidRPr="00721B2E">
        <w:t>-RBV. In another analysis presented at the</w:t>
      </w:r>
      <w:r w:rsidR="00721B2E">
        <w:t xml:space="preserve"> </w:t>
      </w:r>
      <w:r w:rsidR="00721B2E" w:rsidRPr="00721B2E">
        <w:t xml:space="preserve">International Liver </w:t>
      </w:r>
      <w:r w:rsidR="00721B2E" w:rsidRPr="00502A5C">
        <w:t>Congress (Wyles et al., abstract #O059),</w:t>
      </w:r>
      <w:r w:rsidR="00502A5C" w:rsidRPr="00502A5C">
        <w:rPr>
          <w:rStyle w:val="FootnoteReference"/>
        </w:rPr>
        <w:footnoteReference w:id="83"/>
      </w:r>
      <w:r w:rsidR="00721B2E" w:rsidRPr="00721B2E">
        <w:t xml:space="preserve"> patien</w:t>
      </w:r>
      <w:r w:rsidR="00721B2E">
        <w:t xml:space="preserve">ts who developed NS5A resistant </w:t>
      </w:r>
      <w:r w:rsidR="00721B2E" w:rsidRPr="00721B2E">
        <w:t>variants after treatment with ledipasvir-containing regimens were studi</w:t>
      </w:r>
      <w:r w:rsidR="00721B2E">
        <w:t xml:space="preserve">ed. Among these patients 95% of </w:t>
      </w:r>
      <w:r w:rsidR="00721B2E" w:rsidRPr="00721B2E">
        <w:t>the NS5A resistant variants were still present after 48 weeks of foll</w:t>
      </w:r>
      <w:r w:rsidR="00721B2E">
        <w:t xml:space="preserve">ow-up. The consistency of these </w:t>
      </w:r>
      <w:r w:rsidR="00721B2E" w:rsidRPr="00721B2E">
        <w:t>findings confirms previous results demonstrating the persistence of NS</w:t>
      </w:r>
      <w:r w:rsidR="00721B2E">
        <w:t xml:space="preserve">5A resistant variants. However, </w:t>
      </w:r>
      <w:r w:rsidR="00721B2E" w:rsidRPr="00721B2E">
        <w:t xml:space="preserve">the clinical significance of these variants is still uncertain, as optimal re-treatment regimens have yet </w:t>
      </w:r>
      <w:r w:rsidR="00721B2E">
        <w:t xml:space="preserve">to </w:t>
      </w:r>
      <w:r w:rsidR="00721B2E" w:rsidRPr="00721B2E">
        <w:t>be defined. These re-treatment options may include combinations of cu</w:t>
      </w:r>
      <w:r w:rsidR="00721B2E">
        <w:t xml:space="preserve">rrently available therapies, or </w:t>
      </w:r>
      <w:r w:rsidR="00721B2E" w:rsidRPr="00721B2E">
        <w:t>newer, "next-generation" agents with in vitro activity against resistant strains.</w:t>
      </w:r>
    </w:p>
    <w:p w:rsidR="00721B2E" w:rsidRPr="00721B2E" w:rsidRDefault="00721B2E" w:rsidP="00721B2E">
      <w:r w:rsidRPr="00721B2E">
        <w:t>In summary, in clinical trials the risk of virologic failure in patients treated with the regimens in the</w:t>
      </w:r>
      <w:r>
        <w:t xml:space="preserve"> </w:t>
      </w:r>
      <w:r w:rsidRPr="00721B2E">
        <w:t xml:space="preserve">proposed </w:t>
      </w:r>
      <w:r w:rsidR="008B6F3C">
        <w:t>Viekira Pak</w:t>
      </w:r>
      <w:r w:rsidRPr="00721B2E">
        <w:t xml:space="preserve"> and </w:t>
      </w:r>
      <w:r w:rsidR="008B6F3C">
        <w:t>Viekira Pak</w:t>
      </w:r>
      <w:r w:rsidRPr="00721B2E">
        <w:t>-RBV labels was 1.8%, indicat</w:t>
      </w:r>
      <w:r>
        <w:t xml:space="preserve">ing that resistance will not be </w:t>
      </w:r>
      <w:r w:rsidRPr="00721B2E">
        <w:t>a concern for the large majority of patients treated with these regi</w:t>
      </w:r>
      <w:r>
        <w:t xml:space="preserve">mens. For those patients who do </w:t>
      </w:r>
      <w:r w:rsidRPr="00721B2E">
        <w:t>experience treatment failure, the impact of resistance on options for re-tr</w:t>
      </w:r>
      <w:r>
        <w:t xml:space="preserve">eatment is likely to be similar </w:t>
      </w:r>
      <w:r w:rsidRPr="00721B2E">
        <w:t xml:space="preserve">for </w:t>
      </w:r>
      <w:r w:rsidR="008B6F3C">
        <w:t>Viekira Pak</w:t>
      </w:r>
      <w:r w:rsidR="005D0EDF">
        <w:t xml:space="preserve"> </w:t>
      </w:r>
      <w:r w:rsidRPr="00721B2E">
        <w:t xml:space="preserve">treated patients and for patients treated with other </w:t>
      </w:r>
      <w:r>
        <w:t xml:space="preserve">interferon-free DAA combination </w:t>
      </w:r>
      <w:r w:rsidRPr="00721B2E">
        <w:t>regimens.</w:t>
      </w:r>
    </w:p>
    <w:p w:rsidR="00721B2E" w:rsidRDefault="005F0A89" w:rsidP="005F0A89">
      <w:pPr>
        <w:pStyle w:val="Numberbullet0"/>
        <w:rPr>
          <w:i/>
        </w:rPr>
      </w:pPr>
      <w:r w:rsidRPr="005F0A89">
        <w:rPr>
          <w:i/>
        </w:rPr>
        <w:t xml:space="preserve">The adequacy and clarity of the PI with respect to contra‐indications and drug‐drug interactions sections, noting the Delegate’s proposed changes and the presentation of overseas </w:t>
      </w:r>
      <w:r w:rsidR="005D0EDF">
        <w:rPr>
          <w:i/>
        </w:rPr>
        <w:t>PI.</w:t>
      </w:r>
    </w:p>
    <w:p w:rsidR="005F0A89" w:rsidRPr="005F0A89" w:rsidRDefault="00766FAF" w:rsidP="005F0A89">
      <w:r>
        <w:t>AbbVie</w:t>
      </w:r>
      <w:r w:rsidR="005F0A89" w:rsidRPr="005F0A89">
        <w:t xml:space="preserve"> Comment</w:t>
      </w:r>
      <w:r w:rsidR="005D0EDF">
        <w:t>:</w:t>
      </w:r>
    </w:p>
    <w:p w:rsidR="005F0A89" w:rsidRPr="005F0A89" w:rsidRDefault="005F0A89" w:rsidP="005F0A89">
      <w:r w:rsidRPr="005F0A89">
        <w:t xml:space="preserve">The sponsor has agreed with the requests of the Delegate to update </w:t>
      </w:r>
      <w:r>
        <w:t xml:space="preserve">the PI in line with the EU SmPC </w:t>
      </w:r>
      <w:r w:rsidRPr="005F0A89">
        <w:t>and US</w:t>
      </w:r>
      <w:r w:rsidR="005D0EDF">
        <w:t xml:space="preserve"> </w:t>
      </w:r>
      <w:r w:rsidRPr="005F0A89">
        <w:t>PI as proposed in the Request for ACPM’s adv</w:t>
      </w:r>
      <w:r>
        <w:t xml:space="preserve">ice, along with a recent update </w:t>
      </w:r>
      <w:r w:rsidRPr="005F0A89">
        <w:t>to the CCDS regarding hypersensitivity and drug-dru</w:t>
      </w:r>
      <w:r w:rsidR="005D0EDF">
        <w:t>g interactions with quetiapine.</w:t>
      </w:r>
    </w:p>
    <w:p w:rsidR="005F0A89" w:rsidRPr="005F0A89" w:rsidRDefault="005F0A89" w:rsidP="005F0A89">
      <w:pPr>
        <w:pStyle w:val="Numberbullet0"/>
        <w:rPr>
          <w:i/>
        </w:rPr>
      </w:pPr>
      <w:r w:rsidRPr="005F0A89">
        <w:rPr>
          <w:i/>
        </w:rPr>
        <w:t xml:space="preserve">The clarity of the CMI, patient dosing card and information sheets (see RMP </w:t>
      </w:r>
      <w:r w:rsidR="005D0EDF">
        <w:rPr>
          <w:i/>
        </w:rPr>
        <w:t>second round</w:t>
      </w:r>
      <w:r w:rsidRPr="005F0A89">
        <w:rPr>
          <w:i/>
        </w:rPr>
        <w:t xml:space="preserve"> report, recommendation 1.12, PM-2014-01438-1-2)</w:t>
      </w:r>
    </w:p>
    <w:p w:rsidR="005F0A89" w:rsidRPr="005F0A89" w:rsidRDefault="00766FAF" w:rsidP="005F0A89">
      <w:r>
        <w:t>AbbVie</w:t>
      </w:r>
      <w:r w:rsidR="005F0A89" w:rsidRPr="005F0A89">
        <w:t xml:space="preserve"> Comment</w:t>
      </w:r>
      <w:r w:rsidR="00A3290A">
        <w:t>:</w:t>
      </w:r>
    </w:p>
    <w:p w:rsidR="005F0A89" w:rsidRPr="005F0A89" w:rsidRDefault="00766FAF" w:rsidP="005F0A89">
      <w:r>
        <w:t>AbbVie</w:t>
      </w:r>
      <w:r w:rsidR="005F0A89" w:rsidRPr="005F0A89">
        <w:t xml:space="preserve"> Pty Ltd believes the </w:t>
      </w:r>
      <w:proofErr w:type="gramStart"/>
      <w:r w:rsidR="005F0A89" w:rsidRPr="005F0A89">
        <w:t>CMI,</w:t>
      </w:r>
      <w:proofErr w:type="gramEnd"/>
      <w:r w:rsidR="005F0A89" w:rsidRPr="005F0A89">
        <w:t xml:space="preserve"> patient dosing card and informa</w:t>
      </w:r>
      <w:r w:rsidR="005F0A89">
        <w:t xml:space="preserve">tion sheets proposed in the </w:t>
      </w:r>
      <w:r w:rsidR="005F0A89" w:rsidRPr="005F0A89">
        <w:t xml:space="preserve">response and the response to </w:t>
      </w:r>
      <w:r w:rsidR="005D0EDF" w:rsidRPr="005F0A89">
        <w:t xml:space="preserve">the evaluation reports </w:t>
      </w:r>
      <w:r w:rsidR="005F0A89" w:rsidRPr="005F0A89">
        <w:t xml:space="preserve">provide sufficient </w:t>
      </w:r>
      <w:r w:rsidR="005F0A89">
        <w:t xml:space="preserve">information to the patient with </w:t>
      </w:r>
      <w:r w:rsidR="005F0A89" w:rsidRPr="005F0A89">
        <w:t>respect to the dosing regimen.</w:t>
      </w:r>
    </w:p>
    <w:p w:rsidR="005F0A89" w:rsidRPr="005F0A89" w:rsidRDefault="005F0A89" w:rsidP="005F0A89">
      <w:r w:rsidRPr="005F0A89">
        <w:lastRenderedPageBreak/>
        <w:t>Please refer to the CMI, patient dosing card and the overview of the p</w:t>
      </w:r>
      <w:r>
        <w:t xml:space="preserve">roposed information sheet </w:t>
      </w:r>
      <w:r w:rsidR="005D0EDF">
        <w:t>provided.</w:t>
      </w:r>
    </w:p>
    <w:p w:rsidR="005F0A89" w:rsidRPr="005F0A89" w:rsidRDefault="005F0A89" w:rsidP="005F0A89">
      <w:pPr>
        <w:pStyle w:val="Numberbullet0"/>
        <w:rPr>
          <w:i/>
        </w:rPr>
      </w:pPr>
      <w:r w:rsidRPr="005F0A89">
        <w:rPr>
          <w:i/>
        </w:rPr>
        <w:t xml:space="preserve">With reference to </w:t>
      </w:r>
      <w:r w:rsidR="008B6F3C">
        <w:rPr>
          <w:i/>
        </w:rPr>
        <w:t>Viekira Pak</w:t>
      </w:r>
      <w:r w:rsidRPr="005F0A89">
        <w:rPr>
          <w:i/>
        </w:rPr>
        <w:t xml:space="preserve"> and the proposed PI, is the broad indication proposed for genotype 1 infection for </w:t>
      </w:r>
      <w:r w:rsidR="008B6F3C">
        <w:rPr>
          <w:i/>
        </w:rPr>
        <w:t>Viekira Pak</w:t>
      </w:r>
      <w:r w:rsidRPr="005F0A89">
        <w:rPr>
          <w:i/>
        </w:rPr>
        <w:t xml:space="preserve"> acceptable, given the data only support use in genotype 1b? Also, is clearer guidance needed for the </w:t>
      </w:r>
      <w:r w:rsidR="008B6F3C">
        <w:rPr>
          <w:i/>
        </w:rPr>
        <w:t>Viekira Pak</w:t>
      </w:r>
      <w:r w:rsidRPr="005F0A89">
        <w:rPr>
          <w:i/>
        </w:rPr>
        <w:t xml:space="preserve"> PI indicating it is currently recommended for </w:t>
      </w:r>
      <w:r w:rsidR="00202E0D">
        <w:rPr>
          <w:i/>
        </w:rPr>
        <w:t>genotype</w:t>
      </w:r>
      <w:r w:rsidRPr="005F0A89">
        <w:rPr>
          <w:i/>
        </w:rPr>
        <w:t>1b only? Should dosing information related to ribavirin be omitted?</w:t>
      </w:r>
    </w:p>
    <w:p w:rsidR="005F0A89" w:rsidRPr="005F0A89" w:rsidRDefault="005F0A89" w:rsidP="005F0A89">
      <w:r w:rsidRPr="005F0A89">
        <w:t>AbbVie Comment</w:t>
      </w:r>
      <w:r w:rsidR="005D0EDF">
        <w:t>:</w:t>
      </w:r>
    </w:p>
    <w:p w:rsidR="005F0A89" w:rsidRPr="005F0A89" w:rsidRDefault="005F0A89" w:rsidP="005F0A89">
      <w:r w:rsidRPr="005F0A89">
        <w:t>AbbVie proposes to retain the broad indication for genotype 1 in the</w:t>
      </w:r>
      <w:r>
        <w:t xml:space="preserve"> </w:t>
      </w:r>
      <w:r w:rsidR="008B6F3C">
        <w:t>Viekira Pak</w:t>
      </w:r>
      <w:r>
        <w:t xml:space="preserve"> PI. Per Dosing and </w:t>
      </w:r>
      <w:r w:rsidRPr="005F0A89">
        <w:t xml:space="preserve">Administration, </w:t>
      </w:r>
      <w:r w:rsidR="008B6F3C">
        <w:t>Viekira Pak</w:t>
      </w:r>
      <w:r w:rsidRPr="005F0A89">
        <w:t xml:space="preserve"> without ribavirin can be considered as a therapeutic option for treatment</w:t>
      </w:r>
      <w:r>
        <w:t xml:space="preserve"> naïve </w:t>
      </w:r>
      <w:r w:rsidRPr="005F0A89">
        <w:t>patients with genotype 1a infection without cirrhosis (</w:t>
      </w:r>
      <w:r>
        <w:t xml:space="preserve">see </w:t>
      </w:r>
      <w:r w:rsidR="005D0EDF">
        <w:t>clinical trials</w:t>
      </w:r>
      <w:r>
        <w:t xml:space="preserve">). Treatment </w:t>
      </w:r>
      <w:r w:rsidRPr="005F0A89">
        <w:t>decisions should be guided by an assessment of the potential b</w:t>
      </w:r>
      <w:r>
        <w:t xml:space="preserve">enefits and risks and available </w:t>
      </w:r>
      <w:r w:rsidRPr="005F0A89">
        <w:t>alternative therapies for the individual patient. As the potential e</w:t>
      </w:r>
      <w:r>
        <w:t xml:space="preserve">xists for use of </w:t>
      </w:r>
      <w:r w:rsidR="008B6F3C">
        <w:t>Viekira Pak</w:t>
      </w:r>
      <w:r>
        <w:t xml:space="preserve"> in </w:t>
      </w:r>
      <w:r w:rsidRPr="005F0A89">
        <w:t xml:space="preserve">patients with </w:t>
      </w:r>
      <w:r w:rsidR="00202E0D">
        <w:t>genotype</w:t>
      </w:r>
      <w:r w:rsidRPr="005F0A89">
        <w:t>1a infection, the broader indication should be retained.</w:t>
      </w:r>
    </w:p>
    <w:p w:rsidR="005F0A89" w:rsidRPr="005F0A89" w:rsidRDefault="005F0A89" w:rsidP="005F0A89">
      <w:pPr>
        <w:pStyle w:val="Numberbullet0"/>
        <w:rPr>
          <w:i/>
        </w:rPr>
      </w:pPr>
      <w:r w:rsidRPr="005F0A89">
        <w:rPr>
          <w:i/>
        </w:rPr>
        <w:t>The updated safety data and report of the compassionate use program anticipated with the pre‐ACPM response</w:t>
      </w:r>
    </w:p>
    <w:p w:rsidR="005F0A89" w:rsidRPr="005F0A89" w:rsidRDefault="00766FAF" w:rsidP="005F0A89">
      <w:r>
        <w:t>AbbVie</w:t>
      </w:r>
      <w:r w:rsidR="005F0A89" w:rsidRPr="005F0A89">
        <w:t xml:space="preserve"> Comment</w:t>
      </w:r>
      <w:r w:rsidR="0080277C">
        <w:t>:</w:t>
      </w:r>
    </w:p>
    <w:p w:rsidR="005F0A89" w:rsidRPr="005F0A89" w:rsidRDefault="0080277C" w:rsidP="005F0A89">
      <w:r>
        <w:t xml:space="preserve">The </w:t>
      </w:r>
      <w:r w:rsidR="005D0EDF" w:rsidRPr="005F0A89">
        <w:t xml:space="preserve">adverse reactions update </w:t>
      </w:r>
      <w:r w:rsidR="005F0A89" w:rsidRPr="005F0A89">
        <w:t>which includes upda</w:t>
      </w:r>
      <w:r w:rsidR="005F0A89">
        <w:t xml:space="preserve">ted safety data and a report of </w:t>
      </w:r>
      <w:r>
        <w:t>the compassionate use program has been provided as an appendix to this response.</w:t>
      </w:r>
    </w:p>
    <w:p w:rsidR="005F0A89" w:rsidRPr="005F0A89" w:rsidRDefault="005F0A89" w:rsidP="005F0A89">
      <w:pPr>
        <w:pStyle w:val="Numberbullet0"/>
        <w:rPr>
          <w:i/>
        </w:rPr>
      </w:pPr>
      <w:r w:rsidRPr="005F0A89">
        <w:rPr>
          <w:i/>
        </w:rPr>
        <w:t>Does the PI require further qualification in regards to race and ethnicity for Asian and Hispanic/Latino patients?</w:t>
      </w:r>
    </w:p>
    <w:p w:rsidR="005F0A89" w:rsidRPr="005F0A89" w:rsidRDefault="00766FAF" w:rsidP="005F0A89">
      <w:r>
        <w:t>AbbVie</w:t>
      </w:r>
      <w:r w:rsidR="005F0A89" w:rsidRPr="005F0A89">
        <w:t xml:space="preserve"> Comment</w:t>
      </w:r>
      <w:r w:rsidR="005D0EDF">
        <w:t>:</w:t>
      </w:r>
    </w:p>
    <w:p w:rsidR="00721B2E" w:rsidRPr="0080277C" w:rsidRDefault="005F0A89" w:rsidP="0080277C">
      <w:r w:rsidRPr="0080277C">
        <w:t xml:space="preserve">Please refer to </w:t>
      </w:r>
      <w:r w:rsidR="0080277C">
        <w:t xml:space="preserve">the </w:t>
      </w:r>
      <w:r w:rsidR="0080277C" w:rsidRPr="0080277C">
        <w:t>s</w:t>
      </w:r>
      <w:r w:rsidRPr="0080277C">
        <w:t xml:space="preserve">ponsor’s </w:t>
      </w:r>
      <w:r w:rsidR="0080277C" w:rsidRPr="0080277C">
        <w:t xml:space="preserve">response to </w:t>
      </w:r>
      <w:r w:rsidR="0080277C">
        <w:t>Delegate’s “</w:t>
      </w:r>
      <w:r w:rsidR="0080277C" w:rsidRPr="0080277C">
        <w:t>Issues for the sponsor</w:t>
      </w:r>
      <w:r w:rsidR="0080277C">
        <w:t>” Question 2 above.</w:t>
      </w:r>
    </w:p>
    <w:p w:rsidR="008E7846" w:rsidRDefault="008E7846" w:rsidP="00721B2E">
      <w:pPr>
        <w:pStyle w:val="Heading4"/>
      </w:pPr>
      <w:r>
        <w:t>Advisory Committee Considerations</w:t>
      </w:r>
    </w:p>
    <w:p w:rsidR="008E7846" w:rsidRPr="003A357D" w:rsidRDefault="00D23139" w:rsidP="003A357D">
      <w:r w:rsidRPr="003A357D">
        <w:t>The Advisory Committee on Prescription Medicines (ACPM), having considered the evaluations and the Delegate’s overview, as well as the sponsor’s response to these d</w:t>
      </w:r>
      <w:r w:rsidR="005D0EDF">
        <w:t>ocuments, advised the following:</w:t>
      </w:r>
    </w:p>
    <w:p w:rsidR="00C2470C" w:rsidRPr="00C2470C" w:rsidRDefault="00C2470C" w:rsidP="00C2470C">
      <w:r w:rsidRPr="00C2470C">
        <w:t>The ACPM, taking into account the submitted evidence of efficacy, safety and quality, agreed with the delegate and considered V</w:t>
      </w:r>
      <w:r w:rsidR="00502A5C" w:rsidRPr="00C2470C">
        <w:t>iekira</w:t>
      </w:r>
      <w:r w:rsidRPr="00C2470C">
        <w:t xml:space="preserve"> P</w:t>
      </w:r>
      <w:r w:rsidR="00502A5C" w:rsidRPr="00C2470C">
        <w:t>ak</w:t>
      </w:r>
      <w:r w:rsidRPr="00C2470C">
        <w:t>-RBV tablets containing paritaprevir 75 mg, ritonavir 50 mg and ombitasvir 12.5 mg fixed dose combination tablets, co-packaged with dasabuvir 250 mg tablets and ribavirin 200, 400 or 600 mg tablets has an overall positive benefit–risk profile for the indication;</w:t>
      </w:r>
    </w:p>
    <w:p w:rsidR="003A357D" w:rsidRPr="003A357D" w:rsidRDefault="008B6F3C" w:rsidP="003A357D">
      <w:pPr>
        <w:ind w:left="720"/>
        <w:rPr>
          <w:i/>
        </w:rPr>
      </w:pPr>
      <w:r>
        <w:rPr>
          <w:i/>
        </w:rPr>
        <w:t>Viekira Pak</w:t>
      </w:r>
      <w:r w:rsidR="00C2470C">
        <w:rPr>
          <w:i/>
        </w:rPr>
        <w:t>-RBV</w:t>
      </w:r>
      <w:r w:rsidR="003A357D" w:rsidRPr="003A357D">
        <w:rPr>
          <w:i/>
        </w:rPr>
        <w:t xml:space="preserve"> is indicated for the treatment of genotype 1 chronic hepatitis C infection, including patients with compensated cirrhosis. Duration of therapy and addition of ribavirin are dependent on patient population (see DOSAGE AND ADMINISTRATION, PRECAUTIONS, CLINICAL TRIALS).</w:t>
      </w:r>
    </w:p>
    <w:p w:rsidR="003A357D" w:rsidRPr="003A357D" w:rsidRDefault="003A357D" w:rsidP="003A357D">
      <w:pPr>
        <w:pStyle w:val="Heading5"/>
        <w:rPr>
          <w:rFonts w:eastAsia="MS Mincho"/>
        </w:rPr>
      </w:pPr>
      <w:r w:rsidRPr="003A357D">
        <w:rPr>
          <w:rFonts w:eastAsia="MS Mincho"/>
        </w:rPr>
        <w:t>Proposed conditions of registration</w:t>
      </w:r>
    </w:p>
    <w:p w:rsidR="003A357D" w:rsidRPr="003A357D" w:rsidRDefault="005D0EDF" w:rsidP="003A357D">
      <w:r>
        <w:t>The ACPM agreed with the D</w:t>
      </w:r>
      <w:r w:rsidR="003A357D" w:rsidRPr="003A357D">
        <w:t>elegate on the propo</w:t>
      </w:r>
      <w:r w:rsidR="0080277C">
        <w:t>sed conditions of registration.</w:t>
      </w:r>
    </w:p>
    <w:p w:rsidR="003A357D" w:rsidRPr="003A357D" w:rsidRDefault="003A357D" w:rsidP="003A357D">
      <w:pPr>
        <w:pStyle w:val="Heading5"/>
        <w:rPr>
          <w:rFonts w:eastAsia="MS Mincho"/>
        </w:rPr>
      </w:pPr>
      <w:r w:rsidRPr="003A357D">
        <w:rPr>
          <w:rFonts w:eastAsia="MS Mincho"/>
        </w:rPr>
        <w:t xml:space="preserve">Proposed </w:t>
      </w:r>
      <w:r w:rsidR="005D0EDF">
        <w:rPr>
          <w:rFonts w:eastAsia="MS Mincho"/>
        </w:rPr>
        <w:t>PI and</w:t>
      </w:r>
      <w:r w:rsidR="005D0EDF" w:rsidRPr="003A357D">
        <w:rPr>
          <w:rFonts w:eastAsia="MS Mincho"/>
        </w:rPr>
        <w:t xml:space="preserve"> </w:t>
      </w:r>
      <w:r w:rsidR="005D0EDF">
        <w:rPr>
          <w:rFonts w:eastAsia="MS Mincho"/>
        </w:rPr>
        <w:t>CMI</w:t>
      </w:r>
      <w:r w:rsidRPr="003A357D">
        <w:rPr>
          <w:rFonts w:eastAsia="MS Mincho"/>
        </w:rPr>
        <w:t xml:space="preserve"> amendments</w:t>
      </w:r>
    </w:p>
    <w:p w:rsidR="003A357D" w:rsidRPr="003A357D" w:rsidRDefault="005D0EDF" w:rsidP="003A357D">
      <w:r>
        <w:t>The ACPM agreed with the D</w:t>
      </w:r>
      <w:r w:rsidR="003A357D" w:rsidRPr="003A357D">
        <w:t xml:space="preserve">elegate to the proposed amendments to the </w:t>
      </w:r>
      <w:r>
        <w:t>PI</w:t>
      </w:r>
      <w:r w:rsidR="003A357D" w:rsidRPr="003A357D">
        <w:t xml:space="preserve"> and</w:t>
      </w:r>
      <w:r>
        <w:t xml:space="preserve"> CMI</w:t>
      </w:r>
      <w:proofErr w:type="gramStart"/>
      <w:r>
        <w:t>)</w:t>
      </w:r>
      <w:r w:rsidR="003A357D" w:rsidRPr="003A357D">
        <w:t>and</w:t>
      </w:r>
      <w:proofErr w:type="gramEnd"/>
      <w:r w:rsidR="003A357D" w:rsidRPr="003A357D">
        <w:t xml:space="preserve"> specifically advised on </w:t>
      </w:r>
      <w:r w:rsidR="0080277C">
        <w:t>the inclusion of the following:</w:t>
      </w:r>
    </w:p>
    <w:p w:rsidR="003A357D" w:rsidRPr="003A357D" w:rsidRDefault="003A357D" w:rsidP="003A357D">
      <w:pPr>
        <w:pStyle w:val="ListBullet"/>
      </w:pPr>
      <w:r w:rsidRPr="003A357D">
        <w:t>The PI/CMI should warn about the possibility of jaundice and dark urine as well as advice on the need for frequent blood tests.</w:t>
      </w:r>
    </w:p>
    <w:p w:rsidR="003A357D" w:rsidRPr="003A357D" w:rsidRDefault="003A357D" w:rsidP="003A357D">
      <w:pPr>
        <w:pStyle w:val="ListBullet"/>
      </w:pPr>
      <w:r w:rsidRPr="003A357D">
        <w:lastRenderedPageBreak/>
        <w:t>The PI should provide strong warnings about drug-drug interactions.</w:t>
      </w:r>
    </w:p>
    <w:p w:rsidR="003A357D" w:rsidRPr="003A357D" w:rsidRDefault="003A357D" w:rsidP="003A357D">
      <w:pPr>
        <w:pStyle w:val="ListBullet"/>
      </w:pPr>
      <w:r w:rsidRPr="003A357D">
        <w:t>The PI should include a statement such as the following, “however, patient numbers in the clinical trials were not sufficient to address possible differences in pharmacokinetics and toxicity profiles in specific ethnic groups such as Asian patients”.</w:t>
      </w:r>
    </w:p>
    <w:p w:rsidR="003A357D" w:rsidRPr="003A357D" w:rsidRDefault="003A357D" w:rsidP="003A357D">
      <w:pPr>
        <w:pStyle w:val="ListBullet"/>
      </w:pPr>
      <w:r w:rsidRPr="003A357D">
        <w:t>Emphasise the potential consequences of pregnancy in the CMI given the teratogenicity of ribavirin and the contraindi</w:t>
      </w:r>
      <w:r w:rsidR="005D0EDF">
        <w:t xml:space="preserve">cated use of ethinyl oestradiol </w:t>
      </w:r>
      <w:r w:rsidRPr="003A357D">
        <w:t>containing medicinal products.</w:t>
      </w:r>
    </w:p>
    <w:p w:rsidR="003A357D" w:rsidRPr="003A357D" w:rsidRDefault="003A357D" w:rsidP="003A357D">
      <w:pPr>
        <w:pStyle w:val="ListBullet"/>
      </w:pPr>
      <w:r w:rsidRPr="003A357D">
        <w:t>Add a statement to the effect that “Viekira Pak is recommended as first line treatment for genotype 1b infection, and second line (if ribavirin-intolerant) for genotype 1a infection” to the beginning of the Dosage and Administration section of the PI, referencing Table 16.</w:t>
      </w:r>
    </w:p>
    <w:p w:rsidR="003A357D" w:rsidRPr="003A357D" w:rsidRDefault="003A357D" w:rsidP="003A357D">
      <w:pPr>
        <w:pStyle w:val="Heading5"/>
        <w:rPr>
          <w:rFonts w:eastAsia="MS Mincho"/>
        </w:rPr>
      </w:pPr>
      <w:r w:rsidRPr="003A357D">
        <w:rPr>
          <w:rFonts w:eastAsia="MS Mincho"/>
        </w:rPr>
        <w:t xml:space="preserve">Specific </w:t>
      </w:r>
      <w:r w:rsidR="00605D3B">
        <w:rPr>
          <w:rFonts w:eastAsia="MS Mincho"/>
        </w:rPr>
        <w:t>a</w:t>
      </w:r>
      <w:r w:rsidRPr="003A357D">
        <w:rPr>
          <w:rFonts w:eastAsia="MS Mincho"/>
        </w:rPr>
        <w:t>dvice</w:t>
      </w:r>
    </w:p>
    <w:p w:rsidR="003A357D" w:rsidRPr="003A357D" w:rsidRDefault="003A357D" w:rsidP="003A357D">
      <w:r w:rsidRPr="003A357D">
        <w:t>The ACPM advised th</w:t>
      </w:r>
      <w:r w:rsidR="005D0EDF">
        <w:t>e following in response to the D</w:t>
      </w:r>
      <w:r w:rsidRPr="003A357D">
        <w:t>elegate’s specific questions on this submission:</w:t>
      </w:r>
    </w:p>
    <w:p w:rsidR="003A357D" w:rsidRPr="003A357D" w:rsidRDefault="003A357D" w:rsidP="008847BA">
      <w:pPr>
        <w:pStyle w:val="Numberbullet0"/>
        <w:numPr>
          <w:ilvl w:val="0"/>
          <w:numId w:val="9"/>
        </w:numPr>
        <w:rPr>
          <w:i/>
        </w:rPr>
      </w:pPr>
      <w:r w:rsidRPr="003A357D">
        <w:rPr>
          <w:i/>
        </w:rPr>
        <w:t xml:space="preserve">The potential for virological resistance with the use of </w:t>
      </w:r>
      <w:r w:rsidR="008B6F3C">
        <w:rPr>
          <w:i/>
        </w:rPr>
        <w:t>Viekira Pak</w:t>
      </w:r>
      <w:r w:rsidRPr="003A357D">
        <w:rPr>
          <w:i/>
        </w:rPr>
        <w:t xml:space="preserve"> and </w:t>
      </w:r>
      <w:r w:rsidR="008B6F3C">
        <w:rPr>
          <w:i/>
        </w:rPr>
        <w:t>Viekira Pak</w:t>
      </w:r>
      <w:r w:rsidRPr="003A357D">
        <w:rPr>
          <w:i/>
        </w:rPr>
        <w:t>-RBV.</w:t>
      </w:r>
    </w:p>
    <w:p w:rsidR="003A357D" w:rsidRPr="003A357D" w:rsidRDefault="003A357D" w:rsidP="003A357D">
      <w:r w:rsidRPr="003A357D">
        <w:t xml:space="preserve">The ACPM advised that there is a risk that virological resistance may develop. However, the ACPM considered that this is unlikely to be a significant problem in clinical practice, as the results seen in the pivotal clinical studies for proportion of patients achieving </w:t>
      </w:r>
      <w:r w:rsidR="006A2EA5" w:rsidRPr="00FE5487">
        <w:t>SVR</w:t>
      </w:r>
      <w:r w:rsidR="006A2EA5" w:rsidRPr="006A2EA5">
        <w:rPr>
          <w:vertAlign w:val="subscript"/>
        </w:rPr>
        <w:t>12</w:t>
      </w:r>
      <w:r w:rsidRPr="003A357D">
        <w:t xml:space="preserve"> were very high.</w:t>
      </w:r>
    </w:p>
    <w:p w:rsidR="003A357D" w:rsidRPr="00C2470C" w:rsidRDefault="003A357D" w:rsidP="003A357D">
      <w:pPr>
        <w:pStyle w:val="Numberbullet0"/>
        <w:rPr>
          <w:i/>
        </w:rPr>
      </w:pPr>
      <w:r w:rsidRPr="00C2470C">
        <w:rPr>
          <w:i/>
        </w:rPr>
        <w:t>The adequacy and clarity o</w:t>
      </w:r>
      <w:r w:rsidR="005D0EDF" w:rsidRPr="00C2470C">
        <w:rPr>
          <w:i/>
        </w:rPr>
        <w:t>f the PI with respect to contra</w:t>
      </w:r>
      <w:r w:rsidRPr="00C2470C">
        <w:rPr>
          <w:i/>
        </w:rPr>
        <w:t>indications and drug-drug interactions sections, noting the Delegate’s proposed changes and the presentation o</w:t>
      </w:r>
      <w:r w:rsidR="0080277C" w:rsidRPr="00C2470C">
        <w:rPr>
          <w:i/>
        </w:rPr>
        <w:t>f overseas product information.</w:t>
      </w:r>
    </w:p>
    <w:p w:rsidR="003A357D" w:rsidRPr="003A357D" w:rsidRDefault="003A357D" w:rsidP="003A357D">
      <w:r w:rsidRPr="003A357D">
        <w:t>The ACPM advised that the information in the PI with respect to the contraindications and drug-drug interactions sections should be amended as proposed by the Delegate. The ACPM noted the changes to the PI that had been made by the sponsor in respon</w:t>
      </w:r>
      <w:r>
        <w:t>se to the Delegate’s comments.</w:t>
      </w:r>
    </w:p>
    <w:p w:rsidR="003A357D" w:rsidRPr="003A357D" w:rsidRDefault="003A357D" w:rsidP="003A357D">
      <w:r w:rsidRPr="003A357D">
        <w:t>The ACPM noted that the PI contraindicates use of Viekira Pak (with or without rib</w:t>
      </w:r>
      <w:r w:rsidR="005D0EDF">
        <w:t xml:space="preserve">avirin) with ethinyl oestradiol </w:t>
      </w:r>
      <w:r w:rsidRPr="003A357D">
        <w:t>containing medicinal products due to the potential for ele</w:t>
      </w:r>
      <w:r w:rsidR="008363B5">
        <w:t>vation of ALT</w:t>
      </w:r>
      <w:r w:rsidRPr="003A357D">
        <w:t>. There was concern that a contraindication to oral contraceptives could be potentially problematic, given that ribavirin (which is included in Viekira Pak-R</w:t>
      </w:r>
      <w:r w:rsidR="005D0EDF">
        <w:t>BV, but not Viekira Pak) is in Pregnancy C</w:t>
      </w:r>
      <w:r w:rsidRPr="003A357D">
        <w:t>ategory X. However, the contraindication for oral contraceptives in the PI only applies to products that contain ethinyl oestradiol, and the PRECAUTIONS section of the PI recommends the use of alternative contraceptive agents or methods of contracept</w:t>
      </w:r>
      <w:r w:rsidR="0080277C">
        <w:t>ion during Viekira Pak therapy.</w:t>
      </w:r>
    </w:p>
    <w:p w:rsidR="003A357D" w:rsidRPr="003A357D" w:rsidRDefault="003A357D" w:rsidP="003A357D">
      <w:pPr>
        <w:pStyle w:val="Numberbullet0"/>
        <w:rPr>
          <w:i/>
        </w:rPr>
      </w:pPr>
      <w:r w:rsidRPr="003A357D">
        <w:rPr>
          <w:i/>
        </w:rPr>
        <w:t xml:space="preserve">The clarity of the CMI, patient dosing card and information sheets (see RMP </w:t>
      </w:r>
      <w:r w:rsidR="005D0EDF">
        <w:rPr>
          <w:i/>
        </w:rPr>
        <w:t>second round</w:t>
      </w:r>
      <w:r w:rsidRPr="003A357D">
        <w:rPr>
          <w:i/>
        </w:rPr>
        <w:t xml:space="preserve"> report, recommendation 1.12, PM-2014-01438-1-2).</w:t>
      </w:r>
    </w:p>
    <w:p w:rsidR="003A357D" w:rsidRPr="003A357D" w:rsidRDefault="003A357D" w:rsidP="003A357D">
      <w:r w:rsidRPr="003A357D">
        <w:t>The ACPM considered that the CMI was complicated, but noted that the patient dosing chart was fairly clear. The ACPM advised that the CMI should include a warning about dark urine/jaundice and the need for frequent blood tests to check for liver function abnormalities.</w:t>
      </w:r>
    </w:p>
    <w:p w:rsidR="003A357D" w:rsidRPr="003A357D" w:rsidRDefault="003A357D" w:rsidP="003A357D">
      <w:r w:rsidRPr="003A357D">
        <w:t>The ACPM advised that the CMI should also include changes consistent with those made to the PI, particularly with respect to the contraindications and drug-drug interactions. The potential consequences of pregnancy should be emphasised in the CMI, given the teratogenicity of ribavirin and the contraindi</w:t>
      </w:r>
      <w:r w:rsidR="005D0EDF">
        <w:t xml:space="preserve">cated use of ethinyl oestradiol </w:t>
      </w:r>
      <w:r w:rsidRPr="003A357D">
        <w:t>containing medicinal products.</w:t>
      </w:r>
    </w:p>
    <w:p w:rsidR="003A357D" w:rsidRPr="003A357D" w:rsidRDefault="003A357D" w:rsidP="003A357D">
      <w:pPr>
        <w:pStyle w:val="Numberbullet0"/>
        <w:rPr>
          <w:i/>
        </w:rPr>
      </w:pPr>
      <w:r w:rsidRPr="003A357D">
        <w:rPr>
          <w:i/>
        </w:rPr>
        <w:t xml:space="preserve">With reference to </w:t>
      </w:r>
      <w:r w:rsidR="008B6F3C">
        <w:rPr>
          <w:i/>
        </w:rPr>
        <w:t>Viekira Pak</w:t>
      </w:r>
      <w:r w:rsidRPr="003A357D">
        <w:rPr>
          <w:i/>
        </w:rPr>
        <w:t xml:space="preserve"> and the proposed PI, is the broad indication proposed for genotype 1 infection for </w:t>
      </w:r>
      <w:r w:rsidR="008B6F3C">
        <w:rPr>
          <w:i/>
        </w:rPr>
        <w:t>Viekira Pak</w:t>
      </w:r>
      <w:r w:rsidRPr="003A357D">
        <w:rPr>
          <w:i/>
        </w:rPr>
        <w:t xml:space="preserve"> acceptable, given the data only support use in </w:t>
      </w:r>
      <w:r w:rsidRPr="003A357D">
        <w:rPr>
          <w:i/>
        </w:rPr>
        <w:lastRenderedPageBreak/>
        <w:t xml:space="preserve">genotype 1b? Also, is clearer guidance needed for the </w:t>
      </w:r>
      <w:r w:rsidR="008B6F3C">
        <w:rPr>
          <w:i/>
        </w:rPr>
        <w:t>Viekira Pak</w:t>
      </w:r>
      <w:r w:rsidRPr="003A357D">
        <w:rPr>
          <w:i/>
        </w:rPr>
        <w:t xml:space="preserve"> PI indicating it is currently recommended for </w:t>
      </w:r>
      <w:r w:rsidR="00202E0D">
        <w:rPr>
          <w:i/>
        </w:rPr>
        <w:t>genotype</w:t>
      </w:r>
      <w:r w:rsidRPr="003A357D">
        <w:rPr>
          <w:i/>
        </w:rPr>
        <w:t>1b only? Should dosing information related to ribavirin be omitted?</w:t>
      </w:r>
    </w:p>
    <w:p w:rsidR="003A357D" w:rsidRPr="003A357D" w:rsidRDefault="003A357D" w:rsidP="003A357D">
      <w:r w:rsidRPr="003A357D">
        <w:t>The ACPM noted that the results of study M14-002 (PEARL-IV, which compared 12 weeks treatment with Viekira Pak RBV v</w:t>
      </w:r>
      <w:r w:rsidR="005D0EDF">
        <w:t>ersu</w:t>
      </w:r>
      <w:r w:rsidRPr="003A357D">
        <w:t xml:space="preserve">s Viekira Pak without ribavirin in treatment naïve patients with </w:t>
      </w:r>
      <w:r w:rsidR="00202E0D">
        <w:t>genotype</w:t>
      </w:r>
      <w:r w:rsidRPr="003A357D">
        <w:t xml:space="preserve">1a infection, and without cirrhosis) reported </w:t>
      </w:r>
      <w:r w:rsidR="006A2EA5" w:rsidRPr="00FE5487">
        <w:t>SVR</w:t>
      </w:r>
      <w:r w:rsidR="006A2EA5" w:rsidRPr="006A2EA5">
        <w:rPr>
          <w:vertAlign w:val="subscript"/>
        </w:rPr>
        <w:t>12</w:t>
      </w:r>
      <w:r w:rsidRPr="003A357D">
        <w:t xml:space="preserve"> in 97% of patients treated with Viekira Pak RBV compared with 90% of those in the Viekira Pak treatment group. Although the results demonstrated an SVR rate of </w:t>
      </w:r>
      <w:r w:rsidR="000C3156">
        <w:t xml:space="preserve">&gt; </w:t>
      </w:r>
      <w:r w:rsidRPr="003A357D">
        <w:t>90% for treatment without ribavirin, this was not shown to be non-inferior to the treatment with ribavirin, but the ribavirin group showed significant toxicity (anaemia 42% v</w:t>
      </w:r>
      <w:r w:rsidR="005D0EDF">
        <w:t>ersu</w:t>
      </w:r>
      <w:r w:rsidRPr="003A357D">
        <w:t>s 4%). Additionally, the results for both treatments were superior to the historical control rate for teleprevir plus pegIFN/RBV therapy.</w:t>
      </w:r>
    </w:p>
    <w:p w:rsidR="003A357D" w:rsidRPr="003A357D" w:rsidRDefault="003A357D" w:rsidP="003A357D">
      <w:r w:rsidRPr="003A357D">
        <w:t>The ACPM advised that the results of study M14-002, which reported high success rates in patients with genotype 1a infection, provided support for the</w:t>
      </w:r>
      <w:r w:rsidR="005D0EDF">
        <w:t xml:space="preserve"> indication for Viekira Pak (that is</w:t>
      </w:r>
      <w:r w:rsidRPr="003A357D">
        <w:t xml:space="preserve"> without ribavirin) for treatment of genotype 1 (1a or 1b) infection. It is recommended that a</w:t>
      </w:r>
      <w:r w:rsidR="0080277C">
        <w:t xml:space="preserve"> statement to the effect that “</w:t>
      </w:r>
      <w:r w:rsidRPr="003A357D">
        <w:t>Viekira Pak is recommended as first line treatment for genotype 1b infection</w:t>
      </w:r>
      <w:r w:rsidR="005D0EDF">
        <w:t xml:space="preserve">, and second line (if ribavirin </w:t>
      </w:r>
      <w:r w:rsidRPr="003A357D">
        <w:t>intolerant) for genotype 1a infection” be added to the beginning of the Dosage and Administration section of the PI, referencing Table 16.</w:t>
      </w:r>
    </w:p>
    <w:p w:rsidR="003A357D" w:rsidRPr="003A357D" w:rsidRDefault="003A357D" w:rsidP="003A357D">
      <w:pPr>
        <w:pStyle w:val="Numberbullet0"/>
        <w:rPr>
          <w:i/>
        </w:rPr>
      </w:pPr>
      <w:r w:rsidRPr="003A357D">
        <w:rPr>
          <w:i/>
        </w:rPr>
        <w:t>The updated safety data and report of the compassionate use program anticipated with the pre-ACPM response.</w:t>
      </w:r>
    </w:p>
    <w:p w:rsidR="003A357D" w:rsidRPr="003A357D" w:rsidRDefault="003A357D" w:rsidP="003A357D">
      <w:r w:rsidRPr="003A357D">
        <w:t>The ACPM noted that the sponsor’s updated information on the compassionate use program indicated use in 431 patients to 17 April 2015. The updated safety data noted reports of hyperbilirubinaemia, elevated AST, and drug-drug interactions with quetiapine. The ACPM considered that this reinforced the need to have in the PI a warning about hyperbilirubinaemia under PRECAUTIONS plus a management plan, and strong warnings about drug-drug interactions.</w:t>
      </w:r>
    </w:p>
    <w:p w:rsidR="003A357D" w:rsidRPr="003A357D" w:rsidRDefault="003A357D" w:rsidP="003A357D">
      <w:pPr>
        <w:pStyle w:val="Numberbullet0"/>
        <w:rPr>
          <w:i/>
        </w:rPr>
      </w:pPr>
      <w:r w:rsidRPr="003A357D">
        <w:rPr>
          <w:i/>
        </w:rPr>
        <w:t>Does the PI require further qualification in regards to race and ethnicity for Asian and Hispanic/Latino patients?</w:t>
      </w:r>
    </w:p>
    <w:p w:rsidR="003A357D" w:rsidRPr="003A357D" w:rsidRDefault="003A357D" w:rsidP="003A357D">
      <w:r w:rsidRPr="003A357D">
        <w:t>The ACPM noted that there are little data on Asian patients, but further studies are in progress. The ACPM noted that larger numbers of Hispanic/Latino patients were included in trials, but there were no obvious pharmacokinetic differences (except for ritonavir, where increased exposure was not clinically important).</w:t>
      </w:r>
    </w:p>
    <w:p w:rsidR="003A357D" w:rsidRPr="003A357D" w:rsidRDefault="003A357D" w:rsidP="003A357D">
      <w:r w:rsidRPr="003A357D">
        <w:t xml:space="preserve">The ACPM advised that, pending further data, the PI should include a statement such as the following, “however, patient numbers in the clinical trials were not sufficient to address possible differences in pharmacokinetics and toxicity profiles in specific ethnic </w:t>
      </w:r>
      <w:r w:rsidR="0080277C">
        <w:t>groups such as Asian patients”.</w:t>
      </w:r>
    </w:p>
    <w:p w:rsidR="003A357D" w:rsidRPr="003A357D" w:rsidRDefault="003A357D" w:rsidP="003A357D">
      <w:r w:rsidRPr="003A357D">
        <w:t>The ACPM advised that implementation by the sponsor of the recommendations outlined above to the satisfaction of the TGA, in addition to the evidence of efficacy and safety provided would support the safe and effective use</w:t>
      </w:r>
      <w:r w:rsidR="0080277C">
        <w:t xml:space="preserve"> of these products.</w:t>
      </w:r>
    </w:p>
    <w:p w:rsidR="008E7846" w:rsidRPr="002E238E" w:rsidRDefault="008E7846" w:rsidP="008E7846">
      <w:pPr>
        <w:pStyle w:val="Heading3"/>
      </w:pPr>
      <w:bookmarkStart w:id="222" w:name="_Toc247691532"/>
      <w:bookmarkStart w:id="223" w:name="_Toc314842516"/>
      <w:bookmarkStart w:id="224" w:name="_Toc480811599"/>
      <w:bookmarkEnd w:id="157"/>
      <w:bookmarkEnd w:id="220"/>
      <w:bookmarkEnd w:id="221"/>
      <w:r>
        <w:t>Outcome</w:t>
      </w:r>
      <w:bookmarkEnd w:id="222"/>
      <w:bookmarkEnd w:id="223"/>
      <w:bookmarkEnd w:id="224"/>
    </w:p>
    <w:p w:rsidR="00131A55" w:rsidRPr="00C2470C" w:rsidRDefault="00D23139" w:rsidP="00131A55">
      <w:bookmarkStart w:id="225" w:name="_Toc247691533"/>
      <w:bookmarkStart w:id="226" w:name="_Toc314842517"/>
      <w:r w:rsidRPr="00C2470C">
        <w:t xml:space="preserve">Based on a review of quality, safety and efficacy, TGA approved the registration of </w:t>
      </w:r>
      <w:r w:rsidR="00C2470C" w:rsidRPr="00C2470C">
        <w:t>Viekira </w:t>
      </w:r>
      <w:r w:rsidR="00131A55" w:rsidRPr="00C2470C">
        <w:t>Pak</w:t>
      </w:r>
      <w:r w:rsidR="00C2470C" w:rsidRPr="00C2470C">
        <w:t>-RBV</w:t>
      </w:r>
      <w:r w:rsidR="00131A55" w:rsidRPr="00C2470C">
        <w:t xml:space="preserve"> combined - paritaprevir/ritonavir/ombitasvir 75 mg/50 mg/ 12.5 mg film coated tablets and dasabuvir (as sodium salt) 250 mg film coated tablets </w:t>
      </w:r>
      <w:r w:rsidR="00C2470C">
        <w:t>and ribavirin (</w:t>
      </w:r>
      <w:r w:rsidR="00B83EAD">
        <w:t>200 mg;</w:t>
      </w:r>
      <w:r w:rsidR="00C2470C">
        <w:t xml:space="preserve"> or 400 mg</w:t>
      </w:r>
      <w:r w:rsidR="00B83EAD">
        <w:t>; or 600 mg; or 400 mg and 600 mg</w:t>
      </w:r>
      <w:r w:rsidR="00C2470C">
        <w:t xml:space="preserve">) </w:t>
      </w:r>
      <w:r w:rsidR="00B83EAD">
        <w:t xml:space="preserve">composite pack blister pack; or blister pack </w:t>
      </w:r>
      <w:r w:rsidR="00C2470C" w:rsidRPr="00C2470C">
        <w:t>and bottles</w:t>
      </w:r>
      <w:r w:rsidR="00B83EAD">
        <w:t>; or bottles)</w:t>
      </w:r>
      <w:r w:rsidR="00C2470C" w:rsidRPr="00C2470C">
        <w:t xml:space="preserve"> </w:t>
      </w:r>
      <w:r w:rsidR="00131A55" w:rsidRPr="00C2470C">
        <w:t>for oral use indicated for:</w:t>
      </w:r>
    </w:p>
    <w:p w:rsidR="00D23139" w:rsidRPr="00C2470C" w:rsidRDefault="00131A55" w:rsidP="00131A55">
      <w:pPr>
        <w:ind w:left="720"/>
        <w:rPr>
          <w:i/>
        </w:rPr>
      </w:pPr>
      <w:r w:rsidRPr="00C2470C">
        <w:rPr>
          <w:i/>
        </w:rPr>
        <w:t>Viekira Pak</w:t>
      </w:r>
      <w:r w:rsidR="00C2470C" w:rsidRPr="00C2470C">
        <w:rPr>
          <w:i/>
        </w:rPr>
        <w:t>-RBV</w:t>
      </w:r>
      <w:r w:rsidRPr="00C2470C">
        <w:rPr>
          <w:i/>
        </w:rPr>
        <w:t xml:space="preserve"> is indicated for the treatment of genotype I chronic hepatitis C infection, including patients with compensated cirrhosis. Duration of therapy and </w:t>
      </w:r>
      <w:r w:rsidRPr="00C2470C">
        <w:rPr>
          <w:i/>
        </w:rPr>
        <w:lastRenderedPageBreak/>
        <w:t>addition of ribavirin are dependent on patient population (see DOSAGE AND ADMINISTRATION, PRECAUTIONS, CLINICAL TRIALS).</w:t>
      </w:r>
    </w:p>
    <w:p w:rsidR="00D23139" w:rsidRPr="00D23139" w:rsidRDefault="00D23139" w:rsidP="00D23139">
      <w:pPr>
        <w:pStyle w:val="Heading4"/>
      </w:pPr>
      <w:r w:rsidRPr="00D23139">
        <w:t>Specific conditions of registration applying to these goods</w:t>
      </w:r>
    </w:p>
    <w:p w:rsidR="00991882" w:rsidRPr="00991882" w:rsidRDefault="00991882" w:rsidP="00991882">
      <w:r w:rsidRPr="00991882">
        <w:t>The V</w:t>
      </w:r>
      <w:r w:rsidR="00502A5C" w:rsidRPr="00991882">
        <w:t>iekira</w:t>
      </w:r>
      <w:r w:rsidRPr="00991882">
        <w:t xml:space="preserve"> P</w:t>
      </w:r>
      <w:r w:rsidR="00502A5C" w:rsidRPr="00991882">
        <w:t>ak</w:t>
      </w:r>
      <w:r w:rsidRPr="00991882">
        <w:t>-RBV (combined paritaprevir/ritonavir/ombitasvir tablets and</w:t>
      </w:r>
      <w:r>
        <w:t xml:space="preserve"> </w:t>
      </w:r>
      <w:r w:rsidRPr="00991882">
        <w:t>dasabuvir tablets and ribavirin tablets) compo</w:t>
      </w:r>
      <w:r>
        <w:t xml:space="preserve">site pack, Risk Management Plan </w:t>
      </w:r>
      <w:r w:rsidRPr="00991882">
        <w:t>(RMP): Version 1.2 of EU-RMP format (date</w:t>
      </w:r>
      <w:r>
        <w:t xml:space="preserve">d February 2015, DLP 24 January </w:t>
      </w:r>
      <w:r w:rsidRPr="00991882">
        <w:t>2014) and Australian Specific Annex (A</w:t>
      </w:r>
      <w:r>
        <w:t xml:space="preserve">SA) Version 1.2 (dated February </w:t>
      </w:r>
      <w:r w:rsidRPr="00991882">
        <w:t>2015) included with submission PM-201</w:t>
      </w:r>
      <w:r>
        <w:t xml:space="preserve">4-01438-1-2, and any subsequent </w:t>
      </w:r>
      <w:r w:rsidRPr="00991882">
        <w:t>revisions, as agreed with the TGA will be implemented in Australia.</w:t>
      </w:r>
    </w:p>
    <w:p w:rsidR="008E7846" w:rsidRDefault="00A80B5B" w:rsidP="004C76A6">
      <w:pPr>
        <w:pStyle w:val="Heading2"/>
      </w:pPr>
      <w:bookmarkStart w:id="227" w:name="_Toc480811600"/>
      <w:proofErr w:type="gramStart"/>
      <w:r>
        <w:t>Attachment 1.</w:t>
      </w:r>
      <w:proofErr w:type="gramEnd"/>
      <w:r>
        <w:t xml:space="preserve"> </w:t>
      </w:r>
      <w:r w:rsidR="008E7846">
        <w:t xml:space="preserve">Product </w:t>
      </w:r>
      <w:r w:rsidR="00AA0ED0">
        <w:t>I</w:t>
      </w:r>
      <w:r w:rsidR="008E7846">
        <w:t>nformation</w:t>
      </w:r>
      <w:bookmarkEnd w:id="225"/>
      <w:bookmarkEnd w:id="226"/>
      <w:bookmarkEnd w:id="227"/>
    </w:p>
    <w:p w:rsidR="00C80137" w:rsidRDefault="006136D7" w:rsidP="00C80137">
      <w:pPr>
        <w:rPr>
          <w:color w:val="000000"/>
          <w:lang w:eastAsia="en-AU"/>
        </w:rPr>
      </w:pPr>
      <w:r w:rsidRPr="002B3624">
        <w:t xml:space="preserve">The </w:t>
      </w:r>
      <w:r>
        <w:t>PI</w:t>
      </w:r>
      <w:r w:rsidRPr="002B3624">
        <w:t xml:space="preserve"> for </w:t>
      </w:r>
      <w:r w:rsidR="00131A55">
        <w:t>Viekira Pak</w:t>
      </w:r>
      <w:r w:rsidR="00B83EAD">
        <w:t>-RBV</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926A16">
        <w:t xml:space="preserve">&lt; </w:t>
      </w:r>
      <w:hyperlink r:id="rId60" w:history="1">
        <w:r w:rsidR="007C6B9B" w:rsidRPr="007C6B9B">
          <w:rPr>
            <w:rStyle w:val="Hyperlink"/>
          </w:rPr>
          <w:t>https://www.tga.gov.au/product-information-pi</w:t>
        </w:r>
      </w:hyperlink>
      <w:proofErr w:type="gramStart"/>
      <w:r w:rsidR="000C3156">
        <w:t xml:space="preserve">&gt; </w:t>
      </w:r>
      <w:r w:rsidR="00131A55">
        <w:t>.</w:t>
      </w:r>
      <w:proofErr w:type="gramEnd"/>
    </w:p>
    <w:p w:rsidR="00770CAC" w:rsidRPr="005D0EDF" w:rsidRDefault="00C80137" w:rsidP="005D0EDF">
      <w:pPr>
        <w:pStyle w:val="Heading2"/>
        <w:rPr>
          <w:lang w:eastAsia="en-AU"/>
        </w:rPr>
      </w:pPr>
      <w:bookmarkStart w:id="228" w:name="_Toc480811601"/>
      <w:proofErr w:type="gramStart"/>
      <w:r>
        <w:rPr>
          <w:lang w:eastAsia="en-AU"/>
        </w:rPr>
        <w:t>Attachment 2.</w:t>
      </w:r>
      <w:proofErr w:type="gramEnd"/>
      <w:r w:rsidR="00A80B5B">
        <w:rPr>
          <w:lang w:eastAsia="en-AU"/>
        </w:rPr>
        <w:t xml:space="preserve"> </w:t>
      </w:r>
      <w:r>
        <w:rPr>
          <w:lang w:eastAsia="en-AU"/>
        </w:rPr>
        <w:t>Extract from the Clinical Evaluation Report</w:t>
      </w:r>
      <w:bookmarkEnd w:id="228"/>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61"/>
          <w:headerReference w:type="default" r:id="rId62"/>
          <w:headerReference w:type="first" r:id="rId63"/>
          <w:footerReference w:type="first" r:id="rId6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65" w:history="1">
              <w:r w:rsidRPr="004C239D">
                <w:rPr>
                  <w:rStyle w:val="Hyperlink"/>
                </w:rPr>
                <w:t>info@tga.gov.au</w:t>
              </w:r>
            </w:hyperlink>
            <w:r w:rsidR="008B6F3C">
              <w:t xml:space="preserve"> </w:t>
            </w:r>
            <w:r w:rsidRPr="00487162">
              <w:t>Phone: 1800 020 653</w:t>
            </w:r>
            <w:r w:rsidR="008B6F3C">
              <w:t xml:space="preserve"> </w:t>
            </w:r>
            <w:r w:rsidRPr="00487162">
              <w:t>Fax: 02 6232 8605</w:t>
            </w:r>
          </w:p>
          <w:p w:rsidR="001C32CD" w:rsidRPr="004C239D" w:rsidRDefault="00FD001F" w:rsidP="00A05FA4">
            <w:pPr>
              <w:pStyle w:val="Address"/>
              <w:spacing w:line="260" w:lineRule="atLeast"/>
              <w:rPr>
                <w:b/>
                <w:color w:val="0000FF"/>
                <w:u w:val="single"/>
              </w:rPr>
            </w:pPr>
            <w:hyperlink r:id="rId6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67"/>
      <w:headerReference w:type="default" r:id="rId68"/>
      <w:footerReference w:type="default" r:id="rId69"/>
      <w:headerReference w:type="first" r:id="rId70"/>
      <w:footerReference w:type="first" r:id="rId7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D3B" w:rsidRDefault="00605D3B" w:rsidP="00C40A36">
      <w:pPr>
        <w:spacing w:after="0"/>
      </w:pPr>
      <w:r>
        <w:separator/>
      </w:r>
    </w:p>
  </w:endnote>
  <w:endnote w:type="continuationSeparator" w:id="0">
    <w:p w:rsidR="00605D3B" w:rsidRDefault="00605D3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8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05D3B" w:rsidRPr="00487162" w:rsidTr="00DB750B">
      <w:trPr>
        <w:trHeight w:val="269"/>
      </w:trPr>
      <w:tc>
        <w:tcPr>
          <w:tcW w:w="7371" w:type="dxa"/>
          <w:tcMar>
            <w:top w:w="142" w:type="dxa"/>
            <w:bottom w:w="0" w:type="dxa"/>
          </w:tcMar>
        </w:tcPr>
        <w:p w:rsidR="00605D3B" w:rsidRPr="00487162" w:rsidRDefault="00605D3B" w:rsidP="009E2121">
          <w:pPr>
            <w:pStyle w:val="Footer"/>
          </w:pPr>
          <w:r w:rsidRPr="00487162">
            <w:t>AusPA</w:t>
          </w:r>
          <w:r>
            <w:t xml:space="preserve">R </w:t>
          </w:r>
          <w:r w:rsidRPr="006E76C6">
            <w:t xml:space="preserve">VIEKIRA PAK </w:t>
          </w:r>
          <w:r>
            <w:t>-RBV</w:t>
          </w:r>
          <w:r w:rsidRPr="006E76C6">
            <w:t xml:space="preserve">- Paritaprevir / Ritonavir / Ombitasvir and Dasabuvir (as Sodium Salt) </w:t>
          </w:r>
          <w:r>
            <w:t>and Ribavirin</w:t>
          </w:r>
          <w:r w:rsidRPr="006E76C6">
            <w:t xml:space="preserve">- </w:t>
          </w:r>
          <w:r>
            <w:t>AbbVie</w:t>
          </w:r>
          <w:r w:rsidRPr="006E76C6">
            <w:t xml:space="preserve"> Pty Ltd - PM-2014-0143</w:t>
          </w:r>
          <w:r>
            <w:t>8</w:t>
          </w:r>
          <w:r w:rsidRPr="006E76C6">
            <w:t>-1-2</w:t>
          </w:r>
          <w:r>
            <w:t xml:space="preserve"> FINAL 24 March 2017</w:t>
          </w:r>
        </w:p>
      </w:tc>
      <w:tc>
        <w:tcPr>
          <w:tcW w:w="1490" w:type="dxa"/>
          <w:tcMar>
            <w:top w:w="142" w:type="dxa"/>
            <w:bottom w:w="0" w:type="dxa"/>
          </w:tcMar>
        </w:tcPr>
        <w:p w:rsidR="00605D3B" w:rsidRPr="00487162" w:rsidRDefault="00605D3B" w:rsidP="00DB750B">
          <w:pPr>
            <w:pStyle w:val="Footer"/>
            <w:jc w:val="right"/>
          </w:pPr>
          <w:r w:rsidRPr="00487162">
            <w:t xml:space="preserve">Page </w:t>
          </w:r>
          <w:r>
            <w:fldChar w:fldCharType="begin"/>
          </w:r>
          <w:r>
            <w:instrText xml:space="preserve"> PAGE  \* Arabic </w:instrText>
          </w:r>
          <w:r>
            <w:fldChar w:fldCharType="separate"/>
          </w:r>
          <w:r w:rsidR="00FD001F">
            <w:rPr>
              <w:noProof/>
            </w:rPr>
            <w:t>178</w:t>
          </w:r>
          <w:r>
            <w:fldChar w:fldCharType="end"/>
          </w:r>
          <w:r w:rsidRPr="00487162">
            <w:t xml:space="preserve"> of </w:t>
          </w:r>
          <w:r w:rsidR="00FD001F">
            <w:fldChar w:fldCharType="begin"/>
          </w:r>
          <w:r w:rsidR="00FD001F">
            <w:instrText xml:space="preserve"> NUMPAGES  \* Arabic </w:instrText>
          </w:r>
          <w:r w:rsidR="00FD001F">
            <w:fldChar w:fldCharType="separate"/>
          </w:r>
          <w:r w:rsidR="00FD001F">
            <w:rPr>
              <w:noProof/>
            </w:rPr>
            <w:t>179</w:t>
          </w:r>
          <w:r w:rsidR="00FD001F">
            <w:rPr>
              <w:noProof/>
            </w:rPr>
            <w:fldChar w:fldCharType="end"/>
          </w:r>
        </w:p>
      </w:tc>
    </w:tr>
  </w:tbl>
  <w:p w:rsidR="00605D3B" w:rsidRDefault="00605D3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05D3B" w:rsidRPr="00487162" w:rsidTr="00E45619">
      <w:trPr>
        <w:trHeight w:val="269"/>
      </w:trPr>
      <w:tc>
        <w:tcPr>
          <w:tcW w:w="4519" w:type="dxa"/>
          <w:tcBorders>
            <w:top w:val="single" w:sz="4" w:space="0" w:color="auto"/>
          </w:tcBorders>
          <w:tcMar>
            <w:top w:w="142" w:type="dxa"/>
            <w:bottom w:w="0" w:type="dxa"/>
          </w:tcMar>
        </w:tcPr>
        <w:p w:rsidR="00605D3B" w:rsidRPr="00487162" w:rsidRDefault="00605D3B" w:rsidP="00FE1DEE">
          <w:pPr>
            <w:pStyle w:val="Footer"/>
          </w:pPr>
          <w:r w:rsidRPr="00487162">
            <w:t>Document title, Part #, Section # - Section title</w:t>
          </w:r>
        </w:p>
        <w:p w:rsidR="00605D3B" w:rsidRPr="00487162" w:rsidRDefault="00605D3B" w:rsidP="00FE1DEE">
          <w:pPr>
            <w:pStyle w:val="Footer"/>
          </w:pPr>
          <w:r w:rsidRPr="00487162">
            <w:t>V1.0 October 2010</w:t>
          </w:r>
        </w:p>
      </w:tc>
      <w:tc>
        <w:tcPr>
          <w:tcW w:w="4342" w:type="dxa"/>
          <w:tcBorders>
            <w:top w:val="single" w:sz="4" w:space="0" w:color="auto"/>
          </w:tcBorders>
          <w:tcMar>
            <w:top w:w="142" w:type="dxa"/>
            <w:bottom w:w="0" w:type="dxa"/>
          </w:tcMar>
        </w:tcPr>
        <w:p w:rsidR="00605D3B" w:rsidRPr="00487162" w:rsidRDefault="00605D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D001F">
            <w:fldChar w:fldCharType="begin"/>
          </w:r>
          <w:r w:rsidR="00FD001F">
            <w:instrText xml:space="preserve"> NUMPAGES  </w:instrText>
          </w:r>
          <w:r w:rsidR="00FD001F">
            <w:fldChar w:fldCharType="separate"/>
          </w:r>
          <w:r>
            <w:rPr>
              <w:noProof/>
            </w:rPr>
            <w:t>3</w:t>
          </w:r>
          <w:r w:rsidR="00FD001F">
            <w:rPr>
              <w:noProof/>
            </w:rPr>
            <w:fldChar w:fldCharType="end"/>
          </w:r>
        </w:p>
      </w:tc>
    </w:tr>
  </w:tbl>
  <w:p w:rsidR="00605D3B" w:rsidRDefault="00605D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Pr="001C32CD" w:rsidRDefault="00605D3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05D3B" w:rsidTr="0010601F">
      <w:trPr>
        <w:trHeight w:val="108"/>
      </w:trPr>
      <w:tc>
        <w:tcPr>
          <w:tcW w:w="8875" w:type="dxa"/>
          <w:gridSpan w:val="2"/>
          <w:tcBorders>
            <w:bottom w:val="single" w:sz="4" w:space="0" w:color="auto"/>
          </w:tcBorders>
          <w:tcMar>
            <w:right w:w="284" w:type="dxa"/>
          </w:tcMar>
        </w:tcPr>
        <w:p w:rsidR="00605D3B" w:rsidRDefault="00605D3B" w:rsidP="006E08B3">
          <w:pPr>
            <w:pStyle w:val="Heading3"/>
          </w:pPr>
          <w:r>
            <w:t>Copyright</w:t>
          </w:r>
        </w:p>
        <w:p w:rsidR="00605D3B" w:rsidRDefault="00605D3B" w:rsidP="006E08B3">
          <w:r>
            <w:rPr>
              <w:rFonts w:cs="Arial"/>
            </w:rPr>
            <w:t>©</w:t>
          </w:r>
          <w:r>
            <w:t xml:space="preserve"> Commonwealth of Australia [add year]</w:t>
          </w:r>
        </w:p>
        <w:p w:rsidR="00605D3B" w:rsidRDefault="00605D3B" w:rsidP="006E08B3"/>
        <w:p w:rsidR="00605D3B" w:rsidRDefault="00605D3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05D3B" w:rsidRDefault="00605D3B" w:rsidP="006E08B3"/>
        <w:p w:rsidR="00605D3B" w:rsidRDefault="00605D3B" w:rsidP="006E08B3">
          <w:pPr>
            <w:pStyle w:val="Heading3"/>
          </w:pPr>
          <w:r>
            <w:t>Confidentiality</w:t>
          </w:r>
        </w:p>
        <w:p w:rsidR="00605D3B" w:rsidRDefault="00605D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05D3B" w:rsidRDefault="00605D3B" w:rsidP="006E08B3"/>
        <w:p w:rsidR="00605D3B" w:rsidRDefault="00605D3B" w:rsidP="006E08B3">
          <w:r>
            <w:t>For submission made by individuals, all personal details, other than your name, will be removed from your submission before it is published on the TGA’s Internet site.</w:t>
          </w:r>
        </w:p>
        <w:p w:rsidR="00605D3B" w:rsidRDefault="00605D3B" w:rsidP="006E08B3"/>
        <w:p w:rsidR="00605D3B" w:rsidRDefault="00605D3B" w:rsidP="006E08B3">
          <w:r>
            <w:t>In addition, a list of parties making submissions will be published. If you do not wish to be identified with your submission you must specifically request this in the space provided ib the submission coversheet.</w:t>
          </w:r>
        </w:p>
      </w:tc>
    </w:tr>
    <w:tr w:rsidR="00605D3B" w:rsidTr="0010601F">
      <w:trPr>
        <w:trHeight w:val="417"/>
      </w:trPr>
      <w:tc>
        <w:tcPr>
          <w:tcW w:w="4519" w:type="dxa"/>
          <w:tcBorders>
            <w:top w:val="single" w:sz="4" w:space="0" w:color="auto"/>
          </w:tcBorders>
          <w:tcMar>
            <w:top w:w="142" w:type="dxa"/>
            <w:bottom w:w="0" w:type="dxa"/>
          </w:tcMar>
        </w:tcPr>
        <w:p w:rsidR="00605D3B" w:rsidRDefault="00605D3B" w:rsidP="006E08B3">
          <w:r>
            <w:t>Document title, Part #, Section # - Section title</w:t>
          </w:r>
        </w:p>
        <w:p w:rsidR="00605D3B" w:rsidRDefault="00605D3B" w:rsidP="006E08B3">
          <w:r>
            <w:t>V1.0 October 2010</w:t>
          </w:r>
        </w:p>
      </w:tc>
      <w:tc>
        <w:tcPr>
          <w:tcW w:w="4356" w:type="dxa"/>
          <w:tcBorders>
            <w:top w:val="single" w:sz="4" w:space="0" w:color="auto"/>
          </w:tcBorders>
          <w:tcMar>
            <w:top w:w="142" w:type="dxa"/>
            <w:bottom w:w="0" w:type="dxa"/>
          </w:tcMar>
        </w:tcPr>
        <w:p w:rsidR="00605D3B" w:rsidRDefault="00605D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D001F">
            <w:fldChar w:fldCharType="begin"/>
          </w:r>
          <w:r w:rsidR="00FD001F">
            <w:instrText xml:space="preserve"> NUMPAGES  \* Arabic </w:instrText>
          </w:r>
          <w:r w:rsidR="00FD001F">
            <w:fldChar w:fldCharType="separate"/>
          </w:r>
          <w:r>
            <w:rPr>
              <w:noProof/>
            </w:rPr>
            <w:t>3</w:t>
          </w:r>
          <w:r w:rsidR="00FD001F">
            <w:rPr>
              <w:noProof/>
            </w:rPr>
            <w:fldChar w:fldCharType="end"/>
          </w:r>
          <w:r>
            <w:t xml:space="preserve"> </w:t>
          </w:r>
        </w:p>
      </w:tc>
    </w:tr>
  </w:tbl>
  <w:p w:rsidR="00605D3B" w:rsidRDefault="00605D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D3B" w:rsidRDefault="00605D3B" w:rsidP="00C40A36">
      <w:pPr>
        <w:spacing w:after="0"/>
      </w:pPr>
      <w:r>
        <w:separator/>
      </w:r>
    </w:p>
  </w:footnote>
  <w:footnote w:type="continuationSeparator" w:id="0">
    <w:p w:rsidR="00605D3B" w:rsidRDefault="00605D3B" w:rsidP="00C40A36">
      <w:pPr>
        <w:spacing w:after="0"/>
      </w:pPr>
      <w:r>
        <w:continuationSeparator/>
      </w:r>
    </w:p>
  </w:footnote>
  <w:footnote w:id="1">
    <w:p w:rsidR="00605D3B" w:rsidRPr="007D74A1" w:rsidRDefault="00605D3B" w:rsidP="00A26E99">
      <w:pPr>
        <w:pStyle w:val="FootnoteText"/>
      </w:pPr>
      <w:r w:rsidRPr="007D74A1">
        <w:rPr>
          <w:rStyle w:val="FootnoteReference"/>
          <w:sz w:val="16"/>
          <w:szCs w:val="16"/>
        </w:rPr>
        <w:footnoteRef/>
      </w:r>
      <w:r>
        <w:t xml:space="preserve"> </w:t>
      </w:r>
      <w:r w:rsidRPr="007D74A1">
        <w:t>Centre for Drug Evaluation and Research. Application number:206619Orig1s000</w:t>
      </w:r>
      <w:r>
        <w:t xml:space="preserve"> </w:t>
      </w:r>
      <w:r w:rsidRPr="007D74A1">
        <w:t>http://www.accessdata.fda.gov/drugsatfda_docs/nda/2014/206619Orig1s000MedR.pdf</w:t>
      </w:r>
    </w:p>
  </w:footnote>
  <w:footnote w:id="2">
    <w:p w:rsidR="00605D3B" w:rsidRPr="00286051" w:rsidRDefault="00605D3B" w:rsidP="0090503E">
      <w:pPr>
        <w:pStyle w:val="FootnoteText"/>
        <w:rPr>
          <w:lang w:val="en-US"/>
        </w:rPr>
      </w:pPr>
      <w:r>
        <w:rPr>
          <w:rStyle w:val="FootnoteReference"/>
        </w:rPr>
        <w:footnoteRef/>
      </w:r>
      <w:r>
        <w:t xml:space="preserve"> T</w:t>
      </w:r>
      <w:r w:rsidRPr="00286051">
        <w:t>he Biopharmaceutical Classification System (BCS) drug substances are classified to four classes upon th</w:t>
      </w:r>
      <w:r>
        <w:t>eir solubility and permeability.</w:t>
      </w:r>
    </w:p>
  </w:footnote>
  <w:footnote w:id="3">
    <w:p w:rsidR="00605D3B" w:rsidRDefault="00605D3B" w:rsidP="0090503E">
      <w:pPr>
        <w:pStyle w:val="FootnoteText"/>
      </w:pPr>
      <w:r>
        <w:rPr>
          <w:rStyle w:val="FootnoteReference"/>
        </w:rPr>
        <w:footnoteRef/>
      </w:r>
      <w:r>
        <w:t xml:space="preserve"> Lin, C. (2006). </w:t>
      </w:r>
      <w:proofErr w:type="gramStart"/>
      <w:r>
        <w:t>HCV NS3-4A Serine Protease.</w:t>
      </w:r>
      <w:proofErr w:type="gramEnd"/>
      <w:r>
        <w:t xml:space="preserve"> In: Hepatitis C Viruses: Genomes and Molecular Biology. Ed. S.L. Tan. </w:t>
      </w:r>
      <w:proofErr w:type="gramStart"/>
      <w:r>
        <w:t>Horizon Bioscience, Norfolk, UK.</w:t>
      </w:r>
      <w:proofErr w:type="gramEnd"/>
    </w:p>
  </w:footnote>
  <w:footnote w:id="4">
    <w:p w:rsidR="00605D3B" w:rsidRPr="00422065" w:rsidRDefault="00605D3B" w:rsidP="00CE21BD">
      <w:pPr>
        <w:pStyle w:val="FootnoteText"/>
      </w:pPr>
      <w:r>
        <w:rPr>
          <w:rStyle w:val="FootnoteReference"/>
        </w:rPr>
        <w:footnoteRef/>
      </w:r>
      <w:r>
        <w:t xml:space="preserve"> Hiscott J </w:t>
      </w:r>
      <w:r w:rsidRPr="00BF1FC5">
        <w:t>et al</w:t>
      </w:r>
      <w:r>
        <w:t xml:space="preserve">. MasterCARD: a priceless link to innate immunity. </w:t>
      </w:r>
      <w:r>
        <w:rPr>
          <w:i/>
        </w:rPr>
        <w:t xml:space="preserve">Trends in Molecular Medicine </w:t>
      </w:r>
      <w:r w:rsidRPr="00BF1FC5">
        <w:t>2006;</w:t>
      </w:r>
      <w:r>
        <w:rPr>
          <w:i/>
        </w:rPr>
        <w:t xml:space="preserve"> </w:t>
      </w:r>
      <w:r w:rsidRPr="00BF1FC5">
        <w:t>12</w:t>
      </w:r>
      <w:r>
        <w:rPr>
          <w:b/>
        </w:rPr>
        <w:t>:</w:t>
      </w:r>
      <w:r>
        <w:t>53-56.</w:t>
      </w:r>
    </w:p>
  </w:footnote>
  <w:footnote w:id="5">
    <w:p w:rsidR="00605D3B" w:rsidRDefault="00605D3B" w:rsidP="00CE21BD">
      <w:pPr>
        <w:pStyle w:val="FootnoteText"/>
      </w:pPr>
      <w:r>
        <w:rPr>
          <w:rStyle w:val="FootnoteReference"/>
        </w:rPr>
        <w:footnoteRef/>
      </w:r>
      <w:r>
        <w:t xml:space="preserve"> FDA Draft Guidance for Industry: Chronic Hepatitis C Virus Infection: Developing Direct-Acting Antiviral Drugs for Treatment. </w:t>
      </w:r>
      <w:proofErr w:type="gramStart"/>
      <w:r>
        <w:t>October 2013, Revision 1.</w:t>
      </w:r>
      <w:proofErr w:type="gramEnd"/>
    </w:p>
  </w:footnote>
  <w:footnote w:id="6">
    <w:p w:rsidR="00605D3B" w:rsidRDefault="00605D3B" w:rsidP="00CE21BD">
      <w:pPr>
        <w:pStyle w:val="FootnoteText"/>
      </w:pPr>
      <w:r>
        <w:rPr>
          <w:rStyle w:val="FootnoteReference"/>
        </w:rPr>
        <w:footnoteRef/>
      </w:r>
      <w:r>
        <w:t xml:space="preserve"> Based on a </w:t>
      </w:r>
      <w:r w:rsidRPr="008912E8">
        <w:t>C</w:t>
      </w:r>
      <w:r w:rsidRPr="003A33A4">
        <w:rPr>
          <w:vertAlign w:val="subscript"/>
        </w:rPr>
        <w:t>trough</w:t>
      </w:r>
      <w:r>
        <w:t xml:space="preserve"> of 20 ng/mL (2.6 nM) and assuming a free fraction of 1.37%</w:t>
      </w:r>
    </w:p>
  </w:footnote>
  <w:footnote w:id="7">
    <w:p w:rsidR="00605D3B" w:rsidRPr="00FF6AF2" w:rsidRDefault="00605D3B" w:rsidP="00514939">
      <w:pPr>
        <w:pStyle w:val="FootnoteText"/>
        <w:rPr>
          <w:lang w:val="en-US"/>
        </w:rPr>
      </w:pPr>
      <w:r>
        <w:rPr>
          <w:rStyle w:val="FootnoteReference"/>
        </w:rPr>
        <w:footnoteRef/>
      </w:r>
      <w:r>
        <w:t xml:space="preserve"> </w:t>
      </w:r>
      <w:proofErr w:type="gramStart"/>
      <w:r>
        <w:t>Clarification.</w:t>
      </w:r>
      <w:proofErr w:type="gramEnd"/>
      <w:r>
        <w:t xml:space="preserve"> Liver levels are not known and may be higher than plasma levels</w:t>
      </w:r>
    </w:p>
  </w:footnote>
  <w:footnote w:id="8">
    <w:p w:rsidR="00605D3B" w:rsidRPr="00A03BFF" w:rsidRDefault="00605D3B" w:rsidP="00CE21BD">
      <w:pPr>
        <w:pStyle w:val="FootnoteText"/>
        <w:rPr>
          <w:szCs w:val="18"/>
        </w:rPr>
      </w:pPr>
      <w:r w:rsidRPr="00A03BFF">
        <w:rPr>
          <w:rStyle w:val="FootnoteReference"/>
          <w:szCs w:val="18"/>
        </w:rPr>
        <w:footnoteRef/>
      </w:r>
      <w:r w:rsidRPr="00A03BFF">
        <w:rPr>
          <w:szCs w:val="18"/>
        </w:rPr>
        <w:t xml:space="preserve"> </w:t>
      </w:r>
      <w:proofErr w:type="gramStart"/>
      <w:r>
        <w:rPr>
          <w:szCs w:val="18"/>
        </w:rPr>
        <w:t xml:space="preserve">Sponsor’s </w:t>
      </w:r>
      <w:r w:rsidRPr="00A03BFF">
        <w:rPr>
          <w:szCs w:val="18"/>
        </w:rPr>
        <w:t>response to TGA, dated 27 February 2015.</w:t>
      </w:r>
      <w:proofErr w:type="gramEnd"/>
      <w:r w:rsidRPr="00A03BFF">
        <w:rPr>
          <w:szCs w:val="18"/>
        </w:rPr>
        <w:t xml:space="preserve"> </w:t>
      </w:r>
    </w:p>
  </w:footnote>
  <w:footnote w:id="9">
    <w:p w:rsidR="00605D3B" w:rsidRPr="00D56851" w:rsidRDefault="00605D3B" w:rsidP="00CE21BD">
      <w:pPr>
        <w:pStyle w:val="FootnoteText"/>
      </w:pPr>
      <w:r>
        <w:rPr>
          <w:rStyle w:val="FootnoteReference"/>
        </w:rPr>
        <w:footnoteRef/>
      </w:r>
      <w:r>
        <w:t xml:space="preserve"> </w:t>
      </w:r>
      <w:proofErr w:type="gramStart"/>
      <w:r>
        <w:t>Halfon, P. and Locarnini, S. Hepatitis C virus resistance to protease inhibitors.</w:t>
      </w:r>
      <w:proofErr w:type="gramEnd"/>
      <w:r>
        <w:t xml:space="preserve"> </w:t>
      </w:r>
      <w:r w:rsidRPr="005F323A">
        <w:rPr>
          <w:i/>
        </w:rPr>
        <w:t>Journal of Hepatology</w:t>
      </w:r>
      <w:r w:rsidRPr="005F323A">
        <w:t xml:space="preserve"> 2011; 55: 192-206.</w:t>
      </w:r>
    </w:p>
  </w:footnote>
  <w:footnote w:id="10">
    <w:p w:rsidR="00605D3B" w:rsidRDefault="00605D3B" w:rsidP="00CE21BD">
      <w:pPr>
        <w:pStyle w:val="FootnoteText"/>
      </w:pPr>
      <w:r>
        <w:rPr>
          <w:rStyle w:val="FootnoteReference"/>
        </w:rPr>
        <w:footnoteRef/>
      </w:r>
      <w:r>
        <w:t xml:space="preserve"> Assuming an unbound fraction of 0.0137</w:t>
      </w:r>
    </w:p>
  </w:footnote>
  <w:footnote w:id="11">
    <w:p w:rsidR="00605D3B" w:rsidRDefault="00605D3B" w:rsidP="001B7DBF">
      <w:pPr>
        <w:pStyle w:val="FootnoteText"/>
      </w:pPr>
      <w:r>
        <w:rPr>
          <w:rStyle w:val="FootnoteReference"/>
        </w:rPr>
        <w:footnoteRef/>
      </w:r>
      <w:r>
        <w:t xml:space="preserve"> </w:t>
      </w:r>
      <w:r w:rsidRPr="009E72F7">
        <w:t>EMA guideline: CPMP/EWP/560/95/Rev. 1 Corr.* Guideline on the Investigation of Drug Interactions</w:t>
      </w:r>
    </w:p>
  </w:footnote>
  <w:footnote w:id="12">
    <w:p w:rsidR="00605D3B" w:rsidRDefault="00605D3B" w:rsidP="001B7DBF">
      <w:pPr>
        <w:pStyle w:val="FootnoteText"/>
      </w:pPr>
      <w:r>
        <w:rPr>
          <w:rStyle w:val="FootnoteReference"/>
        </w:rPr>
        <w:footnoteRef/>
      </w:r>
      <w:r>
        <w:t xml:space="preserve"> Assuming an absorption rate constant (ka) of 0.1 min-1 and a fraction absorbed from the gut to the portal vein (Fa) of 1 according to the EMA guideline above.</w:t>
      </w:r>
    </w:p>
  </w:footnote>
  <w:footnote w:id="13">
    <w:p w:rsidR="00605D3B" w:rsidRDefault="00605D3B" w:rsidP="001B7DBF">
      <w:pPr>
        <w:pStyle w:val="FootnoteText"/>
      </w:pPr>
      <w:r>
        <w:rPr>
          <w:rStyle w:val="FootnoteReference"/>
        </w:rPr>
        <w:footnoteRef/>
      </w:r>
      <w:r>
        <w:t xml:space="preserve"> </w:t>
      </w:r>
      <w:r w:rsidRPr="001C6E21">
        <w:t>ICH M3(R2): Note for guidance on non-clinical safety studies for the conduct of human clinical trials and marketing authorisation for pharmaceuticals</w:t>
      </w:r>
    </w:p>
  </w:footnote>
  <w:footnote w:id="14">
    <w:p w:rsidR="00605D3B" w:rsidRDefault="00605D3B" w:rsidP="0090503E">
      <w:pPr>
        <w:pStyle w:val="FootnoteText"/>
      </w:pPr>
      <w:r>
        <w:rPr>
          <w:rStyle w:val="FootnoteReference"/>
        </w:rPr>
        <w:footnoteRef/>
      </w:r>
      <w:r>
        <w:t xml:space="preserve"> </w:t>
      </w:r>
      <w:r w:rsidRPr="00736B20">
        <w:t>ICH</w:t>
      </w:r>
      <w:r>
        <w:t xml:space="preserve"> </w:t>
      </w:r>
      <w:proofErr w:type="gramStart"/>
      <w:r w:rsidRPr="00736B20">
        <w:t>S</w:t>
      </w:r>
      <w:r>
        <w:t>2</w:t>
      </w:r>
      <w:r w:rsidRPr="00736B20">
        <w:t>(</w:t>
      </w:r>
      <w:proofErr w:type="gramEnd"/>
      <w:r w:rsidRPr="00736B20">
        <w:t>R1): Guidance on genotoxicity testing and data interpretation for pharmaceuticals intended for human use</w:t>
      </w:r>
      <w:r>
        <w:t>.</w:t>
      </w:r>
    </w:p>
  </w:footnote>
  <w:footnote w:id="15">
    <w:p w:rsidR="00605D3B" w:rsidRPr="00AA71C5" w:rsidRDefault="00605D3B">
      <w:pPr>
        <w:pStyle w:val="FootnoteText"/>
        <w:rPr>
          <w:lang w:val="en-US"/>
        </w:rPr>
      </w:pPr>
      <w:r>
        <w:rPr>
          <w:rStyle w:val="FootnoteReference"/>
        </w:rPr>
        <w:footnoteRef/>
      </w:r>
      <w:r>
        <w:t xml:space="preserve"> </w:t>
      </w:r>
      <w:r w:rsidRPr="00847300">
        <w:t xml:space="preserve">A Tg-rasH2 mouse is </w:t>
      </w:r>
      <w:r>
        <w:t>a transgenic mouse</w:t>
      </w:r>
      <w:r w:rsidRPr="00847300">
        <w:t>, carrying the three copies of human prototype c-Ha-ras oncogenes with endogenous promoter and enhancer in tandem</w:t>
      </w:r>
      <w:r>
        <w:t>.</w:t>
      </w:r>
    </w:p>
  </w:footnote>
  <w:footnote w:id="16">
    <w:p w:rsidR="00605D3B" w:rsidRDefault="00605D3B" w:rsidP="0059143C">
      <w:pPr>
        <w:pStyle w:val="FootnoteText"/>
      </w:pPr>
      <w:r>
        <w:rPr>
          <w:rStyle w:val="FootnoteReference"/>
        </w:rPr>
        <w:footnoteRef/>
      </w:r>
      <w:r>
        <w:t xml:space="preserve"> CPMP/SWP/2592/02/Rev 1; CHMP SWP conclusions and recommendations on the use of genetically modified animal models for carcinogenicity assessment. 23 June 2004</w:t>
      </w:r>
    </w:p>
  </w:footnote>
  <w:footnote w:id="17">
    <w:p w:rsidR="00605D3B" w:rsidRPr="009C3E30" w:rsidRDefault="00605D3B" w:rsidP="0059143C">
      <w:pPr>
        <w:pStyle w:val="FootnoteText"/>
      </w:pPr>
      <w:r>
        <w:rPr>
          <w:rStyle w:val="FootnoteReference"/>
        </w:rPr>
        <w:footnoteRef/>
      </w:r>
      <w:r>
        <w:t xml:space="preserve"> </w:t>
      </w:r>
      <w:proofErr w:type="gramStart"/>
      <w:r w:rsidRPr="00267D80">
        <w:t>MacDonald, J</w:t>
      </w:r>
      <w:r>
        <w:t xml:space="preserve"> et al.</w:t>
      </w:r>
      <w:proofErr w:type="gramEnd"/>
      <w:r w:rsidRPr="00267D80">
        <w:t xml:space="preserve"> The utility of genetically modified mouse assays for identifying human carcinogens: a basic understanding and path forward. </w:t>
      </w:r>
      <w:proofErr w:type="gramStart"/>
      <w:r w:rsidRPr="00267D80">
        <w:rPr>
          <w:i/>
        </w:rPr>
        <w:t>Toxicol.</w:t>
      </w:r>
      <w:proofErr w:type="gramEnd"/>
      <w:r w:rsidRPr="00267D80">
        <w:rPr>
          <w:i/>
        </w:rPr>
        <w:t xml:space="preserve"> </w:t>
      </w:r>
      <w:r w:rsidRPr="009C3E30">
        <w:rPr>
          <w:i/>
        </w:rPr>
        <w:t>Sci.</w:t>
      </w:r>
      <w:r w:rsidRPr="009C3E30">
        <w:t xml:space="preserve"> 2004; 77: 188‒194.</w:t>
      </w:r>
    </w:p>
  </w:footnote>
  <w:footnote w:id="18">
    <w:p w:rsidR="00605D3B" w:rsidRDefault="00605D3B" w:rsidP="0059143C">
      <w:pPr>
        <w:pStyle w:val="FootnoteText"/>
      </w:pPr>
      <w:r>
        <w:rPr>
          <w:rStyle w:val="FootnoteReference"/>
        </w:rPr>
        <w:footnoteRef/>
      </w:r>
      <w:r>
        <w:t xml:space="preserve"> </w:t>
      </w:r>
      <w:r w:rsidRPr="00267D80">
        <w:t xml:space="preserve">Morton, D., </w:t>
      </w:r>
      <w:r>
        <w:t>et al</w:t>
      </w:r>
      <w:r w:rsidRPr="00267D80">
        <w:t xml:space="preserve">. The </w:t>
      </w:r>
      <w:proofErr w:type="gramStart"/>
      <w:r w:rsidRPr="00267D80">
        <w:t>Tg</w:t>
      </w:r>
      <w:proofErr w:type="gramEnd"/>
      <w:r w:rsidRPr="00267D80">
        <w:t xml:space="preserve"> rasH2 mouse in cancer hazard identification. </w:t>
      </w:r>
      <w:proofErr w:type="gramStart"/>
      <w:r w:rsidRPr="00267D80">
        <w:rPr>
          <w:i/>
        </w:rPr>
        <w:t>Toxicol.</w:t>
      </w:r>
      <w:proofErr w:type="gramEnd"/>
      <w:r w:rsidRPr="00267D80">
        <w:rPr>
          <w:i/>
        </w:rPr>
        <w:t xml:space="preserve"> </w:t>
      </w:r>
      <w:proofErr w:type="gramStart"/>
      <w:r w:rsidRPr="00267D80">
        <w:rPr>
          <w:i/>
        </w:rPr>
        <w:t>Pathol.</w:t>
      </w:r>
      <w:proofErr w:type="gramEnd"/>
      <w:r w:rsidRPr="00267D80">
        <w:rPr>
          <w:i/>
        </w:rPr>
        <w:t xml:space="preserve"> </w:t>
      </w:r>
      <w:r w:rsidRPr="00267D80">
        <w:t>2002</w:t>
      </w:r>
      <w:r>
        <w:t xml:space="preserve">; </w:t>
      </w:r>
      <w:r w:rsidRPr="009C3E30">
        <w:t>30: 139</w:t>
      </w:r>
      <w:r w:rsidRPr="00267D80">
        <w:t>‒146.</w:t>
      </w:r>
    </w:p>
  </w:footnote>
  <w:footnote w:id="19">
    <w:p w:rsidR="00605D3B" w:rsidRDefault="00605D3B" w:rsidP="0059143C">
      <w:pPr>
        <w:pStyle w:val="FootnoteText"/>
      </w:pPr>
      <w:r>
        <w:rPr>
          <w:rStyle w:val="FootnoteReference"/>
        </w:rPr>
        <w:footnoteRef/>
      </w:r>
      <w:proofErr w:type="gramStart"/>
      <w:r>
        <w:t>CPMP/SWP/2877/00.</w:t>
      </w:r>
      <w:proofErr w:type="gramEnd"/>
      <w:r>
        <w:t xml:space="preserve"> Note for guidance on carcinogenic potential. 25 July 2002.</w:t>
      </w:r>
    </w:p>
  </w:footnote>
  <w:footnote w:id="20">
    <w:p w:rsidR="00605D3B" w:rsidRDefault="00605D3B" w:rsidP="0059143C">
      <w:pPr>
        <w:pStyle w:val="FootnoteText"/>
      </w:pPr>
      <w:r>
        <w:rPr>
          <w:rStyle w:val="FootnoteReference"/>
        </w:rPr>
        <w:footnoteRef/>
      </w:r>
      <w:r>
        <w:t xml:space="preserve"> CPMP/ICH/299/95 Note for guidance on carcinogenicity: testing for carcinogenicity of pharmaceuticals. March 1998.</w:t>
      </w:r>
    </w:p>
  </w:footnote>
  <w:footnote w:id="21">
    <w:p w:rsidR="00605D3B" w:rsidRDefault="00605D3B" w:rsidP="0059143C">
      <w:pPr>
        <w:pStyle w:val="FootnoteText"/>
      </w:pPr>
      <w:r>
        <w:rPr>
          <w:rStyle w:val="FootnoteReference"/>
        </w:rPr>
        <w:footnoteRef/>
      </w:r>
      <w:r>
        <w:t xml:space="preserve"> EMEA/CHMP/ICH/383/1995 ICH Topic </w:t>
      </w:r>
      <w:proofErr w:type="gramStart"/>
      <w:r>
        <w:t>S1C(</w:t>
      </w:r>
      <w:proofErr w:type="gramEnd"/>
      <w:r>
        <w:t>R2). Dose selection for carcinogenicity studies of pharmaceuticals. October 2008.</w:t>
      </w:r>
    </w:p>
  </w:footnote>
  <w:footnote w:id="22">
    <w:p w:rsidR="00605D3B" w:rsidRPr="009C3E30" w:rsidRDefault="00605D3B">
      <w:pPr>
        <w:pStyle w:val="FootnoteText"/>
        <w:rPr>
          <w:lang w:val="en-US"/>
        </w:rPr>
      </w:pPr>
      <w:r>
        <w:rPr>
          <w:rStyle w:val="FootnoteReference"/>
        </w:rPr>
        <w:footnoteRef/>
      </w:r>
      <w:r>
        <w:t xml:space="preserve"> Pregnancy c</w:t>
      </w:r>
      <w:r w:rsidRPr="0059143C">
        <w:t>ategory B1</w:t>
      </w:r>
      <w:r>
        <w:t xml:space="preserve">: </w:t>
      </w:r>
      <w:r w:rsidRPr="000C3156">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footnote>
  <w:footnote w:id="23">
    <w:p w:rsidR="00605D3B" w:rsidRPr="000C3156" w:rsidRDefault="00605D3B">
      <w:pPr>
        <w:pStyle w:val="FootnoteText"/>
      </w:pPr>
      <w:r>
        <w:rPr>
          <w:rStyle w:val="FootnoteReference"/>
        </w:rPr>
        <w:footnoteRef/>
      </w:r>
      <w:r>
        <w:t xml:space="preserve"> P</w:t>
      </w:r>
      <w:r w:rsidRPr="0059143C">
        <w:t>regnancy category B3</w:t>
      </w:r>
      <w:r>
        <w:t xml:space="preserve">: </w:t>
      </w:r>
      <w:r w:rsidRPr="000C3156">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0C3156">
        <w:t>Studies in animals have shown evidence of an increased occurrence of fetal damage, the significance of which is considered uncertain in humans.</w:t>
      </w:r>
    </w:p>
  </w:footnote>
  <w:footnote w:id="24">
    <w:p w:rsidR="00605D3B" w:rsidRPr="000C3156" w:rsidRDefault="00605D3B">
      <w:pPr>
        <w:pStyle w:val="FootnoteText"/>
      </w:pPr>
      <w:r>
        <w:rPr>
          <w:rStyle w:val="FootnoteReference"/>
        </w:rPr>
        <w:footnoteRef/>
      </w:r>
      <w:r>
        <w:t xml:space="preserve"> P</w:t>
      </w:r>
      <w:r w:rsidRPr="0059143C">
        <w:t xml:space="preserve">regnancy </w:t>
      </w:r>
      <w:r w:rsidRPr="000C3156">
        <w:t>category X: Drugs which have such a high risk of causing permanent damage to the fetus that they should not be used in pregnancy or when there is a possibility of pregnancy.</w:t>
      </w:r>
    </w:p>
  </w:footnote>
  <w:footnote w:id="25">
    <w:p w:rsidR="00605D3B" w:rsidRPr="00AA71C5" w:rsidRDefault="00605D3B">
      <w:pPr>
        <w:pStyle w:val="FootnoteText"/>
        <w:rPr>
          <w:lang w:val="en-US"/>
        </w:rPr>
      </w:pPr>
      <w:r>
        <w:rPr>
          <w:rStyle w:val="FootnoteReference"/>
        </w:rPr>
        <w:footnoteRef/>
      </w:r>
      <w:r>
        <w:t xml:space="preserve"> </w:t>
      </w:r>
      <w:r>
        <w:rPr>
          <w:lang w:val="en-US"/>
        </w:rPr>
        <w:t>DEREK is computer based predictive software for toxicity prediction</w:t>
      </w:r>
    </w:p>
  </w:footnote>
  <w:footnote w:id="26">
    <w:p w:rsidR="00605D3B" w:rsidRDefault="00605D3B" w:rsidP="0059143C">
      <w:pPr>
        <w:pStyle w:val="FootnoteText"/>
      </w:pPr>
      <w:r>
        <w:rPr>
          <w:rStyle w:val="FootnoteReference"/>
        </w:rPr>
        <w:footnoteRef/>
      </w:r>
      <w:r>
        <w:t xml:space="preserve"> </w:t>
      </w:r>
      <w:proofErr w:type="gramStart"/>
      <w:r>
        <w:t>CHMP/ICH/752211/2012 Photosafety Evaluation of Pharmaceuticals.</w:t>
      </w:r>
      <w:proofErr w:type="gramEnd"/>
      <w:r>
        <w:t xml:space="preserve"> S10 Step 4, 13 November 2013.</w:t>
      </w:r>
    </w:p>
  </w:footnote>
  <w:footnote w:id="27">
    <w:p w:rsidR="00605D3B" w:rsidRDefault="00605D3B" w:rsidP="000C3156">
      <w:pPr>
        <w:pStyle w:val="FootnoteText"/>
      </w:pPr>
      <w:r>
        <w:rPr>
          <w:rStyle w:val="FootnoteReference"/>
        </w:rPr>
        <w:footnoteRef/>
      </w:r>
      <w:r>
        <w:t xml:space="preserve"> </w:t>
      </w:r>
      <w:proofErr w:type="gramStart"/>
      <w:r>
        <w:t>CPMP/ICH/2737/99 ICH Topic Q3A (R2).</w:t>
      </w:r>
      <w:proofErr w:type="gramEnd"/>
      <w:r>
        <w:t xml:space="preserve"> </w:t>
      </w:r>
      <w:proofErr w:type="gramStart"/>
      <w:r>
        <w:t>Impurities in new drug substances.</w:t>
      </w:r>
      <w:proofErr w:type="gramEnd"/>
      <w:r>
        <w:t xml:space="preserve"> Note for guidance on impurities testing: Impurities in new drug substances.</w:t>
      </w:r>
    </w:p>
  </w:footnote>
  <w:footnote w:id="28">
    <w:p w:rsidR="00605D3B" w:rsidRPr="008D14BE" w:rsidRDefault="00605D3B">
      <w:pPr>
        <w:pStyle w:val="FootnoteText"/>
        <w:rPr>
          <w:lang w:val="en-US"/>
        </w:rPr>
      </w:pPr>
      <w:r>
        <w:rPr>
          <w:rStyle w:val="FootnoteReference"/>
        </w:rPr>
        <w:footnoteRef/>
      </w:r>
      <w:r>
        <w:t xml:space="preserve"> </w:t>
      </w:r>
      <w:r>
        <w:rPr>
          <w:lang w:val="en-US"/>
        </w:rPr>
        <w:t>The MTT assay is a colorimetric assay for assessing cell metabolic activity and can be used to measure toxicity by my measuring cell viability.</w:t>
      </w:r>
    </w:p>
  </w:footnote>
  <w:footnote w:id="29">
    <w:p w:rsidR="00605D3B" w:rsidRPr="00342051" w:rsidRDefault="00605D3B">
      <w:pPr>
        <w:pStyle w:val="FootnoteText"/>
        <w:rPr>
          <w:lang w:val="en-US"/>
        </w:rPr>
      </w:pPr>
      <w:r>
        <w:rPr>
          <w:rStyle w:val="FootnoteReference"/>
        </w:rPr>
        <w:footnoteRef/>
      </w:r>
      <w:r>
        <w:t xml:space="preserve"> </w:t>
      </w:r>
      <w:r>
        <w:rPr>
          <w:lang w:val="en-US"/>
        </w:rPr>
        <w:t>TD</w:t>
      </w:r>
      <w:r w:rsidRPr="00D27436">
        <w:rPr>
          <w:vertAlign w:val="subscript"/>
          <w:lang w:val="en-US"/>
        </w:rPr>
        <w:t>50</w:t>
      </w:r>
      <w:r>
        <w:rPr>
          <w:lang w:val="en-US"/>
        </w:rPr>
        <w:t xml:space="preserve"> is the median toxic dose (the dose at which toxicity occurs in 50% of cases)</w:t>
      </w:r>
    </w:p>
  </w:footnote>
  <w:footnote w:id="30">
    <w:p w:rsidR="00605D3B" w:rsidRDefault="00605D3B" w:rsidP="009A3C3D">
      <w:pPr>
        <w:pStyle w:val="FootnoteText"/>
      </w:pPr>
      <w:r>
        <w:rPr>
          <w:rStyle w:val="FootnoteReference"/>
        </w:rPr>
        <w:footnoteRef/>
      </w:r>
      <w:r>
        <w:t xml:space="preserve"> Belda O, Targett-Adams P. Small molecule inhibitors of the hepatitis C virus-encoded NS5A protein. </w:t>
      </w:r>
      <w:proofErr w:type="gramStart"/>
      <w:r w:rsidRPr="000C3156">
        <w:rPr>
          <w:i/>
        </w:rPr>
        <w:t>Virus Research</w:t>
      </w:r>
      <w:r>
        <w:t>.</w:t>
      </w:r>
      <w:proofErr w:type="gramEnd"/>
      <w:r>
        <w:t xml:space="preserve"> </w:t>
      </w:r>
      <w:proofErr w:type="gramStart"/>
      <w:r>
        <w:t>2012; 170: 1 –14.</w:t>
      </w:r>
      <w:proofErr w:type="gramEnd"/>
    </w:p>
  </w:footnote>
  <w:footnote w:id="31">
    <w:p w:rsidR="00605D3B" w:rsidRPr="00D4378C" w:rsidRDefault="00605D3B" w:rsidP="00681B9E">
      <w:pPr>
        <w:pStyle w:val="FootnoteText"/>
        <w:rPr>
          <w:lang w:val="en-US"/>
        </w:rPr>
      </w:pPr>
      <w:r>
        <w:rPr>
          <w:rStyle w:val="FootnoteReference"/>
        </w:rPr>
        <w:footnoteRef/>
      </w:r>
      <w:r>
        <w:t xml:space="preserve"> </w:t>
      </w:r>
      <w:r>
        <w:rPr>
          <w:lang w:val="en"/>
        </w:rPr>
        <w:t>P2Y receptors belong to the superfamily of heptahelical receptors that operate by binding or sensing signals outside the cell and then activating intracellular processes by coupling to heterotrimeric G proteins. The main signaling molecules or agonists recognized by the eight subtypes of P2Y receptors include adenine and uridine nucleotides (ATP, ADP, UTP, and UDP) and nucleotide sugars (UDP-glucose).</w:t>
      </w:r>
    </w:p>
  </w:footnote>
  <w:footnote w:id="32">
    <w:p w:rsidR="00605D3B" w:rsidRPr="00CC38A0" w:rsidRDefault="00605D3B">
      <w:pPr>
        <w:pStyle w:val="FootnoteText"/>
        <w:rPr>
          <w:lang w:val="en-US"/>
        </w:rPr>
      </w:pPr>
      <w:r>
        <w:rPr>
          <w:rStyle w:val="FootnoteReference"/>
        </w:rPr>
        <w:footnoteRef/>
      </w:r>
      <w:r>
        <w:t xml:space="preserve"> </w:t>
      </w:r>
      <w:proofErr w:type="gramStart"/>
      <w:r>
        <w:rPr>
          <w:lang w:val="en-US"/>
        </w:rPr>
        <w:t>CPMP/SWP/1042/99 Rev 1 Corr* Guideline on repeated dose toxicity.</w:t>
      </w:r>
      <w:proofErr w:type="gramEnd"/>
    </w:p>
  </w:footnote>
  <w:footnote w:id="33">
    <w:p w:rsidR="00605D3B" w:rsidRPr="009E2121" w:rsidRDefault="00605D3B">
      <w:pPr>
        <w:pStyle w:val="FootnoteText"/>
        <w:rPr>
          <w:lang w:val="en-US"/>
        </w:rPr>
      </w:pPr>
      <w:r>
        <w:rPr>
          <w:rStyle w:val="FootnoteReference"/>
        </w:rPr>
        <w:footnoteRef/>
      </w:r>
      <w:r>
        <w:t xml:space="preserve"> </w:t>
      </w:r>
      <w:r w:rsidRPr="00EA157E">
        <w:t>Genotoxicity studies are not required for impurities with no structural alerts and &lt; 1 mg intake per ICH M7</w:t>
      </w:r>
    </w:p>
  </w:footnote>
  <w:footnote w:id="34">
    <w:p w:rsidR="00605D3B" w:rsidRPr="0031482D" w:rsidRDefault="00605D3B">
      <w:pPr>
        <w:pStyle w:val="FootnoteText"/>
        <w:rPr>
          <w:lang w:val="en-US"/>
        </w:rPr>
      </w:pPr>
      <w:r>
        <w:rPr>
          <w:rStyle w:val="FootnoteReference"/>
        </w:rPr>
        <w:footnoteRef/>
      </w:r>
      <w:r>
        <w:t xml:space="preserve"> </w:t>
      </w:r>
      <w:r>
        <w:rPr>
          <w:lang w:val="en-US"/>
        </w:rPr>
        <w:t>ICH 3BS8a The need for carcinogenicity studies of pharmaceuticals</w:t>
      </w:r>
    </w:p>
  </w:footnote>
  <w:footnote w:id="35">
    <w:p w:rsidR="00605D3B" w:rsidRPr="0031482D" w:rsidRDefault="00605D3B">
      <w:pPr>
        <w:pStyle w:val="FootnoteText"/>
        <w:rPr>
          <w:lang w:val="en-US"/>
        </w:rPr>
      </w:pPr>
      <w:r>
        <w:rPr>
          <w:rStyle w:val="FootnoteReference"/>
        </w:rPr>
        <w:footnoteRef/>
      </w:r>
      <w:r>
        <w:t xml:space="preserve"> </w:t>
      </w:r>
      <w:r>
        <w:rPr>
          <w:lang w:val="en-US"/>
        </w:rPr>
        <w:t>CPMP/ICH/140/95 ICH S1A Need for carcinogenicity studies of pharmaceuticals.</w:t>
      </w:r>
    </w:p>
  </w:footnote>
  <w:footnote w:id="36">
    <w:p w:rsidR="00605D3B" w:rsidRPr="0031482D" w:rsidRDefault="00605D3B">
      <w:pPr>
        <w:pStyle w:val="FootnoteText"/>
        <w:rPr>
          <w:lang w:val="en-US"/>
        </w:rPr>
      </w:pPr>
      <w:r>
        <w:rPr>
          <w:rStyle w:val="FootnoteReference"/>
        </w:rPr>
        <w:footnoteRef/>
      </w:r>
      <w:r>
        <w:t xml:space="preserve"> </w:t>
      </w:r>
      <w:r>
        <w:rPr>
          <w:lang w:val="en-US"/>
        </w:rPr>
        <w:t>CPMP/ICH/299/95 ICH Topic S1B Not for guidance on carcinogenicity: testing for carcinogenicity of pharmaceuticals.</w:t>
      </w:r>
    </w:p>
  </w:footnote>
  <w:footnote w:id="37">
    <w:p w:rsidR="00605D3B" w:rsidRPr="003652C3" w:rsidRDefault="00605D3B">
      <w:pPr>
        <w:pStyle w:val="FootnoteText"/>
        <w:rPr>
          <w:lang w:val="en-US"/>
        </w:rPr>
      </w:pPr>
      <w:r>
        <w:rPr>
          <w:rStyle w:val="FootnoteReference"/>
        </w:rPr>
        <w:footnoteRef/>
      </w:r>
      <w:r>
        <w:t xml:space="preserve"> </w:t>
      </w:r>
      <w:proofErr w:type="gramStart"/>
      <w:r>
        <w:rPr>
          <w:lang w:val="en-US"/>
        </w:rPr>
        <w:t>CPMP/ICH/386/95.</w:t>
      </w:r>
      <w:proofErr w:type="gramEnd"/>
      <w:r>
        <w:rPr>
          <w:lang w:val="en-US"/>
        </w:rPr>
        <w:t xml:space="preserve"> ICH Topic </w:t>
      </w:r>
      <w:proofErr w:type="gramStart"/>
      <w:r>
        <w:rPr>
          <w:lang w:val="en-US"/>
        </w:rPr>
        <w:t>S5(</w:t>
      </w:r>
      <w:proofErr w:type="gramEnd"/>
      <w:r>
        <w:rPr>
          <w:lang w:val="en-US"/>
        </w:rPr>
        <w:t>R2) Detection of toxicity to reproduction for medicinal products and toxicity to male fertility.</w:t>
      </w:r>
    </w:p>
  </w:footnote>
  <w:footnote w:id="38">
    <w:p w:rsidR="00605D3B" w:rsidRDefault="00605D3B" w:rsidP="00E62596">
      <w:pPr>
        <w:pStyle w:val="FootnoteText"/>
      </w:pPr>
      <w:r>
        <w:rPr>
          <w:rStyle w:val="FootnoteReference"/>
        </w:rPr>
        <w:footnoteRef/>
      </w:r>
      <w:r>
        <w:t xml:space="preserve"> FDA Draft Guidance for Industry: Chronic Hepatitis C Virus Infection: Developing Direct-Acting Antiviral Drugs for Treatment</w:t>
      </w:r>
    </w:p>
  </w:footnote>
  <w:footnote w:id="39">
    <w:p w:rsidR="00605D3B" w:rsidRDefault="00605D3B" w:rsidP="00E62596">
      <w:pPr>
        <w:pStyle w:val="FootnoteText"/>
      </w:pPr>
      <w:r>
        <w:rPr>
          <w:rStyle w:val="FootnoteReference"/>
        </w:rPr>
        <w:footnoteRef/>
      </w:r>
      <w:r>
        <w:t xml:space="preserve"> Based on a </w:t>
      </w:r>
      <w:r w:rsidRPr="008912E8">
        <w:t>C</w:t>
      </w:r>
      <w:r w:rsidRPr="003A33A4">
        <w:rPr>
          <w:vertAlign w:val="subscript"/>
        </w:rPr>
        <w:t>trough</w:t>
      </w:r>
      <w:r>
        <w:t xml:space="preserve"> of 269 µM and assuming a free fraction of 1%.</w:t>
      </w:r>
    </w:p>
  </w:footnote>
  <w:footnote w:id="40">
    <w:p w:rsidR="00605D3B" w:rsidRPr="00C66588" w:rsidRDefault="00605D3B" w:rsidP="00E62596">
      <w:pPr>
        <w:pStyle w:val="FootnoteText"/>
      </w:pPr>
      <w:r>
        <w:rPr>
          <w:rStyle w:val="FootnoteReference"/>
        </w:rPr>
        <w:footnoteRef/>
      </w:r>
      <w:r>
        <w:t xml:space="preserve"> </w:t>
      </w:r>
      <w:proofErr w:type="gramStart"/>
      <w:r>
        <w:t xml:space="preserve">Ando, I. </w:t>
      </w:r>
      <w:r w:rsidRPr="005B05BF">
        <w:t>et al</w:t>
      </w:r>
      <w:r>
        <w:rPr>
          <w:i/>
        </w:rPr>
        <w:t>.</w:t>
      </w:r>
      <w:r>
        <w:t xml:space="preserve"> </w:t>
      </w:r>
      <w:r w:rsidRPr="00C66588">
        <w:t>Preclinical characterization of JTK-853, a novel nonnucleoside inhibitor of the hepatitis C virus RNA-dependent RNA polymerase.</w:t>
      </w:r>
      <w:proofErr w:type="gramEnd"/>
      <w:r>
        <w:t xml:space="preserve"> </w:t>
      </w:r>
      <w:r w:rsidRPr="00C66588">
        <w:rPr>
          <w:i/>
        </w:rPr>
        <w:t xml:space="preserve">Antimicrob Agents </w:t>
      </w:r>
      <w:r w:rsidRPr="005B05BF">
        <w:rPr>
          <w:i/>
        </w:rPr>
        <w:t>Chemother</w:t>
      </w:r>
      <w:r w:rsidRPr="005B05BF">
        <w:t>2012;</w:t>
      </w:r>
      <w:r>
        <w:t xml:space="preserve"> </w:t>
      </w:r>
      <w:r w:rsidRPr="005B05BF">
        <w:t>56: 4250</w:t>
      </w:r>
      <w:r>
        <w:t>‒4256.</w:t>
      </w:r>
    </w:p>
  </w:footnote>
  <w:footnote w:id="41">
    <w:p w:rsidR="00605D3B" w:rsidRPr="00AE29C4" w:rsidRDefault="00605D3B" w:rsidP="00E62596">
      <w:pPr>
        <w:pStyle w:val="FootnoteText"/>
      </w:pPr>
      <w:r>
        <w:rPr>
          <w:rStyle w:val="FootnoteReference"/>
        </w:rPr>
        <w:footnoteRef/>
      </w:r>
      <w:r>
        <w:t xml:space="preserve"> Le Pogam, S. </w:t>
      </w:r>
      <w:r w:rsidRPr="0052245F">
        <w:t>Selection and characterization of replicon variants dually resistant to thumb- and palm-binding nonnucleoside polymerase inhibitors of the hepatitis C virus.</w:t>
      </w:r>
      <w:r>
        <w:t xml:space="preserve"> </w:t>
      </w:r>
      <w:proofErr w:type="gramStart"/>
      <w:r w:rsidRPr="0052245F">
        <w:rPr>
          <w:i/>
        </w:rPr>
        <w:t xml:space="preserve">J </w:t>
      </w:r>
      <w:r w:rsidRPr="00AE29C4">
        <w:rPr>
          <w:i/>
        </w:rPr>
        <w:t>Virol.</w:t>
      </w:r>
      <w:proofErr w:type="gramEnd"/>
      <w:r w:rsidRPr="00AE29C4">
        <w:t xml:space="preserve"> 2006</w:t>
      </w:r>
      <w:r>
        <w:t>;</w:t>
      </w:r>
      <w:r w:rsidRPr="00AE29C4">
        <w:t xml:space="preserve"> 80: 6146</w:t>
      </w:r>
      <w:r>
        <w:t>‒6154.</w:t>
      </w:r>
    </w:p>
  </w:footnote>
  <w:footnote w:id="42">
    <w:p w:rsidR="00605D3B" w:rsidRPr="00AE29C4" w:rsidRDefault="00605D3B" w:rsidP="00E62596">
      <w:pPr>
        <w:pStyle w:val="FootnoteText"/>
      </w:pPr>
      <w:r>
        <w:rPr>
          <w:rStyle w:val="FootnoteReference"/>
        </w:rPr>
        <w:footnoteRef/>
      </w:r>
      <w:r>
        <w:t xml:space="preserve"> Troke, PJF. </w:t>
      </w:r>
      <w:proofErr w:type="gramStart"/>
      <w:r w:rsidRPr="00AE29C4">
        <w:t>et</w:t>
      </w:r>
      <w:proofErr w:type="gramEnd"/>
      <w:r w:rsidRPr="00AE29C4">
        <w:t xml:space="preserve"> al.</w:t>
      </w:r>
      <w:r>
        <w:t xml:space="preserve"> </w:t>
      </w:r>
      <w:r w:rsidRPr="005A009D">
        <w:t>Characterization of resistance to the nonnucleoside NS5B inhibitor filibuvir in hepatitis C virus-infected patients.</w:t>
      </w:r>
      <w:r>
        <w:t xml:space="preserve"> </w:t>
      </w:r>
      <w:proofErr w:type="gramStart"/>
      <w:r w:rsidRPr="005A009D">
        <w:rPr>
          <w:i/>
        </w:rPr>
        <w:t>Antimicrob Agents Chemother.</w:t>
      </w:r>
      <w:proofErr w:type="gramEnd"/>
      <w:r>
        <w:t xml:space="preserve"> </w:t>
      </w:r>
      <w:r w:rsidRPr="00AE29C4">
        <w:t>2012; 56: 1331‒1341.</w:t>
      </w:r>
    </w:p>
  </w:footnote>
  <w:footnote w:id="43">
    <w:p w:rsidR="00605D3B" w:rsidRPr="00AE29C4" w:rsidRDefault="00605D3B" w:rsidP="00E62596">
      <w:pPr>
        <w:pStyle w:val="FootnoteText"/>
      </w:pPr>
      <w:r>
        <w:rPr>
          <w:rStyle w:val="FootnoteReference"/>
        </w:rPr>
        <w:footnoteRef/>
      </w:r>
      <w:r>
        <w:t xml:space="preserve"> </w:t>
      </w:r>
      <w:proofErr w:type="gramStart"/>
      <w:r>
        <w:t>Fenaux, M</w:t>
      </w:r>
      <w:r w:rsidRPr="00AE29C4">
        <w:t>. et al.</w:t>
      </w:r>
      <w:r>
        <w:t xml:space="preserve"> </w:t>
      </w:r>
      <w:r w:rsidRPr="00830A1D">
        <w:t>Preclinical characterization of GS-9669, a thumb site II inhibitor of the hepatitis C virus NS5B polymerase.</w:t>
      </w:r>
      <w:proofErr w:type="gramEnd"/>
      <w:r>
        <w:t xml:space="preserve"> </w:t>
      </w:r>
      <w:proofErr w:type="gramStart"/>
      <w:r w:rsidRPr="00830A1D">
        <w:rPr>
          <w:i/>
        </w:rPr>
        <w:t>Antimicrob Agents Chemother.</w:t>
      </w:r>
      <w:proofErr w:type="gramEnd"/>
      <w:r>
        <w:t xml:space="preserve"> </w:t>
      </w:r>
      <w:r w:rsidRPr="00AE29C4">
        <w:t>2013; 57: 804‒810.</w:t>
      </w:r>
    </w:p>
  </w:footnote>
  <w:footnote w:id="44">
    <w:p w:rsidR="00605D3B" w:rsidRPr="005338BF" w:rsidRDefault="00605D3B" w:rsidP="00E62596">
      <w:pPr>
        <w:pStyle w:val="FootnoteText"/>
        <w:rPr>
          <w:i/>
        </w:rPr>
      </w:pPr>
      <w:r>
        <w:rPr>
          <w:rStyle w:val="FootnoteReference"/>
        </w:rPr>
        <w:footnoteRef/>
      </w:r>
      <w:r>
        <w:t xml:space="preserve"> Jiang, M. </w:t>
      </w:r>
      <w:r w:rsidRPr="00AE29C4">
        <w:t>et al.</w:t>
      </w:r>
      <w:r>
        <w:t xml:space="preserve"> </w:t>
      </w:r>
      <w:r w:rsidRPr="005338BF">
        <w:t>Genotypic and Phenotypic Analysis of HCV Variants Observed in Clinical Studies of VX-222, a Nonnucleoside NS5B Polymerase Inhibitor.</w:t>
      </w:r>
      <w:r>
        <w:t xml:space="preserve"> </w:t>
      </w:r>
      <w:proofErr w:type="gramStart"/>
      <w:r w:rsidRPr="005338BF">
        <w:rPr>
          <w:i/>
        </w:rPr>
        <w:t>Antimicrob Agents Chemother.</w:t>
      </w:r>
      <w:proofErr w:type="gramEnd"/>
      <w:r>
        <w:t xml:space="preserve"> </w:t>
      </w:r>
      <w:proofErr w:type="gramStart"/>
      <w:r w:rsidRPr="005338BF">
        <w:t>pii</w:t>
      </w:r>
      <w:proofErr w:type="gramEnd"/>
      <w:r w:rsidRPr="005338BF">
        <w:t xml:space="preserve">: </w:t>
      </w:r>
      <w:r>
        <w:t xml:space="preserve">2014; </w:t>
      </w:r>
      <w:r w:rsidRPr="005338BF">
        <w:t>AAC.03052-14.</w:t>
      </w:r>
    </w:p>
  </w:footnote>
  <w:footnote w:id="45">
    <w:p w:rsidR="00605D3B" w:rsidRPr="00AE29C4" w:rsidRDefault="00605D3B" w:rsidP="00E62596">
      <w:pPr>
        <w:pStyle w:val="FootnoteText"/>
      </w:pPr>
      <w:r>
        <w:rPr>
          <w:rStyle w:val="FootnoteReference"/>
        </w:rPr>
        <w:footnoteRef/>
      </w:r>
      <w:r>
        <w:t xml:space="preserve"> Devogelaere, B</w:t>
      </w:r>
      <w:r w:rsidRPr="00AE29C4">
        <w:t>. et al.</w:t>
      </w:r>
      <w:r>
        <w:t xml:space="preserve"> </w:t>
      </w:r>
      <w:r w:rsidRPr="00640497">
        <w:t>TMC647055, a potent nonnucleoside hepatitis C virus NS5B polymerase inhibitor with cross-genotypic coverage.</w:t>
      </w:r>
      <w:r>
        <w:t xml:space="preserve"> </w:t>
      </w:r>
      <w:proofErr w:type="gramStart"/>
      <w:r w:rsidRPr="00640497">
        <w:rPr>
          <w:i/>
        </w:rPr>
        <w:t>Antimicrob Agents Chemother</w:t>
      </w:r>
      <w:r w:rsidRPr="00AE29C4">
        <w:t>.</w:t>
      </w:r>
      <w:proofErr w:type="gramEnd"/>
      <w:r w:rsidRPr="00AE29C4">
        <w:t xml:space="preserve"> 2012; 56: 4676‒4684.</w:t>
      </w:r>
    </w:p>
  </w:footnote>
  <w:footnote w:id="46">
    <w:p w:rsidR="00605D3B" w:rsidRPr="001D0169" w:rsidRDefault="00605D3B" w:rsidP="00E62596">
      <w:pPr>
        <w:pStyle w:val="FootnoteText"/>
      </w:pPr>
      <w:r>
        <w:rPr>
          <w:rStyle w:val="FootnoteReference"/>
        </w:rPr>
        <w:footnoteRef/>
      </w:r>
      <w:r>
        <w:t xml:space="preserve"> </w:t>
      </w:r>
      <w:proofErr w:type="gramStart"/>
      <w:r>
        <w:rPr>
          <w:smallCaps/>
        </w:rPr>
        <w:t>Sovaldi</w:t>
      </w:r>
      <w:r>
        <w:t xml:space="preserve"> Product Information document.</w:t>
      </w:r>
      <w:proofErr w:type="gramEnd"/>
    </w:p>
  </w:footnote>
  <w:footnote w:id="47">
    <w:p w:rsidR="00605D3B" w:rsidRDefault="00605D3B" w:rsidP="00E62596">
      <w:pPr>
        <w:pStyle w:val="FootnoteText"/>
      </w:pPr>
      <w:r>
        <w:rPr>
          <w:rStyle w:val="FootnoteReference"/>
        </w:rPr>
        <w:footnoteRef/>
      </w:r>
      <w:r>
        <w:t xml:space="preserve"> Assuming exposures to M1 were approximately equivalent to the dasabuvir exposure in mice (based on metabolism studies), 3% and 0.05% dasabuvir exposures in rats and dogs, respectively.</w:t>
      </w:r>
    </w:p>
  </w:footnote>
  <w:footnote w:id="48">
    <w:p w:rsidR="00605D3B" w:rsidRDefault="00605D3B" w:rsidP="00E62596">
      <w:pPr>
        <w:pStyle w:val="FootnoteText"/>
      </w:pPr>
      <w:r>
        <w:rPr>
          <w:rStyle w:val="FootnoteReference"/>
        </w:rPr>
        <w:footnoteRef/>
      </w:r>
      <w:r>
        <w:t xml:space="preserve"> </w:t>
      </w:r>
      <w:proofErr w:type="gramStart"/>
      <w:r>
        <w:t>Based on data from the pivotal repeat-dose toxicity study which achieved higher exposures than the safety pharmacology studies.</w:t>
      </w:r>
      <w:proofErr w:type="gramEnd"/>
    </w:p>
  </w:footnote>
  <w:footnote w:id="49">
    <w:p w:rsidR="00605D3B" w:rsidRDefault="00605D3B" w:rsidP="00E62596">
      <w:pPr>
        <w:pStyle w:val="FootnoteText"/>
      </w:pPr>
      <w:r>
        <w:rPr>
          <w:rStyle w:val="FootnoteReference"/>
        </w:rPr>
        <w:footnoteRef/>
      </w:r>
      <w:r>
        <w:t xml:space="preserve"> Assuming an absorption rate constant (ka) of 0.1 min-1 and a fraction absorbed from the gut to the portal vein (Fa) of 1 according to the EMA guideline above.</w:t>
      </w:r>
    </w:p>
  </w:footnote>
  <w:footnote w:id="50">
    <w:p w:rsidR="00605D3B" w:rsidRDefault="00605D3B" w:rsidP="00E62596">
      <w:pPr>
        <w:pStyle w:val="FootnoteText"/>
      </w:pPr>
      <w:r>
        <w:rPr>
          <w:rStyle w:val="FootnoteReference"/>
        </w:rPr>
        <w:footnoteRef/>
      </w:r>
      <w:r>
        <w:t xml:space="preserve"> </w:t>
      </w:r>
      <w:r w:rsidRPr="00196164">
        <w:t>EMA/CHMP/SWP/81714/2010</w:t>
      </w:r>
      <w:r>
        <w:t xml:space="preserve">: </w:t>
      </w:r>
      <w:r w:rsidRPr="00196164">
        <w:t>Questions and answers on the withdrawal of the 'Note for guidance on single dose toxicity'</w:t>
      </w:r>
    </w:p>
  </w:footnote>
  <w:footnote w:id="51">
    <w:p w:rsidR="00605D3B" w:rsidRDefault="00605D3B" w:rsidP="00CC0301">
      <w:pPr>
        <w:pStyle w:val="FootnoteText"/>
      </w:pPr>
      <w:r>
        <w:rPr>
          <w:rStyle w:val="FootnoteReference"/>
        </w:rPr>
        <w:footnoteRef/>
      </w:r>
      <w:r>
        <w:t xml:space="preserve"> </w:t>
      </w:r>
      <w:proofErr w:type="gramStart"/>
      <w:r>
        <w:t>Alakoskela, J.-M.</w:t>
      </w:r>
      <w:proofErr w:type="gramEnd"/>
      <w:r w:rsidRPr="008268B2">
        <w:t xml:space="preserve"> </w:t>
      </w:r>
      <w:proofErr w:type="gramStart"/>
      <w:r>
        <w:t>et</w:t>
      </w:r>
      <w:proofErr w:type="gramEnd"/>
      <w:r>
        <w:t xml:space="preserve"> al</w:t>
      </w:r>
      <w:r w:rsidRPr="008268B2">
        <w:t>. Screening for the drug-phospholipid interaction: correlation to phospholipidosis</w:t>
      </w:r>
      <w:r w:rsidRPr="00926A16">
        <w:rPr>
          <w:i/>
        </w:rPr>
        <w:t>. ChemMedChem</w:t>
      </w:r>
      <w:r w:rsidRPr="008268B2">
        <w:t xml:space="preserve"> 2009</w:t>
      </w:r>
      <w:r>
        <w:t xml:space="preserve">; </w:t>
      </w:r>
      <w:r w:rsidRPr="008268B2">
        <w:t>4: 1224‒1251.</w:t>
      </w:r>
    </w:p>
  </w:footnote>
  <w:footnote w:id="52">
    <w:p w:rsidR="00605D3B" w:rsidRDefault="00605D3B" w:rsidP="00CC0301">
      <w:pPr>
        <w:pStyle w:val="FootnoteText"/>
      </w:pPr>
      <w:r>
        <w:rPr>
          <w:rStyle w:val="FootnoteReference"/>
        </w:rPr>
        <w:footnoteRef/>
      </w:r>
      <w:r>
        <w:t xml:space="preserve"> </w:t>
      </w:r>
      <w:r w:rsidRPr="008268B2">
        <w:t xml:space="preserve">Reasor, M.J., </w:t>
      </w:r>
      <w:r>
        <w:t>et al.</w:t>
      </w:r>
      <w:r w:rsidRPr="008268B2">
        <w:t xml:space="preserve"> Drug-induced phospholipidosis: issues and future directions. </w:t>
      </w:r>
      <w:proofErr w:type="gramStart"/>
      <w:r w:rsidRPr="00926A16">
        <w:rPr>
          <w:i/>
        </w:rPr>
        <w:t>Expert.</w:t>
      </w:r>
      <w:proofErr w:type="gramEnd"/>
      <w:r w:rsidRPr="00926A16">
        <w:rPr>
          <w:i/>
        </w:rPr>
        <w:t xml:space="preserve"> </w:t>
      </w:r>
      <w:proofErr w:type="gramStart"/>
      <w:r w:rsidRPr="00926A16">
        <w:rPr>
          <w:i/>
        </w:rPr>
        <w:t>Opin.</w:t>
      </w:r>
      <w:proofErr w:type="gramEnd"/>
      <w:r w:rsidRPr="00926A16">
        <w:rPr>
          <w:i/>
        </w:rPr>
        <w:t xml:space="preserve"> </w:t>
      </w:r>
      <w:proofErr w:type="gramStart"/>
      <w:r w:rsidRPr="00926A16">
        <w:rPr>
          <w:i/>
        </w:rPr>
        <w:t>Drug Saf</w:t>
      </w:r>
      <w:r w:rsidRPr="008268B2">
        <w:t>.</w:t>
      </w:r>
      <w:proofErr w:type="gramEnd"/>
      <w:r w:rsidRPr="008268B2">
        <w:t xml:space="preserve"> </w:t>
      </w:r>
      <w:r>
        <w:t xml:space="preserve">2006; </w:t>
      </w:r>
      <w:r w:rsidRPr="008268B2">
        <w:t>5: 567‒583.</w:t>
      </w:r>
    </w:p>
  </w:footnote>
  <w:footnote w:id="53">
    <w:p w:rsidR="00605D3B" w:rsidRDefault="00605D3B" w:rsidP="00CC0301">
      <w:pPr>
        <w:pStyle w:val="FootnoteText"/>
      </w:pPr>
      <w:r>
        <w:rPr>
          <w:rStyle w:val="FootnoteReference"/>
        </w:rPr>
        <w:footnoteRef/>
      </w:r>
      <w:r>
        <w:t xml:space="preserve"> </w:t>
      </w:r>
      <w:proofErr w:type="gramStart"/>
      <w:r w:rsidRPr="008268B2">
        <w:t>R</w:t>
      </w:r>
      <w:r>
        <w:t>easor, M.J. and S. Kacew.</w:t>
      </w:r>
      <w:proofErr w:type="gramEnd"/>
      <w:r w:rsidRPr="008268B2">
        <w:t xml:space="preserve"> Drug-induced phospholipidosis: are there functional consequences? </w:t>
      </w:r>
      <w:r w:rsidRPr="00926A16">
        <w:rPr>
          <w:i/>
        </w:rPr>
        <w:t>Exp. Biol. Med.</w:t>
      </w:r>
      <w:r w:rsidRPr="008268B2">
        <w:t xml:space="preserve"> </w:t>
      </w:r>
      <w:r>
        <w:t xml:space="preserve">2001; </w:t>
      </w:r>
      <w:r w:rsidRPr="008268B2">
        <w:t>226: 825‒830.</w:t>
      </w:r>
    </w:p>
  </w:footnote>
  <w:footnote w:id="54">
    <w:p w:rsidR="00605D3B" w:rsidRDefault="00605D3B" w:rsidP="00CC0301">
      <w:pPr>
        <w:pStyle w:val="FootnoteText"/>
      </w:pPr>
      <w:r>
        <w:rPr>
          <w:rStyle w:val="FootnoteReference"/>
        </w:rPr>
        <w:footnoteRef/>
      </w:r>
      <w:r>
        <w:t xml:space="preserve"> </w:t>
      </w:r>
      <w:r w:rsidRPr="00267D80">
        <w:t>ICH S1A: Guideline on the need for carcinogenicity studies of pharmaceuticals</w:t>
      </w:r>
      <w:r>
        <w:t>.</w:t>
      </w:r>
    </w:p>
  </w:footnote>
  <w:footnote w:id="55">
    <w:p w:rsidR="00605D3B" w:rsidRDefault="00605D3B" w:rsidP="00D76AE5">
      <w:pPr>
        <w:pStyle w:val="FootnoteText"/>
      </w:pPr>
      <w:r>
        <w:rPr>
          <w:rStyle w:val="FootnoteReference"/>
        </w:rPr>
        <w:footnoteRef/>
      </w:r>
      <w:r>
        <w:t xml:space="preserve"> Assuming M1 exposures were 46% of the parent.</w:t>
      </w:r>
    </w:p>
  </w:footnote>
  <w:footnote w:id="56">
    <w:p w:rsidR="00605D3B" w:rsidRPr="008D041F" w:rsidRDefault="00605D3B" w:rsidP="00A92B77">
      <w:pPr>
        <w:pStyle w:val="FootnoteText"/>
      </w:pPr>
      <w:r>
        <w:rPr>
          <w:rStyle w:val="FootnoteReference"/>
        </w:rPr>
        <w:footnoteRef/>
      </w:r>
      <w:r>
        <w:t xml:space="preserve"> Strahotin, C.S. and Babich, M. Hepatitis C variability, Patterns of resistance and impact on therapy</w:t>
      </w:r>
      <w:r>
        <w:rPr>
          <w:i/>
        </w:rPr>
        <w:t xml:space="preserve"> Advances in Virology </w:t>
      </w:r>
      <w:r w:rsidRPr="001D00FC">
        <w:t>2012</w:t>
      </w:r>
      <w:r w:rsidRPr="001D00FC">
        <w:rPr>
          <w:i/>
        </w:rPr>
        <w:t xml:space="preserve">; </w:t>
      </w:r>
      <w:r w:rsidRPr="001D00FC">
        <w:t>2012</w:t>
      </w:r>
      <w:r>
        <w:rPr>
          <w:b/>
        </w:rPr>
        <w:t xml:space="preserve"> </w:t>
      </w:r>
      <w:r>
        <w:t>Article ID 267483, 10 pages.</w:t>
      </w:r>
    </w:p>
  </w:footnote>
  <w:footnote w:id="57">
    <w:p w:rsidR="00605D3B" w:rsidRDefault="00605D3B" w:rsidP="00A92B77">
      <w:pPr>
        <w:pStyle w:val="FootnoteText"/>
      </w:pPr>
      <w:r>
        <w:rPr>
          <w:rStyle w:val="FootnoteReference"/>
        </w:rPr>
        <w:footnoteRef/>
      </w:r>
      <w:r>
        <w:t xml:space="preserve"> EMEA/CHMP/SW/258498/2005 Guideline on the nonclinical development of fixed combinations of medical products. 24 January, 2008</w:t>
      </w:r>
      <w:proofErr w:type="gramStart"/>
      <w:r>
        <w:t>..</w:t>
      </w:r>
      <w:proofErr w:type="gramEnd"/>
    </w:p>
  </w:footnote>
  <w:footnote w:id="58">
    <w:p w:rsidR="00605D3B" w:rsidRDefault="00605D3B" w:rsidP="00A92B77">
      <w:pPr>
        <w:pStyle w:val="FootnoteText"/>
      </w:pPr>
      <w:r>
        <w:rPr>
          <w:rStyle w:val="FootnoteReference"/>
        </w:rPr>
        <w:footnoteRef/>
      </w:r>
      <w:r>
        <w:t xml:space="preserve"> </w:t>
      </w:r>
      <w:proofErr w:type="gramStart"/>
      <w:r>
        <w:t>Guidance for Industry.</w:t>
      </w:r>
      <w:proofErr w:type="gramEnd"/>
      <w:r>
        <w:t xml:space="preserve"> Chronic hepatitis C virus infection: developing direct-acting antiviral drugs for treatment. October 2013. </w:t>
      </w:r>
      <w:proofErr w:type="gramStart"/>
      <w:r>
        <w:t>US Department of Health and Human Services, FDA, CDER.</w:t>
      </w:r>
      <w:proofErr w:type="gramEnd"/>
      <w:r>
        <w:t xml:space="preserve"> </w:t>
      </w:r>
      <w:proofErr w:type="gramStart"/>
      <w:r>
        <w:t>Revision 1.</w:t>
      </w:r>
      <w:proofErr w:type="gramEnd"/>
    </w:p>
  </w:footnote>
  <w:footnote w:id="59">
    <w:p w:rsidR="00605D3B" w:rsidRDefault="00605D3B" w:rsidP="00A92B77">
      <w:pPr>
        <w:pStyle w:val="FootnoteText"/>
      </w:pPr>
      <w:r>
        <w:rPr>
          <w:rStyle w:val="FootnoteReference"/>
        </w:rPr>
        <w:footnoteRef/>
      </w:r>
      <w:r>
        <w:t xml:space="preserve"> Based on a paritaprevir </w:t>
      </w:r>
      <w:r w:rsidRPr="008912E8">
        <w:t>C</w:t>
      </w:r>
      <w:r w:rsidRPr="003A33A4">
        <w:rPr>
          <w:vertAlign w:val="subscript"/>
        </w:rPr>
        <w:t>trough</w:t>
      </w:r>
      <w:r>
        <w:t xml:space="preserve"> of 2.6 nM and assuming a free fraction of 1.37%</w:t>
      </w:r>
    </w:p>
  </w:footnote>
  <w:footnote w:id="60">
    <w:p w:rsidR="00605D3B" w:rsidRDefault="00605D3B" w:rsidP="00A92B77">
      <w:pPr>
        <w:pStyle w:val="FootnoteText"/>
      </w:pPr>
      <w:r>
        <w:rPr>
          <w:rStyle w:val="FootnoteReference"/>
        </w:rPr>
        <w:footnoteRef/>
      </w:r>
      <w:r>
        <w:t xml:space="preserve"> Based on ombitasvir </w:t>
      </w:r>
      <w:r w:rsidRPr="008912E8">
        <w:t>C</w:t>
      </w:r>
      <w:r w:rsidRPr="003A33A4">
        <w:rPr>
          <w:vertAlign w:val="subscript"/>
        </w:rPr>
        <w:t>trough</w:t>
      </w:r>
      <w:r>
        <w:t xml:space="preserve"> of 32.4 nM and assuming a free fraction of &lt; 0.1%</w:t>
      </w:r>
    </w:p>
  </w:footnote>
  <w:footnote w:id="61">
    <w:p w:rsidR="00605D3B" w:rsidRDefault="00605D3B" w:rsidP="00A92B77">
      <w:pPr>
        <w:pStyle w:val="FootnoteText"/>
      </w:pPr>
      <w:r>
        <w:rPr>
          <w:rStyle w:val="FootnoteReference"/>
        </w:rPr>
        <w:footnoteRef/>
      </w:r>
      <w:r>
        <w:t xml:space="preserve"> Based on a dasabuvir </w:t>
      </w:r>
      <w:r w:rsidRPr="008912E8">
        <w:t>C</w:t>
      </w:r>
      <w:r w:rsidRPr="003A33A4">
        <w:rPr>
          <w:vertAlign w:val="subscript"/>
        </w:rPr>
        <w:t>trough</w:t>
      </w:r>
      <w:r>
        <w:t xml:space="preserve"> of 269 μM and assuming a free fraction of 1%.</w:t>
      </w:r>
    </w:p>
  </w:footnote>
  <w:footnote w:id="62">
    <w:p w:rsidR="00605D3B" w:rsidRDefault="00605D3B" w:rsidP="001D00FC">
      <w:pPr>
        <w:pStyle w:val="FootnoteText"/>
      </w:pPr>
      <w:r>
        <w:rPr>
          <w:rStyle w:val="FootnoteReference"/>
        </w:rPr>
        <w:footnoteRef/>
      </w:r>
      <w:r>
        <w:t xml:space="preserve"> </w:t>
      </w:r>
      <w:proofErr w:type="gramStart"/>
      <w:r>
        <w:t>Guidance for Industry.</w:t>
      </w:r>
      <w:proofErr w:type="gramEnd"/>
      <w:r>
        <w:t xml:space="preserve"> </w:t>
      </w:r>
      <w:proofErr w:type="gramStart"/>
      <w:r>
        <w:t>Drug interaction studies – study design, data analysis, implications for dosing, and labelling recommendations.</w:t>
      </w:r>
      <w:proofErr w:type="gramEnd"/>
      <w:r>
        <w:t xml:space="preserve"> FDA CDER, Draft guidance (February 2012)</w:t>
      </w:r>
    </w:p>
  </w:footnote>
  <w:footnote w:id="63">
    <w:p w:rsidR="00605D3B" w:rsidRDefault="00605D3B" w:rsidP="00A92B77">
      <w:pPr>
        <w:pStyle w:val="FootnoteText"/>
      </w:pPr>
      <w:r>
        <w:rPr>
          <w:rStyle w:val="FootnoteReference"/>
        </w:rPr>
        <w:footnoteRef/>
      </w:r>
      <w:r>
        <w:t xml:space="preserve"> ICH guideline M3 (R2) – questions and answers. </w:t>
      </w:r>
      <w:proofErr w:type="gramStart"/>
      <w:r>
        <w:t>EMA/CHMP/ICH/507008/2011.</w:t>
      </w:r>
      <w:proofErr w:type="gramEnd"/>
    </w:p>
  </w:footnote>
  <w:footnote w:id="64">
    <w:p w:rsidR="00605D3B" w:rsidRPr="002D05D0" w:rsidRDefault="00605D3B">
      <w:pPr>
        <w:pStyle w:val="FootnoteText"/>
        <w:rPr>
          <w:lang w:val="en-US"/>
        </w:rPr>
      </w:pPr>
      <w:r>
        <w:rPr>
          <w:rStyle w:val="FootnoteReference"/>
        </w:rPr>
        <w:footnoteRef/>
      </w:r>
      <w:r>
        <w:t>NS3/NS4A =</w:t>
      </w:r>
      <w:r w:rsidRPr="002D05D0">
        <w:t xml:space="preserve"> </w:t>
      </w:r>
      <w:r>
        <w:t>non-structural protein 3/</w:t>
      </w:r>
      <w:r w:rsidRPr="002D05D0">
        <w:t xml:space="preserve"> </w:t>
      </w:r>
      <w:r>
        <w:t>non-structural protein 4A</w:t>
      </w:r>
    </w:p>
  </w:footnote>
  <w:footnote w:id="65">
    <w:p w:rsidR="00605D3B" w:rsidRDefault="00605D3B" w:rsidP="00215C26">
      <w:pPr>
        <w:pStyle w:val="FootnoteText"/>
      </w:pPr>
      <w:r>
        <w:rPr>
          <w:rStyle w:val="FootnoteReference"/>
        </w:rPr>
        <w:footnoteRef/>
      </w:r>
      <w:r>
        <w:t xml:space="preserve"> Berbel GA et al. Protease inhibitor induced carbamazepine toxicity. </w:t>
      </w:r>
      <w:r w:rsidRPr="007C7771">
        <w:rPr>
          <w:i/>
        </w:rPr>
        <w:t>Clin Neuropharmacol</w:t>
      </w:r>
      <w:r>
        <w:t xml:space="preserve"> 2000: 23: 216-218</w:t>
      </w:r>
    </w:p>
  </w:footnote>
  <w:footnote w:id="66">
    <w:p w:rsidR="00605D3B" w:rsidRPr="004C621C" w:rsidRDefault="00605D3B" w:rsidP="00A57F36">
      <w:pPr>
        <w:pStyle w:val="FootnoteText"/>
        <w:rPr>
          <w:lang w:val="en-US"/>
        </w:rPr>
      </w:pPr>
      <w:r>
        <w:rPr>
          <w:rStyle w:val="FootnoteReference"/>
        </w:rPr>
        <w:footnoteRef/>
      </w:r>
      <w:r>
        <w:t xml:space="preserve"> </w:t>
      </w:r>
      <w:r w:rsidRPr="000018C0">
        <w:t xml:space="preserve">Morton D, </w:t>
      </w:r>
      <w:r>
        <w:t>et al.</w:t>
      </w:r>
      <w:r w:rsidRPr="000018C0">
        <w:t xml:space="preserve"> The </w:t>
      </w:r>
      <w:proofErr w:type="gramStart"/>
      <w:r w:rsidRPr="000018C0">
        <w:t>Tg</w:t>
      </w:r>
      <w:proofErr w:type="gramEnd"/>
      <w:r w:rsidRPr="000018C0">
        <w:t xml:space="preserve"> rasH2 Mouse in Cancer Hazard Identification. </w:t>
      </w:r>
      <w:proofErr w:type="gramStart"/>
      <w:r w:rsidRPr="004C621C">
        <w:rPr>
          <w:i/>
        </w:rPr>
        <w:t>Toxicologic Pathology</w:t>
      </w:r>
      <w:r>
        <w:t>.</w:t>
      </w:r>
      <w:proofErr w:type="gramEnd"/>
      <w:r>
        <w:t xml:space="preserve"> 2002</w:t>
      </w:r>
      <w:proofErr w:type="gramStart"/>
      <w:r>
        <w:t>;30</w:t>
      </w:r>
      <w:proofErr w:type="gramEnd"/>
      <w:r>
        <w:t>: 139-146.</w:t>
      </w:r>
    </w:p>
  </w:footnote>
  <w:footnote w:id="67">
    <w:p w:rsidR="00605D3B" w:rsidRPr="004C621C" w:rsidRDefault="00605D3B" w:rsidP="00A57F36">
      <w:pPr>
        <w:pStyle w:val="FootnoteText"/>
        <w:rPr>
          <w:lang w:val="en-US"/>
        </w:rPr>
      </w:pPr>
      <w:r>
        <w:rPr>
          <w:rStyle w:val="FootnoteReference"/>
        </w:rPr>
        <w:footnoteRef/>
      </w:r>
      <w:r>
        <w:t xml:space="preserve"> </w:t>
      </w:r>
      <w:r w:rsidRPr="000018C0">
        <w:t xml:space="preserve">Chen X, </w:t>
      </w:r>
      <w:r>
        <w:t xml:space="preserve">et al. </w:t>
      </w:r>
      <w:r w:rsidRPr="000018C0">
        <w:t>Transformation by HrasG12V is consistently associated with mutant allele copy gains and is reversed by fa</w:t>
      </w:r>
      <w:r>
        <w:t>rnesyl transferase inhibition</w:t>
      </w:r>
      <w:r w:rsidRPr="004C621C">
        <w:rPr>
          <w:i/>
        </w:rPr>
        <w:t xml:space="preserve">. </w:t>
      </w:r>
      <w:proofErr w:type="gramStart"/>
      <w:r w:rsidRPr="004C621C">
        <w:rPr>
          <w:i/>
        </w:rPr>
        <w:t>Oncogene</w:t>
      </w:r>
      <w:r>
        <w:t>.</w:t>
      </w:r>
      <w:proofErr w:type="gramEnd"/>
      <w:r>
        <w:t xml:space="preserve"> </w:t>
      </w:r>
      <w:r w:rsidRPr="000018C0">
        <w:t>2014;33:5442-</w:t>
      </w:r>
      <w:r>
        <w:t>544</w:t>
      </w:r>
      <w:r w:rsidRPr="000018C0">
        <w:t>9</w:t>
      </w:r>
    </w:p>
  </w:footnote>
  <w:footnote w:id="68">
    <w:p w:rsidR="00605D3B" w:rsidRPr="004C621C" w:rsidRDefault="00605D3B" w:rsidP="00A57F36">
      <w:pPr>
        <w:pStyle w:val="FootnoteText"/>
        <w:rPr>
          <w:lang w:val="en-US"/>
        </w:rPr>
      </w:pPr>
      <w:r>
        <w:rPr>
          <w:rStyle w:val="FootnoteReference"/>
        </w:rPr>
        <w:footnoteRef/>
      </w:r>
      <w:r>
        <w:t xml:space="preserve"> </w:t>
      </w:r>
      <w:r w:rsidRPr="000018C0">
        <w:t xml:space="preserve">Yamamoto S, </w:t>
      </w:r>
      <w:r>
        <w:t xml:space="preserve">et al. </w:t>
      </w:r>
      <w:r w:rsidRPr="000018C0">
        <w:t xml:space="preserve">Validation of transgenic mice carrying the human prototype c-Ha-ras gene as a bioassay model for </w:t>
      </w:r>
      <w:r>
        <w:t xml:space="preserve">rapid carcinogenicity testing. </w:t>
      </w:r>
      <w:r w:rsidRPr="00FA5017">
        <w:rPr>
          <w:i/>
        </w:rPr>
        <w:t>Environ Health Perspec.</w:t>
      </w:r>
      <w:r>
        <w:t xml:space="preserve"> 1998</w:t>
      </w:r>
      <w:proofErr w:type="gramStart"/>
      <w:r>
        <w:t>;106</w:t>
      </w:r>
      <w:r w:rsidRPr="000018C0">
        <w:t>:57</w:t>
      </w:r>
      <w:proofErr w:type="gramEnd"/>
      <w:r w:rsidRPr="000018C0">
        <w:t>-69.</w:t>
      </w:r>
    </w:p>
  </w:footnote>
  <w:footnote w:id="69">
    <w:p w:rsidR="00605D3B" w:rsidRPr="00FA5017" w:rsidRDefault="00605D3B" w:rsidP="00A57F36">
      <w:pPr>
        <w:pStyle w:val="FootnoteText"/>
        <w:rPr>
          <w:lang w:val="en-US"/>
        </w:rPr>
      </w:pPr>
      <w:r>
        <w:rPr>
          <w:rStyle w:val="FootnoteReference"/>
        </w:rPr>
        <w:footnoteRef/>
      </w:r>
      <w:r>
        <w:t xml:space="preserve"> </w:t>
      </w:r>
      <w:r w:rsidRPr="000018C0">
        <w:t xml:space="preserve">Yamamoto S, </w:t>
      </w:r>
      <w:r>
        <w:t xml:space="preserve">et al. </w:t>
      </w:r>
      <w:r w:rsidRPr="000018C0">
        <w:t>Rapid caricinogenicity testing system with transgenic mice harboring human prototype c-HRA</w:t>
      </w:r>
      <w:r>
        <w:t xml:space="preserve">S gene. </w:t>
      </w:r>
      <w:r w:rsidRPr="00FA5017">
        <w:rPr>
          <w:i/>
        </w:rPr>
        <w:t>Lab An Sci.</w:t>
      </w:r>
      <w:r>
        <w:t xml:space="preserve"> 1997</w:t>
      </w:r>
      <w:proofErr w:type="gramStart"/>
      <w:r>
        <w:t>;47</w:t>
      </w:r>
      <w:r w:rsidRPr="000018C0">
        <w:t>:121</w:t>
      </w:r>
      <w:proofErr w:type="gramEnd"/>
      <w:r w:rsidRPr="000018C0">
        <w:t>-</w:t>
      </w:r>
      <w:r>
        <w:t>12</w:t>
      </w:r>
      <w:r w:rsidRPr="000018C0">
        <w:t>5.</w:t>
      </w:r>
    </w:p>
  </w:footnote>
  <w:footnote w:id="70">
    <w:p w:rsidR="00605D3B" w:rsidRPr="00FA5017" w:rsidRDefault="00605D3B" w:rsidP="00A57F36">
      <w:pPr>
        <w:pStyle w:val="FootnoteText"/>
        <w:rPr>
          <w:lang w:val="en-US"/>
        </w:rPr>
      </w:pPr>
      <w:r>
        <w:rPr>
          <w:rStyle w:val="FootnoteReference"/>
        </w:rPr>
        <w:footnoteRef/>
      </w:r>
      <w:r>
        <w:t xml:space="preserve"> </w:t>
      </w:r>
      <w:proofErr w:type="gramStart"/>
      <w:r w:rsidRPr="000018C0">
        <w:t>Natio</w:t>
      </w:r>
      <w:r>
        <w:t>nal Toxicology Program (1993).</w:t>
      </w:r>
      <w:proofErr w:type="gramEnd"/>
      <w:r>
        <w:t xml:space="preserve"> </w:t>
      </w:r>
      <w:proofErr w:type="gramStart"/>
      <w:r w:rsidRPr="000018C0">
        <w:t>Bioassay of 1-pheyl-3-methyl-5-prazolone for possible car</w:t>
      </w:r>
      <w:r>
        <w:t>cinogenicity (CAS No.89-25-8).</w:t>
      </w:r>
      <w:proofErr w:type="gramEnd"/>
      <w:r>
        <w:t xml:space="preserve"> </w:t>
      </w:r>
      <w:proofErr w:type="gramStart"/>
      <w:r w:rsidRPr="000018C0">
        <w:t>Compendium of Abstracts from Long</w:t>
      </w:r>
      <w:r w:rsidRPr="000018C0">
        <w:noBreakHyphen/>
        <w:t>Term Cancer Studies Reported by the National Toxicology Program from 1976 to 1992.</w:t>
      </w:r>
      <w:proofErr w:type="gramEnd"/>
    </w:p>
  </w:footnote>
  <w:footnote w:id="71">
    <w:p w:rsidR="00605D3B" w:rsidRPr="00FA5017" w:rsidRDefault="00605D3B" w:rsidP="00A57F36">
      <w:pPr>
        <w:pStyle w:val="FootnoteText"/>
        <w:rPr>
          <w:lang w:val="en-US"/>
        </w:rPr>
      </w:pPr>
      <w:r>
        <w:rPr>
          <w:rStyle w:val="FootnoteReference"/>
        </w:rPr>
        <w:footnoteRef/>
      </w:r>
      <w:r>
        <w:t xml:space="preserve"> Nambiar P, Morton D. </w:t>
      </w:r>
      <w:proofErr w:type="gramStart"/>
      <w:r w:rsidRPr="000018C0">
        <w:t>The rasH2 model for assessing carcinogeni</w:t>
      </w:r>
      <w:r>
        <w:t>c potential of pharmaceuticals.</w:t>
      </w:r>
      <w:proofErr w:type="gramEnd"/>
      <w:r>
        <w:t xml:space="preserve"> </w:t>
      </w:r>
      <w:r w:rsidRPr="00FA5017">
        <w:rPr>
          <w:i/>
        </w:rPr>
        <w:t>Toxicol Pathol.</w:t>
      </w:r>
      <w:r>
        <w:t xml:space="preserve"> </w:t>
      </w:r>
      <w:r w:rsidRPr="000018C0">
        <w:t>2013</w:t>
      </w:r>
      <w:proofErr w:type="gramStart"/>
      <w:r w:rsidRPr="000018C0">
        <w:t>;1:1058</w:t>
      </w:r>
      <w:proofErr w:type="gramEnd"/>
      <w:r w:rsidRPr="000018C0">
        <w:t>-</w:t>
      </w:r>
      <w:r>
        <w:t>10</w:t>
      </w:r>
      <w:r w:rsidRPr="000018C0">
        <w:t>67.</w:t>
      </w:r>
    </w:p>
  </w:footnote>
  <w:footnote w:id="72">
    <w:p w:rsidR="00605D3B" w:rsidRPr="00FA5017" w:rsidRDefault="00605D3B" w:rsidP="00A57F36">
      <w:pPr>
        <w:pStyle w:val="FootnoteText"/>
        <w:rPr>
          <w:lang w:val="en-US"/>
        </w:rPr>
      </w:pPr>
      <w:r>
        <w:rPr>
          <w:rStyle w:val="FootnoteReference"/>
        </w:rPr>
        <w:footnoteRef/>
      </w:r>
      <w:r>
        <w:t xml:space="preserve"> </w:t>
      </w:r>
      <w:r w:rsidRPr="000018C0">
        <w:t xml:space="preserve">Wong, CE, </w:t>
      </w:r>
      <w:r>
        <w:t xml:space="preserve">et al. </w:t>
      </w:r>
      <w:r w:rsidRPr="000018C0">
        <w:t xml:space="preserve">Inflammation and Hras signaling control epithelial-mesenchymal transition </w:t>
      </w:r>
      <w:r>
        <w:t xml:space="preserve">during skin tumor progression. </w:t>
      </w:r>
      <w:proofErr w:type="gramStart"/>
      <w:r w:rsidRPr="00FA5017">
        <w:rPr>
          <w:i/>
        </w:rPr>
        <w:t>Genes and Development</w:t>
      </w:r>
      <w:r>
        <w:t>.</w:t>
      </w:r>
      <w:proofErr w:type="gramEnd"/>
      <w:r>
        <w:t xml:space="preserve"> </w:t>
      </w:r>
      <w:r w:rsidRPr="000018C0">
        <w:t>2013</w:t>
      </w:r>
      <w:proofErr w:type="gramStart"/>
      <w:r w:rsidRPr="000018C0">
        <w:t>;27:670</w:t>
      </w:r>
      <w:proofErr w:type="gramEnd"/>
      <w:r w:rsidRPr="000018C0">
        <w:t>-</w:t>
      </w:r>
      <w:r>
        <w:t>6</w:t>
      </w:r>
      <w:r w:rsidRPr="000018C0">
        <w:t>82.</w:t>
      </w:r>
    </w:p>
  </w:footnote>
  <w:footnote w:id="73">
    <w:p w:rsidR="00605D3B" w:rsidRPr="004F2D40" w:rsidRDefault="00605D3B">
      <w:pPr>
        <w:pStyle w:val="FootnoteText"/>
        <w:rPr>
          <w:lang w:val="en-US"/>
        </w:rPr>
      </w:pPr>
      <w:r>
        <w:rPr>
          <w:rStyle w:val="FootnoteReference"/>
        </w:rPr>
        <w:footnoteRef/>
      </w:r>
      <w:r>
        <w:t xml:space="preserve"> </w:t>
      </w:r>
      <w:r w:rsidRPr="007D0808">
        <w:t xml:space="preserve">Gordon </w:t>
      </w:r>
      <w:r>
        <w:t xml:space="preserve">A, et al. </w:t>
      </w:r>
      <w:r w:rsidRPr="007D0808">
        <w:t>Effects of Silybum marianum on serum hepatitis C virus RNA, alanine aminotransferase levels and well-being in pati</w:t>
      </w:r>
      <w:r>
        <w:t xml:space="preserve">ents with chronic hepatitis C. </w:t>
      </w:r>
      <w:r w:rsidRPr="004F2D40">
        <w:rPr>
          <w:i/>
        </w:rPr>
        <w:t>J Gastroenterol Hepatol</w:t>
      </w:r>
      <w:r>
        <w:t xml:space="preserve">. </w:t>
      </w:r>
      <w:proofErr w:type="gramStart"/>
      <w:r>
        <w:t>2006; 21</w:t>
      </w:r>
      <w:r w:rsidRPr="007D0808">
        <w:t>:</w:t>
      </w:r>
      <w:r>
        <w:t xml:space="preserve"> </w:t>
      </w:r>
      <w:r w:rsidRPr="007D0808">
        <w:t>275-</w:t>
      </w:r>
      <w:r>
        <w:t>2</w:t>
      </w:r>
      <w:r w:rsidRPr="007D0808">
        <w:t>80.</w:t>
      </w:r>
      <w:proofErr w:type="gramEnd"/>
    </w:p>
  </w:footnote>
  <w:footnote w:id="74">
    <w:p w:rsidR="00605D3B" w:rsidRPr="009E2121" w:rsidRDefault="00605D3B" w:rsidP="00F51C39">
      <w:pPr>
        <w:pStyle w:val="FootnoteText"/>
        <w:rPr>
          <w:rStyle w:val="FootnoteTextChar"/>
        </w:rPr>
      </w:pPr>
      <w:r w:rsidRPr="00F2070C">
        <w:rPr>
          <w:rStyle w:val="FootnoteReference"/>
          <w:sz w:val="16"/>
          <w:szCs w:val="16"/>
        </w:rPr>
        <w:footnoteRef/>
      </w:r>
      <w:r w:rsidRPr="00F2070C">
        <w:rPr>
          <w:sz w:val="16"/>
          <w:szCs w:val="16"/>
        </w:rPr>
        <w:t xml:space="preserve"> </w:t>
      </w:r>
      <w:r w:rsidRPr="009E2121">
        <w:rPr>
          <w:rStyle w:val="FootnoteTextChar"/>
        </w:rPr>
        <w:t>Centre for Drug Evaluation and Research. Application number206619Orig1s000.Summary review http://www.accessdata.fda.gov/drugsatfda_docs/nda/2014/206619Orig1s000SumR.pdf</w:t>
      </w:r>
    </w:p>
    <w:p w:rsidR="00605D3B" w:rsidRDefault="00605D3B" w:rsidP="00F306A9">
      <w:pPr>
        <w:pStyle w:val="FootnoteText"/>
      </w:pPr>
    </w:p>
  </w:footnote>
  <w:footnote w:id="75">
    <w:p w:rsidR="00605D3B" w:rsidRPr="00957B05" w:rsidRDefault="00605D3B">
      <w:pPr>
        <w:pStyle w:val="FootnoteText"/>
        <w:rPr>
          <w:lang w:val="en-US"/>
        </w:rPr>
      </w:pPr>
      <w:r>
        <w:rPr>
          <w:rStyle w:val="FootnoteReference"/>
        </w:rPr>
        <w:footnoteRef/>
      </w:r>
      <w:r>
        <w:t xml:space="preserve"> </w:t>
      </w:r>
      <w:proofErr w:type="gramStart"/>
      <w:r w:rsidRPr="008B1459">
        <w:rPr>
          <w:szCs w:val="18"/>
        </w:rPr>
        <w:t>European Medicines Agency.</w:t>
      </w:r>
      <w:proofErr w:type="gramEnd"/>
      <w:r w:rsidRPr="008B1459">
        <w:rPr>
          <w:szCs w:val="18"/>
        </w:rPr>
        <w:t xml:space="preserve"> </w:t>
      </w:r>
      <w:proofErr w:type="gramStart"/>
      <w:r w:rsidRPr="008B1459">
        <w:rPr>
          <w:szCs w:val="18"/>
        </w:rPr>
        <w:t>Assessment report, Viekirax.</w:t>
      </w:r>
      <w:proofErr w:type="gramEnd"/>
      <w:r w:rsidRPr="008B1459">
        <w:rPr>
          <w:szCs w:val="18"/>
        </w:rPr>
        <w:t xml:space="preserve"> </w:t>
      </w:r>
      <w:proofErr w:type="gramStart"/>
      <w:r w:rsidRPr="008B1459">
        <w:rPr>
          <w:szCs w:val="18"/>
        </w:rPr>
        <w:t>Procedure No.</w:t>
      </w:r>
      <w:proofErr w:type="gramEnd"/>
      <w:r w:rsidRPr="008B1459">
        <w:rPr>
          <w:szCs w:val="18"/>
        </w:rPr>
        <w:t xml:space="preserve"> EMEA/H/C/003839/0000, Committee for Medicinal Products for Human Use (CHMP) 20 November 2014. www.ema.europa.eu/docs/en_GB/document_library/EPAR_-_Public_assessment_report/human/003839/WC500183999.pdf</w:t>
      </w:r>
    </w:p>
  </w:footnote>
  <w:footnote w:id="76">
    <w:p w:rsidR="00605D3B" w:rsidRPr="00957B05" w:rsidRDefault="00605D3B">
      <w:pPr>
        <w:pStyle w:val="FootnoteText"/>
        <w:rPr>
          <w:lang w:val="en-US"/>
        </w:rPr>
      </w:pPr>
      <w:r w:rsidRPr="005B27C1">
        <w:rPr>
          <w:rStyle w:val="FootnoteReference"/>
        </w:rPr>
        <w:footnoteRef/>
      </w:r>
      <w:r w:rsidRPr="005B27C1">
        <w:t xml:space="preserve"> </w:t>
      </w:r>
      <w:proofErr w:type="gramStart"/>
      <w:r w:rsidRPr="005B27C1">
        <w:rPr>
          <w:szCs w:val="18"/>
        </w:rPr>
        <w:t>Sherman KE et al. Response-Guided Telaprevir Combination Treatment for Hepatitis C Virus Infection.</w:t>
      </w:r>
      <w:proofErr w:type="gramEnd"/>
      <w:r w:rsidRPr="005B27C1">
        <w:rPr>
          <w:szCs w:val="18"/>
        </w:rPr>
        <w:t xml:space="preserve"> </w:t>
      </w:r>
      <w:r w:rsidRPr="005B27C1">
        <w:rPr>
          <w:i/>
          <w:szCs w:val="18"/>
        </w:rPr>
        <w:t>N Engl J Med</w:t>
      </w:r>
      <w:r w:rsidRPr="005B27C1">
        <w:rPr>
          <w:szCs w:val="18"/>
        </w:rPr>
        <w:t xml:space="preserve"> 2011;365:1014-1024</w:t>
      </w:r>
    </w:p>
  </w:footnote>
  <w:footnote w:id="77">
    <w:p w:rsidR="00605D3B" w:rsidRPr="00957B05" w:rsidRDefault="00605D3B">
      <w:pPr>
        <w:pStyle w:val="FootnoteText"/>
        <w:rPr>
          <w:lang w:val="en-US"/>
        </w:rPr>
      </w:pPr>
      <w:r w:rsidRPr="005B27C1">
        <w:rPr>
          <w:rStyle w:val="FootnoteReference"/>
        </w:rPr>
        <w:footnoteRef/>
      </w:r>
      <w:r w:rsidRPr="005B27C1">
        <w:t xml:space="preserve"> </w:t>
      </w:r>
      <w:r w:rsidRPr="005B27C1">
        <w:rPr>
          <w:szCs w:val="18"/>
        </w:rPr>
        <w:t xml:space="preserve">Feld J et al. Treatment of HCV with ABT-450/r – Ombitasvir and Dasabuvir with Ribavirin. </w:t>
      </w:r>
      <w:r w:rsidRPr="005B27C1">
        <w:rPr>
          <w:i/>
          <w:szCs w:val="18"/>
        </w:rPr>
        <w:t>N Engl J Med</w:t>
      </w:r>
      <w:r w:rsidRPr="005B27C1">
        <w:rPr>
          <w:szCs w:val="18"/>
        </w:rPr>
        <w:t xml:space="preserve"> 2014;370:1594-1603</w:t>
      </w:r>
    </w:p>
  </w:footnote>
  <w:footnote w:id="78">
    <w:p w:rsidR="00605D3B" w:rsidRPr="00FA64C2" w:rsidRDefault="00605D3B" w:rsidP="00FE5487">
      <w:pPr>
        <w:pStyle w:val="FootnoteText"/>
        <w:rPr>
          <w:szCs w:val="18"/>
        </w:rPr>
      </w:pPr>
      <w:r w:rsidRPr="005B27C1">
        <w:rPr>
          <w:rStyle w:val="FootnoteReference"/>
          <w:szCs w:val="18"/>
        </w:rPr>
        <w:footnoteRef/>
      </w:r>
      <w:r w:rsidRPr="005B27C1">
        <w:rPr>
          <w:szCs w:val="18"/>
        </w:rPr>
        <w:t xml:space="preserve"> Zeuzem S et al. Retreatment of HCV with ABT-450/r – Ombitasvir and Dasabuvir with Ribavirin. </w:t>
      </w:r>
      <w:r w:rsidRPr="005B27C1">
        <w:rPr>
          <w:i/>
          <w:szCs w:val="18"/>
        </w:rPr>
        <w:t xml:space="preserve">N Engl J Med </w:t>
      </w:r>
      <w:r w:rsidRPr="005B27C1">
        <w:rPr>
          <w:szCs w:val="18"/>
        </w:rPr>
        <w:t>2014;370:1604-1614</w:t>
      </w:r>
    </w:p>
  </w:footnote>
  <w:footnote w:id="79">
    <w:p w:rsidR="00605D3B" w:rsidRPr="005B27C1" w:rsidRDefault="00605D3B" w:rsidP="00595D4B">
      <w:pPr>
        <w:pStyle w:val="FootnoteText"/>
        <w:rPr>
          <w:szCs w:val="18"/>
        </w:rPr>
      </w:pPr>
      <w:r w:rsidRPr="005B27C1">
        <w:rPr>
          <w:rStyle w:val="FootnoteReference"/>
          <w:szCs w:val="18"/>
        </w:rPr>
        <w:footnoteRef/>
      </w:r>
      <w:r w:rsidRPr="005B27C1">
        <w:rPr>
          <w:szCs w:val="18"/>
        </w:rPr>
        <w:t xml:space="preserve"> Ferenci P et al. ABT-450/r – Ombitasvir and Dasabuvir with or without Ribavirin for HCV. </w:t>
      </w:r>
      <w:r w:rsidRPr="005B27C1">
        <w:rPr>
          <w:i/>
          <w:szCs w:val="18"/>
        </w:rPr>
        <w:t xml:space="preserve">N Engl J Med </w:t>
      </w:r>
      <w:r w:rsidRPr="005B27C1">
        <w:rPr>
          <w:szCs w:val="18"/>
        </w:rPr>
        <w:t>2014</w:t>
      </w:r>
      <w:proofErr w:type="gramStart"/>
      <w:r w:rsidRPr="005B27C1">
        <w:rPr>
          <w:szCs w:val="18"/>
        </w:rPr>
        <w:t>;370:1983</w:t>
      </w:r>
      <w:proofErr w:type="gramEnd"/>
      <w:r w:rsidRPr="005B27C1">
        <w:rPr>
          <w:szCs w:val="18"/>
        </w:rPr>
        <w:t>-1992.</w:t>
      </w:r>
    </w:p>
  </w:footnote>
  <w:footnote w:id="80">
    <w:p w:rsidR="00605D3B" w:rsidRPr="004B44F7" w:rsidRDefault="00605D3B" w:rsidP="00595D4B">
      <w:pPr>
        <w:pStyle w:val="FootnoteText"/>
        <w:rPr>
          <w:szCs w:val="18"/>
        </w:rPr>
      </w:pPr>
      <w:r w:rsidRPr="005B27C1">
        <w:rPr>
          <w:rStyle w:val="FootnoteReference"/>
          <w:szCs w:val="18"/>
        </w:rPr>
        <w:footnoteRef/>
      </w:r>
      <w:r w:rsidRPr="005B27C1">
        <w:rPr>
          <w:szCs w:val="18"/>
        </w:rPr>
        <w:t xml:space="preserve"> Poordad F et al. ABT-450/r – Ombitasvir and Dasabuvir with Ribavirin for Hepatitis C with Cirrhosis. </w:t>
      </w:r>
      <w:r w:rsidRPr="005B27C1">
        <w:rPr>
          <w:i/>
          <w:szCs w:val="18"/>
        </w:rPr>
        <w:t>N Engl J Med</w:t>
      </w:r>
      <w:r w:rsidRPr="005B27C1">
        <w:rPr>
          <w:szCs w:val="18"/>
        </w:rPr>
        <w:t xml:space="preserve"> 2014;370:1973-1982</w:t>
      </w:r>
    </w:p>
  </w:footnote>
  <w:footnote w:id="81">
    <w:p w:rsidR="00605D3B" w:rsidRDefault="00605D3B" w:rsidP="00462A94">
      <w:pPr>
        <w:pStyle w:val="FootnoteText"/>
      </w:pPr>
      <w:r w:rsidRPr="005B27C1">
        <w:rPr>
          <w:rStyle w:val="FootnoteReference"/>
        </w:rPr>
        <w:footnoteRef/>
      </w:r>
      <w:r w:rsidRPr="005B27C1">
        <w:t xml:space="preserve"> </w:t>
      </w:r>
      <w:proofErr w:type="gramStart"/>
      <w:r w:rsidRPr="005B27C1">
        <w:rPr>
          <w:szCs w:val="18"/>
        </w:rPr>
        <w:t>Kowdley K et al. Phase 2b Trial of Interferon-free Therapy for Hepatitis C Virus Genotype 1.</w:t>
      </w:r>
      <w:proofErr w:type="gramEnd"/>
      <w:r w:rsidRPr="005B27C1">
        <w:rPr>
          <w:szCs w:val="18"/>
        </w:rPr>
        <w:t xml:space="preserve"> </w:t>
      </w:r>
      <w:r w:rsidRPr="005B27C1">
        <w:rPr>
          <w:i/>
          <w:szCs w:val="18"/>
        </w:rPr>
        <w:t>N Engl J Med</w:t>
      </w:r>
      <w:r w:rsidRPr="005B27C1">
        <w:rPr>
          <w:szCs w:val="18"/>
        </w:rPr>
        <w:t xml:space="preserve"> 2014</w:t>
      </w:r>
      <w:proofErr w:type="gramStart"/>
      <w:r w:rsidRPr="005B27C1">
        <w:rPr>
          <w:szCs w:val="18"/>
        </w:rPr>
        <w:t>;370:222</w:t>
      </w:r>
      <w:proofErr w:type="gramEnd"/>
      <w:r w:rsidRPr="005B27C1">
        <w:rPr>
          <w:szCs w:val="18"/>
        </w:rPr>
        <w:t>-232.</w:t>
      </w:r>
    </w:p>
  </w:footnote>
  <w:footnote w:id="82">
    <w:p w:rsidR="00605D3B" w:rsidRPr="00502A5C" w:rsidRDefault="00605D3B">
      <w:pPr>
        <w:pStyle w:val="FootnoteText"/>
        <w:rPr>
          <w:lang w:val="en-US"/>
        </w:rPr>
      </w:pPr>
      <w:r>
        <w:rPr>
          <w:rStyle w:val="FootnoteReference"/>
        </w:rPr>
        <w:footnoteRef/>
      </w:r>
      <w:r>
        <w:t xml:space="preserve"> </w:t>
      </w:r>
      <w:r>
        <w:rPr>
          <w:lang w:val="en-US"/>
        </w:rPr>
        <w:t xml:space="preserve">Krishnan P. et al. Long term follow up of treatment emergent resistance associated variants in NS3, NS5A and NS5B with paritaprevir/r-, ombitasvir- and dasabuvir based regimens. </w:t>
      </w:r>
      <w:r w:rsidRPr="00CB4426">
        <w:rPr>
          <w:i/>
          <w:lang w:val="en-US"/>
        </w:rPr>
        <w:t>Journal of Hepatology</w:t>
      </w:r>
      <w:r>
        <w:rPr>
          <w:lang w:val="en-US"/>
        </w:rPr>
        <w:t xml:space="preserve"> 2015; 62: S220</w:t>
      </w:r>
    </w:p>
  </w:footnote>
  <w:footnote w:id="83">
    <w:p w:rsidR="00605D3B" w:rsidRPr="00502A5C" w:rsidRDefault="00605D3B">
      <w:pPr>
        <w:pStyle w:val="FootnoteText"/>
        <w:rPr>
          <w:lang w:val="en-US"/>
        </w:rPr>
      </w:pPr>
      <w:r>
        <w:rPr>
          <w:rStyle w:val="FootnoteReference"/>
        </w:rPr>
        <w:footnoteRef/>
      </w:r>
      <w:r>
        <w:t xml:space="preserve"> </w:t>
      </w:r>
      <w:proofErr w:type="gramStart"/>
      <w:r>
        <w:rPr>
          <w:lang w:val="en-US"/>
        </w:rPr>
        <w:t>Dvory-Sobol H et al (including Wyles D) Long term persistence of HCV NS5A variants after treatment with NS5A inhibitor ledipasvir.</w:t>
      </w:r>
      <w:proofErr w:type="gramEnd"/>
      <w:r>
        <w:rPr>
          <w:lang w:val="en-US"/>
        </w:rPr>
        <w:t xml:space="preserve"> </w:t>
      </w:r>
      <w:r w:rsidRPr="00CB4426">
        <w:rPr>
          <w:i/>
          <w:lang w:val="en-US"/>
        </w:rPr>
        <w:t>Journal of Hepatology</w:t>
      </w:r>
      <w:r>
        <w:rPr>
          <w:lang w:val="en-US"/>
        </w:rPr>
        <w:t xml:space="preserve"> 2015; 62: S221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pPr>
      <w:rPr>
        <w:noProof/>
        <w:lang w:eastAsia="en-AU"/>
      </w:rPr>
    </w:pPr>
    <w:r w:rsidRPr="00347824">
      <w:rPr>
        <w:noProof/>
        <w:lang w:eastAsia="en-AU"/>
      </w:rPr>
      <w:drawing>
        <wp:anchor distT="0" distB="0" distL="114300" distR="114300" simplePos="0" relativeHeight="251659264" behindDoc="1" locked="0" layoutInCell="1" allowOverlap="1" wp14:anchorId="0DA741F5" wp14:editId="6499FF8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05D3B" w:rsidRDefault="00605D3B" w:rsidP="00593AD1">
    <w:pPr>
      <w:pStyle w:val="HeaderNoLine"/>
    </w:pPr>
    <w:r>
      <w:rPr>
        <w:noProof/>
        <w:lang w:eastAsia="en-AU"/>
      </w:rPr>
      <w:drawing>
        <wp:inline distT="0" distB="0" distL="0" distR="0" wp14:anchorId="02ED1911" wp14:editId="5CE7630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D3B" w:rsidRDefault="00605D3B" w:rsidP="006E08B3">
    <w:r>
      <w:t>Therapeutic Goods Administration</w:t>
    </w:r>
  </w:p>
  <w:p w:rsidR="00605D3B" w:rsidRDefault="00605D3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D09B40"/>
    <w:lvl w:ilvl="0">
      <w:start w:val="1"/>
      <w:numFmt w:val="bullet"/>
      <w:lvlText w:val=""/>
      <w:lvlJc w:val="left"/>
      <w:pPr>
        <w:tabs>
          <w:tab w:val="num" w:pos="360"/>
        </w:tabs>
        <w:ind w:left="360" w:hanging="360"/>
      </w:pPr>
      <w:rPr>
        <w:rFonts w:ascii="Symbol" w:hAnsi="Symbol" w:hint="default"/>
      </w:rPr>
    </w:lvl>
  </w:abstractNum>
  <w:abstractNum w:abstractNumId="1">
    <w:nsid w:val="057C2137"/>
    <w:multiLevelType w:val="hybridMultilevel"/>
    <w:tmpl w:val="49048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27E77F0"/>
    <w:multiLevelType w:val="hybridMultilevel"/>
    <w:tmpl w:val="E7B0C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E20659"/>
    <w:multiLevelType w:val="hybridMultilevel"/>
    <w:tmpl w:val="748A4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4765C7"/>
    <w:multiLevelType w:val="hybridMultilevel"/>
    <w:tmpl w:val="A0FC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96243C9"/>
    <w:multiLevelType w:val="hybridMultilevel"/>
    <w:tmpl w:val="82081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CF57AC"/>
    <w:multiLevelType w:val="hybridMultilevel"/>
    <w:tmpl w:val="CD168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10B0450"/>
    <w:multiLevelType w:val="singleLevel"/>
    <w:tmpl w:val="CD0CE968"/>
    <w:lvl w:ilvl="0">
      <w:start w:val="1"/>
      <w:numFmt w:val="decimal"/>
      <w:pStyle w:val="References"/>
      <w:lvlText w:val="%1."/>
      <w:lvlJc w:val="right"/>
      <w:pPr>
        <w:tabs>
          <w:tab w:val="num" w:pos="648"/>
        </w:tabs>
        <w:ind w:left="648" w:hanging="360"/>
      </w:pPr>
      <w:rPr>
        <w:rFonts w:ascii="Calibri" w:hAnsi="Calibri" w:cs="Times New Roman" w:hint="default"/>
        <w:b w:val="0"/>
        <w:i w:val="0"/>
        <w:caps w:val="0"/>
        <w:sz w:val="24"/>
        <w:u w:val="none"/>
        <w:vertAlign w:val="baseline"/>
      </w:rPr>
    </w:lvl>
  </w:abstractNum>
  <w:abstractNum w:abstractNumId="1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47270EB"/>
    <w:multiLevelType w:val="hybridMultilevel"/>
    <w:tmpl w:val="7A301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4F63BA5"/>
    <w:multiLevelType w:val="hybridMultilevel"/>
    <w:tmpl w:val="6F9050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nsid w:val="59543F05"/>
    <w:multiLevelType w:val="hybridMultilevel"/>
    <w:tmpl w:val="ACB29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A6000A"/>
    <w:multiLevelType w:val="hybridMultilevel"/>
    <w:tmpl w:val="8BAA793A"/>
    <w:lvl w:ilvl="0" w:tplc="0C090019">
      <w:start w:val="1"/>
      <w:numFmt w:val="lowerLetter"/>
      <w:lvlText w:val="%1."/>
      <w:lvlJc w:val="left"/>
      <w:pPr>
        <w:ind w:left="1212" w:hanging="360"/>
      </w:pPr>
      <w:rPr>
        <w:rFonts w:hint="default"/>
      </w:rPr>
    </w:lvl>
    <w:lvl w:ilvl="1" w:tplc="0C090003">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5">
    <w:nsid w:val="6E284618"/>
    <w:multiLevelType w:val="hybridMultilevel"/>
    <w:tmpl w:val="FB7C838A"/>
    <w:lvl w:ilvl="0" w:tplc="CDA24F54">
      <w:start w:val="1"/>
      <w:numFmt w:val="decimal"/>
      <w:lvlText w:val="1.%1."/>
      <w:lvlJc w:val="left"/>
      <w:pPr>
        <w:ind w:left="360" w:hanging="360"/>
      </w:pPr>
      <w:rPr>
        <w:rFonts w:hint="default"/>
      </w:rPr>
    </w:lvl>
    <w:lvl w:ilvl="1" w:tplc="E8800802">
      <w:start w:val="1"/>
      <w:numFmt w:val="lowerLetter"/>
      <w:lvlText w:val="%2."/>
      <w:lvlJc w:val="left"/>
      <w:pPr>
        <w:ind w:left="1080" w:hanging="360"/>
      </w:pPr>
    </w:lvl>
    <w:lvl w:ilvl="2" w:tplc="85605320">
      <w:start w:val="1"/>
      <w:numFmt w:val="lowerRoman"/>
      <w:lvlText w:val="%3."/>
      <w:lvlJc w:val="right"/>
      <w:pPr>
        <w:ind w:left="1800" w:hanging="180"/>
      </w:pPr>
    </w:lvl>
    <w:lvl w:ilvl="3" w:tplc="B89A657A">
      <w:start w:val="1"/>
      <w:numFmt w:val="decimal"/>
      <w:lvlText w:val="%4."/>
      <w:lvlJc w:val="left"/>
      <w:pPr>
        <w:ind w:left="2520" w:hanging="360"/>
      </w:pPr>
      <w:rPr>
        <w:rFonts w:hint="default"/>
      </w:rPr>
    </w:lvl>
    <w:lvl w:ilvl="4" w:tplc="18468208" w:tentative="1">
      <w:start w:val="1"/>
      <w:numFmt w:val="lowerLetter"/>
      <w:lvlText w:val="%5."/>
      <w:lvlJc w:val="left"/>
      <w:pPr>
        <w:ind w:left="3240" w:hanging="360"/>
      </w:pPr>
    </w:lvl>
    <w:lvl w:ilvl="5" w:tplc="D470802A" w:tentative="1">
      <w:start w:val="1"/>
      <w:numFmt w:val="lowerRoman"/>
      <w:lvlText w:val="%6."/>
      <w:lvlJc w:val="right"/>
      <w:pPr>
        <w:ind w:left="3960" w:hanging="180"/>
      </w:pPr>
    </w:lvl>
    <w:lvl w:ilvl="6" w:tplc="518840D8" w:tentative="1">
      <w:start w:val="1"/>
      <w:numFmt w:val="decimal"/>
      <w:lvlText w:val="%7."/>
      <w:lvlJc w:val="left"/>
      <w:pPr>
        <w:ind w:left="4680" w:hanging="360"/>
      </w:pPr>
    </w:lvl>
    <w:lvl w:ilvl="7" w:tplc="F85C8670" w:tentative="1">
      <w:start w:val="1"/>
      <w:numFmt w:val="lowerLetter"/>
      <w:lvlText w:val="%8."/>
      <w:lvlJc w:val="left"/>
      <w:pPr>
        <w:ind w:left="5400" w:hanging="360"/>
      </w:pPr>
    </w:lvl>
    <w:lvl w:ilvl="8" w:tplc="1CA8AD22" w:tentative="1">
      <w:start w:val="1"/>
      <w:numFmt w:val="lowerRoman"/>
      <w:lvlText w:val="%9."/>
      <w:lvlJc w:val="right"/>
      <w:pPr>
        <w:ind w:left="6120" w:hanging="180"/>
      </w:pPr>
    </w:lvl>
  </w:abstractNum>
  <w:num w:numId="1">
    <w:abstractNumId w:val="3"/>
  </w:num>
  <w:num w:numId="2">
    <w:abstractNumId w:val="2"/>
  </w:num>
  <w:num w:numId="3">
    <w:abstractNumId w:val="3"/>
  </w:num>
  <w:num w:numId="4">
    <w:abstractNumId w:val="2"/>
  </w:num>
  <w:num w:numId="5">
    <w:abstractNumId w:val="10"/>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6"/>
  </w:num>
  <w:num w:numId="23">
    <w:abstractNumId w:val="11"/>
  </w:num>
  <w:num w:numId="24">
    <w:abstractNumId w:val="1"/>
  </w:num>
  <w:num w:numId="25">
    <w:abstractNumId w:val="15"/>
  </w:num>
  <w:num w:numId="26">
    <w:abstractNumId w:val="14"/>
  </w:num>
  <w:num w:numId="27">
    <w:abstractNumId w:val="0"/>
  </w:num>
  <w:num w:numId="28">
    <w:abstractNumId w:val="8"/>
  </w:num>
  <w:num w:numId="29">
    <w:abstractNumId w:val="4"/>
  </w:num>
  <w:num w:numId="3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36"/>
    <w:rsid w:val="0000093A"/>
    <w:rsid w:val="000018C0"/>
    <w:rsid w:val="00002031"/>
    <w:rsid w:val="0000341D"/>
    <w:rsid w:val="00004734"/>
    <w:rsid w:val="00005219"/>
    <w:rsid w:val="00006B22"/>
    <w:rsid w:val="0001276A"/>
    <w:rsid w:val="00014BB3"/>
    <w:rsid w:val="000160C5"/>
    <w:rsid w:val="000246AE"/>
    <w:rsid w:val="00025C67"/>
    <w:rsid w:val="0004359B"/>
    <w:rsid w:val="00044772"/>
    <w:rsid w:val="00046700"/>
    <w:rsid w:val="0005559E"/>
    <w:rsid w:val="000604D6"/>
    <w:rsid w:val="000734D8"/>
    <w:rsid w:val="00073EE1"/>
    <w:rsid w:val="00076103"/>
    <w:rsid w:val="00077775"/>
    <w:rsid w:val="00082286"/>
    <w:rsid w:val="00090471"/>
    <w:rsid w:val="00092009"/>
    <w:rsid w:val="0009209E"/>
    <w:rsid w:val="00096AA7"/>
    <w:rsid w:val="000A3AED"/>
    <w:rsid w:val="000B3532"/>
    <w:rsid w:val="000B3A75"/>
    <w:rsid w:val="000B691E"/>
    <w:rsid w:val="000C00C2"/>
    <w:rsid w:val="000C12CE"/>
    <w:rsid w:val="000C3156"/>
    <w:rsid w:val="000C68D5"/>
    <w:rsid w:val="000C690F"/>
    <w:rsid w:val="000D1295"/>
    <w:rsid w:val="000D391B"/>
    <w:rsid w:val="000D3D6D"/>
    <w:rsid w:val="000D4FC7"/>
    <w:rsid w:val="000E1719"/>
    <w:rsid w:val="000E6196"/>
    <w:rsid w:val="000E72DC"/>
    <w:rsid w:val="000F4869"/>
    <w:rsid w:val="000F5B42"/>
    <w:rsid w:val="000F6E6F"/>
    <w:rsid w:val="0010601F"/>
    <w:rsid w:val="0010788A"/>
    <w:rsid w:val="00107A31"/>
    <w:rsid w:val="00110EA5"/>
    <w:rsid w:val="00112F56"/>
    <w:rsid w:val="00125318"/>
    <w:rsid w:val="001305A2"/>
    <w:rsid w:val="00131A55"/>
    <w:rsid w:val="00131B9B"/>
    <w:rsid w:val="00132273"/>
    <w:rsid w:val="00133238"/>
    <w:rsid w:val="00133A1B"/>
    <w:rsid w:val="0014197B"/>
    <w:rsid w:val="001447CD"/>
    <w:rsid w:val="001516B1"/>
    <w:rsid w:val="00154EBB"/>
    <w:rsid w:val="00156316"/>
    <w:rsid w:val="00161181"/>
    <w:rsid w:val="00162D14"/>
    <w:rsid w:val="00165389"/>
    <w:rsid w:val="00167A1A"/>
    <w:rsid w:val="0017693F"/>
    <w:rsid w:val="0018110E"/>
    <w:rsid w:val="00181684"/>
    <w:rsid w:val="001843C6"/>
    <w:rsid w:val="001850E0"/>
    <w:rsid w:val="00191D58"/>
    <w:rsid w:val="001A2158"/>
    <w:rsid w:val="001A525F"/>
    <w:rsid w:val="001B09F9"/>
    <w:rsid w:val="001B21A9"/>
    <w:rsid w:val="001B5C90"/>
    <w:rsid w:val="001B6448"/>
    <w:rsid w:val="001B7DBF"/>
    <w:rsid w:val="001C32CD"/>
    <w:rsid w:val="001D00FC"/>
    <w:rsid w:val="001D2984"/>
    <w:rsid w:val="001D772A"/>
    <w:rsid w:val="001E07CF"/>
    <w:rsid w:val="001E24B1"/>
    <w:rsid w:val="001E59F1"/>
    <w:rsid w:val="001F2CEE"/>
    <w:rsid w:val="001F49EB"/>
    <w:rsid w:val="001F6CBA"/>
    <w:rsid w:val="00201D4E"/>
    <w:rsid w:val="00202E0D"/>
    <w:rsid w:val="002076C9"/>
    <w:rsid w:val="0021113A"/>
    <w:rsid w:val="00215C26"/>
    <w:rsid w:val="00220B8A"/>
    <w:rsid w:val="002257F3"/>
    <w:rsid w:val="00227A80"/>
    <w:rsid w:val="00231AAC"/>
    <w:rsid w:val="00233456"/>
    <w:rsid w:val="002339A5"/>
    <w:rsid w:val="002359BE"/>
    <w:rsid w:val="00237CBE"/>
    <w:rsid w:val="002467B5"/>
    <w:rsid w:val="00253F4B"/>
    <w:rsid w:val="00257848"/>
    <w:rsid w:val="00265158"/>
    <w:rsid w:val="0027084A"/>
    <w:rsid w:val="00284B6B"/>
    <w:rsid w:val="00286051"/>
    <w:rsid w:val="00286434"/>
    <w:rsid w:val="00286C59"/>
    <w:rsid w:val="0029130E"/>
    <w:rsid w:val="00291957"/>
    <w:rsid w:val="00293C08"/>
    <w:rsid w:val="002942D1"/>
    <w:rsid w:val="00294D29"/>
    <w:rsid w:val="0029501A"/>
    <w:rsid w:val="002A1A76"/>
    <w:rsid w:val="002A3721"/>
    <w:rsid w:val="002B1638"/>
    <w:rsid w:val="002B28C8"/>
    <w:rsid w:val="002B3624"/>
    <w:rsid w:val="002B5D81"/>
    <w:rsid w:val="002B75CE"/>
    <w:rsid w:val="002C1FD8"/>
    <w:rsid w:val="002D05D0"/>
    <w:rsid w:val="002D0952"/>
    <w:rsid w:val="002D727E"/>
    <w:rsid w:val="002E40B3"/>
    <w:rsid w:val="002E4C9A"/>
    <w:rsid w:val="002E5CB5"/>
    <w:rsid w:val="002E67FD"/>
    <w:rsid w:val="002F11F8"/>
    <w:rsid w:val="002F3F56"/>
    <w:rsid w:val="002F44B5"/>
    <w:rsid w:val="002F4DAA"/>
    <w:rsid w:val="0030257D"/>
    <w:rsid w:val="00311AC0"/>
    <w:rsid w:val="0031482D"/>
    <w:rsid w:val="003165D1"/>
    <w:rsid w:val="003176FC"/>
    <w:rsid w:val="0032583B"/>
    <w:rsid w:val="00327883"/>
    <w:rsid w:val="00335504"/>
    <w:rsid w:val="00337F42"/>
    <w:rsid w:val="00340C18"/>
    <w:rsid w:val="00342051"/>
    <w:rsid w:val="003442FD"/>
    <w:rsid w:val="00344AFA"/>
    <w:rsid w:val="00347824"/>
    <w:rsid w:val="00350567"/>
    <w:rsid w:val="003521E8"/>
    <w:rsid w:val="003559F3"/>
    <w:rsid w:val="00355DDE"/>
    <w:rsid w:val="003566FC"/>
    <w:rsid w:val="00356984"/>
    <w:rsid w:val="003652C3"/>
    <w:rsid w:val="003677DD"/>
    <w:rsid w:val="00370CE3"/>
    <w:rsid w:val="003728F3"/>
    <w:rsid w:val="003732BA"/>
    <w:rsid w:val="0037496E"/>
    <w:rsid w:val="00376D29"/>
    <w:rsid w:val="00383221"/>
    <w:rsid w:val="00386150"/>
    <w:rsid w:val="003874CE"/>
    <w:rsid w:val="00387B61"/>
    <w:rsid w:val="00390900"/>
    <w:rsid w:val="0039640D"/>
    <w:rsid w:val="003A33A4"/>
    <w:rsid w:val="003A357D"/>
    <w:rsid w:val="003A7F6C"/>
    <w:rsid w:val="003B4D60"/>
    <w:rsid w:val="003B6B40"/>
    <w:rsid w:val="003B7E39"/>
    <w:rsid w:val="003C3383"/>
    <w:rsid w:val="003C58DC"/>
    <w:rsid w:val="003D1E62"/>
    <w:rsid w:val="003E036A"/>
    <w:rsid w:val="003E0B99"/>
    <w:rsid w:val="003E1474"/>
    <w:rsid w:val="003E2486"/>
    <w:rsid w:val="003E3208"/>
    <w:rsid w:val="003E6B33"/>
    <w:rsid w:val="003F0B04"/>
    <w:rsid w:val="0040134E"/>
    <w:rsid w:val="004024BC"/>
    <w:rsid w:val="00427E0D"/>
    <w:rsid w:val="004307F6"/>
    <w:rsid w:val="004334C7"/>
    <w:rsid w:val="00435644"/>
    <w:rsid w:val="00440A2D"/>
    <w:rsid w:val="00441C3F"/>
    <w:rsid w:val="00455EB0"/>
    <w:rsid w:val="004564A7"/>
    <w:rsid w:val="004617BF"/>
    <w:rsid w:val="00462A94"/>
    <w:rsid w:val="00463658"/>
    <w:rsid w:val="004637A0"/>
    <w:rsid w:val="004643DC"/>
    <w:rsid w:val="004722CC"/>
    <w:rsid w:val="00475C4E"/>
    <w:rsid w:val="00482916"/>
    <w:rsid w:val="004936E4"/>
    <w:rsid w:val="00494E60"/>
    <w:rsid w:val="00497244"/>
    <w:rsid w:val="00497487"/>
    <w:rsid w:val="004A6189"/>
    <w:rsid w:val="004A7390"/>
    <w:rsid w:val="004A74CB"/>
    <w:rsid w:val="004A74D1"/>
    <w:rsid w:val="004B7B76"/>
    <w:rsid w:val="004C239D"/>
    <w:rsid w:val="004C2DCA"/>
    <w:rsid w:val="004C61D2"/>
    <w:rsid w:val="004C621C"/>
    <w:rsid w:val="004C76A6"/>
    <w:rsid w:val="004D072F"/>
    <w:rsid w:val="004D1BF0"/>
    <w:rsid w:val="004D59A3"/>
    <w:rsid w:val="004E0C97"/>
    <w:rsid w:val="004E18EA"/>
    <w:rsid w:val="004F0C4A"/>
    <w:rsid w:val="004F0F38"/>
    <w:rsid w:val="004F2D40"/>
    <w:rsid w:val="004F47D6"/>
    <w:rsid w:val="00501921"/>
    <w:rsid w:val="00502A5C"/>
    <w:rsid w:val="005038AE"/>
    <w:rsid w:val="005056D0"/>
    <w:rsid w:val="00514939"/>
    <w:rsid w:val="00526C82"/>
    <w:rsid w:val="00530354"/>
    <w:rsid w:val="0053625B"/>
    <w:rsid w:val="00537371"/>
    <w:rsid w:val="005434C6"/>
    <w:rsid w:val="00543B39"/>
    <w:rsid w:val="0054580D"/>
    <w:rsid w:val="00546154"/>
    <w:rsid w:val="00550096"/>
    <w:rsid w:val="00555280"/>
    <w:rsid w:val="00557FF9"/>
    <w:rsid w:val="00562327"/>
    <w:rsid w:val="00564A5A"/>
    <w:rsid w:val="005711D5"/>
    <w:rsid w:val="00576378"/>
    <w:rsid w:val="00577130"/>
    <w:rsid w:val="00577945"/>
    <w:rsid w:val="00577E38"/>
    <w:rsid w:val="00585322"/>
    <w:rsid w:val="005857C6"/>
    <w:rsid w:val="005865C9"/>
    <w:rsid w:val="00590286"/>
    <w:rsid w:val="0059143C"/>
    <w:rsid w:val="00592F6E"/>
    <w:rsid w:val="00593AD1"/>
    <w:rsid w:val="00595D4B"/>
    <w:rsid w:val="005A058D"/>
    <w:rsid w:val="005A68B6"/>
    <w:rsid w:val="005B05BF"/>
    <w:rsid w:val="005B27C1"/>
    <w:rsid w:val="005B4EE7"/>
    <w:rsid w:val="005B62C5"/>
    <w:rsid w:val="005C4A8B"/>
    <w:rsid w:val="005C5570"/>
    <w:rsid w:val="005C79A4"/>
    <w:rsid w:val="005D0EDF"/>
    <w:rsid w:val="005D37D7"/>
    <w:rsid w:val="005D5442"/>
    <w:rsid w:val="005E1C1A"/>
    <w:rsid w:val="005F0A89"/>
    <w:rsid w:val="005F323A"/>
    <w:rsid w:val="005F62CF"/>
    <w:rsid w:val="005F658B"/>
    <w:rsid w:val="00603F32"/>
    <w:rsid w:val="00605AD4"/>
    <w:rsid w:val="00605D3B"/>
    <w:rsid w:val="006123CE"/>
    <w:rsid w:val="006136D7"/>
    <w:rsid w:val="00625A6E"/>
    <w:rsid w:val="00630EF4"/>
    <w:rsid w:val="00632398"/>
    <w:rsid w:val="006366CC"/>
    <w:rsid w:val="00640225"/>
    <w:rsid w:val="00640FC3"/>
    <w:rsid w:val="00641819"/>
    <w:rsid w:val="00642020"/>
    <w:rsid w:val="0065337B"/>
    <w:rsid w:val="00654113"/>
    <w:rsid w:val="0065419D"/>
    <w:rsid w:val="006604D8"/>
    <w:rsid w:val="00661B33"/>
    <w:rsid w:val="00664A5B"/>
    <w:rsid w:val="0066735C"/>
    <w:rsid w:val="006762F6"/>
    <w:rsid w:val="006763D2"/>
    <w:rsid w:val="00680C08"/>
    <w:rsid w:val="00681B9E"/>
    <w:rsid w:val="00683E27"/>
    <w:rsid w:val="006916A0"/>
    <w:rsid w:val="006931B1"/>
    <w:rsid w:val="006A15C0"/>
    <w:rsid w:val="006A2668"/>
    <w:rsid w:val="006A2841"/>
    <w:rsid w:val="006A2EA5"/>
    <w:rsid w:val="006B082B"/>
    <w:rsid w:val="006B6A1C"/>
    <w:rsid w:val="006C3E2A"/>
    <w:rsid w:val="006C42C6"/>
    <w:rsid w:val="006C642F"/>
    <w:rsid w:val="006D03E5"/>
    <w:rsid w:val="006D5D3E"/>
    <w:rsid w:val="006E08B3"/>
    <w:rsid w:val="006E76C6"/>
    <w:rsid w:val="006F17AC"/>
    <w:rsid w:val="006F25B8"/>
    <w:rsid w:val="006F5529"/>
    <w:rsid w:val="006F572E"/>
    <w:rsid w:val="007046D6"/>
    <w:rsid w:val="00705DB0"/>
    <w:rsid w:val="00717264"/>
    <w:rsid w:val="00720CFF"/>
    <w:rsid w:val="00721B2E"/>
    <w:rsid w:val="00722B57"/>
    <w:rsid w:val="00722E17"/>
    <w:rsid w:val="00730F8A"/>
    <w:rsid w:val="00735A8C"/>
    <w:rsid w:val="007369FF"/>
    <w:rsid w:val="00742237"/>
    <w:rsid w:val="0074253D"/>
    <w:rsid w:val="007438D5"/>
    <w:rsid w:val="0074429B"/>
    <w:rsid w:val="00746D48"/>
    <w:rsid w:val="007615BC"/>
    <w:rsid w:val="00762F05"/>
    <w:rsid w:val="007652FF"/>
    <w:rsid w:val="00766FAF"/>
    <w:rsid w:val="00770CAC"/>
    <w:rsid w:val="00770EF1"/>
    <w:rsid w:val="00772535"/>
    <w:rsid w:val="00773EF7"/>
    <w:rsid w:val="00774E1D"/>
    <w:rsid w:val="007765D8"/>
    <w:rsid w:val="0077675A"/>
    <w:rsid w:val="00780355"/>
    <w:rsid w:val="007819FD"/>
    <w:rsid w:val="00785717"/>
    <w:rsid w:val="00785721"/>
    <w:rsid w:val="00793A59"/>
    <w:rsid w:val="007A53A4"/>
    <w:rsid w:val="007B6132"/>
    <w:rsid w:val="007B6E9F"/>
    <w:rsid w:val="007C1216"/>
    <w:rsid w:val="007C1AF7"/>
    <w:rsid w:val="007C4EB5"/>
    <w:rsid w:val="007C562E"/>
    <w:rsid w:val="007C6B9B"/>
    <w:rsid w:val="007C7771"/>
    <w:rsid w:val="007D0808"/>
    <w:rsid w:val="007D369A"/>
    <w:rsid w:val="00801156"/>
    <w:rsid w:val="0080277C"/>
    <w:rsid w:val="00803012"/>
    <w:rsid w:val="00805D27"/>
    <w:rsid w:val="00806DCB"/>
    <w:rsid w:val="00814EA9"/>
    <w:rsid w:val="00821776"/>
    <w:rsid w:val="0083113B"/>
    <w:rsid w:val="008321F5"/>
    <w:rsid w:val="00832369"/>
    <w:rsid w:val="00834660"/>
    <w:rsid w:val="008363B5"/>
    <w:rsid w:val="00836BC2"/>
    <w:rsid w:val="00846F25"/>
    <w:rsid w:val="0085156D"/>
    <w:rsid w:val="0085641B"/>
    <w:rsid w:val="00857136"/>
    <w:rsid w:val="00874D36"/>
    <w:rsid w:val="00875A6B"/>
    <w:rsid w:val="008847BA"/>
    <w:rsid w:val="00885B11"/>
    <w:rsid w:val="00886D15"/>
    <w:rsid w:val="00887DD8"/>
    <w:rsid w:val="008912E8"/>
    <w:rsid w:val="00891BA9"/>
    <w:rsid w:val="00895638"/>
    <w:rsid w:val="00896018"/>
    <w:rsid w:val="008960DD"/>
    <w:rsid w:val="0089635C"/>
    <w:rsid w:val="008A10AC"/>
    <w:rsid w:val="008A2B9D"/>
    <w:rsid w:val="008A3D9F"/>
    <w:rsid w:val="008A405A"/>
    <w:rsid w:val="008A5E0B"/>
    <w:rsid w:val="008A6D59"/>
    <w:rsid w:val="008B4B03"/>
    <w:rsid w:val="008B596F"/>
    <w:rsid w:val="008B6F3C"/>
    <w:rsid w:val="008C159F"/>
    <w:rsid w:val="008C1623"/>
    <w:rsid w:val="008C1850"/>
    <w:rsid w:val="008C51A9"/>
    <w:rsid w:val="008C7CF5"/>
    <w:rsid w:val="008D14BE"/>
    <w:rsid w:val="008D1B95"/>
    <w:rsid w:val="008E7846"/>
    <w:rsid w:val="008F02E5"/>
    <w:rsid w:val="008F1CCC"/>
    <w:rsid w:val="008F2967"/>
    <w:rsid w:val="008F6943"/>
    <w:rsid w:val="00902A21"/>
    <w:rsid w:val="0090503E"/>
    <w:rsid w:val="0090512A"/>
    <w:rsid w:val="0091305B"/>
    <w:rsid w:val="00913482"/>
    <w:rsid w:val="00920330"/>
    <w:rsid w:val="009208F2"/>
    <w:rsid w:val="009219D7"/>
    <w:rsid w:val="00922D53"/>
    <w:rsid w:val="00923B70"/>
    <w:rsid w:val="00924482"/>
    <w:rsid w:val="00926A16"/>
    <w:rsid w:val="00930237"/>
    <w:rsid w:val="00937C17"/>
    <w:rsid w:val="00940A89"/>
    <w:rsid w:val="00946EA5"/>
    <w:rsid w:val="0095088D"/>
    <w:rsid w:val="00953E37"/>
    <w:rsid w:val="00957B05"/>
    <w:rsid w:val="00963C08"/>
    <w:rsid w:val="00970EA1"/>
    <w:rsid w:val="00973BDE"/>
    <w:rsid w:val="009745AC"/>
    <w:rsid w:val="009752A5"/>
    <w:rsid w:val="0098169C"/>
    <w:rsid w:val="00985396"/>
    <w:rsid w:val="0098585A"/>
    <w:rsid w:val="00991882"/>
    <w:rsid w:val="009A3C3D"/>
    <w:rsid w:val="009A4CED"/>
    <w:rsid w:val="009A690D"/>
    <w:rsid w:val="009B1D12"/>
    <w:rsid w:val="009B416B"/>
    <w:rsid w:val="009B6DD2"/>
    <w:rsid w:val="009C3D3A"/>
    <w:rsid w:val="009C3E30"/>
    <w:rsid w:val="009C4BD5"/>
    <w:rsid w:val="009D4820"/>
    <w:rsid w:val="009D7B77"/>
    <w:rsid w:val="009E0BB0"/>
    <w:rsid w:val="009E2121"/>
    <w:rsid w:val="009E34AE"/>
    <w:rsid w:val="009E3FBB"/>
    <w:rsid w:val="009F6B54"/>
    <w:rsid w:val="009F6EED"/>
    <w:rsid w:val="009F7353"/>
    <w:rsid w:val="009F7EDA"/>
    <w:rsid w:val="00A03AC1"/>
    <w:rsid w:val="00A04F85"/>
    <w:rsid w:val="00A05FA4"/>
    <w:rsid w:val="00A07EA4"/>
    <w:rsid w:val="00A102E4"/>
    <w:rsid w:val="00A12C42"/>
    <w:rsid w:val="00A14DF7"/>
    <w:rsid w:val="00A25CDB"/>
    <w:rsid w:val="00A26E99"/>
    <w:rsid w:val="00A3246D"/>
    <w:rsid w:val="00A3290A"/>
    <w:rsid w:val="00A35F17"/>
    <w:rsid w:val="00A36FA7"/>
    <w:rsid w:val="00A37690"/>
    <w:rsid w:val="00A44DDB"/>
    <w:rsid w:val="00A456BC"/>
    <w:rsid w:val="00A475B7"/>
    <w:rsid w:val="00A47AF7"/>
    <w:rsid w:val="00A47C3E"/>
    <w:rsid w:val="00A50226"/>
    <w:rsid w:val="00A57F36"/>
    <w:rsid w:val="00A60BAD"/>
    <w:rsid w:val="00A621A8"/>
    <w:rsid w:val="00A71C23"/>
    <w:rsid w:val="00A80B5B"/>
    <w:rsid w:val="00A84E36"/>
    <w:rsid w:val="00A85FC4"/>
    <w:rsid w:val="00A86219"/>
    <w:rsid w:val="00A92B77"/>
    <w:rsid w:val="00A964D1"/>
    <w:rsid w:val="00AA0ED0"/>
    <w:rsid w:val="00AA5E3B"/>
    <w:rsid w:val="00AA6FDA"/>
    <w:rsid w:val="00AA71C5"/>
    <w:rsid w:val="00AB00D9"/>
    <w:rsid w:val="00AB74DD"/>
    <w:rsid w:val="00AC2B40"/>
    <w:rsid w:val="00AC2BB2"/>
    <w:rsid w:val="00AC2C3C"/>
    <w:rsid w:val="00AC512D"/>
    <w:rsid w:val="00AC6003"/>
    <w:rsid w:val="00AC6F72"/>
    <w:rsid w:val="00AD0083"/>
    <w:rsid w:val="00AD3935"/>
    <w:rsid w:val="00AD64E5"/>
    <w:rsid w:val="00AE2351"/>
    <w:rsid w:val="00AE29C4"/>
    <w:rsid w:val="00AE5119"/>
    <w:rsid w:val="00AE65EB"/>
    <w:rsid w:val="00AE6786"/>
    <w:rsid w:val="00AE67A7"/>
    <w:rsid w:val="00AF1D94"/>
    <w:rsid w:val="00AF60C5"/>
    <w:rsid w:val="00B009C6"/>
    <w:rsid w:val="00B01548"/>
    <w:rsid w:val="00B03483"/>
    <w:rsid w:val="00B13EBD"/>
    <w:rsid w:val="00B144F3"/>
    <w:rsid w:val="00B21CE5"/>
    <w:rsid w:val="00B21D29"/>
    <w:rsid w:val="00B25034"/>
    <w:rsid w:val="00B31CDB"/>
    <w:rsid w:val="00B33588"/>
    <w:rsid w:val="00B33863"/>
    <w:rsid w:val="00B37D17"/>
    <w:rsid w:val="00B4175E"/>
    <w:rsid w:val="00B452CE"/>
    <w:rsid w:val="00B54C25"/>
    <w:rsid w:val="00B57980"/>
    <w:rsid w:val="00B727C1"/>
    <w:rsid w:val="00B76905"/>
    <w:rsid w:val="00B76B91"/>
    <w:rsid w:val="00B77EB1"/>
    <w:rsid w:val="00B811C6"/>
    <w:rsid w:val="00B82810"/>
    <w:rsid w:val="00B83EAD"/>
    <w:rsid w:val="00B855B0"/>
    <w:rsid w:val="00B92E08"/>
    <w:rsid w:val="00BC0FF6"/>
    <w:rsid w:val="00BC2F28"/>
    <w:rsid w:val="00BC622A"/>
    <w:rsid w:val="00BD522A"/>
    <w:rsid w:val="00BE0A78"/>
    <w:rsid w:val="00BE79F0"/>
    <w:rsid w:val="00BF046D"/>
    <w:rsid w:val="00BF1190"/>
    <w:rsid w:val="00BF1FC5"/>
    <w:rsid w:val="00BF5D04"/>
    <w:rsid w:val="00C009AA"/>
    <w:rsid w:val="00C1164D"/>
    <w:rsid w:val="00C145FC"/>
    <w:rsid w:val="00C16861"/>
    <w:rsid w:val="00C23074"/>
    <w:rsid w:val="00C2470C"/>
    <w:rsid w:val="00C2673D"/>
    <w:rsid w:val="00C346AB"/>
    <w:rsid w:val="00C36BE1"/>
    <w:rsid w:val="00C404A6"/>
    <w:rsid w:val="00C40A36"/>
    <w:rsid w:val="00C44419"/>
    <w:rsid w:val="00C45E7B"/>
    <w:rsid w:val="00C471B1"/>
    <w:rsid w:val="00C50A94"/>
    <w:rsid w:val="00C50E2D"/>
    <w:rsid w:val="00C6316B"/>
    <w:rsid w:val="00C634A9"/>
    <w:rsid w:val="00C64586"/>
    <w:rsid w:val="00C70D53"/>
    <w:rsid w:val="00C71265"/>
    <w:rsid w:val="00C73D0B"/>
    <w:rsid w:val="00C75F81"/>
    <w:rsid w:val="00C772FF"/>
    <w:rsid w:val="00C80137"/>
    <w:rsid w:val="00C801AF"/>
    <w:rsid w:val="00C80256"/>
    <w:rsid w:val="00C945AE"/>
    <w:rsid w:val="00C94CD4"/>
    <w:rsid w:val="00C96E40"/>
    <w:rsid w:val="00C9747E"/>
    <w:rsid w:val="00CA123F"/>
    <w:rsid w:val="00CB52CC"/>
    <w:rsid w:val="00CB6BC0"/>
    <w:rsid w:val="00CC023F"/>
    <w:rsid w:val="00CC0301"/>
    <w:rsid w:val="00CC1A0C"/>
    <w:rsid w:val="00CC1B7C"/>
    <w:rsid w:val="00CC38A0"/>
    <w:rsid w:val="00CC727F"/>
    <w:rsid w:val="00CD3229"/>
    <w:rsid w:val="00CD7849"/>
    <w:rsid w:val="00CE16B7"/>
    <w:rsid w:val="00CE21BD"/>
    <w:rsid w:val="00CF15C3"/>
    <w:rsid w:val="00CF2B6F"/>
    <w:rsid w:val="00CF2F3E"/>
    <w:rsid w:val="00CF58B6"/>
    <w:rsid w:val="00D0062D"/>
    <w:rsid w:val="00D017ED"/>
    <w:rsid w:val="00D040D3"/>
    <w:rsid w:val="00D049CD"/>
    <w:rsid w:val="00D04C65"/>
    <w:rsid w:val="00D1356E"/>
    <w:rsid w:val="00D156CC"/>
    <w:rsid w:val="00D201D2"/>
    <w:rsid w:val="00D224FE"/>
    <w:rsid w:val="00D23139"/>
    <w:rsid w:val="00D234E4"/>
    <w:rsid w:val="00D3251D"/>
    <w:rsid w:val="00D349F6"/>
    <w:rsid w:val="00D36561"/>
    <w:rsid w:val="00D425BB"/>
    <w:rsid w:val="00D4378C"/>
    <w:rsid w:val="00D5410E"/>
    <w:rsid w:val="00D6493E"/>
    <w:rsid w:val="00D67B18"/>
    <w:rsid w:val="00D7195D"/>
    <w:rsid w:val="00D7301E"/>
    <w:rsid w:val="00D76AE5"/>
    <w:rsid w:val="00D83AE1"/>
    <w:rsid w:val="00D855D4"/>
    <w:rsid w:val="00D902C9"/>
    <w:rsid w:val="00D93466"/>
    <w:rsid w:val="00DA1124"/>
    <w:rsid w:val="00DA39BE"/>
    <w:rsid w:val="00DB3476"/>
    <w:rsid w:val="00DB6124"/>
    <w:rsid w:val="00DB750B"/>
    <w:rsid w:val="00DB75B7"/>
    <w:rsid w:val="00DC6E02"/>
    <w:rsid w:val="00DD28CD"/>
    <w:rsid w:val="00DE02AE"/>
    <w:rsid w:val="00DF1D7F"/>
    <w:rsid w:val="00DF2650"/>
    <w:rsid w:val="00DF4BE4"/>
    <w:rsid w:val="00E02FB4"/>
    <w:rsid w:val="00E03178"/>
    <w:rsid w:val="00E13FC7"/>
    <w:rsid w:val="00E20571"/>
    <w:rsid w:val="00E235F7"/>
    <w:rsid w:val="00E23659"/>
    <w:rsid w:val="00E239D4"/>
    <w:rsid w:val="00E250BF"/>
    <w:rsid w:val="00E250EA"/>
    <w:rsid w:val="00E26130"/>
    <w:rsid w:val="00E40B22"/>
    <w:rsid w:val="00E44ED1"/>
    <w:rsid w:val="00E45619"/>
    <w:rsid w:val="00E4588F"/>
    <w:rsid w:val="00E458BE"/>
    <w:rsid w:val="00E46DA3"/>
    <w:rsid w:val="00E51BB1"/>
    <w:rsid w:val="00E5395F"/>
    <w:rsid w:val="00E56F3B"/>
    <w:rsid w:val="00E61944"/>
    <w:rsid w:val="00E624A5"/>
    <w:rsid w:val="00E62596"/>
    <w:rsid w:val="00E62BA7"/>
    <w:rsid w:val="00E62E73"/>
    <w:rsid w:val="00E64BA4"/>
    <w:rsid w:val="00E66096"/>
    <w:rsid w:val="00E703D4"/>
    <w:rsid w:val="00E7344E"/>
    <w:rsid w:val="00E82665"/>
    <w:rsid w:val="00E92DDB"/>
    <w:rsid w:val="00EA157E"/>
    <w:rsid w:val="00EA75EF"/>
    <w:rsid w:val="00EB0798"/>
    <w:rsid w:val="00EB40AD"/>
    <w:rsid w:val="00EB586E"/>
    <w:rsid w:val="00EB5FC8"/>
    <w:rsid w:val="00EC463D"/>
    <w:rsid w:val="00EC7A85"/>
    <w:rsid w:val="00ED2922"/>
    <w:rsid w:val="00ED3CAD"/>
    <w:rsid w:val="00ED5A41"/>
    <w:rsid w:val="00EE1DE8"/>
    <w:rsid w:val="00EE27C2"/>
    <w:rsid w:val="00EF4BAD"/>
    <w:rsid w:val="00EF59DC"/>
    <w:rsid w:val="00F00ADB"/>
    <w:rsid w:val="00F00F8B"/>
    <w:rsid w:val="00F033EC"/>
    <w:rsid w:val="00F04F68"/>
    <w:rsid w:val="00F0556C"/>
    <w:rsid w:val="00F12670"/>
    <w:rsid w:val="00F14B27"/>
    <w:rsid w:val="00F15515"/>
    <w:rsid w:val="00F175BE"/>
    <w:rsid w:val="00F201F8"/>
    <w:rsid w:val="00F30389"/>
    <w:rsid w:val="00F306A9"/>
    <w:rsid w:val="00F3148D"/>
    <w:rsid w:val="00F325C5"/>
    <w:rsid w:val="00F32FE0"/>
    <w:rsid w:val="00F344F8"/>
    <w:rsid w:val="00F35298"/>
    <w:rsid w:val="00F47333"/>
    <w:rsid w:val="00F47ACD"/>
    <w:rsid w:val="00F47E37"/>
    <w:rsid w:val="00F51C39"/>
    <w:rsid w:val="00F53C07"/>
    <w:rsid w:val="00F54B65"/>
    <w:rsid w:val="00F573D0"/>
    <w:rsid w:val="00F640B6"/>
    <w:rsid w:val="00F66DF2"/>
    <w:rsid w:val="00F73705"/>
    <w:rsid w:val="00F80E40"/>
    <w:rsid w:val="00F848D9"/>
    <w:rsid w:val="00F85352"/>
    <w:rsid w:val="00FA2B41"/>
    <w:rsid w:val="00FA5017"/>
    <w:rsid w:val="00FA5B82"/>
    <w:rsid w:val="00FA639E"/>
    <w:rsid w:val="00FA7F18"/>
    <w:rsid w:val="00FC153C"/>
    <w:rsid w:val="00FC1FCA"/>
    <w:rsid w:val="00FC25E4"/>
    <w:rsid w:val="00FC34D9"/>
    <w:rsid w:val="00FC4EF7"/>
    <w:rsid w:val="00FD001F"/>
    <w:rsid w:val="00FD0824"/>
    <w:rsid w:val="00FD119B"/>
    <w:rsid w:val="00FD1C5A"/>
    <w:rsid w:val="00FD1EDC"/>
    <w:rsid w:val="00FD53F1"/>
    <w:rsid w:val="00FE1DEE"/>
    <w:rsid w:val="00FE3349"/>
    <w:rsid w:val="00FE5487"/>
    <w:rsid w:val="00FF2126"/>
    <w:rsid w:val="00FF289D"/>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228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26E99"/>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56F3B"/>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29130E"/>
    <w:pPr>
      <w:spacing w:before="60" w:after="0" w:line="240" w:lineRule="auto"/>
    </w:pPr>
    <w:rPr>
      <w:rFonts w:ascii="Arial" w:eastAsia="Times New Roman" w:hAnsi="Arial"/>
      <w:b/>
      <w:szCs w:val="20"/>
      <w:lang w:eastAsia="en-AU"/>
    </w:rPr>
  </w:style>
  <w:style w:type="character" w:customStyle="1" w:styleId="A-Head6Char">
    <w:name w:val="A-Head 6 Char"/>
    <w:link w:val="A-Head6"/>
    <w:rsid w:val="0029130E"/>
    <w:rPr>
      <w:rFonts w:ascii="Arial" w:eastAsia="Times New Roman" w:hAnsi="Arial" w:cs="Times New Roman"/>
      <w:b/>
      <w:szCs w:val="20"/>
      <w:lang w:eastAsia="en-AU"/>
    </w:rPr>
  </w:style>
  <w:style w:type="paragraph" w:customStyle="1" w:styleId="Bulletpoint">
    <w:name w:val="Bullet point"/>
    <w:basedOn w:val="Normal"/>
    <w:rsid w:val="00CE21B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E21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E21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CE21BD"/>
    <w:pPr>
      <w:keepNext/>
      <w:spacing w:after="110"/>
      <w:outlineLvl w:val="2"/>
    </w:pPr>
    <w:rPr>
      <w:b/>
      <w:i/>
    </w:rPr>
  </w:style>
  <w:style w:type="paragraph" w:customStyle="1" w:styleId="AssessmentSubsection2">
    <w:name w:val="Assessment Subsection 2"/>
    <w:basedOn w:val="AssessmentSubsection"/>
    <w:next w:val="Standard"/>
    <w:rsid w:val="00CE21BD"/>
    <w:pPr>
      <w:outlineLvl w:val="3"/>
    </w:pPr>
    <w:rPr>
      <w:b w:val="0"/>
    </w:rPr>
  </w:style>
  <w:style w:type="character" w:customStyle="1" w:styleId="TableTitleChar">
    <w:name w:val="Table Title Char"/>
    <w:basedOn w:val="DefaultParagraphFont"/>
    <w:link w:val="TableTitle"/>
    <w:rsid w:val="00CE21BD"/>
    <w:rPr>
      <w:rFonts w:ascii="Cambria" w:eastAsia="Cambria" w:hAnsi="Cambria" w:cs="Times New Roman"/>
      <w:b/>
    </w:rPr>
  </w:style>
  <w:style w:type="character" w:customStyle="1" w:styleId="TabletextChar">
    <w:name w:val="Table text Char"/>
    <w:basedOn w:val="DefaultParagraphFont"/>
    <w:link w:val="Tabletext"/>
    <w:rsid w:val="00CE21BD"/>
    <w:rPr>
      <w:rFonts w:ascii="Cambria" w:eastAsia="Cambria" w:hAnsi="Cambria" w:cs="Times New Roman"/>
      <w:sz w:val="19"/>
    </w:rPr>
  </w:style>
  <w:style w:type="paragraph" w:customStyle="1" w:styleId="WhiteSpace">
    <w:name w:val="White Space"/>
    <w:basedOn w:val="Standard"/>
    <w:next w:val="Standard"/>
    <w:link w:val="WhiteSpaceChar"/>
    <w:rsid w:val="00CE21BD"/>
    <w:pPr>
      <w:spacing w:after="0"/>
    </w:pPr>
    <w:rPr>
      <w:sz w:val="16"/>
      <w:szCs w:val="16"/>
    </w:rPr>
  </w:style>
  <w:style w:type="character" w:customStyle="1" w:styleId="WhiteSpaceChar">
    <w:name w:val="White Space Char"/>
    <w:basedOn w:val="DefaultParagraphFont"/>
    <w:link w:val="WhiteSpace"/>
    <w:rsid w:val="00CE21BD"/>
    <w:rPr>
      <w:rFonts w:ascii="Cambria" w:eastAsia="Times New Roman" w:hAnsi="Cambria" w:cs="Times New Roman"/>
      <w:snapToGrid w:val="0"/>
      <w:kern w:val="16"/>
      <w:sz w:val="16"/>
      <w:szCs w:val="16"/>
    </w:rPr>
  </w:style>
  <w:style w:type="paragraph" w:customStyle="1" w:styleId="TableHeader">
    <w:name w:val="Table Header"/>
    <w:basedOn w:val="Normal"/>
    <w:rsid w:val="001B7DBF"/>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59143C"/>
    <w:pPr>
      <w:outlineLvl w:val="1"/>
    </w:pPr>
    <w:rPr>
      <w:i w:val="0"/>
    </w:rPr>
  </w:style>
  <w:style w:type="character" w:customStyle="1" w:styleId="st">
    <w:name w:val="st"/>
    <w:basedOn w:val="DefaultParagraphFont"/>
    <w:rsid w:val="00C945AE"/>
  </w:style>
  <w:style w:type="character" w:customStyle="1" w:styleId="sdpair">
    <w:name w:val="sdpair"/>
    <w:basedOn w:val="DefaultParagraphFont"/>
    <w:rsid w:val="00C945AE"/>
  </w:style>
  <w:style w:type="paragraph" w:customStyle="1" w:styleId="TableCaption">
    <w:name w:val="Table Caption"/>
    <w:basedOn w:val="Normal"/>
    <w:next w:val="Normal"/>
    <w:link w:val="TableCaptionChar"/>
    <w:rsid w:val="00D349F6"/>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349F6"/>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CC0301"/>
    <w:pPr>
      <w:spacing w:before="0" w:after="0" w:line="200" w:lineRule="exact"/>
      <w:jc w:val="center"/>
    </w:pPr>
    <w:rPr>
      <w:rFonts w:eastAsia="Times New Roman"/>
      <w:snapToGrid w:val="0"/>
      <w:kern w:val="16"/>
      <w:sz w:val="18"/>
      <w:szCs w:val="19"/>
    </w:rPr>
  </w:style>
  <w:style w:type="paragraph" w:customStyle="1" w:styleId="SectionHeading">
    <w:name w:val="Section Heading"/>
    <w:basedOn w:val="Normal"/>
    <w:next w:val="Normal"/>
    <w:link w:val="SectionHeadingCharChar"/>
    <w:rsid w:val="00A92B77"/>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A92B77"/>
    <w:rPr>
      <w:rFonts w:ascii="Cambria" w:eastAsia="Times New Roman" w:hAnsi="Cambria" w:cs="Times New Roman"/>
      <w:b/>
      <w:caps/>
      <w:snapToGrid w:val="0"/>
      <w:kern w:val="16"/>
      <w:sz w:val="24"/>
      <w:szCs w:val="24"/>
    </w:rPr>
  </w:style>
  <w:style w:type="table" w:customStyle="1" w:styleId="TableGrid1">
    <w:name w:val="Table Grid1"/>
    <w:basedOn w:val="TableNormal"/>
    <w:next w:val="TableGrid"/>
    <w:rsid w:val="00C145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itle0">
    <w:name w:val="Table title"/>
    <w:basedOn w:val="Normal"/>
    <w:next w:val="Normal"/>
    <w:rsid w:val="00482916"/>
    <w:pPr>
      <w:keepNext/>
      <w:spacing w:after="180"/>
      <w:outlineLvl w:val="4"/>
    </w:pPr>
    <w:rPr>
      <w:rFonts w:cstheme="minorBidi"/>
      <w:b/>
    </w:rPr>
  </w:style>
  <w:style w:type="character" w:customStyle="1" w:styleId="ParagraphChar">
    <w:name w:val="Paragraph Char"/>
    <w:link w:val="Paragraph"/>
    <w:rsid w:val="000018C0"/>
    <w:rPr>
      <w:rFonts w:eastAsia="MS Mincho"/>
      <w:sz w:val="24"/>
      <w:szCs w:val="24"/>
      <w:lang w:eastAsia="ja-JP"/>
    </w:rPr>
  </w:style>
  <w:style w:type="paragraph" w:customStyle="1" w:styleId="Paragraph">
    <w:name w:val="Paragraph"/>
    <w:link w:val="ParagraphChar"/>
    <w:rsid w:val="000018C0"/>
    <w:pPr>
      <w:spacing w:after="240" w:line="360" w:lineRule="exact"/>
    </w:pPr>
    <w:rPr>
      <w:rFonts w:eastAsia="MS Mincho"/>
      <w:sz w:val="24"/>
      <w:szCs w:val="24"/>
      <w:lang w:eastAsia="ja-JP"/>
    </w:rPr>
  </w:style>
  <w:style w:type="paragraph" w:customStyle="1" w:styleId="References">
    <w:name w:val="References"/>
    <w:rsid w:val="000018C0"/>
    <w:pPr>
      <w:numPr>
        <w:numId w:val="12"/>
      </w:numPr>
      <w:spacing w:before="60" w:after="60" w:line="360" w:lineRule="exact"/>
    </w:pPr>
    <w:rPr>
      <w:rFonts w:ascii="Times New Roman" w:eastAsia="MS Mincho" w:hAnsi="Times New Roman" w:cs="Times New Roman"/>
      <w:sz w:val="24"/>
      <w:szCs w:val="24"/>
      <w:lang w:val="en-US" w:eastAsia="ja-JP"/>
    </w:rPr>
  </w:style>
  <w:style w:type="character" w:customStyle="1" w:styleId="st1">
    <w:name w:val="st1"/>
    <w:basedOn w:val="DefaultParagraphFont"/>
    <w:rsid w:val="00D67B18"/>
  </w:style>
  <w:style w:type="character" w:styleId="Emphasis">
    <w:name w:val="Emphasis"/>
    <w:basedOn w:val="DefaultParagraphFont"/>
    <w:uiPriority w:val="20"/>
    <w:qFormat/>
    <w:rsid w:val="00337F42"/>
    <w:rPr>
      <w:b/>
      <w:bCs/>
      <w:i w:val="0"/>
      <w:iCs w:val="0"/>
    </w:rPr>
  </w:style>
  <w:style w:type="table" w:customStyle="1" w:styleId="TableTGAblue1">
    <w:name w:val="Table TGA blue1"/>
    <w:basedOn w:val="TableNormal"/>
    <w:uiPriority w:val="99"/>
    <w:qFormat/>
    <w:rsid w:val="00A25CD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228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26E99"/>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E56F3B"/>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29130E"/>
    <w:pPr>
      <w:spacing w:before="60" w:after="0" w:line="240" w:lineRule="auto"/>
    </w:pPr>
    <w:rPr>
      <w:rFonts w:ascii="Arial" w:eastAsia="Times New Roman" w:hAnsi="Arial"/>
      <w:b/>
      <w:szCs w:val="20"/>
      <w:lang w:eastAsia="en-AU"/>
    </w:rPr>
  </w:style>
  <w:style w:type="character" w:customStyle="1" w:styleId="A-Head6Char">
    <w:name w:val="A-Head 6 Char"/>
    <w:link w:val="A-Head6"/>
    <w:rsid w:val="0029130E"/>
    <w:rPr>
      <w:rFonts w:ascii="Arial" w:eastAsia="Times New Roman" w:hAnsi="Arial" w:cs="Times New Roman"/>
      <w:b/>
      <w:szCs w:val="20"/>
      <w:lang w:eastAsia="en-AU"/>
    </w:rPr>
  </w:style>
  <w:style w:type="paragraph" w:customStyle="1" w:styleId="Bulletpoint">
    <w:name w:val="Bullet point"/>
    <w:basedOn w:val="Normal"/>
    <w:rsid w:val="00CE21BD"/>
    <w:pPr>
      <w:numPr>
        <w:numId w:val="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CE21BD"/>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CE21BD"/>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CE21BD"/>
    <w:pPr>
      <w:keepNext/>
      <w:spacing w:after="110"/>
      <w:outlineLvl w:val="2"/>
    </w:pPr>
    <w:rPr>
      <w:b/>
      <w:i/>
    </w:rPr>
  </w:style>
  <w:style w:type="paragraph" w:customStyle="1" w:styleId="AssessmentSubsection2">
    <w:name w:val="Assessment Subsection 2"/>
    <w:basedOn w:val="AssessmentSubsection"/>
    <w:next w:val="Standard"/>
    <w:rsid w:val="00CE21BD"/>
    <w:pPr>
      <w:outlineLvl w:val="3"/>
    </w:pPr>
    <w:rPr>
      <w:b w:val="0"/>
    </w:rPr>
  </w:style>
  <w:style w:type="character" w:customStyle="1" w:styleId="TableTitleChar">
    <w:name w:val="Table Title Char"/>
    <w:basedOn w:val="DefaultParagraphFont"/>
    <w:link w:val="TableTitle"/>
    <w:rsid w:val="00CE21BD"/>
    <w:rPr>
      <w:rFonts w:ascii="Cambria" w:eastAsia="Cambria" w:hAnsi="Cambria" w:cs="Times New Roman"/>
      <w:b/>
    </w:rPr>
  </w:style>
  <w:style w:type="character" w:customStyle="1" w:styleId="TabletextChar">
    <w:name w:val="Table text Char"/>
    <w:basedOn w:val="DefaultParagraphFont"/>
    <w:link w:val="Tabletext"/>
    <w:rsid w:val="00CE21BD"/>
    <w:rPr>
      <w:rFonts w:ascii="Cambria" w:eastAsia="Cambria" w:hAnsi="Cambria" w:cs="Times New Roman"/>
      <w:sz w:val="19"/>
    </w:rPr>
  </w:style>
  <w:style w:type="paragraph" w:customStyle="1" w:styleId="WhiteSpace">
    <w:name w:val="White Space"/>
    <w:basedOn w:val="Standard"/>
    <w:next w:val="Standard"/>
    <w:link w:val="WhiteSpaceChar"/>
    <w:rsid w:val="00CE21BD"/>
    <w:pPr>
      <w:spacing w:after="0"/>
    </w:pPr>
    <w:rPr>
      <w:sz w:val="16"/>
      <w:szCs w:val="16"/>
    </w:rPr>
  </w:style>
  <w:style w:type="character" w:customStyle="1" w:styleId="WhiteSpaceChar">
    <w:name w:val="White Space Char"/>
    <w:basedOn w:val="DefaultParagraphFont"/>
    <w:link w:val="WhiteSpace"/>
    <w:rsid w:val="00CE21BD"/>
    <w:rPr>
      <w:rFonts w:ascii="Cambria" w:eastAsia="Times New Roman" w:hAnsi="Cambria" w:cs="Times New Roman"/>
      <w:snapToGrid w:val="0"/>
      <w:kern w:val="16"/>
      <w:sz w:val="16"/>
      <w:szCs w:val="16"/>
    </w:rPr>
  </w:style>
  <w:style w:type="paragraph" w:customStyle="1" w:styleId="TableHeader">
    <w:name w:val="Table Header"/>
    <w:basedOn w:val="Normal"/>
    <w:rsid w:val="001B7DBF"/>
    <w:pPr>
      <w:keepNext/>
      <w:keepLines/>
      <w:widowControl w:val="0"/>
      <w:spacing w:before="60" w:after="60" w:line="200" w:lineRule="exact"/>
      <w:jc w:val="center"/>
    </w:pPr>
    <w:rPr>
      <w:rFonts w:eastAsia="MS Mincho" w:cstheme="minorBidi"/>
      <w:b/>
      <w:kern w:val="2"/>
      <w:sz w:val="19"/>
      <w:szCs w:val="19"/>
    </w:rPr>
  </w:style>
  <w:style w:type="paragraph" w:customStyle="1" w:styleId="AssessmentSection">
    <w:name w:val="Assessment Section"/>
    <w:basedOn w:val="AssessmentSubsection"/>
    <w:next w:val="Standard"/>
    <w:rsid w:val="0059143C"/>
    <w:pPr>
      <w:outlineLvl w:val="1"/>
    </w:pPr>
    <w:rPr>
      <w:i w:val="0"/>
    </w:rPr>
  </w:style>
  <w:style w:type="character" w:customStyle="1" w:styleId="st">
    <w:name w:val="st"/>
    <w:basedOn w:val="DefaultParagraphFont"/>
    <w:rsid w:val="00C945AE"/>
  </w:style>
  <w:style w:type="character" w:customStyle="1" w:styleId="sdpair">
    <w:name w:val="sdpair"/>
    <w:basedOn w:val="DefaultParagraphFont"/>
    <w:rsid w:val="00C945AE"/>
  </w:style>
  <w:style w:type="paragraph" w:customStyle="1" w:styleId="TableCaption">
    <w:name w:val="Table Caption"/>
    <w:basedOn w:val="Normal"/>
    <w:next w:val="Normal"/>
    <w:link w:val="TableCaptionChar"/>
    <w:rsid w:val="00D349F6"/>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D349F6"/>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CC0301"/>
    <w:pPr>
      <w:spacing w:before="0" w:after="0" w:line="200" w:lineRule="exact"/>
      <w:jc w:val="center"/>
    </w:pPr>
    <w:rPr>
      <w:rFonts w:eastAsia="Times New Roman"/>
      <w:snapToGrid w:val="0"/>
      <w:kern w:val="16"/>
      <w:sz w:val="18"/>
      <w:szCs w:val="19"/>
    </w:rPr>
  </w:style>
  <w:style w:type="paragraph" w:customStyle="1" w:styleId="SectionHeading">
    <w:name w:val="Section Heading"/>
    <w:basedOn w:val="Normal"/>
    <w:next w:val="Normal"/>
    <w:link w:val="SectionHeadingCharChar"/>
    <w:rsid w:val="00A92B77"/>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A92B77"/>
    <w:rPr>
      <w:rFonts w:ascii="Cambria" w:eastAsia="Times New Roman" w:hAnsi="Cambria" w:cs="Times New Roman"/>
      <w:b/>
      <w:caps/>
      <w:snapToGrid w:val="0"/>
      <w:kern w:val="16"/>
      <w:sz w:val="24"/>
      <w:szCs w:val="24"/>
    </w:rPr>
  </w:style>
  <w:style w:type="table" w:customStyle="1" w:styleId="TableGrid1">
    <w:name w:val="Table Grid1"/>
    <w:basedOn w:val="TableNormal"/>
    <w:next w:val="TableGrid"/>
    <w:rsid w:val="00C145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itle0">
    <w:name w:val="Table title"/>
    <w:basedOn w:val="Normal"/>
    <w:next w:val="Normal"/>
    <w:rsid w:val="00482916"/>
    <w:pPr>
      <w:keepNext/>
      <w:spacing w:after="180"/>
      <w:outlineLvl w:val="4"/>
    </w:pPr>
    <w:rPr>
      <w:rFonts w:cstheme="minorBidi"/>
      <w:b/>
    </w:rPr>
  </w:style>
  <w:style w:type="character" w:customStyle="1" w:styleId="ParagraphChar">
    <w:name w:val="Paragraph Char"/>
    <w:link w:val="Paragraph"/>
    <w:rsid w:val="000018C0"/>
    <w:rPr>
      <w:rFonts w:eastAsia="MS Mincho"/>
      <w:sz w:val="24"/>
      <w:szCs w:val="24"/>
      <w:lang w:eastAsia="ja-JP"/>
    </w:rPr>
  </w:style>
  <w:style w:type="paragraph" w:customStyle="1" w:styleId="Paragraph">
    <w:name w:val="Paragraph"/>
    <w:link w:val="ParagraphChar"/>
    <w:rsid w:val="000018C0"/>
    <w:pPr>
      <w:spacing w:after="240" w:line="360" w:lineRule="exact"/>
    </w:pPr>
    <w:rPr>
      <w:rFonts w:eastAsia="MS Mincho"/>
      <w:sz w:val="24"/>
      <w:szCs w:val="24"/>
      <w:lang w:eastAsia="ja-JP"/>
    </w:rPr>
  </w:style>
  <w:style w:type="paragraph" w:customStyle="1" w:styleId="References">
    <w:name w:val="References"/>
    <w:rsid w:val="000018C0"/>
    <w:pPr>
      <w:numPr>
        <w:numId w:val="12"/>
      </w:numPr>
      <w:spacing w:before="60" w:after="60" w:line="360" w:lineRule="exact"/>
    </w:pPr>
    <w:rPr>
      <w:rFonts w:ascii="Times New Roman" w:eastAsia="MS Mincho" w:hAnsi="Times New Roman" w:cs="Times New Roman"/>
      <w:sz w:val="24"/>
      <w:szCs w:val="24"/>
      <w:lang w:val="en-US" w:eastAsia="ja-JP"/>
    </w:rPr>
  </w:style>
  <w:style w:type="character" w:customStyle="1" w:styleId="st1">
    <w:name w:val="st1"/>
    <w:basedOn w:val="DefaultParagraphFont"/>
    <w:rsid w:val="00D67B18"/>
  </w:style>
  <w:style w:type="character" w:styleId="Emphasis">
    <w:name w:val="Emphasis"/>
    <w:basedOn w:val="DefaultParagraphFont"/>
    <w:uiPriority w:val="20"/>
    <w:qFormat/>
    <w:rsid w:val="00337F42"/>
    <w:rPr>
      <w:b/>
      <w:bCs/>
      <w:i w:val="0"/>
      <w:iCs w:val="0"/>
    </w:rPr>
  </w:style>
  <w:style w:type="table" w:customStyle="1" w:styleId="TableTGAblue1">
    <w:name w:val="Table TGA blue1"/>
    <w:basedOn w:val="TableNormal"/>
    <w:uiPriority w:val="99"/>
    <w:qFormat/>
    <w:rsid w:val="00A25CD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3098">
      <w:bodyDiv w:val="1"/>
      <w:marLeft w:val="0"/>
      <w:marRight w:val="0"/>
      <w:marTop w:val="0"/>
      <w:marBottom w:val="0"/>
      <w:divBdr>
        <w:top w:val="none" w:sz="0" w:space="0" w:color="auto"/>
        <w:left w:val="none" w:sz="0" w:space="0" w:color="auto"/>
        <w:bottom w:val="none" w:sz="0" w:space="0" w:color="auto"/>
        <w:right w:val="none" w:sz="0" w:space="0" w:color="auto"/>
      </w:divBdr>
      <w:divsChild>
        <w:div w:id="181209042">
          <w:marLeft w:val="0"/>
          <w:marRight w:val="0"/>
          <w:marTop w:val="0"/>
          <w:marBottom w:val="0"/>
          <w:divBdr>
            <w:top w:val="none" w:sz="0" w:space="0" w:color="auto"/>
            <w:left w:val="none" w:sz="0" w:space="0" w:color="auto"/>
            <w:bottom w:val="none" w:sz="0" w:space="0" w:color="auto"/>
            <w:right w:val="none" w:sz="0" w:space="0" w:color="auto"/>
          </w:divBdr>
          <w:divsChild>
            <w:div w:id="2065324849">
              <w:marLeft w:val="0"/>
              <w:marRight w:val="0"/>
              <w:marTop w:val="0"/>
              <w:marBottom w:val="0"/>
              <w:divBdr>
                <w:top w:val="none" w:sz="0" w:space="0" w:color="auto"/>
                <w:left w:val="none" w:sz="0" w:space="0" w:color="auto"/>
                <w:bottom w:val="none" w:sz="0" w:space="0" w:color="auto"/>
                <w:right w:val="none" w:sz="0" w:space="0" w:color="auto"/>
              </w:divBdr>
              <w:divsChild>
                <w:div w:id="934360551">
                  <w:marLeft w:val="0"/>
                  <w:marRight w:val="0"/>
                  <w:marTop w:val="0"/>
                  <w:marBottom w:val="0"/>
                  <w:divBdr>
                    <w:top w:val="none" w:sz="0" w:space="0" w:color="auto"/>
                    <w:left w:val="none" w:sz="0" w:space="0" w:color="auto"/>
                    <w:bottom w:val="none" w:sz="0" w:space="0" w:color="auto"/>
                    <w:right w:val="none" w:sz="0" w:space="0" w:color="auto"/>
                  </w:divBdr>
                  <w:divsChild>
                    <w:div w:id="26218251">
                      <w:marLeft w:val="0"/>
                      <w:marRight w:val="0"/>
                      <w:marTop w:val="0"/>
                      <w:marBottom w:val="0"/>
                      <w:divBdr>
                        <w:top w:val="none" w:sz="0" w:space="0" w:color="auto"/>
                        <w:left w:val="none" w:sz="0" w:space="0" w:color="auto"/>
                        <w:bottom w:val="none" w:sz="0" w:space="0" w:color="auto"/>
                        <w:right w:val="none" w:sz="0" w:space="0" w:color="auto"/>
                      </w:divBdr>
                      <w:divsChild>
                        <w:div w:id="964585696">
                          <w:marLeft w:val="0"/>
                          <w:marRight w:val="0"/>
                          <w:marTop w:val="0"/>
                          <w:marBottom w:val="0"/>
                          <w:divBdr>
                            <w:top w:val="none" w:sz="0" w:space="0" w:color="auto"/>
                            <w:left w:val="none" w:sz="0" w:space="0" w:color="auto"/>
                            <w:bottom w:val="none" w:sz="0" w:space="0" w:color="auto"/>
                            <w:right w:val="none" w:sz="0" w:space="0" w:color="auto"/>
                          </w:divBdr>
                          <w:divsChild>
                            <w:div w:id="6537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40674">
      <w:bodyDiv w:val="1"/>
      <w:marLeft w:val="0"/>
      <w:marRight w:val="0"/>
      <w:marTop w:val="0"/>
      <w:marBottom w:val="0"/>
      <w:divBdr>
        <w:top w:val="none" w:sz="0" w:space="0" w:color="auto"/>
        <w:left w:val="none" w:sz="0" w:space="0" w:color="auto"/>
        <w:bottom w:val="none" w:sz="0" w:space="0" w:color="auto"/>
        <w:right w:val="none" w:sz="0" w:space="0" w:color="auto"/>
      </w:divBdr>
    </w:div>
    <w:div w:id="252664039">
      <w:bodyDiv w:val="1"/>
      <w:marLeft w:val="0"/>
      <w:marRight w:val="0"/>
      <w:marTop w:val="0"/>
      <w:marBottom w:val="0"/>
      <w:divBdr>
        <w:top w:val="none" w:sz="0" w:space="0" w:color="auto"/>
        <w:left w:val="none" w:sz="0" w:space="0" w:color="auto"/>
        <w:bottom w:val="none" w:sz="0" w:space="0" w:color="auto"/>
        <w:right w:val="none" w:sz="0" w:space="0" w:color="auto"/>
      </w:divBdr>
    </w:div>
    <w:div w:id="400371553">
      <w:bodyDiv w:val="1"/>
      <w:marLeft w:val="0"/>
      <w:marRight w:val="0"/>
      <w:marTop w:val="0"/>
      <w:marBottom w:val="0"/>
      <w:divBdr>
        <w:top w:val="none" w:sz="0" w:space="0" w:color="auto"/>
        <w:left w:val="none" w:sz="0" w:space="0" w:color="auto"/>
        <w:bottom w:val="none" w:sz="0" w:space="0" w:color="auto"/>
        <w:right w:val="none" w:sz="0" w:space="0" w:color="auto"/>
      </w:divBdr>
    </w:div>
    <w:div w:id="402415024">
      <w:bodyDiv w:val="1"/>
      <w:marLeft w:val="0"/>
      <w:marRight w:val="0"/>
      <w:marTop w:val="0"/>
      <w:marBottom w:val="0"/>
      <w:divBdr>
        <w:top w:val="none" w:sz="0" w:space="0" w:color="auto"/>
        <w:left w:val="none" w:sz="0" w:space="0" w:color="auto"/>
        <w:bottom w:val="none" w:sz="0" w:space="0" w:color="auto"/>
        <w:right w:val="none" w:sz="0" w:space="0" w:color="auto"/>
      </w:divBdr>
    </w:div>
    <w:div w:id="436678701">
      <w:bodyDiv w:val="1"/>
      <w:marLeft w:val="0"/>
      <w:marRight w:val="0"/>
      <w:marTop w:val="0"/>
      <w:marBottom w:val="0"/>
      <w:divBdr>
        <w:top w:val="none" w:sz="0" w:space="0" w:color="auto"/>
        <w:left w:val="none" w:sz="0" w:space="0" w:color="auto"/>
        <w:bottom w:val="none" w:sz="0" w:space="0" w:color="auto"/>
        <w:right w:val="none" w:sz="0" w:space="0" w:color="auto"/>
      </w:divBdr>
      <w:divsChild>
        <w:div w:id="1273442465">
          <w:marLeft w:val="0"/>
          <w:marRight w:val="0"/>
          <w:marTop w:val="0"/>
          <w:marBottom w:val="0"/>
          <w:divBdr>
            <w:top w:val="none" w:sz="0" w:space="0" w:color="auto"/>
            <w:left w:val="none" w:sz="0" w:space="0" w:color="auto"/>
            <w:bottom w:val="none" w:sz="0" w:space="0" w:color="auto"/>
            <w:right w:val="none" w:sz="0" w:space="0" w:color="auto"/>
          </w:divBdr>
          <w:divsChild>
            <w:div w:id="405735687">
              <w:marLeft w:val="0"/>
              <w:marRight w:val="0"/>
              <w:marTop w:val="0"/>
              <w:marBottom w:val="0"/>
              <w:divBdr>
                <w:top w:val="none" w:sz="0" w:space="0" w:color="auto"/>
                <w:left w:val="none" w:sz="0" w:space="0" w:color="auto"/>
                <w:bottom w:val="none" w:sz="0" w:space="0" w:color="auto"/>
                <w:right w:val="none" w:sz="0" w:space="0" w:color="auto"/>
              </w:divBdr>
              <w:divsChild>
                <w:div w:id="1621062945">
                  <w:marLeft w:val="0"/>
                  <w:marRight w:val="0"/>
                  <w:marTop w:val="0"/>
                  <w:marBottom w:val="0"/>
                  <w:divBdr>
                    <w:top w:val="none" w:sz="0" w:space="0" w:color="auto"/>
                    <w:left w:val="none" w:sz="0" w:space="0" w:color="auto"/>
                    <w:bottom w:val="none" w:sz="0" w:space="0" w:color="auto"/>
                    <w:right w:val="none" w:sz="0" w:space="0" w:color="auto"/>
                  </w:divBdr>
                  <w:divsChild>
                    <w:div w:id="298924282">
                      <w:marLeft w:val="0"/>
                      <w:marRight w:val="0"/>
                      <w:marTop w:val="0"/>
                      <w:marBottom w:val="0"/>
                      <w:divBdr>
                        <w:top w:val="none" w:sz="0" w:space="0" w:color="auto"/>
                        <w:left w:val="none" w:sz="0" w:space="0" w:color="auto"/>
                        <w:bottom w:val="none" w:sz="0" w:space="0" w:color="auto"/>
                        <w:right w:val="none" w:sz="0" w:space="0" w:color="auto"/>
                      </w:divBdr>
                      <w:divsChild>
                        <w:div w:id="109906958">
                          <w:marLeft w:val="0"/>
                          <w:marRight w:val="0"/>
                          <w:marTop w:val="0"/>
                          <w:marBottom w:val="0"/>
                          <w:divBdr>
                            <w:top w:val="none" w:sz="0" w:space="0" w:color="auto"/>
                            <w:left w:val="none" w:sz="0" w:space="0" w:color="auto"/>
                            <w:bottom w:val="none" w:sz="0" w:space="0" w:color="auto"/>
                            <w:right w:val="none" w:sz="0" w:space="0" w:color="auto"/>
                          </w:divBdr>
                          <w:divsChild>
                            <w:div w:id="21300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744437">
      <w:bodyDiv w:val="1"/>
      <w:marLeft w:val="0"/>
      <w:marRight w:val="0"/>
      <w:marTop w:val="0"/>
      <w:marBottom w:val="0"/>
      <w:divBdr>
        <w:top w:val="none" w:sz="0" w:space="0" w:color="auto"/>
        <w:left w:val="none" w:sz="0" w:space="0" w:color="auto"/>
        <w:bottom w:val="none" w:sz="0" w:space="0" w:color="auto"/>
        <w:right w:val="none" w:sz="0" w:space="0" w:color="auto"/>
      </w:divBdr>
    </w:div>
    <w:div w:id="475688299">
      <w:bodyDiv w:val="1"/>
      <w:marLeft w:val="0"/>
      <w:marRight w:val="0"/>
      <w:marTop w:val="0"/>
      <w:marBottom w:val="0"/>
      <w:divBdr>
        <w:top w:val="none" w:sz="0" w:space="0" w:color="auto"/>
        <w:left w:val="none" w:sz="0" w:space="0" w:color="auto"/>
        <w:bottom w:val="none" w:sz="0" w:space="0" w:color="auto"/>
        <w:right w:val="none" w:sz="0" w:space="0" w:color="auto"/>
      </w:divBdr>
    </w:div>
    <w:div w:id="540675248">
      <w:bodyDiv w:val="1"/>
      <w:marLeft w:val="0"/>
      <w:marRight w:val="0"/>
      <w:marTop w:val="0"/>
      <w:marBottom w:val="0"/>
      <w:divBdr>
        <w:top w:val="none" w:sz="0" w:space="0" w:color="auto"/>
        <w:left w:val="none" w:sz="0" w:space="0" w:color="auto"/>
        <w:bottom w:val="none" w:sz="0" w:space="0" w:color="auto"/>
        <w:right w:val="none" w:sz="0" w:space="0" w:color="auto"/>
      </w:divBdr>
    </w:div>
    <w:div w:id="551884691">
      <w:bodyDiv w:val="1"/>
      <w:marLeft w:val="0"/>
      <w:marRight w:val="0"/>
      <w:marTop w:val="0"/>
      <w:marBottom w:val="0"/>
      <w:divBdr>
        <w:top w:val="none" w:sz="0" w:space="0" w:color="auto"/>
        <w:left w:val="none" w:sz="0" w:space="0" w:color="auto"/>
        <w:bottom w:val="none" w:sz="0" w:space="0" w:color="auto"/>
        <w:right w:val="none" w:sz="0" w:space="0" w:color="auto"/>
      </w:divBdr>
    </w:div>
    <w:div w:id="554463075">
      <w:bodyDiv w:val="1"/>
      <w:marLeft w:val="0"/>
      <w:marRight w:val="0"/>
      <w:marTop w:val="0"/>
      <w:marBottom w:val="0"/>
      <w:divBdr>
        <w:top w:val="none" w:sz="0" w:space="0" w:color="auto"/>
        <w:left w:val="none" w:sz="0" w:space="0" w:color="auto"/>
        <w:bottom w:val="none" w:sz="0" w:space="0" w:color="auto"/>
        <w:right w:val="none" w:sz="0" w:space="0" w:color="auto"/>
      </w:divBdr>
    </w:div>
    <w:div w:id="692270628">
      <w:bodyDiv w:val="1"/>
      <w:marLeft w:val="0"/>
      <w:marRight w:val="0"/>
      <w:marTop w:val="0"/>
      <w:marBottom w:val="0"/>
      <w:divBdr>
        <w:top w:val="none" w:sz="0" w:space="0" w:color="auto"/>
        <w:left w:val="none" w:sz="0" w:space="0" w:color="auto"/>
        <w:bottom w:val="none" w:sz="0" w:space="0" w:color="auto"/>
        <w:right w:val="none" w:sz="0" w:space="0" w:color="auto"/>
      </w:divBdr>
    </w:div>
    <w:div w:id="713311838">
      <w:bodyDiv w:val="1"/>
      <w:marLeft w:val="0"/>
      <w:marRight w:val="0"/>
      <w:marTop w:val="0"/>
      <w:marBottom w:val="0"/>
      <w:divBdr>
        <w:top w:val="none" w:sz="0" w:space="0" w:color="auto"/>
        <w:left w:val="none" w:sz="0" w:space="0" w:color="auto"/>
        <w:bottom w:val="none" w:sz="0" w:space="0" w:color="auto"/>
        <w:right w:val="none" w:sz="0" w:space="0" w:color="auto"/>
      </w:divBdr>
    </w:div>
    <w:div w:id="803503040">
      <w:bodyDiv w:val="1"/>
      <w:marLeft w:val="0"/>
      <w:marRight w:val="0"/>
      <w:marTop w:val="0"/>
      <w:marBottom w:val="0"/>
      <w:divBdr>
        <w:top w:val="none" w:sz="0" w:space="0" w:color="auto"/>
        <w:left w:val="none" w:sz="0" w:space="0" w:color="auto"/>
        <w:bottom w:val="none" w:sz="0" w:space="0" w:color="auto"/>
        <w:right w:val="none" w:sz="0" w:space="0" w:color="auto"/>
      </w:divBdr>
    </w:div>
    <w:div w:id="868107788">
      <w:bodyDiv w:val="1"/>
      <w:marLeft w:val="0"/>
      <w:marRight w:val="0"/>
      <w:marTop w:val="0"/>
      <w:marBottom w:val="0"/>
      <w:divBdr>
        <w:top w:val="none" w:sz="0" w:space="0" w:color="auto"/>
        <w:left w:val="none" w:sz="0" w:space="0" w:color="auto"/>
        <w:bottom w:val="none" w:sz="0" w:space="0" w:color="auto"/>
        <w:right w:val="none" w:sz="0" w:space="0" w:color="auto"/>
      </w:divBdr>
    </w:div>
    <w:div w:id="990250401">
      <w:bodyDiv w:val="1"/>
      <w:marLeft w:val="0"/>
      <w:marRight w:val="0"/>
      <w:marTop w:val="0"/>
      <w:marBottom w:val="0"/>
      <w:divBdr>
        <w:top w:val="none" w:sz="0" w:space="0" w:color="auto"/>
        <w:left w:val="none" w:sz="0" w:space="0" w:color="auto"/>
        <w:bottom w:val="none" w:sz="0" w:space="0" w:color="auto"/>
        <w:right w:val="none" w:sz="0" w:space="0" w:color="auto"/>
      </w:divBdr>
    </w:div>
    <w:div w:id="1005282420">
      <w:bodyDiv w:val="1"/>
      <w:marLeft w:val="0"/>
      <w:marRight w:val="0"/>
      <w:marTop w:val="0"/>
      <w:marBottom w:val="0"/>
      <w:divBdr>
        <w:top w:val="none" w:sz="0" w:space="0" w:color="auto"/>
        <w:left w:val="none" w:sz="0" w:space="0" w:color="auto"/>
        <w:bottom w:val="none" w:sz="0" w:space="0" w:color="auto"/>
        <w:right w:val="none" w:sz="0" w:space="0" w:color="auto"/>
      </w:divBdr>
    </w:div>
    <w:div w:id="1021008711">
      <w:bodyDiv w:val="1"/>
      <w:marLeft w:val="0"/>
      <w:marRight w:val="0"/>
      <w:marTop w:val="0"/>
      <w:marBottom w:val="0"/>
      <w:divBdr>
        <w:top w:val="none" w:sz="0" w:space="0" w:color="auto"/>
        <w:left w:val="none" w:sz="0" w:space="0" w:color="auto"/>
        <w:bottom w:val="none" w:sz="0" w:space="0" w:color="auto"/>
        <w:right w:val="none" w:sz="0" w:space="0" w:color="auto"/>
      </w:divBdr>
    </w:div>
    <w:div w:id="1029380813">
      <w:bodyDiv w:val="1"/>
      <w:marLeft w:val="0"/>
      <w:marRight w:val="0"/>
      <w:marTop w:val="0"/>
      <w:marBottom w:val="0"/>
      <w:divBdr>
        <w:top w:val="none" w:sz="0" w:space="0" w:color="auto"/>
        <w:left w:val="none" w:sz="0" w:space="0" w:color="auto"/>
        <w:bottom w:val="none" w:sz="0" w:space="0" w:color="auto"/>
        <w:right w:val="none" w:sz="0" w:space="0" w:color="auto"/>
      </w:divBdr>
    </w:div>
    <w:div w:id="1105927812">
      <w:bodyDiv w:val="1"/>
      <w:marLeft w:val="0"/>
      <w:marRight w:val="0"/>
      <w:marTop w:val="0"/>
      <w:marBottom w:val="0"/>
      <w:divBdr>
        <w:top w:val="none" w:sz="0" w:space="0" w:color="auto"/>
        <w:left w:val="none" w:sz="0" w:space="0" w:color="auto"/>
        <w:bottom w:val="none" w:sz="0" w:space="0" w:color="auto"/>
        <w:right w:val="none" w:sz="0" w:space="0" w:color="auto"/>
      </w:divBdr>
    </w:div>
    <w:div w:id="1110273439">
      <w:bodyDiv w:val="1"/>
      <w:marLeft w:val="0"/>
      <w:marRight w:val="0"/>
      <w:marTop w:val="0"/>
      <w:marBottom w:val="0"/>
      <w:divBdr>
        <w:top w:val="none" w:sz="0" w:space="0" w:color="auto"/>
        <w:left w:val="none" w:sz="0" w:space="0" w:color="auto"/>
        <w:bottom w:val="none" w:sz="0" w:space="0" w:color="auto"/>
        <w:right w:val="none" w:sz="0" w:space="0" w:color="auto"/>
      </w:divBdr>
    </w:div>
    <w:div w:id="1214006053">
      <w:bodyDiv w:val="1"/>
      <w:marLeft w:val="0"/>
      <w:marRight w:val="0"/>
      <w:marTop w:val="0"/>
      <w:marBottom w:val="0"/>
      <w:divBdr>
        <w:top w:val="none" w:sz="0" w:space="0" w:color="auto"/>
        <w:left w:val="none" w:sz="0" w:space="0" w:color="auto"/>
        <w:bottom w:val="none" w:sz="0" w:space="0" w:color="auto"/>
        <w:right w:val="none" w:sz="0" w:space="0" w:color="auto"/>
      </w:divBdr>
    </w:div>
    <w:div w:id="1378823715">
      <w:bodyDiv w:val="1"/>
      <w:marLeft w:val="0"/>
      <w:marRight w:val="0"/>
      <w:marTop w:val="0"/>
      <w:marBottom w:val="0"/>
      <w:divBdr>
        <w:top w:val="none" w:sz="0" w:space="0" w:color="auto"/>
        <w:left w:val="none" w:sz="0" w:space="0" w:color="auto"/>
        <w:bottom w:val="none" w:sz="0" w:space="0" w:color="auto"/>
        <w:right w:val="none" w:sz="0" w:space="0" w:color="auto"/>
      </w:divBdr>
    </w:div>
    <w:div w:id="1384600910">
      <w:bodyDiv w:val="1"/>
      <w:marLeft w:val="0"/>
      <w:marRight w:val="0"/>
      <w:marTop w:val="0"/>
      <w:marBottom w:val="0"/>
      <w:divBdr>
        <w:top w:val="none" w:sz="0" w:space="0" w:color="auto"/>
        <w:left w:val="none" w:sz="0" w:space="0" w:color="auto"/>
        <w:bottom w:val="none" w:sz="0" w:space="0" w:color="auto"/>
        <w:right w:val="none" w:sz="0" w:space="0" w:color="auto"/>
      </w:divBdr>
    </w:div>
    <w:div w:id="1440107128">
      <w:bodyDiv w:val="1"/>
      <w:marLeft w:val="0"/>
      <w:marRight w:val="0"/>
      <w:marTop w:val="0"/>
      <w:marBottom w:val="0"/>
      <w:divBdr>
        <w:top w:val="none" w:sz="0" w:space="0" w:color="auto"/>
        <w:left w:val="none" w:sz="0" w:space="0" w:color="auto"/>
        <w:bottom w:val="none" w:sz="0" w:space="0" w:color="auto"/>
        <w:right w:val="none" w:sz="0" w:space="0" w:color="auto"/>
      </w:divBdr>
    </w:div>
    <w:div w:id="1532571651">
      <w:bodyDiv w:val="1"/>
      <w:marLeft w:val="0"/>
      <w:marRight w:val="0"/>
      <w:marTop w:val="0"/>
      <w:marBottom w:val="0"/>
      <w:divBdr>
        <w:top w:val="none" w:sz="0" w:space="0" w:color="auto"/>
        <w:left w:val="none" w:sz="0" w:space="0" w:color="auto"/>
        <w:bottom w:val="none" w:sz="0" w:space="0" w:color="auto"/>
        <w:right w:val="none" w:sz="0" w:space="0" w:color="auto"/>
      </w:divBdr>
    </w:div>
    <w:div w:id="1539120189">
      <w:bodyDiv w:val="1"/>
      <w:marLeft w:val="0"/>
      <w:marRight w:val="0"/>
      <w:marTop w:val="0"/>
      <w:marBottom w:val="0"/>
      <w:divBdr>
        <w:top w:val="none" w:sz="0" w:space="0" w:color="auto"/>
        <w:left w:val="none" w:sz="0" w:space="0" w:color="auto"/>
        <w:bottom w:val="none" w:sz="0" w:space="0" w:color="auto"/>
        <w:right w:val="none" w:sz="0" w:space="0" w:color="auto"/>
      </w:divBdr>
    </w:div>
    <w:div w:id="1586495635">
      <w:bodyDiv w:val="1"/>
      <w:marLeft w:val="0"/>
      <w:marRight w:val="0"/>
      <w:marTop w:val="0"/>
      <w:marBottom w:val="0"/>
      <w:divBdr>
        <w:top w:val="none" w:sz="0" w:space="0" w:color="auto"/>
        <w:left w:val="none" w:sz="0" w:space="0" w:color="auto"/>
        <w:bottom w:val="none" w:sz="0" w:space="0" w:color="auto"/>
        <w:right w:val="none" w:sz="0" w:space="0" w:color="auto"/>
      </w:divBdr>
    </w:div>
    <w:div w:id="1870215677">
      <w:bodyDiv w:val="1"/>
      <w:marLeft w:val="0"/>
      <w:marRight w:val="0"/>
      <w:marTop w:val="0"/>
      <w:marBottom w:val="0"/>
      <w:divBdr>
        <w:top w:val="none" w:sz="0" w:space="0" w:color="auto"/>
        <w:left w:val="none" w:sz="0" w:space="0" w:color="auto"/>
        <w:bottom w:val="none" w:sz="0" w:space="0" w:color="auto"/>
        <w:right w:val="none" w:sz="0" w:space="0" w:color="auto"/>
      </w:divBdr>
    </w:div>
    <w:div w:id="1894930202">
      <w:bodyDiv w:val="1"/>
      <w:marLeft w:val="0"/>
      <w:marRight w:val="0"/>
      <w:marTop w:val="0"/>
      <w:marBottom w:val="0"/>
      <w:divBdr>
        <w:top w:val="none" w:sz="0" w:space="0" w:color="auto"/>
        <w:left w:val="none" w:sz="0" w:space="0" w:color="auto"/>
        <w:bottom w:val="none" w:sz="0" w:space="0" w:color="auto"/>
        <w:right w:val="none" w:sz="0" w:space="0" w:color="auto"/>
      </w:divBdr>
    </w:div>
    <w:div w:id="1997372007">
      <w:bodyDiv w:val="1"/>
      <w:marLeft w:val="0"/>
      <w:marRight w:val="0"/>
      <w:marTop w:val="0"/>
      <w:marBottom w:val="0"/>
      <w:divBdr>
        <w:top w:val="none" w:sz="0" w:space="0" w:color="auto"/>
        <w:left w:val="none" w:sz="0" w:space="0" w:color="auto"/>
        <w:bottom w:val="none" w:sz="0" w:space="0" w:color="auto"/>
        <w:right w:val="none" w:sz="0" w:space="0" w:color="auto"/>
      </w:divBdr>
    </w:div>
    <w:div w:id="20856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5.xml"/><Relationship Id="rId6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tga.gov.au/product-information-pi" TargetMode="External"/><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2.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4.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D7E29-0BC6-4444-B629-25159F7A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0</TotalTime>
  <Pages>179</Pages>
  <Words>62814</Words>
  <Characters>358043</Characters>
  <Application>Microsoft Office Word</Application>
  <DocSecurity>0</DocSecurity>
  <Lines>2983</Lines>
  <Paragraphs>840</Paragraphs>
  <ScaleCrop>false</ScaleCrop>
  <HeadingPairs>
    <vt:vector size="2" baseType="variant">
      <vt:variant>
        <vt:lpstr>Title</vt:lpstr>
      </vt:variant>
      <vt:variant>
        <vt:i4>1</vt:i4>
      </vt:variant>
    </vt:vector>
  </HeadingPairs>
  <TitlesOfParts>
    <vt:vector size="1" baseType="lpstr">
      <vt:lpstr>Australian public assessment for Paritaprevir / Ritonavir / Ombitasvir and Dasabuvir (as sodium salt) and Ribavirin</vt:lpstr>
    </vt:vector>
  </TitlesOfParts>
  <Company>Department of Health</Company>
  <LinksUpToDate>false</LinksUpToDate>
  <CharactersWithSpaces>420017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Paritaprevir / Ritonavir / Ombitasvir and Dasabuvir (as sodium salt) and Ribavirin</dc:title>
  <dc:subject>prescription medicins</dc:subject>
  <dc:creator>Therapeutic Goods Administration</dc:creator>
  <cp:keywords>AusPARs</cp:keywords>
  <cp:lastModifiedBy>LACK, Janet</cp:lastModifiedBy>
  <cp:revision>3</cp:revision>
  <cp:lastPrinted>2015-09-22T23:39:00Z</cp:lastPrinted>
  <dcterms:created xsi:type="dcterms:W3CDTF">2017-04-24T05:45:00Z</dcterms:created>
  <dcterms:modified xsi:type="dcterms:W3CDTF">2017-04-26T00:49:00Z</dcterms:modified>
</cp:coreProperties>
</file>