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DD3918" w14:textId="77777777" w:rsidR="00012E50" w:rsidRPr="008746E7" w:rsidRDefault="00012E50" w:rsidP="00B95903">
      <w:pPr>
        <w:pStyle w:val="Title"/>
      </w:pPr>
      <w:bookmarkStart w:id="0" w:name="_GoBack"/>
      <w:bookmarkEnd w:id="0"/>
      <w:r w:rsidRPr="008746E7">
        <w:t>PRODUCT INFORMATION</w:t>
      </w:r>
    </w:p>
    <w:p w14:paraId="23E43772" w14:textId="77777777" w:rsidR="00EB15DE" w:rsidRDefault="00EB15DE" w:rsidP="00B95903">
      <w:pPr>
        <w:pStyle w:val="Title"/>
      </w:pPr>
      <w:r>
        <w:t>VELTASSA</w:t>
      </w:r>
      <w:r w:rsidRPr="00EB15DE">
        <w:rPr>
          <w:vertAlign w:val="superscript"/>
        </w:rPr>
        <w:t>TM</w:t>
      </w:r>
    </w:p>
    <w:p w14:paraId="052FCF35" w14:textId="77777777" w:rsidR="005B278F" w:rsidRPr="008746E7" w:rsidRDefault="00EB15DE" w:rsidP="00B95903">
      <w:pPr>
        <w:pStyle w:val="Title"/>
      </w:pPr>
      <w:r>
        <w:t>POWDER FOR SUSPENSION</w:t>
      </w:r>
    </w:p>
    <w:p w14:paraId="52992461" w14:textId="77777777" w:rsidR="00F22BCA" w:rsidRPr="008746E7" w:rsidRDefault="00F22BCA" w:rsidP="00B95903">
      <w:pPr>
        <w:pStyle w:val="Heading1"/>
      </w:pPr>
      <w:r w:rsidRPr="008746E7">
        <w:t>N</w:t>
      </w:r>
      <w:r w:rsidR="001E2D56" w:rsidRPr="008746E7">
        <w:t xml:space="preserve">AME OF THE </w:t>
      </w:r>
      <w:r w:rsidR="001E2D56" w:rsidRPr="00EB15DE">
        <w:t>MEDICINE</w:t>
      </w:r>
      <w:r w:rsidR="009957E1" w:rsidRPr="008746E7">
        <w:t xml:space="preserve"> </w:t>
      </w:r>
    </w:p>
    <w:p w14:paraId="58157DAB" w14:textId="77777777" w:rsidR="00344380" w:rsidRDefault="006F3C09" w:rsidP="00B95903">
      <w:proofErr w:type="spellStart"/>
      <w:r w:rsidRPr="006F3C09">
        <w:t>Patiromer</w:t>
      </w:r>
      <w:proofErr w:type="spellEnd"/>
      <w:r w:rsidRPr="006F3C09">
        <w:t xml:space="preserve"> </w:t>
      </w:r>
      <w:proofErr w:type="spellStart"/>
      <w:r w:rsidRPr="006F3C09">
        <w:t>sorbitex</w:t>
      </w:r>
      <w:proofErr w:type="spellEnd"/>
      <w:r w:rsidRPr="006F3C09">
        <w:t xml:space="preserve"> calcium</w:t>
      </w:r>
    </w:p>
    <w:p w14:paraId="4B83008E" w14:textId="77777777" w:rsidR="006F3C09" w:rsidRDefault="006F3C09" w:rsidP="00B95903"/>
    <w:p w14:paraId="7BB935F4" w14:textId="77777777" w:rsidR="00344380" w:rsidRDefault="00344380" w:rsidP="00B95903">
      <w:r w:rsidRPr="00344380">
        <w:rPr>
          <w:noProof/>
          <w:lang w:eastAsia="en-AU"/>
        </w:rPr>
        <w:drawing>
          <wp:inline distT="0" distB="0" distL="0" distR="0" wp14:anchorId="3633A8A7" wp14:editId="16681386">
            <wp:extent cx="3457575" cy="2924175"/>
            <wp:effectExtent l="0" t="0" r="9525" b="9525"/>
            <wp:docPr id="3" name="Picture 3" descr="Chemical structure of patiromer sorbitex calc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7575" cy="2924175"/>
                    </a:xfrm>
                    <a:prstGeom prst="rect">
                      <a:avLst/>
                    </a:prstGeom>
                    <a:noFill/>
                    <a:ln>
                      <a:noFill/>
                    </a:ln>
                  </pic:spPr>
                </pic:pic>
              </a:graphicData>
            </a:graphic>
          </wp:inline>
        </w:drawing>
      </w:r>
    </w:p>
    <w:p w14:paraId="0B57C0D6" w14:textId="77777777" w:rsidR="00344380" w:rsidRPr="006F3C09" w:rsidRDefault="00344380" w:rsidP="00B95903"/>
    <w:p w14:paraId="408D9A7F" w14:textId="77777777" w:rsidR="009957E1" w:rsidRPr="006F3C09" w:rsidRDefault="009957E1" w:rsidP="00B95903">
      <w:pPr>
        <w:rPr>
          <w:b/>
        </w:rPr>
      </w:pPr>
      <w:r w:rsidRPr="006F3C09">
        <w:t>CAS</w:t>
      </w:r>
      <w:r w:rsidR="006F3C09">
        <w:t>:</w:t>
      </w:r>
      <w:r w:rsidR="006F3C09">
        <w:tab/>
      </w:r>
      <w:r w:rsidRPr="006F3C09">
        <w:t xml:space="preserve"> </w:t>
      </w:r>
      <w:r w:rsidR="00344380" w:rsidRPr="006F3C09">
        <w:t>1415477-49-4</w:t>
      </w:r>
    </w:p>
    <w:p w14:paraId="136CE24A" w14:textId="77777777" w:rsidR="002E3BD7" w:rsidRPr="006F3C09" w:rsidRDefault="002E3BD7" w:rsidP="00B95903"/>
    <w:p w14:paraId="5331F6CA" w14:textId="77777777" w:rsidR="006F3C09" w:rsidRPr="006F3C09" w:rsidRDefault="000E60EC" w:rsidP="00B95903">
      <w:pPr>
        <w:rPr>
          <w:vertAlign w:val="subscript"/>
        </w:rPr>
      </w:pPr>
      <w:r w:rsidRPr="006F3C09">
        <w:t>Empirical formula</w:t>
      </w:r>
      <w:r w:rsidR="002E3BD7" w:rsidRPr="006F3C09">
        <w:t>:</w:t>
      </w:r>
      <w:r w:rsidRPr="006F3C09">
        <w:tab/>
      </w:r>
      <w:r w:rsidR="00344380" w:rsidRPr="006F3C09">
        <w:t>C</w:t>
      </w:r>
      <w:r w:rsidR="00344380" w:rsidRPr="006F3C09">
        <w:rPr>
          <w:vertAlign w:val="subscript"/>
        </w:rPr>
        <w:t>613</w:t>
      </w:r>
      <w:r w:rsidR="00344380" w:rsidRPr="006F3C09">
        <w:t>H</w:t>
      </w:r>
      <w:r w:rsidR="00344380" w:rsidRPr="006F3C09">
        <w:rPr>
          <w:vertAlign w:val="subscript"/>
        </w:rPr>
        <w:t>765</w:t>
      </w:r>
      <w:r w:rsidR="00344380" w:rsidRPr="006F3C09">
        <w:t>F</w:t>
      </w:r>
      <w:r w:rsidR="00344380" w:rsidRPr="006F3C09">
        <w:rPr>
          <w:vertAlign w:val="subscript"/>
        </w:rPr>
        <w:t>114</w:t>
      </w:r>
      <w:r w:rsidR="00344380" w:rsidRPr="006F3C09">
        <w:t>O</w:t>
      </w:r>
      <w:r w:rsidR="00344380" w:rsidRPr="006F3C09">
        <w:rPr>
          <w:vertAlign w:val="subscript"/>
        </w:rPr>
        <w:t>399</w:t>
      </w:r>
      <w:r w:rsidR="00344380" w:rsidRPr="006F3C09">
        <w:t>Ca</w:t>
      </w:r>
      <w:r w:rsidR="00344380" w:rsidRPr="006F3C09">
        <w:rPr>
          <w:vertAlign w:val="subscript"/>
        </w:rPr>
        <w:t>57</w:t>
      </w:r>
    </w:p>
    <w:p w14:paraId="3ED58F48" w14:textId="77777777" w:rsidR="00F22BCA" w:rsidRPr="008746E7" w:rsidRDefault="00F22BCA" w:rsidP="00B95903">
      <w:pPr>
        <w:pStyle w:val="Heading1"/>
      </w:pPr>
      <w:r w:rsidRPr="008746E7">
        <w:t>D</w:t>
      </w:r>
      <w:r w:rsidR="001E2D56" w:rsidRPr="008746E7">
        <w:t>ESCRIPTION</w:t>
      </w:r>
    </w:p>
    <w:p w14:paraId="21E68637" w14:textId="58B10C52" w:rsidR="00C5580E" w:rsidRPr="00B95903" w:rsidRDefault="002809CD" w:rsidP="00076AE9">
      <w:pPr>
        <w:autoSpaceDE w:val="0"/>
        <w:autoSpaceDN w:val="0"/>
        <w:adjustRightInd w:val="0"/>
        <w:jc w:val="left"/>
      </w:pPr>
      <w:proofErr w:type="spellStart"/>
      <w:r w:rsidRPr="00B95903">
        <w:t>Patiromer</w:t>
      </w:r>
      <w:proofErr w:type="spellEnd"/>
      <w:r w:rsidRPr="00B95903">
        <w:t xml:space="preserve"> </w:t>
      </w:r>
      <w:proofErr w:type="spellStart"/>
      <w:r w:rsidRPr="00B95903">
        <w:t>sorbitex</w:t>
      </w:r>
      <w:proofErr w:type="spellEnd"/>
      <w:r w:rsidRPr="00B95903">
        <w:t xml:space="preserve"> calcium </w:t>
      </w:r>
      <w:r w:rsidR="00F90721" w:rsidRPr="00B95903">
        <w:t xml:space="preserve">is a </w:t>
      </w:r>
      <w:proofErr w:type="spellStart"/>
      <w:r w:rsidR="00F90721" w:rsidRPr="00B95903">
        <w:t>crosslinked</w:t>
      </w:r>
      <w:proofErr w:type="spellEnd"/>
      <w:r w:rsidR="00F90721" w:rsidRPr="00B95903">
        <w:t xml:space="preserve"> polymer of </w:t>
      </w:r>
      <w:r w:rsidR="00F0038F">
        <w:t>c</w:t>
      </w:r>
      <w:r w:rsidR="00076AE9" w:rsidRPr="00076AE9">
        <w:t xml:space="preserve">alcium, </w:t>
      </w:r>
      <w:proofErr w:type="spellStart"/>
      <w:r w:rsidR="00076AE9" w:rsidRPr="00076AE9">
        <w:t>hydrolyzed</w:t>
      </w:r>
      <w:proofErr w:type="spellEnd"/>
      <w:r w:rsidR="00076AE9" w:rsidRPr="00076AE9">
        <w:t xml:space="preserve"> </w:t>
      </w:r>
      <w:proofErr w:type="spellStart"/>
      <w:r w:rsidR="00076AE9" w:rsidRPr="00076AE9">
        <w:t>divinylbenzene</w:t>
      </w:r>
      <w:proofErr w:type="spellEnd"/>
      <w:r w:rsidR="00076AE9" w:rsidRPr="00076AE9">
        <w:t>-Me 2-fluoro-2-propenoate-1,7-octadiene polymer sorbitol complexes</w:t>
      </w:r>
      <w:r w:rsidR="00076AE9">
        <w:t xml:space="preserve">. </w:t>
      </w:r>
      <w:r w:rsidR="00F90721" w:rsidRPr="00B95903">
        <w:t xml:space="preserve">The molecular weight of a 100 micrometre </w:t>
      </w:r>
      <w:proofErr w:type="spellStart"/>
      <w:r w:rsidR="00F90721" w:rsidRPr="00B95903">
        <w:t>patiromer</w:t>
      </w:r>
      <w:proofErr w:type="spellEnd"/>
      <w:r w:rsidR="00F90721" w:rsidRPr="00B95903">
        <w:t xml:space="preserve"> </w:t>
      </w:r>
      <w:proofErr w:type="spellStart"/>
      <w:r w:rsidR="00F90721" w:rsidRPr="00B95903">
        <w:t>sorbitex</w:t>
      </w:r>
      <w:proofErr w:type="spellEnd"/>
      <w:r w:rsidR="00F90721" w:rsidRPr="00B95903">
        <w:t xml:space="preserve"> calcium bead, calculated using an experimentally derived value for density and the theoretical calculated value for volume, is estimated to be 5.6</w:t>
      </w:r>
      <w:r w:rsidR="00B95903" w:rsidRPr="00B95903">
        <w:t> </w:t>
      </w:r>
      <w:r w:rsidR="00F90721" w:rsidRPr="00B95903">
        <w:t>×</w:t>
      </w:r>
      <w:r w:rsidR="00B95903" w:rsidRPr="00B95903">
        <w:t> </w:t>
      </w:r>
      <w:r w:rsidR="00F90721" w:rsidRPr="00B95903">
        <w:t>10</w:t>
      </w:r>
      <w:r w:rsidR="00F90721" w:rsidRPr="00EB1545">
        <w:rPr>
          <w:vertAlign w:val="superscript"/>
        </w:rPr>
        <w:t>17</w:t>
      </w:r>
      <w:r w:rsidR="00F70F30" w:rsidRPr="00B95903">
        <w:t> </w:t>
      </w:r>
      <w:r w:rsidR="00EA0D4D">
        <w:t>g/mol.</w:t>
      </w:r>
    </w:p>
    <w:p w14:paraId="23B7A348" w14:textId="77777777" w:rsidR="002809CD" w:rsidRDefault="002809CD" w:rsidP="00B95903"/>
    <w:p w14:paraId="56FFB694" w14:textId="64CB47B7" w:rsidR="007D4F8D" w:rsidRDefault="00C5580E" w:rsidP="00B95903">
      <w:proofErr w:type="spellStart"/>
      <w:r>
        <w:t>Veltassa</w:t>
      </w:r>
      <w:proofErr w:type="spellEnd"/>
      <w:r>
        <w:t xml:space="preserve"> powder for suspension is an o</w:t>
      </w:r>
      <w:r w:rsidRPr="00C5580E">
        <w:t>ff-white to light-brown powder, with occasional white particles.</w:t>
      </w:r>
      <w:r>
        <w:t xml:space="preserve"> </w:t>
      </w:r>
      <w:r w:rsidR="007D4F8D">
        <w:t>Each sachet contains 8.4</w:t>
      </w:r>
      <w:r w:rsidR="00F70F30">
        <w:t> </w:t>
      </w:r>
      <w:r w:rsidR="007D4F8D">
        <w:t>g, 16.8</w:t>
      </w:r>
      <w:r w:rsidR="00F70F30">
        <w:t> </w:t>
      </w:r>
      <w:r w:rsidR="007D4F8D">
        <w:t>g or 25.2</w:t>
      </w:r>
      <w:r w:rsidR="00F70F30">
        <w:t> </w:t>
      </w:r>
      <w:r w:rsidR="007D4F8D">
        <w:t xml:space="preserve">g of </w:t>
      </w:r>
      <w:proofErr w:type="spellStart"/>
      <w:r w:rsidR="007D4F8D">
        <w:t>p</w:t>
      </w:r>
      <w:r w:rsidR="007D4F8D" w:rsidRPr="006F3C09">
        <w:t>atiromer</w:t>
      </w:r>
      <w:proofErr w:type="spellEnd"/>
      <w:r w:rsidR="007D4F8D" w:rsidRPr="006F3C09">
        <w:t xml:space="preserve"> </w:t>
      </w:r>
      <w:r w:rsidR="005D30B6">
        <w:t xml:space="preserve">(as </w:t>
      </w:r>
      <w:proofErr w:type="spellStart"/>
      <w:r w:rsidR="007D4F8D" w:rsidRPr="006F3C09">
        <w:t>sorbitex</w:t>
      </w:r>
      <w:proofErr w:type="spellEnd"/>
      <w:r w:rsidR="007D4F8D" w:rsidRPr="006F3C09">
        <w:t xml:space="preserve"> calcium</w:t>
      </w:r>
      <w:r w:rsidR="005D30B6">
        <w:t>)</w:t>
      </w:r>
      <w:r w:rsidR="007D4F8D">
        <w:t xml:space="preserve">. Each sachet also contains </w:t>
      </w:r>
      <w:r w:rsidR="007D4F8D" w:rsidRPr="007D4F8D">
        <w:t>Xanthan gum</w:t>
      </w:r>
      <w:r w:rsidR="00EA0D4D">
        <w:t>.</w:t>
      </w:r>
    </w:p>
    <w:p w14:paraId="2B0C392A" w14:textId="77777777" w:rsidR="006F6CB4" w:rsidRPr="008746E7" w:rsidRDefault="00F22BCA" w:rsidP="00B95903">
      <w:pPr>
        <w:pStyle w:val="Heading1"/>
      </w:pPr>
      <w:r w:rsidRPr="008746E7">
        <w:lastRenderedPageBreak/>
        <w:t>P</w:t>
      </w:r>
      <w:r w:rsidR="001E2D56" w:rsidRPr="008746E7">
        <w:t>HARMACOLOGY</w:t>
      </w:r>
    </w:p>
    <w:p w14:paraId="0EF9BB3B" w14:textId="77777777" w:rsidR="00F22BCA" w:rsidRDefault="00FF747D" w:rsidP="00B95903">
      <w:pPr>
        <w:pStyle w:val="Heading2"/>
      </w:pPr>
      <w:r w:rsidRPr="000004CC">
        <w:t>Pharmacology</w:t>
      </w:r>
    </w:p>
    <w:p w14:paraId="1D90780A" w14:textId="77777777" w:rsidR="000004CC" w:rsidRDefault="000004CC" w:rsidP="00B95903">
      <w:pPr>
        <w:pStyle w:val="Heading3"/>
      </w:pPr>
      <w:r w:rsidRPr="000004CC">
        <w:t>Mechanism</w:t>
      </w:r>
      <w:r>
        <w:t xml:space="preserve"> of Action</w:t>
      </w:r>
    </w:p>
    <w:p w14:paraId="4A59D48D" w14:textId="77777777" w:rsidR="000004CC" w:rsidRDefault="00C72A4F" w:rsidP="00B95903">
      <w:proofErr w:type="spellStart"/>
      <w:r>
        <w:t>Patiromer</w:t>
      </w:r>
      <w:proofErr w:type="spellEnd"/>
      <w:r w:rsidRPr="006F3C09">
        <w:t xml:space="preserve"> </w:t>
      </w:r>
      <w:proofErr w:type="spellStart"/>
      <w:r w:rsidRPr="006F3C09">
        <w:t>sorbitex</w:t>
      </w:r>
      <w:proofErr w:type="spellEnd"/>
      <w:r w:rsidRPr="006F3C09">
        <w:t xml:space="preserve"> calcium</w:t>
      </w:r>
      <w:r>
        <w:t xml:space="preserve"> </w:t>
      </w:r>
      <w:r w:rsidR="000004CC">
        <w:t xml:space="preserve">is a non-absorbed, cation exchange polymer that contains a calcium-sorbitol complex as a </w:t>
      </w:r>
      <w:proofErr w:type="spellStart"/>
      <w:r w:rsidR="000004CC">
        <w:t>counterion</w:t>
      </w:r>
      <w:proofErr w:type="spellEnd"/>
      <w:r w:rsidR="000004CC">
        <w:t>.</w:t>
      </w:r>
    </w:p>
    <w:p w14:paraId="733BF28C" w14:textId="77777777" w:rsidR="000004CC" w:rsidRDefault="000004CC" w:rsidP="00B95903"/>
    <w:p w14:paraId="5DD4D015" w14:textId="77777777" w:rsidR="000004CC" w:rsidRDefault="00C72A4F" w:rsidP="00B95903">
      <w:proofErr w:type="spellStart"/>
      <w:r>
        <w:t>Patiromer</w:t>
      </w:r>
      <w:proofErr w:type="spellEnd"/>
      <w:r w:rsidRPr="006F3C09">
        <w:t xml:space="preserve"> </w:t>
      </w:r>
      <w:proofErr w:type="spellStart"/>
      <w:r w:rsidRPr="006F3C09">
        <w:t>sorbitex</w:t>
      </w:r>
      <w:proofErr w:type="spellEnd"/>
      <w:r w:rsidRPr="006F3C09">
        <w:t xml:space="preserve"> calcium</w:t>
      </w:r>
      <w:r w:rsidR="000004CC">
        <w:t xml:space="preserve"> increases faecal potassium excretion through binding of potassium in the lumen of the gastrointestinal tract. Binding of potassium reduces the concentration of free potassium in the gastrointestinal lumen, resulting in a reduction of serum potassium levels.</w:t>
      </w:r>
    </w:p>
    <w:p w14:paraId="483F8CC5" w14:textId="77777777" w:rsidR="000004CC" w:rsidRDefault="000004CC" w:rsidP="00B95903">
      <w:pPr>
        <w:pStyle w:val="Heading3"/>
      </w:pPr>
      <w:proofErr w:type="spellStart"/>
      <w:r>
        <w:t>Pharmacodynamic</w:t>
      </w:r>
      <w:proofErr w:type="spellEnd"/>
      <w:r>
        <w:t xml:space="preserve"> Effects</w:t>
      </w:r>
    </w:p>
    <w:p w14:paraId="490844EC" w14:textId="24973A5A" w:rsidR="000004CC" w:rsidRDefault="00C72A4F" w:rsidP="00B95903">
      <w:proofErr w:type="spellStart"/>
      <w:r>
        <w:t>Patiromer</w:t>
      </w:r>
      <w:proofErr w:type="spellEnd"/>
      <w:r w:rsidRPr="006F3C09">
        <w:t xml:space="preserve"> </w:t>
      </w:r>
      <w:r w:rsidR="000004CC" w:rsidRPr="000004CC">
        <w:t xml:space="preserve">has been shown to bind potassium </w:t>
      </w:r>
      <w:r w:rsidR="000004CC" w:rsidRPr="000004CC">
        <w:rPr>
          <w:i/>
        </w:rPr>
        <w:t>in vitro</w:t>
      </w:r>
      <w:r w:rsidR="000004CC" w:rsidRPr="000004CC">
        <w:t xml:space="preserve"> and </w:t>
      </w:r>
      <w:r w:rsidR="000004CC" w:rsidRPr="000004CC">
        <w:rPr>
          <w:i/>
        </w:rPr>
        <w:t>in vivo</w:t>
      </w:r>
      <w:r w:rsidR="000004CC" w:rsidRPr="000004CC">
        <w:t xml:space="preserve"> in experimental animal models.</w:t>
      </w:r>
    </w:p>
    <w:p w14:paraId="5D48E607" w14:textId="77777777" w:rsidR="00C72A4F" w:rsidRDefault="00C72A4F" w:rsidP="00B95903"/>
    <w:p w14:paraId="50AD81A5" w14:textId="261C117D" w:rsidR="00C72A4F" w:rsidRDefault="00C72A4F" w:rsidP="00B95903">
      <w:r>
        <w:t xml:space="preserve">In a Phase 1 study in healthy adult subjects (6 to 8 subjects per group), </w:t>
      </w:r>
      <w:proofErr w:type="spellStart"/>
      <w:r>
        <w:t>p</w:t>
      </w:r>
      <w:r w:rsidRPr="006F3C09">
        <w:t>atiromer</w:t>
      </w:r>
      <w:proofErr w:type="spellEnd"/>
      <w:r w:rsidRPr="006F3C09">
        <w:t xml:space="preserve"> </w:t>
      </w:r>
      <w:r>
        <w:t>(</w:t>
      </w:r>
      <w:r w:rsidR="000F33DD">
        <w:t xml:space="preserve">2.52 </w:t>
      </w:r>
      <w:r>
        <w:t>g to 50.4</w:t>
      </w:r>
      <w:r w:rsidR="00F70F30">
        <w:t> </w:t>
      </w:r>
      <w:r>
        <w:t>g per day) administered three times a day for 8 days caused a dose-dependent increase in faecal potassium excretion</w:t>
      </w:r>
      <w:r w:rsidR="000F33DD">
        <w:t xml:space="preserve"> compared with placebo</w:t>
      </w:r>
      <w:r>
        <w:t xml:space="preserve">. A corresponding dose-dependent decrease in urinary potassium excretion with no change in serum potassium were also observed. Compared to placebo, </w:t>
      </w:r>
      <w:proofErr w:type="spellStart"/>
      <w:r>
        <w:t>p</w:t>
      </w:r>
      <w:r w:rsidRPr="006F3C09">
        <w:t>atiromer</w:t>
      </w:r>
      <w:proofErr w:type="spellEnd"/>
      <w:r w:rsidRPr="006F3C09">
        <w:t xml:space="preserve"> </w:t>
      </w:r>
      <w:r>
        <w:t>doses of 25.2 and 50.4</w:t>
      </w:r>
      <w:r w:rsidR="00F70F30">
        <w:t> </w:t>
      </w:r>
      <w:r>
        <w:t>g per day significantly decreased mean daily urinary potassium excretion. Daily urinary calcium excretion increased from baseline by 73</w:t>
      </w:r>
      <w:r w:rsidR="00F70F30">
        <w:t> </w:t>
      </w:r>
      <w:r>
        <w:t>mg/day at the 25.2</w:t>
      </w:r>
      <w:r w:rsidR="00F70F30">
        <w:t> </w:t>
      </w:r>
      <w:r>
        <w:t xml:space="preserve">g dose of </w:t>
      </w:r>
      <w:proofErr w:type="spellStart"/>
      <w:r>
        <w:t>p</w:t>
      </w:r>
      <w:r w:rsidRPr="006F3C09">
        <w:t>atiromer</w:t>
      </w:r>
      <w:proofErr w:type="spellEnd"/>
      <w:r>
        <w:t>.</w:t>
      </w:r>
    </w:p>
    <w:p w14:paraId="2B536E62" w14:textId="77777777" w:rsidR="00C72A4F" w:rsidRDefault="00C72A4F" w:rsidP="00B95903"/>
    <w:p w14:paraId="3ABE7E78" w14:textId="771D6BAF" w:rsidR="00C72A4F" w:rsidRDefault="00C72A4F" w:rsidP="00B95903">
      <w:r>
        <w:t>In a Phase 1, open-label, multiple-dose crossover study in 12 healthy subjects, 25.2</w:t>
      </w:r>
      <w:r w:rsidR="00F70F30">
        <w:t> </w:t>
      </w:r>
      <w:r>
        <w:t xml:space="preserve">g of </w:t>
      </w:r>
      <w:proofErr w:type="spellStart"/>
      <w:r>
        <w:t>p</w:t>
      </w:r>
      <w:r w:rsidRPr="006F3C09">
        <w:t>atiromer</w:t>
      </w:r>
      <w:proofErr w:type="spellEnd"/>
      <w:r w:rsidRPr="006F3C09">
        <w:t xml:space="preserve"> </w:t>
      </w:r>
      <w:r>
        <w:t xml:space="preserve">per day was administered orally as a once daily, twice daily or thrice daily regimen for 6 days in a randomly assigned order. A significant increase in mean daily </w:t>
      </w:r>
      <w:r w:rsidR="00C841AD">
        <w:t>faecal</w:t>
      </w:r>
      <w:r>
        <w:t xml:space="preserve"> potassium excretion and concomitant decrease in mean daily urinary potassium excretion were observed during the treatment periods for all three dosing regimens. The mean increase in </w:t>
      </w:r>
      <w:r w:rsidR="00C841AD">
        <w:t>faecal</w:t>
      </w:r>
      <w:r>
        <w:t xml:space="preserve"> potassium excretion ranged from 1283 to 1550</w:t>
      </w:r>
      <w:r w:rsidR="00F70F30">
        <w:t> </w:t>
      </w:r>
      <w:r>
        <w:t>mg/day, and the mean decrease in urinary potassium excretion ranged from 1438 to 1534</w:t>
      </w:r>
      <w:r w:rsidR="00F70F30">
        <w:t> </w:t>
      </w:r>
      <w:r>
        <w:t xml:space="preserve">mg/day across the three dosing regimens. No significant differences were observed among the dosing regimens with respect to mean daily </w:t>
      </w:r>
      <w:r w:rsidR="00C841AD">
        <w:t>faecal</w:t>
      </w:r>
      <w:r>
        <w:t xml:space="preserve"> potassium and urinary potassium excretion. This was true for the overall comparison among the three dosing regimens, as well as for the pairwise comparisons. Daily urinary calcium excretion increased from baseline by 53</w:t>
      </w:r>
      <w:r w:rsidR="00F70F30">
        <w:t> </w:t>
      </w:r>
      <w:r>
        <w:t>mg/day, 66</w:t>
      </w:r>
      <w:r w:rsidR="00F70F30">
        <w:t> </w:t>
      </w:r>
      <w:r>
        <w:t>mg/day and 73</w:t>
      </w:r>
      <w:r w:rsidR="00F70F30">
        <w:t> </w:t>
      </w:r>
      <w:r>
        <w:t>mg/day for once daily, twice daily and thrice daily regimens, respectively.</w:t>
      </w:r>
    </w:p>
    <w:p w14:paraId="39068568" w14:textId="77777777" w:rsidR="00C72A4F" w:rsidRDefault="00C72A4F" w:rsidP="00B95903"/>
    <w:p w14:paraId="4A38A904" w14:textId="5E50080E" w:rsidR="00C72A4F" w:rsidRDefault="00C72A4F" w:rsidP="00B95903">
      <w:r>
        <w:t>In an open-label, uncontrolled study, 25 patients with hyperkalaemia (mean baseline serum potassium of 5.9</w:t>
      </w:r>
      <w:r w:rsidR="00F70F30">
        <w:t> </w:t>
      </w:r>
      <w:proofErr w:type="spellStart"/>
      <w:r>
        <w:t>mEq</w:t>
      </w:r>
      <w:proofErr w:type="spellEnd"/>
      <w:r>
        <w:t xml:space="preserve">/L) and chronic kidney disease were given a controlled potassium diet for 3 days, followed by 16.8 g </w:t>
      </w:r>
      <w:proofErr w:type="spellStart"/>
      <w:r w:rsidR="00C841AD" w:rsidRPr="00C841AD">
        <w:t>patiromer</w:t>
      </w:r>
      <w:proofErr w:type="spellEnd"/>
      <w:r w:rsidR="00C841AD" w:rsidRPr="00C841AD">
        <w:t xml:space="preserve"> </w:t>
      </w:r>
      <w:r>
        <w:t>daily (as two divided doses) for 2 days while the controlled diet was continued. A statistically significant reduction in serum potassium (-0.2</w:t>
      </w:r>
      <w:r w:rsidR="00F70F30">
        <w:t> </w:t>
      </w:r>
      <w:proofErr w:type="spellStart"/>
      <w:r>
        <w:t>mEq</w:t>
      </w:r>
      <w:proofErr w:type="spellEnd"/>
      <w:r>
        <w:t>/L) was observed at 7 hours after the first dose. Serum potassium levels continued to decline during the 48-hour treatment period (-0.8</w:t>
      </w:r>
      <w:r w:rsidR="00F70F30">
        <w:t> </w:t>
      </w:r>
      <w:proofErr w:type="spellStart"/>
      <w:r>
        <w:t>mEq</w:t>
      </w:r>
      <w:proofErr w:type="spellEnd"/>
      <w:r>
        <w:t xml:space="preserve">/L at 48 hours after the first dose). Potassium levels remained stable for 24 hours after the last dose, then rose during the 4-day observation period following discontinuation of </w:t>
      </w:r>
      <w:proofErr w:type="spellStart"/>
      <w:r w:rsidR="00C841AD" w:rsidRPr="00C841AD">
        <w:t>patiromer</w:t>
      </w:r>
      <w:proofErr w:type="spellEnd"/>
      <w:r w:rsidR="00C841AD" w:rsidRPr="00C841AD">
        <w:t xml:space="preserve"> </w:t>
      </w:r>
      <w:proofErr w:type="spellStart"/>
      <w:r w:rsidR="00C841AD" w:rsidRPr="00C841AD">
        <w:t>sorbitex</w:t>
      </w:r>
      <w:proofErr w:type="spellEnd"/>
      <w:r w:rsidR="00C841AD" w:rsidRPr="00C841AD">
        <w:t xml:space="preserve"> calcium</w:t>
      </w:r>
      <w:r>
        <w:t>.</w:t>
      </w:r>
    </w:p>
    <w:p w14:paraId="7AB8EE2B" w14:textId="77777777" w:rsidR="00C72A4F" w:rsidRDefault="00C72A4F" w:rsidP="00B95903"/>
    <w:p w14:paraId="2395E128" w14:textId="77777777" w:rsidR="00C72A4F" w:rsidRDefault="00C72A4F" w:rsidP="00007F98">
      <w:pPr>
        <w:keepNext/>
        <w:rPr>
          <w:rStyle w:val="Strong"/>
        </w:rPr>
      </w:pPr>
      <w:r w:rsidRPr="00C72A4F">
        <w:rPr>
          <w:rStyle w:val="Strong"/>
        </w:rPr>
        <w:lastRenderedPageBreak/>
        <w:t>Figure 1: Onset of Action – Mean (95% CI) Serum Potassium (</w:t>
      </w:r>
      <w:proofErr w:type="spellStart"/>
      <w:r w:rsidRPr="00C72A4F">
        <w:rPr>
          <w:rStyle w:val="Strong"/>
        </w:rPr>
        <w:t>mEq</w:t>
      </w:r>
      <w:proofErr w:type="spellEnd"/>
      <w:r w:rsidRPr="00C72A4F">
        <w:rPr>
          <w:rStyle w:val="Strong"/>
        </w:rPr>
        <w:t>/L) Over Time</w:t>
      </w:r>
    </w:p>
    <w:p w14:paraId="47EB86FC" w14:textId="3F51F9B9" w:rsidR="00C72A4F" w:rsidRDefault="00A23709" w:rsidP="00007F98">
      <w:pPr>
        <w:keepNext/>
        <w:rPr>
          <w:noProof/>
          <w:lang w:val="en-US"/>
        </w:rPr>
      </w:pPr>
      <w:r w:rsidRPr="00A23709">
        <w:rPr>
          <w:noProof/>
          <w:lang w:val="en-US"/>
        </w:rPr>
        <w:t xml:space="preserve"> </w:t>
      </w:r>
    </w:p>
    <w:p w14:paraId="31A64804" w14:textId="77777777" w:rsidR="00B82C8C" w:rsidRDefault="00B82C8C" w:rsidP="00007F98">
      <w:pPr>
        <w:keepNext/>
        <w:rPr>
          <w:rStyle w:val="Strong"/>
        </w:rPr>
      </w:pPr>
      <w:r>
        <w:rPr>
          <w:noProof/>
          <w:lang w:eastAsia="en-AU"/>
        </w:rPr>
        <w:drawing>
          <wp:inline distT="0" distB="0" distL="0" distR="0" wp14:anchorId="46220047" wp14:editId="15F77193">
            <wp:extent cx="5731510" cy="3468637"/>
            <wp:effectExtent l="0" t="0" r="2540" b="0"/>
            <wp:docPr id="4" name="Picture 4" descr="Onset of Action – Mean (95% CI) Serum Potassium (mEq/L) Over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id:image004.jpg@01D2EE83.358DD62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731510" cy="3468637"/>
                    </a:xfrm>
                    <a:prstGeom prst="rect">
                      <a:avLst/>
                    </a:prstGeom>
                    <a:noFill/>
                    <a:ln>
                      <a:noFill/>
                    </a:ln>
                  </pic:spPr>
                </pic:pic>
              </a:graphicData>
            </a:graphic>
          </wp:inline>
        </w:drawing>
      </w:r>
    </w:p>
    <w:p w14:paraId="53258C75" w14:textId="77777777" w:rsidR="00B82C8C" w:rsidRPr="00C72A4F" w:rsidRDefault="00C72A4F" w:rsidP="00007F98">
      <w:pPr>
        <w:keepNext/>
        <w:rPr>
          <w:rStyle w:val="Strong"/>
          <w:b w:val="0"/>
          <w:sz w:val="20"/>
        </w:rPr>
      </w:pPr>
      <w:r w:rsidRPr="00C72A4F">
        <w:rPr>
          <w:rStyle w:val="Strong"/>
          <w:b w:val="0"/>
          <w:sz w:val="20"/>
        </w:rPr>
        <w:t>* Filled circle indicates the hour when the first statistically significant reduction was iden</w:t>
      </w:r>
      <w:r w:rsidR="00F70F30">
        <w:rPr>
          <w:rStyle w:val="Strong"/>
          <w:b w:val="0"/>
          <w:sz w:val="20"/>
        </w:rPr>
        <w:t>tified. A mean reduction of 0.8 </w:t>
      </w:r>
      <w:proofErr w:type="spellStart"/>
      <w:r w:rsidRPr="00C72A4F">
        <w:rPr>
          <w:rStyle w:val="Strong"/>
          <w:b w:val="0"/>
          <w:sz w:val="20"/>
        </w:rPr>
        <w:t>mEq</w:t>
      </w:r>
      <w:proofErr w:type="spellEnd"/>
      <w:r w:rsidRPr="00C72A4F">
        <w:rPr>
          <w:rStyle w:val="Strong"/>
          <w:b w:val="0"/>
          <w:sz w:val="20"/>
        </w:rPr>
        <w:t>/L was observed at 48 hours (p &lt; 0.001).</w:t>
      </w:r>
    </w:p>
    <w:p w14:paraId="628A3786" w14:textId="77777777" w:rsidR="00C72A4F" w:rsidRPr="00C72A4F" w:rsidRDefault="00C72A4F" w:rsidP="00B95903">
      <w:pPr>
        <w:rPr>
          <w:rStyle w:val="Strong"/>
          <w:b w:val="0"/>
          <w:sz w:val="20"/>
        </w:rPr>
      </w:pPr>
      <w:r w:rsidRPr="00C72A4F">
        <w:rPr>
          <w:rStyle w:val="Strong"/>
          <w:b w:val="0"/>
          <w:sz w:val="20"/>
        </w:rPr>
        <w:t xml:space="preserve">Notes: Hours -72 to 0 = Potassium controlled diet Run-in Period; Hours 0 to 58 = Inpatient Treatment Period with </w:t>
      </w:r>
      <w:proofErr w:type="spellStart"/>
      <w:r w:rsidRPr="00C72A4F">
        <w:rPr>
          <w:rStyle w:val="Strong"/>
          <w:b w:val="0"/>
          <w:sz w:val="20"/>
        </w:rPr>
        <w:t>Veltassa</w:t>
      </w:r>
      <w:proofErr w:type="spellEnd"/>
      <w:r w:rsidRPr="00C72A4F">
        <w:rPr>
          <w:rStyle w:val="Strong"/>
          <w:b w:val="0"/>
          <w:sz w:val="20"/>
        </w:rPr>
        <w:t xml:space="preserve"> 16.8</w:t>
      </w:r>
      <w:r w:rsidR="00F70F30">
        <w:rPr>
          <w:rStyle w:val="Strong"/>
          <w:b w:val="0"/>
          <w:sz w:val="20"/>
        </w:rPr>
        <w:t> </w:t>
      </w:r>
      <w:r w:rsidRPr="00C72A4F">
        <w:rPr>
          <w:rStyle w:val="Strong"/>
          <w:b w:val="0"/>
          <w:sz w:val="20"/>
        </w:rPr>
        <w:t>g daily as divided doses; Hour 58 to Day 6 = Outpatient Follow-Up Period</w:t>
      </w:r>
    </w:p>
    <w:p w14:paraId="6B80F368" w14:textId="77777777" w:rsidR="00F22BCA" w:rsidRDefault="00F22BCA" w:rsidP="00B95903">
      <w:pPr>
        <w:pStyle w:val="Heading2"/>
      </w:pPr>
      <w:r w:rsidRPr="00035334">
        <w:t>Pharmacokinetics</w:t>
      </w:r>
    </w:p>
    <w:p w14:paraId="4D06D3EB" w14:textId="77777777" w:rsidR="00934C4D" w:rsidRDefault="00934C4D" w:rsidP="00B95903">
      <w:proofErr w:type="spellStart"/>
      <w:r w:rsidRPr="00934C4D">
        <w:t>Veltassa</w:t>
      </w:r>
      <w:proofErr w:type="spellEnd"/>
      <w:r w:rsidRPr="00934C4D">
        <w:t xml:space="preserve"> works by binding potassium in the gastrointestinal tract and thus the serum </w:t>
      </w:r>
      <w:r w:rsidR="00DF683C">
        <w:t xml:space="preserve">drug </w:t>
      </w:r>
      <w:r w:rsidRPr="00934C4D">
        <w:t>concentration is not relevant for its efficacy. Due to the insolubility and non</w:t>
      </w:r>
      <w:r>
        <w:t>-</w:t>
      </w:r>
      <w:r w:rsidRPr="00934C4D">
        <w:t>absor</w:t>
      </w:r>
      <w:r>
        <w:t>p</w:t>
      </w:r>
      <w:r w:rsidRPr="00934C4D">
        <w:t xml:space="preserve">tive characteristics of </w:t>
      </w:r>
      <w:proofErr w:type="spellStart"/>
      <w:r w:rsidRPr="00934C4D">
        <w:t>Veltassa</w:t>
      </w:r>
      <w:proofErr w:type="spellEnd"/>
      <w:r w:rsidRPr="00934C4D">
        <w:t>, many classical pharmacokinetic studies cannot be carried out.</w:t>
      </w:r>
    </w:p>
    <w:p w14:paraId="19FCB105" w14:textId="77777777" w:rsidR="00934C4D" w:rsidRDefault="00934C4D" w:rsidP="00B95903"/>
    <w:p w14:paraId="0E1FCDB5" w14:textId="4410353E" w:rsidR="00C72A4F" w:rsidRPr="00934C4D" w:rsidRDefault="00934C4D" w:rsidP="00B95903">
      <w:r w:rsidRPr="00934C4D">
        <w:t xml:space="preserve">In radiolabelled ADME studies in rats and dogs, </w:t>
      </w:r>
      <w:proofErr w:type="spellStart"/>
      <w:r w:rsidRPr="00934C4D">
        <w:t>patiromer</w:t>
      </w:r>
      <w:proofErr w:type="spellEnd"/>
      <w:r w:rsidRPr="00934C4D">
        <w:t xml:space="preserve"> was not systemically absorbed and was excreted in the faeces. Quantitative whole-body autoradiography analysis in rats demonstrated that radioactivity was limited to the gastrointestinal tract, with no detectable level of radioactivity in any other tissues or organs.</w:t>
      </w:r>
    </w:p>
    <w:p w14:paraId="752357C4" w14:textId="77777777" w:rsidR="006A0530" w:rsidRPr="008746E7" w:rsidRDefault="000E60EC" w:rsidP="00B95903">
      <w:pPr>
        <w:pStyle w:val="Heading1"/>
      </w:pPr>
      <w:r w:rsidRPr="008746E7">
        <w:t>C</w:t>
      </w:r>
      <w:r w:rsidR="001E2D56" w:rsidRPr="008746E7">
        <w:t>LINICAL TRIALS</w:t>
      </w:r>
    </w:p>
    <w:p w14:paraId="67EAF130" w14:textId="2D6CBD10" w:rsidR="006A0530" w:rsidRDefault="00C72A4F" w:rsidP="00B95903">
      <w:r w:rsidRPr="00C72A4F">
        <w:t xml:space="preserve">The safety and efficacy of </w:t>
      </w:r>
      <w:proofErr w:type="spellStart"/>
      <w:r w:rsidR="00C841AD" w:rsidRPr="00C841AD">
        <w:t>patiromer</w:t>
      </w:r>
      <w:proofErr w:type="spellEnd"/>
      <w:r w:rsidR="00C841AD" w:rsidRPr="00C841AD">
        <w:t xml:space="preserve"> </w:t>
      </w:r>
      <w:proofErr w:type="spellStart"/>
      <w:r w:rsidR="00C841AD" w:rsidRPr="00C841AD">
        <w:t>sorbitex</w:t>
      </w:r>
      <w:proofErr w:type="spellEnd"/>
      <w:r w:rsidR="00C841AD" w:rsidRPr="00C841AD">
        <w:t xml:space="preserve"> calcium</w:t>
      </w:r>
      <w:r w:rsidRPr="00C72A4F">
        <w:t xml:space="preserve"> were demonstrated in a two-part, single-blind randomised withdrawal study that evaluated </w:t>
      </w:r>
      <w:proofErr w:type="spellStart"/>
      <w:r w:rsidR="00C841AD" w:rsidRPr="00C841AD">
        <w:t>patiromer</w:t>
      </w:r>
      <w:proofErr w:type="spellEnd"/>
      <w:r w:rsidR="00C841AD" w:rsidRPr="00C841AD">
        <w:t xml:space="preserve"> </w:t>
      </w:r>
      <w:proofErr w:type="spellStart"/>
      <w:r w:rsidR="00C841AD" w:rsidRPr="00C841AD">
        <w:t>sorbitex</w:t>
      </w:r>
      <w:proofErr w:type="spellEnd"/>
      <w:r w:rsidR="00C841AD" w:rsidRPr="00C841AD">
        <w:t xml:space="preserve"> calcium</w:t>
      </w:r>
      <w:r w:rsidRPr="00C72A4F">
        <w:t xml:space="preserve"> in </w:t>
      </w:r>
      <w:proofErr w:type="spellStart"/>
      <w:r w:rsidRPr="00C72A4F">
        <w:t>hyperkalaemic</w:t>
      </w:r>
      <w:proofErr w:type="spellEnd"/>
      <w:r w:rsidRPr="00C72A4F">
        <w:t xml:space="preserve"> patients with CKD on stable doses of at least one </w:t>
      </w:r>
      <w:r w:rsidR="00B34362">
        <w:t xml:space="preserve">renin angiotensin aldosterone system (RAAS) </w:t>
      </w:r>
      <w:r w:rsidRPr="00C72A4F">
        <w:t>inhibitor (i.e., angiotensin-converting enzyme inhibitor [ACEI], angiotensin II receptor blocker [ARB], or aldosterone antagonist [AA]).</w:t>
      </w:r>
    </w:p>
    <w:p w14:paraId="3B33A95C" w14:textId="77777777" w:rsidR="00C72A4F" w:rsidRDefault="00C72A4F" w:rsidP="00B95903"/>
    <w:p w14:paraId="47F50FFA" w14:textId="585DCD57" w:rsidR="00C72A4F" w:rsidRDefault="00C72A4F" w:rsidP="00B95903">
      <w:r>
        <w:t xml:space="preserve">In Part A, 243 patients were treated with </w:t>
      </w:r>
      <w:proofErr w:type="spellStart"/>
      <w:r w:rsidR="00C841AD">
        <w:t>Veltassa</w:t>
      </w:r>
      <w:proofErr w:type="spellEnd"/>
      <w:r>
        <w:t xml:space="preserve"> for 4 weeks. Patients with a baseline serum potassium of 5.1</w:t>
      </w:r>
      <w:r w:rsidR="00F70F30">
        <w:t xml:space="preserve"> </w:t>
      </w:r>
      <w:proofErr w:type="spellStart"/>
      <w:r>
        <w:t>mEq</w:t>
      </w:r>
      <w:proofErr w:type="spellEnd"/>
      <w:r>
        <w:t>/L to &lt;</w:t>
      </w:r>
      <w:r w:rsidR="00F70F30">
        <w:t> </w:t>
      </w:r>
      <w:r>
        <w:t xml:space="preserve">5.5 </w:t>
      </w:r>
      <w:proofErr w:type="spellStart"/>
      <w:r>
        <w:t>mEq</w:t>
      </w:r>
      <w:proofErr w:type="spellEnd"/>
      <w:r>
        <w:t xml:space="preserve">/L received a starting </w:t>
      </w:r>
      <w:proofErr w:type="spellStart"/>
      <w:r>
        <w:t>Veltassa</w:t>
      </w:r>
      <w:proofErr w:type="spellEnd"/>
      <w:r w:rsidR="00F70F30">
        <w:t xml:space="preserve"> dose of 8.4 </w:t>
      </w:r>
      <w:r>
        <w:t xml:space="preserve">g </w:t>
      </w:r>
      <w:proofErr w:type="spellStart"/>
      <w:r w:rsidR="00C841AD" w:rsidRPr="00C841AD">
        <w:t>patiromer</w:t>
      </w:r>
      <w:proofErr w:type="spellEnd"/>
      <w:r w:rsidR="00C841AD" w:rsidRPr="00C841AD">
        <w:t xml:space="preserve"> </w:t>
      </w:r>
      <w:r>
        <w:lastRenderedPageBreak/>
        <w:t>per day (as a divided dose) and patients with a baseline serum potassium of 5.5</w:t>
      </w:r>
      <w:r w:rsidR="00F70F30">
        <w:t> </w:t>
      </w:r>
      <w:proofErr w:type="spellStart"/>
      <w:r>
        <w:t>mEq</w:t>
      </w:r>
      <w:proofErr w:type="spellEnd"/>
      <w:r>
        <w:t>/L to &lt;</w:t>
      </w:r>
      <w:r w:rsidR="00F70F30">
        <w:t> </w:t>
      </w:r>
      <w:r>
        <w:t>6.5</w:t>
      </w:r>
      <w:r w:rsidR="00F70F30">
        <w:t> </w:t>
      </w:r>
      <w:proofErr w:type="spellStart"/>
      <w:r>
        <w:t>mEq</w:t>
      </w:r>
      <w:proofErr w:type="spellEnd"/>
      <w:r>
        <w:t xml:space="preserve">/L received a starting </w:t>
      </w:r>
      <w:proofErr w:type="spellStart"/>
      <w:r>
        <w:t>Veltassa</w:t>
      </w:r>
      <w:proofErr w:type="spellEnd"/>
      <w:r>
        <w:t xml:space="preserve"> dose of 16.8</w:t>
      </w:r>
      <w:r w:rsidR="00F70F30">
        <w:t> </w:t>
      </w:r>
      <w:r>
        <w:t xml:space="preserve">g </w:t>
      </w:r>
      <w:proofErr w:type="spellStart"/>
      <w:r w:rsidR="00C841AD" w:rsidRPr="00C841AD">
        <w:t>patiromer</w:t>
      </w:r>
      <w:proofErr w:type="spellEnd"/>
      <w:r w:rsidR="00C841AD" w:rsidRPr="00C841AD">
        <w:t xml:space="preserve"> </w:t>
      </w:r>
      <w:r>
        <w:t xml:space="preserve">per day (as a divided dose). The dose of </w:t>
      </w:r>
      <w:proofErr w:type="spellStart"/>
      <w:r>
        <w:t>Veltassa</w:t>
      </w:r>
      <w:proofErr w:type="spellEnd"/>
      <w:r>
        <w:t xml:space="preserve"> was titrated, as needed, based on the serum potassium level, assessed starting on Day 3 and then at weekly visits (Weeks 1, 2 and 3) to the end of the 4-week treatment period, with the aim of maintaining serum pot</w:t>
      </w:r>
      <w:r w:rsidR="00F70F30">
        <w:t>assium in the target range (3.8 </w:t>
      </w:r>
      <w:proofErr w:type="spellStart"/>
      <w:r>
        <w:t>mEq</w:t>
      </w:r>
      <w:proofErr w:type="spellEnd"/>
      <w:r>
        <w:t>/L to &lt;</w:t>
      </w:r>
      <w:r w:rsidR="00F70F30">
        <w:t> </w:t>
      </w:r>
      <w:r>
        <w:t>5.1</w:t>
      </w:r>
      <w:r w:rsidR="00F70F30">
        <w:t> </w:t>
      </w:r>
      <w:proofErr w:type="spellStart"/>
      <w:r>
        <w:t>mEq</w:t>
      </w:r>
      <w:proofErr w:type="spellEnd"/>
      <w:r>
        <w:t xml:space="preserve">/L). The mean daily doses of </w:t>
      </w:r>
      <w:proofErr w:type="spellStart"/>
      <w:r w:rsidR="002071A3">
        <w:t>patiromer</w:t>
      </w:r>
      <w:proofErr w:type="spellEnd"/>
      <w:r w:rsidR="002071A3">
        <w:t xml:space="preserve"> </w:t>
      </w:r>
      <w:r>
        <w:t>were 13</w:t>
      </w:r>
      <w:r w:rsidR="00F70F30">
        <w:t> </w:t>
      </w:r>
      <w:r>
        <w:t>g and 21</w:t>
      </w:r>
      <w:r w:rsidR="00F70F30">
        <w:t> </w:t>
      </w:r>
      <w:r>
        <w:t>g in patients with serum potassium of 5.1 to &lt;</w:t>
      </w:r>
      <w:r w:rsidR="00F70F30">
        <w:t> </w:t>
      </w:r>
      <w:r>
        <w:t>5.5</w:t>
      </w:r>
      <w:r w:rsidR="00F70F30">
        <w:t> </w:t>
      </w:r>
      <w:proofErr w:type="spellStart"/>
      <w:r>
        <w:t>mEq</w:t>
      </w:r>
      <w:proofErr w:type="spellEnd"/>
      <w:r>
        <w:t>/L and 5.5 to &lt;</w:t>
      </w:r>
      <w:r w:rsidR="00F70F30">
        <w:t> </w:t>
      </w:r>
      <w:r>
        <w:t>6.5</w:t>
      </w:r>
      <w:r w:rsidR="00F70F30">
        <w:t> </w:t>
      </w:r>
      <w:proofErr w:type="spellStart"/>
      <w:r>
        <w:t>mEq</w:t>
      </w:r>
      <w:proofErr w:type="spellEnd"/>
      <w:r>
        <w:t>/L, respectively.</w:t>
      </w:r>
    </w:p>
    <w:p w14:paraId="1F72D6B2" w14:textId="77777777" w:rsidR="00C841AD" w:rsidRDefault="00C841AD" w:rsidP="00B95903"/>
    <w:p w14:paraId="13A31B38" w14:textId="77777777" w:rsidR="00C72A4F" w:rsidRDefault="00C72A4F" w:rsidP="00B95903">
      <w:r>
        <w:t>The mean age of patients was 64 years, 58% of patients were men, and 98% were Caucasian. Approximately 97% of patients had hypertension, 57% had type 2 diabetes, and 42% had heart failure.</w:t>
      </w:r>
    </w:p>
    <w:p w14:paraId="735801CA" w14:textId="77777777" w:rsidR="00C841AD" w:rsidRDefault="00C841AD" w:rsidP="00B95903"/>
    <w:p w14:paraId="1249A968" w14:textId="77777777" w:rsidR="00C72A4F" w:rsidRPr="008746E7" w:rsidRDefault="00C72A4F" w:rsidP="00B95903">
      <w:r>
        <w:t>Mean serum potassium levels were 5.58</w:t>
      </w:r>
      <w:r w:rsidR="00F70F30">
        <w:t> </w:t>
      </w:r>
      <w:proofErr w:type="spellStart"/>
      <w:r>
        <w:t>mEq</w:t>
      </w:r>
      <w:proofErr w:type="spellEnd"/>
      <w:r>
        <w:t xml:space="preserve">/L at baseline and the mean (SE) change in serum potassium from Part </w:t>
      </w:r>
      <w:proofErr w:type="gramStart"/>
      <w:r>
        <w:t>A</w:t>
      </w:r>
      <w:proofErr w:type="gramEnd"/>
      <w:r>
        <w:t xml:space="preserve"> Baseline to </w:t>
      </w:r>
      <w:r w:rsidR="00F70F30">
        <w:t>Part A Week 4 was -1.01 (0.031) </w:t>
      </w:r>
      <w:proofErr w:type="spellStart"/>
      <w:r>
        <w:t>mEq</w:t>
      </w:r>
      <w:proofErr w:type="spellEnd"/>
      <w:r>
        <w:t>/L (see Figure 2); this mean reduction in serum potassium was</w:t>
      </w:r>
      <w:r w:rsidR="00E0331C">
        <w:t xml:space="preserve"> statistically significant (p </w:t>
      </w:r>
      <w:r w:rsidR="00C841AD">
        <w:t>&lt;</w:t>
      </w:r>
      <w:r w:rsidR="00E0331C">
        <w:t> </w:t>
      </w:r>
      <w:r>
        <w:t>0.001). For the Part A secondary outcome, 76% (95% CI: 70%, 81%) of patients had a serum potassium in the</w:t>
      </w:r>
      <w:r w:rsidR="00C841AD">
        <w:t xml:space="preserve"> target range of 3.8</w:t>
      </w:r>
      <w:r w:rsidR="00F70F30">
        <w:t> </w:t>
      </w:r>
      <w:proofErr w:type="spellStart"/>
      <w:r w:rsidR="00C841AD">
        <w:t>mEq</w:t>
      </w:r>
      <w:proofErr w:type="spellEnd"/>
      <w:r w:rsidR="00C841AD">
        <w:t>/L to &lt; </w:t>
      </w:r>
      <w:r w:rsidR="00E0331C">
        <w:t>5.1 </w:t>
      </w:r>
      <w:proofErr w:type="spellStart"/>
      <w:r>
        <w:t>mEq</w:t>
      </w:r>
      <w:proofErr w:type="spellEnd"/>
      <w:r>
        <w:t xml:space="preserve">/L at Part </w:t>
      </w:r>
      <w:proofErr w:type="gramStart"/>
      <w:r>
        <w:t>A</w:t>
      </w:r>
      <w:proofErr w:type="gramEnd"/>
      <w:r>
        <w:t xml:space="preserve"> Week 4.</w:t>
      </w:r>
    </w:p>
    <w:p w14:paraId="2EF4BA8C" w14:textId="77777777" w:rsidR="000E60EC" w:rsidRPr="008746E7" w:rsidRDefault="000E60EC" w:rsidP="00B95903"/>
    <w:p w14:paraId="7DA5566F" w14:textId="77777777" w:rsidR="00BC1A09" w:rsidRDefault="00C72A4F" w:rsidP="00AD040B">
      <w:pPr>
        <w:keepNext/>
        <w:rPr>
          <w:rStyle w:val="Strong"/>
        </w:rPr>
      </w:pPr>
      <w:r w:rsidRPr="00C72A4F">
        <w:rPr>
          <w:rStyle w:val="Strong"/>
        </w:rPr>
        <w:t>Figure 2: Estimated Mean (95% CI) of Central Serum Potassium (</w:t>
      </w:r>
      <w:proofErr w:type="spellStart"/>
      <w:r w:rsidRPr="00C72A4F">
        <w:rPr>
          <w:rStyle w:val="Strong"/>
        </w:rPr>
        <w:t>mEq</w:t>
      </w:r>
      <w:proofErr w:type="spellEnd"/>
      <w:r w:rsidRPr="00C72A4F">
        <w:rPr>
          <w:rStyle w:val="Strong"/>
        </w:rPr>
        <w:t>/L) Over Time</w:t>
      </w:r>
    </w:p>
    <w:p w14:paraId="4AF1EEC3" w14:textId="77777777" w:rsidR="00C72A4F" w:rsidRPr="00C841AD" w:rsidRDefault="00C72A4F" w:rsidP="00B95903">
      <w:pPr>
        <w:rPr>
          <w:rStyle w:val="Strong"/>
          <w:b w:val="0"/>
        </w:rPr>
      </w:pPr>
      <w:r w:rsidRPr="00C841AD">
        <w:rPr>
          <w:noProof/>
          <w:lang w:eastAsia="en-AU"/>
        </w:rPr>
        <w:drawing>
          <wp:inline distT="0" distB="0" distL="0" distR="0" wp14:anchorId="1A2CBEAE" wp14:editId="34FDE327">
            <wp:extent cx="5731510" cy="3802380"/>
            <wp:effectExtent l="0" t="0" r="2540" b="7620"/>
            <wp:docPr id="1" name="Picture 1" descr="Estimated Mean (95% CI) of Central Serum Potassium (mEq/L) Over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3802380"/>
                    </a:xfrm>
                    <a:prstGeom prst="rect">
                      <a:avLst/>
                    </a:prstGeom>
                  </pic:spPr>
                </pic:pic>
              </a:graphicData>
            </a:graphic>
          </wp:inline>
        </w:drawing>
      </w:r>
    </w:p>
    <w:p w14:paraId="3E619438" w14:textId="77777777" w:rsidR="00C841AD" w:rsidRDefault="00C841AD" w:rsidP="00B95903">
      <w:pPr>
        <w:rPr>
          <w:rStyle w:val="Strong"/>
          <w:b w:val="0"/>
        </w:rPr>
      </w:pPr>
    </w:p>
    <w:p w14:paraId="407FF8F8" w14:textId="219B60A5" w:rsidR="00C841AD" w:rsidRDefault="00C841AD" w:rsidP="00B95903">
      <w:pPr>
        <w:rPr>
          <w:rStyle w:val="Strong"/>
          <w:b w:val="0"/>
        </w:rPr>
      </w:pPr>
      <w:r w:rsidRPr="00C841AD">
        <w:rPr>
          <w:rStyle w:val="Strong"/>
          <w:b w:val="0"/>
        </w:rPr>
        <w:t xml:space="preserve">In Part B, 107 patients with a Part A baseline serum </w:t>
      </w:r>
      <w:r w:rsidR="00E0331C">
        <w:rPr>
          <w:rStyle w:val="Strong"/>
          <w:b w:val="0"/>
        </w:rPr>
        <w:t>potassium of 5.5 </w:t>
      </w:r>
      <w:proofErr w:type="spellStart"/>
      <w:r w:rsidRPr="00C841AD">
        <w:rPr>
          <w:rStyle w:val="Strong"/>
          <w:b w:val="0"/>
        </w:rPr>
        <w:t>mEq</w:t>
      </w:r>
      <w:proofErr w:type="spellEnd"/>
      <w:r w:rsidRPr="00C841AD">
        <w:rPr>
          <w:rStyle w:val="Strong"/>
          <w:b w:val="0"/>
        </w:rPr>
        <w:t>/L to &lt;</w:t>
      </w:r>
      <w:r>
        <w:rPr>
          <w:rStyle w:val="Strong"/>
          <w:b w:val="0"/>
        </w:rPr>
        <w:t> </w:t>
      </w:r>
      <w:r w:rsidR="00E0331C">
        <w:rPr>
          <w:rStyle w:val="Strong"/>
          <w:b w:val="0"/>
        </w:rPr>
        <w:t>6.5 </w:t>
      </w:r>
      <w:proofErr w:type="spellStart"/>
      <w:r w:rsidRPr="00C841AD">
        <w:rPr>
          <w:rStyle w:val="Strong"/>
          <w:b w:val="0"/>
        </w:rPr>
        <w:t>mEq</w:t>
      </w:r>
      <w:proofErr w:type="spellEnd"/>
      <w:r w:rsidRPr="00C841AD">
        <w:rPr>
          <w:rStyle w:val="Strong"/>
          <w:b w:val="0"/>
        </w:rPr>
        <w:t>/L and whose serum potassi</w:t>
      </w:r>
      <w:r w:rsidR="00E0331C">
        <w:rPr>
          <w:rStyle w:val="Strong"/>
          <w:b w:val="0"/>
        </w:rPr>
        <w:t>um was in the target range (3.8 </w:t>
      </w:r>
      <w:proofErr w:type="spellStart"/>
      <w:r w:rsidRPr="00C841AD">
        <w:rPr>
          <w:rStyle w:val="Strong"/>
          <w:b w:val="0"/>
        </w:rPr>
        <w:t>mEq</w:t>
      </w:r>
      <w:proofErr w:type="spellEnd"/>
      <w:r w:rsidRPr="00C841AD">
        <w:rPr>
          <w:rStyle w:val="Strong"/>
          <w:b w:val="0"/>
        </w:rPr>
        <w:t>/L to &lt;</w:t>
      </w:r>
      <w:r>
        <w:rPr>
          <w:rStyle w:val="Strong"/>
          <w:b w:val="0"/>
        </w:rPr>
        <w:t> </w:t>
      </w:r>
      <w:r w:rsidRPr="00C841AD">
        <w:rPr>
          <w:rStyle w:val="Strong"/>
          <w:b w:val="0"/>
        </w:rPr>
        <w:t>5.1</w:t>
      </w:r>
      <w:r w:rsidR="00E0331C">
        <w:rPr>
          <w:rStyle w:val="Strong"/>
          <w:b w:val="0"/>
        </w:rPr>
        <w:t> </w:t>
      </w:r>
      <w:proofErr w:type="spellStart"/>
      <w:r w:rsidRPr="00C841AD">
        <w:rPr>
          <w:rStyle w:val="Strong"/>
          <w:b w:val="0"/>
        </w:rPr>
        <w:t>mEq</w:t>
      </w:r>
      <w:proofErr w:type="spellEnd"/>
      <w:r w:rsidRPr="00C841AD">
        <w:rPr>
          <w:rStyle w:val="Strong"/>
          <w:b w:val="0"/>
        </w:rPr>
        <w:t xml:space="preserve">/L) at Part </w:t>
      </w:r>
      <w:proofErr w:type="gramStart"/>
      <w:r w:rsidRPr="00C841AD">
        <w:rPr>
          <w:rStyle w:val="Strong"/>
          <w:b w:val="0"/>
        </w:rPr>
        <w:t>A</w:t>
      </w:r>
      <w:proofErr w:type="gramEnd"/>
      <w:r w:rsidRPr="00C841AD">
        <w:rPr>
          <w:rStyle w:val="Strong"/>
          <w:b w:val="0"/>
        </w:rPr>
        <w:t xml:space="preserve"> Week</w:t>
      </w:r>
      <w:r w:rsidR="009812B9">
        <w:rPr>
          <w:rStyle w:val="Strong"/>
          <w:b w:val="0"/>
        </w:rPr>
        <w:t> </w:t>
      </w:r>
      <w:r w:rsidRPr="00C841AD">
        <w:rPr>
          <w:rStyle w:val="Strong"/>
          <w:b w:val="0"/>
        </w:rPr>
        <w:t xml:space="preserve">4 and still receiving RAAS inhibitor medication were randomized to continue </w:t>
      </w:r>
      <w:proofErr w:type="spellStart"/>
      <w:r w:rsidRPr="00C841AD">
        <w:rPr>
          <w:rStyle w:val="Strong"/>
          <w:b w:val="0"/>
        </w:rPr>
        <w:t>Veltassa</w:t>
      </w:r>
      <w:proofErr w:type="spellEnd"/>
      <w:r w:rsidRPr="00C841AD">
        <w:rPr>
          <w:rStyle w:val="Strong"/>
          <w:b w:val="0"/>
        </w:rPr>
        <w:t xml:space="preserve"> or to receive placebo for 8 weeks to evaluate the effect of withdrawing </w:t>
      </w:r>
      <w:proofErr w:type="spellStart"/>
      <w:r w:rsidRPr="00C841AD">
        <w:rPr>
          <w:rStyle w:val="Strong"/>
          <w:b w:val="0"/>
        </w:rPr>
        <w:t>Veltassa</w:t>
      </w:r>
      <w:proofErr w:type="spellEnd"/>
      <w:r w:rsidRPr="00C841AD">
        <w:rPr>
          <w:rStyle w:val="Strong"/>
          <w:b w:val="0"/>
        </w:rPr>
        <w:t xml:space="preserve"> on serum </w:t>
      </w:r>
      <w:r w:rsidRPr="00C841AD">
        <w:rPr>
          <w:rStyle w:val="Strong"/>
          <w:b w:val="0"/>
        </w:rPr>
        <w:lastRenderedPageBreak/>
        <w:t xml:space="preserve">potassium. In patients randomized to </w:t>
      </w:r>
      <w:proofErr w:type="spellStart"/>
      <w:r w:rsidRPr="00C841AD">
        <w:rPr>
          <w:rStyle w:val="Strong"/>
          <w:b w:val="0"/>
        </w:rPr>
        <w:t>Velta</w:t>
      </w:r>
      <w:r w:rsidR="00E0331C">
        <w:rPr>
          <w:rStyle w:val="Strong"/>
          <w:b w:val="0"/>
        </w:rPr>
        <w:t>ssa</w:t>
      </w:r>
      <w:proofErr w:type="spellEnd"/>
      <w:r w:rsidR="00E0331C">
        <w:rPr>
          <w:rStyle w:val="Strong"/>
          <w:b w:val="0"/>
        </w:rPr>
        <w:t>, the mean daily dose was 21 </w:t>
      </w:r>
      <w:r w:rsidRPr="00C841AD">
        <w:rPr>
          <w:rStyle w:val="Strong"/>
          <w:b w:val="0"/>
        </w:rPr>
        <w:t>g at the start of Part B and during Part B.</w:t>
      </w:r>
    </w:p>
    <w:p w14:paraId="087F06A8" w14:textId="77777777" w:rsidR="00C841AD" w:rsidRPr="00C841AD" w:rsidRDefault="00C841AD" w:rsidP="00B95903">
      <w:pPr>
        <w:rPr>
          <w:rStyle w:val="Strong"/>
          <w:b w:val="0"/>
        </w:rPr>
      </w:pPr>
    </w:p>
    <w:p w14:paraId="0C2F163A" w14:textId="77777777" w:rsidR="00C877E5" w:rsidRDefault="00C841AD" w:rsidP="00B95903">
      <w:pPr>
        <w:rPr>
          <w:rStyle w:val="Strong"/>
          <w:b w:val="0"/>
        </w:rPr>
      </w:pPr>
      <w:r w:rsidRPr="00C841AD">
        <w:rPr>
          <w:rStyle w:val="Strong"/>
          <w:b w:val="0"/>
        </w:rPr>
        <w:t>The Part B primary endpoint was the change in serum potassium from Part B baseline to the earliest visit at which the patient’s serum potassium was first outside of the range of 3.8 to &lt;</w:t>
      </w:r>
      <w:r>
        <w:rPr>
          <w:rStyle w:val="Strong"/>
          <w:b w:val="0"/>
        </w:rPr>
        <w:t> </w:t>
      </w:r>
      <w:r w:rsidRPr="00C841AD">
        <w:rPr>
          <w:rStyle w:val="Strong"/>
          <w:b w:val="0"/>
        </w:rPr>
        <w:t>5.5</w:t>
      </w:r>
      <w:r w:rsidR="00E0331C">
        <w:rPr>
          <w:rStyle w:val="Strong"/>
          <w:b w:val="0"/>
        </w:rPr>
        <w:t> </w:t>
      </w:r>
      <w:proofErr w:type="spellStart"/>
      <w:r w:rsidRPr="00C841AD">
        <w:rPr>
          <w:rStyle w:val="Strong"/>
          <w:b w:val="0"/>
        </w:rPr>
        <w:t>mEq</w:t>
      </w:r>
      <w:proofErr w:type="spellEnd"/>
      <w:r w:rsidRPr="00C841AD">
        <w:rPr>
          <w:rStyle w:val="Strong"/>
          <w:b w:val="0"/>
        </w:rPr>
        <w:t>/L or to Part B Week 4 if the patient’s serum potassium remained in the range. In</w:t>
      </w:r>
      <w:r w:rsidR="00C877E5">
        <w:rPr>
          <w:rStyle w:val="Strong"/>
          <w:b w:val="0"/>
        </w:rPr>
        <w:t xml:space="preserve"> </w:t>
      </w:r>
      <w:r w:rsidR="00C877E5" w:rsidRPr="00C877E5">
        <w:rPr>
          <w:rStyle w:val="Strong"/>
          <w:b w:val="0"/>
        </w:rPr>
        <w:t>Part B, serum potassium rose by 0.72</w:t>
      </w:r>
      <w:r w:rsidR="00E0331C">
        <w:rPr>
          <w:rStyle w:val="Strong"/>
          <w:b w:val="0"/>
        </w:rPr>
        <w:t> </w:t>
      </w:r>
      <w:proofErr w:type="spellStart"/>
      <w:r w:rsidR="00C877E5" w:rsidRPr="00C877E5">
        <w:rPr>
          <w:rStyle w:val="Strong"/>
          <w:b w:val="0"/>
        </w:rPr>
        <w:t>mEq</w:t>
      </w:r>
      <w:proofErr w:type="spellEnd"/>
      <w:r w:rsidR="00C877E5" w:rsidRPr="00C877E5">
        <w:rPr>
          <w:rStyle w:val="Strong"/>
          <w:b w:val="0"/>
        </w:rPr>
        <w:t xml:space="preserve">/L in patients on placebo relative to no change in patients who remained on </w:t>
      </w:r>
      <w:proofErr w:type="spellStart"/>
      <w:r w:rsidR="00C877E5" w:rsidRPr="00C877E5">
        <w:rPr>
          <w:rStyle w:val="Strong"/>
          <w:b w:val="0"/>
        </w:rPr>
        <w:t>Veltassa</w:t>
      </w:r>
      <w:proofErr w:type="spellEnd"/>
      <w:r w:rsidR="00C877E5" w:rsidRPr="00C877E5">
        <w:rPr>
          <w:rStyle w:val="Strong"/>
          <w:b w:val="0"/>
        </w:rPr>
        <w:t xml:space="preserve"> (p</w:t>
      </w:r>
      <w:r w:rsidR="00E0331C">
        <w:rPr>
          <w:rStyle w:val="Strong"/>
          <w:b w:val="0"/>
        </w:rPr>
        <w:t> </w:t>
      </w:r>
      <w:r w:rsidR="00C877E5" w:rsidRPr="00C877E5">
        <w:rPr>
          <w:rStyle w:val="Strong"/>
          <w:b w:val="0"/>
        </w:rPr>
        <w:t>&lt;</w:t>
      </w:r>
      <w:r w:rsidR="00E0331C">
        <w:rPr>
          <w:rStyle w:val="Strong"/>
          <w:b w:val="0"/>
        </w:rPr>
        <w:t> </w:t>
      </w:r>
      <w:r w:rsidR="00C877E5" w:rsidRPr="00C877E5">
        <w:rPr>
          <w:rStyle w:val="Strong"/>
          <w:b w:val="0"/>
        </w:rPr>
        <w:t>0.001).</w:t>
      </w:r>
    </w:p>
    <w:p w14:paraId="05747595" w14:textId="77777777" w:rsidR="00E0331C" w:rsidRPr="00C877E5" w:rsidRDefault="00E0331C" w:rsidP="00B95903">
      <w:pPr>
        <w:rPr>
          <w:rStyle w:val="Strong"/>
          <w:b w:val="0"/>
        </w:rPr>
      </w:pPr>
    </w:p>
    <w:p w14:paraId="5FCF85AE" w14:textId="77777777" w:rsidR="00C877E5" w:rsidRDefault="00C877E5" w:rsidP="00B95903">
      <w:pPr>
        <w:rPr>
          <w:rStyle w:val="Strong"/>
          <w:b w:val="0"/>
        </w:rPr>
      </w:pPr>
      <w:r w:rsidRPr="00C877E5">
        <w:rPr>
          <w:rStyle w:val="Strong"/>
          <w:b w:val="0"/>
        </w:rPr>
        <w:t>More placebo patients (91% [95% CI: 83%, 99%]</w:t>
      </w:r>
      <w:r w:rsidR="00E0331C">
        <w:rPr>
          <w:rStyle w:val="Strong"/>
          <w:b w:val="0"/>
        </w:rPr>
        <w:t>) developed a serum potassium ≥ </w:t>
      </w:r>
      <w:r w:rsidRPr="00C877E5">
        <w:rPr>
          <w:rStyle w:val="Strong"/>
          <w:b w:val="0"/>
        </w:rPr>
        <w:t>5.1</w:t>
      </w:r>
      <w:r w:rsidR="00E0331C">
        <w:rPr>
          <w:rStyle w:val="Strong"/>
          <w:b w:val="0"/>
        </w:rPr>
        <w:t> </w:t>
      </w:r>
      <w:proofErr w:type="spellStart"/>
      <w:r w:rsidRPr="00C877E5">
        <w:rPr>
          <w:rStyle w:val="Strong"/>
          <w:b w:val="0"/>
        </w:rPr>
        <w:t>mEq</w:t>
      </w:r>
      <w:proofErr w:type="spellEnd"/>
      <w:r w:rsidRPr="00C877E5">
        <w:rPr>
          <w:rStyle w:val="Strong"/>
          <w:b w:val="0"/>
        </w:rPr>
        <w:t xml:space="preserve">/L at any time during Part B than </w:t>
      </w:r>
      <w:proofErr w:type="spellStart"/>
      <w:r w:rsidRPr="00C877E5">
        <w:rPr>
          <w:rStyle w:val="Strong"/>
          <w:b w:val="0"/>
        </w:rPr>
        <w:t>Veltassa</w:t>
      </w:r>
      <w:proofErr w:type="spellEnd"/>
      <w:r w:rsidRPr="00C877E5">
        <w:rPr>
          <w:rStyle w:val="Strong"/>
          <w:b w:val="0"/>
        </w:rPr>
        <w:t xml:space="preserve"> patients (43% [95% CI: 30%, 56%]), p</w:t>
      </w:r>
      <w:r w:rsidR="00E0331C">
        <w:rPr>
          <w:rStyle w:val="Strong"/>
          <w:b w:val="0"/>
        </w:rPr>
        <w:t> </w:t>
      </w:r>
      <w:r w:rsidRPr="00C877E5">
        <w:rPr>
          <w:rStyle w:val="Strong"/>
          <w:b w:val="0"/>
        </w:rPr>
        <w:t>&lt;</w:t>
      </w:r>
      <w:r w:rsidR="00E0331C">
        <w:rPr>
          <w:rStyle w:val="Strong"/>
          <w:b w:val="0"/>
        </w:rPr>
        <w:t> </w:t>
      </w:r>
      <w:r w:rsidRPr="00C877E5">
        <w:rPr>
          <w:rStyle w:val="Strong"/>
          <w:b w:val="0"/>
        </w:rPr>
        <w:t>0.001. More placebo patients (60% [95% CI: 47%, 74%]) developed a serum potassium ≥</w:t>
      </w:r>
      <w:r w:rsidR="00E0331C">
        <w:rPr>
          <w:rStyle w:val="Strong"/>
          <w:b w:val="0"/>
        </w:rPr>
        <w:t> </w:t>
      </w:r>
      <w:r w:rsidRPr="00C877E5">
        <w:rPr>
          <w:rStyle w:val="Strong"/>
          <w:b w:val="0"/>
        </w:rPr>
        <w:t>5.5</w:t>
      </w:r>
      <w:r w:rsidR="00E0331C">
        <w:rPr>
          <w:rStyle w:val="Strong"/>
          <w:b w:val="0"/>
        </w:rPr>
        <w:t> </w:t>
      </w:r>
      <w:proofErr w:type="spellStart"/>
      <w:r w:rsidRPr="00C877E5">
        <w:rPr>
          <w:rStyle w:val="Strong"/>
          <w:b w:val="0"/>
        </w:rPr>
        <w:t>mEq</w:t>
      </w:r>
      <w:proofErr w:type="spellEnd"/>
      <w:r w:rsidRPr="00C877E5">
        <w:rPr>
          <w:rStyle w:val="Strong"/>
          <w:b w:val="0"/>
        </w:rPr>
        <w:t xml:space="preserve">/L at any time during Part B than </w:t>
      </w:r>
      <w:proofErr w:type="spellStart"/>
      <w:r w:rsidRPr="00C877E5">
        <w:rPr>
          <w:rStyle w:val="Strong"/>
          <w:b w:val="0"/>
        </w:rPr>
        <w:t>Veltassa</w:t>
      </w:r>
      <w:proofErr w:type="spellEnd"/>
      <w:r w:rsidRPr="00C877E5">
        <w:rPr>
          <w:rStyle w:val="Strong"/>
          <w:b w:val="0"/>
        </w:rPr>
        <w:t xml:space="preserve"> patients (15% [95% CI: 6%, 24%]), p</w:t>
      </w:r>
      <w:r w:rsidR="00E0331C">
        <w:rPr>
          <w:rStyle w:val="Strong"/>
          <w:b w:val="0"/>
        </w:rPr>
        <w:t> </w:t>
      </w:r>
      <w:r w:rsidRPr="00C877E5">
        <w:rPr>
          <w:rStyle w:val="Strong"/>
          <w:b w:val="0"/>
        </w:rPr>
        <w:t>&lt;</w:t>
      </w:r>
      <w:r w:rsidR="00E0331C">
        <w:rPr>
          <w:rStyle w:val="Strong"/>
          <w:b w:val="0"/>
        </w:rPr>
        <w:t> </w:t>
      </w:r>
      <w:r w:rsidRPr="00C877E5">
        <w:rPr>
          <w:rStyle w:val="Strong"/>
          <w:b w:val="0"/>
        </w:rPr>
        <w:t>0.001.</w:t>
      </w:r>
    </w:p>
    <w:p w14:paraId="37485906" w14:textId="77777777" w:rsidR="00E0331C" w:rsidRPr="00C877E5" w:rsidRDefault="00E0331C" w:rsidP="00B95903">
      <w:pPr>
        <w:rPr>
          <w:rStyle w:val="Strong"/>
          <w:b w:val="0"/>
        </w:rPr>
      </w:pPr>
    </w:p>
    <w:p w14:paraId="6D8C1BD6" w14:textId="77777777" w:rsidR="00C877E5" w:rsidRDefault="00C877E5" w:rsidP="00B95903">
      <w:pPr>
        <w:rPr>
          <w:rStyle w:val="Strong"/>
          <w:b w:val="0"/>
        </w:rPr>
      </w:pPr>
      <w:r w:rsidRPr="00C877E5">
        <w:rPr>
          <w:rStyle w:val="Strong"/>
          <w:b w:val="0"/>
        </w:rPr>
        <w:t xml:space="preserve">Fifty-two percent (52%) of subjects receiving placebo discontinued RAAS inhibitor medication because of recurrent hyperkalaemia compared with 5% of subjects treated with </w:t>
      </w:r>
      <w:proofErr w:type="spellStart"/>
      <w:r w:rsidRPr="00C877E5">
        <w:rPr>
          <w:rStyle w:val="Strong"/>
          <w:b w:val="0"/>
        </w:rPr>
        <w:t>Veltassa</w:t>
      </w:r>
      <w:proofErr w:type="spellEnd"/>
      <w:r w:rsidRPr="00C877E5">
        <w:rPr>
          <w:rStyle w:val="Strong"/>
          <w:b w:val="0"/>
        </w:rPr>
        <w:t>.</w:t>
      </w:r>
    </w:p>
    <w:p w14:paraId="3314C6B9" w14:textId="77777777" w:rsidR="00E0331C" w:rsidRPr="00C877E5" w:rsidRDefault="00E0331C" w:rsidP="00B95903">
      <w:pPr>
        <w:rPr>
          <w:rStyle w:val="Strong"/>
          <w:b w:val="0"/>
        </w:rPr>
      </w:pPr>
    </w:p>
    <w:p w14:paraId="3F1862ED" w14:textId="77777777" w:rsidR="008A467E" w:rsidRDefault="00C877E5" w:rsidP="00B95903">
      <w:pPr>
        <w:rPr>
          <w:rStyle w:val="Strong"/>
          <w:b w:val="0"/>
        </w:rPr>
      </w:pPr>
      <w:r w:rsidRPr="00C877E5">
        <w:rPr>
          <w:rStyle w:val="Strong"/>
          <w:b w:val="0"/>
        </w:rPr>
        <w:t xml:space="preserve">The effect of treatment with </w:t>
      </w:r>
      <w:proofErr w:type="spellStart"/>
      <w:r w:rsidRPr="00C877E5">
        <w:rPr>
          <w:rStyle w:val="Strong"/>
          <w:b w:val="0"/>
        </w:rPr>
        <w:t>Veltassa</w:t>
      </w:r>
      <w:proofErr w:type="spellEnd"/>
      <w:r w:rsidRPr="00C877E5">
        <w:rPr>
          <w:rStyle w:val="Strong"/>
          <w:b w:val="0"/>
        </w:rPr>
        <w:t xml:space="preserve"> for up to 52 weeks was evaluated in an open-label study of 304 </w:t>
      </w:r>
      <w:proofErr w:type="spellStart"/>
      <w:r w:rsidRPr="00C877E5">
        <w:rPr>
          <w:rStyle w:val="Strong"/>
          <w:b w:val="0"/>
        </w:rPr>
        <w:t>hyperkalaemic</w:t>
      </w:r>
      <w:proofErr w:type="spellEnd"/>
      <w:r w:rsidRPr="00C877E5">
        <w:rPr>
          <w:rStyle w:val="Strong"/>
          <w:b w:val="0"/>
        </w:rPr>
        <w:t xml:space="preserve"> patients with CKD and type 2 diabetes mellitus on stable doses of a RAAS inhibitor. Decreases in serum potassium with </w:t>
      </w:r>
      <w:proofErr w:type="spellStart"/>
      <w:r w:rsidRPr="00C877E5">
        <w:rPr>
          <w:rStyle w:val="Strong"/>
          <w:b w:val="0"/>
        </w:rPr>
        <w:t>Veltassa</w:t>
      </w:r>
      <w:proofErr w:type="spellEnd"/>
      <w:r w:rsidRPr="00C877E5">
        <w:rPr>
          <w:rStyle w:val="Strong"/>
          <w:b w:val="0"/>
        </w:rPr>
        <w:t xml:space="preserve"> treatment were maintained over 1 year of chronic treatment with a low incidence of hypokalaemia and the majority of subjects reaching and maintaining target serum potassium levels. In patients with a baseline serum potassium of &gt;</w:t>
      </w:r>
      <w:r w:rsidR="00E0331C">
        <w:rPr>
          <w:rStyle w:val="Strong"/>
          <w:b w:val="0"/>
        </w:rPr>
        <w:t> </w:t>
      </w:r>
      <w:r w:rsidRPr="00C877E5">
        <w:rPr>
          <w:rStyle w:val="Strong"/>
          <w:b w:val="0"/>
        </w:rPr>
        <w:t>5.0 to 5.5</w:t>
      </w:r>
      <w:r w:rsidR="00E0331C">
        <w:rPr>
          <w:rStyle w:val="Strong"/>
          <w:b w:val="0"/>
        </w:rPr>
        <w:t> </w:t>
      </w:r>
      <w:proofErr w:type="spellStart"/>
      <w:r w:rsidRPr="00C877E5">
        <w:rPr>
          <w:rStyle w:val="Strong"/>
          <w:b w:val="0"/>
        </w:rPr>
        <w:t>mEq</w:t>
      </w:r>
      <w:proofErr w:type="spellEnd"/>
      <w:r w:rsidRPr="00C877E5">
        <w:rPr>
          <w:rStyle w:val="Strong"/>
          <w:b w:val="0"/>
        </w:rPr>
        <w:t>/L who received an initial dose of 8.4</w:t>
      </w:r>
      <w:r w:rsidR="00E0331C">
        <w:rPr>
          <w:rStyle w:val="Strong"/>
          <w:b w:val="0"/>
        </w:rPr>
        <w:t> </w:t>
      </w:r>
      <w:r w:rsidRPr="00C877E5">
        <w:rPr>
          <w:rStyle w:val="Strong"/>
          <w:b w:val="0"/>
        </w:rPr>
        <w:t xml:space="preserve">g </w:t>
      </w:r>
      <w:proofErr w:type="spellStart"/>
      <w:r w:rsidRPr="00C877E5">
        <w:rPr>
          <w:rStyle w:val="Strong"/>
          <w:b w:val="0"/>
        </w:rPr>
        <w:t>patiromer</w:t>
      </w:r>
      <w:proofErr w:type="spellEnd"/>
      <w:r w:rsidRPr="00C877E5">
        <w:rPr>
          <w:rStyle w:val="Strong"/>
          <w:b w:val="0"/>
        </w:rPr>
        <w:t xml:space="preserve"> per day (as a divided dose), the mean daily dose was 14</w:t>
      </w:r>
      <w:r w:rsidR="00E0331C">
        <w:rPr>
          <w:rStyle w:val="Strong"/>
          <w:b w:val="0"/>
        </w:rPr>
        <w:t> </w:t>
      </w:r>
      <w:r w:rsidRPr="00C877E5">
        <w:rPr>
          <w:rStyle w:val="Strong"/>
          <w:b w:val="0"/>
        </w:rPr>
        <w:t>g; in those with a baseline serum potassium of &gt;</w:t>
      </w:r>
      <w:r w:rsidR="00E0331C">
        <w:rPr>
          <w:rStyle w:val="Strong"/>
          <w:b w:val="0"/>
        </w:rPr>
        <w:t> </w:t>
      </w:r>
      <w:r w:rsidRPr="00C877E5">
        <w:rPr>
          <w:rStyle w:val="Strong"/>
          <w:b w:val="0"/>
        </w:rPr>
        <w:t>5.5 to &lt;</w:t>
      </w:r>
      <w:r w:rsidR="00E0331C">
        <w:rPr>
          <w:rStyle w:val="Strong"/>
          <w:b w:val="0"/>
        </w:rPr>
        <w:t> </w:t>
      </w:r>
      <w:r w:rsidRPr="00C877E5">
        <w:rPr>
          <w:rStyle w:val="Strong"/>
          <w:b w:val="0"/>
        </w:rPr>
        <w:t>6.0</w:t>
      </w:r>
      <w:r w:rsidR="00E0331C">
        <w:rPr>
          <w:rStyle w:val="Strong"/>
          <w:b w:val="0"/>
        </w:rPr>
        <w:t> </w:t>
      </w:r>
      <w:proofErr w:type="spellStart"/>
      <w:r w:rsidRPr="00C877E5">
        <w:rPr>
          <w:rStyle w:val="Strong"/>
          <w:b w:val="0"/>
        </w:rPr>
        <w:t>mEq</w:t>
      </w:r>
      <w:proofErr w:type="spellEnd"/>
      <w:r w:rsidRPr="00C877E5">
        <w:rPr>
          <w:rStyle w:val="Strong"/>
          <w:b w:val="0"/>
        </w:rPr>
        <w:t>/L who received an initial dose of 16.8</w:t>
      </w:r>
      <w:r w:rsidR="00E0331C">
        <w:rPr>
          <w:rStyle w:val="Strong"/>
          <w:b w:val="0"/>
        </w:rPr>
        <w:t> </w:t>
      </w:r>
      <w:r w:rsidRPr="00C877E5">
        <w:rPr>
          <w:rStyle w:val="Strong"/>
          <w:b w:val="0"/>
        </w:rPr>
        <w:t xml:space="preserve">g </w:t>
      </w:r>
      <w:proofErr w:type="spellStart"/>
      <w:r w:rsidRPr="00C877E5">
        <w:rPr>
          <w:rStyle w:val="Strong"/>
          <w:b w:val="0"/>
        </w:rPr>
        <w:t>patiromer</w:t>
      </w:r>
      <w:proofErr w:type="spellEnd"/>
      <w:r w:rsidRPr="00C877E5">
        <w:rPr>
          <w:rStyle w:val="Strong"/>
          <w:b w:val="0"/>
        </w:rPr>
        <w:t xml:space="preserve"> per day (as a divided dose), the mean daily dose was 20</w:t>
      </w:r>
      <w:r w:rsidR="00E0331C">
        <w:rPr>
          <w:rStyle w:val="Strong"/>
          <w:b w:val="0"/>
        </w:rPr>
        <w:t> </w:t>
      </w:r>
      <w:r w:rsidRPr="00C877E5">
        <w:rPr>
          <w:rStyle w:val="Strong"/>
          <w:b w:val="0"/>
        </w:rPr>
        <w:t>g during the entire study.</w:t>
      </w:r>
      <w:r w:rsidR="008A467E">
        <w:rPr>
          <w:rStyle w:val="Strong"/>
          <w:b w:val="0"/>
        </w:rPr>
        <w:t xml:space="preserve"> </w:t>
      </w:r>
    </w:p>
    <w:p w14:paraId="2597EF06" w14:textId="77777777" w:rsidR="008A467E" w:rsidRDefault="008A467E" w:rsidP="00B95903">
      <w:pPr>
        <w:rPr>
          <w:rStyle w:val="Strong"/>
          <w:b w:val="0"/>
        </w:rPr>
      </w:pPr>
    </w:p>
    <w:p w14:paraId="50B97340" w14:textId="60D74BD8" w:rsidR="00C841AD" w:rsidRDefault="00286A2C" w:rsidP="00B95903">
      <w:pPr>
        <w:rPr>
          <w:rStyle w:val="Strong"/>
          <w:b w:val="0"/>
        </w:rPr>
      </w:pPr>
      <w:r w:rsidRPr="00286A2C">
        <w:rPr>
          <w:rStyle w:val="Strong"/>
          <w:b w:val="0"/>
        </w:rPr>
        <w:t xml:space="preserve">After stopping </w:t>
      </w:r>
      <w:proofErr w:type="spellStart"/>
      <w:r w:rsidRPr="00286A2C">
        <w:rPr>
          <w:rStyle w:val="Strong"/>
          <w:b w:val="0"/>
        </w:rPr>
        <w:t>Veltassa</w:t>
      </w:r>
      <w:proofErr w:type="spellEnd"/>
      <w:r w:rsidRPr="00286A2C">
        <w:rPr>
          <w:rStyle w:val="Strong"/>
          <w:b w:val="0"/>
        </w:rPr>
        <w:t xml:space="preserve">, </w:t>
      </w:r>
      <w:r>
        <w:rPr>
          <w:rStyle w:val="Strong"/>
          <w:b w:val="0"/>
        </w:rPr>
        <w:t>s</w:t>
      </w:r>
      <w:r w:rsidR="008A467E" w:rsidRPr="008A467E">
        <w:rPr>
          <w:rStyle w:val="Strong"/>
          <w:b w:val="0"/>
        </w:rPr>
        <w:t>ignificant increases in least squares mean serum potassium levels were seen by day 3 post-treatment</w:t>
      </w:r>
      <w:r w:rsidR="00BB221B">
        <w:rPr>
          <w:rStyle w:val="Strong"/>
          <w:b w:val="0"/>
        </w:rPr>
        <w:t>.</w:t>
      </w:r>
      <w:r w:rsidR="008A467E" w:rsidRPr="008A467E">
        <w:rPr>
          <w:rStyle w:val="Strong"/>
          <w:b w:val="0"/>
        </w:rPr>
        <w:t xml:space="preserve"> </w:t>
      </w:r>
      <w:r w:rsidR="00DB4392">
        <w:rPr>
          <w:rStyle w:val="Strong"/>
          <w:b w:val="0"/>
        </w:rPr>
        <w:t xml:space="preserve">Patients </w:t>
      </w:r>
      <w:r w:rsidR="00DB4392" w:rsidRPr="00DB4392">
        <w:rPr>
          <w:rStyle w:val="Strong"/>
          <w:b w:val="0"/>
        </w:rPr>
        <w:t xml:space="preserve">remained on all RAAS inhibitors for 28 days after discontinuation of </w:t>
      </w:r>
      <w:proofErr w:type="spellStart"/>
      <w:r w:rsidR="00DB4392">
        <w:rPr>
          <w:rStyle w:val="Strong"/>
          <w:b w:val="0"/>
        </w:rPr>
        <w:t>Veltassa</w:t>
      </w:r>
      <w:proofErr w:type="spellEnd"/>
      <w:r w:rsidR="00DB4392">
        <w:rPr>
          <w:rStyle w:val="Strong"/>
          <w:b w:val="0"/>
        </w:rPr>
        <w:t xml:space="preserve"> treatment, during which time the </w:t>
      </w:r>
      <w:r w:rsidR="008A467E" w:rsidRPr="008A467E">
        <w:rPr>
          <w:rStyle w:val="Strong"/>
          <w:b w:val="0"/>
        </w:rPr>
        <w:t>increase in serum potassium remained statistically significant.</w:t>
      </w:r>
    </w:p>
    <w:p w14:paraId="75872F52" w14:textId="77777777" w:rsidR="00007F98" w:rsidRDefault="00007F98" w:rsidP="00B95903">
      <w:pPr>
        <w:rPr>
          <w:rStyle w:val="Strong"/>
          <w:b w:val="0"/>
        </w:rPr>
      </w:pPr>
    </w:p>
    <w:p w14:paraId="57632CCC" w14:textId="77777777" w:rsidR="00C877E5" w:rsidRPr="00B95903" w:rsidRDefault="00C877E5" w:rsidP="00AD040B">
      <w:pPr>
        <w:keepNext/>
        <w:rPr>
          <w:rStyle w:val="Strong"/>
        </w:rPr>
      </w:pPr>
      <w:r w:rsidRPr="00B95903">
        <w:rPr>
          <w:rStyle w:val="Strong"/>
        </w:rPr>
        <w:lastRenderedPageBreak/>
        <w:t>Figure 3: Mean (95% CI) Serum Potassium Over Time</w:t>
      </w:r>
    </w:p>
    <w:p w14:paraId="12BA8433" w14:textId="77777777" w:rsidR="00C877E5" w:rsidRPr="00C841AD" w:rsidRDefault="00C877E5" w:rsidP="00B95903">
      <w:pPr>
        <w:rPr>
          <w:rStyle w:val="Strong"/>
          <w:b w:val="0"/>
        </w:rPr>
      </w:pPr>
      <w:r>
        <w:rPr>
          <w:noProof/>
          <w:lang w:eastAsia="en-AU"/>
        </w:rPr>
        <w:drawing>
          <wp:inline distT="0" distB="0" distL="0" distR="0" wp14:anchorId="14A0243A" wp14:editId="23649713">
            <wp:extent cx="5457825" cy="3875382"/>
            <wp:effectExtent l="0" t="0" r="0" b="0"/>
            <wp:docPr id="6" name="Picture 6" descr="Mean (95% CI) Serum Potassium Over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62239" cy="3878516"/>
                    </a:xfrm>
                    <a:prstGeom prst="rect">
                      <a:avLst/>
                    </a:prstGeom>
                  </pic:spPr>
                </pic:pic>
              </a:graphicData>
            </a:graphic>
          </wp:inline>
        </w:drawing>
      </w:r>
    </w:p>
    <w:p w14:paraId="186E5632" w14:textId="77777777" w:rsidR="00F22BCA" w:rsidRPr="008746E7" w:rsidRDefault="00F22BCA" w:rsidP="00B95903">
      <w:pPr>
        <w:pStyle w:val="Heading1"/>
      </w:pPr>
      <w:r w:rsidRPr="008746E7">
        <w:t>I</w:t>
      </w:r>
      <w:r w:rsidR="001E2D56" w:rsidRPr="008746E7">
        <w:t>NDICATIONS</w:t>
      </w:r>
    </w:p>
    <w:p w14:paraId="5BED8272" w14:textId="77777777" w:rsidR="00DD767D" w:rsidRPr="008746E7" w:rsidRDefault="00035334" w:rsidP="00B95903">
      <w:proofErr w:type="spellStart"/>
      <w:r w:rsidRPr="00035334">
        <w:t>Veltassa</w:t>
      </w:r>
      <w:proofErr w:type="spellEnd"/>
      <w:r w:rsidRPr="00035334">
        <w:t xml:space="preserve"> is indicated for the treatment of hyperkalaemia in adults.</w:t>
      </w:r>
    </w:p>
    <w:p w14:paraId="41B237CA" w14:textId="77777777" w:rsidR="00F22BCA" w:rsidRPr="008746E7" w:rsidRDefault="00F22BCA" w:rsidP="00B95903">
      <w:pPr>
        <w:pStyle w:val="Heading1"/>
      </w:pPr>
      <w:r w:rsidRPr="00035334">
        <w:t>C</w:t>
      </w:r>
      <w:r w:rsidR="001E2D56" w:rsidRPr="00035334">
        <w:t>ONTRAINDICATIONS</w:t>
      </w:r>
    </w:p>
    <w:p w14:paraId="6D131B32" w14:textId="3E857642" w:rsidR="006F6CB4" w:rsidRPr="008746E7" w:rsidRDefault="00F33399" w:rsidP="00B95903">
      <w:r>
        <w:t xml:space="preserve">The use of </w:t>
      </w:r>
      <w:proofErr w:type="spellStart"/>
      <w:r>
        <w:t>Veltassa</w:t>
      </w:r>
      <w:proofErr w:type="spellEnd"/>
      <w:r>
        <w:t xml:space="preserve"> is contraindicated in cases of hypersensitivity to </w:t>
      </w:r>
      <w:proofErr w:type="spellStart"/>
      <w:r>
        <w:t>p</w:t>
      </w:r>
      <w:r w:rsidRPr="006F3C09">
        <w:t>atiromer</w:t>
      </w:r>
      <w:proofErr w:type="spellEnd"/>
      <w:r w:rsidRPr="006F3C09">
        <w:t xml:space="preserve"> </w:t>
      </w:r>
      <w:proofErr w:type="spellStart"/>
      <w:r w:rsidRPr="006F3C09">
        <w:t>sorbitex</w:t>
      </w:r>
      <w:proofErr w:type="spellEnd"/>
      <w:r w:rsidRPr="006F3C09">
        <w:t xml:space="preserve"> calcium</w:t>
      </w:r>
      <w:r>
        <w:t xml:space="preserve"> or any of its excipients.</w:t>
      </w:r>
    </w:p>
    <w:p w14:paraId="11072CB3" w14:textId="77777777" w:rsidR="00F22BCA" w:rsidRPr="008746E7" w:rsidRDefault="00F22BCA" w:rsidP="00B95903">
      <w:pPr>
        <w:pStyle w:val="Heading1"/>
      </w:pPr>
      <w:r w:rsidRPr="008746E7">
        <w:t>P</w:t>
      </w:r>
      <w:r w:rsidR="001E2D56" w:rsidRPr="008746E7">
        <w:t>RECAUTIONS</w:t>
      </w:r>
    </w:p>
    <w:p w14:paraId="5B4A9948" w14:textId="73A98431" w:rsidR="00417DD7" w:rsidRPr="00E133F7" w:rsidRDefault="00893C1C" w:rsidP="00417DD7">
      <w:r w:rsidRPr="00E133F7">
        <w:t xml:space="preserve">Reversible causes of hyperkalaemia should be excluded and therapy </w:t>
      </w:r>
      <w:r w:rsidR="007F5333" w:rsidRPr="00E133F7">
        <w:t xml:space="preserve">initiated </w:t>
      </w:r>
      <w:r w:rsidRPr="00E133F7">
        <w:t xml:space="preserve">only if </w:t>
      </w:r>
      <w:r w:rsidR="00285CCF" w:rsidRPr="00E133F7">
        <w:t xml:space="preserve">the </w:t>
      </w:r>
      <w:r w:rsidR="007F5333" w:rsidRPr="00E133F7">
        <w:t xml:space="preserve">serum </w:t>
      </w:r>
      <w:r w:rsidRPr="00E133F7">
        <w:t>potassium remains elevated and uncontrolled with dietary modification.</w:t>
      </w:r>
    </w:p>
    <w:p w14:paraId="57E73938" w14:textId="77777777" w:rsidR="00893C1C" w:rsidRPr="00417DD7" w:rsidRDefault="00893C1C" w:rsidP="00417DD7">
      <w:pPr>
        <w:rPr>
          <w:b/>
        </w:rPr>
      </w:pPr>
    </w:p>
    <w:p w14:paraId="5C8AFFEB" w14:textId="64F7432F" w:rsidR="00295793" w:rsidRDefault="00295793" w:rsidP="00417DD7">
      <w:r w:rsidRPr="00417DD7">
        <w:t xml:space="preserve">Treatment </w:t>
      </w:r>
      <w:r w:rsidR="0039023D">
        <w:t>needs to be closely</w:t>
      </w:r>
      <w:r w:rsidRPr="00417DD7">
        <w:t xml:space="preserve"> supervised </w:t>
      </w:r>
      <w:r w:rsidR="0039023D">
        <w:t>or monitored</w:t>
      </w:r>
      <w:r w:rsidRPr="00417DD7">
        <w:t>.</w:t>
      </w:r>
    </w:p>
    <w:p w14:paraId="5B88CDC2" w14:textId="77777777" w:rsidR="00417DD7" w:rsidRPr="00417DD7" w:rsidRDefault="00417DD7" w:rsidP="00417DD7"/>
    <w:p w14:paraId="61CBC5CC" w14:textId="218AA33A" w:rsidR="00C916D4" w:rsidRPr="00C916D4" w:rsidRDefault="0039023D" w:rsidP="00C916D4">
      <w:r w:rsidRPr="00033D05">
        <w:t xml:space="preserve">There have been no clinical studies related to the use of </w:t>
      </w:r>
      <w:proofErr w:type="spellStart"/>
      <w:r w:rsidR="00551CBA">
        <w:t>V</w:t>
      </w:r>
      <w:r w:rsidRPr="00033D05">
        <w:t>eltassa</w:t>
      </w:r>
      <w:proofErr w:type="spellEnd"/>
      <w:r w:rsidRPr="00033D05">
        <w:t xml:space="preserve"> for duration of greater than 1 year. </w:t>
      </w:r>
      <w:r w:rsidR="00007F98">
        <w:t xml:space="preserve"> </w:t>
      </w:r>
      <w:r w:rsidRPr="00033D05">
        <w:t xml:space="preserve">There have been no clinical studies that have examined the impact of </w:t>
      </w:r>
      <w:proofErr w:type="spellStart"/>
      <w:r>
        <w:t>V</w:t>
      </w:r>
      <w:r w:rsidRPr="00033D05">
        <w:t>eltassa</w:t>
      </w:r>
      <w:proofErr w:type="spellEnd"/>
      <w:r w:rsidRPr="00033D05">
        <w:t xml:space="preserve"> on patient mortality</w:t>
      </w:r>
      <w:r w:rsidR="00295793" w:rsidRPr="00295793">
        <w:t>.</w:t>
      </w:r>
      <w:r w:rsidR="00C916D4" w:rsidRPr="00C916D4">
        <w:t xml:space="preserve"> </w:t>
      </w:r>
    </w:p>
    <w:p w14:paraId="6170099C" w14:textId="031685AC" w:rsidR="00E95A17" w:rsidRPr="006C70EC" w:rsidRDefault="0009476A" w:rsidP="00060B63">
      <w:pPr>
        <w:pStyle w:val="Heading2"/>
      </w:pPr>
      <w:proofErr w:type="spellStart"/>
      <w:r w:rsidRPr="006C70EC">
        <w:lastRenderedPageBreak/>
        <w:t>Veltassa</w:t>
      </w:r>
      <w:proofErr w:type="spellEnd"/>
      <w:r w:rsidRPr="006C70EC">
        <w:t xml:space="preserve"> </w:t>
      </w:r>
      <w:r w:rsidR="006C70EC" w:rsidRPr="006C70EC">
        <w:t xml:space="preserve">should not replace </w:t>
      </w:r>
      <w:r w:rsidRPr="006C70EC">
        <w:t>emergency treatment of hyperkalaemia</w:t>
      </w:r>
    </w:p>
    <w:p w14:paraId="222D9218" w14:textId="75269ADE" w:rsidR="00E95A17" w:rsidRDefault="00C074E8" w:rsidP="00195B85">
      <w:r w:rsidRPr="00575AEC">
        <w:t xml:space="preserve">The onset of action of </w:t>
      </w:r>
      <w:proofErr w:type="spellStart"/>
      <w:r w:rsidRPr="00575AEC">
        <w:t>Veltassa</w:t>
      </w:r>
      <w:proofErr w:type="spellEnd"/>
      <w:r w:rsidRPr="00575AEC">
        <w:t xml:space="preserve"> occurs 4</w:t>
      </w:r>
      <w:r>
        <w:noBreakHyphen/>
      </w:r>
      <w:r w:rsidRPr="00575AEC">
        <w:t xml:space="preserve">7 hours after administration. </w:t>
      </w:r>
      <w:proofErr w:type="spellStart"/>
      <w:r w:rsidRPr="00575AEC">
        <w:t>Veltassa</w:t>
      </w:r>
      <w:proofErr w:type="spellEnd"/>
      <w:r w:rsidRPr="00575AEC">
        <w:t xml:space="preserve"> </w:t>
      </w:r>
      <w:r w:rsidR="00CB72CB">
        <w:t>could be used in conjunction with other measures to stabilise the myocardium but is not recommended as the sole treatment of patients with hyperkalaemia and ECG changes</w:t>
      </w:r>
      <w:r w:rsidRPr="00575AEC">
        <w:t>.</w:t>
      </w:r>
      <w:r w:rsidR="00E95A17">
        <w:t xml:space="preserve"> </w:t>
      </w:r>
    </w:p>
    <w:p w14:paraId="494A7630" w14:textId="77777777" w:rsidR="0009476A" w:rsidRDefault="0009476A" w:rsidP="0009476A">
      <w:pPr>
        <w:pStyle w:val="Heading2"/>
      </w:pPr>
      <w:r w:rsidRPr="0009476A">
        <w:t>Use in severe renal impairment</w:t>
      </w:r>
    </w:p>
    <w:p w14:paraId="48A4F69D" w14:textId="65102D55" w:rsidR="0009476A" w:rsidRDefault="0009476A" w:rsidP="00195B85">
      <w:r w:rsidRPr="0009476A">
        <w:t xml:space="preserve">There is no data on </w:t>
      </w:r>
      <w:r w:rsidR="00C85C2C">
        <w:t xml:space="preserve">the administration of </w:t>
      </w:r>
      <w:proofErr w:type="spellStart"/>
      <w:r w:rsidR="00C85C2C">
        <w:t>Veltassa</w:t>
      </w:r>
      <w:proofErr w:type="spellEnd"/>
      <w:r w:rsidR="00C85C2C">
        <w:t xml:space="preserve"> to patients on </w:t>
      </w:r>
      <w:r w:rsidRPr="0009476A">
        <w:t xml:space="preserve">peritoneal dialysis. </w:t>
      </w:r>
      <w:proofErr w:type="spellStart"/>
      <w:r w:rsidRPr="0009476A">
        <w:t>Veltassa</w:t>
      </w:r>
      <w:proofErr w:type="spellEnd"/>
      <w:r w:rsidRPr="0009476A">
        <w:t xml:space="preserve"> reduced serum potassium</w:t>
      </w:r>
      <w:r w:rsidR="00CB72CB" w:rsidRPr="00CB72CB">
        <w:t xml:space="preserve"> </w:t>
      </w:r>
      <w:r w:rsidR="00CB72CB">
        <w:t>in the 6 patients on haemodialysis included in the drug development program</w:t>
      </w:r>
      <w:r w:rsidRPr="0009476A">
        <w:t>. There is no data on the use with phosphate binders.</w:t>
      </w:r>
    </w:p>
    <w:p w14:paraId="3B77C129" w14:textId="77777777" w:rsidR="00417DD7" w:rsidRDefault="00417DD7" w:rsidP="00060B63">
      <w:pPr>
        <w:pStyle w:val="Heading2"/>
      </w:pPr>
      <w:bookmarkStart w:id="1" w:name="_Hlk485910187"/>
      <w:r w:rsidRPr="00417DD7">
        <w:t>Monitoring</w:t>
      </w:r>
    </w:p>
    <w:p w14:paraId="7C3A0627" w14:textId="77777777" w:rsidR="00933085" w:rsidRDefault="00933085" w:rsidP="00933085">
      <w:r w:rsidRPr="00933085">
        <w:t xml:space="preserve">Serum potassium should be monitored when clinically indicated, including after changes are made to medicinal products that affect the serum potassium concentration (e.g. RAAS inhibitors or diuretics) and after the </w:t>
      </w:r>
      <w:proofErr w:type="spellStart"/>
      <w:r w:rsidRPr="00933085">
        <w:t>Veltassa</w:t>
      </w:r>
      <w:proofErr w:type="spellEnd"/>
      <w:r w:rsidRPr="00933085">
        <w:t xml:space="preserve"> dose is titrated.</w:t>
      </w:r>
    </w:p>
    <w:p w14:paraId="590AF237" w14:textId="77777777" w:rsidR="00933085" w:rsidRDefault="00933085" w:rsidP="00933085"/>
    <w:p w14:paraId="13FAFF20" w14:textId="77777777" w:rsidR="00933085" w:rsidRDefault="00933085" w:rsidP="00933085">
      <w:r w:rsidRPr="00933085">
        <w:t xml:space="preserve">Serum </w:t>
      </w:r>
      <w:r w:rsidRPr="002F3CFF">
        <w:t xml:space="preserve">magnesium </w:t>
      </w:r>
      <w:r w:rsidRPr="00933085">
        <w:t>should be monitored</w:t>
      </w:r>
      <w:r w:rsidRPr="002F3CFF">
        <w:t xml:space="preserve"> for </w:t>
      </w:r>
      <w:r>
        <w:t xml:space="preserve">at least </w:t>
      </w:r>
      <w:r w:rsidRPr="002F3CFF">
        <w:t xml:space="preserve">1 month after initiation of </w:t>
      </w:r>
      <w:proofErr w:type="spellStart"/>
      <w:r w:rsidRPr="002F3CFF">
        <w:t>patiromer</w:t>
      </w:r>
      <w:proofErr w:type="spellEnd"/>
      <w:r w:rsidRPr="002F3CFF">
        <w:t xml:space="preserve"> treatment</w:t>
      </w:r>
      <w:r>
        <w:t xml:space="preserve"> (see also “Low magnesium”).</w:t>
      </w:r>
    </w:p>
    <w:p w14:paraId="1F1A2B9E" w14:textId="77777777" w:rsidR="00933085" w:rsidRDefault="00933085" w:rsidP="00933085"/>
    <w:p w14:paraId="4A0820B1" w14:textId="38A80B4B" w:rsidR="00933085" w:rsidRPr="00933085" w:rsidRDefault="00933085" w:rsidP="00933085">
      <w:r w:rsidRPr="00933085">
        <w:t xml:space="preserve">Serum </w:t>
      </w:r>
      <w:r>
        <w:t>calcium</w:t>
      </w:r>
      <w:r w:rsidRPr="002F3CFF">
        <w:t xml:space="preserve"> </w:t>
      </w:r>
      <w:r w:rsidRPr="00933085">
        <w:t>should be monitored</w:t>
      </w:r>
      <w:r w:rsidRPr="002F3CFF">
        <w:t xml:space="preserve"> </w:t>
      </w:r>
      <w:r w:rsidRPr="00556F05">
        <w:t>in patients at risk of hypercalcaemia</w:t>
      </w:r>
      <w:r>
        <w:t xml:space="preserve"> (see also “</w:t>
      </w:r>
      <w:r w:rsidRPr="00933085">
        <w:t>Information about calcium</w:t>
      </w:r>
      <w:r>
        <w:t>”).</w:t>
      </w:r>
    </w:p>
    <w:p w14:paraId="34DB0D67" w14:textId="77777777" w:rsidR="00060B63" w:rsidRDefault="00060B63" w:rsidP="00933085">
      <w:pPr>
        <w:pStyle w:val="Heading2"/>
      </w:pPr>
      <w:r>
        <w:t>Low Magnesium</w:t>
      </w:r>
    </w:p>
    <w:p w14:paraId="529DFFDC" w14:textId="77777777" w:rsidR="00060B63" w:rsidRDefault="00060B63" w:rsidP="00060B63">
      <w:r w:rsidRPr="002F3CFF">
        <w:t>In clinical st</w:t>
      </w:r>
      <w:r>
        <w:t>udies, serum magnesium values &lt; </w:t>
      </w:r>
      <w:r w:rsidRPr="002F3CFF">
        <w:t>1.4</w:t>
      </w:r>
      <w:r>
        <w:t> </w:t>
      </w:r>
      <w:r w:rsidRPr="002F3CFF">
        <w:t>mg/</w:t>
      </w:r>
      <w:proofErr w:type="spellStart"/>
      <w:r w:rsidRPr="002F3CFF">
        <w:t>dL</w:t>
      </w:r>
      <w:proofErr w:type="spellEnd"/>
      <w:r w:rsidRPr="002F3CFF">
        <w:t xml:space="preserve"> occurred in 9% of patients treated with </w:t>
      </w:r>
      <w:proofErr w:type="spellStart"/>
      <w:r w:rsidRPr="002F3CFF">
        <w:t>patiromer</w:t>
      </w:r>
      <w:proofErr w:type="spellEnd"/>
      <w:r w:rsidRPr="002F3CFF">
        <w:t xml:space="preserve"> </w:t>
      </w:r>
      <w:proofErr w:type="spellStart"/>
      <w:r w:rsidRPr="002F3CFF">
        <w:t>sorbitex</w:t>
      </w:r>
      <w:proofErr w:type="spellEnd"/>
      <w:r w:rsidRPr="002F3CFF">
        <w:t xml:space="preserve"> calcium, with no patient developing a serum magnesium level &lt;</w:t>
      </w:r>
      <w:r>
        <w:t> </w:t>
      </w:r>
      <w:r w:rsidRPr="002F3CFF">
        <w:t>1.0</w:t>
      </w:r>
      <w:r>
        <w:t> </w:t>
      </w:r>
      <w:r w:rsidRPr="002F3CFF">
        <w:t>mg/</w:t>
      </w:r>
      <w:proofErr w:type="spellStart"/>
      <w:r w:rsidRPr="002F3CFF">
        <w:t>dL</w:t>
      </w:r>
      <w:proofErr w:type="spellEnd"/>
      <w:r w:rsidRPr="002F3CFF">
        <w:t xml:space="preserve">. Mean decreases in serum magnesium occurred early during </w:t>
      </w:r>
      <w:proofErr w:type="spellStart"/>
      <w:r w:rsidRPr="002F3CFF">
        <w:t>patiromer</w:t>
      </w:r>
      <w:proofErr w:type="spellEnd"/>
      <w:r w:rsidRPr="002F3CFF">
        <w:t xml:space="preserve"> </w:t>
      </w:r>
      <w:proofErr w:type="spellStart"/>
      <w:r w:rsidRPr="002F3CFF">
        <w:t>sorbitex</w:t>
      </w:r>
      <w:proofErr w:type="spellEnd"/>
      <w:r w:rsidRPr="002F3CFF">
        <w:t xml:space="preserve"> calcium use and were 0.17</w:t>
      </w:r>
      <w:r>
        <w:t> </w:t>
      </w:r>
      <w:r w:rsidRPr="002F3CFF">
        <w:t>mg/</w:t>
      </w:r>
      <w:proofErr w:type="spellStart"/>
      <w:r w:rsidRPr="002F3CFF">
        <w:t>dL</w:t>
      </w:r>
      <w:proofErr w:type="spellEnd"/>
      <w:r w:rsidRPr="002F3CFF">
        <w:t xml:space="preserve"> or less throughout treatment. Monitor serum magnesium for </w:t>
      </w:r>
      <w:r w:rsidR="00CD4C6C">
        <w:t>at least</w:t>
      </w:r>
      <w:r w:rsidR="006D09FF">
        <w:t xml:space="preserve"> </w:t>
      </w:r>
      <w:r w:rsidRPr="002F3CFF">
        <w:t xml:space="preserve">1 month after initiation of </w:t>
      </w:r>
      <w:proofErr w:type="spellStart"/>
      <w:r w:rsidRPr="002F3CFF">
        <w:t>patiromer</w:t>
      </w:r>
      <w:proofErr w:type="spellEnd"/>
      <w:r w:rsidRPr="002F3CFF">
        <w:t xml:space="preserve"> </w:t>
      </w:r>
      <w:proofErr w:type="spellStart"/>
      <w:r w:rsidRPr="002F3CFF">
        <w:t>sorbitex</w:t>
      </w:r>
      <w:proofErr w:type="spellEnd"/>
      <w:r w:rsidRPr="002F3CFF">
        <w:t xml:space="preserve"> calcium treatment; continue monitoring if serum magnesium levels decrease. Consider magnesium supplementation in patients who develop low serum magnesium levels on </w:t>
      </w:r>
      <w:proofErr w:type="spellStart"/>
      <w:r w:rsidRPr="002F3CFF">
        <w:t>patiromer</w:t>
      </w:r>
      <w:proofErr w:type="spellEnd"/>
      <w:r w:rsidRPr="002F3CFF">
        <w:t xml:space="preserve"> </w:t>
      </w:r>
      <w:proofErr w:type="spellStart"/>
      <w:r w:rsidRPr="002F3CFF">
        <w:t>sorbitex</w:t>
      </w:r>
      <w:proofErr w:type="spellEnd"/>
      <w:r w:rsidRPr="002F3CFF">
        <w:t xml:space="preserve"> calcium.</w:t>
      </w:r>
    </w:p>
    <w:bookmarkEnd w:id="1"/>
    <w:p w14:paraId="6B61C8C5" w14:textId="3DAD7FD7" w:rsidR="00456EC3" w:rsidRPr="00456EC3" w:rsidRDefault="00456EC3" w:rsidP="00933085">
      <w:pPr>
        <w:pStyle w:val="Heading2"/>
      </w:pPr>
      <w:r w:rsidRPr="00456EC3">
        <w:t xml:space="preserve">Information about calcium </w:t>
      </w:r>
    </w:p>
    <w:p w14:paraId="2160272D" w14:textId="77777777" w:rsidR="00F85E0E" w:rsidRDefault="00456EC3" w:rsidP="00F85E0E">
      <w:proofErr w:type="spellStart"/>
      <w:r w:rsidRPr="00456EC3">
        <w:t>Veltassa</w:t>
      </w:r>
      <w:proofErr w:type="spellEnd"/>
      <w:r w:rsidRPr="00456EC3">
        <w:t xml:space="preserve"> contains calcium as part of the </w:t>
      </w:r>
      <w:proofErr w:type="spellStart"/>
      <w:r w:rsidRPr="00456EC3">
        <w:t>counterion</w:t>
      </w:r>
      <w:proofErr w:type="spellEnd"/>
      <w:r w:rsidRPr="00456EC3">
        <w:t xml:space="preserve"> complex. Calcium is partially released some of which may be absorbed (see </w:t>
      </w:r>
      <w:r w:rsidR="000E64DD">
        <w:t>PHARMACOLOGY</w:t>
      </w:r>
      <w:r w:rsidRPr="00456EC3">
        <w:t>). The benefits and risks of administering</w:t>
      </w:r>
      <w:r w:rsidR="00F85E0E" w:rsidRPr="00F85E0E">
        <w:t xml:space="preserve"> </w:t>
      </w:r>
      <w:r w:rsidR="00F85E0E" w:rsidRPr="00556F05">
        <w:t>this medicinal product should be carefully evaluated in patients at risk of hypercalcaemia.</w:t>
      </w:r>
      <w:r w:rsidR="00DE60DA">
        <w:t xml:space="preserve"> </w:t>
      </w:r>
      <w:r w:rsidR="00DE60DA" w:rsidRPr="00DE60DA">
        <w:t>Monitoring serum calcium is recommended</w:t>
      </w:r>
      <w:r w:rsidR="008E7F36">
        <w:t xml:space="preserve"> </w:t>
      </w:r>
      <w:r w:rsidR="008E7F36" w:rsidRPr="008E7F36">
        <w:t>in patients at risk for hypercalcemia</w:t>
      </w:r>
      <w:r w:rsidR="00DE60DA">
        <w:t>.</w:t>
      </w:r>
    </w:p>
    <w:p w14:paraId="22EC670B" w14:textId="77777777" w:rsidR="00060B63" w:rsidRDefault="00060B63" w:rsidP="00060B63">
      <w:pPr>
        <w:pStyle w:val="Heading2"/>
      </w:pPr>
      <w:r w:rsidRPr="002F3CFF">
        <w:t>Gastrointestinal Disorders</w:t>
      </w:r>
    </w:p>
    <w:p w14:paraId="6239E07F" w14:textId="6871F7FA" w:rsidR="006543AD" w:rsidRDefault="00212390" w:rsidP="006543AD">
      <w:r>
        <w:t>Patien</w:t>
      </w:r>
      <w:r w:rsidR="007B5B57">
        <w:t>t</w:t>
      </w:r>
      <w:r>
        <w:t xml:space="preserve">s </w:t>
      </w:r>
      <w:r w:rsidR="00060B63" w:rsidRPr="002F3CFF">
        <w:t>with a history of bowel obstruction or major gastrointestinal surgery, severe gastrointestinal disorders, or swallowing disorders were not included in the clinical studies.</w:t>
      </w:r>
      <w:r w:rsidR="00233EA2" w:rsidRPr="00233EA2">
        <w:t xml:space="preserve"> </w:t>
      </w:r>
      <w:r w:rsidR="00233EA2" w:rsidRPr="00575AEC">
        <w:t xml:space="preserve">Gastrointestinal </w:t>
      </w:r>
      <w:proofErr w:type="spellStart"/>
      <w:r w:rsidR="00233EA2" w:rsidRPr="00575AEC">
        <w:t>ischaemia</w:t>
      </w:r>
      <w:proofErr w:type="spellEnd"/>
      <w:r w:rsidR="00233EA2" w:rsidRPr="00575AEC">
        <w:t xml:space="preserve">, necrosis and/or intestinal perforation have been reported with other potassium binders. </w:t>
      </w:r>
      <w:r w:rsidR="006543AD">
        <w:t xml:space="preserve">Patients should be monitored carefully such that the benefits and risks of administering </w:t>
      </w:r>
      <w:proofErr w:type="spellStart"/>
      <w:r w:rsidR="00007F98">
        <w:t>Veltassa</w:t>
      </w:r>
      <w:proofErr w:type="spellEnd"/>
      <w:r w:rsidR="00EF2C8E">
        <w:t xml:space="preserve"> </w:t>
      </w:r>
      <w:r w:rsidR="006543AD">
        <w:t>can be evaluated before and during treatment.</w:t>
      </w:r>
    </w:p>
    <w:p w14:paraId="2B1C1419" w14:textId="77777777" w:rsidR="00060B63" w:rsidRPr="006D50DC" w:rsidRDefault="00060B63" w:rsidP="00060B63">
      <w:pPr>
        <w:pStyle w:val="Heading2"/>
        <w:rPr>
          <w:lang w:val="it-IT"/>
        </w:rPr>
      </w:pPr>
      <w:r w:rsidRPr="006D50DC">
        <w:rPr>
          <w:lang w:val="it-IT"/>
        </w:rPr>
        <w:lastRenderedPageBreak/>
        <w:t>Discontinuing Veltassa</w:t>
      </w:r>
    </w:p>
    <w:p w14:paraId="6F3BD414" w14:textId="2CE39FAA" w:rsidR="00060B63" w:rsidRPr="002F3CFF" w:rsidRDefault="004776B9" w:rsidP="00060B63">
      <w:r w:rsidRPr="006D50DC">
        <w:rPr>
          <w:lang w:val="it-IT"/>
        </w:rPr>
        <w:t xml:space="preserve">Veltassa binds potassium. </w:t>
      </w:r>
      <w:r w:rsidRPr="004776B9">
        <w:t xml:space="preserve">On cessation of this medication, potassium levels will return to pre-treatment levels, reflecting the combined effect of the patient’s other medications (e.g. RAAS inhibitors), dietary intake and medical conditions (e.g. CKD). Patients should be instructed not to discontinue therapy without consulting their physicians. In clinical studies, serum potassium increased as early as 2 days after the last </w:t>
      </w:r>
      <w:proofErr w:type="spellStart"/>
      <w:r w:rsidRPr="004776B9">
        <w:t>patiromer</w:t>
      </w:r>
      <w:proofErr w:type="spellEnd"/>
      <w:r w:rsidRPr="004776B9">
        <w:t xml:space="preserve"> </w:t>
      </w:r>
      <w:proofErr w:type="spellStart"/>
      <w:r w:rsidRPr="004776B9">
        <w:t>sorbitex</w:t>
      </w:r>
      <w:proofErr w:type="spellEnd"/>
      <w:r w:rsidRPr="004776B9">
        <w:t xml:space="preserve"> calcium dose.</w:t>
      </w:r>
      <w:r>
        <w:t xml:space="preserve"> </w:t>
      </w:r>
    </w:p>
    <w:p w14:paraId="6543EAAA" w14:textId="77777777" w:rsidR="001C06B5" w:rsidRDefault="00F33399" w:rsidP="00B95903">
      <w:pPr>
        <w:pStyle w:val="Heading2"/>
      </w:pPr>
      <w:r>
        <w:t>Effects on fertility</w:t>
      </w:r>
    </w:p>
    <w:p w14:paraId="798E6F12" w14:textId="77777777" w:rsidR="00C32A76" w:rsidRPr="00456223" w:rsidRDefault="00F124CF" w:rsidP="00B95903">
      <w:r w:rsidRPr="00456223">
        <w:t xml:space="preserve">There are no data on the effect of </w:t>
      </w:r>
      <w:proofErr w:type="spellStart"/>
      <w:r w:rsidRPr="00456223">
        <w:t>Veltassa</w:t>
      </w:r>
      <w:proofErr w:type="spellEnd"/>
      <w:r w:rsidRPr="00456223">
        <w:t xml:space="preserve"> on fertility in humans.</w:t>
      </w:r>
    </w:p>
    <w:p w14:paraId="6847F448" w14:textId="77777777" w:rsidR="00F124CF" w:rsidRDefault="00F124CF" w:rsidP="00B95903"/>
    <w:p w14:paraId="2B7359FB" w14:textId="70BEC6A0" w:rsidR="00C32A76" w:rsidRDefault="00DF683C" w:rsidP="00B95903">
      <w:r w:rsidRPr="00DF683C">
        <w:t xml:space="preserve">Male and female fertility were unaffected in rats at oral doses of </w:t>
      </w:r>
      <w:proofErr w:type="spellStart"/>
      <w:r w:rsidRPr="00DF683C">
        <w:t>patiromer</w:t>
      </w:r>
      <w:proofErr w:type="spellEnd"/>
      <w:r w:rsidRPr="00DF683C">
        <w:t xml:space="preserve"> up to 5 g/kg/day, 10 times higher than the maximum recommended human dose on a g/kg basis (assuming 50 kg patient body weight). </w:t>
      </w:r>
    </w:p>
    <w:p w14:paraId="034FB446" w14:textId="61D6E5C7" w:rsidR="00F33399" w:rsidRDefault="00F33399" w:rsidP="00B95903">
      <w:pPr>
        <w:pStyle w:val="Heading2"/>
      </w:pPr>
      <w:r>
        <w:t>Use in Pregnancy</w:t>
      </w:r>
      <w:r w:rsidR="00DE3345">
        <w:t xml:space="preserve"> (Category </w:t>
      </w:r>
      <w:r w:rsidR="009864C1">
        <w:t>B1</w:t>
      </w:r>
      <w:r w:rsidR="00DE3345">
        <w:t>)</w:t>
      </w:r>
    </w:p>
    <w:p w14:paraId="23C39CDA" w14:textId="77777777" w:rsidR="003D34CC" w:rsidRDefault="003D34CC" w:rsidP="009864C1">
      <w:r w:rsidRPr="00AC1F9F">
        <w:t xml:space="preserve">There are no data from the use of </w:t>
      </w:r>
      <w:proofErr w:type="spellStart"/>
      <w:r w:rsidRPr="00AC1F9F">
        <w:t>patiromer</w:t>
      </w:r>
      <w:proofErr w:type="spellEnd"/>
      <w:r w:rsidRPr="00AC1F9F">
        <w:t xml:space="preserve"> in pregnant women. </w:t>
      </w:r>
      <w:proofErr w:type="spellStart"/>
      <w:r w:rsidRPr="00AC1F9F">
        <w:t>Patiromer</w:t>
      </w:r>
      <w:proofErr w:type="spellEnd"/>
      <w:r w:rsidRPr="00AC1F9F">
        <w:t xml:space="preserve"> is not absorbed systemically following oral administration and maternal use is not expected to result in </w:t>
      </w:r>
      <w:proofErr w:type="spellStart"/>
      <w:r w:rsidRPr="00AC1F9F">
        <w:t>fetal</w:t>
      </w:r>
      <w:proofErr w:type="spellEnd"/>
      <w:r w:rsidRPr="00AC1F9F">
        <w:t xml:space="preserve"> risk. </w:t>
      </w:r>
    </w:p>
    <w:p w14:paraId="22650C40" w14:textId="77777777" w:rsidR="003D34CC" w:rsidRDefault="003D34CC" w:rsidP="009864C1"/>
    <w:p w14:paraId="1993AE72" w14:textId="1041283E" w:rsidR="009864C1" w:rsidRPr="009864C1" w:rsidRDefault="003D34CC" w:rsidP="009864C1">
      <w:r w:rsidRPr="00AC1F9F">
        <w:t xml:space="preserve">No adverse effects on </w:t>
      </w:r>
      <w:proofErr w:type="spellStart"/>
      <w:r w:rsidRPr="00AC1F9F">
        <w:t>embryofetal</w:t>
      </w:r>
      <w:proofErr w:type="spellEnd"/>
      <w:r w:rsidRPr="00AC1F9F">
        <w:t xml:space="preserve"> development were observed in rats and rabbits receiving oral doses of </w:t>
      </w:r>
      <w:proofErr w:type="spellStart"/>
      <w:r w:rsidRPr="00AC1F9F">
        <w:t>patiromer</w:t>
      </w:r>
      <w:proofErr w:type="spellEnd"/>
      <w:r w:rsidRPr="00AC1F9F">
        <w:t xml:space="preserve"> of up to 6 and 3 g/kg/day, respectively (12 and 6 times, respectively, the maximum recommended human dose on a g/kg basis). </w:t>
      </w:r>
    </w:p>
    <w:p w14:paraId="519811EC" w14:textId="77777777" w:rsidR="00F33399" w:rsidRDefault="00F33399" w:rsidP="00B95903">
      <w:pPr>
        <w:pStyle w:val="Heading2"/>
      </w:pPr>
      <w:r>
        <w:t>Use in Lactation</w:t>
      </w:r>
    </w:p>
    <w:p w14:paraId="51F461A7" w14:textId="6A12AF51" w:rsidR="00F33399" w:rsidRDefault="004A3886" w:rsidP="00B95903">
      <w:r w:rsidRPr="00AC1F9F">
        <w:t xml:space="preserve">There are no data from the use of </w:t>
      </w:r>
      <w:proofErr w:type="spellStart"/>
      <w:r w:rsidRPr="00AC1F9F">
        <w:t>patiromer</w:t>
      </w:r>
      <w:proofErr w:type="spellEnd"/>
      <w:r w:rsidRPr="00AC1F9F">
        <w:t xml:space="preserve"> in </w:t>
      </w:r>
      <w:r>
        <w:t>breastfeeding</w:t>
      </w:r>
      <w:r w:rsidRPr="00AC1F9F">
        <w:t xml:space="preserve"> women. </w:t>
      </w:r>
      <w:r w:rsidR="00422E08" w:rsidRPr="00422E08">
        <w:t xml:space="preserve">No effects on the breastfed newborn/infant are anticipated since the systemic exposure of the breast-feeding woman to </w:t>
      </w:r>
      <w:proofErr w:type="spellStart"/>
      <w:r w:rsidR="00422E08" w:rsidRPr="00422E08">
        <w:t>patiromer</w:t>
      </w:r>
      <w:proofErr w:type="spellEnd"/>
      <w:r w:rsidR="00422E08" w:rsidRPr="00422E08">
        <w:t xml:space="preserve"> is negligible. </w:t>
      </w:r>
    </w:p>
    <w:p w14:paraId="2753121F" w14:textId="77777777" w:rsidR="00F33399" w:rsidRDefault="002F3CFF" w:rsidP="00B95903">
      <w:pPr>
        <w:pStyle w:val="Heading2"/>
      </w:pPr>
      <w:r>
        <w:t>Paediatric</w:t>
      </w:r>
      <w:r w:rsidR="00F33399">
        <w:t xml:space="preserve"> Use</w:t>
      </w:r>
    </w:p>
    <w:p w14:paraId="38EAE98F" w14:textId="7C716FB5" w:rsidR="00F33399" w:rsidRDefault="002F3CFF" w:rsidP="00B95903">
      <w:r w:rsidRPr="002F3CFF">
        <w:t>The</w:t>
      </w:r>
      <w:r w:rsidR="00CB72CB">
        <w:t>re is no data on the</w:t>
      </w:r>
      <w:r w:rsidRPr="002F3CFF">
        <w:t xml:space="preserve"> safety and efficacy of </w:t>
      </w:r>
      <w:proofErr w:type="spellStart"/>
      <w:r w:rsidRPr="002F3CFF">
        <w:t>Veltassa</w:t>
      </w:r>
      <w:proofErr w:type="spellEnd"/>
      <w:r w:rsidRPr="002F3CFF">
        <w:t xml:space="preserve"> in children aged under 18 years.</w:t>
      </w:r>
    </w:p>
    <w:p w14:paraId="270ED291" w14:textId="77777777" w:rsidR="00F33399" w:rsidRDefault="00F33399" w:rsidP="00B95903">
      <w:pPr>
        <w:pStyle w:val="Heading2"/>
      </w:pPr>
      <w:r>
        <w:t>Use in the Elderly</w:t>
      </w:r>
    </w:p>
    <w:p w14:paraId="7EB0C051" w14:textId="77777777" w:rsidR="002F3CFF" w:rsidRDefault="002F3CFF" w:rsidP="00B95903">
      <w:r w:rsidRPr="002F3CFF">
        <w:t xml:space="preserve">Of the total number of subjects exposed to </w:t>
      </w:r>
      <w:proofErr w:type="spellStart"/>
      <w:r w:rsidRPr="002F3CFF">
        <w:t>Veltassa</w:t>
      </w:r>
      <w:proofErr w:type="spellEnd"/>
      <w:r w:rsidRPr="002F3CFF">
        <w:t xml:space="preserve"> in clinical studies, 398 (59.8%) were aged 65 and over, while 132 (19.8%) were aged 75 and over. No special dose and administration guidelines were applied to seniors in these studies.</w:t>
      </w:r>
    </w:p>
    <w:p w14:paraId="5DCED3BE" w14:textId="77777777" w:rsidR="002F3CFF" w:rsidRDefault="002F3CFF" w:rsidP="00B95903">
      <w:pPr>
        <w:pStyle w:val="Heading2"/>
      </w:pPr>
      <w:proofErr w:type="spellStart"/>
      <w:r>
        <w:t>Genotoxicity</w:t>
      </w:r>
      <w:proofErr w:type="spellEnd"/>
    </w:p>
    <w:p w14:paraId="29D474A7" w14:textId="444E373C" w:rsidR="002F3CFF" w:rsidRDefault="00C32A76" w:rsidP="00B95903">
      <w:proofErr w:type="spellStart"/>
      <w:r>
        <w:t>Patiromer</w:t>
      </w:r>
      <w:proofErr w:type="spellEnd"/>
      <w:r>
        <w:t xml:space="preserve"> was not genotoxic in the </w:t>
      </w:r>
      <w:r w:rsidR="00AC1F9F">
        <w:t xml:space="preserve">bacterial </w:t>
      </w:r>
      <w:r>
        <w:t xml:space="preserve">reverse mutation test (Ames assay), </w:t>
      </w:r>
      <w:r w:rsidR="00AC1F9F" w:rsidRPr="00AC1F9F">
        <w:rPr>
          <w:i/>
        </w:rPr>
        <w:t>in vitro</w:t>
      </w:r>
      <w:r w:rsidR="00AC1F9F">
        <w:t xml:space="preserve"> chromosomal </w:t>
      </w:r>
      <w:r>
        <w:t xml:space="preserve">aberration </w:t>
      </w:r>
      <w:r w:rsidR="00AC1F9F">
        <w:t xml:space="preserve">assay (Chinese Hamster Ovary cells) </w:t>
      </w:r>
      <w:r>
        <w:t xml:space="preserve">or rat micronucleus </w:t>
      </w:r>
      <w:r w:rsidR="00723404">
        <w:t>test</w:t>
      </w:r>
      <w:r>
        <w:t>.</w:t>
      </w:r>
    </w:p>
    <w:p w14:paraId="568BE21D" w14:textId="77777777" w:rsidR="002F3CFF" w:rsidRDefault="002F3CFF" w:rsidP="00B95903">
      <w:pPr>
        <w:pStyle w:val="Heading2"/>
      </w:pPr>
      <w:r>
        <w:t>Carcinogenicity</w:t>
      </w:r>
    </w:p>
    <w:p w14:paraId="4F6E5C42" w14:textId="07A9D124" w:rsidR="002F3CFF" w:rsidRDefault="00C32A76" w:rsidP="00B95903">
      <w:r>
        <w:t xml:space="preserve">Carcinogenicity studies </w:t>
      </w:r>
      <w:r w:rsidR="00E5705B">
        <w:t xml:space="preserve">with </w:t>
      </w:r>
      <w:proofErr w:type="spellStart"/>
      <w:r w:rsidRPr="00C32A76">
        <w:t>patiromer</w:t>
      </w:r>
      <w:proofErr w:type="spellEnd"/>
      <w:r w:rsidRPr="00C32A76">
        <w:t xml:space="preserve"> </w:t>
      </w:r>
      <w:proofErr w:type="spellStart"/>
      <w:r w:rsidRPr="00C32A76">
        <w:t>sorbitex</w:t>
      </w:r>
      <w:proofErr w:type="spellEnd"/>
      <w:r w:rsidRPr="00C32A76">
        <w:t xml:space="preserve"> calcium</w:t>
      </w:r>
      <w:r>
        <w:t xml:space="preserve"> have not been pe</w:t>
      </w:r>
      <w:r w:rsidR="00F25B0A">
        <w:t>r</w:t>
      </w:r>
      <w:r>
        <w:t>formed.</w:t>
      </w:r>
    </w:p>
    <w:p w14:paraId="57D63521" w14:textId="77777777" w:rsidR="004612BC" w:rsidRPr="008746E7" w:rsidRDefault="004612BC" w:rsidP="00B95903">
      <w:pPr>
        <w:pStyle w:val="Heading1"/>
      </w:pPr>
      <w:r w:rsidRPr="008746E7">
        <w:lastRenderedPageBreak/>
        <w:t>INTERACTIONS WITH OTHER MEDICINES</w:t>
      </w:r>
    </w:p>
    <w:p w14:paraId="4FC11512" w14:textId="77777777" w:rsidR="00F6178F" w:rsidRDefault="00F6178F" w:rsidP="00B95903">
      <w:proofErr w:type="spellStart"/>
      <w:r>
        <w:t>Patiromer</w:t>
      </w:r>
      <w:proofErr w:type="spellEnd"/>
      <w:r>
        <w:t xml:space="preserve"> </w:t>
      </w:r>
      <w:proofErr w:type="spellStart"/>
      <w:r>
        <w:t>sorbitex</w:t>
      </w:r>
      <w:proofErr w:type="spellEnd"/>
      <w:r>
        <w:t xml:space="preserve"> calcium has the potential to bind some oral co-administered drugs, which could decrease their gastrointestinal absorption</w:t>
      </w:r>
      <w:r w:rsidR="00C66AC3">
        <w:t xml:space="preserve"> and </w:t>
      </w:r>
      <w:r w:rsidR="003051DE">
        <w:t xml:space="preserve">result in a </w:t>
      </w:r>
      <w:r w:rsidR="00C66AC3">
        <w:t xml:space="preserve">loss of efficacy when taken close to the time </w:t>
      </w:r>
      <w:proofErr w:type="spellStart"/>
      <w:r w:rsidR="00C66AC3">
        <w:t>Veltassa</w:t>
      </w:r>
      <w:proofErr w:type="spellEnd"/>
      <w:r w:rsidR="00C66AC3">
        <w:t xml:space="preserve"> is administered</w:t>
      </w:r>
      <w:r w:rsidR="00723404">
        <w:t>.</w:t>
      </w:r>
      <w:r w:rsidR="00C66AC3">
        <w:t xml:space="preserve"> </w:t>
      </w:r>
    </w:p>
    <w:p w14:paraId="3D522476" w14:textId="77777777" w:rsidR="004B3323" w:rsidRDefault="004B3323" w:rsidP="00B95903"/>
    <w:p w14:paraId="134DA34E" w14:textId="77777777" w:rsidR="004B3323" w:rsidRPr="00DE60DA" w:rsidRDefault="004B3323" w:rsidP="004B3323">
      <w:pPr>
        <w:rPr>
          <w:b/>
        </w:rPr>
      </w:pPr>
      <w:r w:rsidRPr="00DE60DA">
        <w:rPr>
          <w:b/>
        </w:rPr>
        <w:t>As precautionary measure, and based on the data</w:t>
      </w:r>
      <w:r w:rsidRPr="00DE60DA">
        <w:rPr>
          <w:b/>
          <w:lang w:val="en-GB"/>
        </w:rPr>
        <w:t xml:space="preserve"> summarised</w:t>
      </w:r>
      <w:r w:rsidRPr="00DE60DA">
        <w:rPr>
          <w:b/>
        </w:rPr>
        <w:t xml:space="preserve"> below, administration of </w:t>
      </w:r>
      <w:proofErr w:type="spellStart"/>
      <w:r w:rsidRPr="00DE60DA">
        <w:rPr>
          <w:b/>
        </w:rPr>
        <w:t>Veltassa</w:t>
      </w:r>
      <w:proofErr w:type="spellEnd"/>
      <w:r w:rsidRPr="00DE60DA">
        <w:rPr>
          <w:b/>
        </w:rPr>
        <w:t xml:space="preserve"> should therefore be separated by at least 3 hours from other oral medicinal products.</w:t>
      </w:r>
    </w:p>
    <w:p w14:paraId="247E920C" w14:textId="77777777" w:rsidR="004B3323" w:rsidRDefault="004B3323" w:rsidP="00B95903"/>
    <w:p w14:paraId="26B59E5E" w14:textId="77777777" w:rsidR="004B3323" w:rsidRPr="00575AEC" w:rsidRDefault="004B3323" w:rsidP="004B3323">
      <w:r w:rsidRPr="00575AEC">
        <w:t xml:space="preserve">Concomitant administration of </w:t>
      </w:r>
      <w:proofErr w:type="spellStart"/>
      <w:r w:rsidRPr="00575AEC">
        <w:t>Veltassa</w:t>
      </w:r>
      <w:proofErr w:type="spellEnd"/>
      <w:r w:rsidRPr="00575AEC">
        <w:t xml:space="preserve"> showed reduced bioavailability of ciprofloxacin, levothyroxine and metformin. However, there was no interaction when </w:t>
      </w:r>
      <w:proofErr w:type="spellStart"/>
      <w:r w:rsidRPr="00575AEC">
        <w:t>Veltassa</w:t>
      </w:r>
      <w:proofErr w:type="spellEnd"/>
      <w:r w:rsidRPr="00575AEC">
        <w:t xml:space="preserve"> and these medicinal products were taken 3 hours apart.</w:t>
      </w:r>
    </w:p>
    <w:p w14:paraId="208944FB" w14:textId="77777777" w:rsidR="004B3323" w:rsidRDefault="004B3323" w:rsidP="00B95903"/>
    <w:p w14:paraId="4D2819F0" w14:textId="77777777" w:rsidR="00DC323A" w:rsidRDefault="00DC323A" w:rsidP="00DC323A">
      <w:r w:rsidRPr="0047516B">
        <w:rPr>
          <w:i/>
        </w:rPr>
        <w:t>In vitro</w:t>
      </w:r>
      <w:r>
        <w:t xml:space="preserve"> studies have shown potential interac</w:t>
      </w:r>
      <w:r w:rsidR="004D12F9">
        <w:t xml:space="preserve">tion of </w:t>
      </w:r>
      <w:proofErr w:type="spellStart"/>
      <w:r w:rsidR="004D12F9">
        <w:t>Veltassa</w:t>
      </w:r>
      <w:proofErr w:type="spellEnd"/>
      <w:r w:rsidR="004D12F9">
        <w:t xml:space="preserve"> with quinidine and thiamine.</w:t>
      </w:r>
    </w:p>
    <w:p w14:paraId="1677F457" w14:textId="77777777" w:rsidR="00DC323A" w:rsidRDefault="00DC323A" w:rsidP="00DC323A"/>
    <w:p w14:paraId="12E57384" w14:textId="77777777" w:rsidR="00DC323A" w:rsidRDefault="00DC323A" w:rsidP="00DC323A">
      <w:r>
        <w:t xml:space="preserve">Concomitant administration of </w:t>
      </w:r>
      <w:proofErr w:type="spellStart"/>
      <w:r>
        <w:t>Veltassa</w:t>
      </w:r>
      <w:proofErr w:type="spellEnd"/>
      <w:r>
        <w:t xml:space="preserve"> did however not affect the bioavailability as measured by the area under the curve (AUC) of amlodipine, </w:t>
      </w:r>
      <w:proofErr w:type="spellStart"/>
      <w:r>
        <w:t>cinacalcet</w:t>
      </w:r>
      <w:proofErr w:type="spellEnd"/>
      <w:r>
        <w:t xml:space="preserve">, </w:t>
      </w:r>
      <w:proofErr w:type="spellStart"/>
      <w:r>
        <w:t>clopidogrel</w:t>
      </w:r>
      <w:proofErr w:type="spellEnd"/>
      <w:r>
        <w:t>, furosemide, lithium, metoprolol, trimethoprim, verapamil and warfarin.</w:t>
      </w:r>
    </w:p>
    <w:p w14:paraId="078D547E" w14:textId="77777777" w:rsidR="00DC323A" w:rsidRDefault="00DC323A" w:rsidP="00DC323A"/>
    <w:p w14:paraId="53EF0877" w14:textId="77777777" w:rsidR="00C66AC3" w:rsidRDefault="00DC323A" w:rsidP="00DC323A">
      <w:r w:rsidRPr="0047516B">
        <w:rPr>
          <w:i/>
        </w:rPr>
        <w:t>In vitro</w:t>
      </w:r>
      <w:r>
        <w:t xml:space="preserve"> studies have shown </w:t>
      </w:r>
      <w:r w:rsidRPr="00011EE2">
        <w:t>no</w:t>
      </w:r>
      <w:r>
        <w:t xml:space="preserve"> potential interaction of </w:t>
      </w:r>
      <w:proofErr w:type="spellStart"/>
      <w:r>
        <w:t>Veltassa</w:t>
      </w:r>
      <w:proofErr w:type="spellEnd"/>
      <w:r>
        <w:t xml:space="preserve"> with the following active substances:</w:t>
      </w:r>
      <w:r w:rsidR="004D12F9">
        <w:t xml:space="preserve"> </w:t>
      </w:r>
      <w:r>
        <w:t xml:space="preserve">allopurinol, amoxicillin, </w:t>
      </w:r>
      <w:proofErr w:type="spellStart"/>
      <w:r>
        <w:t>apixaban</w:t>
      </w:r>
      <w:proofErr w:type="spellEnd"/>
      <w:r>
        <w:t xml:space="preserve">, acetylsalicylic acid, atorvastatin, cephalexin, digoxin, glipizide, </w:t>
      </w:r>
      <w:proofErr w:type="spellStart"/>
      <w:r>
        <w:t>lisinopril</w:t>
      </w:r>
      <w:proofErr w:type="spellEnd"/>
      <w:r>
        <w:t xml:space="preserve">, phenytoin, riboflavin, </w:t>
      </w:r>
      <w:proofErr w:type="spellStart"/>
      <w:r>
        <w:t>rivaroxaban</w:t>
      </w:r>
      <w:proofErr w:type="spellEnd"/>
      <w:r>
        <w:t>, spironolactone and valsartan</w:t>
      </w:r>
      <w:r w:rsidR="00723404">
        <w:t>.</w:t>
      </w:r>
    </w:p>
    <w:p w14:paraId="14249AE5" w14:textId="77777777" w:rsidR="00DE60DA" w:rsidRDefault="00DE60DA" w:rsidP="00DC323A"/>
    <w:p w14:paraId="5B56F89D" w14:textId="77777777" w:rsidR="000F4DF8" w:rsidRDefault="000F4DF8" w:rsidP="000F4DF8">
      <w:r>
        <w:t xml:space="preserve">Physicians should consider monitoring medicines with a narrow therapeutic index when starting </w:t>
      </w:r>
      <w:proofErr w:type="spellStart"/>
      <w:r>
        <w:t>Ve</w:t>
      </w:r>
      <w:r w:rsidR="006C70EC">
        <w:t>l</w:t>
      </w:r>
      <w:r>
        <w:t>tassa</w:t>
      </w:r>
      <w:proofErr w:type="spellEnd"/>
      <w:r>
        <w:t>.</w:t>
      </w:r>
    </w:p>
    <w:p w14:paraId="3AF61289" w14:textId="06B7BD6F" w:rsidR="00F22BCA" w:rsidRPr="008746E7" w:rsidRDefault="00F22BCA" w:rsidP="00B95903">
      <w:pPr>
        <w:pStyle w:val="Heading1"/>
      </w:pPr>
      <w:r w:rsidRPr="008746E7">
        <w:t>A</w:t>
      </w:r>
      <w:r w:rsidR="001E2D56" w:rsidRPr="008746E7">
        <w:t>DVERSE EFFECTS</w:t>
      </w:r>
    </w:p>
    <w:p w14:paraId="0D31D223" w14:textId="77777777" w:rsidR="00EA473A" w:rsidRDefault="00EA473A" w:rsidP="00B95903">
      <w:r>
        <w:t xml:space="preserve">The current safety profile of </w:t>
      </w:r>
      <w:proofErr w:type="spellStart"/>
      <w:r w:rsidRPr="00EA473A">
        <w:t>patiromer</w:t>
      </w:r>
      <w:proofErr w:type="spellEnd"/>
      <w:r w:rsidRPr="00EA473A">
        <w:t xml:space="preserve"> </w:t>
      </w:r>
      <w:proofErr w:type="spellStart"/>
      <w:r w:rsidRPr="00EA473A">
        <w:t>sorbitex</w:t>
      </w:r>
      <w:proofErr w:type="spellEnd"/>
      <w:r w:rsidRPr="00EA473A">
        <w:t xml:space="preserve"> calcium</w:t>
      </w:r>
      <w:r>
        <w:t xml:space="preserve"> is based on a total of 666 patients from clinical trials, 547 patients with hyperkalaemia from treatment studies and 119 patients at risk of hyperkalaemia from prevention studies.</w:t>
      </w:r>
    </w:p>
    <w:p w14:paraId="4B573D50" w14:textId="77777777" w:rsidR="00EA473A" w:rsidRDefault="00EA473A" w:rsidP="00B95903"/>
    <w:p w14:paraId="6CD81388" w14:textId="77777777" w:rsidR="00474B39" w:rsidRDefault="00EA473A" w:rsidP="00B95903">
      <w:r>
        <w:t>The majority of the adverse events reported from trials were gastrointestinal disorders, with the most frequently reported adverse events being constipation, diarrhoea, abdominal pain, flatulence, nausea, vomiting, and hypomagnesaemia. Gastrointestinal disorder events were generally mild to moderate in nature, did not appear to be dose related, generally resolved spontaneously or with treatment, and none were reported as serious.</w:t>
      </w:r>
    </w:p>
    <w:p w14:paraId="387230B5" w14:textId="77777777" w:rsidR="00EA473A" w:rsidRDefault="00EA473A" w:rsidP="00B95903"/>
    <w:p w14:paraId="0FC3639A" w14:textId="77777777" w:rsidR="00EA473A" w:rsidRPr="006E430C" w:rsidRDefault="00EA473A" w:rsidP="00CF4310">
      <w:pPr>
        <w:keepNext/>
        <w:rPr>
          <w:rStyle w:val="Strong"/>
        </w:rPr>
      </w:pPr>
      <w:r w:rsidRPr="006E430C">
        <w:rPr>
          <w:rStyle w:val="Strong"/>
        </w:rPr>
        <w:lastRenderedPageBreak/>
        <w:t xml:space="preserve">Table 1: </w:t>
      </w:r>
      <w:r w:rsidR="006E430C">
        <w:rPr>
          <w:rStyle w:val="Strong"/>
        </w:rPr>
        <w:t>Tabulated l</w:t>
      </w:r>
      <w:r w:rsidR="006E430C" w:rsidRPr="006E430C">
        <w:rPr>
          <w:rStyle w:val="Strong"/>
        </w:rPr>
        <w:t xml:space="preserve">ist of </w:t>
      </w:r>
      <w:r w:rsidR="006E430C">
        <w:rPr>
          <w:rStyle w:val="Strong"/>
        </w:rPr>
        <w:t>a</w:t>
      </w:r>
      <w:r w:rsidR="006E430C" w:rsidRPr="006E430C">
        <w:rPr>
          <w:rStyle w:val="Strong"/>
        </w:rPr>
        <w:t xml:space="preserve">dverse </w:t>
      </w:r>
      <w:r w:rsidR="006E430C">
        <w:rPr>
          <w:rStyle w:val="Strong"/>
        </w:rPr>
        <w:t>e</w:t>
      </w:r>
      <w:r w:rsidR="006E430C" w:rsidRPr="006E430C">
        <w:rPr>
          <w:rStyle w:val="Strong"/>
        </w:rPr>
        <w:t>vents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6E430C" w:rsidRPr="006E430C" w14:paraId="0132AB9C" w14:textId="77777777" w:rsidTr="006E430C">
        <w:tc>
          <w:tcPr>
            <w:tcW w:w="3005" w:type="dxa"/>
            <w:tcBorders>
              <w:top w:val="single" w:sz="4" w:space="0" w:color="auto"/>
              <w:bottom w:val="single" w:sz="4" w:space="0" w:color="auto"/>
            </w:tcBorders>
            <w:tcMar>
              <w:top w:w="57" w:type="dxa"/>
              <w:bottom w:w="57" w:type="dxa"/>
            </w:tcMar>
          </w:tcPr>
          <w:p w14:paraId="55D0C83C" w14:textId="77777777" w:rsidR="006E430C" w:rsidRPr="006E430C" w:rsidRDefault="006E430C" w:rsidP="00CF4310">
            <w:pPr>
              <w:keepNext/>
            </w:pPr>
            <w:r w:rsidRPr="006E430C">
              <w:t>System Organ Class</w:t>
            </w:r>
          </w:p>
        </w:tc>
        <w:tc>
          <w:tcPr>
            <w:tcW w:w="3005" w:type="dxa"/>
            <w:tcBorders>
              <w:top w:val="single" w:sz="4" w:space="0" w:color="auto"/>
              <w:bottom w:val="single" w:sz="4" w:space="0" w:color="auto"/>
            </w:tcBorders>
            <w:tcMar>
              <w:top w:w="57" w:type="dxa"/>
              <w:bottom w:w="57" w:type="dxa"/>
            </w:tcMar>
          </w:tcPr>
          <w:p w14:paraId="459E95F7" w14:textId="77777777" w:rsidR="006E430C" w:rsidRPr="006E430C" w:rsidRDefault="006E430C" w:rsidP="00CF4310">
            <w:pPr>
              <w:keepNext/>
            </w:pPr>
            <w:r w:rsidRPr="006E430C">
              <w:t>Common</w:t>
            </w:r>
          </w:p>
          <w:p w14:paraId="6FEBFB58" w14:textId="77777777" w:rsidR="006E430C" w:rsidRPr="006E430C" w:rsidRDefault="006E430C" w:rsidP="00CF4310">
            <w:pPr>
              <w:keepNext/>
            </w:pPr>
            <w:r w:rsidRPr="006E430C">
              <w:t>(&gt;1/100 to &lt;1/10)</w:t>
            </w:r>
          </w:p>
        </w:tc>
        <w:tc>
          <w:tcPr>
            <w:tcW w:w="3006" w:type="dxa"/>
            <w:tcBorders>
              <w:top w:val="single" w:sz="4" w:space="0" w:color="auto"/>
              <w:bottom w:val="single" w:sz="4" w:space="0" w:color="auto"/>
            </w:tcBorders>
            <w:tcMar>
              <w:top w:w="57" w:type="dxa"/>
              <w:bottom w:w="57" w:type="dxa"/>
            </w:tcMar>
          </w:tcPr>
          <w:p w14:paraId="4B165E46" w14:textId="77777777" w:rsidR="006E430C" w:rsidRPr="006E430C" w:rsidRDefault="006E430C" w:rsidP="00CF4310">
            <w:pPr>
              <w:keepNext/>
            </w:pPr>
            <w:r w:rsidRPr="006E430C">
              <w:t>Uncommon</w:t>
            </w:r>
          </w:p>
          <w:p w14:paraId="342B6E49" w14:textId="77777777" w:rsidR="006E430C" w:rsidRPr="006E430C" w:rsidRDefault="006E430C" w:rsidP="00CF4310">
            <w:pPr>
              <w:keepNext/>
            </w:pPr>
            <w:r w:rsidRPr="006E430C">
              <w:t>(&gt;1/1,000 to &lt;1/100)</w:t>
            </w:r>
          </w:p>
        </w:tc>
      </w:tr>
      <w:tr w:rsidR="006E430C" w:rsidRPr="006E430C" w14:paraId="21B7233F" w14:textId="77777777" w:rsidTr="006E430C">
        <w:tc>
          <w:tcPr>
            <w:tcW w:w="3005" w:type="dxa"/>
            <w:tcBorders>
              <w:top w:val="single" w:sz="4" w:space="0" w:color="auto"/>
            </w:tcBorders>
            <w:tcMar>
              <w:top w:w="57" w:type="dxa"/>
              <w:bottom w:w="57" w:type="dxa"/>
            </w:tcMar>
          </w:tcPr>
          <w:p w14:paraId="0FEE1EEC" w14:textId="77777777" w:rsidR="006E430C" w:rsidRPr="004442BC" w:rsidRDefault="006E430C" w:rsidP="00CF4310">
            <w:pPr>
              <w:pStyle w:val="Default"/>
              <w:keepNext/>
            </w:pPr>
            <w:r w:rsidRPr="004442BC">
              <w:t xml:space="preserve">Metabolism and nutrition disorders </w:t>
            </w:r>
          </w:p>
        </w:tc>
        <w:tc>
          <w:tcPr>
            <w:tcW w:w="3005" w:type="dxa"/>
            <w:tcBorders>
              <w:top w:val="single" w:sz="4" w:space="0" w:color="auto"/>
            </w:tcBorders>
            <w:tcMar>
              <w:top w:w="57" w:type="dxa"/>
              <w:bottom w:w="57" w:type="dxa"/>
            </w:tcMar>
          </w:tcPr>
          <w:p w14:paraId="3D24ED65" w14:textId="77777777" w:rsidR="004776B9" w:rsidRDefault="006E430C" w:rsidP="00CF4310">
            <w:pPr>
              <w:pStyle w:val="Default"/>
              <w:keepNext/>
            </w:pPr>
            <w:r w:rsidRPr="004442BC">
              <w:t>Hypomagnesaemia</w:t>
            </w:r>
          </w:p>
          <w:p w14:paraId="4CB420BB" w14:textId="43FF704F" w:rsidR="006E430C" w:rsidRPr="004442BC" w:rsidRDefault="006E430C" w:rsidP="00CF4310">
            <w:pPr>
              <w:pStyle w:val="Default"/>
              <w:keepNext/>
            </w:pPr>
          </w:p>
        </w:tc>
        <w:tc>
          <w:tcPr>
            <w:tcW w:w="3006" w:type="dxa"/>
            <w:tcBorders>
              <w:top w:val="single" w:sz="4" w:space="0" w:color="auto"/>
            </w:tcBorders>
            <w:tcMar>
              <w:top w:w="57" w:type="dxa"/>
              <w:bottom w:w="57" w:type="dxa"/>
            </w:tcMar>
          </w:tcPr>
          <w:p w14:paraId="355890C8" w14:textId="77777777" w:rsidR="006E430C" w:rsidRPr="004442BC" w:rsidRDefault="006E430C" w:rsidP="00CF4310">
            <w:pPr>
              <w:keepNext/>
            </w:pPr>
          </w:p>
        </w:tc>
      </w:tr>
      <w:tr w:rsidR="006E430C" w:rsidRPr="006E430C" w14:paraId="7A1A9845" w14:textId="77777777" w:rsidTr="006E430C">
        <w:tc>
          <w:tcPr>
            <w:tcW w:w="3005" w:type="dxa"/>
            <w:tcBorders>
              <w:bottom w:val="single" w:sz="4" w:space="0" w:color="auto"/>
            </w:tcBorders>
            <w:tcMar>
              <w:top w:w="57" w:type="dxa"/>
              <w:bottom w:w="57" w:type="dxa"/>
            </w:tcMar>
          </w:tcPr>
          <w:p w14:paraId="09CFF285" w14:textId="77777777" w:rsidR="006E430C" w:rsidRPr="004442BC" w:rsidRDefault="006E430C" w:rsidP="00CF4310">
            <w:pPr>
              <w:pStyle w:val="Default"/>
              <w:keepNext/>
            </w:pPr>
            <w:r w:rsidRPr="004442BC">
              <w:t xml:space="preserve">Gastrointestinal disorders </w:t>
            </w:r>
          </w:p>
        </w:tc>
        <w:tc>
          <w:tcPr>
            <w:tcW w:w="3005" w:type="dxa"/>
            <w:tcBorders>
              <w:bottom w:val="single" w:sz="4" w:space="0" w:color="auto"/>
            </w:tcBorders>
            <w:tcMar>
              <w:top w:w="57" w:type="dxa"/>
              <w:bottom w:w="57" w:type="dxa"/>
            </w:tcMar>
          </w:tcPr>
          <w:p w14:paraId="09978880" w14:textId="77777777" w:rsidR="006E430C" w:rsidRPr="004442BC" w:rsidRDefault="006E430C" w:rsidP="00CF4310">
            <w:pPr>
              <w:pStyle w:val="Default"/>
              <w:keepNext/>
            </w:pPr>
            <w:r w:rsidRPr="004442BC">
              <w:t xml:space="preserve">Constipation </w:t>
            </w:r>
          </w:p>
          <w:p w14:paraId="155C421C" w14:textId="77777777" w:rsidR="006E430C" w:rsidRPr="004442BC" w:rsidRDefault="006E430C" w:rsidP="00CF4310">
            <w:pPr>
              <w:pStyle w:val="Default"/>
              <w:keepNext/>
            </w:pPr>
            <w:r w:rsidRPr="004442BC">
              <w:t xml:space="preserve">Diarrhoea </w:t>
            </w:r>
          </w:p>
          <w:p w14:paraId="0F60FB13" w14:textId="77777777" w:rsidR="006E430C" w:rsidRPr="004442BC" w:rsidRDefault="006E430C" w:rsidP="00CF4310">
            <w:pPr>
              <w:pStyle w:val="Default"/>
              <w:keepNext/>
            </w:pPr>
            <w:r w:rsidRPr="004442BC">
              <w:t xml:space="preserve">Abdominal pain </w:t>
            </w:r>
          </w:p>
          <w:p w14:paraId="168CC5A5" w14:textId="77777777" w:rsidR="006E430C" w:rsidRPr="004442BC" w:rsidRDefault="006E430C" w:rsidP="00CF4310">
            <w:pPr>
              <w:keepNext/>
            </w:pPr>
            <w:r w:rsidRPr="004442BC">
              <w:t xml:space="preserve">Flatulence </w:t>
            </w:r>
          </w:p>
        </w:tc>
        <w:tc>
          <w:tcPr>
            <w:tcW w:w="3006" w:type="dxa"/>
            <w:tcBorders>
              <w:bottom w:val="single" w:sz="4" w:space="0" w:color="auto"/>
            </w:tcBorders>
            <w:tcMar>
              <w:top w:w="57" w:type="dxa"/>
              <w:bottom w:w="57" w:type="dxa"/>
            </w:tcMar>
          </w:tcPr>
          <w:p w14:paraId="31871832" w14:textId="77777777" w:rsidR="006E430C" w:rsidRPr="004442BC" w:rsidRDefault="006E430C" w:rsidP="00CF4310">
            <w:pPr>
              <w:pStyle w:val="Default"/>
              <w:keepNext/>
            </w:pPr>
            <w:r w:rsidRPr="004442BC">
              <w:t xml:space="preserve">Nausea </w:t>
            </w:r>
          </w:p>
          <w:p w14:paraId="26B7F40F" w14:textId="77777777" w:rsidR="006E430C" w:rsidRPr="004442BC" w:rsidRDefault="006E430C" w:rsidP="00CF4310">
            <w:pPr>
              <w:keepNext/>
            </w:pPr>
            <w:r w:rsidRPr="004442BC">
              <w:t xml:space="preserve">Vomiting </w:t>
            </w:r>
          </w:p>
        </w:tc>
      </w:tr>
    </w:tbl>
    <w:p w14:paraId="69509170" w14:textId="77777777" w:rsidR="001C46D9" w:rsidRDefault="001C46D9" w:rsidP="001C46D9"/>
    <w:p w14:paraId="52E877FD" w14:textId="77777777" w:rsidR="001C46D9" w:rsidRPr="001C46D9" w:rsidRDefault="001C46D9" w:rsidP="001C46D9">
      <w:pPr>
        <w:pStyle w:val="Default"/>
        <w:keepNext/>
        <w:rPr>
          <w:u w:val="single"/>
        </w:rPr>
      </w:pPr>
      <w:r w:rsidRPr="001C46D9">
        <w:rPr>
          <w:u w:val="single"/>
        </w:rPr>
        <w:t>Laboratory Abnormalities</w:t>
      </w:r>
    </w:p>
    <w:p w14:paraId="3B4FF9E1" w14:textId="430AF558" w:rsidR="001C46D9" w:rsidRDefault="009E2A86" w:rsidP="001C46D9">
      <w:r w:rsidRPr="001C46D9">
        <w:t>Approximately</w:t>
      </w:r>
      <w:r w:rsidR="001C46D9" w:rsidRPr="001C46D9">
        <w:t xml:space="preserve"> 4.7% of </w:t>
      </w:r>
      <w:r w:rsidRPr="001C46D9">
        <w:t>patients</w:t>
      </w:r>
      <w:r w:rsidR="001C46D9" w:rsidRPr="001C46D9">
        <w:t xml:space="preserve"> in clinical trials developed hyp</w:t>
      </w:r>
      <w:r>
        <w:t>o</w:t>
      </w:r>
      <w:r w:rsidR="001C46D9" w:rsidRPr="001C46D9">
        <w:t>kal</w:t>
      </w:r>
      <w:r>
        <w:t>a</w:t>
      </w:r>
      <w:r w:rsidR="001C46D9" w:rsidRPr="001C46D9">
        <w:t>emia with a serum potassium value &lt; 3.5mEq/L</w:t>
      </w:r>
    </w:p>
    <w:p w14:paraId="063205D5" w14:textId="77777777" w:rsidR="00F22BCA" w:rsidRPr="008746E7" w:rsidRDefault="001E2D56" w:rsidP="00B95903">
      <w:pPr>
        <w:pStyle w:val="Heading1"/>
      </w:pPr>
      <w:r w:rsidRPr="008746E7">
        <w:t>DOSAGE AND ADMINISTRATION</w:t>
      </w:r>
    </w:p>
    <w:p w14:paraId="48166EBB" w14:textId="77777777" w:rsidR="00101E20" w:rsidRDefault="00101E20" w:rsidP="00B95903">
      <w:r>
        <w:t xml:space="preserve">The recommended starting dose of </w:t>
      </w:r>
      <w:proofErr w:type="spellStart"/>
      <w:r>
        <w:t>Veltassa</w:t>
      </w:r>
      <w:proofErr w:type="spellEnd"/>
      <w:r>
        <w:t xml:space="preserve"> is at least 8.4</w:t>
      </w:r>
      <w:r w:rsidR="00B95903">
        <w:t> </w:t>
      </w:r>
      <w:r>
        <w:t xml:space="preserve">g </w:t>
      </w:r>
      <w:proofErr w:type="spellStart"/>
      <w:r>
        <w:t>patiromer</w:t>
      </w:r>
      <w:proofErr w:type="spellEnd"/>
      <w:r>
        <w:t xml:space="preserve"> </w:t>
      </w:r>
      <w:r w:rsidR="00A3479C">
        <w:t xml:space="preserve">(as </w:t>
      </w:r>
      <w:proofErr w:type="spellStart"/>
      <w:r w:rsidR="00A3479C">
        <w:t>sorbitex</w:t>
      </w:r>
      <w:proofErr w:type="spellEnd"/>
      <w:r w:rsidR="00A3479C">
        <w:t xml:space="preserve"> calcium) </w:t>
      </w:r>
      <w:r>
        <w:t>once daily.</w:t>
      </w:r>
      <w:r w:rsidR="00007F98">
        <w:t xml:space="preserve"> </w:t>
      </w:r>
      <w:r w:rsidR="00B06C64">
        <w:t xml:space="preserve"> </w:t>
      </w:r>
      <w:r w:rsidR="00B06C64" w:rsidRPr="00B06C64">
        <w:t xml:space="preserve">The prepared </w:t>
      </w:r>
      <w:proofErr w:type="spellStart"/>
      <w:r w:rsidR="00B06C64" w:rsidRPr="00B06C64">
        <w:t>Veltassa</w:t>
      </w:r>
      <w:proofErr w:type="spellEnd"/>
      <w:r w:rsidR="00B06C64" w:rsidRPr="00B06C64">
        <w:t xml:space="preserve"> suspension should be taken with food and preferably at the same time of the day.</w:t>
      </w:r>
    </w:p>
    <w:p w14:paraId="1FA2D82C" w14:textId="77777777" w:rsidR="00101E20" w:rsidRDefault="00101E20" w:rsidP="00B95903"/>
    <w:p w14:paraId="454BDA77" w14:textId="51EB0A90" w:rsidR="00101E20" w:rsidRDefault="00101E20" w:rsidP="00B95903">
      <w:r>
        <w:t xml:space="preserve">Adjust the daily dose of </w:t>
      </w:r>
      <w:proofErr w:type="spellStart"/>
      <w:r>
        <w:t>Veltassa</w:t>
      </w:r>
      <w:proofErr w:type="spellEnd"/>
      <w:r>
        <w:t xml:space="preserve"> based on the serum potassium level and the desired target range. The daily dose may be increased </w:t>
      </w:r>
      <w:r w:rsidR="00B3645A">
        <w:t>at 1-week or longer intervals by increments of 8.4 g</w:t>
      </w:r>
      <w:r w:rsidR="006C70EC">
        <w:t>,</w:t>
      </w:r>
      <w:r w:rsidR="00B3645A">
        <w:t xml:space="preserve"> </w:t>
      </w:r>
      <w:r>
        <w:t>or decreased by 8.4</w:t>
      </w:r>
      <w:r w:rsidR="00B95903">
        <w:t> </w:t>
      </w:r>
      <w:r>
        <w:t>g, as necessary to reach the desired target range, up to a maximum dose of 25.2</w:t>
      </w:r>
      <w:r w:rsidR="00B95903">
        <w:t> </w:t>
      </w:r>
      <w:r>
        <w:t>g daily.</w:t>
      </w:r>
      <w:r w:rsidR="00007F98">
        <w:rPr>
          <w:rFonts w:eastAsia="SimSun"/>
          <w:lang w:val="en-GB" w:eastAsia="zh-CN"/>
        </w:rPr>
        <w:t xml:space="preserve">  </w:t>
      </w:r>
      <w:r w:rsidR="006543AD" w:rsidRPr="000808F6">
        <w:rPr>
          <w:rFonts w:eastAsia="SimSun"/>
          <w:lang w:val="en-GB" w:eastAsia="zh-CN"/>
        </w:rPr>
        <w:t>If serum potassium falls below the desired range, the dose should be reduced or discontinued</w:t>
      </w:r>
      <w:r w:rsidR="000E64DD">
        <w:rPr>
          <w:rFonts w:eastAsia="SimSun"/>
          <w:lang w:val="en-GB" w:eastAsia="zh-CN"/>
        </w:rPr>
        <w:t>.</w:t>
      </w:r>
    </w:p>
    <w:p w14:paraId="0A08CFD7" w14:textId="77777777" w:rsidR="00101E20" w:rsidRDefault="00101E20" w:rsidP="00B95903"/>
    <w:p w14:paraId="0F1A1EF6" w14:textId="77777777" w:rsidR="00F6178F" w:rsidRDefault="00101E20" w:rsidP="00B95903">
      <w:r>
        <w:t xml:space="preserve">If a </w:t>
      </w:r>
      <w:proofErr w:type="spellStart"/>
      <w:r>
        <w:t>Veltassa</w:t>
      </w:r>
      <w:proofErr w:type="spellEnd"/>
      <w:r>
        <w:t xml:space="preserve"> dose is missed, the missed dose should be taken as soon as possible on the same day. </w:t>
      </w:r>
      <w:r w:rsidR="00007F98">
        <w:t xml:space="preserve"> </w:t>
      </w:r>
      <w:r>
        <w:t>The missed dose should not be taken with the next dose.</w:t>
      </w:r>
      <w:r w:rsidR="00F6178F" w:rsidRPr="00F6178F">
        <w:t xml:space="preserve"> </w:t>
      </w:r>
    </w:p>
    <w:p w14:paraId="78226B27" w14:textId="77777777" w:rsidR="00F6178F" w:rsidRDefault="00F6178F" w:rsidP="00B95903"/>
    <w:p w14:paraId="5B75A250" w14:textId="77777777" w:rsidR="00F6178F" w:rsidRDefault="00F6178F" w:rsidP="00B95903">
      <w:r>
        <w:t xml:space="preserve">Upon discontinuation of </w:t>
      </w:r>
      <w:proofErr w:type="spellStart"/>
      <w:r>
        <w:t>Veltassa</w:t>
      </w:r>
      <w:proofErr w:type="spellEnd"/>
      <w:r>
        <w:t>, serum potassium levels may rise</w:t>
      </w:r>
      <w:r w:rsidR="00BB45F1">
        <w:t>, especially if RAAS inhibitor treatment is continued</w:t>
      </w:r>
      <w:r>
        <w:t xml:space="preserve"> (see PRECAUTIONS).</w:t>
      </w:r>
      <w:r w:rsidR="00007F98">
        <w:t xml:space="preserve"> </w:t>
      </w:r>
      <w:r>
        <w:t xml:space="preserve"> Therefore, patients should consult their doctor before discontinuing this medication. </w:t>
      </w:r>
    </w:p>
    <w:p w14:paraId="4AE0CDAC" w14:textId="77777777" w:rsidR="00B3645A" w:rsidRDefault="00B3645A" w:rsidP="00B95903"/>
    <w:p w14:paraId="2D3F2DEE" w14:textId="77777777" w:rsidR="00B3645A" w:rsidRDefault="00B3645A" w:rsidP="00B95903">
      <w:proofErr w:type="spellStart"/>
      <w:r w:rsidRPr="00B3645A">
        <w:t>Veltassa</w:t>
      </w:r>
      <w:proofErr w:type="spellEnd"/>
      <w:r w:rsidRPr="00B3645A">
        <w:t xml:space="preserve"> should be taken at least 3 hours before or after other </w:t>
      </w:r>
      <w:r w:rsidR="008E7F36">
        <w:t xml:space="preserve">oral </w:t>
      </w:r>
      <w:r w:rsidRPr="00B3645A">
        <w:t>medications</w:t>
      </w:r>
      <w:r>
        <w:t xml:space="preserve"> (see INTERACTIONS WITH OTHER MEDICINES).</w:t>
      </w:r>
    </w:p>
    <w:p w14:paraId="6BD1D342" w14:textId="77777777" w:rsidR="00DE7CC5" w:rsidRDefault="00DE7CC5" w:rsidP="00B95903"/>
    <w:p w14:paraId="6BA275F9" w14:textId="77777777" w:rsidR="00DE7CC5" w:rsidRDefault="00DE7CC5" w:rsidP="00DE7CC5">
      <w:r w:rsidRPr="00933085">
        <w:t xml:space="preserve">Serum potassium should be monitored when clinically indicated, including after changes are made to medicinal products that affect the serum potassium concentration (e.g. RAAS inhibitors or diuretics) and after the </w:t>
      </w:r>
      <w:proofErr w:type="spellStart"/>
      <w:r w:rsidRPr="00933085">
        <w:t>Veltassa</w:t>
      </w:r>
      <w:proofErr w:type="spellEnd"/>
      <w:r w:rsidRPr="00933085">
        <w:t xml:space="preserve"> dose is titrated</w:t>
      </w:r>
      <w:r>
        <w:t xml:space="preserve"> </w:t>
      </w:r>
      <w:bookmarkStart w:id="2" w:name="_Hlk496795230"/>
      <w:bookmarkStart w:id="3" w:name="_Hlk496795446"/>
      <w:r>
        <w:t>(see Monitoring, PRECAUTIONS)</w:t>
      </w:r>
      <w:bookmarkEnd w:id="2"/>
      <w:r w:rsidRPr="00933085">
        <w:t>.</w:t>
      </w:r>
    </w:p>
    <w:bookmarkEnd w:id="3"/>
    <w:p w14:paraId="5294B9FB" w14:textId="77777777" w:rsidR="00DE7CC5" w:rsidRDefault="00DE7CC5" w:rsidP="00DE7CC5"/>
    <w:p w14:paraId="2EAFBB02" w14:textId="77777777" w:rsidR="00DE7CC5" w:rsidRDefault="00DE7CC5" w:rsidP="00DE7CC5">
      <w:r w:rsidRPr="00933085">
        <w:t xml:space="preserve">Serum </w:t>
      </w:r>
      <w:r w:rsidRPr="002F3CFF">
        <w:t xml:space="preserve">magnesium </w:t>
      </w:r>
      <w:r w:rsidRPr="00933085">
        <w:t>should be monitored</w:t>
      </w:r>
      <w:r w:rsidRPr="002F3CFF">
        <w:t xml:space="preserve"> for </w:t>
      </w:r>
      <w:r>
        <w:t xml:space="preserve">at least </w:t>
      </w:r>
      <w:r w:rsidRPr="002F3CFF">
        <w:t xml:space="preserve">1 month after initiation of </w:t>
      </w:r>
      <w:proofErr w:type="spellStart"/>
      <w:r w:rsidRPr="002F3CFF">
        <w:t>patiromer</w:t>
      </w:r>
      <w:proofErr w:type="spellEnd"/>
      <w:r w:rsidRPr="002F3CFF">
        <w:t xml:space="preserve"> treatment</w:t>
      </w:r>
      <w:r>
        <w:t xml:space="preserve"> (see Monitoring, PRECAUTIONS)</w:t>
      </w:r>
      <w:r w:rsidRPr="00933085">
        <w:t>.</w:t>
      </w:r>
    </w:p>
    <w:p w14:paraId="26A619FD" w14:textId="77777777" w:rsidR="00DE7CC5" w:rsidRDefault="00DE7CC5" w:rsidP="00DE7CC5"/>
    <w:p w14:paraId="4D3FC5B8" w14:textId="77777777" w:rsidR="00DE7CC5" w:rsidRDefault="00DE7CC5" w:rsidP="00DE7CC5">
      <w:r w:rsidRPr="00933085">
        <w:lastRenderedPageBreak/>
        <w:t xml:space="preserve">Serum </w:t>
      </w:r>
      <w:r>
        <w:t>calcium</w:t>
      </w:r>
      <w:r w:rsidRPr="002F3CFF">
        <w:t xml:space="preserve"> </w:t>
      </w:r>
      <w:r w:rsidRPr="00933085">
        <w:t>should be monitored</w:t>
      </w:r>
      <w:r w:rsidRPr="002F3CFF">
        <w:t xml:space="preserve"> </w:t>
      </w:r>
      <w:r w:rsidRPr="00556F05">
        <w:t>in patients at risk of hypercalcaemia</w:t>
      </w:r>
      <w:r>
        <w:t xml:space="preserve"> (see Monitoring, PRECAUTIONS)</w:t>
      </w:r>
      <w:r w:rsidRPr="00933085">
        <w:t>.</w:t>
      </w:r>
    </w:p>
    <w:p w14:paraId="2D5E6B66" w14:textId="41011BD7" w:rsidR="005A273F" w:rsidRDefault="005A273F" w:rsidP="00B95903"/>
    <w:p w14:paraId="1A4AE3DA" w14:textId="77777777" w:rsidR="00F33399" w:rsidRDefault="00F33399" w:rsidP="005A273F">
      <w:pPr>
        <w:keepNext/>
      </w:pPr>
      <w:r>
        <w:t>Method of administration</w:t>
      </w:r>
    </w:p>
    <w:p w14:paraId="4613D3B9" w14:textId="77777777" w:rsidR="00F33399" w:rsidRDefault="00F33399" w:rsidP="005A273F">
      <w:pPr>
        <w:keepNext/>
      </w:pPr>
      <w:r>
        <w:t xml:space="preserve">For oral administration, </w:t>
      </w:r>
      <w:proofErr w:type="spellStart"/>
      <w:r>
        <w:t>Veltassa</w:t>
      </w:r>
      <w:proofErr w:type="spellEnd"/>
      <w:r>
        <w:t xml:space="preserve"> should be mixed with water and stirred to a uniform consistency, according to the following steps:</w:t>
      </w:r>
    </w:p>
    <w:p w14:paraId="01AE3C86" w14:textId="77777777" w:rsidR="00F33399" w:rsidRDefault="00F33399" w:rsidP="00B95903"/>
    <w:p w14:paraId="14548BC4" w14:textId="77777777" w:rsidR="00F33399" w:rsidRDefault="00F33399" w:rsidP="00B95903">
      <w:r>
        <w:t>Measure 80</w:t>
      </w:r>
      <w:r w:rsidR="00B95903">
        <w:t> </w:t>
      </w:r>
      <w:r>
        <w:t xml:space="preserve">ml of water. Pour half of the water into a glass, then add </w:t>
      </w:r>
      <w:proofErr w:type="spellStart"/>
      <w:r>
        <w:t>Veltassa</w:t>
      </w:r>
      <w:proofErr w:type="spellEnd"/>
      <w:r>
        <w:t xml:space="preserve"> and stir. Add the remaining half of the water and stir thoroughly. The powder will not dissolve and the mixture will look cloudy. Add more water to the mixture as needed for desired consistency.</w:t>
      </w:r>
    </w:p>
    <w:p w14:paraId="0A82A2B2" w14:textId="77777777" w:rsidR="00F33399" w:rsidRDefault="00F33399" w:rsidP="00B95903"/>
    <w:p w14:paraId="50A82B87" w14:textId="77777777" w:rsidR="00F33399" w:rsidRDefault="00F33399" w:rsidP="00B95903">
      <w:r>
        <w:t>Drink the mixture immediately. If powder remains in the glass after drinking, add more water, stir and drink immediately. Repeat as needed to ensure the entire dose is administered.</w:t>
      </w:r>
    </w:p>
    <w:p w14:paraId="5E9AC1F8" w14:textId="77777777" w:rsidR="00F33399" w:rsidRDefault="00F33399" w:rsidP="00B95903"/>
    <w:p w14:paraId="6F6D66C3" w14:textId="6A156D19" w:rsidR="001D01C8" w:rsidRDefault="00F33399" w:rsidP="00B95903">
      <w:r>
        <w:t>Apple juice or cranberry juice can be used instead of water as liquid to prepare the mixture.</w:t>
      </w:r>
      <w:r w:rsidR="00DB53C2">
        <w:t xml:space="preserve"> </w:t>
      </w:r>
      <w:r w:rsidR="00DB53C2" w:rsidRPr="00DB53C2">
        <w:t xml:space="preserve">Other liquids </w:t>
      </w:r>
      <w:r w:rsidR="005B76A2">
        <w:t xml:space="preserve">containing high amounts of potassium </w:t>
      </w:r>
      <w:r w:rsidR="00DB53C2" w:rsidRPr="00DB53C2">
        <w:t>should be avoided.</w:t>
      </w:r>
    </w:p>
    <w:p w14:paraId="530C3535" w14:textId="77777777" w:rsidR="00F33399" w:rsidRDefault="00F33399" w:rsidP="00B95903"/>
    <w:p w14:paraId="16622186" w14:textId="77777777" w:rsidR="00F33399" w:rsidRDefault="00F33399" w:rsidP="00B95903">
      <w:r>
        <w:t xml:space="preserve">Take </w:t>
      </w:r>
      <w:r w:rsidR="00B06C64">
        <w:t xml:space="preserve">prepared </w:t>
      </w:r>
      <w:proofErr w:type="spellStart"/>
      <w:r>
        <w:t>Veltassa</w:t>
      </w:r>
      <w:proofErr w:type="spellEnd"/>
      <w:r>
        <w:t xml:space="preserve"> </w:t>
      </w:r>
      <w:r w:rsidR="00C72E11">
        <w:t xml:space="preserve">suspension </w:t>
      </w:r>
      <w:r>
        <w:t xml:space="preserve">with food. </w:t>
      </w:r>
      <w:r w:rsidR="00007F98">
        <w:t xml:space="preserve"> </w:t>
      </w:r>
      <w:proofErr w:type="spellStart"/>
      <w:r>
        <w:t>Veltassa</w:t>
      </w:r>
      <w:proofErr w:type="spellEnd"/>
      <w:r>
        <w:t xml:space="preserve"> should not be heated (e.g., microwaved) or added to heated foods or liquids. </w:t>
      </w:r>
      <w:proofErr w:type="spellStart"/>
      <w:r>
        <w:t>Veltassa</w:t>
      </w:r>
      <w:proofErr w:type="spellEnd"/>
      <w:r>
        <w:t xml:space="preserve"> should not be taken in its dry form.</w:t>
      </w:r>
    </w:p>
    <w:p w14:paraId="4DACE167" w14:textId="77777777" w:rsidR="00F22BCA" w:rsidRPr="008746E7" w:rsidRDefault="00F22BCA" w:rsidP="00B95903">
      <w:pPr>
        <w:pStyle w:val="Heading1"/>
      </w:pPr>
      <w:r w:rsidRPr="008746E7">
        <w:t>O</w:t>
      </w:r>
      <w:r w:rsidR="001E2D56" w:rsidRPr="008746E7">
        <w:t>VERDOSAGE</w:t>
      </w:r>
    </w:p>
    <w:p w14:paraId="7C501072" w14:textId="77777777" w:rsidR="006F6CB4" w:rsidRDefault="000004CC" w:rsidP="00B95903">
      <w:r>
        <w:t>For information on the management of overdose, contact the Poison Information Centre on 13</w:t>
      </w:r>
      <w:r w:rsidR="00B95903">
        <w:t> </w:t>
      </w:r>
      <w:r>
        <w:t>11</w:t>
      </w:r>
      <w:r w:rsidR="00B95903">
        <w:t> </w:t>
      </w:r>
      <w:r>
        <w:t xml:space="preserve">25 (Australia). </w:t>
      </w:r>
    </w:p>
    <w:p w14:paraId="2693D210" w14:textId="77777777" w:rsidR="000004CC" w:rsidRDefault="000004CC" w:rsidP="00B95903"/>
    <w:p w14:paraId="0FEE71FA" w14:textId="77777777" w:rsidR="000004CC" w:rsidRPr="008746E7" w:rsidRDefault="000004CC" w:rsidP="00B95903">
      <w:r w:rsidRPr="000004CC">
        <w:t xml:space="preserve">Doses of </w:t>
      </w:r>
      <w:proofErr w:type="spellStart"/>
      <w:r w:rsidRPr="000004CC">
        <w:t>Veltassa</w:t>
      </w:r>
      <w:proofErr w:type="spellEnd"/>
      <w:r w:rsidRPr="000004CC">
        <w:t xml:space="preserve"> in excess of 50.4</w:t>
      </w:r>
      <w:r w:rsidR="00B95903">
        <w:t> </w:t>
      </w:r>
      <w:r w:rsidRPr="000004CC">
        <w:t xml:space="preserve">g </w:t>
      </w:r>
      <w:proofErr w:type="spellStart"/>
      <w:r w:rsidRPr="000004CC">
        <w:t>patiromer</w:t>
      </w:r>
      <w:proofErr w:type="spellEnd"/>
      <w:r w:rsidRPr="000004CC">
        <w:t xml:space="preserve"> per day have not been tested. Since excessive doses of </w:t>
      </w:r>
      <w:proofErr w:type="spellStart"/>
      <w:r w:rsidRPr="000004CC">
        <w:t>Veltassa</w:t>
      </w:r>
      <w:proofErr w:type="spellEnd"/>
      <w:r w:rsidRPr="000004CC">
        <w:t xml:space="preserve"> may result in hypokalaemia, serum potassium levels should be monitored. If it is determined that medical intervention is required, appropriate measures to restore serum potassium may be considered.</w:t>
      </w:r>
    </w:p>
    <w:p w14:paraId="49974635" w14:textId="77777777" w:rsidR="00B60C5F" w:rsidRDefault="00F22BCA" w:rsidP="00B95903">
      <w:pPr>
        <w:pStyle w:val="Heading1"/>
      </w:pPr>
      <w:r w:rsidRPr="008746E7">
        <w:t>P</w:t>
      </w:r>
      <w:r w:rsidR="001E2D56" w:rsidRPr="008746E7">
        <w:t>RESENTATION AND STORAGE CONDITIONS</w:t>
      </w:r>
    </w:p>
    <w:p w14:paraId="4B6D368C" w14:textId="77777777" w:rsidR="001D025C" w:rsidRDefault="001D025C" w:rsidP="001D025C">
      <w:pPr>
        <w:pStyle w:val="Heading2"/>
      </w:pPr>
      <w:r>
        <w:t>Presentation</w:t>
      </w:r>
    </w:p>
    <w:p w14:paraId="37D263CA" w14:textId="77777777" w:rsidR="00CF4310" w:rsidRDefault="00CF4310" w:rsidP="00CF4310">
      <w:proofErr w:type="spellStart"/>
      <w:r>
        <w:t>Veltassa</w:t>
      </w:r>
      <w:proofErr w:type="spellEnd"/>
      <w:r>
        <w:t xml:space="preserve"> is </w:t>
      </w:r>
      <w:r w:rsidR="00A3479C">
        <w:t>a</w:t>
      </w:r>
      <w:r w:rsidR="00A3479C" w:rsidRPr="00C5580E">
        <w:t xml:space="preserve"> powder</w:t>
      </w:r>
      <w:r w:rsidR="00A3479C">
        <w:t xml:space="preserve"> for suspension </w:t>
      </w:r>
      <w:r>
        <w:t>available in 8.4</w:t>
      </w:r>
      <w:r w:rsidR="00F25B0A">
        <w:t xml:space="preserve"> </w:t>
      </w:r>
      <w:r>
        <w:t xml:space="preserve">g, 16.8 g and 25.2 g </w:t>
      </w:r>
      <w:r w:rsidR="003F6ACC">
        <w:t xml:space="preserve">single dose </w:t>
      </w:r>
      <w:r w:rsidR="00A3479C">
        <w:t xml:space="preserve">aluminium foil laminated </w:t>
      </w:r>
      <w:r w:rsidR="003F6ACC">
        <w:t>sachets. The powder is an o</w:t>
      </w:r>
      <w:r w:rsidR="003F6ACC" w:rsidRPr="00C5580E">
        <w:t xml:space="preserve">ff-white to light-brown powder, </w:t>
      </w:r>
      <w:r w:rsidR="003F6ACC">
        <w:t>with occasional white particles.</w:t>
      </w:r>
    </w:p>
    <w:p w14:paraId="1D4B0870" w14:textId="77777777" w:rsidR="003F6ACC" w:rsidRDefault="003F6ACC" w:rsidP="00CF4310"/>
    <w:p w14:paraId="628F722C" w14:textId="130FE99D" w:rsidR="003F6ACC" w:rsidRDefault="003F6ACC" w:rsidP="00CF4310">
      <w:proofErr w:type="spellStart"/>
      <w:r>
        <w:t>Veltassa</w:t>
      </w:r>
      <w:proofErr w:type="spellEnd"/>
      <w:r>
        <w:t xml:space="preserve"> is available </w:t>
      </w:r>
      <w:r w:rsidR="006543AD">
        <w:t>as a</w:t>
      </w:r>
      <w:r w:rsidR="001D025C">
        <w:t xml:space="preserve"> pack size of 30</w:t>
      </w:r>
      <w:r w:rsidR="00456223">
        <w:t xml:space="preserve"> </w:t>
      </w:r>
      <w:r w:rsidR="001D025C">
        <w:t>sachets.</w:t>
      </w:r>
    </w:p>
    <w:p w14:paraId="341BF8BF" w14:textId="77777777" w:rsidR="00BB45F1" w:rsidRDefault="00BB45F1" w:rsidP="00CF4310"/>
    <w:p w14:paraId="30228D68" w14:textId="77777777" w:rsidR="00BB45F1" w:rsidRDefault="00BB45F1" w:rsidP="00CF4310">
      <w:r>
        <w:t>Not all strengths may be marketed.</w:t>
      </w:r>
    </w:p>
    <w:p w14:paraId="38979657" w14:textId="77777777" w:rsidR="001D025C" w:rsidRDefault="001D025C" w:rsidP="001D025C">
      <w:pPr>
        <w:pStyle w:val="Heading2"/>
      </w:pPr>
      <w:r>
        <w:t>Storage Conditions</w:t>
      </w:r>
    </w:p>
    <w:p w14:paraId="2A6F4CFE" w14:textId="77777777" w:rsidR="00A03AC7" w:rsidRDefault="00A03AC7" w:rsidP="001D025C">
      <w:r>
        <w:t xml:space="preserve">Store at 2 to 8°C. </w:t>
      </w:r>
      <w:r w:rsidR="00A3479C">
        <w:t>(Refrigerate.  Do not freeze.)</w:t>
      </w:r>
    </w:p>
    <w:p w14:paraId="0AE96765" w14:textId="77777777" w:rsidR="00A03AC7" w:rsidRDefault="00A03AC7" w:rsidP="001D025C"/>
    <w:p w14:paraId="37304D3B" w14:textId="77777777" w:rsidR="00A03AC7" w:rsidRDefault="00A03AC7" w:rsidP="001D025C">
      <w:proofErr w:type="spellStart"/>
      <w:r>
        <w:t>Veltassa</w:t>
      </w:r>
      <w:proofErr w:type="spellEnd"/>
      <w:r>
        <w:t xml:space="preserve"> can be stored </w:t>
      </w:r>
      <w:r w:rsidR="001D025C">
        <w:t>below 25°C</w:t>
      </w:r>
      <w:r>
        <w:t xml:space="preserve"> for up to 6 months</w:t>
      </w:r>
      <w:r w:rsidR="001D025C">
        <w:t xml:space="preserve">. </w:t>
      </w:r>
    </w:p>
    <w:p w14:paraId="530FAB78" w14:textId="77777777" w:rsidR="00A03AC7" w:rsidRDefault="00A03AC7" w:rsidP="001D025C"/>
    <w:p w14:paraId="1B320F09" w14:textId="77777777" w:rsidR="001D025C" w:rsidRDefault="00A03AC7" w:rsidP="001D025C">
      <w:r>
        <w:t xml:space="preserve">Do not use </w:t>
      </w:r>
      <w:proofErr w:type="spellStart"/>
      <w:r>
        <w:t>Veltassa</w:t>
      </w:r>
      <w:proofErr w:type="spellEnd"/>
      <w:r>
        <w:t xml:space="preserve"> past the expiry date printed on the sachet.</w:t>
      </w:r>
    </w:p>
    <w:p w14:paraId="6A778A15" w14:textId="77777777" w:rsidR="00A03AC7" w:rsidRDefault="00A03AC7" w:rsidP="001D025C"/>
    <w:p w14:paraId="06F94237" w14:textId="77777777" w:rsidR="001D025C" w:rsidRPr="001D025C" w:rsidRDefault="001D025C" w:rsidP="001D025C">
      <w:r>
        <w:t xml:space="preserve">Protect from </w:t>
      </w:r>
      <w:r w:rsidR="004C68DC">
        <w:t>h</w:t>
      </w:r>
      <w:r>
        <w:t>eat</w:t>
      </w:r>
      <w:r w:rsidR="004C68DC">
        <w:t>.</w:t>
      </w:r>
    </w:p>
    <w:p w14:paraId="236DF1C1" w14:textId="77777777" w:rsidR="00F22BCA" w:rsidRPr="008746E7" w:rsidRDefault="00B60C5F" w:rsidP="00456223">
      <w:pPr>
        <w:pStyle w:val="Heading1"/>
      </w:pPr>
      <w:r w:rsidRPr="008746E7">
        <w:t>N</w:t>
      </w:r>
      <w:r w:rsidR="001E2D56" w:rsidRPr="008746E7">
        <w:t>AME AND ADDRESS OF THE SPONSOR</w:t>
      </w:r>
    </w:p>
    <w:p w14:paraId="4BE02E50" w14:textId="77777777" w:rsidR="006F6CB4" w:rsidRDefault="00035334" w:rsidP="00456223">
      <w:pPr>
        <w:keepNext/>
      </w:pPr>
      <w:proofErr w:type="spellStart"/>
      <w:r>
        <w:t>Vifor</w:t>
      </w:r>
      <w:proofErr w:type="spellEnd"/>
      <w:r>
        <w:t xml:space="preserve"> Pharma Pty Ltd</w:t>
      </w:r>
    </w:p>
    <w:p w14:paraId="725D8B8D" w14:textId="77777777" w:rsidR="00035334" w:rsidRDefault="00035334" w:rsidP="00456223">
      <w:pPr>
        <w:keepNext/>
      </w:pPr>
      <w:r>
        <w:t>Level 8, 80 Dorcas Street</w:t>
      </w:r>
    </w:p>
    <w:p w14:paraId="09BF8DEC" w14:textId="77777777" w:rsidR="00035334" w:rsidRDefault="00035334" w:rsidP="00B95903">
      <w:r>
        <w:t>Southbank, Melbourne, VIC, 3006</w:t>
      </w:r>
    </w:p>
    <w:p w14:paraId="14B44737" w14:textId="77777777" w:rsidR="00BC1A09" w:rsidRPr="008746E7" w:rsidRDefault="00035334" w:rsidP="00B95903">
      <w:r>
        <w:t>Australia</w:t>
      </w:r>
    </w:p>
    <w:p w14:paraId="631CD076" w14:textId="77777777" w:rsidR="00B60C5F" w:rsidRPr="008746E7" w:rsidRDefault="00B60C5F" w:rsidP="00B95903">
      <w:pPr>
        <w:pStyle w:val="Heading1"/>
      </w:pPr>
      <w:r w:rsidRPr="008746E7">
        <w:t>P</w:t>
      </w:r>
      <w:r w:rsidR="001E2D56" w:rsidRPr="008746E7">
        <w:t>OISON SCHEDULE OF THE MEDICINE</w:t>
      </w:r>
    </w:p>
    <w:p w14:paraId="637623A5" w14:textId="77777777" w:rsidR="00FA303C" w:rsidRPr="008746E7" w:rsidRDefault="00FA303C" w:rsidP="00B95903">
      <w:r w:rsidRPr="008746E7">
        <w:t xml:space="preserve">Schedule 4 – Prescription </w:t>
      </w:r>
      <w:r w:rsidR="007C03BC" w:rsidRPr="008746E7">
        <w:t xml:space="preserve">Only </w:t>
      </w:r>
      <w:r w:rsidRPr="008746E7">
        <w:t>Medicine</w:t>
      </w:r>
    </w:p>
    <w:p w14:paraId="4642568B" w14:textId="77777777" w:rsidR="00D422F4" w:rsidRDefault="00E1618C" w:rsidP="00B95903">
      <w:pPr>
        <w:pStyle w:val="Heading1"/>
      </w:pPr>
      <w:r w:rsidRPr="00E1618C">
        <w:t>DATE OF FIRST INCLUSION IN THE AUSTRALIAN REGISTER OF THERAPEUTIC GOODS (THE ARTG)</w:t>
      </w:r>
      <w:r w:rsidR="00D422F4">
        <w:t>:</w:t>
      </w:r>
    </w:p>
    <w:p w14:paraId="79FEF805" w14:textId="1A02CA17" w:rsidR="00F22BCA" w:rsidRPr="00D422F4" w:rsidRDefault="00CB26D2" w:rsidP="00B95903">
      <w:r w:rsidRPr="00CB26D2">
        <w:t>12</w:t>
      </w:r>
      <w:r w:rsidR="00203EF4">
        <w:t xml:space="preserve"> December </w:t>
      </w:r>
      <w:r w:rsidR="00432BC9">
        <w:t>2017</w:t>
      </w:r>
    </w:p>
    <w:p w14:paraId="457DDCBD" w14:textId="77777777" w:rsidR="00D422F4" w:rsidRDefault="00D422F4" w:rsidP="00B95903">
      <w:pPr>
        <w:pStyle w:val="Heading1"/>
      </w:pPr>
      <w:r>
        <w:t>DATE OF MOST RECENT AMENDMENT:</w:t>
      </w:r>
    </w:p>
    <w:p w14:paraId="088A217F" w14:textId="538B9024" w:rsidR="00F22BCA" w:rsidRPr="00D422F4" w:rsidRDefault="004D63DE" w:rsidP="00B95903">
      <w:r>
        <w:t>Not applicable</w:t>
      </w:r>
    </w:p>
    <w:sectPr w:rsidR="00F22BCA" w:rsidRPr="00D422F4" w:rsidSect="00EB15DE">
      <w:headerReference w:type="even" r:id="rId13"/>
      <w:headerReference w:type="default" r:id="rId14"/>
      <w:footerReference w:type="default" r:id="rId15"/>
      <w:pgSz w:w="11906" w:h="16838" w:code="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D27EF" w14:textId="77777777" w:rsidR="0056668A" w:rsidRDefault="0056668A" w:rsidP="00B95903">
      <w:r>
        <w:separator/>
      </w:r>
    </w:p>
  </w:endnote>
  <w:endnote w:type="continuationSeparator" w:id="0">
    <w:p w14:paraId="66600B02" w14:textId="77777777" w:rsidR="0056668A" w:rsidRDefault="0056668A" w:rsidP="00B95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2A984" w14:textId="65D01B69" w:rsidR="0056668A" w:rsidRDefault="0056668A" w:rsidP="00644040">
    <w:pPr>
      <w:pStyle w:val="Footer"/>
      <w:pBdr>
        <w:top w:val="single" w:sz="4" w:space="1" w:color="auto"/>
      </w:pBdr>
      <w:tabs>
        <w:tab w:val="clear" w:pos="4153"/>
        <w:tab w:val="clear" w:pos="8306"/>
        <w:tab w:val="right" w:pos="8987"/>
      </w:tabs>
      <w:rPr>
        <w:lang w:val="en-US"/>
      </w:rPr>
    </w:pPr>
    <w:r>
      <w:rPr>
        <w:lang w:val="en-US"/>
      </w:rPr>
      <w:tab/>
    </w:r>
    <w:r w:rsidRPr="008E1C43">
      <w:rPr>
        <w:lang w:val="en-US"/>
      </w:rPr>
      <w:t xml:space="preserve">Page </w:t>
    </w:r>
    <w:r w:rsidRPr="008E1C43">
      <w:rPr>
        <w:lang w:val="en-US"/>
      </w:rPr>
      <w:fldChar w:fldCharType="begin"/>
    </w:r>
    <w:r w:rsidRPr="008E1C43">
      <w:rPr>
        <w:lang w:val="en-US"/>
      </w:rPr>
      <w:instrText xml:space="preserve"> PAGE   \* MERGEFORMAT </w:instrText>
    </w:r>
    <w:r w:rsidRPr="008E1C43">
      <w:rPr>
        <w:lang w:val="en-US"/>
      </w:rPr>
      <w:fldChar w:fldCharType="separate"/>
    </w:r>
    <w:r w:rsidR="00496688">
      <w:rPr>
        <w:noProof/>
        <w:lang w:val="en-US"/>
      </w:rPr>
      <w:t>1</w:t>
    </w:r>
    <w:r w:rsidRPr="008E1C43">
      <w:rPr>
        <w:noProof/>
        <w:lang w:val="en-US"/>
      </w:rPr>
      <w:fldChar w:fldCharType="end"/>
    </w:r>
    <w:r w:rsidRPr="008E1C43">
      <w:rPr>
        <w:lang w:val="en-US"/>
      </w:rPr>
      <w:t xml:space="preserve"> of </w:t>
    </w:r>
    <w:r w:rsidRPr="008E1C43">
      <w:rPr>
        <w:lang w:val="en-US"/>
      </w:rPr>
      <w:fldChar w:fldCharType="begin"/>
    </w:r>
    <w:r w:rsidRPr="008E1C43">
      <w:rPr>
        <w:lang w:val="en-US"/>
      </w:rPr>
      <w:instrText xml:space="preserve"> NUMPAGES  \* Arabic  \* MERGEFORMAT </w:instrText>
    </w:r>
    <w:r w:rsidRPr="008E1C43">
      <w:rPr>
        <w:lang w:val="en-US"/>
      </w:rPr>
      <w:fldChar w:fldCharType="separate"/>
    </w:r>
    <w:r w:rsidR="00496688">
      <w:rPr>
        <w:noProof/>
        <w:lang w:val="en-US"/>
      </w:rPr>
      <w:t>12</w:t>
    </w:r>
    <w:r w:rsidRPr="008E1C43">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B00C39" w14:textId="77777777" w:rsidR="0056668A" w:rsidRDefault="0056668A" w:rsidP="00B95903">
      <w:r>
        <w:separator/>
      </w:r>
    </w:p>
  </w:footnote>
  <w:footnote w:type="continuationSeparator" w:id="0">
    <w:p w14:paraId="6828EDD7" w14:textId="77777777" w:rsidR="0056668A" w:rsidRDefault="0056668A" w:rsidP="00B95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0E281" w14:textId="77777777" w:rsidR="0056668A" w:rsidRDefault="0056668A" w:rsidP="00B95903">
    <w:pPr>
      <w:pStyle w:val="Header"/>
      <w:rPr>
        <w:rStyle w:val="PageNumber"/>
      </w:rPr>
    </w:pPr>
    <w:r>
      <w:rPr>
        <w:rStyle w:val="PageNumber"/>
      </w:rPr>
      <w:fldChar w:fldCharType="begin"/>
    </w:r>
    <w:r>
      <w:rPr>
        <w:rStyle w:val="PageNumber"/>
      </w:rPr>
      <w:instrText xml:space="preserve">PAGE  </w:instrText>
    </w:r>
    <w:r>
      <w:rPr>
        <w:rStyle w:val="PageNumber"/>
      </w:rPr>
      <w:fldChar w:fldCharType="end"/>
    </w:r>
  </w:p>
  <w:p w14:paraId="7C6E4CF8" w14:textId="77777777" w:rsidR="0056668A" w:rsidRDefault="0056668A" w:rsidP="00B959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shd w:val="clear" w:color="auto" w:fill="E4F2E0"/>
      <w:tblLook w:val="04A0" w:firstRow="1" w:lastRow="0" w:firstColumn="1" w:lastColumn="0" w:noHBand="0" w:noVBand="1"/>
    </w:tblPr>
    <w:tblGrid>
      <w:gridCol w:w="8720"/>
    </w:tblGrid>
    <w:tr w:rsidR="00A75A23" w14:paraId="089FDBD2" w14:textId="77777777" w:rsidTr="00523179">
      <w:tc>
        <w:tcPr>
          <w:tcW w:w="8720" w:type="dxa"/>
          <w:shd w:val="clear" w:color="auto" w:fill="E4F2E0"/>
        </w:tcPr>
        <w:p w14:paraId="51D8E396" w14:textId="4E9CB662" w:rsidR="00A75A23" w:rsidRPr="00D361CA" w:rsidRDefault="00A75A23" w:rsidP="00EA0D4D">
          <w:pPr>
            <w:spacing w:before="40" w:after="40"/>
            <w:rPr>
              <w:b/>
              <w:sz w:val="20"/>
              <w:szCs w:val="20"/>
            </w:rPr>
          </w:pPr>
          <w:r w:rsidRPr="00D361CA">
            <w:rPr>
              <w:b/>
              <w:sz w:val="20"/>
              <w:szCs w:val="20"/>
            </w:rPr>
            <w:t xml:space="preserve">Attachment 1: Product information for </w:t>
          </w:r>
          <w:proofErr w:type="spellStart"/>
          <w:r w:rsidR="00EA0D4D" w:rsidRPr="00EA0D4D">
            <w:rPr>
              <w:b/>
              <w:sz w:val="20"/>
              <w:szCs w:val="20"/>
            </w:rPr>
            <w:t>AusPAR</w:t>
          </w:r>
          <w:proofErr w:type="spellEnd"/>
          <w:r w:rsidR="00EA0D4D" w:rsidRPr="00EA0D4D">
            <w:rPr>
              <w:b/>
              <w:sz w:val="20"/>
              <w:szCs w:val="20"/>
            </w:rPr>
            <w:t xml:space="preserve"> </w:t>
          </w:r>
          <w:proofErr w:type="spellStart"/>
          <w:r w:rsidR="00EA0D4D" w:rsidRPr="00EA0D4D">
            <w:rPr>
              <w:b/>
              <w:sz w:val="20"/>
              <w:szCs w:val="20"/>
            </w:rPr>
            <w:t>Veltassa</w:t>
          </w:r>
          <w:proofErr w:type="spellEnd"/>
          <w:r w:rsidR="00EA0D4D" w:rsidRPr="00EA0D4D">
            <w:rPr>
              <w:b/>
              <w:sz w:val="20"/>
              <w:szCs w:val="20"/>
            </w:rPr>
            <w:t xml:space="preserve"> </w:t>
          </w:r>
          <w:proofErr w:type="spellStart"/>
          <w:r w:rsidR="00EA0D4D" w:rsidRPr="00EA0D4D">
            <w:rPr>
              <w:b/>
              <w:sz w:val="20"/>
              <w:szCs w:val="20"/>
            </w:rPr>
            <w:t>patiromer</w:t>
          </w:r>
          <w:proofErr w:type="spellEnd"/>
          <w:r w:rsidR="00EA0D4D" w:rsidRPr="00EA0D4D">
            <w:rPr>
              <w:b/>
              <w:sz w:val="20"/>
              <w:szCs w:val="20"/>
            </w:rPr>
            <w:t xml:space="preserve"> </w:t>
          </w:r>
          <w:proofErr w:type="spellStart"/>
          <w:r w:rsidR="00EA0D4D" w:rsidRPr="00EA0D4D">
            <w:rPr>
              <w:b/>
              <w:sz w:val="20"/>
              <w:szCs w:val="20"/>
            </w:rPr>
            <w:t>sorbitex</w:t>
          </w:r>
          <w:proofErr w:type="spellEnd"/>
          <w:r w:rsidR="00EA0D4D" w:rsidRPr="00EA0D4D">
            <w:rPr>
              <w:b/>
              <w:sz w:val="20"/>
              <w:szCs w:val="20"/>
            </w:rPr>
            <w:t xml:space="preserve"> calcium </w:t>
          </w:r>
          <w:proofErr w:type="spellStart"/>
          <w:r w:rsidR="00EA0D4D" w:rsidRPr="00EA0D4D">
            <w:rPr>
              <w:b/>
              <w:sz w:val="20"/>
              <w:szCs w:val="20"/>
            </w:rPr>
            <w:t>Vifor</w:t>
          </w:r>
          <w:proofErr w:type="spellEnd"/>
          <w:r w:rsidR="00EA0D4D" w:rsidRPr="00EA0D4D">
            <w:rPr>
              <w:b/>
              <w:sz w:val="20"/>
              <w:szCs w:val="20"/>
            </w:rPr>
            <w:t xml:space="preserve"> Pharma Pty Ltd PM-2016‐02731‐1‐5</w:t>
          </w:r>
          <w:r w:rsidR="00EA0D4D">
            <w:rPr>
              <w:b/>
              <w:sz w:val="20"/>
              <w:szCs w:val="20"/>
            </w:rPr>
            <w:t xml:space="preserve"> final </w:t>
          </w:r>
          <w:r w:rsidR="00EA0D4D" w:rsidRPr="00EA0D4D">
            <w:rPr>
              <w:b/>
              <w:sz w:val="20"/>
              <w:szCs w:val="20"/>
            </w:rPr>
            <w:t>11 September 2019</w:t>
          </w:r>
          <w:r w:rsidRPr="00D361CA">
            <w:rPr>
              <w:b/>
              <w:sz w:val="20"/>
              <w:szCs w:val="20"/>
            </w:rPr>
            <w:t xml:space="preserve">. This Product Information was approved at the time this </w:t>
          </w:r>
          <w:proofErr w:type="spellStart"/>
          <w:r w:rsidRPr="00D361CA">
            <w:rPr>
              <w:b/>
              <w:sz w:val="20"/>
              <w:szCs w:val="20"/>
            </w:rPr>
            <w:t>AusPAR</w:t>
          </w:r>
          <w:proofErr w:type="spellEnd"/>
          <w:r w:rsidRPr="00D361CA">
            <w:rPr>
              <w:b/>
              <w:sz w:val="20"/>
              <w:szCs w:val="20"/>
            </w:rPr>
            <w:t xml:space="preserve"> was published.</w:t>
          </w:r>
        </w:p>
      </w:tc>
    </w:tr>
  </w:tbl>
  <w:p w14:paraId="33E7ECE0" w14:textId="77777777" w:rsidR="00A75A23" w:rsidRDefault="00A75A23" w:rsidP="00B95903">
    <w:pPr>
      <w:pStyle w:val="Header"/>
      <w:pBdr>
        <w:bottom w:val="single" w:sz="4" w:space="1" w:color="auto"/>
      </w:pBdr>
    </w:pPr>
  </w:p>
  <w:p w14:paraId="44121A0B" w14:textId="72E41AE0" w:rsidR="0056668A" w:rsidRDefault="0056668A" w:rsidP="00B95903">
    <w:pPr>
      <w:pStyle w:val="Header"/>
      <w:pBdr>
        <w:bottom w:val="single" w:sz="4" w:space="1" w:color="auto"/>
      </w:pBdr>
    </w:pPr>
    <w:r>
      <w:t xml:space="preserve">Product Information </w:t>
    </w:r>
  </w:p>
  <w:p w14:paraId="057E028C" w14:textId="77777777" w:rsidR="0056668A" w:rsidRDefault="0056668A" w:rsidP="00B95903">
    <w:pPr>
      <w:pStyle w:val="Header"/>
      <w:pBdr>
        <w:bottom w:val="single" w:sz="4" w:space="1" w:color="auto"/>
      </w:pBdr>
    </w:pPr>
    <w:proofErr w:type="spellStart"/>
    <w:r>
      <w:t>Veltassa</w:t>
    </w:r>
    <w:proofErr w:type="spellEnd"/>
    <w:r>
      <w:t xml:space="preserve"> Powder for Oral Suspension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5.75pt;height:21.65pt;visibility:visible;mso-wrap-style:square" o:bullet="t">
        <v:imagedata r:id="rId1" o:title=""/>
      </v:shape>
    </w:pict>
  </w:numPicBullet>
  <w:abstractNum w:abstractNumId="0" w15:restartNumberingAfterBreak="0">
    <w:nsid w:val="08EF56D4"/>
    <w:multiLevelType w:val="singleLevel"/>
    <w:tmpl w:val="9D50982A"/>
    <w:lvl w:ilvl="0">
      <w:start w:val="1"/>
      <w:numFmt w:val="decimal"/>
      <w:lvlText w:val="%1"/>
      <w:lvlJc w:val="left"/>
      <w:pPr>
        <w:tabs>
          <w:tab w:val="num" w:pos="720"/>
        </w:tabs>
        <w:ind w:left="720" w:hanging="720"/>
      </w:pPr>
      <w:rPr>
        <w:rFonts w:hint="default"/>
      </w:rPr>
    </w:lvl>
  </w:abstractNum>
  <w:abstractNum w:abstractNumId="1" w15:restartNumberingAfterBreak="0">
    <w:nsid w:val="0EBE4F8C"/>
    <w:multiLevelType w:val="hybridMultilevel"/>
    <w:tmpl w:val="F7EE28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BC3B05"/>
    <w:multiLevelType w:val="singleLevel"/>
    <w:tmpl w:val="C57C9E4A"/>
    <w:lvl w:ilvl="0">
      <w:start w:val="1"/>
      <w:numFmt w:val="decimal"/>
      <w:lvlText w:val="%1"/>
      <w:lvlJc w:val="left"/>
      <w:pPr>
        <w:tabs>
          <w:tab w:val="num" w:pos="720"/>
        </w:tabs>
        <w:ind w:left="720" w:hanging="720"/>
      </w:pPr>
      <w:rPr>
        <w:rFonts w:hint="default"/>
      </w:rPr>
    </w:lvl>
  </w:abstractNum>
  <w:abstractNum w:abstractNumId="3" w15:restartNumberingAfterBreak="0">
    <w:nsid w:val="62262632"/>
    <w:multiLevelType w:val="hybridMultilevel"/>
    <w:tmpl w:val="07E2BE3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7753791C"/>
    <w:multiLevelType w:val="hybridMultilevel"/>
    <w:tmpl w:val="16180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182"/>
    <w:rsid w:val="000004CC"/>
    <w:rsid w:val="00002B2F"/>
    <w:rsid w:val="00007F98"/>
    <w:rsid w:val="00011EE2"/>
    <w:rsid w:val="00012E50"/>
    <w:rsid w:val="0002211C"/>
    <w:rsid w:val="00026F41"/>
    <w:rsid w:val="0003030A"/>
    <w:rsid w:val="0003061C"/>
    <w:rsid w:val="00035334"/>
    <w:rsid w:val="00044C23"/>
    <w:rsid w:val="00051862"/>
    <w:rsid w:val="000536EE"/>
    <w:rsid w:val="0005439E"/>
    <w:rsid w:val="00054775"/>
    <w:rsid w:val="000550AC"/>
    <w:rsid w:val="00055DB3"/>
    <w:rsid w:val="000573D5"/>
    <w:rsid w:val="00060B63"/>
    <w:rsid w:val="000615BF"/>
    <w:rsid w:val="000656B1"/>
    <w:rsid w:val="00070EC7"/>
    <w:rsid w:val="00076AE9"/>
    <w:rsid w:val="00086EB6"/>
    <w:rsid w:val="0009253A"/>
    <w:rsid w:val="0009476A"/>
    <w:rsid w:val="00096F5C"/>
    <w:rsid w:val="000A29FE"/>
    <w:rsid w:val="000B0DFA"/>
    <w:rsid w:val="000B7534"/>
    <w:rsid w:val="000C0B15"/>
    <w:rsid w:val="000D326E"/>
    <w:rsid w:val="000D3D32"/>
    <w:rsid w:val="000E60EC"/>
    <w:rsid w:val="000E64DD"/>
    <w:rsid w:val="000F33DD"/>
    <w:rsid w:val="000F4546"/>
    <w:rsid w:val="000F4C26"/>
    <w:rsid w:val="000F4DF8"/>
    <w:rsid w:val="00101E20"/>
    <w:rsid w:val="00104AB9"/>
    <w:rsid w:val="001066BF"/>
    <w:rsid w:val="001135D2"/>
    <w:rsid w:val="00122EF6"/>
    <w:rsid w:val="001302B5"/>
    <w:rsid w:val="00137AB0"/>
    <w:rsid w:val="0014202A"/>
    <w:rsid w:val="00143BB1"/>
    <w:rsid w:val="00165920"/>
    <w:rsid w:val="001700C1"/>
    <w:rsid w:val="00187FC2"/>
    <w:rsid w:val="0019096B"/>
    <w:rsid w:val="00190D5D"/>
    <w:rsid w:val="00191018"/>
    <w:rsid w:val="00195B85"/>
    <w:rsid w:val="001A0980"/>
    <w:rsid w:val="001A60C0"/>
    <w:rsid w:val="001A6A13"/>
    <w:rsid w:val="001A6D9D"/>
    <w:rsid w:val="001C01A9"/>
    <w:rsid w:val="001C06B5"/>
    <w:rsid w:val="001C0CB0"/>
    <w:rsid w:val="001C46D9"/>
    <w:rsid w:val="001D01C8"/>
    <w:rsid w:val="001D025C"/>
    <w:rsid w:val="001E05CF"/>
    <w:rsid w:val="001E2572"/>
    <w:rsid w:val="001E2D56"/>
    <w:rsid w:val="001F18C9"/>
    <w:rsid w:val="002015E3"/>
    <w:rsid w:val="00203EF4"/>
    <w:rsid w:val="002071A3"/>
    <w:rsid w:val="00207C95"/>
    <w:rsid w:val="002100FA"/>
    <w:rsid w:val="00212360"/>
    <w:rsid w:val="00212390"/>
    <w:rsid w:val="002126CC"/>
    <w:rsid w:val="002139D4"/>
    <w:rsid w:val="00223279"/>
    <w:rsid w:val="00230E82"/>
    <w:rsid w:val="002330B2"/>
    <w:rsid w:val="00233EA2"/>
    <w:rsid w:val="00236AB7"/>
    <w:rsid w:val="00254B36"/>
    <w:rsid w:val="0025699F"/>
    <w:rsid w:val="00270EED"/>
    <w:rsid w:val="00274A90"/>
    <w:rsid w:val="002809CD"/>
    <w:rsid w:val="00285CCF"/>
    <w:rsid w:val="00286A2C"/>
    <w:rsid w:val="00295793"/>
    <w:rsid w:val="00296068"/>
    <w:rsid w:val="00296DE4"/>
    <w:rsid w:val="002A35E4"/>
    <w:rsid w:val="002D5F6C"/>
    <w:rsid w:val="002E1BD9"/>
    <w:rsid w:val="002E3BD7"/>
    <w:rsid w:val="002E4216"/>
    <w:rsid w:val="002F3CFF"/>
    <w:rsid w:val="003051DE"/>
    <w:rsid w:val="003135A7"/>
    <w:rsid w:val="0031676A"/>
    <w:rsid w:val="00317AB2"/>
    <w:rsid w:val="00320F7C"/>
    <w:rsid w:val="00331A5C"/>
    <w:rsid w:val="00344380"/>
    <w:rsid w:val="00357918"/>
    <w:rsid w:val="00361CFA"/>
    <w:rsid w:val="00365677"/>
    <w:rsid w:val="00372797"/>
    <w:rsid w:val="0038386B"/>
    <w:rsid w:val="00386CA5"/>
    <w:rsid w:val="0039023D"/>
    <w:rsid w:val="003D34CC"/>
    <w:rsid w:val="003E1714"/>
    <w:rsid w:val="003E27B1"/>
    <w:rsid w:val="003F6ACC"/>
    <w:rsid w:val="0041302D"/>
    <w:rsid w:val="0041380C"/>
    <w:rsid w:val="00417DD7"/>
    <w:rsid w:val="00422E08"/>
    <w:rsid w:val="00432BC9"/>
    <w:rsid w:val="0044075E"/>
    <w:rsid w:val="004442BC"/>
    <w:rsid w:val="00456223"/>
    <w:rsid w:val="00456EC3"/>
    <w:rsid w:val="004612BC"/>
    <w:rsid w:val="00471649"/>
    <w:rsid w:val="00471935"/>
    <w:rsid w:val="00473996"/>
    <w:rsid w:val="00474B39"/>
    <w:rsid w:val="0047516B"/>
    <w:rsid w:val="00477306"/>
    <w:rsid w:val="004776B9"/>
    <w:rsid w:val="00483A32"/>
    <w:rsid w:val="004948E1"/>
    <w:rsid w:val="00496688"/>
    <w:rsid w:val="004A17AC"/>
    <w:rsid w:val="004A3886"/>
    <w:rsid w:val="004A4BE4"/>
    <w:rsid w:val="004B3323"/>
    <w:rsid w:val="004C48A0"/>
    <w:rsid w:val="004C49EF"/>
    <w:rsid w:val="004C68DC"/>
    <w:rsid w:val="004D12F9"/>
    <w:rsid w:val="004D63DE"/>
    <w:rsid w:val="004D6A32"/>
    <w:rsid w:val="004E09CF"/>
    <w:rsid w:val="004E6DB7"/>
    <w:rsid w:val="004F2A86"/>
    <w:rsid w:val="004F5DE1"/>
    <w:rsid w:val="00500919"/>
    <w:rsid w:val="00507480"/>
    <w:rsid w:val="0051023E"/>
    <w:rsid w:val="005175ED"/>
    <w:rsid w:val="00517760"/>
    <w:rsid w:val="00524528"/>
    <w:rsid w:val="005406F4"/>
    <w:rsid w:val="00551CBA"/>
    <w:rsid w:val="005613AA"/>
    <w:rsid w:val="0056668A"/>
    <w:rsid w:val="00567DEA"/>
    <w:rsid w:val="0057520A"/>
    <w:rsid w:val="005A273F"/>
    <w:rsid w:val="005A27B7"/>
    <w:rsid w:val="005A603A"/>
    <w:rsid w:val="005B1A80"/>
    <w:rsid w:val="005B278F"/>
    <w:rsid w:val="005B6EC7"/>
    <w:rsid w:val="005B76A2"/>
    <w:rsid w:val="005C3823"/>
    <w:rsid w:val="005D30B6"/>
    <w:rsid w:val="005E122F"/>
    <w:rsid w:val="00607E7C"/>
    <w:rsid w:val="00614827"/>
    <w:rsid w:val="0062701D"/>
    <w:rsid w:val="00644040"/>
    <w:rsid w:val="0064527B"/>
    <w:rsid w:val="00650B20"/>
    <w:rsid w:val="006543AD"/>
    <w:rsid w:val="00671C34"/>
    <w:rsid w:val="006842E2"/>
    <w:rsid w:val="006A0530"/>
    <w:rsid w:val="006B123B"/>
    <w:rsid w:val="006B5C1A"/>
    <w:rsid w:val="006C24F8"/>
    <w:rsid w:val="006C5112"/>
    <w:rsid w:val="006C70EC"/>
    <w:rsid w:val="006D09FF"/>
    <w:rsid w:val="006D37B5"/>
    <w:rsid w:val="006D50DC"/>
    <w:rsid w:val="006E11CF"/>
    <w:rsid w:val="006E3011"/>
    <w:rsid w:val="006E430C"/>
    <w:rsid w:val="006F17EB"/>
    <w:rsid w:val="006F3C09"/>
    <w:rsid w:val="006F5B46"/>
    <w:rsid w:val="006F6CB4"/>
    <w:rsid w:val="00711ACF"/>
    <w:rsid w:val="007128E1"/>
    <w:rsid w:val="00715F63"/>
    <w:rsid w:val="00721C92"/>
    <w:rsid w:val="00723404"/>
    <w:rsid w:val="007260BE"/>
    <w:rsid w:val="00730036"/>
    <w:rsid w:val="007302E2"/>
    <w:rsid w:val="007303F0"/>
    <w:rsid w:val="00743355"/>
    <w:rsid w:val="00752462"/>
    <w:rsid w:val="00753130"/>
    <w:rsid w:val="0076356A"/>
    <w:rsid w:val="00766A7D"/>
    <w:rsid w:val="00770D08"/>
    <w:rsid w:val="00776801"/>
    <w:rsid w:val="00785D9D"/>
    <w:rsid w:val="007B5B57"/>
    <w:rsid w:val="007C03BC"/>
    <w:rsid w:val="007C17D1"/>
    <w:rsid w:val="007C1DDC"/>
    <w:rsid w:val="007C4C68"/>
    <w:rsid w:val="007C6C17"/>
    <w:rsid w:val="007D0D6F"/>
    <w:rsid w:val="007D4F8D"/>
    <w:rsid w:val="007F4A71"/>
    <w:rsid w:val="007F5333"/>
    <w:rsid w:val="007F5DCB"/>
    <w:rsid w:val="007F75CF"/>
    <w:rsid w:val="0080640F"/>
    <w:rsid w:val="00826BDD"/>
    <w:rsid w:val="00827C82"/>
    <w:rsid w:val="00840D0C"/>
    <w:rsid w:val="00842640"/>
    <w:rsid w:val="0084785E"/>
    <w:rsid w:val="00864797"/>
    <w:rsid w:val="008706E2"/>
    <w:rsid w:val="00870B56"/>
    <w:rsid w:val="008737E1"/>
    <w:rsid w:val="008746E7"/>
    <w:rsid w:val="00881E0C"/>
    <w:rsid w:val="008851A6"/>
    <w:rsid w:val="00893C1C"/>
    <w:rsid w:val="00894D46"/>
    <w:rsid w:val="00895328"/>
    <w:rsid w:val="00895F5C"/>
    <w:rsid w:val="00897941"/>
    <w:rsid w:val="008A467E"/>
    <w:rsid w:val="008A7B90"/>
    <w:rsid w:val="008B15A7"/>
    <w:rsid w:val="008C5ABF"/>
    <w:rsid w:val="008C6C02"/>
    <w:rsid w:val="008C73C4"/>
    <w:rsid w:val="008D5588"/>
    <w:rsid w:val="008E1C43"/>
    <w:rsid w:val="008E2096"/>
    <w:rsid w:val="008E31E8"/>
    <w:rsid w:val="008E7F36"/>
    <w:rsid w:val="008F046B"/>
    <w:rsid w:val="008F40EB"/>
    <w:rsid w:val="00903BE2"/>
    <w:rsid w:val="00907FE4"/>
    <w:rsid w:val="00914252"/>
    <w:rsid w:val="00917A21"/>
    <w:rsid w:val="00924149"/>
    <w:rsid w:val="00933085"/>
    <w:rsid w:val="00934C4D"/>
    <w:rsid w:val="009355EA"/>
    <w:rsid w:val="00936F2B"/>
    <w:rsid w:val="00950579"/>
    <w:rsid w:val="009510F1"/>
    <w:rsid w:val="009600F5"/>
    <w:rsid w:val="009701CB"/>
    <w:rsid w:val="00977A61"/>
    <w:rsid w:val="009812B9"/>
    <w:rsid w:val="00983D53"/>
    <w:rsid w:val="009864C1"/>
    <w:rsid w:val="009957E1"/>
    <w:rsid w:val="009964D0"/>
    <w:rsid w:val="009A78F6"/>
    <w:rsid w:val="009C3874"/>
    <w:rsid w:val="009C3B59"/>
    <w:rsid w:val="009D147A"/>
    <w:rsid w:val="009D2F02"/>
    <w:rsid w:val="009D461F"/>
    <w:rsid w:val="009E2A86"/>
    <w:rsid w:val="009E2C50"/>
    <w:rsid w:val="009E431C"/>
    <w:rsid w:val="009E774F"/>
    <w:rsid w:val="00A03AC7"/>
    <w:rsid w:val="00A23709"/>
    <w:rsid w:val="00A2539E"/>
    <w:rsid w:val="00A25FFC"/>
    <w:rsid w:val="00A26AD3"/>
    <w:rsid w:val="00A305E6"/>
    <w:rsid w:val="00A3479C"/>
    <w:rsid w:val="00A50648"/>
    <w:rsid w:val="00A75A23"/>
    <w:rsid w:val="00A833C5"/>
    <w:rsid w:val="00A84A30"/>
    <w:rsid w:val="00A922BA"/>
    <w:rsid w:val="00A956B2"/>
    <w:rsid w:val="00AA2CCC"/>
    <w:rsid w:val="00AC1F9F"/>
    <w:rsid w:val="00AD040B"/>
    <w:rsid w:val="00AF3D50"/>
    <w:rsid w:val="00B06C64"/>
    <w:rsid w:val="00B13E2A"/>
    <w:rsid w:val="00B33F0A"/>
    <w:rsid w:val="00B34362"/>
    <w:rsid w:val="00B3645A"/>
    <w:rsid w:val="00B42C3A"/>
    <w:rsid w:val="00B60C5F"/>
    <w:rsid w:val="00B734BE"/>
    <w:rsid w:val="00B81380"/>
    <w:rsid w:val="00B81D1C"/>
    <w:rsid w:val="00B82C8C"/>
    <w:rsid w:val="00B95903"/>
    <w:rsid w:val="00B95E91"/>
    <w:rsid w:val="00B96468"/>
    <w:rsid w:val="00BB221B"/>
    <w:rsid w:val="00BB45F1"/>
    <w:rsid w:val="00BB4ED2"/>
    <w:rsid w:val="00BB6B6F"/>
    <w:rsid w:val="00BC148E"/>
    <w:rsid w:val="00BC1A09"/>
    <w:rsid w:val="00BC1D71"/>
    <w:rsid w:val="00BC1F95"/>
    <w:rsid w:val="00BD4646"/>
    <w:rsid w:val="00C020CC"/>
    <w:rsid w:val="00C06428"/>
    <w:rsid w:val="00C074E8"/>
    <w:rsid w:val="00C13193"/>
    <w:rsid w:val="00C22570"/>
    <w:rsid w:val="00C23FF2"/>
    <w:rsid w:val="00C24379"/>
    <w:rsid w:val="00C32A76"/>
    <w:rsid w:val="00C36B1E"/>
    <w:rsid w:val="00C5580E"/>
    <w:rsid w:val="00C57D4F"/>
    <w:rsid w:val="00C66AC3"/>
    <w:rsid w:val="00C719BA"/>
    <w:rsid w:val="00C72A4F"/>
    <w:rsid w:val="00C72E11"/>
    <w:rsid w:val="00C841AD"/>
    <w:rsid w:val="00C85C2C"/>
    <w:rsid w:val="00C877E5"/>
    <w:rsid w:val="00C916D4"/>
    <w:rsid w:val="00C96AF5"/>
    <w:rsid w:val="00CA1688"/>
    <w:rsid w:val="00CA3FA4"/>
    <w:rsid w:val="00CB26D2"/>
    <w:rsid w:val="00CB72CB"/>
    <w:rsid w:val="00CD4C6C"/>
    <w:rsid w:val="00CD5F15"/>
    <w:rsid w:val="00CF4310"/>
    <w:rsid w:val="00CF6116"/>
    <w:rsid w:val="00CF62ED"/>
    <w:rsid w:val="00D00F61"/>
    <w:rsid w:val="00D027B8"/>
    <w:rsid w:val="00D04F12"/>
    <w:rsid w:val="00D05B3D"/>
    <w:rsid w:val="00D221A5"/>
    <w:rsid w:val="00D422F4"/>
    <w:rsid w:val="00D505D9"/>
    <w:rsid w:val="00D509AE"/>
    <w:rsid w:val="00D55392"/>
    <w:rsid w:val="00D609E5"/>
    <w:rsid w:val="00D66029"/>
    <w:rsid w:val="00D71EB8"/>
    <w:rsid w:val="00D72CB6"/>
    <w:rsid w:val="00D77AF0"/>
    <w:rsid w:val="00D93F32"/>
    <w:rsid w:val="00DA41C3"/>
    <w:rsid w:val="00DA56AE"/>
    <w:rsid w:val="00DB39CE"/>
    <w:rsid w:val="00DB4392"/>
    <w:rsid w:val="00DB53C2"/>
    <w:rsid w:val="00DC10CF"/>
    <w:rsid w:val="00DC323A"/>
    <w:rsid w:val="00DC6434"/>
    <w:rsid w:val="00DD767D"/>
    <w:rsid w:val="00DD7B38"/>
    <w:rsid w:val="00DD7E2B"/>
    <w:rsid w:val="00DE3345"/>
    <w:rsid w:val="00DE4BE4"/>
    <w:rsid w:val="00DE60DA"/>
    <w:rsid w:val="00DE72FB"/>
    <w:rsid w:val="00DE7CC5"/>
    <w:rsid w:val="00DF0053"/>
    <w:rsid w:val="00DF080A"/>
    <w:rsid w:val="00DF2C97"/>
    <w:rsid w:val="00DF2E21"/>
    <w:rsid w:val="00DF3088"/>
    <w:rsid w:val="00DF683C"/>
    <w:rsid w:val="00DF76AF"/>
    <w:rsid w:val="00E0331C"/>
    <w:rsid w:val="00E06AFD"/>
    <w:rsid w:val="00E070FE"/>
    <w:rsid w:val="00E133F7"/>
    <w:rsid w:val="00E135E9"/>
    <w:rsid w:val="00E1618C"/>
    <w:rsid w:val="00E1743E"/>
    <w:rsid w:val="00E2081D"/>
    <w:rsid w:val="00E35088"/>
    <w:rsid w:val="00E5705B"/>
    <w:rsid w:val="00E77D09"/>
    <w:rsid w:val="00E80A9F"/>
    <w:rsid w:val="00E9106B"/>
    <w:rsid w:val="00E9534E"/>
    <w:rsid w:val="00E95A17"/>
    <w:rsid w:val="00EA0D4D"/>
    <w:rsid w:val="00EA2643"/>
    <w:rsid w:val="00EA2DAA"/>
    <w:rsid w:val="00EA473A"/>
    <w:rsid w:val="00EB1545"/>
    <w:rsid w:val="00EB15DE"/>
    <w:rsid w:val="00EC0FAD"/>
    <w:rsid w:val="00EC4A3D"/>
    <w:rsid w:val="00EC4EBD"/>
    <w:rsid w:val="00ED1651"/>
    <w:rsid w:val="00ED5D30"/>
    <w:rsid w:val="00ED620B"/>
    <w:rsid w:val="00EE0182"/>
    <w:rsid w:val="00EE66BE"/>
    <w:rsid w:val="00EF2C8E"/>
    <w:rsid w:val="00EF5DEB"/>
    <w:rsid w:val="00F0038F"/>
    <w:rsid w:val="00F07229"/>
    <w:rsid w:val="00F07BFA"/>
    <w:rsid w:val="00F12477"/>
    <w:rsid w:val="00F124CF"/>
    <w:rsid w:val="00F22BCA"/>
    <w:rsid w:val="00F25B0A"/>
    <w:rsid w:val="00F33399"/>
    <w:rsid w:val="00F379E3"/>
    <w:rsid w:val="00F47DA6"/>
    <w:rsid w:val="00F52009"/>
    <w:rsid w:val="00F55326"/>
    <w:rsid w:val="00F60F88"/>
    <w:rsid w:val="00F6178F"/>
    <w:rsid w:val="00F70F30"/>
    <w:rsid w:val="00F85E0E"/>
    <w:rsid w:val="00F90721"/>
    <w:rsid w:val="00FA303C"/>
    <w:rsid w:val="00FB3FE3"/>
    <w:rsid w:val="00FD4614"/>
    <w:rsid w:val="00FD6860"/>
    <w:rsid w:val="00FE04DF"/>
    <w:rsid w:val="00FF3ADE"/>
    <w:rsid w:val="00FF5FDF"/>
    <w:rsid w:val="00FF7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DEE896"/>
  <w15:docId w15:val="{41A6071D-4281-477E-A95E-4074585E0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903"/>
    <w:pPr>
      <w:jc w:val="both"/>
    </w:pPr>
    <w:rPr>
      <w:sz w:val="24"/>
      <w:szCs w:val="24"/>
      <w:lang w:val="en-AU"/>
    </w:rPr>
  </w:style>
  <w:style w:type="paragraph" w:styleId="Heading1">
    <w:name w:val="heading 1"/>
    <w:basedOn w:val="Normal"/>
    <w:next w:val="Normal"/>
    <w:qFormat/>
    <w:rsid w:val="00035334"/>
    <w:pPr>
      <w:keepNext/>
      <w:spacing w:before="480" w:after="240"/>
      <w:outlineLvl w:val="0"/>
    </w:pPr>
    <w:rPr>
      <w:b/>
    </w:rPr>
  </w:style>
  <w:style w:type="paragraph" w:styleId="Heading2">
    <w:name w:val="heading 2"/>
    <w:basedOn w:val="Normal"/>
    <w:next w:val="Normal"/>
    <w:qFormat/>
    <w:rsid w:val="000004CC"/>
    <w:pPr>
      <w:keepNext/>
      <w:spacing w:before="240" w:after="120"/>
      <w:outlineLvl w:val="1"/>
    </w:pPr>
    <w:rPr>
      <w:u w:val="single"/>
    </w:rPr>
  </w:style>
  <w:style w:type="paragraph" w:styleId="Heading3">
    <w:name w:val="heading 3"/>
    <w:basedOn w:val="Normal"/>
    <w:next w:val="Normal"/>
    <w:qFormat/>
    <w:rsid w:val="000004CC"/>
    <w:pPr>
      <w:keepNext/>
      <w:spacing w:before="240" w:after="120"/>
      <w:outlineLvl w:val="2"/>
    </w:pPr>
    <w:rPr>
      <w:i/>
    </w:rPr>
  </w:style>
  <w:style w:type="paragraph" w:styleId="Heading4">
    <w:name w:val="heading 4"/>
    <w:basedOn w:val="Normal"/>
    <w:next w:val="Normal"/>
    <w:qFormat/>
    <w:rsid w:val="00D71EB8"/>
    <w:pPr>
      <w:keepNext/>
      <w:outlineLvl w:val="3"/>
    </w:pPr>
    <w:rPr>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71EB8"/>
    <w:pPr>
      <w:jc w:val="center"/>
    </w:pPr>
    <w:rPr>
      <w:b/>
    </w:rPr>
  </w:style>
  <w:style w:type="paragraph" w:styleId="Subtitle">
    <w:name w:val="Subtitle"/>
    <w:basedOn w:val="Normal"/>
    <w:qFormat/>
    <w:rsid w:val="00D71EB8"/>
    <w:pPr>
      <w:jc w:val="center"/>
    </w:pPr>
    <w:rPr>
      <w:b/>
    </w:rPr>
  </w:style>
  <w:style w:type="paragraph" w:styleId="BodyText">
    <w:name w:val="Body Text"/>
    <w:basedOn w:val="Normal"/>
    <w:rsid w:val="00D71EB8"/>
    <w:rPr>
      <w:i/>
    </w:rPr>
  </w:style>
  <w:style w:type="paragraph" w:styleId="Header">
    <w:name w:val="header"/>
    <w:basedOn w:val="Normal"/>
    <w:link w:val="HeaderChar"/>
    <w:uiPriority w:val="99"/>
    <w:rsid w:val="00D71EB8"/>
    <w:pPr>
      <w:tabs>
        <w:tab w:val="center" w:pos="4153"/>
        <w:tab w:val="right" w:pos="8306"/>
      </w:tabs>
    </w:pPr>
  </w:style>
  <w:style w:type="paragraph" w:styleId="Footer">
    <w:name w:val="footer"/>
    <w:basedOn w:val="Normal"/>
    <w:rsid w:val="00D71EB8"/>
    <w:pPr>
      <w:tabs>
        <w:tab w:val="center" w:pos="4153"/>
        <w:tab w:val="right" w:pos="8306"/>
      </w:tabs>
    </w:pPr>
  </w:style>
  <w:style w:type="character" w:styleId="PageNumber">
    <w:name w:val="page number"/>
    <w:basedOn w:val="DefaultParagraphFont"/>
    <w:rsid w:val="00D71EB8"/>
  </w:style>
  <w:style w:type="paragraph" w:styleId="BalloonText">
    <w:name w:val="Balloon Text"/>
    <w:basedOn w:val="Normal"/>
    <w:semiHidden/>
    <w:rsid w:val="00730036"/>
    <w:rPr>
      <w:rFonts w:ascii="Tahoma" w:hAnsi="Tahoma" w:cs="Tahoma"/>
      <w:sz w:val="16"/>
      <w:szCs w:val="16"/>
    </w:rPr>
  </w:style>
  <w:style w:type="paragraph" w:styleId="FootnoteText">
    <w:name w:val="footnote text"/>
    <w:basedOn w:val="Normal"/>
    <w:semiHidden/>
    <w:rsid w:val="00607E7C"/>
    <w:pPr>
      <w:widowControl w:val="0"/>
      <w:adjustRightInd w:val="0"/>
      <w:spacing w:line="360" w:lineRule="atLeast"/>
      <w:textAlignment w:val="baseline"/>
    </w:pPr>
  </w:style>
  <w:style w:type="paragraph" w:styleId="ListParagraph">
    <w:name w:val="List Paragraph"/>
    <w:basedOn w:val="Normal"/>
    <w:uiPriority w:val="34"/>
    <w:qFormat/>
    <w:rsid w:val="00EB15DE"/>
    <w:pPr>
      <w:ind w:left="720"/>
      <w:contextualSpacing/>
    </w:pPr>
  </w:style>
  <w:style w:type="character" w:customStyle="1" w:styleId="HeaderChar">
    <w:name w:val="Header Char"/>
    <w:basedOn w:val="DefaultParagraphFont"/>
    <w:link w:val="Header"/>
    <w:uiPriority w:val="99"/>
    <w:rsid w:val="008E1C43"/>
    <w:rPr>
      <w:sz w:val="24"/>
      <w:szCs w:val="24"/>
      <w:lang w:val="en-AU"/>
    </w:rPr>
  </w:style>
  <w:style w:type="character" w:styleId="CommentReference">
    <w:name w:val="annotation reference"/>
    <w:basedOn w:val="DefaultParagraphFont"/>
    <w:uiPriority w:val="99"/>
    <w:semiHidden/>
    <w:unhideWhenUsed/>
    <w:rsid w:val="00035334"/>
    <w:rPr>
      <w:sz w:val="16"/>
      <w:szCs w:val="16"/>
    </w:rPr>
  </w:style>
  <w:style w:type="paragraph" w:styleId="CommentText">
    <w:name w:val="annotation text"/>
    <w:basedOn w:val="Normal"/>
    <w:link w:val="CommentTextChar"/>
    <w:uiPriority w:val="99"/>
    <w:unhideWhenUsed/>
    <w:rsid w:val="00035334"/>
    <w:rPr>
      <w:sz w:val="20"/>
      <w:szCs w:val="20"/>
    </w:rPr>
  </w:style>
  <w:style w:type="character" w:customStyle="1" w:styleId="CommentTextChar">
    <w:name w:val="Comment Text Char"/>
    <w:basedOn w:val="DefaultParagraphFont"/>
    <w:link w:val="CommentText"/>
    <w:uiPriority w:val="99"/>
    <w:rsid w:val="00035334"/>
    <w:rPr>
      <w:lang w:val="en-AU"/>
    </w:rPr>
  </w:style>
  <w:style w:type="paragraph" w:styleId="CommentSubject">
    <w:name w:val="annotation subject"/>
    <w:basedOn w:val="CommentText"/>
    <w:next w:val="CommentText"/>
    <w:link w:val="CommentSubjectChar"/>
    <w:uiPriority w:val="99"/>
    <w:semiHidden/>
    <w:unhideWhenUsed/>
    <w:rsid w:val="00035334"/>
    <w:rPr>
      <w:b/>
      <w:bCs/>
    </w:rPr>
  </w:style>
  <w:style w:type="character" w:customStyle="1" w:styleId="CommentSubjectChar">
    <w:name w:val="Comment Subject Char"/>
    <w:basedOn w:val="CommentTextChar"/>
    <w:link w:val="CommentSubject"/>
    <w:uiPriority w:val="99"/>
    <w:semiHidden/>
    <w:rsid w:val="00035334"/>
    <w:rPr>
      <w:b/>
      <w:bCs/>
      <w:lang w:val="en-AU"/>
    </w:rPr>
  </w:style>
  <w:style w:type="character" w:styleId="Strong">
    <w:name w:val="Strong"/>
    <w:basedOn w:val="DefaultParagraphFont"/>
    <w:uiPriority w:val="22"/>
    <w:qFormat/>
    <w:rsid w:val="006E430C"/>
    <w:rPr>
      <w:b/>
      <w:bCs/>
    </w:rPr>
  </w:style>
  <w:style w:type="table" w:styleId="TableGrid">
    <w:name w:val="Table Grid"/>
    <w:basedOn w:val="TableNormal"/>
    <w:uiPriority w:val="59"/>
    <w:rsid w:val="006E4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E430C"/>
    <w:pPr>
      <w:autoSpaceDE w:val="0"/>
      <w:autoSpaceDN w:val="0"/>
      <w:adjustRightInd w:val="0"/>
    </w:pPr>
    <w:rPr>
      <w:color w:val="000000"/>
      <w:sz w:val="24"/>
      <w:szCs w:val="24"/>
      <w:lang w:val="en-AU"/>
    </w:rPr>
  </w:style>
  <w:style w:type="paragraph" w:styleId="NormalWeb">
    <w:name w:val="Normal (Web)"/>
    <w:basedOn w:val="Normal"/>
    <w:uiPriority w:val="99"/>
    <w:semiHidden/>
    <w:unhideWhenUsed/>
    <w:rsid w:val="009864C1"/>
    <w:pPr>
      <w:spacing w:before="100" w:beforeAutospacing="1" w:after="100" w:afterAutospacing="1"/>
      <w:jc w:val="left"/>
    </w:pPr>
    <w:rPr>
      <w:lang w:val="en-US"/>
    </w:rPr>
  </w:style>
  <w:style w:type="paragraph" w:styleId="Revision">
    <w:name w:val="Revision"/>
    <w:hidden/>
    <w:uiPriority w:val="99"/>
    <w:semiHidden/>
    <w:rsid w:val="00D027B8"/>
    <w:rPr>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228053">
      <w:bodyDiv w:val="1"/>
      <w:marLeft w:val="0"/>
      <w:marRight w:val="0"/>
      <w:marTop w:val="0"/>
      <w:marBottom w:val="0"/>
      <w:divBdr>
        <w:top w:val="none" w:sz="0" w:space="0" w:color="auto"/>
        <w:left w:val="none" w:sz="0" w:space="0" w:color="auto"/>
        <w:bottom w:val="none" w:sz="0" w:space="0" w:color="auto"/>
        <w:right w:val="none" w:sz="0" w:space="0" w:color="auto"/>
      </w:divBdr>
    </w:div>
    <w:div w:id="889461217">
      <w:bodyDiv w:val="1"/>
      <w:marLeft w:val="0"/>
      <w:marRight w:val="0"/>
      <w:marTop w:val="0"/>
      <w:marBottom w:val="0"/>
      <w:divBdr>
        <w:top w:val="none" w:sz="0" w:space="0" w:color="auto"/>
        <w:left w:val="none" w:sz="0" w:space="0" w:color="auto"/>
        <w:bottom w:val="none" w:sz="0" w:space="0" w:color="auto"/>
        <w:right w:val="none" w:sz="0" w:space="0" w:color="auto"/>
      </w:divBdr>
    </w:div>
    <w:div w:id="944729943">
      <w:bodyDiv w:val="1"/>
      <w:marLeft w:val="0"/>
      <w:marRight w:val="0"/>
      <w:marTop w:val="0"/>
      <w:marBottom w:val="0"/>
      <w:divBdr>
        <w:top w:val="none" w:sz="0" w:space="0" w:color="auto"/>
        <w:left w:val="none" w:sz="0" w:space="0" w:color="auto"/>
        <w:bottom w:val="none" w:sz="0" w:space="0" w:color="auto"/>
        <w:right w:val="none" w:sz="0" w:space="0" w:color="auto"/>
      </w:divBdr>
    </w:div>
    <w:div w:id="1342051392">
      <w:bodyDiv w:val="1"/>
      <w:marLeft w:val="0"/>
      <w:marRight w:val="0"/>
      <w:marTop w:val="0"/>
      <w:marBottom w:val="0"/>
      <w:divBdr>
        <w:top w:val="none" w:sz="0" w:space="0" w:color="auto"/>
        <w:left w:val="none" w:sz="0" w:space="0" w:color="auto"/>
        <w:bottom w:val="none" w:sz="0" w:space="0" w:color="auto"/>
        <w:right w:val="none" w:sz="0" w:space="0" w:color="auto"/>
      </w:divBdr>
    </w:div>
    <w:div w:id="145452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cid:image004.jpg@01D2EE83.358DD620"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536E1-92E8-4127-BDBD-A8C679EA9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12</Pages>
  <Words>3234</Words>
  <Characters>17805</Characters>
  <Application>Microsoft Office Word</Application>
  <DocSecurity>0</DocSecurity>
  <Lines>378</Lines>
  <Paragraphs>172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Attachment: Product Information: Patiromer sorbitex calcium</vt:lpstr>
      <vt:lpstr>PRODUCT INFORMATION</vt:lpstr>
    </vt:vector>
  </TitlesOfParts>
  <Company>Hexal Australia Pty. Ltd.</Company>
  <LinksUpToDate>false</LinksUpToDate>
  <CharactersWithSpaces>20867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Patiromer sorbitex calcium</dc:title>
  <dc:subject>Prescription medicines</dc:subject>
  <dc:creator>Vifor Pharma Pty Ltd</dc:creator>
  <cp:keywords>AusPARs</cp:keywords>
  <cp:lastPrinted>2017-12-19T22:46:00Z</cp:lastPrinted>
  <dcterms:created xsi:type="dcterms:W3CDTF">2019-10-03T00:25:00Z</dcterms:created>
  <dcterms:modified xsi:type="dcterms:W3CDTF">2019-10-03T00:45:00Z</dcterms:modified>
</cp:coreProperties>
</file>