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AF3F4" w14:textId="1D106344" w:rsidR="00CB544A" w:rsidRPr="00CB544A" w:rsidRDefault="00355D5B" w:rsidP="005674F2">
      <w:pPr>
        <w:pStyle w:val="DocumentName"/>
        <w:rPr>
          <w:noProof/>
          <w:highlight w:val="yellow"/>
          <w:lang w:eastAsia="en-AU"/>
        </w:rPr>
      </w:pPr>
      <w:r w:rsidRPr="00364E39">
        <w:rPr>
          <w:noProof/>
          <w:lang w:eastAsia="en-AU"/>
        </w:rPr>
        <w:drawing>
          <wp:anchor distT="0" distB="0" distL="114300" distR="114300" simplePos="0" relativeHeight="251659264" behindDoc="1" locked="0" layoutInCell="1" allowOverlap="1" wp14:anchorId="18BCE346" wp14:editId="10BD3C04">
            <wp:simplePos x="0" y="0"/>
            <wp:positionH relativeFrom="margin">
              <wp:align>right</wp:align>
            </wp:positionH>
            <wp:positionV relativeFrom="paragraph">
              <wp:posOffset>8890</wp:posOffset>
            </wp:positionV>
            <wp:extent cx="1619250" cy="771674"/>
            <wp:effectExtent l="0" t="0" r="0" b="9525"/>
            <wp:wrapNone/>
            <wp:docPr id="1" name="Picture 1" descr="C:\Users\m509502\AppData\Local\Microsoft\Windows\Temporary Internet Files\Content.Outlook\4GARY5Q4\OUS Mylan Black Logo without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509502\AppData\Local\Microsoft\Windows\Temporary Internet Files\Content.Outlook\4GARY5Q4\OUS Mylan Black Logo without Tag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7716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377D9A" w14:textId="080464EA" w:rsidR="00C95BAA" w:rsidRPr="002F6D84" w:rsidRDefault="0000224F" w:rsidP="005674F2">
      <w:pPr>
        <w:pStyle w:val="MainHeading"/>
      </w:pPr>
      <w:r>
        <w:rPr>
          <w:noProof/>
          <w:lang w:eastAsia="en-AU"/>
        </w:rPr>
        <w:t>FULPHILA</w:t>
      </w:r>
    </w:p>
    <w:p w14:paraId="44DA41F4" w14:textId="1515C93B" w:rsidR="004C0B56" w:rsidRDefault="00F02E6A" w:rsidP="005674F2">
      <w:pPr>
        <w:pStyle w:val="ActiveIngredientName"/>
      </w:pPr>
      <w:proofErr w:type="spellStart"/>
      <w:r>
        <w:t>Pegfilgrastim</w:t>
      </w:r>
      <w:proofErr w:type="spellEnd"/>
      <w:r>
        <w:t xml:space="preserve"> (</w:t>
      </w:r>
      <w:proofErr w:type="spellStart"/>
      <w:r>
        <w:t>rbe</w:t>
      </w:r>
      <w:proofErr w:type="spellEnd"/>
      <w:r>
        <w:t>)</w:t>
      </w:r>
    </w:p>
    <w:p w14:paraId="03D51817" w14:textId="53C4854D" w:rsidR="004C0B56" w:rsidRDefault="004C0B56" w:rsidP="00DA6C16">
      <w:pPr>
        <w:pStyle w:val="SubjectHeading"/>
      </w:pPr>
      <w:r>
        <w:t>NAME OF THE MEDICINE</w:t>
      </w:r>
    </w:p>
    <w:p w14:paraId="4CB0AE50" w14:textId="4417D3AC" w:rsidR="00CB544A" w:rsidRPr="003E10D9" w:rsidRDefault="00CB544A" w:rsidP="005674F2">
      <w:pPr>
        <w:pStyle w:val="Bodyofcontents"/>
      </w:pPr>
      <w:r w:rsidRPr="003E10D9">
        <w:t>Active Ingredient:</w:t>
      </w:r>
      <w:r w:rsidRPr="003E10D9">
        <w:tab/>
      </w:r>
      <w:r w:rsidR="003E10D9" w:rsidRPr="003E10D9">
        <w:t>pegfilgrastim</w:t>
      </w:r>
    </w:p>
    <w:p w14:paraId="311C0B41" w14:textId="78682D08" w:rsidR="00CB544A" w:rsidRPr="003E10D9" w:rsidRDefault="00CB544A" w:rsidP="003E10D9">
      <w:pPr>
        <w:pStyle w:val="Bodyofcontents"/>
        <w:ind w:left="2156" w:hanging="2156"/>
      </w:pPr>
      <w:r w:rsidRPr="003E10D9">
        <w:t>Chemical Name:</w:t>
      </w:r>
      <w:r w:rsidRPr="003E10D9">
        <w:tab/>
      </w:r>
      <w:r w:rsidR="003E10D9" w:rsidRPr="003E10D9">
        <w:t>N-(3-hydroxypropyl) methionyl colony-stimulating factor (human), 1-ether with α-methyl-ω-</w:t>
      </w:r>
      <w:proofErr w:type="spellStart"/>
      <w:r w:rsidR="003E10D9" w:rsidRPr="003E10D9">
        <w:t>hydroxypoly</w:t>
      </w:r>
      <w:proofErr w:type="spellEnd"/>
      <w:r w:rsidR="003E10D9" w:rsidRPr="003E10D9">
        <w:t xml:space="preserve"> (</w:t>
      </w:r>
      <w:proofErr w:type="spellStart"/>
      <w:r w:rsidR="003E10D9" w:rsidRPr="003E10D9">
        <w:t>oxyethylene</w:t>
      </w:r>
      <w:proofErr w:type="spellEnd"/>
      <w:r w:rsidR="003E10D9" w:rsidRPr="003E10D9">
        <w:t>)</w:t>
      </w:r>
    </w:p>
    <w:p w14:paraId="5EB5E5B2" w14:textId="5569A235" w:rsidR="00113FDF" w:rsidRPr="003E10D9" w:rsidRDefault="00CB544A" w:rsidP="005674F2">
      <w:pPr>
        <w:pStyle w:val="Bodyofcontents"/>
      </w:pPr>
      <w:r w:rsidRPr="003E10D9">
        <w:t>Molecular Formula:</w:t>
      </w:r>
      <w:r w:rsidRPr="003E10D9">
        <w:tab/>
      </w:r>
      <w:r w:rsidR="003E10D9" w:rsidRPr="003E10D9">
        <w:t>(C</w:t>
      </w:r>
      <w:r w:rsidR="003E10D9" w:rsidRPr="003E10D9">
        <w:rPr>
          <w:vertAlign w:val="subscript"/>
        </w:rPr>
        <w:t>2</w:t>
      </w:r>
      <w:r w:rsidR="003E10D9" w:rsidRPr="003E10D9">
        <w:t>H</w:t>
      </w:r>
      <w:r w:rsidR="003E10D9" w:rsidRPr="003E10D9">
        <w:rPr>
          <w:vertAlign w:val="subscript"/>
        </w:rPr>
        <w:t>4</w:t>
      </w:r>
      <w:r w:rsidR="003E10D9" w:rsidRPr="003E10D9">
        <w:t>O</w:t>
      </w:r>
      <w:proofErr w:type="gramStart"/>
      <w:r w:rsidR="003E10D9" w:rsidRPr="003E10D9">
        <w:t>)</w:t>
      </w:r>
      <w:r w:rsidR="003E10D9" w:rsidRPr="003E10D9">
        <w:rPr>
          <w:vertAlign w:val="subscript"/>
        </w:rPr>
        <w:t>n</w:t>
      </w:r>
      <w:r w:rsidR="003E10D9" w:rsidRPr="003E10D9">
        <w:t>C</w:t>
      </w:r>
      <w:r w:rsidR="003E10D9" w:rsidRPr="003E10D9">
        <w:rPr>
          <w:vertAlign w:val="subscript"/>
        </w:rPr>
        <w:t>845</w:t>
      </w:r>
      <w:r w:rsidR="003E10D9" w:rsidRPr="003E10D9">
        <w:t>H</w:t>
      </w:r>
      <w:r w:rsidR="003E10D9" w:rsidRPr="003E10D9">
        <w:rPr>
          <w:vertAlign w:val="subscript"/>
        </w:rPr>
        <w:t>1339</w:t>
      </w:r>
      <w:r w:rsidR="003E10D9" w:rsidRPr="003E10D9">
        <w:t>N</w:t>
      </w:r>
      <w:r w:rsidR="003E10D9" w:rsidRPr="003E10D9">
        <w:rPr>
          <w:vertAlign w:val="subscript"/>
        </w:rPr>
        <w:t>223</w:t>
      </w:r>
      <w:r w:rsidR="003E10D9" w:rsidRPr="003E10D9">
        <w:t>O</w:t>
      </w:r>
      <w:r w:rsidR="003E10D9" w:rsidRPr="003E10D9">
        <w:rPr>
          <w:vertAlign w:val="subscript"/>
        </w:rPr>
        <w:t>243</w:t>
      </w:r>
      <w:r w:rsidR="003E10D9" w:rsidRPr="003E10D9">
        <w:t>S</w:t>
      </w:r>
      <w:r w:rsidR="003E10D9" w:rsidRPr="003E10D9">
        <w:rPr>
          <w:vertAlign w:val="subscript"/>
        </w:rPr>
        <w:t>9</w:t>
      </w:r>
      <w:proofErr w:type="gramEnd"/>
      <w:r w:rsidR="003E10D9" w:rsidRPr="003E10D9">
        <w:t xml:space="preserve"> </w:t>
      </w:r>
    </w:p>
    <w:p w14:paraId="43AD1FA7" w14:textId="7CE75CEE" w:rsidR="00CB544A" w:rsidRDefault="00CB544A" w:rsidP="005674F2">
      <w:pPr>
        <w:pStyle w:val="Bodyofcontents"/>
      </w:pPr>
      <w:r w:rsidRPr="003E10D9">
        <w:t>Molecular weight:</w:t>
      </w:r>
      <w:r w:rsidRPr="003E10D9">
        <w:tab/>
      </w:r>
      <w:r w:rsidR="003E10D9" w:rsidRPr="003E10D9">
        <w:t xml:space="preserve">~ 39 </w:t>
      </w:r>
      <w:proofErr w:type="spellStart"/>
      <w:r w:rsidR="003E10D9" w:rsidRPr="003E10D9">
        <w:t>kDa</w:t>
      </w:r>
      <w:proofErr w:type="spellEnd"/>
    </w:p>
    <w:p w14:paraId="658B85D1" w14:textId="76A9931E" w:rsidR="003E10D9" w:rsidRDefault="003E10D9" w:rsidP="005674F2">
      <w:pPr>
        <w:pStyle w:val="Bodyofcontents"/>
      </w:pPr>
      <w:r>
        <w:t xml:space="preserve">CAS Registry Number: </w:t>
      </w:r>
      <w:r>
        <w:tab/>
      </w:r>
      <w:r w:rsidRPr="003E10D9">
        <w:t>208265-92-3</w:t>
      </w:r>
    </w:p>
    <w:p w14:paraId="27027EC0" w14:textId="57593A28" w:rsidR="00F87A75" w:rsidRDefault="00F87A75" w:rsidP="005674F2">
      <w:pPr>
        <w:pStyle w:val="Bodyofcontents"/>
      </w:pPr>
      <w:r>
        <w:t>Structure of Pegfilgrastim and Amino Acid Sequence:</w:t>
      </w:r>
    </w:p>
    <w:p w14:paraId="1519025A" w14:textId="24CAFBAC" w:rsidR="00F87A75" w:rsidRDefault="00F87A75" w:rsidP="005674F2">
      <w:pPr>
        <w:pStyle w:val="Bodyofcontents"/>
      </w:pPr>
      <w:r>
        <w:rPr>
          <w:noProof/>
          <w:lang w:eastAsia="en-AU"/>
        </w:rPr>
        <w:drawing>
          <wp:inline distT="0" distB="0" distL="0" distR="0" wp14:anchorId="1A25B57A" wp14:editId="1CBAB83C">
            <wp:extent cx="6267450" cy="2237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67450" cy="2237740"/>
                    </a:xfrm>
                    <a:prstGeom prst="rect">
                      <a:avLst/>
                    </a:prstGeom>
                  </pic:spPr>
                </pic:pic>
              </a:graphicData>
            </a:graphic>
          </wp:inline>
        </w:drawing>
      </w:r>
    </w:p>
    <w:p w14:paraId="50AE9F84" w14:textId="68DEABB7" w:rsidR="00F87A75" w:rsidRDefault="00F87A75" w:rsidP="005674F2">
      <w:pPr>
        <w:pStyle w:val="Bodyofcontents"/>
      </w:pPr>
      <w:r>
        <w:t>Panel a) Illustration of the helical bundle topology of G-CSF. Panel b) Ribbon model of G-CSF, PDB code 2D9Q; All the helixes are annotated with relevant amino acid residues and m-PEG attachment at N-terminus region in the molecule.</w:t>
      </w:r>
    </w:p>
    <w:p w14:paraId="02FDD09A" w14:textId="41A8A441" w:rsidR="00F87A75" w:rsidRDefault="00F87A75" w:rsidP="005674F2">
      <w:pPr>
        <w:pStyle w:val="Bodyofcontents"/>
      </w:pPr>
      <w:r>
        <w:rPr>
          <w:noProof/>
          <w:lang w:eastAsia="en-AU"/>
        </w:rPr>
        <w:drawing>
          <wp:anchor distT="0" distB="0" distL="114300" distR="114300" simplePos="0" relativeHeight="251660288" behindDoc="0" locked="0" layoutInCell="1" allowOverlap="1" wp14:anchorId="3343F308" wp14:editId="5AEC9992">
            <wp:simplePos x="0" y="0"/>
            <wp:positionH relativeFrom="column">
              <wp:posOffset>946785</wp:posOffset>
            </wp:positionH>
            <wp:positionV relativeFrom="paragraph">
              <wp:posOffset>3810</wp:posOffset>
            </wp:positionV>
            <wp:extent cx="3905250" cy="16097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05250" cy="1609725"/>
                    </a:xfrm>
                    <a:prstGeom prst="rect">
                      <a:avLst/>
                    </a:prstGeom>
                  </pic:spPr>
                </pic:pic>
              </a:graphicData>
            </a:graphic>
            <wp14:sizeRelH relativeFrom="page">
              <wp14:pctWidth>0</wp14:pctWidth>
            </wp14:sizeRelH>
            <wp14:sizeRelV relativeFrom="page">
              <wp14:pctHeight>0</wp14:pctHeight>
            </wp14:sizeRelV>
          </wp:anchor>
        </w:drawing>
      </w:r>
    </w:p>
    <w:p w14:paraId="70AAA2A9" w14:textId="4564A346" w:rsidR="00F87A75" w:rsidRDefault="00F87A75" w:rsidP="005674F2">
      <w:pPr>
        <w:pStyle w:val="Bodyofcontents"/>
      </w:pPr>
    </w:p>
    <w:p w14:paraId="0E9E19A5" w14:textId="624A85B6" w:rsidR="00F87A75" w:rsidRDefault="00F87A75" w:rsidP="005674F2">
      <w:pPr>
        <w:pStyle w:val="Bodyofcontents"/>
      </w:pPr>
    </w:p>
    <w:p w14:paraId="5FF88EDA" w14:textId="5D8D2513" w:rsidR="00F87A75" w:rsidRDefault="00F87A75" w:rsidP="005674F2">
      <w:pPr>
        <w:pStyle w:val="Bodyofcontents"/>
      </w:pPr>
    </w:p>
    <w:p w14:paraId="0AD4289E" w14:textId="3B2E49A1" w:rsidR="00F87A75" w:rsidRDefault="00F87A75" w:rsidP="005674F2">
      <w:pPr>
        <w:pStyle w:val="Bodyofcontents"/>
      </w:pPr>
    </w:p>
    <w:p w14:paraId="693D1A4B" w14:textId="1192A3F5" w:rsidR="00F87A75" w:rsidRDefault="00F87A75" w:rsidP="005674F2">
      <w:pPr>
        <w:pStyle w:val="Bodyofcontents"/>
      </w:pPr>
    </w:p>
    <w:p w14:paraId="16D0A881" w14:textId="14C68061" w:rsidR="00F87A75" w:rsidRDefault="00F87A75" w:rsidP="005674F2">
      <w:pPr>
        <w:pStyle w:val="Bodyofcontents"/>
      </w:pPr>
    </w:p>
    <w:p w14:paraId="36AAE8F9" w14:textId="73A08568" w:rsidR="00F87A75" w:rsidRDefault="00F87A75" w:rsidP="005674F2">
      <w:pPr>
        <w:pStyle w:val="Bodyofcontents"/>
      </w:pPr>
    </w:p>
    <w:p w14:paraId="79B240BE" w14:textId="77777777" w:rsidR="00F87A75" w:rsidRDefault="00F87A75" w:rsidP="005674F2">
      <w:pPr>
        <w:pStyle w:val="Bodyofcontents"/>
      </w:pPr>
    </w:p>
    <w:p w14:paraId="627DDCF5" w14:textId="01F598E7" w:rsidR="00F87A75" w:rsidRPr="003E10D9" w:rsidRDefault="00F87A75" w:rsidP="005674F2">
      <w:pPr>
        <w:pStyle w:val="Bodyofcontents"/>
      </w:pPr>
      <w:r w:rsidRPr="00F87A75">
        <w:rPr>
          <w:noProof/>
          <w:lang w:eastAsia="en-AU"/>
        </w:rPr>
        <w:t xml:space="preserve"> </w:t>
      </w:r>
    </w:p>
    <w:p w14:paraId="190C47C7" w14:textId="77777777" w:rsidR="00C64762" w:rsidRDefault="00C64762" w:rsidP="00DA6C16">
      <w:pPr>
        <w:pStyle w:val="SubjectHeading"/>
      </w:pPr>
      <w:r w:rsidRPr="00C64762">
        <w:lastRenderedPageBreak/>
        <w:t>DESCRIPTION</w:t>
      </w:r>
    </w:p>
    <w:p w14:paraId="2D7B2085" w14:textId="4496C78E" w:rsidR="00F02E6A" w:rsidRDefault="0000224F" w:rsidP="00D61C42">
      <w:pPr>
        <w:autoSpaceDE w:val="0"/>
        <w:autoSpaceDN w:val="0"/>
        <w:adjustRightInd w:val="0"/>
        <w:spacing w:after="240" w:line="240" w:lineRule="auto"/>
        <w:jc w:val="both"/>
        <w:rPr>
          <w:rFonts w:ascii="Times New Roman" w:hAnsi="Times New Roman"/>
          <w:color w:val="000000"/>
          <w:sz w:val="24"/>
          <w:szCs w:val="28"/>
        </w:rPr>
      </w:pPr>
      <w:r>
        <w:rPr>
          <w:rFonts w:ascii="Times New Roman" w:hAnsi="Times New Roman"/>
          <w:color w:val="000000"/>
          <w:sz w:val="24"/>
          <w:szCs w:val="28"/>
        </w:rPr>
        <w:t>FULPHILA</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is composed of</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filgrastim (recombinant methionyl human G-CSF) with a 20,000 dalton polyethylene glycol (PEG) molecule covalently bound to</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the</w:t>
      </w:r>
      <w:r w:rsidR="00DB7B15">
        <w:rPr>
          <w:rFonts w:ascii="Times New Roman" w:hAnsi="Times New Roman"/>
          <w:color w:val="000000"/>
          <w:sz w:val="24"/>
          <w:szCs w:val="28"/>
        </w:rPr>
        <w:t xml:space="preserve"> </w:t>
      </w:r>
      <w:r w:rsidR="00F02E6A" w:rsidRPr="00F02E6A">
        <w:rPr>
          <w:rFonts w:ascii="Times New Roman" w:hAnsi="Times New Roman"/>
          <w:color w:val="000000"/>
          <w:sz w:val="24"/>
          <w:szCs w:val="28"/>
        </w:rPr>
        <w:t>N-terminal methionine residue. Filgrastim is a 175 amino acid protein manufactured by</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recombinant DNA technology. Filgrastim is produced by Escherichia coli (E coli) bacteria</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 xml:space="preserve">into which has been inserted the human G-CSF gene. </w:t>
      </w:r>
      <w:proofErr w:type="spellStart"/>
      <w:r w:rsidR="00F02E6A" w:rsidRPr="00F02E6A">
        <w:rPr>
          <w:rFonts w:ascii="Times New Roman" w:hAnsi="Times New Roman"/>
          <w:color w:val="000000"/>
          <w:sz w:val="24"/>
          <w:szCs w:val="28"/>
        </w:rPr>
        <w:t>Filgrastim</w:t>
      </w:r>
      <w:proofErr w:type="spellEnd"/>
      <w:r w:rsidR="00F02E6A" w:rsidRPr="00F02E6A">
        <w:rPr>
          <w:rFonts w:ascii="Times New Roman" w:hAnsi="Times New Roman"/>
          <w:color w:val="000000"/>
          <w:sz w:val="24"/>
          <w:szCs w:val="28"/>
        </w:rPr>
        <w:t xml:space="preserve"> is </w:t>
      </w:r>
      <w:proofErr w:type="spellStart"/>
      <w:r w:rsidR="00F02E6A" w:rsidRPr="00F02E6A">
        <w:rPr>
          <w:rFonts w:ascii="Times New Roman" w:hAnsi="Times New Roman"/>
          <w:color w:val="000000"/>
          <w:sz w:val="24"/>
          <w:szCs w:val="28"/>
        </w:rPr>
        <w:t>unglycosylated</w:t>
      </w:r>
      <w:proofErr w:type="spellEnd"/>
      <w:r w:rsidR="00F02E6A" w:rsidRPr="00F02E6A">
        <w:rPr>
          <w:rFonts w:ascii="Times New Roman" w:hAnsi="Times New Roman"/>
          <w:color w:val="000000"/>
          <w:sz w:val="24"/>
          <w:szCs w:val="28"/>
        </w:rPr>
        <w:t xml:space="preserve"> and</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 xml:space="preserve">contains an N-terminal methionine necessary for expression in E coli. </w:t>
      </w:r>
      <w:r w:rsidR="00F02E6A">
        <w:rPr>
          <w:rFonts w:ascii="Times New Roman" w:hAnsi="Times New Roman"/>
          <w:color w:val="000000"/>
          <w:sz w:val="24"/>
          <w:szCs w:val="28"/>
        </w:rPr>
        <w:t>Pegfilgrastim</w:t>
      </w:r>
      <w:r w:rsidR="00F02E6A" w:rsidRPr="00F02E6A">
        <w:rPr>
          <w:rFonts w:ascii="Times New Roman" w:hAnsi="Times New Roman"/>
          <w:color w:val="000000"/>
          <w:sz w:val="24"/>
          <w:szCs w:val="28"/>
        </w:rPr>
        <w:t xml:space="preserve"> has a total</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molecular weight of 39,000 daltons.</w:t>
      </w:r>
    </w:p>
    <w:p w14:paraId="2B2753C9" w14:textId="50105CF9" w:rsidR="00F02E6A" w:rsidRDefault="0000224F" w:rsidP="00D61C42">
      <w:pPr>
        <w:autoSpaceDE w:val="0"/>
        <w:autoSpaceDN w:val="0"/>
        <w:adjustRightInd w:val="0"/>
        <w:spacing w:after="240" w:line="240" w:lineRule="auto"/>
        <w:jc w:val="both"/>
        <w:rPr>
          <w:rFonts w:ascii="Times New Roman" w:hAnsi="Times New Roman"/>
          <w:color w:val="000000"/>
          <w:sz w:val="24"/>
          <w:szCs w:val="28"/>
        </w:rPr>
      </w:pPr>
      <w:r>
        <w:rPr>
          <w:rFonts w:ascii="Times New Roman" w:hAnsi="Times New Roman"/>
          <w:color w:val="000000"/>
          <w:sz w:val="24"/>
          <w:szCs w:val="28"/>
        </w:rPr>
        <w:t>FULPHILA</w:t>
      </w:r>
      <w:r w:rsidR="00F02E6A" w:rsidRPr="00F02E6A">
        <w:rPr>
          <w:rFonts w:ascii="Times New Roman" w:hAnsi="Times New Roman"/>
          <w:color w:val="000000"/>
          <w:sz w:val="24"/>
          <w:szCs w:val="28"/>
        </w:rPr>
        <w:t xml:space="preserve"> is a sterile, clear, colourless, preservative-free liquid for subcutaneous (SC)</w:t>
      </w:r>
      <w:r w:rsidR="00F02E6A">
        <w:rPr>
          <w:rFonts w:ascii="Times New Roman" w:hAnsi="Times New Roman"/>
          <w:color w:val="000000"/>
          <w:sz w:val="24"/>
          <w:szCs w:val="28"/>
        </w:rPr>
        <w:t xml:space="preserve"> </w:t>
      </w:r>
      <w:r w:rsidR="00F02E6A" w:rsidRPr="00F02E6A">
        <w:rPr>
          <w:rFonts w:ascii="Times New Roman" w:hAnsi="Times New Roman"/>
          <w:color w:val="000000"/>
          <w:sz w:val="24"/>
          <w:szCs w:val="28"/>
        </w:rPr>
        <w:t>administration. Each single-use pre-filled syringe with automatic needle guard contains 6 mg of pegfilgrasti</w:t>
      </w:r>
      <w:r w:rsidR="003E10D9">
        <w:rPr>
          <w:rFonts w:ascii="Times New Roman" w:hAnsi="Times New Roman"/>
          <w:color w:val="000000"/>
          <w:sz w:val="24"/>
          <w:szCs w:val="28"/>
        </w:rPr>
        <w:t xml:space="preserve">m (based on protein mass only) as the active ingredient. </w:t>
      </w:r>
      <w:r w:rsidR="00FC0791">
        <w:rPr>
          <w:rFonts w:ascii="Times New Roman" w:hAnsi="Times New Roman"/>
          <w:color w:val="000000"/>
          <w:sz w:val="24"/>
          <w:szCs w:val="28"/>
        </w:rPr>
        <w:t>The product is formulated at pH 4.0 and i</w:t>
      </w:r>
      <w:r w:rsidR="003E10D9">
        <w:rPr>
          <w:rFonts w:ascii="Times New Roman" w:hAnsi="Times New Roman"/>
          <w:color w:val="000000"/>
          <w:sz w:val="24"/>
          <w:szCs w:val="28"/>
        </w:rPr>
        <w:t>t also contains the following inactive ingredients, sorbitol, polysorbate 20, acetate</w:t>
      </w:r>
      <w:r w:rsidR="00F87A75">
        <w:rPr>
          <w:rFonts w:ascii="Times New Roman" w:hAnsi="Times New Roman"/>
          <w:color w:val="000000"/>
          <w:sz w:val="24"/>
          <w:szCs w:val="28"/>
        </w:rPr>
        <w:t xml:space="preserve"> (as acetic acid)</w:t>
      </w:r>
      <w:r w:rsidR="003E10D9">
        <w:rPr>
          <w:rFonts w:ascii="Times New Roman" w:hAnsi="Times New Roman"/>
          <w:color w:val="000000"/>
          <w:sz w:val="24"/>
          <w:szCs w:val="28"/>
        </w:rPr>
        <w:t xml:space="preserve">, sodium </w:t>
      </w:r>
      <w:r w:rsidR="00F87A75">
        <w:rPr>
          <w:rFonts w:ascii="Times New Roman" w:hAnsi="Times New Roman"/>
          <w:color w:val="000000"/>
          <w:sz w:val="24"/>
          <w:szCs w:val="28"/>
        </w:rPr>
        <w:t xml:space="preserve">(as sodium hydroxide) </w:t>
      </w:r>
      <w:r w:rsidR="003E10D9">
        <w:rPr>
          <w:rFonts w:ascii="Times New Roman" w:hAnsi="Times New Roman"/>
          <w:color w:val="000000"/>
          <w:sz w:val="24"/>
          <w:szCs w:val="28"/>
        </w:rPr>
        <w:t xml:space="preserve">and </w:t>
      </w:r>
      <w:r w:rsidR="003E10D9" w:rsidRPr="003E10D9">
        <w:rPr>
          <w:rFonts w:ascii="Times New Roman" w:hAnsi="Times New Roman"/>
          <w:color w:val="000000"/>
          <w:sz w:val="24"/>
          <w:szCs w:val="28"/>
        </w:rPr>
        <w:t>water for i</w:t>
      </w:r>
      <w:r w:rsidR="00F02E6A" w:rsidRPr="003E10D9">
        <w:rPr>
          <w:rFonts w:ascii="Times New Roman" w:hAnsi="Times New Roman"/>
          <w:color w:val="000000"/>
          <w:sz w:val="24"/>
          <w:szCs w:val="28"/>
        </w:rPr>
        <w:t>njection.</w:t>
      </w:r>
    </w:p>
    <w:p w14:paraId="1ECBA80E" w14:textId="182ADAE3" w:rsidR="00DB7B15" w:rsidRDefault="00DB7B15" w:rsidP="00D61C42">
      <w:pPr>
        <w:autoSpaceDE w:val="0"/>
        <w:autoSpaceDN w:val="0"/>
        <w:adjustRightInd w:val="0"/>
        <w:spacing w:after="240" w:line="240" w:lineRule="auto"/>
        <w:jc w:val="both"/>
        <w:rPr>
          <w:rFonts w:ascii="Times New Roman" w:hAnsi="Times New Roman"/>
          <w:color w:val="000000"/>
          <w:sz w:val="24"/>
          <w:szCs w:val="28"/>
        </w:rPr>
      </w:pPr>
      <w:proofErr w:type="spellStart"/>
      <w:r>
        <w:rPr>
          <w:rFonts w:ascii="Times New Roman" w:hAnsi="Times New Roman"/>
          <w:color w:val="000000"/>
          <w:sz w:val="24"/>
          <w:szCs w:val="28"/>
        </w:rPr>
        <w:t>Fulphia</w:t>
      </w:r>
      <w:proofErr w:type="spellEnd"/>
      <w:r>
        <w:rPr>
          <w:rFonts w:ascii="Times New Roman" w:hAnsi="Times New Roman"/>
          <w:color w:val="000000"/>
          <w:sz w:val="24"/>
          <w:szCs w:val="28"/>
        </w:rPr>
        <w:t xml:space="preserve"> (</w:t>
      </w:r>
      <w:proofErr w:type="spellStart"/>
      <w:r>
        <w:rPr>
          <w:rFonts w:ascii="Times New Roman" w:hAnsi="Times New Roman"/>
          <w:color w:val="000000"/>
          <w:sz w:val="24"/>
          <w:szCs w:val="28"/>
        </w:rPr>
        <w:t>pegfilgrastim</w:t>
      </w:r>
      <w:proofErr w:type="spellEnd"/>
      <w:r>
        <w:rPr>
          <w:rFonts w:ascii="Times New Roman" w:hAnsi="Times New Roman"/>
          <w:color w:val="000000"/>
          <w:sz w:val="24"/>
          <w:szCs w:val="28"/>
        </w:rPr>
        <w:t>) is a biosimilar medicine to Neulasta (pegfilgrastim).</w:t>
      </w:r>
    </w:p>
    <w:p w14:paraId="3F1BF794" w14:textId="0B7436E2" w:rsidR="00DB7B15" w:rsidRPr="00F02E6A" w:rsidRDefault="00DB7B15" w:rsidP="00D61C42">
      <w:pPr>
        <w:autoSpaceDE w:val="0"/>
        <w:autoSpaceDN w:val="0"/>
        <w:adjustRightInd w:val="0"/>
        <w:spacing w:after="240" w:line="240" w:lineRule="auto"/>
        <w:jc w:val="both"/>
        <w:rPr>
          <w:rFonts w:ascii="Times New Roman" w:hAnsi="Times New Roman"/>
          <w:color w:val="000000"/>
          <w:sz w:val="24"/>
          <w:szCs w:val="28"/>
        </w:rPr>
      </w:pPr>
      <w:r>
        <w:rPr>
          <w:rFonts w:ascii="Times New Roman" w:hAnsi="Times New Roman"/>
          <w:color w:val="000000"/>
          <w:sz w:val="24"/>
          <w:szCs w:val="28"/>
        </w:rPr>
        <w:t>The comparability of Fulphila with Neulasta has been demonstrated with regard to physiochemical characteristics and efficacy and safety outcomes (see PHARMACOLOGY, CLINICAL TRIALS and ADVERSE EFFECTS). The evidence for comparability supports the use of Fulphila for the listed indication.</w:t>
      </w:r>
    </w:p>
    <w:p w14:paraId="7AB92505" w14:textId="77777777" w:rsidR="00E65C8B" w:rsidRPr="00E65C8B" w:rsidRDefault="00E65C8B" w:rsidP="00DA6C16">
      <w:pPr>
        <w:pStyle w:val="SubjectHeading"/>
      </w:pPr>
      <w:r>
        <w:t>PHARMACOLOGY</w:t>
      </w:r>
    </w:p>
    <w:p w14:paraId="4E8C42BF" w14:textId="5EDA7B41" w:rsidR="00113FDF" w:rsidRPr="005D35D0" w:rsidRDefault="00113FDF" w:rsidP="005674F2">
      <w:pPr>
        <w:pStyle w:val="Subheading1"/>
      </w:pPr>
      <w:r w:rsidRPr="005D35D0">
        <w:t>Pharma</w:t>
      </w:r>
      <w:r w:rsidR="00193DF5">
        <w:t>co</w:t>
      </w:r>
      <w:r>
        <w:t>dynamics</w:t>
      </w:r>
    </w:p>
    <w:p w14:paraId="4D40A84D" w14:textId="3514784B" w:rsidR="00035B92" w:rsidRDefault="00F83172" w:rsidP="00D61C42">
      <w:pPr>
        <w:autoSpaceDE w:val="0"/>
        <w:autoSpaceDN w:val="0"/>
        <w:adjustRightInd w:val="0"/>
        <w:spacing w:after="240" w:line="240" w:lineRule="auto"/>
        <w:jc w:val="both"/>
        <w:rPr>
          <w:rFonts w:ascii="Times New Roman" w:hAnsi="Times New Roman"/>
          <w:color w:val="000000"/>
          <w:sz w:val="24"/>
          <w:szCs w:val="28"/>
        </w:rPr>
      </w:pPr>
      <w:r w:rsidRPr="00F83172">
        <w:rPr>
          <w:rFonts w:ascii="Times New Roman" w:hAnsi="Times New Roman"/>
          <w:color w:val="000000"/>
          <w:sz w:val="24"/>
          <w:szCs w:val="28"/>
        </w:rPr>
        <w:t>Human G-CSF is a glycoprotein which regulates the production and release of neutrophil</w:t>
      </w:r>
      <w:r>
        <w:rPr>
          <w:rFonts w:ascii="Times New Roman" w:hAnsi="Times New Roman"/>
          <w:color w:val="000000"/>
          <w:sz w:val="24"/>
          <w:szCs w:val="28"/>
        </w:rPr>
        <w:t xml:space="preserve">s </w:t>
      </w:r>
      <w:r w:rsidRPr="00F83172">
        <w:rPr>
          <w:rFonts w:ascii="Times New Roman" w:hAnsi="Times New Roman"/>
          <w:color w:val="000000"/>
          <w:sz w:val="24"/>
          <w:szCs w:val="28"/>
        </w:rPr>
        <w:t>from the bone marrow. Pegfilgrastim has reduced renal clearance and prolonged</w:t>
      </w:r>
      <w:r>
        <w:rPr>
          <w:rFonts w:ascii="Times New Roman" w:hAnsi="Times New Roman"/>
          <w:color w:val="000000"/>
          <w:sz w:val="24"/>
          <w:szCs w:val="28"/>
        </w:rPr>
        <w:t xml:space="preserve"> </w:t>
      </w:r>
      <w:r w:rsidRPr="00F83172">
        <w:rPr>
          <w:rFonts w:ascii="Times New Roman" w:hAnsi="Times New Roman"/>
          <w:color w:val="000000"/>
          <w:sz w:val="24"/>
          <w:szCs w:val="28"/>
        </w:rPr>
        <w:t xml:space="preserve">persistence </w:t>
      </w:r>
      <w:r w:rsidRPr="00F83172">
        <w:rPr>
          <w:rFonts w:ascii="Times New Roman" w:hAnsi="Times New Roman"/>
          <w:i/>
          <w:color w:val="000000"/>
          <w:sz w:val="24"/>
          <w:szCs w:val="28"/>
        </w:rPr>
        <w:t>in vivo</w:t>
      </w:r>
      <w:r w:rsidRPr="00F83172">
        <w:rPr>
          <w:rFonts w:ascii="Times New Roman" w:hAnsi="Times New Roman"/>
          <w:color w:val="000000"/>
          <w:sz w:val="24"/>
          <w:szCs w:val="28"/>
        </w:rPr>
        <w:t xml:space="preserve"> compared to filgrastim. Pegfilgrastim and filgrastim have been shown to</w:t>
      </w:r>
      <w:r>
        <w:rPr>
          <w:rFonts w:ascii="Times New Roman" w:hAnsi="Times New Roman"/>
          <w:color w:val="000000"/>
          <w:sz w:val="24"/>
          <w:szCs w:val="28"/>
        </w:rPr>
        <w:t xml:space="preserve"> </w:t>
      </w:r>
      <w:r w:rsidRPr="00F83172">
        <w:rPr>
          <w:rFonts w:ascii="Times New Roman" w:hAnsi="Times New Roman"/>
          <w:color w:val="000000"/>
          <w:sz w:val="24"/>
          <w:szCs w:val="28"/>
        </w:rPr>
        <w:t>have identical modes of action. They cause a marked increase in peripheral blood</w:t>
      </w:r>
      <w:r>
        <w:rPr>
          <w:rFonts w:ascii="Times New Roman" w:hAnsi="Times New Roman"/>
          <w:color w:val="000000"/>
          <w:sz w:val="24"/>
          <w:szCs w:val="28"/>
        </w:rPr>
        <w:t xml:space="preserve"> </w:t>
      </w:r>
      <w:r w:rsidRPr="00F83172">
        <w:rPr>
          <w:rFonts w:ascii="Times New Roman" w:hAnsi="Times New Roman"/>
          <w:color w:val="000000"/>
          <w:sz w:val="24"/>
          <w:szCs w:val="28"/>
        </w:rPr>
        <w:t>neutrophil counts within 24 hours in subjects with healthy bone marrow, with minor increases</w:t>
      </w:r>
      <w:r>
        <w:rPr>
          <w:rFonts w:ascii="Times New Roman" w:hAnsi="Times New Roman"/>
          <w:color w:val="000000"/>
          <w:sz w:val="24"/>
          <w:szCs w:val="28"/>
        </w:rPr>
        <w:t xml:space="preserve"> </w:t>
      </w:r>
      <w:r w:rsidRPr="00F83172">
        <w:rPr>
          <w:rFonts w:ascii="Times New Roman" w:hAnsi="Times New Roman"/>
          <w:color w:val="000000"/>
          <w:sz w:val="24"/>
          <w:szCs w:val="28"/>
        </w:rPr>
        <w:t>in monocytes and/or lymphocytes. Similarly to filgrastim, neutrophil</w:t>
      </w:r>
      <w:r w:rsidR="00DB7B15">
        <w:rPr>
          <w:rFonts w:ascii="Times New Roman" w:hAnsi="Times New Roman"/>
          <w:color w:val="000000"/>
          <w:sz w:val="24"/>
          <w:szCs w:val="28"/>
        </w:rPr>
        <w:t xml:space="preserve"> </w:t>
      </w:r>
      <w:r w:rsidRPr="00F83172">
        <w:rPr>
          <w:rFonts w:ascii="Times New Roman" w:hAnsi="Times New Roman"/>
          <w:color w:val="000000"/>
          <w:sz w:val="24"/>
          <w:szCs w:val="28"/>
        </w:rPr>
        <w:t>&amp; produced in response</w:t>
      </w:r>
      <w:r>
        <w:rPr>
          <w:rFonts w:ascii="Times New Roman" w:hAnsi="Times New Roman"/>
          <w:color w:val="000000"/>
          <w:sz w:val="24"/>
          <w:szCs w:val="28"/>
        </w:rPr>
        <w:t xml:space="preserve"> </w:t>
      </w:r>
      <w:r w:rsidRPr="00F83172">
        <w:rPr>
          <w:rFonts w:ascii="Times New Roman" w:hAnsi="Times New Roman"/>
          <w:color w:val="000000"/>
          <w:sz w:val="24"/>
          <w:szCs w:val="28"/>
        </w:rPr>
        <w:t>to pegfilgrastim show normal or enhanced function as demonstrated by tests of chemotactic</w:t>
      </w:r>
      <w:r>
        <w:rPr>
          <w:rFonts w:ascii="Times New Roman" w:hAnsi="Times New Roman"/>
          <w:color w:val="000000"/>
          <w:sz w:val="24"/>
          <w:szCs w:val="28"/>
        </w:rPr>
        <w:t xml:space="preserve"> </w:t>
      </w:r>
      <w:r w:rsidRPr="00F83172">
        <w:rPr>
          <w:rFonts w:ascii="Times New Roman" w:hAnsi="Times New Roman"/>
          <w:color w:val="000000"/>
          <w:sz w:val="24"/>
          <w:szCs w:val="28"/>
        </w:rPr>
        <w:t>and phagocytic function.</w:t>
      </w:r>
    </w:p>
    <w:p w14:paraId="6D57B740" w14:textId="3AAD116A" w:rsidR="00DB7B15" w:rsidRDefault="00DB7B15" w:rsidP="001A7651">
      <w:pPr>
        <w:pStyle w:val="Subheading3"/>
      </w:pPr>
      <w:r w:rsidRPr="001A7651">
        <w:t>Comparability of Fulphila with Neulasta</w:t>
      </w:r>
    </w:p>
    <w:p w14:paraId="1C81D3FF" w14:textId="7A86BE17" w:rsidR="00A8321C" w:rsidRDefault="00A8321C" w:rsidP="001A7651">
      <w:pPr>
        <w:pStyle w:val="Subheading3"/>
        <w:rPr>
          <w:color w:val="000000"/>
          <w:sz w:val="24"/>
        </w:rPr>
      </w:pPr>
      <w:r w:rsidRPr="001A7651">
        <w:rPr>
          <w:color w:val="000000"/>
          <w:sz w:val="24"/>
          <w:u w:val="none"/>
        </w:rPr>
        <w:t>Equivalence</w:t>
      </w:r>
      <w:r>
        <w:rPr>
          <w:color w:val="000000"/>
          <w:sz w:val="24"/>
          <w:u w:val="none"/>
        </w:rPr>
        <w:t xml:space="preserve"> was demonstrated from the primary pharmacodynamic parameters ANC, AUC</w:t>
      </w:r>
      <w:r w:rsidRPr="001A7651">
        <w:rPr>
          <w:color w:val="000000"/>
          <w:sz w:val="24"/>
          <w:u w:val="none"/>
          <w:vertAlign w:val="subscript"/>
        </w:rPr>
        <w:t>0-t</w:t>
      </w:r>
      <w:r>
        <w:rPr>
          <w:color w:val="000000"/>
          <w:sz w:val="24"/>
          <w:u w:val="none"/>
        </w:rPr>
        <w:t xml:space="preserve"> and ANC </w:t>
      </w:r>
      <w:proofErr w:type="spellStart"/>
      <w:r>
        <w:rPr>
          <w:color w:val="000000"/>
          <w:sz w:val="24"/>
          <w:u w:val="none"/>
        </w:rPr>
        <w:t>C</w:t>
      </w:r>
      <w:r w:rsidRPr="001A7651">
        <w:rPr>
          <w:color w:val="000000"/>
          <w:sz w:val="24"/>
          <w:u w:val="none"/>
          <w:vertAlign w:val="subscript"/>
        </w:rPr>
        <w:t>max</w:t>
      </w:r>
      <w:proofErr w:type="spellEnd"/>
      <w:r>
        <w:rPr>
          <w:color w:val="000000"/>
          <w:sz w:val="24"/>
          <w:u w:val="none"/>
        </w:rPr>
        <w:t xml:space="preserve"> when comparing </w:t>
      </w:r>
      <w:proofErr w:type="spellStart"/>
      <w:r>
        <w:rPr>
          <w:color w:val="000000"/>
          <w:sz w:val="24"/>
          <w:u w:val="none"/>
        </w:rPr>
        <w:t>Fulphila</w:t>
      </w:r>
      <w:proofErr w:type="spellEnd"/>
      <w:r>
        <w:rPr>
          <w:color w:val="000000"/>
          <w:sz w:val="24"/>
          <w:u w:val="none"/>
        </w:rPr>
        <w:t xml:space="preserve"> with Neulasta.</w:t>
      </w:r>
    </w:p>
    <w:p w14:paraId="1E3767DA" w14:textId="27A9D47B" w:rsidR="00A8321C" w:rsidRPr="001A7651" w:rsidRDefault="00A8321C" w:rsidP="001A7651">
      <w:pPr>
        <w:pStyle w:val="Subheading3"/>
        <w:rPr>
          <w:color w:val="000000"/>
          <w:sz w:val="24"/>
          <w:u w:val="none"/>
        </w:rPr>
      </w:pPr>
      <w:r>
        <w:rPr>
          <w:color w:val="000000"/>
          <w:sz w:val="24"/>
          <w:u w:val="none"/>
        </w:rPr>
        <w:t xml:space="preserve">The secondary </w:t>
      </w:r>
      <w:proofErr w:type="spellStart"/>
      <w:r>
        <w:rPr>
          <w:color w:val="000000"/>
          <w:sz w:val="24"/>
          <w:u w:val="none"/>
        </w:rPr>
        <w:t>pharmacodynamic</w:t>
      </w:r>
      <w:proofErr w:type="spellEnd"/>
      <w:r>
        <w:rPr>
          <w:color w:val="000000"/>
          <w:sz w:val="24"/>
          <w:u w:val="none"/>
        </w:rPr>
        <w:t xml:space="preserve"> parameters ANC </w:t>
      </w:r>
      <w:proofErr w:type="spellStart"/>
      <w:r>
        <w:rPr>
          <w:color w:val="000000"/>
          <w:sz w:val="24"/>
          <w:u w:val="none"/>
        </w:rPr>
        <w:t>T</w:t>
      </w:r>
      <w:r w:rsidRPr="001A7651">
        <w:rPr>
          <w:color w:val="000000"/>
          <w:sz w:val="24"/>
          <w:u w:val="none"/>
          <w:vertAlign w:val="subscript"/>
        </w:rPr>
        <w:t>max</w:t>
      </w:r>
      <w:proofErr w:type="spellEnd"/>
      <w:r>
        <w:rPr>
          <w:color w:val="000000"/>
          <w:sz w:val="24"/>
          <w:u w:val="none"/>
        </w:rPr>
        <w:t xml:space="preserve">, CD34+ </w:t>
      </w:r>
      <w:proofErr w:type="spellStart"/>
      <w:r>
        <w:rPr>
          <w:color w:val="000000"/>
          <w:sz w:val="24"/>
          <w:u w:val="none"/>
        </w:rPr>
        <w:t>T</w:t>
      </w:r>
      <w:r w:rsidRPr="001A7651">
        <w:rPr>
          <w:color w:val="000000"/>
          <w:sz w:val="24"/>
          <w:u w:val="none"/>
          <w:vertAlign w:val="subscript"/>
        </w:rPr>
        <w:t>max</w:t>
      </w:r>
      <w:proofErr w:type="spellEnd"/>
      <w:r>
        <w:rPr>
          <w:color w:val="000000"/>
          <w:sz w:val="24"/>
          <w:u w:val="none"/>
        </w:rPr>
        <w:t>, CD34+ AUC</w:t>
      </w:r>
      <w:r w:rsidRPr="001A7651">
        <w:rPr>
          <w:color w:val="000000"/>
          <w:sz w:val="24"/>
          <w:u w:val="none"/>
          <w:vertAlign w:val="subscript"/>
        </w:rPr>
        <w:t>0-t</w:t>
      </w:r>
      <w:r>
        <w:rPr>
          <w:color w:val="000000"/>
          <w:sz w:val="24"/>
          <w:u w:val="none"/>
        </w:rPr>
        <w:t xml:space="preserve">, and CD34+ </w:t>
      </w:r>
      <w:proofErr w:type="spellStart"/>
      <w:r>
        <w:rPr>
          <w:color w:val="000000"/>
          <w:sz w:val="24"/>
          <w:u w:val="none"/>
        </w:rPr>
        <w:t>C</w:t>
      </w:r>
      <w:r w:rsidRPr="001A7651">
        <w:rPr>
          <w:color w:val="000000"/>
          <w:sz w:val="24"/>
          <w:u w:val="none"/>
          <w:vertAlign w:val="subscript"/>
        </w:rPr>
        <w:t>max</w:t>
      </w:r>
      <w:proofErr w:type="spellEnd"/>
      <w:r>
        <w:rPr>
          <w:color w:val="000000"/>
          <w:sz w:val="24"/>
          <w:u w:val="none"/>
        </w:rPr>
        <w:t xml:space="preserve"> were similar between Fulphila and Neulasta.</w:t>
      </w:r>
    </w:p>
    <w:p w14:paraId="00549AA6" w14:textId="77777777" w:rsidR="005D35D0" w:rsidRPr="005D35D0" w:rsidRDefault="005D35D0" w:rsidP="005674F2">
      <w:pPr>
        <w:pStyle w:val="Subheading1"/>
      </w:pPr>
      <w:r w:rsidRPr="005D35D0">
        <w:t>Pharmacokinetics</w:t>
      </w:r>
    </w:p>
    <w:p w14:paraId="1765EDBB" w14:textId="5E1B62B8" w:rsidR="00F83172" w:rsidRPr="00F83172" w:rsidRDefault="00F83172" w:rsidP="00D61C42">
      <w:pPr>
        <w:autoSpaceDE w:val="0"/>
        <w:autoSpaceDN w:val="0"/>
        <w:adjustRightInd w:val="0"/>
        <w:spacing w:after="240" w:line="240" w:lineRule="auto"/>
        <w:jc w:val="both"/>
      </w:pPr>
      <w:r w:rsidRPr="00F83172">
        <w:rPr>
          <w:rFonts w:ascii="Times New Roman" w:hAnsi="Times New Roman"/>
          <w:szCs w:val="28"/>
        </w:rPr>
        <w:t xml:space="preserve">After a single SC dose of </w:t>
      </w:r>
      <w:r>
        <w:rPr>
          <w:rFonts w:ascii="Times New Roman" w:hAnsi="Times New Roman"/>
          <w:szCs w:val="28"/>
        </w:rPr>
        <w:t>pegfilgrastim</w:t>
      </w:r>
      <w:r w:rsidRPr="00F83172">
        <w:rPr>
          <w:rFonts w:ascii="Times New Roman" w:hAnsi="Times New Roman"/>
          <w:szCs w:val="28"/>
        </w:rPr>
        <w:t xml:space="preserve"> in man, the time to peak serum concentration of</w:t>
      </w:r>
      <w:r>
        <w:rPr>
          <w:rFonts w:ascii="Times New Roman" w:hAnsi="Times New Roman"/>
          <w:szCs w:val="28"/>
        </w:rPr>
        <w:t xml:space="preserve"> </w:t>
      </w:r>
      <w:r w:rsidRPr="00F83172">
        <w:rPr>
          <w:rFonts w:ascii="Times New Roman" w:hAnsi="Times New Roman"/>
          <w:szCs w:val="28"/>
        </w:rPr>
        <w:t>pegfilgrastim was variable, ranging from 8 to 120 hours. After a 6 mg SC dose, the range</w:t>
      </w:r>
      <w:r>
        <w:rPr>
          <w:rFonts w:ascii="Times New Roman" w:hAnsi="Times New Roman"/>
          <w:szCs w:val="28"/>
        </w:rPr>
        <w:t xml:space="preserve"> </w:t>
      </w:r>
      <w:r w:rsidRPr="00F83172">
        <w:rPr>
          <w:rFonts w:ascii="Times New Roman" w:hAnsi="Times New Roman"/>
          <w:szCs w:val="28"/>
        </w:rPr>
        <w:t>was from 15.9 to 120.5 hours with a median value of 39.9 hours. Serum concentrations of</w:t>
      </w:r>
      <w:r>
        <w:rPr>
          <w:rFonts w:ascii="Times New Roman" w:hAnsi="Times New Roman"/>
          <w:szCs w:val="28"/>
        </w:rPr>
        <w:t xml:space="preserve"> </w:t>
      </w:r>
      <w:r w:rsidRPr="00F83172">
        <w:rPr>
          <w:rFonts w:ascii="Times New Roman" w:hAnsi="Times New Roman"/>
          <w:szCs w:val="28"/>
        </w:rPr>
        <w:t>pegfilgrastim were maintained during the period of neutropenia after myelosuppressive</w:t>
      </w:r>
      <w:r>
        <w:rPr>
          <w:rFonts w:ascii="Times New Roman" w:hAnsi="Times New Roman"/>
          <w:szCs w:val="28"/>
        </w:rPr>
        <w:t xml:space="preserve"> </w:t>
      </w:r>
      <w:r w:rsidRPr="00F83172">
        <w:rPr>
          <w:rFonts w:ascii="Times New Roman" w:hAnsi="Times New Roman"/>
          <w:szCs w:val="28"/>
        </w:rPr>
        <w:t xml:space="preserve">chemotherapy. The distribution of </w:t>
      </w:r>
      <w:r>
        <w:rPr>
          <w:rFonts w:ascii="Times New Roman" w:hAnsi="Times New Roman"/>
          <w:szCs w:val="28"/>
        </w:rPr>
        <w:t>pegfilgrastim</w:t>
      </w:r>
      <w:r w:rsidRPr="00F83172">
        <w:rPr>
          <w:rFonts w:ascii="Times New Roman" w:hAnsi="Times New Roman"/>
          <w:szCs w:val="28"/>
        </w:rPr>
        <w:t xml:space="preserve"> was limited to the plasma compartment. The</w:t>
      </w:r>
      <w:r>
        <w:rPr>
          <w:rFonts w:ascii="Times New Roman" w:hAnsi="Times New Roman"/>
          <w:szCs w:val="28"/>
        </w:rPr>
        <w:t xml:space="preserve"> </w:t>
      </w:r>
      <w:r w:rsidRPr="00F83172">
        <w:rPr>
          <w:rFonts w:ascii="Times New Roman" w:hAnsi="Times New Roman"/>
          <w:szCs w:val="28"/>
        </w:rPr>
        <w:t xml:space="preserve">elimination of </w:t>
      </w:r>
      <w:r>
        <w:rPr>
          <w:rFonts w:ascii="Times New Roman" w:hAnsi="Times New Roman"/>
          <w:szCs w:val="28"/>
        </w:rPr>
        <w:t>pegfilgrastim</w:t>
      </w:r>
      <w:r w:rsidRPr="00F83172">
        <w:rPr>
          <w:rFonts w:ascii="Times New Roman" w:hAnsi="Times New Roman"/>
          <w:szCs w:val="28"/>
        </w:rPr>
        <w:t xml:space="preserve"> was non-linear with respect to do</w:t>
      </w:r>
      <w:r>
        <w:rPr>
          <w:rFonts w:ascii="Times New Roman" w:hAnsi="Times New Roman"/>
          <w:szCs w:val="28"/>
        </w:rPr>
        <w:t xml:space="preserve">se; serum clearance of pegfilgrastim </w:t>
      </w:r>
      <w:r w:rsidRPr="00F83172">
        <w:rPr>
          <w:rFonts w:ascii="Times New Roman" w:hAnsi="Times New Roman"/>
          <w:szCs w:val="28"/>
        </w:rPr>
        <w:t>decreased with increasing dose. The saturable clearance pathway was attributed to</w:t>
      </w:r>
      <w:r>
        <w:rPr>
          <w:rFonts w:ascii="Times New Roman" w:hAnsi="Times New Roman"/>
          <w:szCs w:val="28"/>
        </w:rPr>
        <w:t xml:space="preserve"> </w:t>
      </w:r>
      <w:r w:rsidRPr="00F83172">
        <w:rPr>
          <w:rFonts w:ascii="Times New Roman" w:hAnsi="Times New Roman"/>
          <w:szCs w:val="28"/>
        </w:rPr>
        <w:t>neutrophils and neutrophil precursors (neutrophil-mediated, self-regulating clearance).</w:t>
      </w:r>
      <w:r>
        <w:rPr>
          <w:rFonts w:ascii="Times New Roman" w:hAnsi="Times New Roman"/>
          <w:szCs w:val="28"/>
        </w:rPr>
        <w:t xml:space="preserve"> Results from pharmacokinetic/</w:t>
      </w:r>
      <w:r w:rsidRPr="00F83172">
        <w:rPr>
          <w:rFonts w:ascii="Times New Roman" w:hAnsi="Times New Roman"/>
          <w:szCs w:val="28"/>
        </w:rPr>
        <w:t>pharmacodynamic modelling support neutrophil-mediated</w:t>
      </w:r>
      <w:r>
        <w:rPr>
          <w:rFonts w:ascii="Times New Roman" w:hAnsi="Times New Roman"/>
          <w:szCs w:val="28"/>
        </w:rPr>
        <w:t xml:space="preserve"> </w:t>
      </w:r>
      <w:r w:rsidRPr="00F83172">
        <w:rPr>
          <w:rFonts w:ascii="Times New Roman" w:hAnsi="Times New Roman"/>
          <w:szCs w:val="28"/>
        </w:rPr>
        <w:t>clearance as the main route of elimination</w:t>
      </w:r>
      <w:r>
        <w:rPr>
          <w:rFonts w:ascii="Times New Roman" w:hAnsi="Times New Roman"/>
          <w:szCs w:val="28"/>
        </w:rPr>
        <w:t xml:space="preserve"> </w:t>
      </w:r>
      <w:r w:rsidRPr="00F83172">
        <w:rPr>
          <w:rFonts w:ascii="Times New Roman" w:hAnsi="Times New Roman"/>
          <w:szCs w:val="28"/>
        </w:rPr>
        <w:t>(&gt; 99%). Co</w:t>
      </w:r>
      <w:r>
        <w:rPr>
          <w:rFonts w:ascii="Times New Roman" w:hAnsi="Times New Roman"/>
          <w:szCs w:val="28"/>
        </w:rPr>
        <w:t xml:space="preserve">nsistent with a self-regulating </w:t>
      </w:r>
      <w:r w:rsidRPr="00F83172">
        <w:rPr>
          <w:rFonts w:ascii="Times New Roman" w:hAnsi="Times New Roman"/>
          <w:szCs w:val="28"/>
        </w:rPr>
        <w:t xml:space="preserve">clearance mechanism, the serum concentration of </w:t>
      </w:r>
      <w:r>
        <w:rPr>
          <w:rFonts w:ascii="Times New Roman" w:hAnsi="Times New Roman"/>
          <w:szCs w:val="28"/>
        </w:rPr>
        <w:t>pegfilgrastim</w:t>
      </w:r>
      <w:r w:rsidRPr="00F83172">
        <w:rPr>
          <w:rFonts w:ascii="Times New Roman" w:hAnsi="Times New Roman"/>
          <w:szCs w:val="28"/>
        </w:rPr>
        <w:t xml:space="preserve"> declined rapidly at the onset of</w:t>
      </w:r>
      <w:r>
        <w:rPr>
          <w:rFonts w:ascii="Times New Roman" w:hAnsi="Times New Roman"/>
          <w:szCs w:val="28"/>
        </w:rPr>
        <w:t xml:space="preserve"> </w:t>
      </w:r>
      <w:r w:rsidRPr="00F83172">
        <w:rPr>
          <w:rFonts w:ascii="Times New Roman" w:hAnsi="Times New Roman"/>
          <w:szCs w:val="28"/>
        </w:rPr>
        <w:t>neutrophil recovery following myelosuppres</w:t>
      </w:r>
      <w:r>
        <w:rPr>
          <w:rFonts w:ascii="Times New Roman" w:hAnsi="Times New Roman"/>
          <w:szCs w:val="28"/>
        </w:rPr>
        <w:t>sive chemotherapy (see Figure 1)</w:t>
      </w:r>
      <w:r w:rsidRPr="00F83172">
        <w:rPr>
          <w:rFonts w:ascii="Times New Roman" w:hAnsi="Times New Roman"/>
          <w:szCs w:val="28"/>
        </w:rPr>
        <w:t>.</w:t>
      </w:r>
      <w:r w:rsidRPr="00F83172">
        <w:t xml:space="preserve"> </w:t>
      </w:r>
    </w:p>
    <w:p w14:paraId="154A7AB0" w14:textId="2F5205E6" w:rsidR="003916E0" w:rsidRDefault="00F83172" w:rsidP="00F83172">
      <w:pPr>
        <w:pStyle w:val="TableTitle"/>
        <w:ind w:left="952" w:hanging="952"/>
      </w:pPr>
      <w:r>
        <w:lastRenderedPageBreak/>
        <w:t>Figure</w:t>
      </w:r>
      <w:r w:rsidR="003916E0" w:rsidRPr="003916E0">
        <w:t xml:space="preserve"> 1: </w:t>
      </w:r>
      <w:r>
        <w:t>Median Pegfilgrastim Serum Concentration and ANC Profiles in Patients with Non-small Cell Lung Cancer (n = 3) After a Single Injection of Pegfilgrastim 100 µg/kg Administered Before and After Chemotherapy</w:t>
      </w:r>
    </w:p>
    <w:p w14:paraId="2F140D61" w14:textId="77777777" w:rsidR="00F83172" w:rsidRDefault="00F83172" w:rsidP="00F83172">
      <w:pPr>
        <w:pStyle w:val="TableTitle"/>
      </w:pPr>
    </w:p>
    <w:p w14:paraId="4CE7C359" w14:textId="742E090A" w:rsidR="00035B92" w:rsidRDefault="00F83172" w:rsidP="0087468C">
      <w:pPr>
        <w:spacing w:after="240" w:line="240" w:lineRule="auto"/>
        <w:mirrorIndents/>
        <w:rPr>
          <w:rFonts w:ascii="Times New Roman" w:hAnsi="Times New Roman"/>
          <w:b/>
          <w:szCs w:val="28"/>
        </w:rPr>
      </w:pPr>
      <w:r>
        <w:rPr>
          <w:noProof/>
          <w:lang w:eastAsia="en-AU"/>
        </w:rPr>
        <w:drawing>
          <wp:inline distT="0" distB="0" distL="0" distR="0" wp14:anchorId="251DB64D" wp14:editId="62A521FA">
            <wp:extent cx="6267450" cy="3709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766"/>
                    <a:stretch/>
                  </pic:blipFill>
                  <pic:spPr bwMode="auto">
                    <a:xfrm>
                      <a:off x="0" y="0"/>
                      <a:ext cx="6267450" cy="3709035"/>
                    </a:xfrm>
                    <a:prstGeom prst="rect">
                      <a:avLst/>
                    </a:prstGeom>
                    <a:ln>
                      <a:noFill/>
                    </a:ln>
                    <a:extLst>
                      <a:ext uri="{53640926-AAD7-44D8-BBD7-CCE9431645EC}">
                        <a14:shadowObscured xmlns:a14="http://schemas.microsoft.com/office/drawing/2010/main"/>
                      </a:ext>
                    </a:extLst>
                  </pic:spPr>
                </pic:pic>
              </a:graphicData>
            </a:graphic>
          </wp:inline>
        </w:drawing>
      </w:r>
    </w:p>
    <w:p w14:paraId="62851758" w14:textId="77777777" w:rsidR="0087468C" w:rsidRPr="0087468C" w:rsidRDefault="0087468C" w:rsidP="005674F2">
      <w:pPr>
        <w:pStyle w:val="Subheading3"/>
      </w:pPr>
      <w:r w:rsidRPr="0087468C">
        <w:t xml:space="preserve">Special Populations </w:t>
      </w:r>
    </w:p>
    <w:p w14:paraId="26DD6389" w14:textId="2808F0CA" w:rsidR="0087468C" w:rsidRPr="005674F2" w:rsidRDefault="0087468C" w:rsidP="005674F2">
      <w:pPr>
        <w:pStyle w:val="Bodyofcontents"/>
        <w:rPr>
          <w:i/>
        </w:rPr>
      </w:pPr>
      <w:r w:rsidRPr="005674F2">
        <w:rPr>
          <w:i/>
        </w:rPr>
        <w:t xml:space="preserve">Geriatric </w:t>
      </w:r>
    </w:p>
    <w:p w14:paraId="39E91FD9" w14:textId="08ED5F77" w:rsidR="005D5C82" w:rsidRDefault="00F8317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 xml:space="preserve">The pharmacokinetics of </w:t>
      </w:r>
      <w:r w:rsidR="005D5C82">
        <w:rPr>
          <w:rFonts w:ascii="Times New Roman" w:hAnsi="Times New Roman"/>
          <w:szCs w:val="28"/>
        </w:rPr>
        <w:t>pegfilgrastim</w:t>
      </w:r>
      <w:r w:rsidRPr="005D5C82">
        <w:rPr>
          <w:rFonts w:ascii="Times New Roman" w:hAnsi="Times New Roman"/>
          <w:szCs w:val="28"/>
        </w:rPr>
        <w:t xml:space="preserve"> in geriatric cancer patients</w:t>
      </w:r>
      <w:r w:rsidR="005D5C82">
        <w:rPr>
          <w:rFonts w:ascii="Times New Roman" w:hAnsi="Times New Roman"/>
          <w:szCs w:val="28"/>
        </w:rPr>
        <w:t xml:space="preserve"> </w:t>
      </w:r>
      <w:r w:rsidRPr="005D5C82">
        <w:rPr>
          <w:rFonts w:ascii="Times New Roman" w:hAnsi="Times New Roman"/>
          <w:szCs w:val="28"/>
        </w:rPr>
        <w:t>(</w:t>
      </w:r>
      <w:r w:rsidR="005D5C82" w:rsidRPr="005D5C82">
        <w:rPr>
          <w:rFonts w:ascii="Times New Roman" w:hAnsi="Times New Roman"/>
          <w:szCs w:val="28"/>
        </w:rPr>
        <w:t>≥</w:t>
      </w:r>
      <w:r w:rsidRPr="005D5C82">
        <w:rPr>
          <w:rFonts w:ascii="Times New Roman" w:hAnsi="Times New Roman"/>
          <w:szCs w:val="28"/>
        </w:rPr>
        <w:t xml:space="preserve"> 65 years of age)</w:t>
      </w:r>
      <w:r w:rsidR="005D5C82" w:rsidRPr="005D5C82">
        <w:rPr>
          <w:rFonts w:ascii="Times New Roman" w:hAnsi="Times New Roman"/>
          <w:szCs w:val="28"/>
        </w:rPr>
        <w:t xml:space="preserve"> </w:t>
      </w:r>
      <w:proofErr w:type="gramStart"/>
      <w:r w:rsidRPr="005D5C82">
        <w:rPr>
          <w:rFonts w:ascii="Times New Roman" w:hAnsi="Times New Roman"/>
          <w:szCs w:val="28"/>
        </w:rPr>
        <w:t>were</w:t>
      </w:r>
      <w:proofErr w:type="gramEnd"/>
      <w:r w:rsidRPr="005D5C82">
        <w:rPr>
          <w:rFonts w:ascii="Times New Roman" w:hAnsi="Times New Roman"/>
          <w:szCs w:val="28"/>
        </w:rPr>
        <w:t xml:space="preserve"> similar to those in younger subjects.</w:t>
      </w:r>
    </w:p>
    <w:p w14:paraId="3BD97E43" w14:textId="4C9BE30A" w:rsidR="0087468C" w:rsidRPr="005674F2" w:rsidRDefault="005D5C82" w:rsidP="00D61C42">
      <w:pPr>
        <w:autoSpaceDE w:val="0"/>
        <w:autoSpaceDN w:val="0"/>
        <w:adjustRightInd w:val="0"/>
        <w:spacing w:after="240" w:line="240" w:lineRule="auto"/>
        <w:rPr>
          <w:i/>
        </w:rPr>
      </w:pPr>
      <w:r>
        <w:rPr>
          <w:i/>
        </w:rPr>
        <w:t>Impaired H</w:t>
      </w:r>
      <w:r w:rsidR="0087468C" w:rsidRPr="005674F2">
        <w:rPr>
          <w:i/>
        </w:rPr>
        <w:t xml:space="preserve">epatic </w:t>
      </w:r>
      <w:r>
        <w:rPr>
          <w:i/>
        </w:rPr>
        <w:t>Function</w:t>
      </w:r>
      <w:r w:rsidR="0087468C" w:rsidRPr="005674F2">
        <w:rPr>
          <w:i/>
        </w:rPr>
        <w:t xml:space="preserve"> </w:t>
      </w:r>
    </w:p>
    <w:p w14:paraId="54269E3A" w14:textId="617ABEE0" w:rsidR="005D5C82" w:rsidRPr="00D61C42"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No studies have been conducted in patients with hepatic</w:t>
      </w:r>
      <w:r>
        <w:rPr>
          <w:rFonts w:ascii="Times New Roman" w:hAnsi="Times New Roman"/>
          <w:szCs w:val="28"/>
        </w:rPr>
        <w:t xml:space="preserve"> </w:t>
      </w:r>
      <w:r w:rsidRPr="005D5C82">
        <w:rPr>
          <w:rFonts w:ascii="Times New Roman" w:hAnsi="Times New Roman"/>
          <w:szCs w:val="28"/>
        </w:rPr>
        <w:t xml:space="preserve">failure; however, the pharmacokinetics of </w:t>
      </w:r>
      <w:r>
        <w:rPr>
          <w:rFonts w:ascii="Times New Roman" w:hAnsi="Times New Roman"/>
          <w:szCs w:val="28"/>
        </w:rPr>
        <w:t>pegfilgrastim</w:t>
      </w:r>
      <w:r w:rsidRPr="005D5C82">
        <w:rPr>
          <w:rFonts w:ascii="Times New Roman" w:hAnsi="Times New Roman"/>
          <w:szCs w:val="28"/>
        </w:rPr>
        <w:t xml:space="preserve"> are not expected to be affected by</w:t>
      </w:r>
      <w:r>
        <w:rPr>
          <w:rFonts w:ascii="Times New Roman" w:hAnsi="Times New Roman"/>
          <w:szCs w:val="28"/>
        </w:rPr>
        <w:t xml:space="preserve"> </w:t>
      </w:r>
      <w:r w:rsidRPr="005D5C82">
        <w:rPr>
          <w:rFonts w:ascii="Times New Roman" w:hAnsi="Times New Roman"/>
          <w:szCs w:val="28"/>
        </w:rPr>
        <w:t>impaired hepatic function.</w:t>
      </w:r>
      <w:r w:rsidRPr="00D61C42">
        <w:rPr>
          <w:rFonts w:ascii="Times New Roman" w:hAnsi="Times New Roman"/>
          <w:szCs w:val="28"/>
        </w:rPr>
        <w:t xml:space="preserve"> </w:t>
      </w:r>
    </w:p>
    <w:p w14:paraId="6754976B" w14:textId="558D74C7" w:rsidR="0087468C" w:rsidRPr="005674F2" w:rsidRDefault="005D5C82" w:rsidP="005D5C82">
      <w:pPr>
        <w:pStyle w:val="Bodyofcontents"/>
        <w:rPr>
          <w:i/>
        </w:rPr>
      </w:pPr>
      <w:r>
        <w:rPr>
          <w:i/>
        </w:rPr>
        <w:t xml:space="preserve">Impaired </w:t>
      </w:r>
      <w:r w:rsidR="0087468C" w:rsidRPr="005674F2">
        <w:rPr>
          <w:i/>
        </w:rPr>
        <w:t>Renal</w:t>
      </w:r>
      <w:r>
        <w:rPr>
          <w:i/>
        </w:rPr>
        <w:t xml:space="preserve"> Function</w:t>
      </w:r>
      <w:r w:rsidR="0087468C" w:rsidRPr="005674F2">
        <w:rPr>
          <w:i/>
        </w:rPr>
        <w:t xml:space="preserve"> </w:t>
      </w:r>
    </w:p>
    <w:p w14:paraId="3EA27FD9" w14:textId="52CD188C" w:rsidR="005D5C82" w:rsidRPr="005D5C82"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Renal impairment, including end-stage renal disease, appears to</w:t>
      </w:r>
      <w:r>
        <w:rPr>
          <w:rFonts w:ascii="Times New Roman" w:hAnsi="Times New Roman"/>
          <w:szCs w:val="28"/>
        </w:rPr>
        <w:t xml:space="preserve"> </w:t>
      </w:r>
      <w:r w:rsidRPr="005D5C82">
        <w:rPr>
          <w:rFonts w:ascii="Times New Roman" w:hAnsi="Times New Roman"/>
          <w:szCs w:val="28"/>
        </w:rPr>
        <w:t xml:space="preserve">have no effects on the pharmacokinetics of </w:t>
      </w:r>
      <w:r>
        <w:rPr>
          <w:rFonts w:ascii="Times New Roman" w:hAnsi="Times New Roman"/>
          <w:szCs w:val="28"/>
        </w:rPr>
        <w:t>pegfilgrastim</w:t>
      </w:r>
      <w:r w:rsidRPr="005D5C82">
        <w:rPr>
          <w:rFonts w:ascii="Times New Roman" w:hAnsi="Times New Roman"/>
          <w:szCs w:val="28"/>
        </w:rPr>
        <w:t xml:space="preserve">. </w:t>
      </w:r>
    </w:p>
    <w:p w14:paraId="65CC001D" w14:textId="4C310024" w:rsidR="005D5C82" w:rsidRPr="005674F2" w:rsidRDefault="005D5C82" w:rsidP="005D5C82">
      <w:pPr>
        <w:pStyle w:val="Bodyofcontents"/>
        <w:rPr>
          <w:i/>
        </w:rPr>
      </w:pPr>
      <w:r>
        <w:rPr>
          <w:i/>
        </w:rPr>
        <w:t>Paediatric</w:t>
      </w:r>
      <w:r w:rsidRPr="005674F2">
        <w:rPr>
          <w:i/>
        </w:rPr>
        <w:t xml:space="preserve"> </w:t>
      </w:r>
    </w:p>
    <w:p w14:paraId="3779FB87" w14:textId="58F1D6B7" w:rsidR="005D5C82"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 xml:space="preserve">The safety and pharmacokinetics of </w:t>
      </w:r>
      <w:r>
        <w:rPr>
          <w:rFonts w:ascii="Times New Roman" w:hAnsi="Times New Roman"/>
          <w:szCs w:val="28"/>
        </w:rPr>
        <w:t>pegfilgrastim</w:t>
      </w:r>
      <w:r w:rsidRPr="005D5C82">
        <w:rPr>
          <w:rFonts w:ascii="Times New Roman" w:hAnsi="Times New Roman"/>
          <w:szCs w:val="28"/>
        </w:rPr>
        <w:t xml:space="preserve"> were studied in 37 paediatric</w:t>
      </w:r>
      <w:r>
        <w:rPr>
          <w:rFonts w:ascii="Times New Roman" w:hAnsi="Times New Roman"/>
          <w:szCs w:val="28"/>
        </w:rPr>
        <w:t xml:space="preserve"> </w:t>
      </w:r>
      <w:r w:rsidRPr="005D5C82">
        <w:rPr>
          <w:rFonts w:ascii="Times New Roman" w:hAnsi="Times New Roman"/>
          <w:szCs w:val="28"/>
        </w:rPr>
        <w:t>patients with sarcoma. The mean (± Standard Deviation) systemic exposure (AUC</w:t>
      </w:r>
      <w:r w:rsidRPr="001A7651">
        <w:rPr>
          <w:rFonts w:ascii="Times New Roman" w:hAnsi="Times New Roman"/>
          <w:szCs w:val="28"/>
          <w:vertAlign w:val="subscript"/>
        </w:rPr>
        <w:t>0-inf</w:t>
      </w:r>
      <w:r w:rsidRPr="005D5C82">
        <w:rPr>
          <w:rFonts w:ascii="Times New Roman" w:hAnsi="Times New Roman"/>
          <w:szCs w:val="28"/>
        </w:rPr>
        <w:t>) of</w:t>
      </w:r>
      <w:r>
        <w:rPr>
          <w:rFonts w:ascii="Times New Roman" w:hAnsi="Times New Roman"/>
          <w:szCs w:val="28"/>
        </w:rPr>
        <w:t xml:space="preserve"> pegfilgrastim</w:t>
      </w:r>
      <w:r w:rsidRPr="005D5C82">
        <w:rPr>
          <w:rFonts w:ascii="Times New Roman" w:hAnsi="Times New Roman"/>
          <w:szCs w:val="28"/>
        </w:rPr>
        <w:t xml:space="preserve"> after subcutaneous administration at 100 </w:t>
      </w:r>
      <w:r>
        <w:rPr>
          <w:rFonts w:ascii="Times New Roman" w:hAnsi="Times New Roman"/>
          <w:szCs w:val="28"/>
        </w:rPr>
        <w:t>µ</w:t>
      </w:r>
      <w:r w:rsidRPr="005D5C82">
        <w:rPr>
          <w:rFonts w:ascii="Times New Roman" w:hAnsi="Times New Roman"/>
          <w:szCs w:val="28"/>
        </w:rPr>
        <w:t xml:space="preserve">g/kg was 22.0 (±13.1) </w:t>
      </w:r>
      <w:r>
        <w:rPr>
          <w:rFonts w:ascii="Times New Roman" w:hAnsi="Times New Roman"/>
          <w:szCs w:val="28"/>
        </w:rPr>
        <w:t>µ</w:t>
      </w:r>
      <w:proofErr w:type="spellStart"/>
      <w:r w:rsidRPr="005D5C82">
        <w:rPr>
          <w:rFonts w:ascii="Times New Roman" w:hAnsi="Times New Roman"/>
          <w:szCs w:val="28"/>
        </w:rPr>
        <w:t>g·hr</w:t>
      </w:r>
      <w:proofErr w:type="spellEnd"/>
      <w:r w:rsidRPr="005D5C82">
        <w:rPr>
          <w:rFonts w:ascii="Times New Roman" w:hAnsi="Times New Roman"/>
          <w:szCs w:val="28"/>
        </w:rPr>
        <w:t xml:space="preserve">/mL in the 6-11 years age group (n=10), 29.3 (±23.2) </w:t>
      </w:r>
      <w:r>
        <w:rPr>
          <w:rFonts w:ascii="Times New Roman" w:hAnsi="Times New Roman"/>
          <w:szCs w:val="28"/>
        </w:rPr>
        <w:t>µ</w:t>
      </w:r>
      <w:proofErr w:type="spellStart"/>
      <w:r w:rsidRPr="005D5C82">
        <w:rPr>
          <w:rFonts w:ascii="Times New Roman" w:hAnsi="Times New Roman"/>
          <w:szCs w:val="28"/>
        </w:rPr>
        <w:t>g·hr</w:t>
      </w:r>
      <w:proofErr w:type="spellEnd"/>
      <w:r w:rsidRPr="005D5C82">
        <w:rPr>
          <w:rFonts w:ascii="Times New Roman" w:hAnsi="Times New Roman"/>
          <w:szCs w:val="28"/>
        </w:rPr>
        <w:t>/mL in the 12-21 years age group (n=13) and</w:t>
      </w:r>
      <w:r>
        <w:rPr>
          <w:rFonts w:ascii="Times New Roman" w:hAnsi="Times New Roman"/>
          <w:szCs w:val="28"/>
        </w:rPr>
        <w:t xml:space="preserve"> </w:t>
      </w:r>
      <w:r w:rsidRPr="005D5C82">
        <w:rPr>
          <w:rFonts w:ascii="Times New Roman" w:hAnsi="Times New Roman"/>
          <w:szCs w:val="28"/>
        </w:rPr>
        <w:t xml:space="preserve">47.9 (±22.5) </w:t>
      </w:r>
      <w:r>
        <w:rPr>
          <w:rFonts w:ascii="Times New Roman" w:hAnsi="Times New Roman"/>
          <w:szCs w:val="28"/>
        </w:rPr>
        <w:t>µ</w:t>
      </w:r>
      <w:proofErr w:type="spellStart"/>
      <w:r w:rsidRPr="005D5C82">
        <w:rPr>
          <w:rFonts w:ascii="Times New Roman" w:hAnsi="Times New Roman"/>
          <w:szCs w:val="28"/>
        </w:rPr>
        <w:t>g·hr</w:t>
      </w:r>
      <w:proofErr w:type="spellEnd"/>
      <w:r w:rsidRPr="005D5C82">
        <w:rPr>
          <w:rFonts w:ascii="Times New Roman" w:hAnsi="Times New Roman"/>
          <w:szCs w:val="28"/>
        </w:rPr>
        <w:t>/mL in the youngest age group (0-5 years, n=11). The terminal elimination</w:t>
      </w:r>
      <w:r>
        <w:rPr>
          <w:rFonts w:ascii="Times New Roman" w:hAnsi="Times New Roman"/>
          <w:szCs w:val="28"/>
        </w:rPr>
        <w:t xml:space="preserve"> </w:t>
      </w:r>
      <w:r w:rsidRPr="005D5C82">
        <w:rPr>
          <w:rFonts w:ascii="Times New Roman" w:hAnsi="Times New Roman"/>
          <w:szCs w:val="28"/>
        </w:rPr>
        <w:t>half-lives of the corresponding age groups were 20.2 (±11.3) hours, 21.2 (±16.0) hours and</w:t>
      </w:r>
      <w:r>
        <w:rPr>
          <w:rFonts w:ascii="Times New Roman" w:hAnsi="Times New Roman"/>
          <w:szCs w:val="28"/>
        </w:rPr>
        <w:t xml:space="preserve"> </w:t>
      </w:r>
      <w:r w:rsidRPr="005D5C82">
        <w:rPr>
          <w:rFonts w:ascii="Times New Roman" w:hAnsi="Times New Roman"/>
          <w:szCs w:val="28"/>
        </w:rPr>
        <w:t>30.1 (±38.2) hours respectively. The most common adverse reaction was bone pain.</w:t>
      </w:r>
    </w:p>
    <w:p w14:paraId="19E100A4" w14:textId="52C14C7D" w:rsidR="002A2570" w:rsidRPr="001A7651" w:rsidRDefault="003E5C5B" w:rsidP="00D61C42">
      <w:pPr>
        <w:autoSpaceDE w:val="0"/>
        <w:autoSpaceDN w:val="0"/>
        <w:adjustRightInd w:val="0"/>
        <w:spacing w:after="240" w:line="240" w:lineRule="auto"/>
        <w:jc w:val="both"/>
        <w:rPr>
          <w:rFonts w:ascii="Times New Roman" w:hAnsi="Times New Roman"/>
          <w:szCs w:val="28"/>
          <w:u w:val="single"/>
        </w:rPr>
      </w:pPr>
      <w:r w:rsidRPr="001A7651">
        <w:rPr>
          <w:rFonts w:ascii="Times New Roman" w:hAnsi="Times New Roman"/>
          <w:szCs w:val="28"/>
          <w:u w:val="single"/>
        </w:rPr>
        <w:t>Comparability of Fulphila with Neulasta</w:t>
      </w:r>
    </w:p>
    <w:p w14:paraId="5CA03F2F" w14:textId="0EF88A1E" w:rsidR="003E5C5B" w:rsidRDefault="00A8321C" w:rsidP="00D61C42">
      <w:pPr>
        <w:autoSpaceDE w:val="0"/>
        <w:autoSpaceDN w:val="0"/>
        <w:adjustRightInd w:val="0"/>
        <w:spacing w:after="240" w:line="240" w:lineRule="auto"/>
        <w:jc w:val="both"/>
        <w:rPr>
          <w:rFonts w:ascii="Times New Roman" w:hAnsi="Times New Roman"/>
          <w:szCs w:val="28"/>
        </w:rPr>
      </w:pPr>
      <w:r>
        <w:rPr>
          <w:rFonts w:ascii="Times New Roman" w:hAnsi="Times New Roman"/>
          <w:szCs w:val="28"/>
        </w:rPr>
        <w:t xml:space="preserve">Bioequivalence was demonstrated for the primary pharmacokinetic parameters </w:t>
      </w:r>
      <w:proofErr w:type="spellStart"/>
      <w:r>
        <w:rPr>
          <w:rFonts w:ascii="Times New Roman" w:hAnsi="Times New Roman"/>
          <w:szCs w:val="28"/>
        </w:rPr>
        <w:t>C</w:t>
      </w:r>
      <w:r w:rsidRPr="001A7651">
        <w:rPr>
          <w:rFonts w:ascii="Times New Roman" w:hAnsi="Times New Roman"/>
          <w:szCs w:val="28"/>
          <w:vertAlign w:val="subscript"/>
        </w:rPr>
        <w:t>max</w:t>
      </w:r>
      <w:proofErr w:type="spellEnd"/>
      <w:r>
        <w:rPr>
          <w:rFonts w:ascii="Times New Roman" w:hAnsi="Times New Roman"/>
          <w:szCs w:val="28"/>
        </w:rPr>
        <w:t xml:space="preserve"> and AUC</w:t>
      </w:r>
      <w:r w:rsidRPr="001A7651">
        <w:rPr>
          <w:rFonts w:ascii="Times New Roman" w:hAnsi="Times New Roman"/>
          <w:szCs w:val="28"/>
          <w:vertAlign w:val="subscript"/>
        </w:rPr>
        <w:t>0-inf</w:t>
      </w:r>
      <w:r>
        <w:rPr>
          <w:rFonts w:ascii="Times New Roman" w:hAnsi="Times New Roman"/>
          <w:szCs w:val="28"/>
        </w:rPr>
        <w:t xml:space="preserve"> of PEG-GCSF when comparing Fulphila with Neulasta.</w:t>
      </w:r>
    </w:p>
    <w:p w14:paraId="07F19176" w14:textId="72DDAA82" w:rsidR="00A8321C" w:rsidRPr="00D61C42" w:rsidRDefault="00A8321C" w:rsidP="00D61C42">
      <w:pPr>
        <w:autoSpaceDE w:val="0"/>
        <w:autoSpaceDN w:val="0"/>
        <w:adjustRightInd w:val="0"/>
        <w:spacing w:after="240" w:line="240" w:lineRule="auto"/>
        <w:jc w:val="both"/>
        <w:rPr>
          <w:rFonts w:ascii="Times New Roman" w:hAnsi="Times New Roman"/>
          <w:szCs w:val="28"/>
        </w:rPr>
      </w:pPr>
      <w:r>
        <w:rPr>
          <w:rFonts w:ascii="Times New Roman" w:hAnsi="Times New Roman"/>
          <w:szCs w:val="28"/>
        </w:rPr>
        <w:lastRenderedPageBreak/>
        <w:t>The secondary pharmacokinetic parameters AUC</w:t>
      </w:r>
      <w:r w:rsidRPr="001A7651">
        <w:rPr>
          <w:rFonts w:ascii="Times New Roman" w:hAnsi="Times New Roman"/>
          <w:szCs w:val="28"/>
          <w:vertAlign w:val="subscript"/>
        </w:rPr>
        <w:t>0-t</w:t>
      </w:r>
      <w:r>
        <w:rPr>
          <w:rFonts w:ascii="Times New Roman" w:hAnsi="Times New Roman"/>
          <w:szCs w:val="28"/>
        </w:rPr>
        <w:t xml:space="preserve">, </w:t>
      </w:r>
      <w:proofErr w:type="spellStart"/>
      <w:r>
        <w:rPr>
          <w:rFonts w:ascii="Times New Roman" w:hAnsi="Times New Roman"/>
          <w:szCs w:val="28"/>
        </w:rPr>
        <w:t>T</w:t>
      </w:r>
      <w:r w:rsidRPr="001A7651">
        <w:rPr>
          <w:rFonts w:ascii="Times New Roman" w:hAnsi="Times New Roman"/>
          <w:szCs w:val="28"/>
          <w:vertAlign w:val="subscript"/>
        </w:rPr>
        <w:t>max</w:t>
      </w:r>
      <w:proofErr w:type="spellEnd"/>
      <w:r>
        <w:rPr>
          <w:rFonts w:ascii="Times New Roman" w:hAnsi="Times New Roman"/>
          <w:szCs w:val="28"/>
        </w:rPr>
        <w:t xml:space="preserve">, </w:t>
      </w:r>
      <w:proofErr w:type="spellStart"/>
      <w:r>
        <w:rPr>
          <w:rFonts w:ascii="Times New Roman" w:hAnsi="Times New Roman"/>
          <w:szCs w:val="28"/>
        </w:rPr>
        <w:t>k</w:t>
      </w:r>
      <w:r w:rsidRPr="001A7651">
        <w:rPr>
          <w:rFonts w:ascii="Times New Roman" w:hAnsi="Times New Roman"/>
          <w:szCs w:val="28"/>
          <w:vertAlign w:val="subscript"/>
        </w:rPr>
        <w:t>el</w:t>
      </w:r>
      <w:proofErr w:type="spellEnd"/>
      <w:r>
        <w:rPr>
          <w:rFonts w:ascii="Times New Roman" w:hAnsi="Times New Roman"/>
          <w:szCs w:val="28"/>
        </w:rPr>
        <w:t xml:space="preserve">, </w:t>
      </w:r>
      <w:proofErr w:type="spellStart"/>
      <w:r>
        <w:rPr>
          <w:rFonts w:ascii="Times New Roman" w:hAnsi="Times New Roman"/>
          <w:szCs w:val="28"/>
        </w:rPr>
        <w:t>V</w:t>
      </w:r>
      <w:r w:rsidRPr="001A7651">
        <w:rPr>
          <w:rFonts w:ascii="Times New Roman" w:hAnsi="Times New Roman"/>
          <w:szCs w:val="28"/>
          <w:vertAlign w:val="subscript"/>
        </w:rPr>
        <w:t>d</w:t>
      </w:r>
      <w:proofErr w:type="spellEnd"/>
      <w:r>
        <w:rPr>
          <w:rFonts w:ascii="Times New Roman" w:hAnsi="Times New Roman"/>
          <w:szCs w:val="28"/>
        </w:rPr>
        <w:t>/F and t</w:t>
      </w:r>
      <w:r w:rsidRPr="001A7651">
        <w:rPr>
          <w:rFonts w:ascii="Times New Roman" w:hAnsi="Times New Roman"/>
          <w:szCs w:val="28"/>
          <w:vertAlign w:val="subscript"/>
        </w:rPr>
        <w:t>1/2</w:t>
      </w:r>
      <w:r>
        <w:rPr>
          <w:rFonts w:ascii="Times New Roman" w:hAnsi="Times New Roman"/>
          <w:szCs w:val="28"/>
        </w:rPr>
        <w:t xml:space="preserve"> of PEG-GCSF </w:t>
      </w:r>
      <w:r w:rsidRPr="001A7651">
        <w:rPr>
          <w:rFonts w:ascii="Times New Roman" w:hAnsi="Times New Roman"/>
          <w:szCs w:val="28"/>
        </w:rPr>
        <w:t>were similar between Fulphila and Neulasta.</w:t>
      </w:r>
    </w:p>
    <w:p w14:paraId="49F135A5" w14:textId="7DCF6086" w:rsidR="003E5C5B" w:rsidRPr="003E5C5B" w:rsidRDefault="00C64762" w:rsidP="003E5C5B">
      <w:pPr>
        <w:pStyle w:val="SubjectHeading"/>
      </w:pPr>
      <w:r w:rsidRPr="00C64762">
        <w:t>CLINICAL TRIALS</w:t>
      </w:r>
    </w:p>
    <w:p w14:paraId="297BF7DF" w14:textId="77777777" w:rsidR="003E5C5B" w:rsidRPr="001A7651" w:rsidRDefault="003E5C5B" w:rsidP="00D61C42">
      <w:pPr>
        <w:autoSpaceDE w:val="0"/>
        <w:autoSpaceDN w:val="0"/>
        <w:adjustRightInd w:val="0"/>
        <w:spacing w:after="240" w:line="240" w:lineRule="auto"/>
        <w:jc w:val="both"/>
        <w:rPr>
          <w:rFonts w:ascii="Arial" w:hAnsi="Arial" w:cs="Arial"/>
          <w:b/>
          <w:szCs w:val="28"/>
        </w:rPr>
      </w:pPr>
      <w:r w:rsidRPr="001A7651">
        <w:rPr>
          <w:rFonts w:ascii="Arial" w:hAnsi="Arial" w:cs="Arial"/>
          <w:b/>
          <w:szCs w:val="28"/>
        </w:rPr>
        <w:t>Clinical Trials with Neulasta</w:t>
      </w:r>
    </w:p>
    <w:p w14:paraId="60A9EE0F" w14:textId="305AE124" w:rsidR="005D5C82"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Three pivotal, randomised, double-blind clinical studies have been conducted in patients with</w:t>
      </w:r>
      <w:r>
        <w:rPr>
          <w:rFonts w:ascii="Times New Roman" w:hAnsi="Times New Roman"/>
          <w:szCs w:val="28"/>
        </w:rPr>
        <w:t xml:space="preserve"> </w:t>
      </w:r>
      <w:r w:rsidRPr="005D5C82">
        <w:rPr>
          <w:rFonts w:ascii="Times New Roman" w:hAnsi="Times New Roman"/>
          <w:szCs w:val="28"/>
        </w:rPr>
        <w:t>solid tumours receiving a variety of chemotherapy regimens. Pegfilgrastim administered 24</w:t>
      </w:r>
      <w:r>
        <w:rPr>
          <w:rFonts w:ascii="Times New Roman" w:hAnsi="Times New Roman"/>
          <w:szCs w:val="28"/>
        </w:rPr>
        <w:t xml:space="preserve"> </w:t>
      </w:r>
      <w:r w:rsidRPr="005D5C82">
        <w:rPr>
          <w:rFonts w:ascii="Times New Roman" w:hAnsi="Times New Roman"/>
          <w:szCs w:val="28"/>
        </w:rPr>
        <w:t>hours after chemotherapy in the first cycle and all subsequent cycles of chemotherapy has</w:t>
      </w:r>
      <w:r>
        <w:rPr>
          <w:rFonts w:ascii="Times New Roman" w:hAnsi="Times New Roman"/>
          <w:szCs w:val="28"/>
        </w:rPr>
        <w:t xml:space="preserve"> </w:t>
      </w:r>
      <w:r w:rsidRPr="005D5C82">
        <w:rPr>
          <w:rFonts w:ascii="Times New Roman" w:hAnsi="Times New Roman"/>
          <w:szCs w:val="28"/>
        </w:rPr>
        <w:t>been shown to be safe and effective in reducing neutropenia and associated clinical</w:t>
      </w:r>
      <w:r>
        <w:rPr>
          <w:rFonts w:ascii="Times New Roman" w:hAnsi="Times New Roman"/>
          <w:szCs w:val="28"/>
        </w:rPr>
        <w:t xml:space="preserve"> </w:t>
      </w:r>
      <w:r w:rsidRPr="005D5C82">
        <w:rPr>
          <w:rFonts w:ascii="Times New Roman" w:hAnsi="Times New Roman"/>
          <w:szCs w:val="28"/>
        </w:rPr>
        <w:t>sequelae.</w:t>
      </w:r>
    </w:p>
    <w:p w14:paraId="2A4F5A39" w14:textId="7353F3BA" w:rsidR="005D5C82"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 xml:space="preserve">Studies 1 and 2 met the primary objective of demonstrating that the </w:t>
      </w:r>
      <w:r>
        <w:rPr>
          <w:rFonts w:ascii="Times New Roman" w:hAnsi="Times New Roman"/>
          <w:szCs w:val="28"/>
        </w:rPr>
        <w:t xml:space="preserve">mean days of severe </w:t>
      </w:r>
      <w:r w:rsidRPr="005D5C82">
        <w:rPr>
          <w:rFonts w:ascii="Times New Roman" w:hAnsi="Times New Roman"/>
          <w:szCs w:val="28"/>
        </w:rPr>
        <w:t xml:space="preserve">neutropenia of </w:t>
      </w:r>
      <w:r>
        <w:rPr>
          <w:rFonts w:ascii="Times New Roman" w:hAnsi="Times New Roman"/>
          <w:szCs w:val="28"/>
        </w:rPr>
        <w:t>pegfilgrastim</w:t>
      </w:r>
      <w:r w:rsidRPr="005D5C82">
        <w:rPr>
          <w:rFonts w:ascii="Times New Roman" w:hAnsi="Times New Roman"/>
          <w:szCs w:val="28"/>
        </w:rPr>
        <w:t xml:space="preserve">-treated patients (absolute neutrophil count [ANC] &lt; </w:t>
      </w:r>
      <w:r>
        <w:rPr>
          <w:rFonts w:ascii="Times New Roman" w:hAnsi="Times New Roman"/>
          <w:szCs w:val="28"/>
        </w:rPr>
        <w:t>0.5 x 1</w:t>
      </w:r>
      <w:r w:rsidRPr="005D5C82">
        <w:rPr>
          <w:rFonts w:ascii="Times New Roman" w:hAnsi="Times New Roman"/>
          <w:szCs w:val="28"/>
        </w:rPr>
        <w:t>0</w:t>
      </w:r>
      <w:r w:rsidRPr="005D5C82">
        <w:rPr>
          <w:rFonts w:ascii="Times New Roman" w:hAnsi="Times New Roman"/>
          <w:szCs w:val="28"/>
          <w:vertAlign w:val="superscript"/>
        </w:rPr>
        <w:t>9</w:t>
      </w:r>
      <w:r w:rsidRPr="005D5C82">
        <w:rPr>
          <w:rFonts w:ascii="Times New Roman" w:hAnsi="Times New Roman"/>
          <w:szCs w:val="28"/>
        </w:rPr>
        <w:t>/L) did</w:t>
      </w:r>
      <w:r>
        <w:rPr>
          <w:rFonts w:ascii="Times New Roman" w:hAnsi="Times New Roman"/>
          <w:szCs w:val="28"/>
        </w:rPr>
        <w:t xml:space="preserve"> </w:t>
      </w:r>
      <w:r w:rsidRPr="005D5C82">
        <w:rPr>
          <w:rFonts w:ascii="Times New Roman" w:hAnsi="Times New Roman"/>
          <w:szCs w:val="28"/>
        </w:rPr>
        <w:t>not exceed that of filgrastim-treated patients by more than one day in cycle 1 of</w:t>
      </w:r>
      <w:r>
        <w:rPr>
          <w:rFonts w:ascii="Times New Roman" w:hAnsi="Times New Roman"/>
          <w:szCs w:val="28"/>
        </w:rPr>
        <w:t xml:space="preserve"> </w:t>
      </w:r>
      <w:r w:rsidRPr="005D5C82">
        <w:rPr>
          <w:rFonts w:ascii="Times New Roman" w:hAnsi="Times New Roman"/>
          <w:szCs w:val="28"/>
        </w:rPr>
        <w:t>chemotherapy.</w:t>
      </w:r>
    </w:p>
    <w:p w14:paraId="768A0E28" w14:textId="5AAC7E45" w:rsidR="00DA6C16" w:rsidRDefault="005D5C82" w:rsidP="00D61C42">
      <w:pPr>
        <w:autoSpaceDE w:val="0"/>
        <w:autoSpaceDN w:val="0"/>
        <w:adjustRightInd w:val="0"/>
        <w:spacing w:after="240" w:line="240" w:lineRule="auto"/>
        <w:jc w:val="both"/>
        <w:rPr>
          <w:rFonts w:ascii="Times New Roman" w:hAnsi="Times New Roman"/>
          <w:szCs w:val="28"/>
        </w:rPr>
      </w:pPr>
      <w:r w:rsidRPr="005D5C82">
        <w:rPr>
          <w:rFonts w:ascii="Times New Roman" w:hAnsi="Times New Roman"/>
          <w:szCs w:val="28"/>
        </w:rPr>
        <w:t>Results from Study 1, a randomised, double-blind study co</w:t>
      </w:r>
      <w:r>
        <w:rPr>
          <w:rFonts w:ascii="Times New Roman" w:hAnsi="Times New Roman"/>
          <w:szCs w:val="28"/>
        </w:rPr>
        <w:t xml:space="preserve">nducted in patients with breast </w:t>
      </w:r>
      <w:r w:rsidRPr="005D5C82">
        <w:rPr>
          <w:rFonts w:ascii="Times New Roman" w:hAnsi="Times New Roman"/>
          <w:szCs w:val="28"/>
        </w:rPr>
        <w:t>cancer (n = 155) undergoing 4 cycles of the highly myelosuppressive chemotherapy regimen</w:t>
      </w:r>
      <w:r>
        <w:rPr>
          <w:rFonts w:ascii="Times New Roman" w:hAnsi="Times New Roman"/>
          <w:szCs w:val="28"/>
        </w:rPr>
        <w:t xml:space="preserve"> </w:t>
      </w:r>
      <w:r w:rsidRPr="005D5C82">
        <w:rPr>
          <w:rFonts w:ascii="Times New Roman" w:hAnsi="Times New Roman"/>
          <w:szCs w:val="28"/>
        </w:rPr>
        <w:t>doxorubicin and docetaxel (AT</w:t>
      </w:r>
      <w:r>
        <w:rPr>
          <w:rFonts w:ascii="Times New Roman" w:hAnsi="Times New Roman"/>
          <w:szCs w:val="28"/>
        </w:rPr>
        <w:t>)</w:t>
      </w:r>
      <w:r w:rsidRPr="005D5C82">
        <w:rPr>
          <w:rFonts w:ascii="Times New Roman" w:hAnsi="Times New Roman"/>
          <w:szCs w:val="28"/>
        </w:rPr>
        <w:t>, demonstrated a clinically and statistically similar reduction in</w:t>
      </w:r>
      <w:r>
        <w:rPr>
          <w:rFonts w:ascii="Times New Roman" w:hAnsi="Times New Roman"/>
          <w:szCs w:val="28"/>
        </w:rPr>
        <w:t xml:space="preserve"> </w:t>
      </w:r>
      <w:r w:rsidRPr="005D5C82">
        <w:rPr>
          <w:rFonts w:ascii="Times New Roman" w:hAnsi="Times New Roman"/>
          <w:szCs w:val="28"/>
        </w:rPr>
        <w:t xml:space="preserve">the duration of severe neutropenia (ANC &lt; </w:t>
      </w:r>
      <w:r>
        <w:rPr>
          <w:rFonts w:ascii="Times New Roman" w:hAnsi="Times New Roman"/>
          <w:szCs w:val="28"/>
        </w:rPr>
        <w:t>0.5 x 1</w:t>
      </w:r>
      <w:r w:rsidRPr="005D5C82">
        <w:rPr>
          <w:rFonts w:ascii="Times New Roman" w:hAnsi="Times New Roman"/>
          <w:szCs w:val="28"/>
        </w:rPr>
        <w:t>0</w:t>
      </w:r>
      <w:r w:rsidRPr="005D5C82">
        <w:rPr>
          <w:rFonts w:ascii="Times New Roman" w:hAnsi="Times New Roman"/>
          <w:szCs w:val="28"/>
          <w:vertAlign w:val="superscript"/>
        </w:rPr>
        <w:t>9</w:t>
      </w:r>
      <w:r w:rsidRPr="005D5C82">
        <w:rPr>
          <w:rFonts w:ascii="Times New Roman" w:hAnsi="Times New Roman"/>
          <w:szCs w:val="28"/>
        </w:rPr>
        <w:t>/L) in cycle 1 in patients who received</w:t>
      </w:r>
      <w:r>
        <w:rPr>
          <w:rFonts w:ascii="Times New Roman" w:hAnsi="Times New Roman"/>
          <w:szCs w:val="28"/>
        </w:rPr>
        <w:t xml:space="preserve"> pegfilgrastim</w:t>
      </w:r>
      <w:r w:rsidRPr="005D5C82">
        <w:rPr>
          <w:rFonts w:ascii="Times New Roman" w:hAnsi="Times New Roman"/>
          <w:szCs w:val="28"/>
        </w:rPr>
        <w:t xml:space="preserve"> as a fixed dose of 6 mg compared with patients who received a mean of 11 daily</w:t>
      </w:r>
      <w:r>
        <w:rPr>
          <w:rFonts w:ascii="Times New Roman" w:hAnsi="Times New Roman"/>
          <w:szCs w:val="28"/>
        </w:rPr>
        <w:t xml:space="preserve"> </w:t>
      </w:r>
      <w:r w:rsidRPr="005D5C82">
        <w:rPr>
          <w:rFonts w:ascii="Times New Roman" w:hAnsi="Times New Roman"/>
          <w:szCs w:val="28"/>
        </w:rPr>
        <w:t xml:space="preserve">injections of filgrastim 5 </w:t>
      </w:r>
      <w:r>
        <w:rPr>
          <w:rFonts w:ascii="Times New Roman" w:hAnsi="Times New Roman"/>
          <w:szCs w:val="28"/>
        </w:rPr>
        <w:t>µ</w:t>
      </w:r>
      <w:r w:rsidRPr="005D5C82">
        <w:rPr>
          <w:rFonts w:ascii="Times New Roman" w:hAnsi="Times New Roman"/>
          <w:szCs w:val="28"/>
        </w:rPr>
        <w:t>g/kg/day (see Table 1). Durations of severe neutropenia were also</w:t>
      </w:r>
      <w:r>
        <w:rPr>
          <w:rFonts w:ascii="Times New Roman" w:hAnsi="Times New Roman"/>
          <w:szCs w:val="28"/>
        </w:rPr>
        <w:t xml:space="preserve"> </w:t>
      </w:r>
      <w:r w:rsidRPr="005D5C82">
        <w:rPr>
          <w:rFonts w:ascii="Times New Roman" w:hAnsi="Times New Roman"/>
          <w:szCs w:val="28"/>
        </w:rPr>
        <w:t>comparable between treatment groups in all subsequent cycles. There was no significant</w:t>
      </w:r>
      <w:r>
        <w:rPr>
          <w:rFonts w:ascii="Times New Roman" w:hAnsi="Times New Roman"/>
          <w:szCs w:val="28"/>
        </w:rPr>
        <w:t xml:space="preserve"> </w:t>
      </w:r>
      <w:r w:rsidRPr="005D5C82">
        <w:rPr>
          <w:rFonts w:ascii="Times New Roman" w:hAnsi="Times New Roman"/>
          <w:szCs w:val="28"/>
        </w:rPr>
        <w:t>difference in the incidence of febrile neutropenia between the groups in Study 1.</w:t>
      </w:r>
    </w:p>
    <w:p w14:paraId="32579887" w14:textId="43A25216" w:rsidR="003B01E0" w:rsidRDefault="003B01E0" w:rsidP="00D61C42">
      <w:pPr>
        <w:pStyle w:val="TableTitle"/>
        <w:spacing w:after="240"/>
        <w:ind w:left="851" w:hanging="851"/>
      </w:pPr>
      <w:r w:rsidRPr="003B01E0">
        <w:t xml:space="preserve">Table </w:t>
      </w:r>
      <w:r w:rsidR="005D5C82">
        <w:t>1</w:t>
      </w:r>
      <w:r w:rsidRPr="003B01E0">
        <w:t>: C</w:t>
      </w:r>
      <w:r w:rsidR="005D5C82">
        <w:t xml:space="preserve">ycle 1 Duration of Severe Neutropenia and Study Incidence of Febrile Neutropenia and Infection is Pegfilgrastim Pivotal Trials </w:t>
      </w:r>
    </w:p>
    <w:tbl>
      <w:tblPr>
        <w:tblStyle w:val="TableGrid"/>
        <w:tblW w:w="0" w:type="auto"/>
        <w:tblLook w:val="04A0" w:firstRow="1" w:lastRow="0" w:firstColumn="1" w:lastColumn="0" w:noHBand="0" w:noVBand="1"/>
      </w:tblPr>
      <w:tblGrid>
        <w:gridCol w:w="2405"/>
        <w:gridCol w:w="1539"/>
        <w:gridCol w:w="1972"/>
        <w:gridCol w:w="1972"/>
        <w:gridCol w:w="1972"/>
      </w:tblGrid>
      <w:tr w:rsidR="00DB7CDB" w14:paraId="353DB174" w14:textId="77777777" w:rsidTr="00DB7CDB">
        <w:tc>
          <w:tcPr>
            <w:tcW w:w="2405" w:type="dxa"/>
            <w:vMerge w:val="restart"/>
            <w:vAlign w:val="center"/>
          </w:tcPr>
          <w:p w14:paraId="3F6349CA" w14:textId="0CEC7FFA" w:rsidR="00DB7CDB" w:rsidRDefault="00DB7CDB" w:rsidP="00DB7CDB">
            <w:pPr>
              <w:pStyle w:val="TableTitle"/>
              <w:spacing w:before="60" w:after="60"/>
              <w:jc w:val="center"/>
            </w:pPr>
            <w:r>
              <w:t>Endpoint</w:t>
            </w:r>
          </w:p>
        </w:tc>
        <w:tc>
          <w:tcPr>
            <w:tcW w:w="3511" w:type="dxa"/>
            <w:gridSpan w:val="2"/>
            <w:vAlign w:val="center"/>
          </w:tcPr>
          <w:p w14:paraId="6852BA77" w14:textId="2D79F3B9" w:rsidR="00DB7CDB" w:rsidRDefault="00DB7CDB" w:rsidP="00DB7CDB">
            <w:pPr>
              <w:pStyle w:val="TableTitle"/>
              <w:spacing w:before="60" w:after="60"/>
              <w:jc w:val="center"/>
            </w:pPr>
            <w:r>
              <w:t>Study 1: 6 mg</w:t>
            </w:r>
          </w:p>
        </w:tc>
        <w:tc>
          <w:tcPr>
            <w:tcW w:w="3944" w:type="dxa"/>
            <w:gridSpan w:val="2"/>
            <w:vAlign w:val="center"/>
          </w:tcPr>
          <w:p w14:paraId="479188E6" w14:textId="67614F42" w:rsidR="00DB7CDB" w:rsidRDefault="00DB7CDB" w:rsidP="00DB7CDB">
            <w:pPr>
              <w:pStyle w:val="TableTitle"/>
              <w:spacing w:before="60" w:after="60"/>
              <w:jc w:val="center"/>
            </w:pPr>
            <w:r>
              <w:t>Study 2: 100 µg/kg</w:t>
            </w:r>
          </w:p>
        </w:tc>
      </w:tr>
      <w:tr w:rsidR="00DB7CDB" w14:paraId="5C5DA2BC" w14:textId="77777777" w:rsidTr="00DB7CDB">
        <w:tc>
          <w:tcPr>
            <w:tcW w:w="2405" w:type="dxa"/>
            <w:vMerge/>
            <w:vAlign w:val="center"/>
          </w:tcPr>
          <w:p w14:paraId="1ACD7713" w14:textId="77777777" w:rsidR="00DB7CDB" w:rsidRDefault="00DB7CDB" w:rsidP="00DB7CDB">
            <w:pPr>
              <w:pStyle w:val="TableTitle"/>
              <w:spacing w:before="60" w:after="60"/>
              <w:jc w:val="center"/>
            </w:pPr>
          </w:p>
        </w:tc>
        <w:tc>
          <w:tcPr>
            <w:tcW w:w="1539" w:type="dxa"/>
            <w:vAlign w:val="center"/>
          </w:tcPr>
          <w:p w14:paraId="07B0DC73" w14:textId="77777777" w:rsidR="00DB7CDB" w:rsidRDefault="00DB7CDB" w:rsidP="00DB7CDB">
            <w:pPr>
              <w:pStyle w:val="TableTitle"/>
              <w:spacing w:before="60" w:after="60"/>
              <w:jc w:val="center"/>
            </w:pPr>
            <w:r>
              <w:t>Pegfilgrastim</w:t>
            </w:r>
          </w:p>
          <w:p w14:paraId="595A8D1B" w14:textId="77777777" w:rsidR="00DB7CDB" w:rsidRDefault="00DB7CDB" w:rsidP="00DB7CDB">
            <w:pPr>
              <w:pStyle w:val="TableTitle"/>
              <w:spacing w:before="60" w:after="60"/>
              <w:jc w:val="center"/>
            </w:pPr>
            <w:r>
              <w:t>n = 68 PP</w:t>
            </w:r>
          </w:p>
          <w:p w14:paraId="29082601" w14:textId="77777777" w:rsidR="00DB7CDB" w:rsidRDefault="00DB7CDB" w:rsidP="00DB7CDB">
            <w:pPr>
              <w:pStyle w:val="TableTitle"/>
              <w:spacing w:before="60" w:after="60"/>
              <w:jc w:val="center"/>
            </w:pPr>
            <w:r>
              <w:t>n = 77</w:t>
            </w:r>
          </w:p>
          <w:p w14:paraId="575DD5C3" w14:textId="6CD52807" w:rsidR="00DB7CDB" w:rsidRDefault="00DB7CDB" w:rsidP="00DB7CDB">
            <w:pPr>
              <w:pStyle w:val="TableTitle"/>
              <w:spacing w:before="60" w:after="60"/>
              <w:jc w:val="center"/>
            </w:pPr>
            <w:r>
              <w:t>mod ITT</w:t>
            </w:r>
          </w:p>
        </w:tc>
        <w:tc>
          <w:tcPr>
            <w:tcW w:w="1972" w:type="dxa"/>
            <w:vAlign w:val="center"/>
          </w:tcPr>
          <w:p w14:paraId="6B3ED442" w14:textId="6D517926" w:rsidR="00DB7CDB" w:rsidRDefault="00DB7CDB" w:rsidP="00DB7CDB">
            <w:pPr>
              <w:pStyle w:val="TableTitle"/>
              <w:spacing w:before="60" w:after="60"/>
              <w:jc w:val="center"/>
            </w:pPr>
            <w:r>
              <w:t>Filgrastim</w:t>
            </w:r>
          </w:p>
          <w:p w14:paraId="6461D046" w14:textId="7888555E" w:rsidR="00DB7CDB" w:rsidRDefault="00DB7CDB" w:rsidP="00DB7CDB">
            <w:pPr>
              <w:pStyle w:val="TableTitle"/>
              <w:spacing w:before="60" w:after="60"/>
              <w:jc w:val="center"/>
            </w:pPr>
            <w:r>
              <w:t>n = 62 PP</w:t>
            </w:r>
          </w:p>
          <w:p w14:paraId="178007A4" w14:textId="2E4EA607" w:rsidR="00DB7CDB" w:rsidRDefault="00DB7CDB" w:rsidP="00DB7CDB">
            <w:pPr>
              <w:pStyle w:val="TableTitle"/>
              <w:spacing w:before="60" w:after="60"/>
              <w:jc w:val="center"/>
            </w:pPr>
            <w:r>
              <w:t>n = 75</w:t>
            </w:r>
          </w:p>
          <w:p w14:paraId="45DE8D14" w14:textId="25B1DBDF" w:rsidR="00DB7CDB" w:rsidRDefault="00DB7CDB" w:rsidP="00DB7CDB">
            <w:pPr>
              <w:pStyle w:val="TableTitle"/>
              <w:spacing w:before="60" w:after="60"/>
              <w:jc w:val="center"/>
            </w:pPr>
            <w:r>
              <w:t>mod ITT</w:t>
            </w:r>
          </w:p>
        </w:tc>
        <w:tc>
          <w:tcPr>
            <w:tcW w:w="1972" w:type="dxa"/>
            <w:vAlign w:val="center"/>
          </w:tcPr>
          <w:p w14:paraId="334CC3D1" w14:textId="77777777" w:rsidR="00DB7CDB" w:rsidRDefault="00DB7CDB" w:rsidP="00DB7CDB">
            <w:pPr>
              <w:pStyle w:val="TableTitle"/>
              <w:spacing w:before="60" w:after="60"/>
              <w:jc w:val="center"/>
            </w:pPr>
            <w:r>
              <w:t>Pegfilgrastim</w:t>
            </w:r>
          </w:p>
          <w:p w14:paraId="2300FF8C" w14:textId="5C2EDA69" w:rsidR="00DB7CDB" w:rsidRDefault="00DB7CDB" w:rsidP="00DB7CDB">
            <w:pPr>
              <w:pStyle w:val="TableTitle"/>
              <w:spacing w:before="60" w:after="60"/>
              <w:jc w:val="center"/>
            </w:pPr>
            <w:r>
              <w:t>n = 131 PP</w:t>
            </w:r>
          </w:p>
          <w:p w14:paraId="7858506F" w14:textId="29CA1A05" w:rsidR="00DB7CDB" w:rsidRDefault="00DB7CDB" w:rsidP="00DB7CDB">
            <w:pPr>
              <w:pStyle w:val="TableTitle"/>
              <w:spacing w:before="60" w:after="60"/>
              <w:jc w:val="center"/>
            </w:pPr>
            <w:r>
              <w:t>n = 149</w:t>
            </w:r>
          </w:p>
          <w:p w14:paraId="05D7200C" w14:textId="6F12A377" w:rsidR="00DB7CDB" w:rsidRDefault="00DB7CDB" w:rsidP="00DB7CDB">
            <w:pPr>
              <w:pStyle w:val="TableTitle"/>
              <w:spacing w:before="60" w:after="60"/>
              <w:jc w:val="center"/>
            </w:pPr>
            <w:r>
              <w:t>mod ITT</w:t>
            </w:r>
          </w:p>
        </w:tc>
        <w:tc>
          <w:tcPr>
            <w:tcW w:w="1972" w:type="dxa"/>
            <w:vAlign w:val="center"/>
          </w:tcPr>
          <w:p w14:paraId="3915F0DC" w14:textId="77777777" w:rsidR="00DB7CDB" w:rsidRDefault="00DB7CDB" w:rsidP="00DB7CDB">
            <w:pPr>
              <w:pStyle w:val="TableTitle"/>
              <w:spacing w:before="60" w:after="60"/>
              <w:jc w:val="center"/>
            </w:pPr>
            <w:r>
              <w:t>Pegfilgrastim</w:t>
            </w:r>
          </w:p>
          <w:p w14:paraId="19C5FFAA" w14:textId="20E3095D" w:rsidR="00DB7CDB" w:rsidRDefault="00DB7CDB" w:rsidP="00DB7CDB">
            <w:pPr>
              <w:pStyle w:val="TableTitle"/>
              <w:spacing w:before="60" w:after="60"/>
              <w:jc w:val="center"/>
            </w:pPr>
            <w:r>
              <w:t>n = 129 PP</w:t>
            </w:r>
          </w:p>
          <w:p w14:paraId="5BEDEB22" w14:textId="13359D78" w:rsidR="00DB7CDB" w:rsidRDefault="00DB7CDB" w:rsidP="00DB7CDB">
            <w:pPr>
              <w:pStyle w:val="TableTitle"/>
              <w:spacing w:before="60" w:after="60"/>
              <w:jc w:val="center"/>
            </w:pPr>
            <w:r>
              <w:t>n = 147</w:t>
            </w:r>
          </w:p>
          <w:p w14:paraId="28F50F6D" w14:textId="5162510A" w:rsidR="00DB7CDB" w:rsidRDefault="00DB7CDB" w:rsidP="00DB7CDB">
            <w:pPr>
              <w:pStyle w:val="TableTitle"/>
              <w:spacing w:before="60" w:after="60"/>
              <w:jc w:val="center"/>
            </w:pPr>
            <w:r>
              <w:t>mod ITT</w:t>
            </w:r>
          </w:p>
        </w:tc>
      </w:tr>
      <w:tr w:rsidR="00DB7CDB" w14:paraId="5578C5AC" w14:textId="77777777" w:rsidTr="00DB7CDB">
        <w:tc>
          <w:tcPr>
            <w:tcW w:w="2405" w:type="dxa"/>
            <w:vAlign w:val="center"/>
          </w:tcPr>
          <w:p w14:paraId="0F38F3D8" w14:textId="7A7A5A96" w:rsidR="00DB7CDB" w:rsidRDefault="00DB7CDB" w:rsidP="00DB7CDB">
            <w:pPr>
              <w:pStyle w:val="TableTitle"/>
              <w:spacing w:before="60" w:after="60"/>
              <w:jc w:val="center"/>
            </w:pPr>
            <w:r>
              <w:t>Mean days of severe neutropenia cycle 1</w:t>
            </w:r>
          </w:p>
        </w:tc>
        <w:tc>
          <w:tcPr>
            <w:tcW w:w="1539" w:type="dxa"/>
            <w:vAlign w:val="center"/>
          </w:tcPr>
          <w:p w14:paraId="16EF6E60" w14:textId="6B492C62" w:rsidR="00DB7CDB" w:rsidRPr="00DB7CDB" w:rsidRDefault="00DB7CDB" w:rsidP="00DB7CDB">
            <w:pPr>
              <w:pStyle w:val="TableTitle"/>
              <w:spacing w:before="60" w:after="60"/>
              <w:jc w:val="center"/>
              <w:rPr>
                <w:b w:val="0"/>
              </w:rPr>
            </w:pPr>
            <w:r w:rsidRPr="00DB7CDB">
              <w:rPr>
                <w:b w:val="0"/>
              </w:rPr>
              <w:t>1.8</w:t>
            </w:r>
          </w:p>
        </w:tc>
        <w:tc>
          <w:tcPr>
            <w:tcW w:w="1972" w:type="dxa"/>
            <w:vAlign w:val="center"/>
          </w:tcPr>
          <w:p w14:paraId="7A6A2898" w14:textId="7138AA4D" w:rsidR="00DB7CDB" w:rsidRPr="00DB7CDB" w:rsidRDefault="00DB7CDB" w:rsidP="00DB7CDB">
            <w:pPr>
              <w:pStyle w:val="TableTitle"/>
              <w:spacing w:before="60" w:after="60"/>
              <w:jc w:val="center"/>
              <w:rPr>
                <w:b w:val="0"/>
              </w:rPr>
            </w:pPr>
            <w:r w:rsidRPr="00DB7CDB">
              <w:rPr>
                <w:b w:val="0"/>
              </w:rPr>
              <w:t>1.6</w:t>
            </w:r>
          </w:p>
        </w:tc>
        <w:tc>
          <w:tcPr>
            <w:tcW w:w="1972" w:type="dxa"/>
            <w:vAlign w:val="center"/>
          </w:tcPr>
          <w:p w14:paraId="55A4599C" w14:textId="25EA522C" w:rsidR="00DB7CDB" w:rsidRPr="00DB7CDB" w:rsidRDefault="00DB7CDB" w:rsidP="00DB7CDB">
            <w:pPr>
              <w:pStyle w:val="TableTitle"/>
              <w:spacing w:before="60" w:after="60"/>
              <w:jc w:val="center"/>
              <w:rPr>
                <w:b w:val="0"/>
              </w:rPr>
            </w:pPr>
            <w:r w:rsidRPr="00DB7CDB">
              <w:rPr>
                <w:b w:val="0"/>
              </w:rPr>
              <w:t>1.7</w:t>
            </w:r>
          </w:p>
        </w:tc>
        <w:tc>
          <w:tcPr>
            <w:tcW w:w="1972" w:type="dxa"/>
            <w:vAlign w:val="center"/>
          </w:tcPr>
          <w:p w14:paraId="1D0EA265" w14:textId="295F21C0" w:rsidR="00DB7CDB" w:rsidRPr="00DB7CDB" w:rsidRDefault="00DB7CDB" w:rsidP="00DB7CDB">
            <w:pPr>
              <w:pStyle w:val="TableTitle"/>
              <w:spacing w:before="60" w:after="60"/>
              <w:jc w:val="center"/>
              <w:rPr>
                <w:b w:val="0"/>
              </w:rPr>
            </w:pPr>
            <w:r w:rsidRPr="00DB7CDB">
              <w:rPr>
                <w:b w:val="0"/>
              </w:rPr>
              <w:t>1.6</w:t>
            </w:r>
          </w:p>
        </w:tc>
      </w:tr>
      <w:tr w:rsidR="00DB7CDB" w14:paraId="48A002AA" w14:textId="77777777" w:rsidTr="00D44A50">
        <w:tc>
          <w:tcPr>
            <w:tcW w:w="2405" w:type="dxa"/>
            <w:vAlign w:val="center"/>
          </w:tcPr>
          <w:p w14:paraId="2B3FCAD9" w14:textId="77777777" w:rsidR="00DB7CDB" w:rsidRDefault="00DB7CDB" w:rsidP="00DB7CDB">
            <w:pPr>
              <w:pStyle w:val="TableTitle"/>
              <w:spacing w:before="60" w:after="60"/>
              <w:jc w:val="center"/>
            </w:pPr>
            <w:r>
              <w:t>Difference in means</w:t>
            </w:r>
          </w:p>
          <w:p w14:paraId="15442E2E" w14:textId="7DD39609" w:rsidR="00DB7CDB" w:rsidRDefault="00DB7CDB" w:rsidP="00DB7CDB">
            <w:pPr>
              <w:pStyle w:val="TableTitle"/>
              <w:spacing w:before="60" w:after="60"/>
              <w:jc w:val="center"/>
            </w:pPr>
            <w:r>
              <w:t>(95% CI) per protocol</w:t>
            </w:r>
          </w:p>
        </w:tc>
        <w:tc>
          <w:tcPr>
            <w:tcW w:w="3511" w:type="dxa"/>
            <w:gridSpan w:val="2"/>
          </w:tcPr>
          <w:p w14:paraId="087142A7" w14:textId="77777777" w:rsidR="00DB7CDB" w:rsidRDefault="00DB7CDB" w:rsidP="00DB7CDB">
            <w:pPr>
              <w:pStyle w:val="TableTitle"/>
              <w:spacing w:before="60" w:after="60"/>
              <w:jc w:val="center"/>
              <w:rPr>
                <w:b w:val="0"/>
              </w:rPr>
            </w:pPr>
            <w:r>
              <w:rPr>
                <w:b w:val="0"/>
              </w:rPr>
              <w:t>0.18</w:t>
            </w:r>
          </w:p>
          <w:p w14:paraId="35292EA3" w14:textId="7C16BAA9" w:rsidR="00DB7CDB" w:rsidRPr="00DB7CDB" w:rsidRDefault="00DB7CDB" w:rsidP="00DB7CDB">
            <w:pPr>
              <w:pStyle w:val="TableTitle"/>
              <w:spacing w:before="60" w:after="60"/>
              <w:jc w:val="center"/>
              <w:rPr>
                <w:b w:val="0"/>
              </w:rPr>
            </w:pPr>
            <w:r>
              <w:rPr>
                <w:b w:val="0"/>
              </w:rPr>
              <w:t>(-0.23, 0.61)</w:t>
            </w:r>
          </w:p>
        </w:tc>
        <w:tc>
          <w:tcPr>
            <w:tcW w:w="3944" w:type="dxa"/>
            <w:gridSpan w:val="2"/>
          </w:tcPr>
          <w:p w14:paraId="5EDEF452" w14:textId="77777777" w:rsidR="00DB7CDB" w:rsidRDefault="00DB7CDB" w:rsidP="00DB7CDB">
            <w:pPr>
              <w:pStyle w:val="TableTitle"/>
              <w:spacing w:before="60" w:after="60"/>
              <w:jc w:val="center"/>
              <w:rPr>
                <w:b w:val="0"/>
              </w:rPr>
            </w:pPr>
            <w:r>
              <w:rPr>
                <w:b w:val="0"/>
              </w:rPr>
              <w:t>0.09</w:t>
            </w:r>
          </w:p>
          <w:p w14:paraId="725882D4" w14:textId="2A4FD4AB" w:rsidR="00DB7CDB" w:rsidRPr="00DB7CDB" w:rsidRDefault="00DB7CDB" w:rsidP="00DB7CDB">
            <w:pPr>
              <w:pStyle w:val="TableTitle"/>
              <w:spacing w:before="60" w:after="60"/>
              <w:jc w:val="center"/>
              <w:rPr>
                <w:b w:val="0"/>
              </w:rPr>
            </w:pPr>
            <w:r>
              <w:rPr>
                <w:b w:val="0"/>
              </w:rPr>
              <w:t>(-0.23, 0.40)</w:t>
            </w:r>
          </w:p>
        </w:tc>
      </w:tr>
      <w:tr w:rsidR="00DB7CDB" w14:paraId="61093EB9" w14:textId="77777777" w:rsidTr="00DB7CDB">
        <w:tc>
          <w:tcPr>
            <w:tcW w:w="2405" w:type="dxa"/>
            <w:vAlign w:val="center"/>
          </w:tcPr>
          <w:p w14:paraId="3D931324" w14:textId="65C73A84" w:rsidR="00DB7CDB" w:rsidRDefault="00DB7CDB" w:rsidP="00DB7CDB">
            <w:pPr>
              <w:pStyle w:val="TableTitle"/>
              <w:spacing w:before="60" w:after="60"/>
              <w:jc w:val="center"/>
            </w:pPr>
            <w:r>
              <w:t>Incidence of febrile neutropenia (all cycles)</w:t>
            </w:r>
          </w:p>
        </w:tc>
        <w:tc>
          <w:tcPr>
            <w:tcW w:w="1539" w:type="dxa"/>
            <w:vAlign w:val="center"/>
          </w:tcPr>
          <w:p w14:paraId="4E522EAF" w14:textId="6D33BFF1" w:rsidR="00DB7CDB" w:rsidRPr="00DB7CDB" w:rsidRDefault="00DB7CDB" w:rsidP="00DB7CDB">
            <w:pPr>
              <w:pStyle w:val="TableTitle"/>
              <w:spacing w:before="60" w:after="60"/>
              <w:jc w:val="center"/>
              <w:rPr>
                <w:b w:val="0"/>
              </w:rPr>
            </w:pPr>
            <w:r>
              <w:rPr>
                <w:b w:val="0"/>
              </w:rPr>
              <w:t>13%</w:t>
            </w:r>
          </w:p>
        </w:tc>
        <w:tc>
          <w:tcPr>
            <w:tcW w:w="1972" w:type="dxa"/>
            <w:vAlign w:val="center"/>
          </w:tcPr>
          <w:p w14:paraId="41D5CAE9" w14:textId="7557798F" w:rsidR="00DB7CDB" w:rsidRPr="00DB7CDB" w:rsidRDefault="00DB7CDB" w:rsidP="00DB7CDB">
            <w:pPr>
              <w:pStyle w:val="TableTitle"/>
              <w:spacing w:before="60" w:after="60"/>
              <w:jc w:val="center"/>
              <w:rPr>
                <w:b w:val="0"/>
              </w:rPr>
            </w:pPr>
            <w:r>
              <w:rPr>
                <w:b w:val="0"/>
              </w:rPr>
              <w:t>20%</w:t>
            </w:r>
          </w:p>
        </w:tc>
        <w:tc>
          <w:tcPr>
            <w:tcW w:w="1972" w:type="dxa"/>
            <w:vAlign w:val="center"/>
          </w:tcPr>
          <w:p w14:paraId="41D63698" w14:textId="37DF4A47" w:rsidR="00DB7CDB" w:rsidRPr="00DB7CDB" w:rsidRDefault="00DB7CDB" w:rsidP="00DB7CDB">
            <w:pPr>
              <w:pStyle w:val="TableTitle"/>
              <w:spacing w:before="60" w:after="60"/>
              <w:jc w:val="center"/>
              <w:rPr>
                <w:b w:val="0"/>
              </w:rPr>
            </w:pPr>
            <w:r>
              <w:rPr>
                <w:b w:val="0"/>
              </w:rPr>
              <w:t>9%</w:t>
            </w:r>
          </w:p>
        </w:tc>
        <w:tc>
          <w:tcPr>
            <w:tcW w:w="1972" w:type="dxa"/>
            <w:vAlign w:val="center"/>
          </w:tcPr>
          <w:p w14:paraId="51F938EA" w14:textId="0C314BDB" w:rsidR="00DB7CDB" w:rsidRPr="00DB7CDB" w:rsidRDefault="00DB7CDB" w:rsidP="00DB7CDB">
            <w:pPr>
              <w:pStyle w:val="TableTitle"/>
              <w:spacing w:before="60" w:after="60"/>
              <w:jc w:val="center"/>
              <w:rPr>
                <w:b w:val="0"/>
              </w:rPr>
            </w:pPr>
            <w:r>
              <w:rPr>
                <w:b w:val="0"/>
              </w:rPr>
              <w:t>18%</w:t>
            </w:r>
          </w:p>
        </w:tc>
      </w:tr>
      <w:tr w:rsidR="00DB7CDB" w14:paraId="615296F1" w14:textId="77777777" w:rsidTr="00D44A50">
        <w:tc>
          <w:tcPr>
            <w:tcW w:w="2405" w:type="dxa"/>
            <w:vAlign w:val="center"/>
          </w:tcPr>
          <w:p w14:paraId="0B2BF9C5" w14:textId="77777777" w:rsidR="00DB7CDB" w:rsidRDefault="00DB7CDB" w:rsidP="00DB7CDB">
            <w:pPr>
              <w:pStyle w:val="TableTitle"/>
              <w:spacing w:before="60" w:after="60"/>
              <w:jc w:val="center"/>
            </w:pPr>
            <w:r>
              <w:t>Difference in incidence</w:t>
            </w:r>
          </w:p>
          <w:p w14:paraId="15D665A4" w14:textId="3119BDC7" w:rsidR="00DB7CDB" w:rsidRDefault="00DB7CDB" w:rsidP="00DB7CDB">
            <w:pPr>
              <w:pStyle w:val="TableTitle"/>
              <w:spacing w:before="60" w:after="60"/>
              <w:jc w:val="center"/>
            </w:pPr>
            <w:r>
              <w:t xml:space="preserve"> (95% CL)</w:t>
            </w:r>
          </w:p>
          <w:p w14:paraId="3AB8379E" w14:textId="7BBBC2F9" w:rsidR="00DB7CDB" w:rsidRDefault="00DB7CDB" w:rsidP="00DB7CDB">
            <w:pPr>
              <w:pStyle w:val="TableTitle"/>
              <w:spacing w:before="60" w:after="60"/>
              <w:jc w:val="center"/>
            </w:pPr>
            <w:r>
              <w:t>modified ITT</w:t>
            </w:r>
          </w:p>
        </w:tc>
        <w:tc>
          <w:tcPr>
            <w:tcW w:w="3511" w:type="dxa"/>
            <w:gridSpan w:val="2"/>
          </w:tcPr>
          <w:p w14:paraId="43925282" w14:textId="77777777" w:rsidR="00DB7CDB" w:rsidRDefault="00DB7CDB" w:rsidP="00DB7CDB">
            <w:pPr>
              <w:pStyle w:val="TableTitle"/>
              <w:spacing w:before="60" w:after="60"/>
              <w:jc w:val="center"/>
              <w:rPr>
                <w:b w:val="0"/>
              </w:rPr>
            </w:pPr>
          </w:p>
          <w:p w14:paraId="5FCD5958" w14:textId="77777777" w:rsidR="00DB7CDB" w:rsidRDefault="00DB7CDB" w:rsidP="00DB7CDB">
            <w:pPr>
              <w:pStyle w:val="TableTitle"/>
              <w:spacing w:before="60" w:after="60"/>
              <w:jc w:val="center"/>
              <w:rPr>
                <w:b w:val="0"/>
              </w:rPr>
            </w:pPr>
            <w:r>
              <w:rPr>
                <w:b w:val="0"/>
              </w:rPr>
              <w:t>-7%</w:t>
            </w:r>
          </w:p>
          <w:p w14:paraId="070AD6B1" w14:textId="63E9609B" w:rsidR="00DB7CDB" w:rsidRPr="00DB7CDB" w:rsidRDefault="00DB7CDB" w:rsidP="00DB7CDB">
            <w:pPr>
              <w:pStyle w:val="TableTitle"/>
              <w:spacing w:before="60" w:after="60"/>
              <w:jc w:val="center"/>
              <w:rPr>
                <w:b w:val="0"/>
              </w:rPr>
            </w:pPr>
            <w:r>
              <w:rPr>
                <w:b w:val="0"/>
              </w:rPr>
              <w:t>(-19%, 5%)</w:t>
            </w:r>
          </w:p>
        </w:tc>
        <w:tc>
          <w:tcPr>
            <w:tcW w:w="3944" w:type="dxa"/>
            <w:gridSpan w:val="2"/>
          </w:tcPr>
          <w:p w14:paraId="133B57E7" w14:textId="77777777" w:rsidR="00DB7CDB" w:rsidRDefault="00DB7CDB" w:rsidP="00DB7CDB">
            <w:pPr>
              <w:pStyle w:val="TableTitle"/>
              <w:spacing w:before="60" w:after="60"/>
              <w:jc w:val="center"/>
              <w:rPr>
                <w:b w:val="0"/>
              </w:rPr>
            </w:pPr>
          </w:p>
          <w:p w14:paraId="66A7EB7E" w14:textId="77777777" w:rsidR="00DB7CDB" w:rsidRDefault="00DB7CDB" w:rsidP="00DB7CDB">
            <w:pPr>
              <w:pStyle w:val="TableTitle"/>
              <w:spacing w:before="60" w:after="60"/>
              <w:jc w:val="center"/>
              <w:rPr>
                <w:b w:val="0"/>
              </w:rPr>
            </w:pPr>
            <w:r>
              <w:rPr>
                <w:b w:val="0"/>
              </w:rPr>
              <w:t>-9%</w:t>
            </w:r>
          </w:p>
          <w:p w14:paraId="7A8BD40B" w14:textId="1641C27D" w:rsidR="00DB7CDB" w:rsidRPr="00DB7CDB" w:rsidRDefault="00DB7CDB" w:rsidP="00DB7CDB">
            <w:pPr>
              <w:pStyle w:val="TableTitle"/>
              <w:spacing w:before="60" w:after="60"/>
              <w:jc w:val="center"/>
              <w:rPr>
                <w:b w:val="0"/>
              </w:rPr>
            </w:pPr>
            <w:r>
              <w:rPr>
                <w:b w:val="0"/>
              </w:rPr>
              <w:t>(-17%, -1%)</w:t>
            </w:r>
          </w:p>
        </w:tc>
      </w:tr>
      <w:tr w:rsidR="00DB7CDB" w14:paraId="68A5B557" w14:textId="77777777" w:rsidTr="00DB7CDB">
        <w:tc>
          <w:tcPr>
            <w:tcW w:w="2405" w:type="dxa"/>
            <w:vAlign w:val="center"/>
          </w:tcPr>
          <w:p w14:paraId="0A73FD2B" w14:textId="77777777" w:rsidR="00DB7CDB" w:rsidRDefault="00DB7CDB" w:rsidP="00DB7CDB">
            <w:pPr>
              <w:pStyle w:val="TableTitle"/>
              <w:spacing w:before="60" w:after="60"/>
              <w:jc w:val="center"/>
            </w:pPr>
            <w:r>
              <w:t xml:space="preserve">Incidence of infection </w:t>
            </w:r>
          </w:p>
          <w:p w14:paraId="38757996" w14:textId="1EC42387" w:rsidR="00DB7CDB" w:rsidRDefault="00DB7CDB" w:rsidP="00DB7CDB">
            <w:pPr>
              <w:pStyle w:val="TableTitle"/>
              <w:spacing w:before="60" w:after="60"/>
              <w:jc w:val="center"/>
            </w:pPr>
            <w:r>
              <w:t>- culture-confirmed (all cycles)</w:t>
            </w:r>
          </w:p>
        </w:tc>
        <w:tc>
          <w:tcPr>
            <w:tcW w:w="1539" w:type="dxa"/>
            <w:vAlign w:val="center"/>
          </w:tcPr>
          <w:p w14:paraId="0DC647C3" w14:textId="2546D7B5" w:rsidR="00DB7CDB" w:rsidRPr="00DB7CDB" w:rsidRDefault="00DB7CDB" w:rsidP="00DB7CDB">
            <w:pPr>
              <w:pStyle w:val="TableTitle"/>
              <w:spacing w:before="60" w:after="60"/>
              <w:jc w:val="center"/>
              <w:rPr>
                <w:b w:val="0"/>
              </w:rPr>
            </w:pPr>
            <w:r>
              <w:rPr>
                <w:b w:val="0"/>
              </w:rPr>
              <w:t>9%</w:t>
            </w:r>
          </w:p>
        </w:tc>
        <w:tc>
          <w:tcPr>
            <w:tcW w:w="1972" w:type="dxa"/>
            <w:vAlign w:val="center"/>
          </w:tcPr>
          <w:p w14:paraId="0ABBB645" w14:textId="29CE0C21" w:rsidR="00DB7CDB" w:rsidRPr="00DB7CDB" w:rsidRDefault="00DB7CDB" w:rsidP="00DB7CDB">
            <w:pPr>
              <w:pStyle w:val="TableTitle"/>
              <w:spacing w:before="60" w:after="60"/>
              <w:jc w:val="center"/>
              <w:rPr>
                <w:b w:val="0"/>
              </w:rPr>
            </w:pPr>
            <w:r>
              <w:rPr>
                <w:b w:val="0"/>
              </w:rPr>
              <w:t>9%</w:t>
            </w:r>
          </w:p>
        </w:tc>
        <w:tc>
          <w:tcPr>
            <w:tcW w:w="1972" w:type="dxa"/>
            <w:vAlign w:val="center"/>
          </w:tcPr>
          <w:p w14:paraId="5E4C31E8" w14:textId="60B40B81" w:rsidR="00DB7CDB" w:rsidRPr="00DB7CDB" w:rsidRDefault="00DB7CDB" w:rsidP="00DB7CDB">
            <w:pPr>
              <w:pStyle w:val="TableTitle"/>
              <w:spacing w:before="60" w:after="60"/>
              <w:jc w:val="center"/>
              <w:rPr>
                <w:b w:val="0"/>
              </w:rPr>
            </w:pPr>
            <w:r>
              <w:rPr>
                <w:b w:val="0"/>
              </w:rPr>
              <w:t>10%</w:t>
            </w:r>
          </w:p>
        </w:tc>
        <w:tc>
          <w:tcPr>
            <w:tcW w:w="1972" w:type="dxa"/>
            <w:vAlign w:val="center"/>
          </w:tcPr>
          <w:p w14:paraId="2C237E01" w14:textId="762A3292" w:rsidR="00DB7CDB" w:rsidRPr="00DB7CDB" w:rsidRDefault="00DB7CDB" w:rsidP="00DB7CDB">
            <w:pPr>
              <w:pStyle w:val="TableTitle"/>
              <w:spacing w:before="60" w:after="60"/>
              <w:jc w:val="center"/>
              <w:rPr>
                <w:b w:val="0"/>
              </w:rPr>
            </w:pPr>
            <w:r>
              <w:rPr>
                <w:b w:val="0"/>
              </w:rPr>
              <w:t>9%</w:t>
            </w:r>
          </w:p>
        </w:tc>
      </w:tr>
      <w:tr w:rsidR="00DB7CDB" w14:paraId="5704DA9F" w14:textId="77777777" w:rsidTr="00D44A50">
        <w:tc>
          <w:tcPr>
            <w:tcW w:w="2405" w:type="dxa"/>
            <w:vAlign w:val="center"/>
          </w:tcPr>
          <w:p w14:paraId="23F04EC2" w14:textId="77777777" w:rsidR="00DB7CDB" w:rsidRDefault="00DB7CDB" w:rsidP="00DB7CDB">
            <w:pPr>
              <w:pStyle w:val="TableTitle"/>
              <w:spacing w:before="60" w:after="60"/>
              <w:jc w:val="center"/>
            </w:pPr>
            <w:r>
              <w:t>Difference in incidence</w:t>
            </w:r>
          </w:p>
          <w:p w14:paraId="7AF399ED" w14:textId="550A3BB9" w:rsidR="00DB7CDB" w:rsidRDefault="00DB7CDB" w:rsidP="00DB7CDB">
            <w:pPr>
              <w:pStyle w:val="TableTitle"/>
              <w:spacing w:before="60" w:after="60"/>
              <w:jc w:val="center"/>
            </w:pPr>
            <w:r>
              <w:t xml:space="preserve"> (95% CI)</w:t>
            </w:r>
          </w:p>
          <w:p w14:paraId="152538A5" w14:textId="33998782" w:rsidR="00DB7CDB" w:rsidRDefault="00DB7CDB" w:rsidP="00DB7CDB">
            <w:pPr>
              <w:pStyle w:val="TableTitle"/>
              <w:spacing w:before="60" w:after="60"/>
              <w:jc w:val="center"/>
            </w:pPr>
            <w:r>
              <w:t>Modified ITT</w:t>
            </w:r>
          </w:p>
        </w:tc>
        <w:tc>
          <w:tcPr>
            <w:tcW w:w="3511" w:type="dxa"/>
            <w:gridSpan w:val="2"/>
          </w:tcPr>
          <w:p w14:paraId="29BD437C" w14:textId="77777777" w:rsidR="00DB7CDB" w:rsidRDefault="00DB7CDB" w:rsidP="00DB7CDB">
            <w:pPr>
              <w:pStyle w:val="TableTitle"/>
              <w:spacing w:before="60" w:after="60"/>
              <w:jc w:val="center"/>
              <w:rPr>
                <w:b w:val="0"/>
              </w:rPr>
            </w:pPr>
          </w:p>
          <w:p w14:paraId="5CD2C67C" w14:textId="77777777" w:rsidR="00DB7CDB" w:rsidRDefault="00DB7CDB" w:rsidP="00DB7CDB">
            <w:pPr>
              <w:pStyle w:val="TableTitle"/>
              <w:spacing w:before="60" w:after="60"/>
              <w:jc w:val="center"/>
              <w:rPr>
                <w:b w:val="0"/>
              </w:rPr>
            </w:pPr>
            <w:r>
              <w:rPr>
                <w:b w:val="0"/>
              </w:rPr>
              <w:t>0%</w:t>
            </w:r>
          </w:p>
          <w:p w14:paraId="65F82310" w14:textId="1D15661B" w:rsidR="00DB7CDB" w:rsidRDefault="00DB7CDB" w:rsidP="00DB7CDB">
            <w:pPr>
              <w:pStyle w:val="TableTitle"/>
              <w:spacing w:before="60" w:after="60"/>
              <w:jc w:val="center"/>
              <w:rPr>
                <w:b w:val="0"/>
              </w:rPr>
            </w:pPr>
            <w:r>
              <w:rPr>
                <w:b w:val="0"/>
              </w:rPr>
              <w:t>(-9.4%, 9.0%</w:t>
            </w:r>
          </w:p>
        </w:tc>
        <w:tc>
          <w:tcPr>
            <w:tcW w:w="3944" w:type="dxa"/>
            <w:gridSpan w:val="2"/>
          </w:tcPr>
          <w:p w14:paraId="08C5CCA7" w14:textId="77777777" w:rsidR="00DB7CDB" w:rsidRDefault="00DB7CDB" w:rsidP="00DB7CDB">
            <w:pPr>
              <w:pStyle w:val="TableTitle"/>
              <w:spacing w:before="60" w:after="60"/>
              <w:jc w:val="center"/>
              <w:rPr>
                <w:b w:val="0"/>
              </w:rPr>
            </w:pPr>
          </w:p>
          <w:p w14:paraId="2748DD7D" w14:textId="77777777" w:rsidR="00DB7CDB" w:rsidRDefault="00DB7CDB" w:rsidP="00DB7CDB">
            <w:pPr>
              <w:pStyle w:val="TableTitle"/>
              <w:spacing w:before="60" w:after="60"/>
              <w:jc w:val="center"/>
              <w:rPr>
                <w:b w:val="0"/>
              </w:rPr>
            </w:pPr>
            <w:r>
              <w:rPr>
                <w:b w:val="0"/>
              </w:rPr>
              <w:t>1%</w:t>
            </w:r>
          </w:p>
          <w:p w14:paraId="13CDBE29" w14:textId="3165CE71" w:rsidR="00DB7CDB" w:rsidRDefault="00DB7CDB" w:rsidP="00DB7CDB">
            <w:pPr>
              <w:pStyle w:val="TableTitle"/>
              <w:spacing w:before="60" w:after="60"/>
              <w:jc w:val="center"/>
              <w:rPr>
                <w:b w:val="0"/>
              </w:rPr>
            </w:pPr>
            <w:r>
              <w:rPr>
                <w:b w:val="0"/>
              </w:rPr>
              <w:t>(-5.4%, 7.9%)</w:t>
            </w:r>
          </w:p>
        </w:tc>
      </w:tr>
    </w:tbl>
    <w:p w14:paraId="59A67811" w14:textId="0EF79FEB" w:rsidR="00DB7CDB" w:rsidRPr="00DB7CDB" w:rsidRDefault="00DB7CDB" w:rsidP="005D5C82">
      <w:pPr>
        <w:pStyle w:val="TableTitle"/>
        <w:ind w:left="851" w:hanging="851"/>
        <w:rPr>
          <w:b w:val="0"/>
        </w:rPr>
      </w:pPr>
      <w:r w:rsidRPr="00DB7CDB">
        <w:rPr>
          <w:b w:val="0"/>
        </w:rPr>
        <w:t>PP = per protocol</w:t>
      </w:r>
      <w:r>
        <w:rPr>
          <w:b w:val="0"/>
        </w:rPr>
        <w:t xml:space="preserve">; </w:t>
      </w:r>
      <w:r w:rsidRPr="00DB7CDB">
        <w:rPr>
          <w:b w:val="0"/>
        </w:rPr>
        <w:t>Mod ITT = modified intention to treat</w:t>
      </w:r>
    </w:p>
    <w:p w14:paraId="01A929FC" w14:textId="77777777" w:rsidR="00D61C42" w:rsidRDefault="00D61C42" w:rsidP="00081B5E">
      <w:pPr>
        <w:autoSpaceDE w:val="0"/>
        <w:autoSpaceDN w:val="0"/>
        <w:adjustRightInd w:val="0"/>
        <w:spacing w:after="0" w:line="240" w:lineRule="auto"/>
        <w:jc w:val="both"/>
        <w:rPr>
          <w:rFonts w:ascii="Times New Roman" w:hAnsi="Times New Roman"/>
          <w:szCs w:val="28"/>
        </w:rPr>
      </w:pPr>
    </w:p>
    <w:p w14:paraId="3AC82F64" w14:textId="025BDAD4" w:rsidR="00DB7CDB" w:rsidRDefault="00DB7CDB" w:rsidP="00D61C42">
      <w:pPr>
        <w:autoSpaceDE w:val="0"/>
        <w:autoSpaceDN w:val="0"/>
        <w:adjustRightInd w:val="0"/>
        <w:spacing w:after="240" w:line="240" w:lineRule="auto"/>
        <w:jc w:val="both"/>
        <w:rPr>
          <w:rFonts w:ascii="Times New Roman" w:hAnsi="Times New Roman"/>
          <w:szCs w:val="28"/>
        </w:rPr>
      </w:pPr>
      <w:r w:rsidRPr="00DB7CDB">
        <w:rPr>
          <w:rFonts w:ascii="Times New Roman" w:hAnsi="Times New Roman"/>
          <w:szCs w:val="28"/>
        </w:rPr>
        <w:t>In study 2, patients with breast cancer (n = 301) were randomised to receive a single</w:t>
      </w:r>
      <w:r>
        <w:rPr>
          <w:rFonts w:ascii="Times New Roman" w:hAnsi="Times New Roman"/>
          <w:szCs w:val="28"/>
        </w:rPr>
        <w:t xml:space="preserve"> </w:t>
      </w:r>
      <w:r w:rsidRPr="00DB7CDB">
        <w:rPr>
          <w:rFonts w:ascii="Times New Roman" w:hAnsi="Times New Roman"/>
          <w:szCs w:val="28"/>
        </w:rPr>
        <w:t xml:space="preserve">injection of </w:t>
      </w:r>
      <w:r w:rsidR="00081B5E">
        <w:rPr>
          <w:rFonts w:ascii="Times New Roman" w:hAnsi="Times New Roman"/>
          <w:szCs w:val="28"/>
        </w:rPr>
        <w:t>pegfilgrastim</w:t>
      </w:r>
      <w:r w:rsidRPr="00DB7CDB">
        <w:rPr>
          <w:rFonts w:ascii="Times New Roman" w:hAnsi="Times New Roman"/>
          <w:szCs w:val="28"/>
        </w:rPr>
        <w:t xml:space="preserve"> 100 </w:t>
      </w:r>
      <w:r w:rsidR="00081B5E">
        <w:rPr>
          <w:rFonts w:ascii="Times New Roman" w:hAnsi="Times New Roman"/>
          <w:szCs w:val="28"/>
        </w:rPr>
        <w:t>µ</w:t>
      </w:r>
      <w:r w:rsidRPr="00DB7CDB">
        <w:rPr>
          <w:rFonts w:ascii="Times New Roman" w:hAnsi="Times New Roman"/>
          <w:szCs w:val="28"/>
        </w:rPr>
        <w:t xml:space="preserve">g/kg or daily injections of filgrastim 5 </w:t>
      </w:r>
      <w:r w:rsidR="00081B5E">
        <w:rPr>
          <w:rFonts w:ascii="Times New Roman" w:hAnsi="Times New Roman"/>
          <w:szCs w:val="28"/>
        </w:rPr>
        <w:t>µ</w:t>
      </w:r>
      <w:r w:rsidRPr="00DB7CDB">
        <w:rPr>
          <w:rFonts w:ascii="Times New Roman" w:hAnsi="Times New Roman"/>
          <w:szCs w:val="28"/>
        </w:rPr>
        <w:t>g/kg/day after each of 4</w:t>
      </w:r>
      <w:r>
        <w:rPr>
          <w:rFonts w:ascii="Times New Roman" w:hAnsi="Times New Roman"/>
          <w:szCs w:val="28"/>
        </w:rPr>
        <w:t xml:space="preserve"> </w:t>
      </w:r>
      <w:r w:rsidRPr="00DB7CDB">
        <w:rPr>
          <w:rFonts w:ascii="Times New Roman" w:hAnsi="Times New Roman"/>
          <w:szCs w:val="28"/>
        </w:rPr>
        <w:t>cycles of the highly myelosuppressive chemotherapy regimen doxorubicin and docetaxel</w:t>
      </w:r>
      <w:r>
        <w:rPr>
          <w:rFonts w:ascii="Times New Roman" w:hAnsi="Times New Roman"/>
          <w:szCs w:val="28"/>
        </w:rPr>
        <w:t xml:space="preserve"> </w:t>
      </w:r>
      <w:r w:rsidRPr="00DB7CDB">
        <w:rPr>
          <w:rFonts w:ascii="Times New Roman" w:hAnsi="Times New Roman"/>
          <w:szCs w:val="28"/>
        </w:rPr>
        <w:t xml:space="preserve">(AT). In cycle 1, a single SC injection of </w:t>
      </w:r>
      <w:r w:rsidR="00081B5E">
        <w:rPr>
          <w:rFonts w:ascii="Times New Roman" w:hAnsi="Times New Roman"/>
          <w:szCs w:val="28"/>
        </w:rPr>
        <w:t>pegfilgrastim</w:t>
      </w:r>
      <w:r w:rsidR="00081B5E" w:rsidRPr="00DB7CDB">
        <w:rPr>
          <w:rFonts w:ascii="Times New Roman" w:hAnsi="Times New Roman"/>
          <w:szCs w:val="28"/>
        </w:rPr>
        <w:t xml:space="preserve"> </w:t>
      </w:r>
      <w:r w:rsidRPr="00DB7CDB">
        <w:rPr>
          <w:rFonts w:ascii="Times New Roman" w:hAnsi="Times New Roman"/>
          <w:szCs w:val="28"/>
        </w:rPr>
        <w:t>resulted in a duration of severe</w:t>
      </w:r>
      <w:r>
        <w:rPr>
          <w:rFonts w:ascii="Times New Roman" w:hAnsi="Times New Roman"/>
          <w:szCs w:val="28"/>
        </w:rPr>
        <w:t xml:space="preserve"> </w:t>
      </w:r>
      <w:r w:rsidRPr="00DB7CDB">
        <w:rPr>
          <w:rFonts w:ascii="Times New Roman" w:hAnsi="Times New Roman"/>
          <w:szCs w:val="28"/>
        </w:rPr>
        <w:t>neutropenia that was clinically and statistically similar to t</w:t>
      </w:r>
      <w:r>
        <w:rPr>
          <w:rFonts w:ascii="Times New Roman" w:hAnsi="Times New Roman"/>
          <w:szCs w:val="28"/>
        </w:rPr>
        <w:t xml:space="preserve">hat observed after a </w:t>
      </w:r>
      <w:r>
        <w:rPr>
          <w:rFonts w:ascii="Times New Roman" w:hAnsi="Times New Roman"/>
          <w:szCs w:val="28"/>
        </w:rPr>
        <w:lastRenderedPageBreak/>
        <w:t xml:space="preserve">mean of 11 </w:t>
      </w:r>
      <w:r w:rsidRPr="00DB7CDB">
        <w:rPr>
          <w:rFonts w:ascii="Times New Roman" w:hAnsi="Times New Roman"/>
          <w:szCs w:val="28"/>
        </w:rPr>
        <w:t xml:space="preserve">daily injections of filgrastim (see Table 1). Durations </w:t>
      </w:r>
      <w:r>
        <w:rPr>
          <w:rFonts w:ascii="Times New Roman" w:hAnsi="Times New Roman"/>
          <w:szCs w:val="28"/>
        </w:rPr>
        <w:t xml:space="preserve">of severe neutropenia were also </w:t>
      </w:r>
      <w:r w:rsidRPr="00DB7CDB">
        <w:rPr>
          <w:rFonts w:ascii="Times New Roman" w:hAnsi="Times New Roman"/>
          <w:szCs w:val="28"/>
        </w:rPr>
        <w:t>comparable between treatment groups in all subsequent cycles. There is a significant</w:t>
      </w:r>
      <w:r>
        <w:rPr>
          <w:rFonts w:ascii="Times New Roman" w:hAnsi="Times New Roman"/>
          <w:szCs w:val="28"/>
        </w:rPr>
        <w:t xml:space="preserve"> </w:t>
      </w:r>
      <w:r w:rsidRPr="00DB7CDB">
        <w:rPr>
          <w:rFonts w:ascii="Times New Roman" w:hAnsi="Times New Roman"/>
          <w:szCs w:val="28"/>
        </w:rPr>
        <w:t>difference in the incidence of febrile neutropenia between the groups in Study 2.</w:t>
      </w:r>
    </w:p>
    <w:p w14:paraId="207A17AC" w14:textId="659764E4" w:rsidR="00DB7CDB" w:rsidRPr="00DB7CDB" w:rsidRDefault="00DB7CDB" w:rsidP="00D61C42">
      <w:pPr>
        <w:autoSpaceDE w:val="0"/>
        <w:autoSpaceDN w:val="0"/>
        <w:adjustRightInd w:val="0"/>
        <w:spacing w:after="240" w:line="240" w:lineRule="auto"/>
        <w:jc w:val="both"/>
        <w:rPr>
          <w:rFonts w:ascii="Times New Roman" w:hAnsi="Times New Roman"/>
          <w:szCs w:val="28"/>
        </w:rPr>
      </w:pPr>
      <w:r w:rsidRPr="00DB7CDB">
        <w:rPr>
          <w:rFonts w:ascii="Times New Roman" w:hAnsi="Times New Roman"/>
          <w:szCs w:val="28"/>
        </w:rPr>
        <w:t xml:space="preserve">Study 3 was a placebo-controlled study evaluating the effect </w:t>
      </w:r>
      <w:r>
        <w:rPr>
          <w:rFonts w:ascii="Times New Roman" w:hAnsi="Times New Roman"/>
          <w:szCs w:val="28"/>
        </w:rPr>
        <w:t xml:space="preserve">of </w:t>
      </w:r>
      <w:r w:rsidR="00081B5E">
        <w:rPr>
          <w:rFonts w:ascii="Times New Roman" w:hAnsi="Times New Roman"/>
          <w:szCs w:val="28"/>
        </w:rPr>
        <w:t>pegfilgrastim</w:t>
      </w:r>
      <w:r w:rsidR="00081B5E" w:rsidRPr="00DB7CDB">
        <w:rPr>
          <w:rFonts w:ascii="Times New Roman" w:hAnsi="Times New Roman"/>
          <w:szCs w:val="28"/>
        </w:rPr>
        <w:t xml:space="preserve"> </w:t>
      </w:r>
      <w:r>
        <w:rPr>
          <w:rFonts w:ascii="Times New Roman" w:hAnsi="Times New Roman"/>
          <w:szCs w:val="28"/>
        </w:rPr>
        <w:t xml:space="preserve">on the incidence of </w:t>
      </w:r>
      <w:r w:rsidRPr="00DB7CDB">
        <w:rPr>
          <w:rFonts w:ascii="Times New Roman" w:hAnsi="Times New Roman"/>
          <w:szCs w:val="28"/>
        </w:rPr>
        <w:t>febrile neutropenia following administration of a moderately myelosuppressive chemotherapy</w:t>
      </w:r>
      <w:r>
        <w:rPr>
          <w:rFonts w:ascii="Times New Roman" w:hAnsi="Times New Roman"/>
          <w:szCs w:val="28"/>
        </w:rPr>
        <w:t xml:space="preserve"> </w:t>
      </w:r>
      <w:r w:rsidRPr="00DB7CDB">
        <w:rPr>
          <w:rFonts w:ascii="Times New Roman" w:hAnsi="Times New Roman"/>
          <w:szCs w:val="28"/>
        </w:rPr>
        <w:t>regimen (docetaxel 100 mg/m</w:t>
      </w:r>
      <w:r w:rsidRPr="00081B5E">
        <w:rPr>
          <w:rFonts w:ascii="Times New Roman" w:hAnsi="Times New Roman"/>
          <w:szCs w:val="28"/>
          <w:vertAlign w:val="superscript"/>
        </w:rPr>
        <w:t>2</w:t>
      </w:r>
      <w:r w:rsidRPr="00DB7CDB">
        <w:rPr>
          <w:rFonts w:ascii="Times New Roman" w:hAnsi="Times New Roman"/>
          <w:szCs w:val="28"/>
        </w:rPr>
        <w:t xml:space="preserve"> q 3 weeks for 4 cycles). This regimen is associated with a</w:t>
      </w:r>
      <w:r>
        <w:rPr>
          <w:rFonts w:ascii="Times New Roman" w:hAnsi="Times New Roman"/>
          <w:szCs w:val="28"/>
        </w:rPr>
        <w:t xml:space="preserve"> </w:t>
      </w:r>
      <w:r w:rsidRPr="00DB7CDB">
        <w:rPr>
          <w:rFonts w:ascii="Times New Roman" w:hAnsi="Times New Roman"/>
          <w:szCs w:val="28"/>
        </w:rPr>
        <w:t>febrile neutropenia rate of up to 20%. In this study, 928 patients were randomised to receive either pegfilgrastim or placebo on Day 2 of each cycle. The incidence of patients with febrile</w:t>
      </w:r>
      <w:r>
        <w:rPr>
          <w:rFonts w:ascii="Times New Roman" w:hAnsi="Times New Roman"/>
          <w:szCs w:val="28"/>
        </w:rPr>
        <w:t xml:space="preserve"> </w:t>
      </w:r>
      <w:r w:rsidRPr="00DB7CDB">
        <w:rPr>
          <w:rFonts w:ascii="Times New Roman" w:hAnsi="Times New Roman"/>
          <w:szCs w:val="28"/>
        </w:rPr>
        <w:t>neutropenia, was significantly lower in the patients randomised to receive pegfilgrastim vs</w:t>
      </w:r>
      <w:r w:rsidR="00081B5E">
        <w:rPr>
          <w:rFonts w:ascii="Times New Roman" w:hAnsi="Times New Roman"/>
          <w:szCs w:val="28"/>
        </w:rPr>
        <w:t xml:space="preserve"> </w:t>
      </w:r>
      <w:r w:rsidRPr="00DB7CDB">
        <w:rPr>
          <w:rFonts w:ascii="Times New Roman" w:hAnsi="Times New Roman"/>
          <w:szCs w:val="28"/>
        </w:rPr>
        <w:t>placebo (1% vs 17%, p &lt; 0.001, respectively). The incidence of hospitalisation and IV anti</w:t>
      </w:r>
      <w:r w:rsidR="00081B5E">
        <w:rPr>
          <w:rFonts w:ascii="Times New Roman" w:hAnsi="Times New Roman"/>
          <w:szCs w:val="28"/>
        </w:rPr>
        <w:t>-</w:t>
      </w:r>
      <w:r w:rsidRPr="00DB7CDB">
        <w:rPr>
          <w:rFonts w:ascii="Times New Roman" w:hAnsi="Times New Roman"/>
          <w:szCs w:val="28"/>
        </w:rPr>
        <w:t>infective</w:t>
      </w:r>
      <w:r>
        <w:rPr>
          <w:rFonts w:ascii="Times New Roman" w:hAnsi="Times New Roman"/>
          <w:szCs w:val="28"/>
        </w:rPr>
        <w:t xml:space="preserve"> </w:t>
      </w:r>
      <w:r w:rsidRPr="00DB7CDB">
        <w:rPr>
          <w:rFonts w:ascii="Times New Roman" w:hAnsi="Times New Roman"/>
          <w:szCs w:val="28"/>
        </w:rPr>
        <w:t>use associated with a clinical diagnosis of febrile neutropenia was significantly</w:t>
      </w:r>
      <w:r>
        <w:rPr>
          <w:rFonts w:ascii="Times New Roman" w:hAnsi="Times New Roman"/>
          <w:szCs w:val="28"/>
        </w:rPr>
        <w:t xml:space="preserve"> </w:t>
      </w:r>
      <w:r w:rsidRPr="00DB7CDB">
        <w:rPr>
          <w:rFonts w:ascii="Times New Roman" w:hAnsi="Times New Roman"/>
          <w:szCs w:val="28"/>
        </w:rPr>
        <w:t xml:space="preserve">lower in patients randomised to </w:t>
      </w:r>
      <w:r w:rsidR="00081B5E">
        <w:rPr>
          <w:rFonts w:ascii="Times New Roman" w:hAnsi="Times New Roman"/>
          <w:szCs w:val="28"/>
        </w:rPr>
        <w:t>pegfilgrastim</w:t>
      </w:r>
      <w:r w:rsidR="00081B5E" w:rsidRPr="00DB7CDB">
        <w:rPr>
          <w:rFonts w:ascii="Times New Roman" w:hAnsi="Times New Roman"/>
          <w:szCs w:val="28"/>
        </w:rPr>
        <w:t xml:space="preserve"> </w:t>
      </w:r>
      <w:r w:rsidRPr="00DB7CDB">
        <w:rPr>
          <w:rFonts w:ascii="Times New Roman" w:hAnsi="Times New Roman"/>
          <w:szCs w:val="28"/>
        </w:rPr>
        <w:t>compared to placebo (1% vs 14%, p &lt; 0.001; and</w:t>
      </w:r>
      <w:r>
        <w:rPr>
          <w:rFonts w:ascii="Times New Roman" w:hAnsi="Times New Roman"/>
          <w:szCs w:val="28"/>
        </w:rPr>
        <w:t xml:space="preserve"> </w:t>
      </w:r>
      <w:r w:rsidRPr="00DB7CDB">
        <w:rPr>
          <w:rFonts w:ascii="Times New Roman" w:hAnsi="Times New Roman"/>
          <w:szCs w:val="28"/>
        </w:rPr>
        <w:t>2% vs</w:t>
      </w:r>
      <w:r w:rsidR="00081B5E">
        <w:rPr>
          <w:rFonts w:ascii="Times New Roman" w:hAnsi="Times New Roman"/>
          <w:szCs w:val="28"/>
        </w:rPr>
        <w:t xml:space="preserve"> </w:t>
      </w:r>
      <w:r w:rsidRPr="00DB7CDB">
        <w:rPr>
          <w:rFonts w:ascii="Times New Roman" w:hAnsi="Times New Roman"/>
          <w:szCs w:val="28"/>
        </w:rPr>
        <w:t>10%, p &lt; 0.001, respectively).</w:t>
      </w:r>
    </w:p>
    <w:p w14:paraId="442024EC" w14:textId="45FD435A" w:rsidR="00DB7CDB" w:rsidRPr="00DB7CDB" w:rsidRDefault="00DB7CDB" w:rsidP="00D61C42">
      <w:pPr>
        <w:autoSpaceDE w:val="0"/>
        <w:autoSpaceDN w:val="0"/>
        <w:adjustRightInd w:val="0"/>
        <w:spacing w:after="240" w:line="240" w:lineRule="auto"/>
        <w:jc w:val="both"/>
        <w:rPr>
          <w:rFonts w:ascii="Times New Roman" w:hAnsi="Times New Roman"/>
          <w:szCs w:val="28"/>
        </w:rPr>
      </w:pPr>
      <w:r w:rsidRPr="00DB7CDB">
        <w:rPr>
          <w:rFonts w:ascii="Times New Roman" w:hAnsi="Times New Roman"/>
          <w:szCs w:val="28"/>
        </w:rPr>
        <w:t>Data from phase 2 studies in patients with various malignancies undergoing a variety of</w:t>
      </w:r>
      <w:r w:rsidR="00081B5E">
        <w:rPr>
          <w:rFonts w:ascii="Times New Roman" w:hAnsi="Times New Roman"/>
          <w:szCs w:val="28"/>
        </w:rPr>
        <w:t xml:space="preserve"> </w:t>
      </w:r>
      <w:r w:rsidRPr="00DB7CDB">
        <w:rPr>
          <w:rFonts w:ascii="Times New Roman" w:hAnsi="Times New Roman"/>
          <w:szCs w:val="28"/>
        </w:rPr>
        <w:t xml:space="preserve">chemotherapy regimens further support the safety and efficacy of </w:t>
      </w:r>
      <w:r w:rsidR="00081B5E">
        <w:rPr>
          <w:rFonts w:ascii="Times New Roman" w:hAnsi="Times New Roman"/>
          <w:szCs w:val="28"/>
        </w:rPr>
        <w:t>pegfilgrastim</w:t>
      </w:r>
      <w:r w:rsidRPr="00DB7CDB">
        <w:rPr>
          <w:rFonts w:ascii="Times New Roman" w:hAnsi="Times New Roman"/>
          <w:szCs w:val="28"/>
        </w:rPr>
        <w:t>. Dose-finding</w:t>
      </w:r>
      <w:r w:rsidR="00081B5E">
        <w:rPr>
          <w:rFonts w:ascii="Times New Roman" w:hAnsi="Times New Roman"/>
          <w:szCs w:val="28"/>
        </w:rPr>
        <w:t xml:space="preserve"> </w:t>
      </w:r>
      <w:r w:rsidRPr="00DB7CDB">
        <w:rPr>
          <w:rFonts w:ascii="Times New Roman" w:hAnsi="Times New Roman"/>
          <w:szCs w:val="28"/>
        </w:rPr>
        <w:t>studies in patients with breast cancer (n = 152), thoracic tumours (n = 92) and non-Hodgkin's</w:t>
      </w:r>
      <w:r w:rsidR="00081B5E">
        <w:rPr>
          <w:rFonts w:ascii="Times New Roman" w:hAnsi="Times New Roman"/>
          <w:szCs w:val="28"/>
        </w:rPr>
        <w:t xml:space="preserve"> </w:t>
      </w:r>
      <w:r w:rsidRPr="00DB7CDB">
        <w:rPr>
          <w:rFonts w:ascii="Times New Roman" w:hAnsi="Times New Roman"/>
          <w:szCs w:val="28"/>
        </w:rPr>
        <w:t xml:space="preserve">lymphoma (NHL) (n = 50) demonstrated that the efficacy of a single injection of </w:t>
      </w:r>
      <w:r w:rsidR="00081B5E">
        <w:rPr>
          <w:rFonts w:ascii="Times New Roman" w:hAnsi="Times New Roman"/>
          <w:szCs w:val="28"/>
        </w:rPr>
        <w:t xml:space="preserve">pegfilgrastim </w:t>
      </w:r>
      <w:r w:rsidRPr="00DB7CDB">
        <w:rPr>
          <w:rFonts w:ascii="Times New Roman" w:hAnsi="Times New Roman"/>
          <w:szCs w:val="28"/>
        </w:rPr>
        <w:t xml:space="preserve">100 </w:t>
      </w:r>
      <w:r w:rsidR="00081B5E">
        <w:rPr>
          <w:rFonts w:ascii="Times New Roman" w:hAnsi="Times New Roman"/>
          <w:szCs w:val="28"/>
        </w:rPr>
        <w:t>µ</w:t>
      </w:r>
      <w:r w:rsidRPr="00DB7CDB">
        <w:rPr>
          <w:rFonts w:ascii="Times New Roman" w:hAnsi="Times New Roman"/>
          <w:szCs w:val="28"/>
        </w:rPr>
        <w:t xml:space="preserve">g/kg was similar to daily injections of filgrastim 5 </w:t>
      </w:r>
      <w:r w:rsidR="00081B5E">
        <w:rPr>
          <w:rFonts w:ascii="Times New Roman" w:hAnsi="Times New Roman"/>
          <w:szCs w:val="28"/>
        </w:rPr>
        <w:t>µ</w:t>
      </w:r>
      <w:r w:rsidRPr="00DB7CDB">
        <w:rPr>
          <w:rFonts w:ascii="Times New Roman" w:hAnsi="Times New Roman"/>
          <w:szCs w:val="28"/>
        </w:rPr>
        <w:t>g/kg/day and was superior to the</w:t>
      </w:r>
      <w:r w:rsidR="00081B5E">
        <w:rPr>
          <w:rFonts w:ascii="Times New Roman" w:hAnsi="Times New Roman"/>
          <w:szCs w:val="28"/>
        </w:rPr>
        <w:t xml:space="preserve"> </w:t>
      </w:r>
      <w:r w:rsidRPr="00DB7CDB">
        <w:rPr>
          <w:rFonts w:ascii="Times New Roman" w:hAnsi="Times New Roman"/>
          <w:szCs w:val="28"/>
        </w:rPr>
        <w:t xml:space="preserve">lower dose of 30 </w:t>
      </w:r>
      <w:r w:rsidR="00081B5E">
        <w:rPr>
          <w:rFonts w:ascii="Times New Roman" w:hAnsi="Times New Roman"/>
          <w:szCs w:val="28"/>
        </w:rPr>
        <w:t>µ</w:t>
      </w:r>
      <w:r w:rsidRPr="00DB7CDB">
        <w:rPr>
          <w:rFonts w:ascii="Times New Roman" w:hAnsi="Times New Roman"/>
          <w:szCs w:val="28"/>
        </w:rPr>
        <w:t>g/kg. A randomised phase 2 study of patients with NHL or Hodgkin's</w:t>
      </w:r>
      <w:r w:rsidR="00081B5E">
        <w:rPr>
          <w:rFonts w:ascii="Times New Roman" w:hAnsi="Times New Roman"/>
          <w:szCs w:val="28"/>
        </w:rPr>
        <w:t xml:space="preserve"> </w:t>
      </w:r>
      <w:r w:rsidRPr="00DB7CDB">
        <w:rPr>
          <w:rFonts w:ascii="Times New Roman" w:hAnsi="Times New Roman"/>
          <w:szCs w:val="28"/>
        </w:rPr>
        <w:t xml:space="preserve">lymphoma (n = 60) further supports the safety and efficacy of </w:t>
      </w:r>
      <w:r w:rsidR="00081B5E">
        <w:rPr>
          <w:rFonts w:ascii="Times New Roman" w:hAnsi="Times New Roman"/>
          <w:szCs w:val="28"/>
        </w:rPr>
        <w:t>pegfilgrastim</w:t>
      </w:r>
      <w:r w:rsidRPr="00DB7CDB">
        <w:rPr>
          <w:rFonts w:ascii="Times New Roman" w:hAnsi="Times New Roman"/>
          <w:szCs w:val="28"/>
        </w:rPr>
        <w:t>.</w:t>
      </w:r>
    </w:p>
    <w:p w14:paraId="4CBEA801" w14:textId="213840DF" w:rsidR="00DB7CDB" w:rsidRDefault="00DB7CDB" w:rsidP="00D61C42">
      <w:pPr>
        <w:autoSpaceDE w:val="0"/>
        <w:autoSpaceDN w:val="0"/>
        <w:adjustRightInd w:val="0"/>
        <w:spacing w:after="240" w:line="240" w:lineRule="auto"/>
        <w:jc w:val="both"/>
        <w:rPr>
          <w:rFonts w:ascii="Times New Roman" w:hAnsi="Times New Roman"/>
          <w:szCs w:val="28"/>
        </w:rPr>
      </w:pPr>
      <w:r w:rsidRPr="00DB7CDB">
        <w:rPr>
          <w:rFonts w:ascii="Times New Roman" w:hAnsi="Times New Roman"/>
          <w:szCs w:val="28"/>
        </w:rPr>
        <w:t>A phase 2, randomised, double-blind study (n=83) in pati</w:t>
      </w:r>
      <w:r w:rsidR="00081B5E">
        <w:rPr>
          <w:rFonts w:ascii="Times New Roman" w:hAnsi="Times New Roman"/>
          <w:szCs w:val="28"/>
        </w:rPr>
        <w:t xml:space="preserve">ents receiving chemotherapy for </w:t>
      </w:r>
      <w:r w:rsidRPr="00081B5E">
        <w:rPr>
          <w:rFonts w:ascii="Times New Roman" w:hAnsi="Times New Roman"/>
          <w:i/>
          <w:szCs w:val="28"/>
        </w:rPr>
        <w:t>de novo</w:t>
      </w:r>
      <w:r w:rsidRPr="00DB7CDB">
        <w:rPr>
          <w:rFonts w:ascii="Times New Roman" w:hAnsi="Times New Roman"/>
          <w:szCs w:val="28"/>
        </w:rPr>
        <w:t xml:space="preserve"> acute myeloid leukaemia compared pegfilgrastim (single dose of 6 mg) with</w:t>
      </w:r>
      <w:r w:rsidR="00081B5E">
        <w:rPr>
          <w:rFonts w:ascii="Times New Roman" w:hAnsi="Times New Roman"/>
          <w:szCs w:val="28"/>
        </w:rPr>
        <w:t xml:space="preserve"> </w:t>
      </w:r>
      <w:r w:rsidRPr="00DB7CDB">
        <w:rPr>
          <w:rFonts w:ascii="Times New Roman" w:hAnsi="Times New Roman"/>
          <w:szCs w:val="28"/>
        </w:rPr>
        <w:t>filgrastim, administered during induction chemotherapy. Median time to recovery from</w:t>
      </w:r>
      <w:r w:rsidR="00081B5E">
        <w:rPr>
          <w:rFonts w:ascii="Times New Roman" w:hAnsi="Times New Roman"/>
          <w:szCs w:val="28"/>
        </w:rPr>
        <w:t xml:space="preserve"> </w:t>
      </w:r>
      <w:r w:rsidRPr="00DB7CDB">
        <w:rPr>
          <w:rFonts w:ascii="Times New Roman" w:hAnsi="Times New Roman"/>
          <w:szCs w:val="28"/>
        </w:rPr>
        <w:t>severe neutropenia was estimated as 22 days in both treatment groups. Long term outcome</w:t>
      </w:r>
      <w:r w:rsidR="00081B5E">
        <w:rPr>
          <w:rFonts w:ascii="Times New Roman" w:hAnsi="Times New Roman"/>
          <w:szCs w:val="28"/>
        </w:rPr>
        <w:t xml:space="preserve"> </w:t>
      </w:r>
      <w:r w:rsidRPr="00DB7CDB">
        <w:rPr>
          <w:rFonts w:ascii="Times New Roman" w:hAnsi="Times New Roman"/>
          <w:szCs w:val="28"/>
        </w:rPr>
        <w:t>was not studied.</w:t>
      </w:r>
    </w:p>
    <w:p w14:paraId="061D7AF7" w14:textId="12DA7449" w:rsidR="003E5C5B" w:rsidRPr="001A7651" w:rsidRDefault="003E5C5B" w:rsidP="00D61C42">
      <w:pPr>
        <w:autoSpaceDE w:val="0"/>
        <w:autoSpaceDN w:val="0"/>
        <w:adjustRightInd w:val="0"/>
        <w:spacing w:after="240" w:line="240" w:lineRule="auto"/>
        <w:jc w:val="both"/>
        <w:rPr>
          <w:rFonts w:ascii="Arial" w:hAnsi="Arial" w:cs="Arial"/>
          <w:b/>
          <w:szCs w:val="28"/>
        </w:rPr>
      </w:pPr>
      <w:r w:rsidRPr="001A7651">
        <w:rPr>
          <w:rFonts w:ascii="Arial" w:hAnsi="Arial" w:cs="Arial"/>
          <w:b/>
          <w:szCs w:val="28"/>
        </w:rPr>
        <w:t>Comparability of Fulphila with Neulasta</w:t>
      </w:r>
    </w:p>
    <w:p w14:paraId="61ABC406" w14:textId="49503C17" w:rsidR="003E5C5B" w:rsidRDefault="00E07978" w:rsidP="00E07978">
      <w:pPr>
        <w:autoSpaceDE w:val="0"/>
        <w:autoSpaceDN w:val="0"/>
        <w:adjustRightInd w:val="0"/>
        <w:spacing w:after="240" w:line="240" w:lineRule="auto"/>
        <w:jc w:val="both"/>
        <w:rPr>
          <w:rFonts w:ascii="Times New Roman" w:hAnsi="Times New Roman"/>
          <w:szCs w:val="28"/>
        </w:rPr>
      </w:pPr>
      <w:r w:rsidRPr="001A7651">
        <w:rPr>
          <w:rFonts w:ascii="Times New Roman" w:hAnsi="Times New Roman"/>
          <w:szCs w:val="28"/>
        </w:rPr>
        <w:t xml:space="preserve">The clinical development program </w:t>
      </w:r>
      <w:r>
        <w:rPr>
          <w:rFonts w:ascii="Times New Roman" w:hAnsi="Times New Roman"/>
          <w:szCs w:val="28"/>
        </w:rPr>
        <w:t xml:space="preserve">for Fulphila </w:t>
      </w:r>
      <w:r w:rsidRPr="001A7651">
        <w:rPr>
          <w:rFonts w:ascii="Times New Roman" w:hAnsi="Times New Roman"/>
          <w:szCs w:val="28"/>
        </w:rPr>
        <w:t>includes 3 clinical studies that were designed to confirm</w:t>
      </w:r>
      <w:r>
        <w:rPr>
          <w:rFonts w:ascii="Times New Roman" w:hAnsi="Times New Roman"/>
          <w:szCs w:val="28"/>
        </w:rPr>
        <w:t xml:space="preserve"> </w:t>
      </w:r>
      <w:r w:rsidRPr="001A7651">
        <w:rPr>
          <w:rFonts w:ascii="Times New Roman" w:hAnsi="Times New Roman"/>
          <w:szCs w:val="28"/>
        </w:rPr>
        <w:t>the similarity established at the analytical/biological and nonclinical level, address the</w:t>
      </w:r>
      <w:r>
        <w:rPr>
          <w:rFonts w:ascii="Times New Roman" w:hAnsi="Times New Roman"/>
          <w:szCs w:val="28"/>
        </w:rPr>
        <w:t xml:space="preserve"> </w:t>
      </w:r>
      <w:r w:rsidRPr="001A7651">
        <w:rPr>
          <w:rFonts w:ascii="Times New Roman" w:hAnsi="Times New Roman"/>
          <w:szCs w:val="28"/>
        </w:rPr>
        <w:t>potential for immunogenicity, and demonstrate no clinically meaningful differences between</w:t>
      </w:r>
      <w:r>
        <w:rPr>
          <w:rFonts w:ascii="Times New Roman" w:hAnsi="Times New Roman"/>
          <w:szCs w:val="28"/>
        </w:rPr>
        <w:t xml:space="preserve"> Fulphila</w:t>
      </w:r>
      <w:r w:rsidRPr="001A7651">
        <w:rPr>
          <w:rFonts w:ascii="Times New Roman" w:hAnsi="Times New Roman"/>
          <w:szCs w:val="28"/>
        </w:rPr>
        <w:t xml:space="preserve"> and Neulasta.</w:t>
      </w:r>
    </w:p>
    <w:p w14:paraId="70ABD047" w14:textId="77777777" w:rsidR="001B07FB" w:rsidRPr="001A7651" w:rsidRDefault="00E07978" w:rsidP="00E07978">
      <w:pPr>
        <w:autoSpaceDE w:val="0"/>
        <w:autoSpaceDN w:val="0"/>
        <w:adjustRightInd w:val="0"/>
        <w:spacing w:after="240" w:line="240" w:lineRule="auto"/>
        <w:jc w:val="both"/>
        <w:rPr>
          <w:rFonts w:ascii="Times New Roman" w:hAnsi="Times New Roman"/>
          <w:szCs w:val="28"/>
          <w:u w:val="single"/>
        </w:rPr>
      </w:pPr>
      <w:r w:rsidRPr="001A7651">
        <w:rPr>
          <w:rFonts w:ascii="Times New Roman" w:hAnsi="Times New Roman"/>
          <w:szCs w:val="28"/>
          <w:u w:val="single"/>
        </w:rPr>
        <w:t xml:space="preserve">Study MYL-1401H-1001 </w:t>
      </w:r>
    </w:p>
    <w:p w14:paraId="261E19EB" w14:textId="69453E3E" w:rsidR="00E07978" w:rsidRDefault="001B07FB" w:rsidP="00E07978">
      <w:pPr>
        <w:autoSpaceDE w:val="0"/>
        <w:autoSpaceDN w:val="0"/>
        <w:adjustRightInd w:val="0"/>
        <w:spacing w:after="240" w:line="240" w:lineRule="auto"/>
        <w:jc w:val="both"/>
        <w:rPr>
          <w:rFonts w:ascii="Times New Roman" w:hAnsi="Times New Roman"/>
          <w:szCs w:val="28"/>
        </w:rPr>
      </w:pPr>
      <w:r>
        <w:rPr>
          <w:rFonts w:ascii="Times New Roman" w:hAnsi="Times New Roman"/>
          <w:szCs w:val="28"/>
        </w:rPr>
        <w:t xml:space="preserve">This </w:t>
      </w:r>
      <w:r w:rsidR="00E07978">
        <w:rPr>
          <w:rFonts w:ascii="Times New Roman" w:hAnsi="Times New Roman"/>
          <w:szCs w:val="28"/>
        </w:rPr>
        <w:t xml:space="preserve">was a </w:t>
      </w:r>
      <w:r w:rsidR="00863951">
        <w:rPr>
          <w:rFonts w:ascii="Times New Roman" w:hAnsi="Times New Roman"/>
          <w:szCs w:val="28"/>
        </w:rPr>
        <w:t xml:space="preserve">single-centre, randomised, double-blind, 3-period, 3-treatment, 3-way crossover study, designed to compare the </w:t>
      </w:r>
      <w:r w:rsidR="00E07978">
        <w:rPr>
          <w:rFonts w:ascii="Times New Roman" w:hAnsi="Times New Roman"/>
          <w:szCs w:val="28"/>
        </w:rPr>
        <w:t>pharmacokinetic (PK)</w:t>
      </w:r>
      <w:r w:rsidR="00863951">
        <w:rPr>
          <w:rFonts w:ascii="Times New Roman" w:hAnsi="Times New Roman"/>
          <w:szCs w:val="28"/>
        </w:rPr>
        <w:t>,</w:t>
      </w:r>
      <w:r w:rsidR="00E07978">
        <w:rPr>
          <w:rFonts w:ascii="Times New Roman" w:hAnsi="Times New Roman"/>
          <w:szCs w:val="28"/>
        </w:rPr>
        <w:t xml:space="preserve"> </w:t>
      </w:r>
      <w:r w:rsidR="00863951">
        <w:rPr>
          <w:rFonts w:ascii="Times New Roman" w:hAnsi="Times New Roman"/>
          <w:szCs w:val="28"/>
        </w:rPr>
        <w:t>p</w:t>
      </w:r>
      <w:r w:rsidR="00E07978">
        <w:rPr>
          <w:rFonts w:ascii="Times New Roman" w:hAnsi="Times New Roman"/>
          <w:szCs w:val="28"/>
        </w:rPr>
        <w:t>harmacodynamic (PD)</w:t>
      </w:r>
      <w:r w:rsidR="00863951">
        <w:rPr>
          <w:rFonts w:ascii="Times New Roman" w:hAnsi="Times New Roman"/>
          <w:szCs w:val="28"/>
        </w:rPr>
        <w:t>, safety and tolerability</w:t>
      </w:r>
      <w:r w:rsidR="00E07978">
        <w:rPr>
          <w:rFonts w:ascii="Times New Roman" w:hAnsi="Times New Roman"/>
          <w:szCs w:val="28"/>
        </w:rPr>
        <w:t xml:space="preserve"> between Fulphila and Neulasta.</w:t>
      </w:r>
      <w:r w:rsidR="00863951">
        <w:rPr>
          <w:rFonts w:ascii="Times New Roman" w:hAnsi="Times New Roman"/>
          <w:szCs w:val="28"/>
        </w:rPr>
        <w:t xml:space="preserve"> A total of 216 healthy subjects were enrolled in the study, with a 2 mg SC injection being administered.</w:t>
      </w:r>
    </w:p>
    <w:p w14:paraId="616D0379" w14:textId="77777777" w:rsidR="001B07FB" w:rsidRPr="001A7651" w:rsidRDefault="00E07978" w:rsidP="00E07978">
      <w:pPr>
        <w:autoSpaceDE w:val="0"/>
        <w:autoSpaceDN w:val="0"/>
        <w:adjustRightInd w:val="0"/>
        <w:spacing w:after="240" w:line="240" w:lineRule="auto"/>
        <w:jc w:val="both"/>
        <w:rPr>
          <w:rFonts w:ascii="Times New Roman" w:hAnsi="Times New Roman"/>
          <w:szCs w:val="28"/>
          <w:u w:val="single"/>
        </w:rPr>
      </w:pPr>
      <w:r w:rsidRPr="001A7651">
        <w:rPr>
          <w:rFonts w:ascii="Times New Roman" w:hAnsi="Times New Roman"/>
          <w:szCs w:val="28"/>
          <w:u w:val="single"/>
        </w:rPr>
        <w:t xml:space="preserve">Study MYL-1401H-1002 </w:t>
      </w:r>
    </w:p>
    <w:p w14:paraId="6CE4A7A5" w14:textId="45310412" w:rsidR="001B07FB" w:rsidRDefault="001B07FB" w:rsidP="001B07FB">
      <w:pPr>
        <w:autoSpaceDE w:val="0"/>
        <w:autoSpaceDN w:val="0"/>
        <w:adjustRightInd w:val="0"/>
        <w:spacing w:after="240" w:line="240" w:lineRule="auto"/>
        <w:jc w:val="both"/>
        <w:rPr>
          <w:rFonts w:ascii="Times New Roman" w:hAnsi="Times New Roman"/>
          <w:szCs w:val="28"/>
        </w:rPr>
      </w:pPr>
      <w:r>
        <w:rPr>
          <w:rFonts w:ascii="Times New Roman" w:hAnsi="Times New Roman"/>
          <w:szCs w:val="28"/>
        </w:rPr>
        <w:t xml:space="preserve">The second clinical study </w:t>
      </w:r>
      <w:r w:rsidR="00E07978" w:rsidRPr="001A7651">
        <w:rPr>
          <w:rFonts w:ascii="Times New Roman" w:hAnsi="Times New Roman"/>
          <w:szCs w:val="28"/>
        </w:rPr>
        <w:t>was a</w:t>
      </w:r>
      <w:r w:rsidR="00863951">
        <w:rPr>
          <w:rFonts w:ascii="Times New Roman" w:hAnsi="Times New Roman"/>
          <w:szCs w:val="28"/>
        </w:rPr>
        <w:t xml:space="preserve"> single-centre, randomised,</w:t>
      </w:r>
      <w:r w:rsidR="00E07978" w:rsidRPr="001A7651">
        <w:rPr>
          <w:rFonts w:ascii="Times New Roman" w:hAnsi="Times New Roman"/>
          <w:szCs w:val="28"/>
        </w:rPr>
        <w:t xml:space="preserve"> ope</w:t>
      </w:r>
      <w:r w:rsidR="00863951" w:rsidRPr="00863951">
        <w:rPr>
          <w:rFonts w:ascii="Times New Roman" w:hAnsi="Times New Roman"/>
          <w:szCs w:val="28"/>
        </w:rPr>
        <w:t xml:space="preserve">n-label, 2-dose, parallel study. </w:t>
      </w:r>
      <w:r w:rsidRPr="001A7651">
        <w:rPr>
          <w:rFonts w:ascii="Times New Roman" w:hAnsi="Times New Roman"/>
          <w:szCs w:val="28"/>
        </w:rPr>
        <w:t>The primary objective of this study was to descriptively compare immunogenicity between</w:t>
      </w:r>
      <w:r>
        <w:rPr>
          <w:rFonts w:ascii="Times New Roman" w:hAnsi="Times New Roman"/>
          <w:szCs w:val="28"/>
        </w:rPr>
        <w:t xml:space="preserve"> Fulphila</w:t>
      </w:r>
      <w:r w:rsidRPr="001A7651">
        <w:rPr>
          <w:rFonts w:ascii="Times New Roman" w:hAnsi="Times New Roman"/>
          <w:szCs w:val="28"/>
        </w:rPr>
        <w:t xml:space="preserve"> and Neulasta after 2 SC injections (6 mg each). The</w:t>
      </w:r>
      <w:r>
        <w:rPr>
          <w:rFonts w:ascii="Times New Roman" w:hAnsi="Times New Roman"/>
          <w:szCs w:val="28"/>
        </w:rPr>
        <w:t xml:space="preserve"> </w:t>
      </w:r>
      <w:r w:rsidRPr="001A7651">
        <w:rPr>
          <w:rFonts w:ascii="Times New Roman" w:hAnsi="Times New Roman"/>
          <w:szCs w:val="28"/>
        </w:rPr>
        <w:t xml:space="preserve">secondary objective of this study was to evaluate the safety and tolerability of </w:t>
      </w:r>
      <w:r>
        <w:rPr>
          <w:rFonts w:ascii="Times New Roman" w:hAnsi="Times New Roman"/>
          <w:szCs w:val="28"/>
        </w:rPr>
        <w:t xml:space="preserve">Fulphila </w:t>
      </w:r>
      <w:r w:rsidRPr="001B07FB">
        <w:rPr>
          <w:rFonts w:ascii="Times New Roman" w:hAnsi="Times New Roman"/>
          <w:szCs w:val="28"/>
        </w:rPr>
        <w:t xml:space="preserve">and </w:t>
      </w:r>
      <w:r w:rsidRPr="001A7651">
        <w:rPr>
          <w:rFonts w:ascii="Times New Roman" w:hAnsi="Times New Roman"/>
          <w:szCs w:val="28"/>
        </w:rPr>
        <w:t>Neulasta after 2 SC injections (6 mg each)</w:t>
      </w:r>
      <w:r w:rsidR="00A231D6">
        <w:rPr>
          <w:rFonts w:ascii="Times New Roman" w:hAnsi="Times New Roman"/>
          <w:szCs w:val="28"/>
        </w:rPr>
        <w:t xml:space="preserve">. A total of 50 </w:t>
      </w:r>
      <w:r w:rsidRPr="001A7651">
        <w:rPr>
          <w:rFonts w:ascii="Times New Roman" w:hAnsi="Times New Roman"/>
          <w:szCs w:val="28"/>
        </w:rPr>
        <w:t>healthy subjects</w:t>
      </w:r>
      <w:r w:rsidR="00A231D6" w:rsidRPr="00A231D6">
        <w:rPr>
          <w:rFonts w:ascii="Times New Roman" w:hAnsi="Times New Roman"/>
          <w:szCs w:val="28"/>
        </w:rPr>
        <w:t xml:space="preserve"> were enrolled in this study.</w:t>
      </w:r>
    </w:p>
    <w:p w14:paraId="656A7312" w14:textId="0320A2A7" w:rsidR="001B07FB" w:rsidRPr="001A7651" w:rsidRDefault="001B07FB" w:rsidP="00E07978">
      <w:pPr>
        <w:autoSpaceDE w:val="0"/>
        <w:autoSpaceDN w:val="0"/>
        <w:adjustRightInd w:val="0"/>
        <w:spacing w:after="240" w:line="240" w:lineRule="auto"/>
        <w:jc w:val="both"/>
        <w:rPr>
          <w:rFonts w:ascii="Times New Roman" w:hAnsi="Times New Roman"/>
          <w:szCs w:val="28"/>
          <w:u w:val="single"/>
        </w:rPr>
      </w:pPr>
      <w:r w:rsidRPr="001A7651">
        <w:rPr>
          <w:rFonts w:ascii="Times New Roman" w:hAnsi="Times New Roman"/>
          <w:szCs w:val="28"/>
          <w:u w:val="single"/>
        </w:rPr>
        <w:t>Study MYL-1401H-3001</w:t>
      </w:r>
    </w:p>
    <w:p w14:paraId="45C2DEC5" w14:textId="360BD101" w:rsidR="00E07978" w:rsidRDefault="00E07978" w:rsidP="00E07978">
      <w:pPr>
        <w:autoSpaceDE w:val="0"/>
        <w:autoSpaceDN w:val="0"/>
        <w:adjustRightInd w:val="0"/>
        <w:spacing w:after="240" w:line="240" w:lineRule="auto"/>
        <w:jc w:val="both"/>
        <w:rPr>
          <w:rFonts w:ascii="Times New Roman" w:hAnsi="Times New Roman"/>
          <w:szCs w:val="28"/>
        </w:rPr>
      </w:pPr>
      <w:r>
        <w:rPr>
          <w:rFonts w:ascii="Times New Roman" w:hAnsi="Times New Roman"/>
          <w:szCs w:val="28"/>
        </w:rPr>
        <w:t xml:space="preserve">The third clinical study carried out was </w:t>
      </w:r>
      <w:r w:rsidRPr="001A7651">
        <w:rPr>
          <w:rFonts w:ascii="Times New Roman" w:hAnsi="Times New Roman"/>
          <w:szCs w:val="28"/>
        </w:rPr>
        <w:t>Study MYL-1401H-3001</w:t>
      </w:r>
      <w:r>
        <w:rPr>
          <w:rFonts w:ascii="Times New Roman" w:hAnsi="Times New Roman"/>
          <w:szCs w:val="28"/>
        </w:rPr>
        <w:t>, which</w:t>
      </w:r>
      <w:r w:rsidRPr="001A7651">
        <w:rPr>
          <w:rFonts w:ascii="Times New Roman" w:hAnsi="Times New Roman"/>
          <w:szCs w:val="28"/>
        </w:rPr>
        <w:t xml:space="preserve"> was a multi</w:t>
      </w:r>
      <w:r>
        <w:rPr>
          <w:rFonts w:ascii="Times New Roman" w:hAnsi="Times New Roman"/>
          <w:szCs w:val="28"/>
        </w:rPr>
        <w:t>-</w:t>
      </w:r>
      <w:r w:rsidR="00A231D6" w:rsidRPr="00E07978">
        <w:rPr>
          <w:rFonts w:ascii="Times New Roman" w:hAnsi="Times New Roman"/>
          <w:szCs w:val="28"/>
        </w:rPr>
        <w:t>centre</w:t>
      </w:r>
      <w:r w:rsidRPr="00E07978">
        <w:rPr>
          <w:rFonts w:ascii="Times New Roman" w:hAnsi="Times New Roman"/>
          <w:szCs w:val="28"/>
        </w:rPr>
        <w:t>, randomis</w:t>
      </w:r>
      <w:r w:rsidRPr="001A7651">
        <w:rPr>
          <w:rFonts w:ascii="Times New Roman" w:hAnsi="Times New Roman"/>
          <w:szCs w:val="28"/>
        </w:rPr>
        <w:t>ed, double-blind, parallel-group study</w:t>
      </w:r>
      <w:r>
        <w:rPr>
          <w:rFonts w:ascii="Times New Roman" w:hAnsi="Times New Roman"/>
          <w:szCs w:val="28"/>
        </w:rPr>
        <w:t xml:space="preserve"> </w:t>
      </w:r>
      <w:r w:rsidRPr="001A7651">
        <w:rPr>
          <w:rFonts w:ascii="Times New Roman" w:hAnsi="Times New Roman"/>
          <w:szCs w:val="28"/>
        </w:rPr>
        <w:t xml:space="preserve">with 2 treatment groups designed to evaluate the efficacy and safety of </w:t>
      </w:r>
      <w:r>
        <w:rPr>
          <w:rFonts w:ascii="Times New Roman" w:hAnsi="Times New Roman"/>
          <w:szCs w:val="28"/>
        </w:rPr>
        <w:t>Fulphila ve</w:t>
      </w:r>
      <w:r w:rsidRPr="001A7651">
        <w:rPr>
          <w:rFonts w:ascii="Times New Roman" w:hAnsi="Times New Roman"/>
          <w:szCs w:val="28"/>
        </w:rPr>
        <w:t>rsus</w:t>
      </w:r>
      <w:r>
        <w:rPr>
          <w:rFonts w:ascii="Times New Roman" w:hAnsi="Times New Roman"/>
          <w:szCs w:val="28"/>
        </w:rPr>
        <w:t xml:space="preserve"> </w:t>
      </w:r>
      <w:r w:rsidRPr="00E07978">
        <w:rPr>
          <w:rFonts w:ascii="Times New Roman" w:hAnsi="Times New Roman"/>
          <w:szCs w:val="28"/>
        </w:rPr>
        <w:t xml:space="preserve">Neulasta </w:t>
      </w:r>
      <w:r w:rsidRPr="001A7651">
        <w:rPr>
          <w:rFonts w:ascii="Times New Roman" w:hAnsi="Times New Roman"/>
          <w:szCs w:val="28"/>
        </w:rPr>
        <w:t xml:space="preserve">in patients </w:t>
      </w:r>
      <w:r w:rsidR="00A231D6">
        <w:rPr>
          <w:rFonts w:ascii="Times New Roman" w:hAnsi="Times New Roman"/>
          <w:szCs w:val="28"/>
        </w:rPr>
        <w:t>(194 adults</w:t>
      </w:r>
      <w:r w:rsidR="002C2366">
        <w:rPr>
          <w:rFonts w:ascii="Times New Roman" w:hAnsi="Times New Roman"/>
          <w:szCs w:val="28"/>
        </w:rPr>
        <w:t>; 127 in Fulphila and 67 in Neulasta group</w:t>
      </w:r>
      <w:r w:rsidR="00A231D6">
        <w:rPr>
          <w:rFonts w:ascii="Times New Roman" w:hAnsi="Times New Roman"/>
          <w:szCs w:val="28"/>
        </w:rPr>
        <w:t xml:space="preserve">) </w:t>
      </w:r>
      <w:r w:rsidRPr="001A7651">
        <w:rPr>
          <w:rFonts w:ascii="Times New Roman" w:hAnsi="Times New Roman"/>
          <w:szCs w:val="28"/>
        </w:rPr>
        <w:t>with newly diagnosed Stage II/III breast cancer</w:t>
      </w:r>
      <w:r>
        <w:rPr>
          <w:rFonts w:ascii="Times New Roman" w:hAnsi="Times New Roman"/>
          <w:szCs w:val="28"/>
        </w:rPr>
        <w:t xml:space="preserve"> </w:t>
      </w:r>
      <w:r w:rsidRPr="001A7651">
        <w:rPr>
          <w:rFonts w:ascii="Times New Roman" w:hAnsi="Times New Roman"/>
          <w:szCs w:val="28"/>
        </w:rPr>
        <w:t>receiving up to 6 cycles of TAC anti-cancer therapy.</w:t>
      </w:r>
    </w:p>
    <w:p w14:paraId="3DB87AB4" w14:textId="6DE6525D" w:rsidR="001B07FB" w:rsidRDefault="001B07FB" w:rsidP="001B07FB">
      <w:pPr>
        <w:autoSpaceDE w:val="0"/>
        <w:autoSpaceDN w:val="0"/>
        <w:adjustRightInd w:val="0"/>
        <w:spacing w:after="240" w:line="240" w:lineRule="auto"/>
        <w:jc w:val="both"/>
        <w:rPr>
          <w:rFonts w:ascii="Times New Roman" w:hAnsi="Times New Roman"/>
          <w:szCs w:val="28"/>
        </w:rPr>
      </w:pPr>
      <w:r w:rsidRPr="001A7651">
        <w:rPr>
          <w:rFonts w:ascii="Times New Roman" w:hAnsi="Times New Roman"/>
          <w:szCs w:val="28"/>
        </w:rPr>
        <w:t xml:space="preserve">The primary objective of this study was to compare the efficacy of </w:t>
      </w:r>
      <w:r>
        <w:rPr>
          <w:rFonts w:ascii="Times New Roman" w:hAnsi="Times New Roman"/>
          <w:szCs w:val="28"/>
        </w:rPr>
        <w:t>Fulphila</w:t>
      </w:r>
      <w:r w:rsidRPr="001A7651">
        <w:rPr>
          <w:rFonts w:ascii="Times New Roman" w:hAnsi="Times New Roman"/>
          <w:szCs w:val="28"/>
        </w:rPr>
        <w:t xml:space="preserve"> and</w:t>
      </w:r>
      <w:r>
        <w:rPr>
          <w:rFonts w:ascii="Times New Roman" w:hAnsi="Times New Roman"/>
          <w:szCs w:val="28"/>
        </w:rPr>
        <w:t xml:space="preserve"> </w:t>
      </w:r>
      <w:r w:rsidRPr="001A7651">
        <w:rPr>
          <w:rFonts w:ascii="Times New Roman" w:hAnsi="Times New Roman"/>
          <w:szCs w:val="28"/>
        </w:rPr>
        <w:t>Neulasta for the prophylactic treatment of chemotherapy-induced neutropenia in patients</w:t>
      </w:r>
      <w:r>
        <w:rPr>
          <w:rFonts w:ascii="Times New Roman" w:hAnsi="Times New Roman"/>
          <w:szCs w:val="28"/>
        </w:rPr>
        <w:t xml:space="preserve"> </w:t>
      </w:r>
      <w:r w:rsidRPr="001A7651">
        <w:rPr>
          <w:rFonts w:ascii="Times New Roman" w:hAnsi="Times New Roman"/>
          <w:szCs w:val="28"/>
        </w:rPr>
        <w:t>with Stage II/III breast cancer receiving TAC anti-cancer chemotherapy. The secondary</w:t>
      </w:r>
      <w:r>
        <w:rPr>
          <w:rFonts w:ascii="Times New Roman" w:hAnsi="Times New Roman"/>
          <w:szCs w:val="28"/>
        </w:rPr>
        <w:t xml:space="preserve"> </w:t>
      </w:r>
      <w:r w:rsidRPr="001A7651">
        <w:rPr>
          <w:rFonts w:ascii="Times New Roman" w:hAnsi="Times New Roman"/>
          <w:szCs w:val="28"/>
        </w:rPr>
        <w:t xml:space="preserve">objectives included: to assess the safety of </w:t>
      </w:r>
      <w:r>
        <w:rPr>
          <w:rFonts w:ascii="Times New Roman" w:hAnsi="Times New Roman"/>
          <w:szCs w:val="28"/>
        </w:rPr>
        <w:t>Fulphila</w:t>
      </w:r>
      <w:r w:rsidRPr="001A7651">
        <w:rPr>
          <w:rFonts w:ascii="Times New Roman" w:hAnsi="Times New Roman"/>
          <w:szCs w:val="28"/>
        </w:rPr>
        <w:t xml:space="preserve"> and </w:t>
      </w:r>
      <w:r>
        <w:rPr>
          <w:rFonts w:ascii="Times New Roman" w:hAnsi="Times New Roman"/>
          <w:szCs w:val="28"/>
        </w:rPr>
        <w:t>N</w:t>
      </w:r>
      <w:r w:rsidRPr="001A7651">
        <w:rPr>
          <w:rFonts w:ascii="Times New Roman" w:hAnsi="Times New Roman"/>
          <w:szCs w:val="28"/>
        </w:rPr>
        <w:t>eulasta when administered</w:t>
      </w:r>
      <w:r>
        <w:rPr>
          <w:rFonts w:ascii="Times New Roman" w:hAnsi="Times New Roman"/>
          <w:szCs w:val="28"/>
        </w:rPr>
        <w:t xml:space="preserve"> </w:t>
      </w:r>
      <w:r w:rsidRPr="001A7651">
        <w:rPr>
          <w:rFonts w:ascii="Times New Roman" w:hAnsi="Times New Roman"/>
          <w:szCs w:val="28"/>
        </w:rPr>
        <w:t>through 6 cycles of TAC anti-cancer chemotherapy; and to assess the potential</w:t>
      </w:r>
      <w:r>
        <w:rPr>
          <w:rFonts w:ascii="Times New Roman" w:hAnsi="Times New Roman"/>
          <w:szCs w:val="28"/>
        </w:rPr>
        <w:t xml:space="preserve"> </w:t>
      </w:r>
      <w:r w:rsidRPr="001A7651">
        <w:rPr>
          <w:rFonts w:ascii="Times New Roman" w:hAnsi="Times New Roman"/>
          <w:szCs w:val="28"/>
        </w:rPr>
        <w:t xml:space="preserve">immunogenicity of </w:t>
      </w:r>
      <w:r>
        <w:rPr>
          <w:rFonts w:ascii="Times New Roman" w:hAnsi="Times New Roman"/>
          <w:szCs w:val="28"/>
        </w:rPr>
        <w:t>Fulphila</w:t>
      </w:r>
      <w:r w:rsidRPr="001E54F5">
        <w:rPr>
          <w:rFonts w:ascii="Times New Roman" w:hAnsi="Times New Roman"/>
          <w:szCs w:val="28"/>
        </w:rPr>
        <w:t xml:space="preserve"> and </w:t>
      </w:r>
      <w:r>
        <w:rPr>
          <w:rFonts w:ascii="Times New Roman" w:hAnsi="Times New Roman"/>
          <w:szCs w:val="28"/>
        </w:rPr>
        <w:t>N</w:t>
      </w:r>
      <w:r w:rsidRPr="001E54F5">
        <w:rPr>
          <w:rFonts w:ascii="Times New Roman" w:hAnsi="Times New Roman"/>
          <w:szCs w:val="28"/>
        </w:rPr>
        <w:t xml:space="preserve">eulasta </w:t>
      </w:r>
      <w:r w:rsidRPr="001A7651">
        <w:rPr>
          <w:rFonts w:ascii="Times New Roman" w:hAnsi="Times New Roman"/>
          <w:szCs w:val="28"/>
        </w:rPr>
        <w:t>during chemotherapy and up to 24 weeks</w:t>
      </w:r>
      <w:r>
        <w:rPr>
          <w:rFonts w:ascii="Times New Roman" w:hAnsi="Times New Roman"/>
          <w:szCs w:val="28"/>
        </w:rPr>
        <w:t xml:space="preserve"> </w:t>
      </w:r>
      <w:r w:rsidRPr="001A7651">
        <w:rPr>
          <w:rFonts w:ascii="Times New Roman" w:hAnsi="Times New Roman"/>
          <w:szCs w:val="28"/>
        </w:rPr>
        <w:t>following the first administration of pegfilgrastim.</w:t>
      </w:r>
    </w:p>
    <w:p w14:paraId="27B4C7D6" w14:textId="75C56391" w:rsidR="001B07FB" w:rsidRPr="001A7651" w:rsidRDefault="001B07FB" w:rsidP="00951FFF">
      <w:pPr>
        <w:autoSpaceDE w:val="0"/>
        <w:autoSpaceDN w:val="0"/>
        <w:adjustRightInd w:val="0"/>
        <w:spacing w:after="240" w:line="240" w:lineRule="auto"/>
        <w:jc w:val="both"/>
        <w:rPr>
          <w:rFonts w:ascii="Times New Roman" w:hAnsi="Times New Roman"/>
          <w:szCs w:val="28"/>
          <w:u w:val="single"/>
        </w:rPr>
      </w:pPr>
      <w:r w:rsidRPr="001A7651">
        <w:rPr>
          <w:rFonts w:ascii="Times New Roman" w:hAnsi="Times New Roman"/>
          <w:szCs w:val="28"/>
          <w:u w:val="single"/>
        </w:rPr>
        <w:lastRenderedPageBreak/>
        <w:t>Summary</w:t>
      </w:r>
    </w:p>
    <w:p w14:paraId="1C750478" w14:textId="54A060F7" w:rsidR="00951FFF" w:rsidRDefault="00F96986" w:rsidP="00951FFF">
      <w:pPr>
        <w:autoSpaceDE w:val="0"/>
        <w:autoSpaceDN w:val="0"/>
        <w:adjustRightInd w:val="0"/>
        <w:spacing w:after="240" w:line="240" w:lineRule="auto"/>
        <w:jc w:val="both"/>
        <w:rPr>
          <w:rFonts w:ascii="Times New Roman" w:hAnsi="Times New Roman"/>
          <w:szCs w:val="28"/>
        </w:rPr>
      </w:pPr>
      <w:r w:rsidRPr="001A7651">
        <w:rPr>
          <w:rFonts w:ascii="Times New Roman" w:hAnsi="Times New Roman"/>
          <w:szCs w:val="28"/>
        </w:rPr>
        <w:t xml:space="preserve">For patients who were treated with either </w:t>
      </w:r>
      <w:r>
        <w:rPr>
          <w:rFonts w:ascii="Times New Roman" w:hAnsi="Times New Roman"/>
          <w:szCs w:val="28"/>
        </w:rPr>
        <w:t>Fulphila</w:t>
      </w:r>
      <w:r w:rsidRPr="001A7651">
        <w:rPr>
          <w:rFonts w:ascii="Times New Roman" w:hAnsi="Times New Roman"/>
          <w:szCs w:val="28"/>
        </w:rPr>
        <w:t xml:space="preserve"> or Neulasta (whether sourced from</w:t>
      </w:r>
      <w:r>
        <w:rPr>
          <w:rFonts w:ascii="Times New Roman" w:hAnsi="Times New Roman"/>
          <w:szCs w:val="28"/>
        </w:rPr>
        <w:t xml:space="preserve"> </w:t>
      </w:r>
      <w:r w:rsidRPr="001A7651">
        <w:rPr>
          <w:rFonts w:ascii="Times New Roman" w:hAnsi="Times New Roman"/>
          <w:szCs w:val="28"/>
        </w:rPr>
        <w:t>the EU or the US), PK and PD parameters, as well as immunogenicity response, were similar</w:t>
      </w:r>
      <w:r>
        <w:rPr>
          <w:rFonts w:ascii="Times New Roman" w:hAnsi="Times New Roman"/>
          <w:szCs w:val="28"/>
        </w:rPr>
        <w:t xml:space="preserve"> </w:t>
      </w:r>
      <w:r w:rsidRPr="001A7651">
        <w:rPr>
          <w:rFonts w:ascii="Times New Roman" w:hAnsi="Times New Roman"/>
          <w:szCs w:val="28"/>
        </w:rPr>
        <w:t xml:space="preserve">across the 3 sources of pegfilgrastim. </w:t>
      </w:r>
    </w:p>
    <w:p w14:paraId="72EA03B6" w14:textId="05342B3D" w:rsidR="00951FFF" w:rsidRPr="000A177A" w:rsidRDefault="00951FFF" w:rsidP="000A177A">
      <w:pPr>
        <w:autoSpaceDE w:val="0"/>
        <w:autoSpaceDN w:val="0"/>
        <w:adjustRightInd w:val="0"/>
        <w:spacing w:after="240" w:line="240" w:lineRule="auto"/>
        <w:jc w:val="both"/>
        <w:rPr>
          <w:rFonts w:ascii="Times New Roman" w:hAnsi="Times New Roman"/>
          <w:szCs w:val="28"/>
        </w:rPr>
      </w:pPr>
      <w:r w:rsidRPr="009278B7">
        <w:rPr>
          <w:rFonts w:ascii="Times New Roman" w:hAnsi="Times New Roman"/>
        </w:rPr>
        <w:t>Fulphila</w:t>
      </w:r>
      <w:r w:rsidR="00F96986" w:rsidRPr="001A7651">
        <w:rPr>
          <w:rFonts w:ascii="Times New Roman" w:hAnsi="Times New Roman"/>
        </w:rPr>
        <w:t xml:space="preserve"> demonstrated equivalent efficacy to</w:t>
      </w:r>
      <w:r w:rsidR="00F96986" w:rsidRPr="009278B7">
        <w:rPr>
          <w:rFonts w:ascii="Times New Roman" w:hAnsi="Times New Roman"/>
        </w:rPr>
        <w:t xml:space="preserve"> </w:t>
      </w:r>
      <w:r w:rsidR="00F96986" w:rsidRPr="001A7651">
        <w:rPr>
          <w:rFonts w:ascii="Times New Roman" w:hAnsi="Times New Roman"/>
        </w:rPr>
        <w:t>Neulasta in the prophylactic treatment of chemotherapy-induced neutropenia in patients with</w:t>
      </w:r>
      <w:r w:rsidR="00F96986" w:rsidRPr="009278B7">
        <w:rPr>
          <w:rFonts w:ascii="Times New Roman" w:hAnsi="Times New Roman"/>
        </w:rPr>
        <w:t xml:space="preserve"> </w:t>
      </w:r>
      <w:r w:rsidR="00F96986" w:rsidRPr="001A7651">
        <w:rPr>
          <w:rFonts w:ascii="Times New Roman" w:hAnsi="Times New Roman"/>
        </w:rPr>
        <w:t xml:space="preserve">breast cancer. For patients who were treated with either </w:t>
      </w:r>
      <w:r w:rsidRPr="009278B7">
        <w:rPr>
          <w:rFonts w:ascii="Times New Roman" w:hAnsi="Times New Roman"/>
        </w:rPr>
        <w:t>Fulphila</w:t>
      </w:r>
      <w:r w:rsidR="00F96986" w:rsidRPr="001A7651">
        <w:rPr>
          <w:rFonts w:ascii="Times New Roman" w:hAnsi="Times New Roman"/>
        </w:rPr>
        <w:t xml:space="preserve"> or Neulasta, results</w:t>
      </w:r>
      <w:r w:rsidR="00F96986" w:rsidRPr="009278B7">
        <w:rPr>
          <w:rFonts w:ascii="Times New Roman" w:hAnsi="Times New Roman"/>
        </w:rPr>
        <w:t xml:space="preserve"> </w:t>
      </w:r>
      <w:r w:rsidR="00F96986" w:rsidRPr="001A7651">
        <w:rPr>
          <w:rFonts w:ascii="Times New Roman" w:hAnsi="Times New Roman"/>
        </w:rPr>
        <w:t>were comparable for duration of severe neutropenia</w:t>
      </w:r>
      <w:r w:rsidR="00AD01F7" w:rsidRPr="009278B7">
        <w:rPr>
          <w:rFonts w:ascii="Times New Roman" w:hAnsi="Times New Roman"/>
        </w:rPr>
        <w:t xml:space="preserve"> (DSN)</w:t>
      </w:r>
      <w:r w:rsidR="00F96986" w:rsidRPr="001A7651">
        <w:rPr>
          <w:rFonts w:ascii="Times New Roman" w:hAnsi="Times New Roman"/>
        </w:rPr>
        <w:t xml:space="preserve"> in Cycle 1</w:t>
      </w:r>
      <w:r w:rsidR="002F63E0" w:rsidRPr="009278B7">
        <w:rPr>
          <w:rFonts w:ascii="Times New Roman" w:hAnsi="Times New Roman"/>
        </w:rPr>
        <w:t>.</w:t>
      </w:r>
      <w:r w:rsidR="00AD01F7" w:rsidRPr="009278B7">
        <w:rPr>
          <w:rFonts w:ascii="Times New Roman" w:hAnsi="Times New Roman"/>
        </w:rPr>
        <w:t xml:space="preserve"> </w:t>
      </w:r>
      <w:r w:rsidR="002F63E0" w:rsidRPr="009278B7">
        <w:rPr>
          <w:rFonts w:ascii="Times New Roman" w:hAnsi="Times New Roman"/>
        </w:rPr>
        <w:t xml:space="preserve">The mean (± SD) DSN in the </w:t>
      </w:r>
      <w:r w:rsidR="000A177A" w:rsidRPr="004B7DE9">
        <w:rPr>
          <w:rFonts w:ascii="Times New Roman" w:hAnsi="Times New Roman"/>
        </w:rPr>
        <w:t xml:space="preserve">Fulphila arm was </w:t>
      </w:r>
      <w:r w:rsidR="002F63E0" w:rsidRPr="004B7DE9">
        <w:rPr>
          <w:rFonts w:ascii="Times New Roman" w:hAnsi="Times New Roman"/>
        </w:rPr>
        <w:t>1.2 (± 0.93), compared to 1.2 (± 1.10) in the EU-Neulasta® group</w:t>
      </w:r>
      <w:r w:rsidR="00AD01F7" w:rsidRPr="001A7651">
        <w:rPr>
          <w:rFonts w:ascii="Times New Roman" w:hAnsi="Times New Roman"/>
        </w:rPr>
        <w:t>, and</w:t>
      </w:r>
      <w:r w:rsidR="002F63E0" w:rsidRPr="001A7651">
        <w:rPr>
          <w:rFonts w:ascii="Times New Roman" w:hAnsi="Times New Roman"/>
        </w:rPr>
        <w:t xml:space="preserve"> the LS mean difference was 0.01 (SE 0.148). The 95% CI (-0.285, 0.298) for the difference in LS Mean DSN of Fulphila and EU-Neulasta® was within the pre-specified equivalence range of [-1 day, +1 day].</w:t>
      </w:r>
      <w:r w:rsidR="00AD01F7" w:rsidRPr="009278B7">
        <w:rPr>
          <w:rFonts w:ascii="Times New Roman" w:hAnsi="Times New Roman"/>
        </w:rPr>
        <w:t xml:space="preserve"> The</w:t>
      </w:r>
      <w:r w:rsidR="00F96986" w:rsidRPr="001A7651">
        <w:rPr>
          <w:rFonts w:ascii="Times New Roman" w:hAnsi="Times New Roman"/>
        </w:rPr>
        <w:t xml:space="preserve"> </w:t>
      </w:r>
      <w:r w:rsidR="00AD01F7" w:rsidRPr="009278B7">
        <w:rPr>
          <w:rFonts w:ascii="Times New Roman" w:hAnsi="Times New Roman"/>
        </w:rPr>
        <w:t xml:space="preserve">secondary </w:t>
      </w:r>
      <w:r w:rsidR="00F96986" w:rsidRPr="001A7651">
        <w:rPr>
          <w:rFonts w:ascii="Times New Roman" w:hAnsi="Times New Roman"/>
        </w:rPr>
        <w:t>efficacy endpoints showed similar results for</w:t>
      </w:r>
      <w:r w:rsidR="00F96986" w:rsidRPr="009278B7">
        <w:rPr>
          <w:rFonts w:ascii="Times New Roman" w:hAnsi="Times New Roman"/>
        </w:rPr>
        <w:t xml:space="preserve"> </w:t>
      </w:r>
      <w:r w:rsidRPr="009278B7">
        <w:rPr>
          <w:rFonts w:ascii="Times New Roman" w:hAnsi="Times New Roman"/>
        </w:rPr>
        <w:t>Fulphila</w:t>
      </w:r>
      <w:r w:rsidR="00F96986" w:rsidRPr="001A7651">
        <w:rPr>
          <w:rFonts w:ascii="Times New Roman" w:hAnsi="Times New Roman"/>
        </w:rPr>
        <w:t xml:space="preserve"> or Neulasta.</w:t>
      </w:r>
      <w:r w:rsidR="00AD01F7" w:rsidRPr="009278B7">
        <w:rPr>
          <w:rFonts w:ascii="Times New Roman" w:hAnsi="Times New Roman"/>
        </w:rPr>
        <w:t xml:space="preserve"> In Cycl</w:t>
      </w:r>
      <w:r w:rsidR="002F63E0" w:rsidRPr="009278B7">
        <w:rPr>
          <w:rFonts w:ascii="Times New Roman" w:hAnsi="Times New Roman"/>
        </w:rPr>
        <w:t>e 1, 5/127 (3.9%) patients had febrile neutropenia</w:t>
      </w:r>
      <w:r w:rsidR="000A177A" w:rsidRPr="004B7DE9">
        <w:rPr>
          <w:rFonts w:ascii="Times New Roman" w:hAnsi="Times New Roman"/>
        </w:rPr>
        <w:t xml:space="preserve"> in the Fulphila</w:t>
      </w:r>
      <w:r w:rsidR="00AD01F7" w:rsidRPr="004B7DE9">
        <w:rPr>
          <w:rFonts w:ascii="Times New Roman" w:hAnsi="Times New Roman"/>
        </w:rPr>
        <w:t xml:space="preserve"> group and 1/67 (1.5%) patient in the EU-Neulasta group. However, only </w:t>
      </w:r>
      <w:r w:rsidR="002F63E0" w:rsidRPr="004B7DE9">
        <w:rPr>
          <w:rFonts w:ascii="Times New Roman" w:hAnsi="Times New Roman"/>
        </w:rPr>
        <w:t>3</w:t>
      </w:r>
      <w:r w:rsidR="00476600">
        <w:rPr>
          <w:rFonts w:ascii="Times New Roman" w:hAnsi="Times New Roman"/>
        </w:rPr>
        <w:t xml:space="preserve">(2.4%) </w:t>
      </w:r>
      <w:r w:rsidR="002F63E0" w:rsidRPr="004B7DE9">
        <w:rPr>
          <w:rFonts w:ascii="Times New Roman" w:hAnsi="Times New Roman"/>
        </w:rPr>
        <w:t>patients in the Fulphila group</w:t>
      </w:r>
      <w:r w:rsidR="00AD01F7" w:rsidRPr="004B7DE9">
        <w:rPr>
          <w:rFonts w:ascii="Times New Roman" w:hAnsi="Times New Roman"/>
        </w:rPr>
        <w:t xml:space="preserve"> had confirmed </w:t>
      </w:r>
      <w:r w:rsidR="002F63E0" w:rsidRPr="004B7DE9">
        <w:rPr>
          <w:rFonts w:ascii="Times New Roman" w:hAnsi="Times New Roman"/>
        </w:rPr>
        <w:t xml:space="preserve">FN as per ESMO definition and other </w:t>
      </w:r>
      <w:r w:rsidR="00AD01F7" w:rsidRPr="004B7DE9">
        <w:rPr>
          <w:rFonts w:ascii="Times New Roman" w:hAnsi="Times New Roman"/>
        </w:rPr>
        <w:t>patients had insufficient information but were conservatively included</w:t>
      </w:r>
      <w:r w:rsidR="002F63E0" w:rsidRPr="004B7DE9">
        <w:rPr>
          <w:rFonts w:ascii="Times New Roman" w:hAnsi="Times New Roman"/>
        </w:rPr>
        <w:t xml:space="preserve"> as febrile neutropenia. </w:t>
      </w:r>
      <w:r w:rsidR="00EE5170" w:rsidRPr="004B7DE9">
        <w:rPr>
          <w:rFonts w:ascii="Times New Roman" w:hAnsi="Times New Roman"/>
        </w:rPr>
        <w:t xml:space="preserve">The lower FN rates seen </w:t>
      </w:r>
      <w:proofErr w:type="gramStart"/>
      <w:r w:rsidR="00EE5170" w:rsidRPr="004B7DE9">
        <w:rPr>
          <w:rFonts w:ascii="Times New Roman" w:hAnsi="Times New Roman"/>
        </w:rPr>
        <w:t>in  study</w:t>
      </w:r>
      <w:proofErr w:type="gramEnd"/>
      <w:r w:rsidR="00EE5170" w:rsidRPr="004B7DE9">
        <w:rPr>
          <w:rFonts w:ascii="Times New Roman" w:hAnsi="Times New Roman"/>
        </w:rPr>
        <w:t xml:space="preserve"> </w:t>
      </w:r>
      <w:r w:rsidR="007A0671">
        <w:rPr>
          <w:rFonts w:ascii="Times New Roman" w:hAnsi="Times New Roman"/>
        </w:rPr>
        <w:t>MYL-1401H-3001</w:t>
      </w:r>
      <w:r w:rsidR="009C5A6D">
        <w:rPr>
          <w:rFonts w:ascii="Times New Roman" w:hAnsi="Times New Roman"/>
        </w:rPr>
        <w:t xml:space="preserve"> versus literature</w:t>
      </w:r>
      <w:r w:rsidR="007A0671">
        <w:rPr>
          <w:rFonts w:ascii="Times New Roman" w:hAnsi="Times New Roman"/>
        </w:rPr>
        <w:t xml:space="preserve"> </w:t>
      </w:r>
      <w:r w:rsidR="00EE5170" w:rsidRPr="004B7DE9">
        <w:rPr>
          <w:rFonts w:ascii="Times New Roman" w:hAnsi="Times New Roman"/>
        </w:rPr>
        <w:t xml:space="preserve">especially in EU Neulasta arm </w:t>
      </w:r>
      <w:r w:rsidR="007A0671">
        <w:rPr>
          <w:rFonts w:ascii="Times New Roman" w:hAnsi="Times New Roman"/>
        </w:rPr>
        <w:t>was</w:t>
      </w:r>
      <w:r w:rsidR="00EE5170" w:rsidRPr="004B7DE9">
        <w:rPr>
          <w:rFonts w:ascii="Times New Roman" w:hAnsi="Times New Roman"/>
        </w:rPr>
        <w:t xml:space="preserve"> due to limited sample size and unequal randomization. </w:t>
      </w:r>
      <w:r w:rsidR="002F63E0" w:rsidRPr="009278B7">
        <w:rPr>
          <w:rFonts w:ascii="Times New Roman" w:hAnsi="Times New Roman"/>
        </w:rPr>
        <w:t>All the FN were of short duration, recovered between 3-6 days of onset, without infections requiring treatment, not requiring rescue therapy with filgrastim and no infection-related mortality</w:t>
      </w:r>
      <w:r w:rsidR="002F63E0" w:rsidRPr="004B7DE9">
        <w:rPr>
          <w:rFonts w:ascii="Times New Roman" w:hAnsi="Times New Roman"/>
        </w:rPr>
        <w:t xml:space="preserve">. </w:t>
      </w:r>
      <w:r w:rsidR="000A177A" w:rsidRPr="004B7DE9">
        <w:rPr>
          <w:rFonts w:ascii="Times New Roman" w:hAnsi="Times New Roman"/>
        </w:rPr>
        <w:t xml:space="preserve">Overall, 5 (3.9%) patients in the MYL-1401H group and 1 (1.5%) patient in the EU-Neulasta® group had their chemotherapy doses reduced, omitted, or delayed. The cause of this was neutropenia in 2 </w:t>
      </w:r>
      <w:r w:rsidR="00A147E4" w:rsidRPr="004B7DE9">
        <w:rPr>
          <w:rFonts w:ascii="Times New Roman" w:hAnsi="Times New Roman"/>
        </w:rPr>
        <w:t xml:space="preserve">(1.6%) patients and </w:t>
      </w:r>
      <w:r w:rsidR="000A177A" w:rsidRPr="004B7DE9">
        <w:rPr>
          <w:rFonts w:ascii="Times New Roman" w:hAnsi="Times New Roman"/>
        </w:rPr>
        <w:t xml:space="preserve">FN in 3 (2.4%) patients </w:t>
      </w:r>
      <w:r w:rsidR="00A147E4" w:rsidRPr="004B7DE9">
        <w:rPr>
          <w:rFonts w:ascii="Times New Roman" w:hAnsi="Times New Roman"/>
        </w:rPr>
        <w:t xml:space="preserve">in Fulphila </w:t>
      </w:r>
      <w:r w:rsidR="000A177A" w:rsidRPr="004B7DE9">
        <w:rPr>
          <w:rFonts w:ascii="Times New Roman" w:hAnsi="Times New Roman"/>
        </w:rPr>
        <w:t xml:space="preserve">group and </w:t>
      </w:r>
      <w:r w:rsidR="00A147E4" w:rsidRPr="004B7DE9">
        <w:rPr>
          <w:rFonts w:ascii="Times New Roman" w:hAnsi="Times New Roman"/>
        </w:rPr>
        <w:t xml:space="preserve">FN in </w:t>
      </w:r>
      <w:r w:rsidR="000A177A" w:rsidRPr="004B7DE9">
        <w:rPr>
          <w:rFonts w:ascii="Times New Roman" w:hAnsi="Times New Roman"/>
        </w:rPr>
        <w:t>1 (1.5%) patient in the EU-Neulasta® group. There were no changes to the chemotherapy doses due to documented infections</w:t>
      </w:r>
      <w:r w:rsidR="000A177A" w:rsidRPr="000A177A">
        <w:rPr>
          <w:rFonts w:ascii="Times New Roman" w:hAnsi="Times New Roman"/>
          <w:szCs w:val="28"/>
        </w:rPr>
        <w:t>.</w:t>
      </w:r>
      <w:r w:rsidR="000A177A">
        <w:rPr>
          <w:rFonts w:ascii="Times New Roman" w:hAnsi="Times New Roman"/>
          <w:szCs w:val="28"/>
        </w:rPr>
        <w:t xml:space="preserve"> </w:t>
      </w:r>
      <w:r w:rsidR="00F96986" w:rsidRPr="001A7651">
        <w:rPr>
          <w:rFonts w:ascii="Times New Roman" w:hAnsi="Times New Roman"/>
          <w:szCs w:val="28"/>
        </w:rPr>
        <w:t>The safety profile, including immunogenicity, was</w:t>
      </w:r>
      <w:r w:rsidR="00F96986">
        <w:rPr>
          <w:rFonts w:ascii="Times New Roman" w:hAnsi="Times New Roman"/>
          <w:szCs w:val="28"/>
        </w:rPr>
        <w:t xml:space="preserve"> </w:t>
      </w:r>
      <w:r w:rsidR="00F96986" w:rsidRPr="001A7651">
        <w:rPr>
          <w:rFonts w:ascii="Times New Roman" w:hAnsi="Times New Roman"/>
          <w:szCs w:val="28"/>
        </w:rPr>
        <w:t xml:space="preserve">similar to </w:t>
      </w:r>
      <w:r>
        <w:rPr>
          <w:rFonts w:ascii="Times New Roman" w:hAnsi="Times New Roman"/>
          <w:szCs w:val="28"/>
        </w:rPr>
        <w:t xml:space="preserve">that of </w:t>
      </w:r>
      <w:r w:rsidR="00F96986" w:rsidRPr="001A7651">
        <w:rPr>
          <w:rFonts w:ascii="Times New Roman" w:hAnsi="Times New Roman"/>
          <w:szCs w:val="28"/>
        </w:rPr>
        <w:t>Neulasta</w:t>
      </w:r>
      <w:r>
        <w:rPr>
          <w:rFonts w:ascii="Times New Roman" w:hAnsi="Times New Roman"/>
          <w:szCs w:val="28"/>
        </w:rPr>
        <w:t>.</w:t>
      </w:r>
      <w:r w:rsidR="00F96986" w:rsidRPr="001A7651">
        <w:rPr>
          <w:rFonts w:ascii="Times New Roman" w:hAnsi="Times New Roman"/>
          <w:szCs w:val="28"/>
        </w:rPr>
        <w:t xml:space="preserve"> </w:t>
      </w:r>
      <w:r>
        <w:rPr>
          <w:rFonts w:ascii="Times New Roman" w:hAnsi="Times New Roman"/>
          <w:szCs w:val="28"/>
        </w:rPr>
        <w:t>Fulphila</w:t>
      </w:r>
      <w:r w:rsidR="00F96986" w:rsidRPr="001A7651">
        <w:rPr>
          <w:rFonts w:ascii="Times New Roman" w:hAnsi="Times New Roman"/>
          <w:szCs w:val="28"/>
        </w:rPr>
        <w:t xml:space="preserve"> was generally well tolerated, there were no new safety</w:t>
      </w:r>
      <w:r w:rsidR="00F96986">
        <w:rPr>
          <w:rFonts w:ascii="Times New Roman" w:hAnsi="Times New Roman"/>
          <w:szCs w:val="28"/>
        </w:rPr>
        <w:t xml:space="preserve"> </w:t>
      </w:r>
      <w:r w:rsidR="00F96986" w:rsidRPr="001A7651">
        <w:rPr>
          <w:rFonts w:ascii="Times New Roman" w:hAnsi="Times New Roman"/>
          <w:szCs w:val="28"/>
        </w:rPr>
        <w:t>concerns identified, similar number of patients showed ADA, and there was an overall low</w:t>
      </w:r>
      <w:r w:rsidR="00F96986">
        <w:rPr>
          <w:rFonts w:ascii="Times New Roman" w:hAnsi="Times New Roman"/>
          <w:szCs w:val="28"/>
        </w:rPr>
        <w:t xml:space="preserve"> </w:t>
      </w:r>
      <w:r w:rsidR="00F96986" w:rsidRPr="001A7651">
        <w:rPr>
          <w:rFonts w:ascii="Times New Roman" w:hAnsi="Times New Roman"/>
          <w:szCs w:val="28"/>
        </w:rPr>
        <w:t xml:space="preserve">rate of ADA and </w:t>
      </w:r>
      <w:proofErr w:type="spellStart"/>
      <w:r w:rsidR="00F96986" w:rsidRPr="001A7651">
        <w:rPr>
          <w:rFonts w:ascii="Times New Roman" w:hAnsi="Times New Roman"/>
          <w:szCs w:val="28"/>
        </w:rPr>
        <w:t>NAb</w:t>
      </w:r>
      <w:proofErr w:type="spellEnd"/>
      <w:r w:rsidR="00F96986" w:rsidRPr="001A7651">
        <w:rPr>
          <w:rFonts w:ascii="Times New Roman" w:hAnsi="Times New Roman"/>
          <w:szCs w:val="28"/>
        </w:rPr>
        <w:t xml:space="preserve">. </w:t>
      </w:r>
    </w:p>
    <w:p w14:paraId="654C83A9" w14:textId="405DE644" w:rsidR="00F96986" w:rsidRPr="001A7651" w:rsidRDefault="00F96986" w:rsidP="00951FFF">
      <w:pPr>
        <w:autoSpaceDE w:val="0"/>
        <w:autoSpaceDN w:val="0"/>
        <w:adjustRightInd w:val="0"/>
        <w:spacing w:after="240" w:line="240" w:lineRule="auto"/>
        <w:jc w:val="both"/>
        <w:rPr>
          <w:rFonts w:ascii="Times New Roman" w:hAnsi="Times New Roman"/>
          <w:szCs w:val="28"/>
        </w:rPr>
      </w:pPr>
      <w:r w:rsidRPr="001A7651">
        <w:rPr>
          <w:rFonts w:ascii="Times New Roman" w:hAnsi="Times New Roman"/>
          <w:szCs w:val="28"/>
        </w:rPr>
        <w:t xml:space="preserve">Overall, </w:t>
      </w:r>
      <w:r w:rsidR="00951FFF">
        <w:rPr>
          <w:rFonts w:ascii="Times New Roman" w:hAnsi="Times New Roman"/>
          <w:szCs w:val="28"/>
        </w:rPr>
        <w:t>Fulphila</w:t>
      </w:r>
      <w:r w:rsidRPr="001A7651">
        <w:rPr>
          <w:rFonts w:ascii="Times New Roman" w:hAnsi="Times New Roman"/>
          <w:szCs w:val="28"/>
        </w:rPr>
        <w:t xml:space="preserve"> was bioequivalent to Neulasta. The clinical data</w:t>
      </w:r>
      <w:r>
        <w:rPr>
          <w:rFonts w:ascii="Times New Roman" w:hAnsi="Times New Roman"/>
          <w:szCs w:val="28"/>
        </w:rPr>
        <w:t xml:space="preserve"> </w:t>
      </w:r>
      <w:r w:rsidRPr="001A7651">
        <w:rPr>
          <w:rFonts w:ascii="Times New Roman" w:hAnsi="Times New Roman"/>
          <w:szCs w:val="28"/>
        </w:rPr>
        <w:t xml:space="preserve">confirm the high similarity established at the physiochemical/biological and nonclinical levels and demonstrate no clinically meaningful differences between </w:t>
      </w:r>
      <w:r w:rsidR="00951FFF">
        <w:rPr>
          <w:rFonts w:ascii="Times New Roman" w:hAnsi="Times New Roman"/>
          <w:szCs w:val="28"/>
        </w:rPr>
        <w:t>Fulphila</w:t>
      </w:r>
      <w:r w:rsidRPr="001A7651">
        <w:rPr>
          <w:rFonts w:ascii="Times New Roman" w:hAnsi="Times New Roman"/>
          <w:szCs w:val="28"/>
        </w:rPr>
        <w:t xml:space="preserve"> and</w:t>
      </w:r>
      <w:r>
        <w:rPr>
          <w:rFonts w:ascii="Times New Roman" w:hAnsi="Times New Roman"/>
          <w:szCs w:val="28"/>
        </w:rPr>
        <w:t xml:space="preserve"> </w:t>
      </w:r>
      <w:r w:rsidRPr="001A7651">
        <w:rPr>
          <w:rFonts w:ascii="Times New Roman" w:hAnsi="Times New Roman"/>
          <w:szCs w:val="28"/>
        </w:rPr>
        <w:t>Neulasta to complete the totality of evidence in support of biosimilarity.</w:t>
      </w:r>
    </w:p>
    <w:p w14:paraId="2564EDDA" w14:textId="77777777" w:rsidR="00DA6C16" w:rsidRDefault="007F31BE" w:rsidP="00DA6C16">
      <w:pPr>
        <w:pStyle w:val="SubjectHeading"/>
      </w:pPr>
      <w:r w:rsidRPr="00A15169">
        <w:t>INDICATIONS</w:t>
      </w:r>
    </w:p>
    <w:p w14:paraId="6A791FE2" w14:textId="5A74F8A3" w:rsidR="00DA6C16" w:rsidRDefault="0000224F" w:rsidP="00DA6C16">
      <w:pPr>
        <w:pStyle w:val="Bodyofcontents"/>
      </w:pPr>
      <w:r>
        <w:t>FULPHILA</w:t>
      </w:r>
      <w:r w:rsidR="00DA6C16">
        <w:t xml:space="preserve"> is indicated </w:t>
      </w:r>
      <w:r w:rsidR="00081B5E">
        <w:t xml:space="preserve">for the treatment of cancer patients following chemotherapy, to decrease the duration of severe neutropenia and so reduce the incidence of infections, as manifested by febrile neutropenia. </w:t>
      </w:r>
    </w:p>
    <w:p w14:paraId="50A89CEA" w14:textId="43C920A1" w:rsidR="007F31BE" w:rsidRPr="00DA6C16" w:rsidRDefault="007F31BE" w:rsidP="00DA6C16">
      <w:pPr>
        <w:pStyle w:val="SubjectHeading"/>
      </w:pPr>
      <w:r w:rsidRPr="00DA6C16">
        <w:t>CONTRAINDICATIONS</w:t>
      </w:r>
    </w:p>
    <w:p w14:paraId="7C29E67E" w14:textId="6A1DC1BA" w:rsidR="00DA6C16" w:rsidRDefault="0000224F" w:rsidP="00A5445F">
      <w:pPr>
        <w:pStyle w:val="Bodyofcontents"/>
      </w:pPr>
      <w:r>
        <w:t>FULPHILA</w:t>
      </w:r>
      <w:r w:rsidR="00DA6C16">
        <w:t xml:space="preserve"> is con</w:t>
      </w:r>
      <w:r w:rsidR="00A5445F">
        <w:t xml:space="preserve">traindicated in patients with </w:t>
      </w:r>
      <w:r w:rsidR="00DA6C16">
        <w:t xml:space="preserve">known hypersensitivity to </w:t>
      </w:r>
      <w:r w:rsidR="00A5445F" w:rsidRPr="00A5445F">
        <w:rPr>
          <w:i/>
        </w:rPr>
        <w:t>E. coli</w:t>
      </w:r>
      <w:r w:rsidR="00A5445F">
        <w:t xml:space="preserve">-derived proteins, pegfilgrastim, filgrastim, or any other component of the product. </w:t>
      </w:r>
    </w:p>
    <w:p w14:paraId="2BCE8AD7" w14:textId="6E7C724C" w:rsidR="007F31BE" w:rsidRPr="00A15169" w:rsidRDefault="007F31BE" w:rsidP="00EC1344">
      <w:pPr>
        <w:pStyle w:val="SubjectHeading"/>
      </w:pPr>
      <w:r w:rsidRPr="00A15169">
        <w:t>PRECAUTIONS</w:t>
      </w:r>
    </w:p>
    <w:p w14:paraId="641786CC" w14:textId="6B1AB03D"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Very rare cases of splenic rupture, including some fatal cases, have been reported following</w:t>
      </w:r>
      <w:r>
        <w:rPr>
          <w:rFonts w:ascii="Times New Roman" w:hAnsi="Times New Roman"/>
          <w:szCs w:val="28"/>
        </w:rPr>
        <w:t xml:space="preserve"> </w:t>
      </w:r>
      <w:r w:rsidRPr="00A5445F">
        <w:rPr>
          <w:rFonts w:ascii="Times New Roman" w:hAnsi="Times New Roman"/>
          <w:szCs w:val="28"/>
        </w:rPr>
        <w:t xml:space="preserve">administration of </w:t>
      </w:r>
      <w:r>
        <w:rPr>
          <w:rFonts w:ascii="Times New Roman" w:hAnsi="Times New Roman"/>
          <w:szCs w:val="28"/>
        </w:rPr>
        <w:t>pegfilgrastim</w:t>
      </w:r>
      <w:r w:rsidRPr="00A5445F">
        <w:rPr>
          <w:rFonts w:ascii="Times New Roman" w:hAnsi="Times New Roman"/>
          <w:szCs w:val="28"/>
        </w:rPr>
        <w:t>. Patients who report left upper abdominal pain and/or shoulder</w:t>
      </w:r>
      <w:r>
        <w:rPr>
          <w:rFonts w:ascii="Times New Roman" w:hAnsi="Times New Roman"/>
          <w:szCs w:val="28"/>
        </w:rPr>
        <w:t xml:space="preserve"> </w:t>
      </w:r>
      <w:r w:rsidRPr="00A5445F">
        <w:rPr>
          <w:rFonts w:ascii="Times New Roman" w:hAnsi="Times New Roman"/>
          <w:szCs w:val="28"/>
        </w:rPr>
        <w:t>tip pain should be evaluated for an enlarged spleen or splenic rupture.</w:t>
      </w:r>
      <w:r>
        <w:rPr>
          <w:rFonts w:ascii="Times New Roman" w:hAnsi="Times New Roman"/>
          <w:szCs w:val="28"/>
        </w:rPr>
        <w:t xml:space="preserve"> </w:t>
      </w:r>
    </w:p>
    <w:p w14:paraId="3ABF19F7" w14:textId="2D7CF3C5"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Sickle cell crises have been associated with the use of </w:t>
      </w:r>
      <w:r>
        <w:rPr>
          <w:rFonts w:ascii="Times New Roman" w:hAnsi="Times New Roman"/>
          <w:szCs w:val="28"/>
        </w:rPr>
        <w:t>pegfilgrastim</w:t>
      </w:r>
      <w:r w:rsidRPr="00A5445F">
        <w:rPr>
          <w:rFonts w:ascii="Times New Roman" w:hAnsi="Times New Roman"/>
          <w:szCs w:val="28"/>
        </w:rPr>
        <w:t xml:space="preserve"> in patients with sickle cell</w:t>
      </w:r>
      <w:r>
        <w:rPr>
          <w:rFonts w:ascii="Times New Roman" w:hAnsi="Times New Roman"/>
          <w:szCs w:val="28"/>
        </w:rPr>
        <w:t xml:space="preserve"> </w:t>
      </w:r>
      <w:r w:rsidRPr="00A5445F">
        <w:rPr>
          <w:rFonts w:ascii="Times New Roman" w:hAnsi="Times New Roman"/>
          <w:szCs w:val="28"/>
        </w:rPr>
        <w:t>disease. Clinicians should exercise caution, mo</w:t>
      </w:r>
      <w:r>
        <w:rPr>
          <w:rFonts w:ascii="Times New Roman" w:hAnsi="Times New Roman"/>
          <w:szCs w:val="28"/>
        </w:rPr>
        <w:t xml:space="preserve">nitor patients accordingly when </w:t>
      </w:r>
      <w:r w:rsidRPr="00A5445F">
        <w:rPr>
          <w:rFonts w:ascii="Times New Roman" w:hAnsi="Times New Roman"/>
          <w:szCs w:val="28"/>
        </w:rPr>
        <w:t xml:space="preserve">administering </w:t>
      </w:r>
      <w:r>
        <w:rPr>
          <w:rFonts w:ascii="Times New Roman" w:hAnsi="Times New Roman"/>
          <w:szCs w:val="28"/>
        </w:rPr>
        <w:t>pegfilgrastim</w:t>
      </w:r>
      <w:r w:rsidRPr="00A5445F">
        <w:rPr>
          <w:rFonts w:ascii="Times New Roman" w:hAnsi="Times New Roman"/>
          <w:szCs w:val="28"/>
        </w:rPr>
        <w:t xml:space="preserve"> to patients with sickle cell trait or sickle cell disease and only</w:t>
      </w:r>
      <w:r>
        <w:rPr>
          <w:rFonts w:ascii="Times New Roman" w:hAnsi="Times New Roman"/>
          <w:szCs w:val="28"/>
        </w:rPr>
        <w:t xml:space="preserve"> </w:t>
      </w:r>
      <w:r w:rsidRPr="00A5445F">
        <w:rPr>
          <w:rFonts w:ascii="Times New Roman" w:hAnsi="Times New Roman"/>
          <w:szCs w:val="28"/>
        </w:rPr>
        <w:t>consider use after careful evaluation of the potential benefits and risks.</w:t>
      </w:r>
      <w:r>
        <w:rPr>
          <w:rFonts w:ascii="Times New Roman" w:hAnsi="Times New Roman"/>
          <w:szCs w:val="28"/>
        </w:rPr>
        <w:t xml:space="preserve"> </w:t>
      </w:r>
    </w:p>
    <w:p w14:paraId="3A523BEF" w14:textId="34610405"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In patients with sepsis receiving N </w:t>
      </w:r>
      <w:r>
        <w:rPr>
          <w:rFonts w:ascii="Times New Roman" w:hAnsi="Times New Roman"/>
          <w:szCs w:val="28"/>
        </w:rPr>
        <w:t>pegfilgrastim</w:t>
      </w:r>
      <w:r w:rsidRPr="00A5445F">
        <w:rPr>
          <w:rFonts w:ascii="Times New Roman" w:hAnsi="Times New Roman"/>
          <w:szCs w:val="28"/>
        </w:rPr>
        <w:t>, the physician should be alert to the possibility of</w:t>
      </w:r>
      <w:r>
        <w:rPr>
          <w:rFonts w:ascii="Times New Roman" w:hAnsi="Times New Roman"/>
          <w:szCs w:val="28"/>
        </w:rPr>
        <w:t xml:space="preserve"> </w:t>
      </w:r>
      <w:r w:rsidRPr="00A5445F">
        <w:rPr>
          <w:rFonts w:ascii="Times New Roman" w:hAnsi="Times New Roman"/>
          <w:szCs w:val="28"/>
        </w:rPr>
        <w:t>acute respiratory distress syndrome, due to the possible influx of neutrophils at the site of</w:t>
      </w:r>
      <w:r>
        <w:rPr>
          <w:rFonts w:ascii="Times New Roman" w:hAnsi="Times New Roman"/>
          <w:szCs w:val="28"/>
        </w:rPr>
        <w:t xml:space="preserve"> </w:t>
      </w:r>
      <w:r w:rsidRPr="00A5445F">
        <w:rPr>
          <w:rFonts w:ascii="Times New Roman" w:hAnsi="Times New Roman"/>
          <w:szCs w:val="28"/>
        </w:rPr>
        <w:t>inflammation.</w:t>
      </w:r>
      <w:r>
        <w:rPr>
          <w:rFonts w:ascii="Times New Roman" w:hAnsi="Times New Roman"/>
          <w:szCs w:val="28"/>
        </w:rPr>
        <w:t xml:space="preserve"> </w:t>
      </w:r>
    </w:p>
    <w:p w14:paraId="0F7AA662" w14:textId="39065A89"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Glomerulonephritis has been reported in patients receiving </w:t>
      </w:r>
      <w:r>
        <w:rPr>
          <w:rFonts w:ascii="Times New Roman" w:hAnsi="Times New Roman"/>
          <w:szCs w:val="28"/>
        </w:rPr>
        <w:t>pegfilgrastim</w:t>
      </w:r>
      <w:r w:rsidRPr="00A5445F">
        <w:rPr>
          <w:rFonts w:ascii="Times New Roman" w:hAnsi="Times New Roman"/>
          <w:szCs w:val="28"/>
        </w:rPr>
        <w:t>. Generally, after</w:t>
      </w:r>
      <w:r>
        <w:rPr>
          <w:rFonts w:ascii="Times New Roman" w:hAnsi="Times New Roman"/>
          <w:szCs w:val="28"/>
        </w:rPr>
        <w:t xml:space="preserve"> </w:t>
      </w:r>
      <w:r w:rsidRPr="00A5445F">
        <w:rPr>
          <w:rFonts w:ascii="Times New Roman" w:hAnsi="Times New Roman"/>
          <w:szCs w:val="28"/>
        </w:rPr>
        <w:t xml:space="preserve">withdrawal of </w:t>
      </w:r>
      <w:r>
        <w:rPr>
          <w:rFonts w:ascii="Times New Roman" w:hAnsi="Times New Roman"/>
          <w:szCs w:val="28"/>
        </w:rPr>
        <w:t>pegfilgrastim</w:t>
      </w:r>
      <w:r w:rsidRPr="00A5445F">
        <w:rPr>
          <w:rFonts w:ascii="Times New Roman" w:hAnsi="Times New Roman"/>
          <w:szCs w:val="28"/>
        </w:rPr>
        <w:t>, events of glomerulonephritis resolved. Monitoring of urinalysis is</w:t>
      </w:r>
      <w:r>
        <w:rPr>
          <w:rFonts w:ascii="Times New Roman" w:hAnsi="Times New Roman"/>
          <w:szCs w:val="28"/>
        </w:rPr>
        <w:t xml:space="preserve"> </w:t>
      </w:r>
      <w:r w:rsidRPr="00A5445F">
        <w:rPr>
          <w:rFonts w:ascii="Times New Roman" w:hAnsi="Times New Roman"/>
          <w:szCs w:val="28"/>
        </w:rPr>
        <w:t>recommended.</w:t>
      </w:r>
    </w:p>
    <w:p w14:paraId="3468E2F3" w14:textId="18E15426" w:rsidR="00A5445F" w:rsidRDefault="00A5445F" w:rsidP="00A174CE">
      <w:pPr>
        <w:autoSpaceDE w:val="0"/>
        <w:autoSpaceDN w:val="0"/>
        <w:adjustRightInd w:val="0"/>
        <w:spacing w:after="240" w:line="240" w:lineRule="auto"/>
        <w:jc w:val="both"/>
      </w:pPr>
      <w:r w:rsidRPr="00A5445F">
        <w:rPr>
          <w:rFonts w:ascii="Times New Roman" w:hAnsi="Times New Roman"/>
          <w:szCs w:val="28"/>
        </w:rPr>
        <w:lastRenderedPageBreak/>
        <w:t>As with other haematopoietic growth factors, G-CSF has shown in vitro stimulating</w:t>
      </w:r>
      <w:r>
        <w:rPr>
          <w:rFonts w:ascii="Times New Roman" w:hAnsi="Times New Roman"/>
          <w:szCs w:val="28"/>
        </w:rPr>
        <w:t xml:space="preserve"> </w:t>
      </w:r>
      <w:r w:rsidRPr="00A5445F">
        <w:rPr>
          <w:rFonts w:ascii="Times New Roman" w:hAnsi="Times New Roman"/>
          <w:szCs w:val="28"/>
        </w:rPr>
        <w:t>properties on human endothelial cells. G-CSF can promote growth of myeloid cells,</w:t>
      </w:r>
      <w:r>
        <w:rPr>
          <w:rFonts w:ascii="Times New Roman" w:hAnsi="Times New Roman"/>
          <w:szCs w:val="28"/>
        </w:rPr>
        <w:t xml:space="preserve"> </w:t>
      </w:r>
      <w:r w:rsidRPr="00A5445F">
        <w:rPr>
          <w:rFonts w:ascii="Times New Roman" w:hAnsi="Times New Roman"/>
          <w:szCs w:val="28"/>
        </w:rPr>
        <w:t>including malignant cells, in vitro and similar effects may be seen on some non-myeloid cells</w:t>
      </w:r>
      <w:r>
        <w:rPr>
          <w:rFonts w:ascii="Times New Roman" w:hAnsi="Times New Roman"/>
          <w:szCs w:val="28"/>
        </w:rPr>
        <w:t xml:space="preserve"> </w:t>
      </w:r>
      <w:r w:rsidRPr="00A5445F">
        <w:rPr>
          <w:rFonts w:ascii="Times New Roman" w:hAnsi="Times New Roman"/>
          <w:i/>
          <w:szCs w:val="28"/>
        </w:rPr>
        <w:t>in vitro</w:t>
      </w:r>
      <w:r w:rsidRPr="00A5445F">
        <w:rPr>
          <w:rFonts w:ascii="Times New Roman" w:hAnsi="Times New Roman"/>
          <w:szCs w:val="28"/>
        </w:rPr>
        <w:t>.</w:t>
      </w:r>
      <w:r>
        <w:t xml:space="preserve"> </w:t>
      </w:r>
    </w:p>
    <w:p w14:paraId="7A7DAA59" w14:textId="3C32BAAC" w:rsidR="005308EE" w:rsidRPr="00AA014D" w:rsidRDefault="005308EE" w:rsidP="005308EE">
      <w:pPr>
        <w:autoSpaceDE w:val="0"/>
        <w:autoSpaceDN w:val="0"/>
        <w:adjustRightInd w:val="0"/>
        <w:spacing w:after="0" w:line="240" w:lineRule="auto"/>
        <w:rPr>
          <w:rFonts w:ascii="Times New Roman" w:hAnsi="Times New Roman"/>
        </w:rPr>
      </w:pPr>
      <w:r>
        <w:rPr>
          <w:rFonts w:ascii="Times New Roman" w:hAnsi="Times New Roman"/>
        </w:rPr>
        <w:t>This product contains 30 mg sorbitol per syringe. This should be taken into consideration in patients with rare hereditary problems of fructose intolerance and may not be suitable in such patients.</w:t>
      </w:r>
    </w:p>
    <w:p w14:paraId="1765F3EC" w14:textId="77777777" w:rsidR="00A5445F" w:rsidRDefault="00A5445F" w:rsidP="00A5445F">
      <w:pPr>
        <w:autoSpaceDE w:val="0"/>
        <w:autoSpaceDN w:val="0"/>
        <w:adjustRightInd w:val="0"/>
        <w:spacing w:after="0" w:line="240" w:lineRule="auto"/>
      </w:pPr>
    </w:p>
    <w:p w14:paraId="67E25450" w14:textId="77777777" w:rsidR="002A2570" w:rsidRDefault="002A2570" w:rsidP="00A5445F">
      <w:pPr>
        <w:autoSpaceDE w:val="0"/>
        <w:autoSpaceDN w:val="0"/>
        <w:adjustRightInd w:val="0"/>
        <w:spacing w:after="0" w:line="240" w:lineRule="auto"/>
      </w:pPr>
    </w:p>
    <w:p w14:paraId="686811E9" w14:textId="41C6E405" w:rsidR="00EC1344" w:rsidRDefault="00A5445F" w:rsidP="00A5445F">
      <w:pPr>
        <w:pStyle w:val="Subheading1"/>
      </w:pPr>
      <w:r>
        <w:t>Concurrent Use with Chemotherapy and Radiotherapy</w:t>
      </w:r>
      <w:r w:rsidR="00EC1344">
        <w:t xml:space="preserve"> </w:t>
      </w:r>
    </w:p>
    <w:p w14:paraId="43EB458B" w14:textId="2BCCFA3C" w:rsidR="00A5445F" w:rsidRP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The safety and efficacy of </w:t>
      </w:r>
      <w:r>
        <w:rPr>
          <w:rFonts w:ascii="Times New Roman" w:hAnsi="Times New Roman"/>
          <w:szCs w:val="28"/>
        </w:rPr>
        <w:t>pegfilgrastim</w:t>
      </w:r>
      <w:r w:rsidRPr="00A5445F">
        <w:rPr>
          <w:rFonts w:ascii="Times New Roman" w:hAnsi="Times New Roman"/>
          <w:szCs w:val="28"/>
        </w:rPr>
        <w:t xml:space="preserve"> given concurrently with cytotoxic chemotherapy have not</w:t>
      </w:r>
      <w:r>
        <w:rPr>
          <w:rFonts w:ascii="Times New Roman" w:hAnsi="Times New Roman"/>
          <w:szCs w:val="28"/>
        </w:rPr>
        <w:t xml:space="preserve"> </w:t>
      </w:r>
      <w:r w:rsidRPr="00A5445F">
        <w:rPr>
          <w:rFonts w:ascii="Times New Roman" w:hAnsi="Times New Roman"/>
          <w:szCs w:val="28"/>
        </w:rPr>
        <w:t>been established. Because of the potential sensitivity of rapidly dividing myeloid cells to</w:t>
      </w:r>
      <w:r>
        <w:rPr>
          <w:rFonts w:ascii="Times New Roman" w:hAnsi="Times New Roman"/>
          <w:szCs w:val="28"/>
        </w:rPr>
        <w:t xml:space="preserve"> </w:t>
      </w:r>
      <w:r w:rsidRPr="00A5445F">
        <w:rPr>
          <w:rFonts w:ascii="Times New Roman" w:hAnsi="Times New Roman"/>
          <w:szCs w:val="28"/>
        </w:rPr>
        <w:t xml:space="preserve">cytotoxic chemotherapy, the use of </w:t>
      </w:r>
      <w:r>
        <w:rPr>
          <w:rFonts w:ascii="Times New Roman" w:hAnsi="Times New Roman"/>
          <w:szCs w:val="28"/>
        </w:rPr>
        <w:t>pegfilgrastim</w:t>
      </w:r>
      <w:r w:rsidRPr="00A5445F">
        <w:rPr>
          <w:rFonts w:ascii="Times New Roman" w:hAnsi="Times New Roman"/>
          <w:szCs w:val="28"/>
        </w:rPr>
        <w:t xml:space="preserve"> is not recommended in the period 24 hours</w:t>
      </w:r>
      <w:r>
        <w:rPr>
          <w:rFonts w:ascii="Times New Roman" w:hAnsi="Times New Roman"/>
          <w:szCs w:val="28"/>
        </w:rPr>
        <w:t xml:space="preserve"> </w:t>
      </w:r>
      <w:r w:rsidRPr="00A5445F">
        <w:rPr>
          <w:rFonts w:ascii="Times New Roman" w:hAnsi="Times New Roman"/>
          <w:szCs w:val="28"/>
        </w:rPr>
        <w:t>after the administration of chemotherapy (see DOSAGE AND ADMINISTRATION). In</w:t>
      </w:r>
      <w:r>
        <w:rPr>
          <w:rFonts w:ascii="Times New Roman" w:hAnsi="Times New Roman"/>
          <w:szCs w:val="28"/>
        </w:rPr>
        <w:t xml:space="preserve"> </w:t>
      </w:r>
      <w:r w:rsidRPr="00A5445F">
        <w:rPr>
          <w:rFonts w:ascii="Times New Roman" w:hAnsi="Times New Roman"/>
          <w:szCs w:val="28"/>
        </w:rPr>
        <w:t xml:space="preserve">clinical studies, </w:t>
      </w:r>
      <w:r>
        <w:rPr>
          <w:rFonts w:ascii="Times New Roman" w:hAnsi="Times New Roman"/>
          <w:szCs w:val="28"/>
        </w:rPr>
        <w:t>pegfilgrastim</w:t>
      </w:r>
      <w:r w:rsidRPr="00A5445F">
        <w:rPr>
          <w:rFonts w:ascii="Times New Roman" w:hAnsi="Times New Roman"/>
          <w:szCs w:val="28"/>
        </w:rPr>
        <w:t xml:space="preserve"> has been safely administered 14 days before chemotherapy.</w:t>
      </w:r>
      <w:r>
        <w:rPr>
          <w:rFonts w:ascii="Times New Roman" w:hAnsi="Times New Roman"/>
          <w:szCs w:val="28"/>
        </w:rPr>
        <w:t xml:space="preserve"> </w:t>
      </w:r>
      <w:r w:rsidRPr="00A5445F">
        <w:rPr>
          <w:rFonts w:ascii="Times New Roman" w:hAnsi="Times New Roman"/>
          <w:szCs w:val="28"/>
        </w:rPr>
        <w:t xml:space="preserve">Clinical trials with </w:t>
      </w:r>
      <w:r>
        <w:rPr>
          <w:rFonts w:ascii="Times New Roman" w:hAnsi="Times New Roman"/>
          <w:szCs w:val="28"/>
        </w:rPr>
        <w:t>pegfilgrastim</w:t>
      </w:r>
      <w:r w:rsidRPr="00A5445F">
        <w:rPr>
          <w:rFonts w:ascii="Times New Roman" w:hAnsi="Times New Roman"/>
          <w:szCs w:val="28"/>
        </w:rPr>
        <w:t xml:space="preserve"> have not involved patients treated with fluorouracil or other</w:t>
      </w:r>
      <w:r>
        <w:rPr>
          <w:rFonts w:ascii="Times New Roman" w:hAnsi="Times New Roman"/>
          <w:szCs w:val="28"/>
        </w:rPr>
        <w:t xml:space="preserve"> </w:t>
      </w:r>
      <w:r w:rsidRPr="00A5445F">
        <w:rPr>
          <w:rFonts w:ascii="Times New Roman" w:hAnsi="Times New Roman"/>
          <w:szCs w:val="28"/>
        </w:rPr>
        <w:t>antimetabolites. In studies in mice, administration of pegfilgr</w:t>
      </w:r>
      <w:r>
        <w:rPr>
          <w:rFonts w:ascii="Times New Roman" w:hAnsi="Times New Roman"/>
          <w:szCs w:val="28"/>
        </w:rPr>
        <w:t xml:space="preserve">astim at 0, 1 and 3 days before </w:t>
      </w:r>
      <w:r w:rsidRPr="00A5445F">
        <w:rPr>
          <w:rFonts w:ascii="Times New Roman" w:hAnsi="Times New Roman"/>
          <w:szCs w:val="28"/>
        </w:rPr>
        <w:t>fluorouracil resulted in increased mortality; administration of pegfilgrastim 24 hours after</w:t>
      </w:r>
      <w:r>
        <w:rPr>
          <w:rFonts w:ascii="Times New Roman" w:hAnsi="Times New Roman"/>
          <w:szCs w:val="28"/>
        </w:rPr>
        <w:t xml:space="preserve"> </w:t>
      </w:r>
      <w:r w:rsidRPr="00A5445F">
        <w:rPr>
          <w:rFonts w:ascii="Times New Roman" w:hAnsi="Times New Roman"/>
          <w:szCs w:val="28"/>
        </w:rPr>
        <w:t>fluorouracil did not adversely affect survival.</w:t>
      </w:r>
    </w:p>
    <w:p w14:paraId="516FBFAB" w14:textId="77777777"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The safety and efficacy of </w:t>
      </w:r>
      <w:r>
        <w:rPr>
          <w:rFonts w:ascii="Times New Roman" w:hAnsi="Times New Roman"/>
          <w:szCs w:val="28"/>
        </w:rPr>
        <w:t>pegfilgrastim</w:t>
      </w:r>
      <w:r w:rsidRPr="00A5445F">
        <w:rPr>
          <w:rFonts w:ascii="Times New Roman" w:hAnsi="Times New Roman"/>
          <w:szCs w:val="28"/>
        </w:rPr>
        <w:t xml:space="preserve"> have not been </w:t>
      </w:r>
      <w:r>
        <w:rPr>
          <w:rFonts w:ascii="Times New Roman" w:hAnsi="Times New Roman"/>
          <w:szCs w:val="28"/>
        </w:rPr>
        <w:t xml:space="preserve">evaluated in patients receiving </w:t>
      </w:r>
      <w:r w:rsidRPr="00A5445F">
        <w:rPr>
          <w:rFonts w:ascii="Times New Roman" w:hAnsi="Times New Roman"/>
          <w:szCs w:val="28"/>
        </w:rPr>
        <w:t xml:space="preserve">chemotherapy associated with delayed myelosuppression, </w:t>
      </w:r>
      <w:proofErr w:type="spellStart"/>
      <w:r w:rsidRPr="00A5445F">
        <w:rPr>
          <w:rFonts w:ascii="Times New Roman" w:hAnsi="Times New Roman"/>
          <w:szCs w:val="28"/>
        </w:rPr>
        <w:t>e</w:t>
      </w:r>
      <w:r>
        <w:rPr>
          <w:rFonts w:ascii="Times New Roman" w:hAnsi="Times New Roman"/>
          <w:szCs w:val="28"/>
        </w:rPr>
        <w:t>.</w:t>
      </w:r>
      <w:r w:rsidRPr="00A5445F">
        <w:rPr>
          <w:rFonts w:ascii="Times New Roman" w:hAnsi="Times New Roman"/>
          <w:szCs w:val="28"/>
        </w:rPr>
        <w:t>g</w:t>
      </w:r>
      <w:proofErr w:type="spellEnd"/>
      <w:r w:rsidRPr="00A5445F">
        <w:rPr>
          <w:rFonts w:ascii="Times New Roman" w:hAnsi="Times New Roman"/>
          <w:szCs w:val="28"/>
        </w:rPr>
        <w:t xml:space="preserve">, </w:t>
      </w:r>
      <w:proofErr w:type="spellStart"/>
      <w:r w:rsidRPr="00A5445F">
        <w:rPr>
          <w:rFonts w:ascii="Times New Roman" w:hAnsi="Times New Roman"/>
          <w:szCs w:val="28"/>
        </w:rPr>
        <w:t>nitrosoureas</w:t>
      </w:r>
      <w:proofErr w:type="spellEnd"/>
      <w:r w:rsidRPr="00A5445F">
        <w:rPr>
          <w:rFonts w:ascii="Times New Roman" w:hAnsi="Times New Roman"/>
          <w:szCs w:val="28"/>
        </w:rPr>
        <w:t xml:space="preserve">. </w:t>
      </w:r>
    </w:p>
    <w:p w14:paraId="17D9BB89" w14:textId="4718ECEB" w:rsid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The safety and efficacy of </w:t>
      </w:r>
      <w:r>
        <w:rPr>
          <w:rFonts w:ascii="Times New Roman" w:hAnsi="Times New Roman"/>
          <w:szCs w:val="28"/>
        </w:rPr>
        <w:t>pegfilgrastim</w:t>
      </w:r>
      <w:r w:rsidRPr="00A5445F">
        <w:rPr>
          <w:rFonts w:ascii="Times New Roman" w:hAnsi="Times New Roman"/>
          <w:szCs w:val="28"/>
        </w:rPr>
        <w:t xml:space="preserve"> have not been evaluated in patients receiving</w:t>
      </w:r>
      <w:r>
        <w:rPr>
          <w:rFonts w:ascii="Times New Roman" w:hAnsi="Times New Roman"/>
          <w:szCs w:val="28"/>
        </w:rPr>
        <w:t xml:space="preserve"> </w:t>
      </w:r>
      <w:r w:rsidRPr="00A5445F">
        <w:rPr>
          <w:rFonts w:ascii="Times New Roman" w:hAnsi="Times New Roman"/>
          <w:szCs w:val="28"/>
        </w:rPr>
        <w:t>radiotherapy.</w:t>
      </w:r>
    </w:p>
    <w:p w14:paraId="435CA697" w14:textId="77777777" w:rsidR="00A5445F" w:rsidRPr="00A5445F" w:rsidRDefault="00A5445F" w:rsidP="00A5445F">
      <w:pPr>
        <w:autoSpaceDE w:val="0"/>
        <w:autoSpaceDN w:val="0"/>
        <w:adjustRightInd w:val="0"/>
        <w:spacing w:after="0" w:line="240" w:lineRule="auto"/>
        <w:rPr>
          <w:rFonts w:ascii="Times New Roman" w:hAnsi="Times New Roman"/>
          <w:szCs w:val="28"/>
        </w:rPr>
      </w:pPr>
    </w:p>
    <w:p w14:paraId="2A188DAE" w14:textId="43A3C2A3" w:rsidR="00A5445F" w:rsidRDefault="00A5445F" w:rsidP="00A5445F">
      <w:pPr>
        <w:pStyle w:val="Subheading1"/>
      </w:pPr>
      <w:r>
        <w:t xml:space="preserve">Use in Myelodysplasia and Leukaemia  </w:t>
      </w:r>
    </w:p>
    <w:p w14:paraId="2DFF6DDF" w14:textId="33816869" w:rsidR="00A5445F" w:rsidRDefault="00A5445F" w:rsidP="00A174CE">
      <w:pPr>
        <w:pStyle w:val="Bodyofcontents"/>
      </w:pPr>
      <w:r>
        <w:t>The safety and efficacy of pegfilgrastim</w:t>
      </w:r>
      <w:r w:rsidRPr="00A5445F">
        <w:t xml:space="preserve"> administration in patients with myelodysplasia or chronic</w:t>
      </w:r>
      <w:r>
        <w:t xml:space="preserve"> </w:t>
      </w:r>
      <w:r w:rsidRPr="00A5445F">
        <w:t>myeloid leukaemia have not been established.</w:t>
      </w:r>
    </w:p>
    <w:p w14:paraId="707EFF63" w14:textId="71715C11" w:rsidR="00A5445F" w:rsidRPr="00A5445F" w:rsidRDefault="00A5445F" w:rsidP="00A174CE">
      <w:pPr>
        <w:pStyle w:val="Bodyofcontents"/>
      </w:pPr>
      <w:r w:rsidRPr="00A5445F">
        <w:t>Randomised studies of filgrastim in patients undergoing chemotherapy for acute myeloid</w:t>
      </w:r>
      <w:r>
        <w:t xml:space="preserve"> </w:t>
      </w:r>
      <w:r w:rsidRPr="00A5445F">
        <w:t>leukaemia demonstrate no stimulation of disease as measured by remission rate, relapse</w:t>
      </w:r>
      <w:r>
        <w:t xml:space="preserve"> </w:t>
      </w:r>
      <w:r w:rsidRPr="00A5445F">
        <w:t>and survival.</w:t>
      </w:r>
    </w:p>
    <w:p w14:paraId="24E5FAB4" w14:textId="77777777" w:rsidR="00A5445F" w:rsidRDefault="00A5445F" w:rsidP="00A5445F">
      <w:pPr>
        <w:autoSpaceDE w:val="0"/>
        <w:autoSpaceDN w:val="0"/>
        <w:adjustRightInd w:val="0"/>
        <w:spacing w:after="0" w:line="240" w:lineRule="auto"/>
        <w:rPr>
          <w:rFonts w:ascii="Arial" w:hAnsi="Arial" w:cs="Arial"/>
          <w:b/>
          <w:bCs/>
          <w:sz w:val="21"/>
          <w:szCs w:val="21"/>
        </w:rPr>
      </w:pPr>
    </w:p>
    <w:p w14:paraId="53185FFE" w14:textId="77777777" w:rsidR="00A5445F" w:rsidRPr="00A5445F" w:rsidRDefault="00A5445F" w:rsidP="00A5445F">
      <w:pPr>
        <w:pStyle w:val="Subheading1"/>
      </w:pPr>
      <w:proofErr w:type="spellStart"/>
      <w:r w:rsidRPr="00A5445F">
        <w:t>Leukocytosis</w:t>
      </w:r>
      <w:proofErr w:type="spellEnd"/>
    </w:p>
    <w:p w14:paraId="272D533F" w14:textId="79E01861" w:rsidR="00A5445F" w:rsidRPr="00A5445F" w:rsidRDefault="00A5445F" w:rsidP="00A174CE">
      <w:pPr>
        <w:autoSpaceDE w:val="0"/>
        <w:autoSpaceDN w:val="0"/>
        <w:adjustRightInd w:val="0"/>
        <w:spacing w:after="240" w:line="240" w:lineRule="auto"/>
        <w:jc w:val="both"/>
        <w:rPr>
          <w:rFonts w:ascii="Times New Roman" w:hAnsi="Times New Roman"/>
          <w:szCs w:val="28"/>
        </w:rPr>
      </w:pPr>
      <w:r w:rsidRPr="00A5445F">
        <w:rPr>
          <w:rFonts w:ascii="Times New Roman" w:hAnsi="Times New Roman"/>
          <w:szCs w:val="28"/>
        </w:rPr>
        <w:t xml:space="preserve">In </w:t>
      </w:r>
      <w:r>
        <w:rPr>
          <w:rFonts w:ascii="Times New Roman" w:hAnsi="Times New Roman"/>
          <w:szCs w:val="28"/>
        </w:rPr>
        <w:t>pegfilgrastim</w:t>
      </w:r>
      <w:r w:rsidRPr="00A5445F">
        <w:rPr>
          <w:rFonts w:ascii="Times New Roman" w:hAnsi="Times New Roman"/>
          <w:szCs w:val="28"/>
        </w:rPr>
        <w:t xml:space="preserve"> clinical studies self-limiting </w:t>
      </w:r>
      <w:proofErr w:type="spellStart"/>
      <w:r w:rsidRPr="00A5445F">
        <w:rPr>
          <w:rFonts w:ascii="Times New Roman" w:hAnsi="Times New Roman"/>
          <w:szCs w:val="28"/>
        </w:rPr>
        <w:t>leukocytosis</w:t>
      </w:r>
      <w:proofErr w:type="spellEnd"/>
      <w:r w:rsidRPr="00A5445F">
        <w:rPr>
          <w:rFonts w:ascii="Times New Roman" w:hAnsi="Times New Roman"/>
          <w:szCs w:val="28"/>
        </w:rPr>
        <w:t xml:space="preserve"> (WBC counts</w:t>
      </w:r>
      <w:r>
        <w:rPr>
          <w:rFonts w:ascii="Times New Roman" w:hAnsi="Times New Roman"/>
          <w:szCs w:val="28"/>
        </w:rPr>
        <w:t xml:space="preserve"> </w:t>
      </w:r>
      <w:r w:rsidRPr="00A5445F">
        <w:rPr>
          <w:rFonts w:ascii="Times New Roman" w:hAnsi="Times New Roman"/>
          <w:szCs w:val="28"/>
        </w:rPr>
        <w:t>&gt; 100 x 10</w:t>
      </w:r>
      <w:r w:rsidRPr="00A5445F">
        <w:rPr>
          <w:rFonts w:ascii="Times New Roman" w:hAnsi="Times New Roman"/>
          <w:szCs w:val="28"/>
          <w:vertAlign w:val="superscript"/>
        </w:rPr>
        <w:t>9</w:t>
      </w:r>
      <w:r w:rsidRPr="00A5445F">
        <w:rPr>
          <w:rFonts w:ascii="Times New Roman" w:hAnsi="Times New Roman"/>
          <w:szCs w:val="28"/>
        </w:rPr>
        <w:t xml:space="preserve">/L) have been reported in &lt; 0.5% of 930 subjects with non-myeloid malignancies receiving </w:t>
      </w:r>
      <w:r>
        <w:rPr>
          <w:rFonts w:ascii="Times New Roman" w:hAnsi="Times New Roman"/>
          <w:szCs w:val="28"/>
        </w:rPr>
        <w:t>pegfilgrastim</w:t>
      </w:r>
      <w:r w:rsidRPr="00A5445F">
        <w:rPr>
          <w:rFonts w:ascii="Times New Roman" w:hAnsi="Times New Roman"/>
          <w:szCs w:val="28"/>
        </w:rPr>
        <w:t xml:space="preserve">. </w:t>
      </w:r>
    </w:p>
    <w:p w14:paraId="10DF5734" w14:textId="77777777" w:rsidR="00A5445F" w:rsidRPr="00A5445F" w:rsidRDefault="00A5445F" w:rsidP="00A174CE">
      <w:pPr>
        <w:autoSpaceDE w:val="0"/>
        <w:autoSpaceDN w:val="0"/>
        <w:adjustRightInd w:val="0"/>
        <w:spacing w:after="240" w:line="240" w:lineRule="auto"/>
        <w:jc w:val="both"/>
        <w:rPr>
          <w:rFonts w:ascii="Times New Roman" w:hAnsi="Times New Roman"/>
          <w:szCs w:val="28"/>
        </w:rPr>
      </w:pPr>
      <w:proofErr w:type="spellStart"/>
      <w:r w:rsidRPr="00A5445F">
        <w:rPr>
          <w:rFonts w:ascii="Times New Roman" w:hAnsi="Times New Roman"/>
          <w:szCs w:val="28"/>
        </w:rPr>
        <w:t>Leukocytosis</w:t>
      </w:r>
      <w:proofErr w:type="spellEnd"/>
      <w:r w:rsidRPr="00A5445F">
        <w:rPr>
          <w:rFonts w:ascii="Times New Roman" w:hAnsi="Times New Roman"/>
          <w:szCs w:val="28"/>
        </w:rPr>
        <w:t xml:space="preserve"> was not associated with any reported adverse clinical effects.</w:t>
      </w:r>
    </w:p>
    <w:p w14:paraId="25CF8F0E" w14:textId="77777777" w:rsidR="00A5445F" w:rsidRDefault="00A5445F" w:rsidP="00A5445F">
      <w:pPr>
        <w:autoSpaceDE w:val="0"/>
        <w:autoSpaceDN w:val="0"/>
        <w:adjustRightInd w:val="0"/>
        <w:spacing w:after="0" w:line="240" w:lineRule="auto"/>
        <w:rPr>
          <w:rFonts w:ascii="Arial" w:hAnsi="Arial" w:cs="Arial"/>
          <w:b/>
          <w:bCs/>
          <w:sz w:val="21"/>
          <w:szCs w:val="21"/>
        </w:rPr>
      </w:pPr>
    </w:p>
    <w:p w14:paraId="63212C06" w14:textId="77777777" w:rsidR="00A5445F" w:rsidRPr="00A5445F" w:rsidRDefault="00A5445F" w:rsidP="00A5445F">
      <w:pPr>
        <w:pStyle w:val="Subheading1"/>
      </w:pPr>
      <w:r w:rsidRPr="00A5445F">
        <w:t>Other</w:t>
      </w:r>
    </w:p>
    <w:p w14:paraId="0AA2BC9F" w14:textId="77777777" w:rsidR="00A5445F" w:rsidRPr="00A5445F" w:rsidRDefault="00A5445F" w:rsidP="00A5445F">
      <w:pPr>
        <w:autoSpaceDE w:val="0"/>
        <w:autoSpaceDN w:val="0"/>
        <w:adjustRightInd w:val="0"/>
        <w:spacing w:after="0" w:line="240" w:lineRule="auto"/>
        <w:rPr>
          <w:rFonts w:ascii="Times New Roman" w:hAnsi="Times New Roman"/>
          <w:bCs/>
          <w:i/>
          <w:iCs/>
          <w:szCs w:val="21"/>
        </w:rPr>
      </w:pPr>
      <w:proofErr w:type="spellStart"/>
      <w:r w:rsidRPr="00A5445F">
        <w:rPr>
          <w:rFonts w:ascii="Times New Roman" w:hAnsi="Times New Roman"/>
          <w:bCs/>
          <w:i/>
          <w:iCs/>
          <w:szCs w:val="21"/>
        </w:rPr>
        <w:t>lmmunogenicity</w:t>
      </w:r>
      <w:proofErr w:type="spellEnd"/>
    </w:p>
    <w:p w14:paraId="7CC05151" w14:textId="6657AECF" w:rsidR="00A5445F" w:rsidRDefault="00A5445F" w:rsidP="00A174CE">
      <w:pPr>
        <w:pStyle w:val="Bodyofcontents"/>
      </w:pPr>
      <w:r w:rsidRPr="00A5445F">
        <w:t>As with all therapeutic proteins, there is potential for immunogenicity. Rates of antibody</w:t>
      </w:r>
      <w:r>
        <w:t xml:space="preserve"> </w:t>
      </w:r>
      <w:r w:rsidRPr="00A5445F">
        <w:t>generation against pegfilgrastim are generally low. Binding antibodies do develop but have</w:t>
      </w:r>
      <w:r>
        <w:t xml:space="preserve"> </w:t>
      </w:r>
      <w:r w:rsidRPr="00A5445F">
        <w:t>not been associated with neutralising activity or adverse clinical consequences.</w:t>
      </w:r>
    </w:p>
    <w:p w14:paraId="1A3E2433" w14:textId="3D678F34" w:rsidR="00A5445F" w:rsidRDefault="00A5445F" w:rsidP="00A174CE">
      <w:pPr>
        <w:pStyle w:val="Bodyofcontents"/>
      </w:pPr>
      <w:r w:rsidRPr="00A5445F">
        <w:t>The detection of antibody formation is dependent on the sen</w:t>
      </w:r>
      <w:r>
        <w:t xml:space="preserve">sitivity and specificity of the </w:t>
      </w:r>
      <w:r w:rsidRPr="00A5445F">
        <w:t>assay. The observed incidence of antibody positivity (including neutralising antibody) in an</w:t>
      </w:r>
      <w:r>
        <w:t xml:space="preserve"> </w:t>
      </w:r>
      <w:r w:rsidRPr="00A5445F">
        <w:t>assay may be influenced by several factors including assay methodology, sample handling,</w:t>
      </w:r>
      <w:r>
        <w:t xml:space="preserve"> </w:t>
      </w:r>
      <w:r w:rsidRPr="00A5445F">
        <w:t>timing of sample collection, concomitant medications and underlying disease, therefore</w:t>
      </w:r>
      <w:r>
        <w:t xml:space="preserve"> </w:t>
      </w:r>
      <w:r w:rsidRPr="00A5445F">
        <w:t>comparison of the incidence of antibodies to o</w:t>
      </w:r>
      <w:r>
        <w:t>ther products may be misleading</w:t>
      </w:r>
      <w:r w:rsidRPr="00A5445F">
        <w:t>.</w:t>
      </w:r>
    </w:p>
    <w:p w14:paraId="4E227143" w14:textId="77777777" w:rsidR="00A174CE" w:rsidRDefault="00A5445F" w:rsidP="00A174CE">
      <w:pPr>
        <w:pStyle w:val="Bodyofcontents"/>
      </w:pPr>
      <w:r w:rsidRPr="00A5445F">
        <w:t xml:space="preserve">In studies of </w:t>
      </w:r>
      <w:r>
        <w:t>pegfilgrastim</w:t>
      </w:r>
      <w:r w:rsidRPr="00A5445F">
        <w:t xml:space="preserve"> administration following chemother</w:t>
      </w:r>
      <w:r>
        <w:t xml:space="preserve">apy, most reported side effects </w:t>
      </w:r>
      <w:r w:rsidRPr="00A5445F">
        <w:t>were consistent with those usually seen as a result of cytotoxic chemotherapy (see</w:t>
      </w:r>
      <w:r>
        <w:t xml:space="preserve"> </w:t>
      </w:r>
      <w:r w:rsidRPr="00A5445F">
        <w:t>ADVERSE EFFECTS). Because of the potential for patients to receive higher doses of</w:t>
      </w:r>
      <w:r>
        <w:t xml:space="preserve"> </w:t>
      </w:r>
      <w:r w:rsidRPr="00A5445F">
        <w:t>chemotherapy (</w:t>
      </w:r>
      <w:proofErr w:type="spellStart"/>
      <w:r w:rsidRPr="00A5445F">
        <w:t>i</w:t>
      </w:r>
      <w:r>
        <w:t>.</w:t>
      </w:r>
      <w:r w:rsidRPr="00A5445F">
        <w:t>e</w:t>
      </w:r>
      <w:proofErr w:type="spellEnd"/>
      <w:r w:rsidRPr="00A5445F">
        <w:t>, full doses on the prescribe</w:t>
      </w:r>
      <w:r>
        <w:t>d schedule for a longer period)</w:t>
      </w:r>
      <w:r w:rsidRPr="00A5445F">
        <w:t>, patients may</w:t>
      </w:r>
      <w:r>
        <w:t xml:space="preserve"> </w:t>
      </w:r>
      <w:r w:rsidRPr="00A5445F">
        <w:t>be at greater risk of thrombocytopenia which should be monitored carefully. Anaemia and</w:t>
      </w:r>
      <w:r>
        <w:t xml:space="preserve"> </w:t>
      </w:r>
      <w:r w:rsidRPr="00A5445F">
        <w:t>non-haematologic consequences of increased chemothe</w:t>
      </w:r>
      <w:r>
        <w:t xml:space="preserve">rapy doses (please refer to the </w:t>
      </w:r>
      <w:r w:rsidRPr="00A5445F">
        <w:t xml:space="preserve">prescribing </w:t>
      </w:r>
      <w:r w:rsidRPr="00A5445F">
        <w:lastRenderedPageBreak/>
        <w:t>information for specific chemotherapy agents used) may also occur. If there is a</w:t>
      </w:r>
      <w:r>
        <w:t xml:space="preserve"> </w:t>
      </w:r>
      <w:r w:rsidR="00A174CE" w:rsidRPr="00A174CE">
        <w:t>risk of these conditions regular monitoring of the complete blood count is recommended.</w:t>
      </w:r>
    </w:p>
    <w:p w14:paraId="2F4F1478" w14:textId="1C7C6436" w:rsidR="00A5445F" w:rsidRDefault="00A174CE" w:rsidP="00A174CE">
      <w:pPr>
        <w:pStyle w:val="Bodyofcontents"/>
      </w:pPr>
      <w:r w:rsidRPr="00A174CE">
        <w:t xml:space="preserve">Furthermore, care should be exercised in the administration of </w:t>
      </w:r>
      <w:r>
        <w:t>pegfilgrastim</w:t>
      </w:r>
      <w:r w:rsidRPr="00A174CE">
        <w:t xml:space="preserve"> in conjunction with</w:t>
      </w:r>
      <w:r>
        <w:t xml:space="preserve"> </w:t>
      </w:r>
      <w:r w:rsidRPr="00A174CE">
        <w:t>drugs known to lower the platelet count and in the presence of moderate or severe organ</w:t>
      </w:r>
      <w:r>
        <w:t xml:space="preserve"> </w:t>
      </w:r>
      <w:r w:rsidRPr="00A174CE">
        <w:t>impairment.</w:t>
      </w:r>
    </w:p>
    <w:p w14:paraId="0F795042" w14:textId="77777777" w:rsidR="00A174CE" w:rsidRPr="00A174CE" w:rsidRDefault="00A174CE" w:rsidP="00A174CE">
      <w:pPr>
        <w:pStyle w:val="Subheading1"/>
      </w:pPr>
      <w:r w:rsidRPr="00A174CE">
        <w:t>Laboratory Monitoring</w:t>
      </w:r>
    </w:p>
    <w:p w14:paraId="277BFF14" w14:textId="72AB32A8" w:rsidR="00A5445F" w:rsidRDefault="00A174CE" w:rsidP="00A174CE">
      <w:pPr>
        <w:pStyle w:val="Bodyofcontents"/>
      </w:pPr>
      <w:r w:rsidRPr="00A174CE">
        <w:t xml:space="preserve">To assess a patient's haematologic status and ability to tolerate myelosuppressive chemotherapy, a complete blood count and platelet count should be obtained before chemotherapy is administered. </w:t>
      </w:r>
      <w:r>
        <w:t>Pegfilgrastim</w:t>
      </w:r>
      <w:r w:rsidRPr="00A174CE">
        <w:t xml:space="preserve"> produced ANC profiles similar to daily filgrastim, including earlier ANC nadir, shorter duration of severe neutropenia and accelerated ANC recovery, compared with ANC profiles observed without growth factor support. Due to neutrophil mediated clearance, </w:t>
      </w:r>
      <w:r>
        <w:t>pegfilgrastim</w:t>
      </w:r>
      <w:r w:rsidRPr="00A174CE">
        <w:t xml:space="preserve"> is likely to produce post-recovery ANC levels in the normal range, and the above-normal peak ANC levels commonly seen with daily filgrastim do not occur.</w:t>
      </w:r>
    </w:p>
    <w:p w14:paraId="6A681275" w14:textId="77777777" w:rsidR="00EC1344" w:rsidRDefault="00EC1344" w:rsidP="00144CC8">
      <w:pPr>
        <w:pStyle w:val="Subheading1"/>
      </w:pPr>
      <w:r>
        <w:t xml:space="preserve">Carcinogenicity </w:t>
      </w:r>
    </w:p>
    <w:p w14:paraId="5E50966F" w14:textId="77777777" w:rsidR="00A174CE" w:rsidRDefault="00A174CE" w:rsidP="00A174CE">
      <w:pPr>
        <w:pStyle w:val="Bodyofcontents"/>
      </w:pPr>
      <w:r w:rsidRPr="00A174CE">
        <w:t>No carcinogenicity testing has been conducted for pegfilgrastim.</w:t>
      </w:r>
      <w:r>
        <w:t xml:space="preserve"> </w:t>
      </w:r>
    </w:p>
    <w:p w14:paraId="4B4488E0" w14:textId="6D441480" w:rsidR="00EC1344" w:rsidRDefault="00A174CE" w:rsidP="00144CC8">
      <w:pPr>
        <w:pStyle w:val="Subheading1"/>
      </w:pPr>
      <w:r>
        <w:t>Mutagenicity</w:t>
      </w:r>
      <w:r w:rsidR="00EC1344">
        <w:t xml:space="preserve"> </w:t>
      </w:r>
    </w:p>
    <w:p w14:paraId="2A9BF908" w14:textId="5DFEA61D" w:rsidR="00A174CE" w:rsidRPr="00A174CE" w:rsidRDefault="00A174CE" w:rsidP="00A174CE">
      <w:pPr>
        <w:pStyle w:val="Bodyofcontents"/>
      </w:pPr>
      <w:r w:rsidRPr="00A174CE">
        <w:t>No mutagenicity studies have been conducted with pegfilgrastim, although the parent protein</w:t>
      </w:r>
      <w:r>
        <w:t xml:space="preserve"> </w:t>
      </w:r>
      <w:r w:rsidRPr="00A174CE">
        <w:t>(filgrastim) was negative in bacterial mutagenicity assays, a test for chromosome aberrations</w:t>
      </w:r>
      <w:r>
        <w:t xml:space="preserve"> </w:t>
      </w:r>
      <w:r w:rsidRPr="00A174CE">
        <w:t xml:space="preserve">in Chinese hamster lung cells </w:t>
      </w:r>
      <w:r w:rsidRPr="00A174CE">
        <w:rPr>
          <w:i/>
        </w:rPr>
        <w:t>in vitro</w:t>
      </w:r>
      <w:r w:rsidRPr="00A174CE">
        <w:t xml:space="preserve"> and in an </w:t>
      </w:r>
      <w:r w:rsidRPr="00A174CE">
        <w:rPr>
          <w:i/>
        </w:rPr>
        <w:t>in vivo</w:t>
      </w:r>
      <w:r w:rsidRPr="00A174CE">
        <w:t xml:space="preserve"> mouse micronucleus test.</w:t>
      </w:r>
    </w:p>
    <w:p w14:paraId="6A142D34" w14:textId="3CAD63C6" w:rsidR="00EC1344" w:rsidRDefault="00EC1344" w:rsidP="00A174CE">
      <w:pPr>
        <w:pStyle w:val="Subheading1"/>
      </w:pPr>
      <w:r>
        <w:t xml:space="preserve">Effects on Fertility </w:t>
      </w:r>
    </w:p>
    <w:p w14:paraId="464F759C" w14:textId="59008C6E" w:rsidR="00A174CE" w:rsidRPr="00A174CE" w:rsidRDefault="00A174CE" w:rsidP="00A174CE">
      <w:pPr>
        <w:pStyle w:val="Bodyofcontents"/>
      </w:pPr>
      <w:r w:rsidRPr="00A174CE">
        <w:t>Pegfilgrastim did not affect the fertility of male or female rats when administered once weekly</w:t>
      </w:r>
      <w:r>
        <w:t xml:space="preserve"> </w:t>
      </w:r>
      <w:r w:rsidRPr="00A174CE">
        <w:t>at SC doses of up to 1 mg/kg (about 2 to 13x the recommended human dose of 6 mg based</w:t>
      </w:r>
      <w:r>
        <w:t xml:space="preserve"> </w:t>
      </w:r>
      <w:r w:rsidRPr="00A174CE">
        <w:t>on plasma AUC data for a single dose).</w:t>
      </w:r>
    </w:p>
    <w:p w14:paraId="44921AC9" w14:textId="2C7E1048" w:rsidR="00EC1344" w:rsidRDefault="00EC1344" w:rsidP="00A174CE">
      <w:pPr>
        <w:pStyle w:val="Subheading1"/>
      </w:pPr>
      <w:r>
        <w:t xml:space="preserve">Use in Pregnancy - Category </w:t>
      </w:r>
      <w:r w:rsidR="00A174CE">
        <w:t>B3</w:t>
      </w:r>
      <w:r>
        <w:t xml:space="preserve"> </w:t>
      </w:r>
    </w:p>
    <w:p w14:paraId="133642A6" w14:textId="2C75DA83" w:rsidR="00A174CE" w:rsidRPr="00A174CE" w:rsidRDefault="00A174CE" w:rsidP="00A174CE">
      <w:pPr>
        <w:pStyle w:val="Bodyofcontents"/>
      </w:pPr>
      <w:r w:rsidRPr="00A174CE">
        <w:t>Pegfilgrastim crosses the placenta in pregnant rats. Administration of pegfilgrastim every</w:t>
      </w:r>
      <w:r>
        <w:t xml:space="preserve"> </w:t>
      </w:r>
      <w:r w:rsidRPr="00A174CE">
        <w:t>second day over the period of organogenesis to rats and rabbits at SC doses up to 1 mg</w:t>
      </w:r>
      <w:r>
        <w:t>/</w:t>
      </w:r>
      <w:r w:rsidRPr="00A174CE">
        <w:t xml:space="preserve">kg and 200 </w:t>
      </w:r>
      <w:r>
        <w:t>µ</w:t>
      </w:r>
      <w:r w:rsidRPr="00A174CE">
        <w:t>g/kg, respectively, produced no evidence of teratogenicity. The rat dose was 2</w:t>
      </w:r>
      <w:r>
        <w:t xml:space="preserve"> </w:t>
      </w:r>
      <w:r w:rsidRPr="00A174CE">
        <w:t>fold of the anticipated exposure at the maximal recommended human dose (based on AUG)</w:t>
      </w:r>
      <w:proofErr w:type="gramStart"/>
      <w:r w:rsidRPr="00A174CE">
        <w:t>,</w:t>
      </w:r>
      <w:proofErr w:type="gramEnd"/>
      <w:r>
        <w:t xml:space="preserve"> </w:t>
      </w:r>
      <w:r w:rsidRPr="00A174CE">
        <w:t>while the rabbit dose was 0.6 fold the human dose (based on body surface area). An</w:t>
      </w:r>
      <w:r>
        <w:t xml:space="preserve"> </w:t>
      </w:r>
      <w:r w:rsidRPr="00A174CE">
        <w:t xml:space="preserve">increased incidence of wavy ribs, considered a reversible </w:t>
      </w:r>
      <w:r>
        <w:t xml:space="preserve">change, was observed in rats at </w:t>
      </w:r>
      <w:r w:rsidRPr="00A174CE">
        <w:t xml:space="preserve">doses greater than 100 </w:t>
      </w:r>
      <w:r>
        <w:t>µ</w:t>
      </w:r>
      <w:r w:rsidRPr="00A174CE">
        <w:t>g/kg.</w:t>
      </w:r>
    </w:p>
    <w:p w14:paraId="6053E52D" w14:textId="7CD7DE5C" w:rsidR="00A174CE" w:rsidRPr="00A174CE" w:rsidRDefault="00A174CE" w:rsidP="00A174CE">
      <w:pPr>
        <w:pStyle w:val="Bodyofcontents"/>
      </w:pPr>
      <w:r w:rsidRPr="00A174CE">
        <w:t>Decreased maternal body weight gain, accompanied by decreased maternal food</w:t>
      </w:r>
      <w:r>
        <w:t xml:space="preserve"> </w:t>
      </w:r>
      <w:r w:rsidRPr="00A174CE">
        <w:t>consumption and decreased foetal body weights were observed in rabbits at doses of</w:t>
      </w:r>
      <w:r>
        <w:t xml:space="preserve"> </w:t>
      </w:r>
      <w:r w:rsidRPr="00A174CE">
        <w:t xml:space="preserve">50 </w:t>
      </w:r>
      <w:r>
        <w:t>µ</w:t>
      </w:r>
      <w:r w:rsidRPr="00A174CE">
        <w:t>g/kg SC and above. Increased post-implantation loss due to early resorptions and an</w:t>
      </w:r>
      <w:r>
        <w:t xml:space="preserve"> </w:t>
      </w:r>
      <w:r w:rsidRPr="00A174CE">
        <w:t xml:space="preserve">increased incidence of abortions were observed at pegfilgrastim doses above 50 </w:t>
      </w:r>
      <w:r>
        <w:t>µ</w:t>
      </w:r>
      <w:r w:rsidRPr="00A174CE">
        <w:t>g/kg SC.</w:t>
      </w:r>
      <w:r>
        <w:t xml:space="preserve"> </w:t>
      </w:r>
      <w:r w:rsidRPr="00A174CE">
        <w:t xml:space="preserve">Once weekly SC injections of pegfilgrastim to female rats </w:t>
      </w:r>
      <w:r>
        <w:t xml:space="preserve">from day 6 of gestation through </w:t>
      </w:r>
      <w:r w:rsidRPr="00A174CE">
        <w:t xml:space="preserve">day 18 of lactation at doses up to 1000 </w:t>
      </w:r>
      <w:r>
        <w:t>µ</w:t>
      </w:r>
      <w:r w:rsidRPr="00A174CE">
        <w:t>g/kg/dose did not result in any adverse maternal</w:t>
      </w:r>
      <w:r>
        <w:t xml:space="preserve"> </w:t>
      </w:r>
      <w:r w:rsidRPr="00A174CE">
        <w:t>effects. There were no deleterious effects on the growth and development of the offspring</w:t>
      </w:r>
      <w:r>
        <w:t xml:space="preserve"> </w:t>
      </w:r>
      <w:r w:rsidRPr="00A174CE">
        <w:t>and no adverse effects were found upon fertility indices.</w:t>
      </w:r>
    </w:p>
    <w:p w14:paraId="2DEC9EA0" w14:textId="113D43E8" w:rsidR="00A174CE" w:rsidRPr="00A174CE" w:rsidRDefault="00A174CE" w:rsidP="00A174CE">
      <w:pPr>
        <w:pStyle w:val="Bodyofcontents"/>
      </w:pPr>
      <w:r w:rsidRPr="00A174CE">
        <w:t xml:space="preserve">There are no adequate and well-controlled studies in pregnant women. </w:t>
      </w:r>
      <w:r>
        <w:t>Pegfilgrastim</w:t>
      </w:r>
      <w:r w:rsidRPr="00A174CE">
        <w:t xml:space="preserve"> should be</w:t>
      </w:r>
      <w:r>
        <w:t xml:space="preserve"> </w:t>
      </w:r>
      <w:r w:rsidRPr="00A174CE">
        <w:t>used during pregnancy only if the potential benefit to the mother justifies the potential risk to</w:t>
      </w:r>
      <w:r>
        <w:t xml:space="preserve"> </w:t>
      </w:r>
      <w:r w:rsidRPr="00A174CE">
        <w:t>the foetus.</w:t>
      </w:r>
    </w:p>
    <w:p w14:paraId="4D558CF8" w14:textId="698E2DD3" w:rsidR="00EC1344" w:rsidRDefault="00EC1344" w:rsidP="00A174CE">
      <w:pPr>
        <w:pStyle w:val="Subheading1"/>
      </w:pPr>
      <w:r>
        <w:t xml:space="preserve">Use in Lactation </w:t>
      </w:r>
    </w:p>
    <w:p w14:paraId="105140CA" w14:textId="2AEE9E67" w:rsidR="00A174CE" w:rsidRDefault="00A174CE" w:rsidP="00A174CE">
      <w:pPr>
        <w:pStyle w:val="Bodyofcontents"/>
      </w:pPr>
      <w:r w:rsidRPr="00A174CE">
        <w:t xml:space="preserve">Whether </w:t>
      </w:r>
      <w:r>
        <w:t>pegfilgrastim</w:t>
      </w:r>
      <w:r w:rsidRPr="00A174CE">
        <w:t xml:space="preserve"> is excreted in human milk is not known. Because many drugs are</w:t>
      </w:r>
      <w:r>
        <w:t xml:space="preserve"> </w:t>
      </w:r>
      <w:r w:rsidRPr="00A174CE">
        <w:t xml:space="preserve">excreted in human milk, caution should be exercised if </w:t>
      </w:r>
      <w:r>
        <w:t>pegfilgrastim</w:t>
      </w:r>
      <w:r w:rsidRPr="00A174CE">
        <w:t xml:space="preserve"> is administered to</w:t>
      </w:r>
      <w:r>
        <w:t xml:space="preserve"> </w:t>
      </w:r>
      <w:r w:rsidRPr="00A174CE">
        <w:t>breastfeeding women.</w:t>
      </w:r>
    </w:p>
    <w:p w14:paraId="1F3F9BEE" w14:textId="54381213" w:rsidR="003E5C5B" w:rsidRDefault="003E5C5B" w:rsidP="001A7651">
      <w:pPr>
        <w:pStyle w:val="Subheading1"/>
      </w:pPr>
      <w:r>
        <w:t>Traceability</w:t>
      </w:r>
    </w:p>
    <w:p w14:paraId="061A3C12" w14:textId="1A127BEB" w:rsidR="003E5C5B" w:rsidRDefault="003E5C5B" w:rsidP="00A174CE">
      <w:pPr>
        <w:pStyle w:val="Bodyofcontents"/>
      </w:pPr>
      <w:r>
        <w:t xml:space="preserve">In order to </w:t>
      </w:r>
      <w:proofErr w:type="spellStart"/>
      <w:r>
        <w:t>to</w:t>
      </w:r>
      <w:proofErr w:type="spellEnd"/>
      <w:r>
        <w:t xml:space="preserve"> improve the traceability of biological medicines, the trade name and the batch number of the administered product should be clearly recorded in the patient’s medical record and/or dispensing record.</w:t>
      </w:r>
    </w:p>
    <w:p w14:paraId="5228A982" w14:textId="4FC9CE7B" w:rsidR="001A7651" w:rsidRDefault="001A7651" w:rsidP="00A174CE">
      <w:pPr>
        <w:pStyle w:val="Bodyofcontents"/>
      </w:pPr>
    </w:p>
    <w:p w14:paraId="0C03177C" w14:textId="77777777" w:rsidR="001A7651" w:rsidRPr="00A174CE" w:rsidRDefault="001A7651" w:rsidP="00A174CE">
      <w:pPr>
        <w:pStyle w:val="Bodyofcontents"/>
      </w:pPr>
    </w:p>
    <w:p w14:paraId="44CEDDD3" w14:textId="77777777" w:rsidR="00EC1344" w:rsidRDefault="00EC1344" w:rsidP="00144CC8">
      <w:pPr>
        <w:pStyle w:val="SubjectHeading"/>
      </w:pPr>
      <w:r>
        <w:t>INTERACTIONS WITH OTHER MEDICINES</w:t>
      </w:r>
    </w:p>
    <w:p w14:paraId="439F2A35" w14:textId="77777777" w:rsidR="00D44A50" w:rsidRDefault="00D44A50" w:rsidP="00144CC8">
      <w:pPr>
        <w:pStyle w:val="Bodyofcontents"/>
      </w:pPr>
      <w:r>
        <w:t xml:space="preserve">Drug interactions between pegfilgrastim and other drugs have not been fully evaluated. </w:t>
      </w:r>
    </w:p>
    <w:p w14:paraId="7E3F7C72" w14:textId="5E29BBFA" w:rsidR="00EC1344" w:rsidRDefault="00D44A50" w:rsidP="00144CC8">
      <w:pPr>
        <w:pStyle w:val="Subheading1"/>
      </w:pPr>
      <w:r>
        <w:t xml:space="preserve">Bone Imaging </w:t>
      </w:r>
      <w:r w:rsidR="00EC1344">
        <w:t xml:space="preserve"> </w:t>
      </w:r>
    </w:p>
    <w:p w14:paraId="442759A0" w14:textId="3379D1FC" w:rsidR="00D44A50" w:rsidRPr="00D44A50" w:rsidRDefault="00D44A50" w:rsidP="00D44A50">
      <w:pPr>
        <w:pStyle w:val="Bodyofcontents"/>
      </w:pPr>
      <w:r w:rsidRPr="00D44A50">
        <w:t>Increased haemopoietic activity of the bone marrow in response to growth factor therapy has</w:t>
      </w:r>
      <w:r>
        <w:t xml:space="preserve"> </w:t>
      </w:r>
      <w:r w:rsidRPr="00D44A50">
        <w:t>been associated with transient positive bone imaging changes. This should be considered</w:t>
      </w:r>
      <w:r>
        <w:t xml:space="preserve"> </w:t>
      </w:r>
      <w:r w:rsidRPr="00D44A50">
        <w:t>when interpreting bone-imaging results.</w:t>
      </w:r>
    </w:p>
    <w:p w14:paraId="4D7BB2B2" w14:textId="5B86A445" w:rsidR="00EC1344" w:rsidRDefault="00D44A50" w:rsidP="00144CC8">
      <w:pPr>
        <w:pStyle w:val="Subheading1"/>
      </w:pPr>
      <w:r>
        <w:t>Lithium</w:t>
      </w:r>
      <w:r w:rsidR="00EC1344">
        <w:t xml:space="preserve"> </w:t>
      </w:r>
    </w:p>
    <w:p w14:paraId="4AE6FA18" w14:textId="6A11ECD2" w:rsidR="00D44A50" w:rsidRPr="00D44A50" w:rsidRDefault="00D44A50" w:rsidP="00D44A50">
      <w:pPr>
        <w:pStyle w:val="Bodyofcontents"/>
      </w:pPr>
      <w:r w:rsidRPr="00D44A50">
        <w:t>The potential for pharmacodynamic interaction with lithium, which also promotes the release</w:t>
      </w:r>
      <w:r>
        <w:t xml:space="preserve"> </w:t>
      </w:r>
      <w:r w:rsidRPr="00D44A50">
        <w:t>of neutrophils, has not been specifically investigated. There is no evidence that such an</w:t>
      </w:r>
      <w:r>
        <w:t xml:space="preserve"> </w:t>
      </w:r>
      <w:r w:rsidRPr="00D44A50">
        <w:t>interaction would be harmful.</w:t>
      </w:r>
    </w:p>
    <w:p w14:paraId="2EBCC44A" w14:textId="77777777" w:rsidR="00EC1344" w:rsidRDefault="00EC1344" w:rsidP="00144CC8">
      <w:pPr>
        <w:pStyle w:val="SubjectHeading"/>
      </w:pPr>
      <w:r>
        <w:t>ADVERSE EFFECTS</w:t>
      </w:r>
    </w:p>
    <w:p w14:paraId="0935BB9C" w14:textId="33B43409" w:rsidR="00D44A50" w:rsidRPr="00D44A50" w:rsidRDefault="00D44A50" w:rsidP="00D44A50">
      <w:pPr>
        <w:pStyle w:val="Bodyofcontents"/>
      </w:pPr>
      <w:r w:rsidRPr="00D44A50">
        <w:t>Safety data are based on seven randomised clinical trials involving over 930 patients with</w:t>
      </w:r>
      <w:r>
        <w:t xml:space="preserve"> </w:t>
      </w:r>
      <w:r w:rsidRPr="00D44A50">
        <w:t xml:space="preserve">lymphoma and solid tumours (breast, lung and thoracic tumours) receiving </w:t>
      </w:r>
      <w:r>
        <w:t>pegfilgrastim</w:t>
      </w:r>
      <w:r w:rsidRPr="00D44A50">
        <w:t xml:space="preserve"> after</w:t>
      </w:r>
      <w:r>
        <w:t xml:space="preserve"> </w:t>
      </w:r>
      <w:r w:rsidRPr="00D44A50">
        <w:t>non-myeloablative cytotoxic chemotherapy. Most adverse experiences were the sequelae of</w:t>
      </w:r>
      <w:r>
        <w:t xml:space="preserve"> </w:t>
      </w:r>
      <w:r w:rsidRPr="00D44A50">
        <w:t>the underlying malignancy or cytotoxic chemotherapy. They occurred at similar rates in</w:t>
      </w:r>
      <w:r>
        <w:t xml:space="preserve"> </w:t>
      </w:r>
      <w:r w:rsidRPr="00D44A50">
        <w:t xml:space="preserve">subjects who received </w:t>
      </w:r>
      <w:r>
        <w:t>pegfilgrastim</w:t>
      </w:r>
      <w:r w:rsidRPr="00D44A50">
        <w:t xml:space="preserve"> (n = 930), filgrastim (n = 331) or placebo (n = 463). These</w:t>
      </w:r>
      <w:r>
        <w:t xml:space="preserve"> </w:t>
      </w:r>
      <w:r w:rsidRPr="00D44A50">
        <w:t xml:space="preserve">adverse experiences occurred at rates between 15% </w:t>
      </w:r>
      <w:r>
        <w:t xml:space="preserve">and 72%. They included: nausea, </w:t>
      </w:r>
      <w:r w:rsidRPr="00D44A50">
        <w:t>fatigue, alopecia, diarrhoea, vomiting, constipation, fever, anorexia, skeletal pain, headache,</w:t>
      </w:r>
      <w:r>
        <w:t xml:space="preserve"> </w:t>
      </w:r>
      <w:r w:rsidRPr="00D44A50">
        <w:t>taste perversion, dyspepsia, myalgia, insomnia, abdominal pain, arthralgia, generalised</w:t>
      </w:r>
      <w:r>
        <w:t xml:space="preserve"> </w:t>
      </w:r>
      <w:r w:rsidRPr="00D44A50">
        <w:t xml:space="preserve">weakness, peripheral oedema, dizziness, </w:t>
      </w:r>
      <w:proofErr w:type="spellStart"/>
      <w:r w:rsidRPr="00D44A50">
        <w:t>granulocytopenia</w:t>
      </w:r>
      <w:proofErr w:type="spellEnd"/>
      <w:r w:rsidRPr="00D44A50">
        <w:t>, stomatitis, mucositis, and</w:t>
      </w:r>
      <w:r>
        <w:t xml:space="preserve"> </w:t>
      </w:r>
      <w:r w:rsidRPr="00D44A50">
        <w:t>neutropenic fever. The most common observed adver</w:t>
      </w:r>
      <w:r>
        <w:t xml:space="preserve">se reaction related to pegfilgrastim </w:t>
      </w:r>
      <w:r w:rsidRPr="00D44A50">
        <w:t>therapy was medullary bone pain, which was report</w:t>
      </w:r>
      <w:r>
        <w:t xml:space="preserve">ed in 26% of patients. This was </w:t>
      </w:r>
      <w:r w:rsidRPr="00D44A50">
        <w:t>comparable to the incidence of medullary bone pain related to filgrastim therapy. This bone</w:t>
      </w:r>
      <w:r>
        <w:t xml:space="preserve"> </w:t>
      </w:r>
      <w:r w:rsidRPr="00D44A50">
        <w:t>pain was generally reported to be of mild-to-moderate severity, could be controlled in most</w:t>
      </w:r>
      <w:r>
        <w:t xml:space="preserve"> </w:t>
      </w:r>
      <w:r w:rsidRPr="00D44A50">
        <w:t xml:space="preserve">patients with non-narcotic analgesics, and had a comparable duration for both </w:t>
      </w:r>
      <w:r>
        <w:t>pegfilgrastim</w:t>
      </w:r>
      <w:r w:rsidRPr="00D44A50">
        <w:t xml:space="preserve"> and</w:t>
      </w:r>
      <w:r>
        <w:t xml:space="preserve"> </w:t>
      </w:r>
      <w:r w:rsidRPr="00D44A50">
        <w:t>filgrastim-treated patients. Infrequently, bone pain was severe enough to require narcotic</w:t>
      </w:r>
      <w:r>
        <w:t xml:space="preserve"> </w:t>
      </w:r>
      <w:r w:rsidRPr="00D44A50">
        <w:t>analgesics. No patient withdrew from study due to bone pai</w:t>
      </w:r>
      <w:r>
        <w:t xml:space="preserve">n. In these randomised clinical </w:t>
      </w:r>
      <w:r w:rsidRPr="00D44A50">
        <w:t xml:space="preserve">trials, the following adverse events related to </w:t>
      </w:r>
      <w:r>
        <w:t>pegfilgrastim</w:t>
      </w:r>
      <w:r w:rsidRPr="00D44A50">
        <w:t xml:space="preserve"> were reported.</w:t>
      </w:r>
    </w:p>
    <w:p w14:paraId="22C91CA0" w14:textId="38206867" w:rsidR="00465587" w:rsidRDefault="00465587" w:rsidP="001A7651">
      <w:pPr>
        <w:pStyle w:val="TableTitle"/>
      </w:pPr>
      <w:r w:rsidRPr="00AF1BED">
        <w:t xml:space="preserve">Table </w:t>
      </w:r>
      <w:r w:rsidR="00D44A50">
        <w:t>2</w:t>
      </w:r>
      <w:r w:rsidRPr="00AF1BED">
        <w:t xml:space="preserve">: </w:t>
      </w:r>
      <w:r w:rsidR="00D44A50">
        <w:t xml:space="preserve">Adverse Events in Active Comparator Studies Related to Pegfilgrastim at an Incidence ≥ 1% </w:t>
      </w:r>
      <w:r w:rsidRPr="00AF1BED">
        <w:t xml:space="preserve"> </w:t>
      </w:r>
    </w:p>
    <w:tbl>
      <w:tblPr>
        <w:tblStyle w:val="TableGrid"/>
        <w:tblW w:w="0" w:type="auto"/>
        <w:tblLook w:val="04A0" w:firstRow="1" w:lastRow="0" w:firstColumn="1" w:lastColumn="0" w:noHBand="0" w:noVBand="1"/>
      </w:tblPr>
      <w:tblGrid>
        <w:gridCol w:w="3681"/>
        <w:gridCol w:w="3089"/>
        <w:gridCol w:w="3090"/>
      </w:tblGrid>
      <w:tr w:rsidR="00D44A50" w14:paraId="6F6D5565" w14:textId="77777777" w:rsidTr="0072420E">
        <w:tc>
          <w:tcPr>
            <w:tcW w:w="3681" w:type="dxa"/>
            <w:vMerge w:val="restart"/>
            <w:vAlign w:val="center"/>
          </w:tcPr>
          <w:p w14:paraId="220328AD" w14:textId="10533F30" w:rsidR="00D44A50" w:rsidRPr="00D44A50" w:rsidRDefault="00D44A50" w:rsidP="0072420E">
            <w:pPr>
              <w:pStyle w:val="TableTitle"/>
              <w:spacing w:before="60" w:after="60"/>
              <w:jc w:val="left"/>
            </w:pPr>
            <w:r w:rsidRPr="00D44A50">
              <w:t>Body System and Preferred Terms</w:t>
            </w:r>
          </w:p>
        </w:tc>
        <w:tc>
          <w:tcPr>
            <w:tcW w:w="6179" w:type="dxa"/>
            <w:gridSpan w:val="2"/>
            <w:vAlign w:val="center"/>
          </w:tcPr>
          <w:p w14:paraId="188CDFAB" w14:textId="41E25FC9" w:rsidR="00D44A50" w:rsidRPr="00D44A50" w:rsidRDefault="00D44A50" w:rsidP="00D44A50">
            <w:pPr>
              <w:pStyle w:val="TableTitle"/>
              <w:spacing w:before="60" w:after="60"/>
              <w:jc w:val="center"/>
            </w:pPr>
            <w:r w:rsidRPr="00D44A50">
              <w:t>Percentage of Patents Reporting Events</w:t>
            </w:r>
          </w:p>
        </w:tc>
      </w:tr>
      <w:tr w:rsidR="00D44A50" w14:paraId="008EEE7D" w14:textId="77777777" w:rsidTr="0072420E">
        <w:tc>
          <w:tcPr>
            <w:tcW w:w="3681" w:type="dxa"/>
            <w:vMerge/>
          </w:tcPr>
          <w:p w14:paraId="5071FF53" w14:textId="77777777" w:rsidR="00D44A50" w:rsidRPr="00D44A50" w:rsidRDefault="00D44A50" w:rsidP="00D44A50">
            <w:pPr>
              <w:pStyle w:val="TableTitle"/>
              <w:spacing w:before="60" w:after="60"/>
            </w:pPr>
          </w:p>
        </w:tc>
        <w:tc>
          <w:tcPr>
            <w:tcW w:w="3089" w:type="dxa"/>
          </w:tcPr>
          <w:p w14:paraId="791C7D06" w14:textId="44BADBDE" w:rsidR="00D44A50" w:rsidRPr="00D44A50" w:rsidRDefault="00D44A50" w:rsidP="00D44A50">
            <w:pPr>
              <w:pStyle w:val="TableTitle"/>
              <w:spacing w:before="60" w:after="60"/>
              <w:jc w:val="center"/>
            </w:pPr>
            <w:r w:rsidRPr="00D44A50">
              <w:t>Pegfilgrastim</w:t>
            </w:r>
          </w:p>
          <w:p w14:paraId="405CE1E7" w14:textId="623B110A" w:rsidR="00D44A50" w:rsidRPr="00D44A50" w:rsidRDefault="00D44A50" w:rsidP="00D44A50">
            <w:pPr>
              <w:pStyle w:val="TableTitle"/>
              <w:spacing w:before="60" w:after="60"/>
              <w:jc w:val="center"/>
            </w:pPr>
            <w:r w:rsidRPr="00D44A50">
              <w:t>(n = 465)</w:t>
            </w:r>
          </w:p>
        </w:tc>
        <w:tc>
          <w:tcPr>
            <w:tcW w:w="3090" w:type="dxa"/>
          </w:tcPr>
          <w:p w14:paraId="033BAE07" w14:textId="253D491D" w:rsidR="00D44A50" w:rsidRPr="00D44A50" w:rsidRDefault="00D44A50" w:rsidP="00D44A50">
            <w:pPr>
              <w:pStyle w:val="TableTitle"/>
              <w:spacing w:before="60" w:after="60"/>
              <w:jc w:val="center"/>
            </w:pPr>
            <w:r w:rsidRPr="00D44A50">
              <w:t xml:space="preserve">Filgrastim 5 </w:t>
            </w:r>
            <m:oMath>
              <m:r>
                <m:rPr>
                  <m:sty m:val="bi"/>
                </m:rPr>
                <w:rPr>
                  <w:rFonts w:ascii="Cambria Math" w:hAnsi="Cambria Math"/>
                </w:rPr>
                <m:t>µ</m:t>
              </m:r>
            </m:oMath>
            <w:r w:rsidRPr="00D44A50">
              <w:t>g/kg/day</w:t>
            </w:r>
          </w:p>
          <w:p w14:paraId="46533116" w14:textId="65FD628E" w:rsidR="00D44A50" w:rsidRPr="00D44A50" w:rsidRDefault="00D44A50" w:rsidP="00D44A50">
            <w:pPr>
              <w:pStyle w:val="TableTitle"/>
              <w:spacing w:before="60" w:after="60"/>
              <w:jc w:val="center"/>
            </w:pPr>
            <w:r w:rsidRPr="00D44A50">
              <w:t>(n = 331)</w:t>
            </w:r>
          </w:p>
        </w:tc>
      </w:tr>
      <w:tr w:rsidR="00D44A50" w14:paraId="57248455" w14:textId="77777777" w:rsidTr="0072420E">
        <w:tc>
          <w:tcPr>
            <w:tcW w:w="3681" w:type="dxa"/>
          </w:tcPr>
          <w:p w14:paraId="705C7475" w14:textId="57CA5466" w:rsidR="00D44A50" w:rsidRPr="00B70059" w:rsidRDefault="0072420E" w:rsidP="00D44A50">
            <w:pPr>
              <w:pStyle w:val="TableTitle"/>
              <w:spacing w:before="60" w:after="60"/>
            </w:pPr>
            <w:r>
              <w:t>Application S</w:t>
            </w:r>
            <w:r w:rsidR="00D44A50" w:rsidRPr="00B70059">
              <w:t>ite</w:t>
            </w:r>
          </w:p>
          <w:p w14:paraId="065FEE8E" w14:textId="0411E8D9" w:rsidR="00D44A50" w:rsidRDefault="00D44A50" w:rsidP="00D44A50">
            <w:pPr>
              <w:pStyle w:val="TableTitle"/>
              <w:spacing w:before="60" w:after="60"/>
              <w:rPr>
                <w:b w:val="0"/>
              </w:rPr>
            </w:pPr>
            <w:r>
              <w:rPr>
                <w:b w:val="0"/>
              </w:rPr>
              <w:t xml:space="preserve">     Injection site pain</w:t>
            </w:r>
          </w:p>
        </w:tc>
        <w:tc>
          <w:tcPr>
            <w:tcW w:w="3089" w:type="dxa"/>
          </w:tcPr>
          <w:p w14:paraId="02C5C81E" w14:textId="77777777" w:rsidR="00D44A50" w:rsidRDefault="00D44A50" w:rsidP="00B70059">
            <w:pPr>
              <w:pStyle w:val="TableTitle"/>
              <w:spacing w:before="60" w:after="60"/>
              <w:jc w:val="center"/>
              <w:rPr>
                <w:b w:val="0"/>
              </w:rPr>
            </w:pPr>
          </w:p>
          <w:p w14:paraId="294F7975" w14:textId="4184CA8F" w:rsidR="00B70059" w:rsidRDefault="00B70059" w:rsidP="00B70059">
            <w:pPr>
              <w:pStyle w:val="TableTitle"/>
              <w:spacing w:before="60" w:after="60"/>
              <w:jc w:val="center"/>
              <w:rPr>
                <w:b w:val="0"/>
              </w:rPr>
            </w:pPr>
            <w:r>
              <w:rPr>
                <w:b w:val="0"/>
              </w:rPr>
              <w:t>3</w:t>
            </w:r>
          </w:p>
        </w:tc>
        <w:tc>
          <w:tcPr>
            <w:tcW w:w="3090" w:type="dxa"/>
          </w:tcPr>
          <w:p w14:paraId="1E5B9676" w14:textId="77777777" w:rsidR="00D44A50" w:rsidRDefault="00D44A50" w:rsidP="00B70059">
            <w:pPr>
              <w:pStyle w:val="TableTitle"/>
              <w:spacing w:before="60" w:after="60"/>
              <w:jc w:val="center"/>
              <w:rPr>
                <w:b w:val="0"/>
              </w:rPr>
            </w:pPr>
          </w:p>
          <w:p w14:paraId="68F3417F" w14:textId="3AA7DD6C" w:rsidR="00B70059" w:rsidRDefault="00B70059" w:rsidP="00B70059">
            <w:pPr>
              <w:pStyle w:val="TableTitle"/>
              <w:spacing w:before="60" w:after="60"/>
              <w:jc w:val="center"/>
              <w:rPr>
                <w:b w:val="0"/>
              </w:rPr>
            </w:pPr>
            <w:r>
              <w:rPr>
                <w:b w:val="0"/>
              </w:rPr>
              <w:t>3</w:t>
            </w:r>
          </w:p>
        </w:tc>
      </w:tr>
      <w:tr w:rsidR="00D44A50" w14:paraId="5C08DDC8" w14:textId="77777777" w:rsidTr="0072420E">
        <w:tc>
          <w:tcPr>
            <w:tcW w:w="3681" w:type="dxa"/>
          </w:tcPr>
          <w:p w14:paraId="3E1E8BEC" w14:textId="7016FCDE" w:rsidR="00D44A50" w:rsidRPr="00B70059" w:rsidRDefault="0072420E" w:rsidP="00D44A50">
            <w:pPr>
              <w:pStyle w:val="TableTitle"/>
              <w:spacing w:before="60" w:after="60"/>
            </w:pPr>
            <w:r>
              <w:t>Body as a W</w:t>
            </w:r>
            <w:r w:rsidR="00D44A50" w:rsidRPr="00B70059">
              <w:t>hole</w:t>
            </w:r>
          </w:p>
          <w:p w14:paraId="2B14BAF5" w14:textId="77777777" w:rsidR="00D44A50" w:rsidRDefault="00D44A50" w:rsidP="00D44A50">
            <w:pPr>
              <w:pStyle w:val="TableTitle"/>
              <w:spacing w:before="60" w:after="60"/>
              <w:rPr>
                <w:b w:val="0"/>
              </w:rPr>
            </w:pPr>
            <w:r>
              <w:rPr>
                <w:b w:val="0"/>
              </w:rPr>
              <w:t xml:space="preserve">     Pain</w:t>
            </w:r>
          </w:p>
          <w:p w14:paraId="399D3E64" w14:textId="77777777" w:rsidR="00D44A50" w:rsidRDefault="00D44A50" w:rsidP="00D44A50">
            <w:pPr>
              <w:pStyle w:val="TableTitle"/>
              <w:spacing w:before="60" w:after="60"/>
              <w:rPr>
                <w:b w:val="0"/>
              </w:rPr>
            </w:pPr>
            <w:r>
              <w:rPr>
                <w:b w:val="0"/>
              </w:rPr>
              <w:t xml:space="preserve">     Pain chest</w:t>
            </w:r>
          </w:p>
          <w:p w14:paraId="27A917E7" w14:textId="67D926F2" w:rsidR="00D44A50" w:rsidRDefault="00D44A50" w:rsidP="00D44A50">
            <w:pPr>
              <w:pStyle w:val="TableTitle"/>
              <w:spacing w:before="60" w:after="60"/>
              <w:rPr>
                <w:b w:val="0"/>
              </w:rPr>
            </w:pPr>
            <w:r>
              <w:rPr>
                <w:b w:val="0"/>
              </w:rPr>
              <w:t xml:space="preserve">     Oedema periorbital</w:t>
            </w:r>
          </w:p>
          <w:p w14:paraId="2EF59549" w14:textId="283240C6" w:rsidR="00D44A50" w:rsidRDefault="00D44A50" w:rsidP="00D44A50">
            <w:pPr>
              <w:pStyle w:val="TableTitle"/>
              <w:spacing w:before="60" w:after="60"/>
              <w:rPr>
                <w:b w:val="0"/>
              </w:rPr>
            </w:pPr>
            <w:r>
              <w:rPr>
                <w:b w:val="0"/>
              </w:rPr>
              <w:t xml:space="preserve">     Fever</w:t>
            </w:r>
          </w:p>
        </w:tc>
        <w:tc>
          <w:tcPr>
            <w:tcW w:w="3089" w:type="dxa"/>
          </w:tcPr>
          <w:p w14:paraId="54E646AF" w14:textId="77777777" w:rsidR="00D44A50" w:rsidRDefault="00D44A50" w:rsidP="00B70059">
            <w:pPr>
              <w:pStyle w:val="TableTitle"/>
              <w:spacing w:before="60" w:after="60"/>
              <w:jc w:val="center"/>
              <w:rPr>
                <w:b w:val="0"/>
              </w:rPr>
            </w:pPr>
          </w:p>
          <w:p w14:paraId="2132883C" w14:textId="77777777" w:rsidR="00B70059" w:rsidRDefault="00B70059" w:rsidP="00B70059">
            <w:pPr>
              <w:pStyle w:val="TableTitle"/>
              <w:spacing w:before="60" w:after="60"/>
              <w:jc w:val="center"/>
              <w:rPr>
                <w:b w:val="0"/>
              </w:rPr>
            </w:pPr>
            <w:r>
              <w:rPr>
                <w:b w:val="0"/>
              </w:rPr>
              <w:t>2</w:t>
            </w:r>
          </w:p>
          <w:p w14:paraId="03250F28" w14:textId="77777777" w:rsidR="00B70059" w:rsidRDefault="00B70059" w:rsidP="00B70059">
            <w:pPr>
              <w:pStyle w:val="TableTitle"/>
              <w:spacing w:before="60" w:after="60"/>
              <w:jc w:val="center"/>
              <w:rPr>
                <w:b w:val="0"/>
              </w:rPr>
            </w:pPr>
            <w:r>
              <w:rPr>
                <w:b w:val="0"/>
              </w:rPr>
              <w:t>1</w:t>
            </w:r>
          </w:p>
          <w:p w14:paraId="3A0E2AD2" w14:textId="77777777" w:rsidR="00B70059" w:rsidRDefault="00B70059" w:rsidP="00B70059">
            <w:pPr>
              <w:pStyle w:val="TableTitle"/>
              <w:spacing w:before="60" w:after="60"/>
              <w:jc w:val="center"/>
              <w:rPr>
                <w:b w:val="0"/>
              </w:rPr>
            </w:pPr>
            <w:r>
              <w:rPr>
                <w:b w:val="0"/>
              </w:rPr>
              <w:t>1</w:t>
            </w:r>
          </w:p>
          <w:p w14:paraId="1E6CD448" w14:textId="6ACC91F3" w:rsidR="00B70059" w:rsidRDefault="00B70059" w:rsidP="00B70059">
            <w:pPr>
              <w:pStyle w:val="TableTitle"/>
              <w:spacing w:before="60" w:after="60"/>
              <w:jc w:val="center"/>
              <w:rPr>
                <w:b w:val="0"/>
              </w:rPr>
            </w:pPr>
            <w:r>
              <w:rPr>
                <w:b w:val="0"/>
              </w:rPr>
              <w:t>1</w:t>
            </w:r>
          </w:p>
        </w:tc>
        <w:tc>
          <w:tcPr>
            <w:tcW w:w="3090" w:type="dxa"/>
          </w:tcPr>
          <w:p w14:paraId="4507F58A" w14:textId="77777777" w:rsidR="00D44A50" w:rsidRDefault="00D44A50" w:rsidP="00B70059">
            <w:pPr>
              <w:pStyle w:val="TableTitle"/>
              <w:spacing w:before="60" w:after="60"/>
              <w:jc w:val="center"/>
              <w:rPr>
                <w:b w:val="0"/>
              </w:rPr>
            </w:pPr>
          </w:p>
          <w:p w14:paraId="5D637617" w14:textId="77777777" w:rsidR="00B70059" w:rsidRDefault="00B70059" w:rsidP="00B70059">
            <w:pPr>
              <w:pStyle w:val="TableTitle"/>
              <w:spacing w:before="60" w:after="60"/>
              <w:jc w:val="center"/>
              <w:rPr>
                <w:b w:val="0"/>
              </w:rPr>
            </w:pPr>
            <w:r>
              <w:rPr>
                <w:b w:val="0"/>
              </w:rPr>
              <w:t>1</w:t>
            </w:r>
          </w:p>
          <w:p w14:paraId="2691B0EF" w14:textId="77777777" w:rsidR="00B70059" w:rsidRDefault="00B70059" w:rsidP="00B70059">
            <w:pPr>
              <w:pStyle w:val="TableTitle"/>
              <w:spacing w:before="60" w:after="60"/>
              <w:jc w:val="center"/>
              <w:rPr>
                <w:b w:val="0"/>
              </w:rPr>
            </w:pPr>
            <w:r>
              <w:rPr>
                <w:b w:val="0"/>
              </w:rPr>
              <w:t>1</w:t>
            </w:r>
          </w:p>
          <w:p w14:paraId="392335A1" w14:textId="77777777" w:rsidR="00B70059" w:rsidRDefault="00B70059" w:rsidP="00B70059">
            <w:pPr>
              <w:pStyle w:val="TableTitle"/>
              <w:spacing w:before="60" w:after="60"/>
              <w:jc w:val="center"/>
              <w:rPr>
                <w:b w:val="0"/>
              </w:rPr>
            </w:pPr>
            <w:r>
              <w:rPr>
                <w:b w:val="0"/>
              </w:rPr>
              <w:t>&lt;1</w:t>
            </w:r>
          </w:p>
          <w:p w14:paraId="5018A1ED" w14:textId="3C3EB18D" w:rsidR="00B70059" w:rsidRDefault="00B70059" w:rsidP="00B70059">
            <w:pPr>
              <w:pStyle w:val="TableTitle"/>
              <w:spacing w:before="60" w:after="60"/>
              <w:jc w:val="center"/>
              <w:rPr>
                <w:b w:val="0"/>
              </w:rPr>
            </w:pPr>
            <w:r>
              <w:rPr>
                <w:b w:val="0"/>
              </w:rPr>
              <w:t>1</w:t>
            </w:r>
          </w:p>
        </w:tc>
      </w:tr>
      <w:tr w:rsidR="00D44A50" w14:paraId="258594A9" w14:textId="77777777" w:rsidTr="0072420E">
        <w:tc>
          <w:tcPr>
            <w:tcW w:w="3681" w:type="dxa"/>
          </w:tcPr>
          <w:p w14:paraId="0DC968F2" w14:textId="579B3785" w:rsidR="00D44A50" w:rsidRPr="00B70059" w:rsidRDefault="00B70059" w:rsidP="00D44A50">
            <w:pPr>
              <w:pStyle w:val="TableTitle"/>
              <w:spacing w:before="60" w:after="60"/>
            </w:pPr>
            <w:r w:rsidRPr="00B70059">
              <w:t>CNS/PNS</w:t>
            </w:r>
          </w:p>
          <w:p w14:paraId="5B3135F2" w14:textId="6031E012" w:rsidR="00B70059" w:rsidRDefault="00B70059" w:rsidP="00D44A50">
            <w:pPr>
              <w:pStyle w:val="TableTitle"/>
              <w:spacing w:before="60" w:after="60"/>
              <w:rPr>
                <w:b w:val="0"/>
              </w:rPr>
            </w:pPr>
            <w:r>
              <w:rPr>
                <w:b w:val="0"/>
              </w:rPr>
              <w:t xml:space="preserve">     Headache</w:t>
            </w:r>
          </w:p>
        </w:tc>
        <w:tc>
          <w:tcPr>
            <w:tcW w:w="3089" w:type="dxa"/>
          </w:tcPr>
          <w:p w14:paraId="4C2E382D" w14:textId="77777777" w:rsidR="00D44A50" w:rsidRDefault="00D44A50" w:rsidP="00B70059">
            <w:pPr>
              <w:pStyle w:val="TableTitle"/>
              <w:spacing w:before="60" w:after="60"/>
              <w:jc w:val="center"/>
              <w:rPr>
                <w:b w:val="0"/>
              </w:rPr>
            </w:pPr>
          </w:p>
          <w:p w14:paraId="09EF5B29" w14:textId="242DFAE7" w:rsidR="00B70059" w:rsidRDefault="00B70059" w:rsidP="00B70059">
            <w:pPr>
              <w:pStyle w:val="TableTitle"/>
              <w:spacing w:before="60" w:after="60"/>
              <w:jc w:val="center"/>
              <w:rPr>
                <w:b w:val="0"/>
              </w:rPr>
            </w:pPr>
            <w:r>
              <w:rPr>
                <w:b w:val="0"/>
              </w:rPr>
              <w:t>4</w:t>
            </w:r>
          </w:p>
        </w:tc>
        <w:tc>
          <w:tcPr>
            <w:tcW w:w="3090" w:type="dxa"/>
          </w:tcPr>
          <w:p w14:paraId="12FF409E" w14:textId="77777777" w:rsidR="00D44A50" w:rsidRDefault="00D44A50" w:rsidP="00B70059">
            <w:pPr>
              <w:pStyle w:val="TableTitle"/>
              <w:spacing w:before="60" w:after="60"/>
              <w:jc w:val="center"/>
              <w:rPr>
                <w:b w:val="0"/>
              </w:rPr>
            </w:pPr>
          </w:p>
          <w:p w14:paraId="3E88E9FE" w14:textId="655EB8ED" w:rsidR="00B70059" w:rsidRDefault="00B70059" w:rsidP="00B70059">
            <w:pPr>
              <w:pStyle w:val="TableTitle"/>
              <w:spacing w:before="60" w:after="60"/>
              <w:jc w:val="center"/>
              <w:rPr>
                <w:b w:val="0"/>
              </w:rPr>
            </w:pPr>
            <w:r>
              <w:rPr>
                <w:b w:val="0"/>
              </w:rPr>
              <w:t>4</w:t>
            </w:r>
          </w:p>
        </w:tc>
      </w:tr>
      <w:tr w:rsidR="00D44A50" w14:paraId="5959ED91" w14:textId="77777777" w:rsidTr="0072420E">
        <w:tc>
          <w:tcPr>
            <w:tcW w:w="3681" w:type="dxa"/>
          </w:tcPr>
          <w:p w14:paraId="746DEF22" w14:textId="3009617B" w:rsidR="00D44A50" w:rsidRPr="00B70059" w:rsidRDefault="0072420E" w:rsidP="00D44A50">
            <w:pPr>
              <w:pStyle w:val="TableTitle"/>
              <w:spacing w:before="60" w:after="60"/>
            </w:pPr>
            <w:r>
              <w:t>Musculo</w:t>
            </w:r>
            <w:r w:rsidR="00B70059" w:rsidRPr="00B70059">
              <w:t>skeletal</w:t>
            </w:r>
          </w:p>
          <w:p w14:paraId="0114A5DC" w14:textId="77777777" w:rsidR="00B70059" w:rsidRDefault="00B70059" w:rsidP="00D44A50">
            <w:pPr>
              <w:pStyle w:val="TableTitle"/>
              <w:spacing w:before="60" w:after="60"/>
              <w:rPr>
                <w:b w:val="0"/>
              </w:rPr>
            </w:pPr>
            <w:r>
              <w:rPr>
                <w:b w:val="0"/>
              </w:rPr>
              <w:t xml:space="preserve">     Pain skeletal</w:t>
            </w:r>
          </w:p>
          <w:p w14:paraId="7401E7E4" w14:textId="5C192302" w:rsidR="00B70059" w:rsidRDefault="00B70059" w:rsidP="00D44A50">
            <w:pPr>
              <w:pStyle w:val="TableTitle"/>
              <w:spacing w:before="60" w:after="60"/>
              <w:rPr>
                <w:b w:val="0"/>
              </w:rPr>
            </w:pPr>
            <w:r>
              <w:rPr>
                <w:b w:val="0"/>
              </w:rPr>
              <w:t xml:space="preserve">     Myalgia</w:t>
            </w:r>
          </w:p>
          <w:p w14:paraId="4D5363F4" w14:textId="4B60F578" w:rsidR="00B70059" w:rsidRDefault="00B70059" w:rsidP="00D44A50">
            <w:pPr>
              <w:pStyle w:val="TableTitle"/>
              <w:spacing w:before="60" w:after="60"/>
              <w:rPr>
                <w:b w:val="0"/>
              </w:rPr>
            </w:pPr>
            <w:r>
              <w:rPr>
                <w:b w:val="0"/>
              </w:rPr>
              <w:t xml:space="preserve">     Arthralgia</w:t>
            </w:r>
          </w:p>
          <w:p w14:paraId="1F82B810" w14:textId="61B5CC17" w:rsidR="00B70059" w:rsidRDefault="00B70059" w:rsidP="00D44A50">
            <w:pPr>
              <w:pStyle w:val="TableTitle"/>
              <w:spacing w:before="60" w:after="60"/>
              <w:rPr>
                <w:b w:val="0"/>
              </w:rPr>
            </w:pPr>
            <w:r>
              <w:rPr>
                <w:b w:val="0"/>
              </w:rPr>
              <w:lastRenderedPageBreak/>
              <w:t xml:space="preserve">     Pain back</w:t>
            </w:r>
          </w:p>
          <w:p w14:paraId="34C4758E" w14:textId="77777777" w:rsidR="00B70059" w:rsidRDefault="00B70059" w:rsidP="00D44A50">
            <w:pPr>
              <w:pStyle w:val="TableTitle"/>
              <w:spacing w:before="60" w:after="60"/>
              <w:rPr>
                <w:b w:val="0"/>
              </w:rPr>
            </w:pPr>
            <w:r>
              <w:rPr>
                <w:b w:val="0"/>
              </w:rPr>
              <w:t xml:space="preserve">     Pain limb</w:t>
            </w:r>
          </w:p>
          <w:p w14:paraId="4AFE81C9" w14:textId="4FD2481A" w:rsidR="00B70059" w:rsidRDefault="0072420E" w:rsidP="00D44A50">
            <w:pPr>
              <w:pStyle w:val="TableTitle"/>
              <w:spacing w:before="60" w:after="60"/>
              <w:rPr>
                <w:b w:val="0"/>
              </w:rPr>
            </w:pPr>
            <w:r>
              <w:rPr>
                <w:b w:val="0"/>
              </w:rPr>
              <w:t xml:space="preserve">     Pain musculo</w:t>
            </w:r>
            <w:r w:rsidR="00B70059">
              <w:rPr>
                <w:b w:val="0"/>
              </w:rPr>
              <w:t>skeletal</w:t>
            </w:r>
          </w:p>
          <w:p w14:paraId="57FA38BF" w14:textId="63170EA8" w:rsidR="00B70059" w:rsidRDefault="00B70059" w:rsidP="00D44A50">
            <w:pPr>
              <w:pStyle w:val="TableTitle"/>
              <w:spacing w:before="60" w:after="60"/>
              <w:rPr>
                <w:b w:val="0"/>
              </w:rPr>
            </w:pPr>
            <w:r>
              <w:rPr>
                <w:b w:val="0"/>
              </w:rPr>
              <w:t xml:space="preserve">     Pain neck</w:t>
            </w:r>
          </w:p>
        </w:tc>
        <w:tc>
          <w:tcPr>
            <w:tcW w:w="3089" w:type="dxa"/>
          </w:tcPr>
          <w:p w14:paraId="7DE93988" w14:textId="77777777" w:rsidR="00D44A50" w:rsidRDefault="00D44A50" w:rsidP="00B70059">
            <w:pPr>
              <w:pStyle w:val="TableTitle"/>
              <w:spacing w:before="60" w:after="60"/>
              <w:jc w:val="center"/>
              <w:rPr>
                <w:b w:val="0"/>
              </w:rPr>
            </w:pPr>
          </w:p>
          <w:p w14:paraId="775103A6" w14:textId="77777777" w:rsidR="00B70059" w:rsidRDefault="00B70059" w:rsidP="00B70059">
            <w:pPr>
              <w:pStyle w:val="TableTitle"/>
              <w:spacing w:before="60" w:after="60"/>
              <w:jc w:val="center"/>
              <w:rPr>
                <w:b w:val="0"/>
              </w:rPr>
            </w:pPr>
            <w:r>
              <w:rPr>
                <w:b w:val="0"/>
              </w:rPr>
              <w:t>21</w:t>
            </w:r>
          </w:p>
          <w:p w14:paraId="510392D6" w14:textId="77777777" w:rsidR="00B70059" w:rsidRDefault="00B70059" w:rsidP="00B70059">
            <w:pPr>
              <w:pStyle w:val="TableTitle"/>
              <w:spacing w:before="60" w:after="60"/>
              <w:jc w:val="center"/>
              <w:rPr>
                <w:b w:val="0"/>
              </w:rPr>
            </w:pPr>
            <w:r>
              <w:rPr>
                <w:b w:val="0"/>
              </w:rPr>
              <w:t>7</w:t>
            </w:r>
          </w:p>
          <w:p w14:paraId="530D99DE" w14:textId="77777777" w:rsidR="00B70059" w:rsidRDefault="00B70059" w:rsidP="00B70059">
            <w:pPr>
              <w:pStyle w:val="TableTitle"/>
              <w:spacing w:before="60" w:after="60"/>
              <w:jc w:val="center"/>
              <w:rPr>
                <w:b w:val="0"/>
              </w:rPr>
            </w:pPr>
            <w:r>
              <w:rPr>
                <w:b w:val="0"/>
              </w:rPr>
              <w:t>6</w:t>
            </w:r>
          </w:p>
          <w:p w14:paraId="3B60C3CA" w14:textId="77777777" w:rsidR="00B70059" w:rsidRDefault="00B70059" w:rsidP="00B70059">
            <w:pPr>
              <w:pStyle w:val="TableTitle"/>
              <w:spacing w:before="60" w:after="60"/>
              <w:jc w:val="center"/>
              <w:rPr>
                <w:b w:val="0"/>
              </w:rPr>
            </w:pPr>
            <w:r>
              <w:rPr>
                <w:b w:val="0"/>
              </w:rPr>
              <w:lastRenderedPageBreak/>
              <w:t>4</w:t>
            </w:r>
          </w:p>
          <w:p w14:paraId="6924DE97" w14:textId="77777777" w:rsidR="00B70059" w:rsidRDefault="00B70059" w:rsidP="00B70059">
            <w:pPr>
              <w:pStyle w:val="TableTitle"/>
              <w:spacing w:before="60" w:after="60"/>
              <w:jc w:val="center"/>
              <w:rPr>
                <w:b w:val="0"/>
              </w:rPr>
            </w:pPr>
            <w:r>
              <w:rPr>
                <w:b w:val="0"/>
              </w:rPr>
              <w:t>3</w:t>
            </w:r>
          </w:p>
          <w:p w14:paraId="2360D9F1" w14:textId="77777777" w:rsidR="00B70059" w:rsidRDefault="00B70059" w:rsidP="00B70059">
            <w:pPr>
              <w:pStyle w:val="TableTitle"/>
              <w:spacing w:before="60" w:after="60"/>
              <w:jc w:val="center"/>
              <w:rPr>
                <w:b w:val="0"/>
              </w:rPr>
            </w:pPr>
            <w:r>
              <w:rPr>
                <w:b w:val="0"/>
              </w:rPr>
              <w:t>1</w:t>
            </w:r>
          </w:p>
          <w:p w14:paraId="355FCE61" w14:textId="2CE64667" w:rsidR="00B70059" w:rsidRDefault="00B70059" w:rsidP="00B70059">
            <w:pPr>
              <w:pStyle w:val="TableTitle"/>
              <w:spacing w:before="60" w:after="60"/>
              <w:jc w:val="center"/>
              <w:rPr>
                <w:b w:val="0"/>
              </w:rPr>
            </w:pPr>
            <w:r>
              <w:rPr>
                <w:b w:val="0"/>
              </w:rPr>
              <w:t>1</w:t>
            </w:r>
          </w:p>
        </w:tc>
        <w:tc>
          <w:tcPr>
            <w:tcW w:w="3090" w:type="dxa"/>
          </w:tcPr>
          <w:p w14:paraId="4ED9D4B0" w14:textId="77777777" w:rsidR="00D44A50" w:rsidRDefault="00D44A50" w:rsidP="00B70059">
            <w:pPr>
              <w:pStyle w:val="TableTitle"/>
              <w:spacing w:before="60" w:after="60"/>
              <w:jc w:val="center"/>
              <w:rPr>
                <w:b w:val="0"/>
              </w:rPr>
            </w:pPr>
          </w:p>
          <w:p w14:paraId="15C13EC1" w14:textId="77777777" w:rsidR="00B70059" w:rsidRDefault="00B70059" w:rsidP="00B70059">
            <w:pPr>
              <w:pStyle w:val="TableTitle"/>
              <w:spacing w:before="60" w:after="60"/>
              <w:jc w:val="center"/>
              <w:rPr>
                <w:b w:val="0"/>
              </w:rPr>
            </w:pPr>
            <w:r>
              <w:rPr>
                <w:b w:val="0"/>
              </w:rPr>
              <w:t>27</w:t>
            </w:r>
          </w:p>
          <w:p w14:paraId="293659B3" w14:textId="77777777" w:rsidR="00B70059" w:rsidRDefault="00B70059" w:rsidP="00B70059">
            <w:pPr>
              <w:pStyle w:val="TableTitle"/>
              <w:spacing w:before="60" w:after="60"/>
              <w:jc w:val="center"/>
              <w:rPr>
                <w:b w:val="0"/>
              </w:rPr>
            </w:pPr>
            <w:r>
              <w:rPr>
                <w:b w:val="0"/>
              </w:rPr>
              <w:t>8</w:t>
            </w:r>
          </w:p>
          <w:p w14:paraId="3D7DBEF6" w14:textId="77777777" w:rsidR="00B70059" w:rsidRDefault="00B70059" w:rsidP="00B70059">
            <w:pPr>
              <w:pStyle w:val="TableTitle"/>
              <w:spacing w:before="60" w:after="60"/>
              <w:jc w:val="center"/>
              <w:rPr>
                <w:b w:val="0"/>
              </w:rPr>
            </w:pPr>
            <w:r>
              <w:rPr>
                <w:b w:val="0"/>
              </w:rPr>
              <w:t>6</w:t>
            </w:r>
          </w:p>
          <w:p w14:paraId="3A5482B0" w14:textId="77777777" w:rsidR="00B70059" w:rsidRDefault="00B70059" w:rsidP="00B70059">
            <w:pPr>
              <w:pStyle w:val="TableTitle"/>
              <w:spacing w:before="60" w:after="60"/>
              <w:jc w:val="center"/>
              <w:rPr>
                <w:b w:val="0"/>
              </w:rPr>
            </w:pPr>
            <w:r>
              <w:rPr>
                <w:b w:val="0"/>
              </w:rPr>
              <w:lastRenderedPageBreak/>
              <w:t>8</w:t>
            </w:r>
          </w:p>
          <w:p w14:paraId="789931F2" w14:textId="77777777" w:rsidR="00B70059" w:rsidRDefault="00B70059" w:rsidP="00B70059">
            <w:pPr>
              <w:pStyle w:val="TableTitle"/>
              <w:spacing w:before="60" w:after="60"/>
              <w:jc w:val="center"/>
              <w:rPr>
                <w:b w:val="0"/>
              </w:rPr>
            </w:pPr>
            <w:r>
              <w:rPr>
                <w:b w:val="0"/>
              </w:rPr>
              <w:t>2</w:t>
            </w:r>
          </w:p>
          <w:p w14:paraId="234D0B9D" w14:textId="77777777" w:rsidR="00B70059" w:rsidRDefault="00B70059" w:rsidP="00B70059">
            <w:pPr>
              <w:pStyle w:val="TableTitle"/>
              <w:spacing w:before="60" w:after="60"/>
              <w:jc w:val="center"/>
              <w:rPr>
                <w:b w:val="0"/>
              </w:rPr>
            </w:pPr>
            <w:r>
              <w:rPr>
                <w:b w:val="0"/>
              </w:rPr>
              <w:t>1</w:t>
            </w:r>
          </w:p>
          <w:p w14:paraId="377D34A8" w14:textId="51A47340" w:rsidR="00B70059" w:rsidRDefault="00B70059" w:rsidP="00B70059">
            <w:pPr>
              <w:pStyle w:val="TableTitle"/>
              <w:spacing w:before="60" w:after="60"/>
              <w:jc w:val="center"/>
              <w:rPr>
                <w:b w:val="0"/>
              </w:rPr>
            </w:pPr>
            <w:r>
              <w:rPr>
                <w:b w:val="0"/>
              </w:rPr>
              <w:t>1</w:t>
            </w:r>
          </w:p>
        </w:tc>
      </w:tr>
    </w:tbl>
    <w:p w14:paraId="576322C7" w14:textId="3A535444" w:rsidR="00B70059" w:rsidRDefault="00B70059" w:rsidP="00D61C42">
      <w:pPr>
        <w:pStyle w:val="TableTitle"/>
        <w:spacing w:after="240"/>
        <w:ind w:left="885" w:hanging="885"/>
      </w:pPr>
      <w:r w:rsidRPr="00AF1BED">
        <w:lastRenderedPageBreak/>
        <w:t xml:space="preserve">Table </w:t>
      </w:r>
      <w:r>
        <w:t>3</w:t>
      </w:r>
      <w:r w:rsidRPr="00AF1BED">
        <w:t xml:space="preserve">: </w:t>
      </w:r>
      <w:r>
        <w:t xml:space="preserve">Most Frequently Reported Treatment-Related Adverse Events in Randomised Clinical Trials with Placebo Control </w:t>
      </w:r>
    </w:p>
    <w:tbl>
      <w:tblPr>
        <w:tblStyle w:val="TableGrid"/>
        <w:tblW w:w="9918" w:type="dxa"/>
        <w:tblLook w:val="04A0" w:firstRow="1" w:lastRow="0" w:firstColumn="1" w:lastColumn="0" w:noHBand="0" w:noVBand="1"/>
      </w:tblPr>
      <w:tblGrid>
        <w:gridCol w:w="4531"/>
        <w:gridCol w:w="2693"/>
        <w:gridCol w:w="2694"/>
      </w:tblGrid>
      <w:tr w:rsidR="002A5A19" w14:paraId="12DF4EA5" w14:textId="77777777" w:rsidTr="0072420E">
        <w:tc>
          <w:tcPr>
            <w:tcW w:w="4531" w:type="dxa"/>
            <w:vMerge w:val="restart"/>
            <w:vAlign w:val="center"/>
          </w:tcPr>
          <w:p w14:paraId="1C909ABD" w14:textId="4C14BD75" w:rsidR="002A5A19" w:rsidRPr="002A5A19" w:rsidRDefault="002A5A19" w:rsidP="0072420E">
            <w:pPr>
              <w:pStyle w:val="TableBody"/>
              <w:spacing w:before="60" w:after="60"/>
              <w:rPr>
                <w:rFonts w:eastAsia="SimSun"/>
                <w:b/>
                <w:sz w:val="22"/>
                <w:szCs w:val="28"/>
                <w:lang w:val="en-AU"/>
              </w:rPr>
            </w:pPr>
            <w:r w:rsidRPr="002A5A19">
              <w:rPr>
                <w:rFonts w:eastAsia="SimSun"/>
                <w:b/>
                <w:sz w:val="22"/>
                <w:szCs w:val="28"/>
                <w:lang w:val="en-AU"/>
              </w:rPr>
              <w:t>Body System and Preferred Terms</w:t>
            </w:r>
          </w:p>
        </w:tc>
        <w:tc>
          <w:tcPr>
            <w:tcW w:w="5387" w:type="dxa"/>
            <w:gridSpan w:val="2"/>
            <w:vAlign w:val="center"/>
          </w:tcPr>
          <w:p w14:paraId="27E3E830" w14:textId="7EF5ECC8" w:rsidR="002A5A19" w:rsidRPr="002A5A19" w:rsidRDefault="002A5A19" w:rsidP="002A5A19">
            <w:pPr>
              <w:pStyle w:val="TableBody"/>
              <w:spacing w:before="60" w:after="60"/>
              <w:jc w:val="center"/>
              <w:rPr>
                <w:rFonts w:eastAsia="SimSun"/>
                <w:b/>
                <w:sz w:val="22"/>
                <w:szCs w:val="28"/>
                <w:lang w:val="en-AU"/>
              </w:rPr>
            </w:pPr>
            <w:r w:rsidRPr="002A5A19">
              <w:rPr>
                <w:rFonts w:eastAsia="SimSun"/>
                <w:b/>
                <w:sz w:val="22"/>
                <w:szCs w:val="28"/>
                <w:lang w:val="en-AU"/>
              </w:rPr>
              <w:t>Number and Percentage of Patients Reporting Events</w:t>
            </w:r>
          </w:p>
        </w:tc>
      </w:tr>
      <w:tr w:rsidR="002A5A19" w14:paraId="25ED4CFD" w14:textId="77777777" w:rsidTr="0072420E">
        <w:tc>
          <w:tcPr>
            <w:tcW w:w="4531" w:type="dxa"/>
            <w:vMerge/>
          </w:tcPr>
          <w:p w14:paraId="1BD8DD32" w14:textId="5C693B4C" w:rsidR="002A5A19" w:rsidRPr="002A5A19" w:rsidRDefault="002A5A19" w:rsidP="002A5A19">
            <w:pPr>
              <w:pStyle w:val="TableBody"/>
              <w:spacing w:before="60" w:after="60"/>
              <w:rPr>
                <w:rFonts w:eastAsia="SimSun"/>
                <w:b/>
                <w:sz w:val="22"/>
                <w:szCs w:val="28"/>
                <w:lang w:val="en-AU"/>
              </w:rPr>
            </w:pPr>
          </w:p>
        </w:tc>
        <w:tc>
          <w:tcPr>
            <w:tcW w:w="2693" w:type="dxa"/>
            <w:vAlign w:val="center"/>
          </w:tcPr>
          <w:p w14:paraId="69AA850D" w14:textId="6CC28FDF" w:rsidR="002A5A19" w:rsidRPr="002A5A19" w:rsidRDefault="002A5A19" w:rsidP="002A5A19">
            <w:pPr>
              <w:pStyle w:val="TableBody"/>
              <w:spacing w:before="60" w:after="60"/>
              <w:jc w:val="center"/>
              <w:rPr>
                <w:rFonts w:eastAsia="SimSun"/>
                <w:b/>
                <w:sz w:val="22"/>
                <w:szCs w:val="28"/>
                <w:lang w:val="en-AU"/>
              </w:rPr>
            </w:pPr>
            <w:r w:rsidRPr="002A5A19">
              <w:rPr>
                <w:rFonts w:eastAsia="SimSun"/>
                <w:b/>
                <w:sz w:val="22"/>
                <w:szCs w:val="28"/>
                <w:lang w:val="en-AU"/>
              </w:rPr>
              <w:t>Placebo (N=463)</w:t>
            </w:r>
          </w:p>
        </w:tc>
        <w:tc>
          <w:tcPr>
            <w:tcW w:w="2694" w:type="dxa"/>
            <w:vAlign w:val="center"/>
          </w:tcPr>
          <w:p w14:paraId="4DBF4546" w14:textId="7F165658" w:rsidR="002A5A19" w:rsidRPr="002A5A19" w:rsidRDefault="002A5A19" w:rsidP="002A5A19">
            <w:pPr>
              <w:pStyle w:val="TableBody"/>
              <w:spacing w:before="60" w:after="60"/>
              <w:jc w:val="center"/>
              <w:rPr>
                <w:rFonts w:eastAsia="SimSun"/>
                <w:b/>
                <w:sz w:val="22"/>
                <w:szCs w:val="28"/>
                <w:lang w:val="en-AU"/>
              </w:rPr>
            </w:pPr>
            <w:r w:rsidRPr="002A5A19">
              <w:rPr>
                <w:rFonts w:eastAsia="SimSun"/>
                <w:b/>
                <w:sz w:val="22"/>
                <w:szCs w:val="28"/>
                <w:lang w:val="en-AU"/>
              </w:rPr>
              <w:t>Pegfilgrastim (N=465)</w:t>
            </w:r>
          </w:p>
        </w:tc>
      </w:tr>
      <w:tr w:rsidR="002A5A19" w14:paraId="73310B76" w14:textId="77777777" w:rsidTr="0072420E">
        <w:tc>
          <w:tcPr>
            <w:tcW w:w="4531" w:type="dxa"/>
          </w:tcPr>
          <w:p w14:paraId="4520725B" w14:textId="31A8D246" w:rsidR="002A5A19" w:rsidRPr="002A5A19" w:rsidRDefault="002A5A19" w:rsidP="002A5A19">
            <w:pPr>
              <w:pStyle w:val="TableBody"/>
              <w:spacing w:before="60" w:after="60"/>
              <w:rPr>
                <w:rFonts w:eastAsia="SimSun"/>
                <w:b/>
                <w:sz w:val="22"/>
                <w:szCs w:val="28"/>
                <w:lang w:val="en-AU"/>
              </w:rPr>
            </w:pPr>
            <w:r w:rsidRPr="002A5A19">
              <w:rPr>
                <w:rFonts w:eastAsia="SimSun"/>
                <w:b/>
                <w:sz w:val="22"/>
                <w:szCs w:val="28"/>
                <w:lang w:val="en-AU"/>
              </w:rPr>
              <w:t xml:space="preserve">Gastrointestinal </w:t>
            </w:r>
            <w:r w:rsidR="0072420E">
              <w:rPr>
                <w:rFonts w:eastAsia="SimSun"/>
                <w:b/>
                <w:sz w:val="22"/>
                <w:szCs w:val="28"/>
                <w:lang w:val="en-AU"/>
              </w:rPr>
              <w:t>D</w:t>
            </w:r>
            <w:r w:rsidRPr="002A5A19">
              <w:rPr>
                <w:rFonts w:eastAsia="SimSun"/>
                <w:b/>
                <w:sz w:val="22"/>
                <w:szCs w:val="28"/>
                <w:lang w:val="en-AU"/>
              </w:rPr>
              <w:t>isorders</w:t>
            </w:r>
          </w:p>
          <w:p w14:paraId="1BAF5AE2" w14:textId="28C60F2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Diarrhoea</w:t>
            </w:r>
          </w:p>
        </w:tc>
        <w:tc>
          <w:tcPr>
            <w:tcW w:w="2693" w:type="dxa"/>
            <w:vAlign w:val="center"/>
          </w:tcPr>
          <w:p w14:paraId="51401FB0" w14:textId="77777777" w:rsidR="002A5A19" w:rsidRDefault="002A5A19" w:rsidP="002A5A19">
            <w:pPr>
              <w:pStyle w:val="TableBody"/>
              <w:spacing w:before="60" w:after="60"/>
              <w:jc w:val="center"/>
              <w:rPr>
                <w:rFonts w:eastAsia="SimSun"/>
                <w:sz w:val="22"/>
                <w:szCs w:val="28"/>
                <w:lang w:val="en-AU"/>
              </w:rPr>
            </w:pPr>
          </w:p>
          <w:p w14:paraId="313E42D4" w14:textId="240C7895" w:rsidR="002A5A19" w:rsidRDefault="002A5A19" w:rsidP="002A5A19">
            <w:pPr>
              <w:pStyle w:val="TableBody"/>
              <w:spacing w:before="60" w:after="60"/>
              <w:jc w:val="center"/>
              <w:rPr>
                <w:rFonts w:eastAsia="SimSun"/>
                <w:sz w:val="22"/>
                <w:szCs w:val="28"/>
                <w:lang w:val="en-AU"/>
              </w:rPr>
            </w:pPr>
            <w:r>
              <w:rPr>
                <w:rFonts w:eastAsia="SimSun"/>
                <w:sz w:val="22"/>
                <w:szCs w:val="28"/>
                <w:lang w:val="en-AU"/>
              </w:rPr>
              <w:t>10 (2%)</w:t>
            </w:r>
          </w:p>
        </w:tc>
        <w:tc>
          <w:tcPr>
            <w:tcW w:w="2694" w:type="dxa"/>
            <w:vAlign w:val="center"/>
          </w:tcPr>
          <w:p w14:paraId="0D7AB736" w14:textId="77777777" w:rsidR="002A5A19" w:rsidRDefault="002A5A19" w:rsidP="002A5A19">
            <w:pPr>
              <w:pStyle w:val="TableBody"/>
              <w:spacing w:before="60" w:after="60"/>
              <w:jc w:val="center"/>
              <w:rPr>
                <w:rFonts w:eastAsia="SimSun"/>
                <w:sz w:val="22"/>
                <w:szCs w:val="28"/>
                <w:lang w:val="en-AU"/>
              </w:rPr>
            </w:pPr>
          </w:p>
          <w:p w14:paraId="3C9697BB" w14:textId="3F3A9822" w:rsidR="002A5A19" w:rsidRDefault="002A5A19" w:rsidP="002A5A19">
            <w:pPr>
              <w:pStyle w:val="TableBody"/>
              <w:spacing w:before="60" w:after="60"/>
              <w:jc w:val="center"/>
              <w:rPr>
                <w:rFonts w:eastAsia="SimSun"/>
                <w:sz w:val="22"/>
                <w:szCs w:val="28"/>
                <w:lang w:val="en-AU"/>
              </w:rPr>
            </w:pPr>
            <w:r>
              <w:rPr>
                <w:rFonts w:eastAsia="SimSun"/>
                <w:sz w:val="22"/>
                <w:szCs w:val="28"/>
                <w:lang w:val="en-AU"/>
              </w:rPr>
              <w:t>9 (2%)</w:t>
            </w:r>
          </w:p>
        </w:tc>
      </w:tr>
      <w:tr w:rsidR="002A5A19" w14:paraId="76992976" w14:textId="77777777" w:rsidTr="0072420E">
        <w:tc>
          <w:tcPr>
            <w:tcW w:w="4531" w:type="dxa"/>
          </w:tcPr>
          <w:p w14:paraId="1B05AF39" w14:textId="3D74D45C" w:rsidR="002A5A19" w:rsidRPr="002A5A19" w:rsidRDefault="002A5A19" w:rsidP="002A5A19">
            <w:pPr>
              <w:pStyle w:val="TableBody"/>
              <w:spacing w:before="60" w:after="60"/>
              <w:rPr>
                <w:rFonts w:eastAsia="SimSun"/>
                <w:b/>
                <w:sz w:val="22"/>
                <w:szCs w:val="28"/>
                <w:lang w:val="en-AU"/>
              </w:rPr>
            </w:pPr>
            <w:r w:rsidRPr="002A5A19">
              <w:rPr>
                <w:rFonts w:eastAsia="SimSun"/>
                <w:b/>
                <w:sz w:val="22"/>
                <w:szCs w:val="28"/>
                <w:lang w:val="en-AU"/>
              </w:rPr>
              <w:t xml:space="preserve">General disorders and </w:t>
            </w:r>
            <w:r w:rsidR="0072420E">
              <w:rPr>
                <w:rFonts w:eastAsia="SimSun"/>
                <w:b/>
                <w:sz w:val="22"/>
                <w:szCs w:val="28"/>
                <w:lang w:val="en-AU"/>
              </w:rPr>
              <w:t>A</w:t>
            </w:r>
            <w:r w:rsidRPr="002A5A19">
              <w:rPr>
                <w:rFonts w:eastAsia="SimSun"/>
                <w:b/>
                <w:sz w:val="22"/>
                <w:szCs w:val="28"/>
                <w:lang w:val="en-AU"/>
              </w:rPr>
              <w:t xml:space="preserve">dministration </w:t>
            </w:r>
            <w:r w:rsidR="0072420E">
              <w:rPr>
                <w:rFonts w:eastAsia="SimSun"/>
                <w:b/>
                <w:sz w:val="22"/>
                <w:szCs w:val="28"/>
                <w:lang w:val="en-AU"/>
              </w:rPr>
              <w:t>Site C</w:t>
            </w:r>
            <w:r w:rsidRPr="002A5A19">
              <w:rPr>
                <w:rFonts w:eastAsia="SimSun"/>
                <w:b/>
                <w:sz w:val="22"/>
                <w:szCs w:val="28"/>
                <w:lang w:val="en-AU"/>
              </w:rPr>
              <w:t>onditions</w:t>
            </w:r>
          </w:p>
          <w:p w14:paraId="3B919CFD" w14:textId="185D3390"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Pyrexia</w:t>
            </w:r>
          </w:p>
        </w:tc>
        <w:tc>
          <w:tcPr>
            <w:tcW w:w="2693" w:type="dxa"/>
            <w:vAlign w:val="center"/>
          </w:tcPr>
          <w:p w14:paraId="0A187EAF" w14:textId="77777777" w:rsidR="002A5A19" w:rsidRDefault="002A5A19" w:rsidP="002A5A19">
            <w:pPr>
              <w:pStyle w:val="TableBody"/>
              <w:spacing w:before="60" w:after="60"/>
              <w:jc w:val="center"/>
              <w:rPr>
                <w:rFonts w:eastAsia="SimSun"/>
                <w:sz w:val="22"/>
                <w:szCs w:val="28"/>
                <w:lang w:val="en-AU"/>
              </w:rPr>
            </w:pPr>
          </w:p>
          <w:p w14:paraId="68C0A350" w14:textId="77777777" w:rsidR="002A5A19" w:rsidRDefault="002A5A19" w:rsidP="002A5A19">
            <w:pPr>
              <w:pStyle w:val="TableBody"/>
              <w:spacing w:before="60" w:after="60"/>
              <w:jc w:val="center"/>
              <w:rPr>
                <w:rFonts w:eastAsia="SimSun"/>
                <w:sz w:val="22"/>
                <w:szCs w:val="28"/>
                <w:lang w:val="en-AU"/>
              </w:rPr>
            </w:pPr>
          </w:p>
          <w:p w14:paraId="5C4057C5" w14:textId="4146268E" w:rsidR="002A5A19" w:rsidRDefault="002A5A19" w:rsidP="002A5A19">
            <w:pPr>
              <w:pStyle w:val="TableBody"/>
              <w:spacing w:before="60" w:after="60"/>
              <w:jc w:val="center"/>
              <w:rPr>
                <w:rFonts w:eastAsia="SimSun"/>
                <w:sz w:val="22"/>
                <w:szCs w:val="28"/>
                <w:lang w:val="en-AU"/>
              </w:rPr>
            </w:pPr>
            <w:r>
              <w:rPr>
                <w:rFonts w:eastAsia="SimSun"/>
                <w:sz w:val="22"/>
                <w:szCs w:val="28"/>
                <w:lang w:val="en-AU"/>
              </w:rPr>
              <w:t>9 (2%)</w:t>
            </w:r>
          </w:p>
        </w:tc>
        <w:tc>
          <w:tcPr>
            <w:tcW w:w="2694" w:type="dxa"/>
            <w:vAlign w:val="center"/>
          </w:tcPr>
          <w:p w14:paraId="3B41DE0B" w14:textId="77777777" w:rsidR="002A5A19" w:rsidRDefault="002A5A19" w:rsidP="002A5A19">
            <w:pPr>
              <w:pStyle w:val="TableBody"/>
              <w:spacing w:before="60" w:after="60"/>
              <w:jc w:val="center"/>
              <w:rPr>
                <w:rFonts w:eastAsia="SimSun"/>
                <w:sz w:val="22"/>
                <w:szCs w:val="28"/>
                <w:lang w:val="en-AU"/>
              </w:rPr>
            </w:pPr>
          </w:p>
          <w:p w14:paraId="5DE00BD2" w14:textId="77777777" w:rsidR="002A5A19" w:rsidRDefault="002A5A19" w:rsidP="002A5A19">
            <w:pPr>
              <w:pStyle w:val="TableBody"/>
              <w:spacing w:before="60" w:after="60"/>
              <w:jc w:val="center"/>
              <w:rPr>
                <w:rFonts w:eastAsia="SimSun"/>
                <w:sz w:val="22"/>
                <w:szCs w:val="28"/>
                <w:lang w:val="en-AU"/>
              </w:rPr>
            </w:pPr>
          </w:p>
          <w:p w14:paraId="2B7413CF" w14:textId="68F01845" w:rsidR="002A5A19" w:rsidRDefault="002A5A19" w:rsidP="002A5A19">
            <w:pPr>
              <w:pStyle w:val="TableBody"/>
              <w:spacing w:before="60" w:after="60"/>
              <w:jc w:val="center"/>
              <w:rPr>
                <w:rFonts w:eastAsia="SimSun"/>
                <w:sz w:val="22"/>
                <w:szCs w:val="28"/>
                <w:lang w:val="en-AU"/>
              </w:rPr>
            </w:pPr>
            <w:r>
              <w:rPr>
                <w:rFonts w:eastAsia="SimSun"/>
                <w:sz w:val="22"/>
                <w:szCs w:val="28"/>
                <w:lang w:val="en-AU"/>
              </w:rPr>
              <w:t>8 (2%)</w:t>
            </w:r>
          </w:p>
        </w:tc>
      </w:tr>
      <w:tr w:rsidR="002A5A19" w14:paraId="680E86F6" w14:textId="77777777" w:rsidTr="0072420E">
        <w:tc>
          <w:tcPr>
            <w:tcW w:w="4531" w:type="dxa"/>
          </w:tcPr>
          <w:p w14:paraId="3CA1B5ED" w14:textId="6CFFDD96" w:rsidR="002A5A19" w:rsidRPr="002A5A19" w:rsidRDefault="0072420E" w:rsidP="002A5A19">
            <w:pPr>
              <w:pStyle w:val="TableBody"/>
              <w:spacing w:before="60" w:after="60"/>
              <w:rPr>
                <w:rFonts w:eastAsia="SimSun"/>
                <w:b/>
                <w:sz w:val="22"/>
                <w:szCs w:val="28"/>
                <w:lang w:val="en-AU"/>
              </w:rPr>
            </w:pPr>
            <w:r>
              <w:rPr>
                <w:rFonts w:eastAsia="SimSun"/>
                <w:b/>
                <w:sz w:val="22"/>
                <w:szCs w:val="28"/>
                <w:lang w:val="en-AU"/>
              </w:rPr>
              <w:t>Musculoskeletal and C</w:t>
            </w:r>
            <w:r w:rsidR="002A5A19" w:rsidRPr="002A5A19">
              <w:rPr>
                <w:rFonts w:eastAsia="SimSun"/>
                <w:b/>
                <w:sz w:val="22"/>
                <w:szCs w:val="28"/>
                <w:lang w:val="en-AU"/>
              </w:rPr>
              <w:t xml:space="preserve">onnective </w:t>
            </w:r>
          </w:p>
          <w:p w14:paraId="338D1ED3" w14:textId="659B4BF8" w:rsidR="002A5A19" w:rsidRPr="002A5A19" w:rsidRDefault="0072420E" w:rsidP="002A5A19">
            <w:pPr>
              <w:pStyle w:val="TableBody"/>
              <w:spacing w:before="60" w:after="60"/>
              <w:rPr>
                <w:rFonts w:eastAsia="SimSun"/>
                <w:b/>
                <w:sz w:val="22"/>
                <w:szCs w:val="28"/>
                <w:lang w:val="en-AU"/>
              </w:rPr>
            </w:pPr>
            <w:r>
              <w:rPr>
                <w:rFonts w:eastAsia="SimSun"/>
                <w:b/>
                <w:sz w:val="22"/>
                <w:szCs w:val="28"/>
                <w:lang w:val="en-AU"/>
              </w:rPr>
              <w:t>T</w:t>
            </w:r>
            <w:r w:rsidR="002A5A19" w:rsidRPr="002A5A19">
              <w:rPr>
                <w:rFonts w:eastAsia="SimSun"/>
                <w:b/>
                <w:sz w:val="22"/>
                <w:szCs w:val="28"/>
                <w:lang w:val="en-AU"/>
              </w:rPr>
              <w:t xml:space="preserve">issue </w:t>
            </w:r>
            <w:r>
              <w:rPr>
                <w:rFonts w:eastAsia="SimSun"/>
                <w:b/>
                <w:sz w:val="22"/>
                <w:szCs w:val="28"/>
                <w:lang w:val="en-AU"/>
              </w:rPr>
              <w:t>D</w:t>
            </w:r>
            <w:r w:rsidR="002A5A19" w:rsidRPr="002A5A19">
              <w:rPr>
                <w:rFonts w:eastAsia="SimSun"/>
                <w:b/>
                <w:sz w:val="22"/>
                <w:szCs w:val="28"/>
                <w:lang w:val="en-AU"/>
              </w:rPr>
              <w:t>isorders</w:t>
            </w:r>
          </w:p>
          <w:p w14:paraId="47E451C1"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Bone Pain</w:t>
            </w:r>
          </w:p>
          <w:p w14:paraId="1D257265"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Arthralgia</w:t>
            </w:r>
          </w:p>
          <w:p w14:paraId="2BBB20D6"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Myalgia</w:t>
            </w:r>
          </w:p>
          <w:p w14:paraId="0195084C"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Musculoskeletal Pain</w:t>
            </w:r>
          </w:p>
          <w:p w14:paraId="4281E809"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Pain in Limb</w:t>
            </w:r>
          </w:p>
          <w:p w14:paraId="3526BEE6" w14:textId="77777777"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Back Pain</w:t>
            </w:r>
          </w:p>
          <w:p w14:paraId="2A764DBB" w14:textId="398E6E6B"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Polymyalgia</w:t>
            </w:r>
          </w:p>
          <w:p w14:paraId="6CD8945E" w14:textId="27246048" w:rsidR="002A5A19" w:rsidRDefault="002A5A19" w:rsidP="002A5A19">
            <w:pPr>
              <w:pStyle w:val="TableBody"/>
              <w:spacing w:before="60" w:after="60"/>
              <w:rPr>
                <w:rFonts w:eastAsia="SimSun"/>
                <w:sz w:val="22"/>
                <w:szCs w:val="28"/>
                <w:lang w:val="en-AU"/>
              </w:rPr>
            </w:pPr>
            <w:r>
              <w:rPr>
                <w:rFonts w:eastAsia="SimSun"/>
                <w:sz w:val="22"/>
                <w:szCs w:val="28"/>
                <w:lang w:val="en-AU"/>
              </w:rPr>
              <w:t xml:space="preserve">   Polyarthralgia</w:t>
            </w:r>
          </w:p>
        </w:tc>
        <w:tc>
          <w:tcPr>
            <w:tcW w:w="2693" w:type="dxa"/>
          </w:tcPr>
          <w:p w14:paraId="282EC48E" w14:textId="77777777" w:rsidR="002A5A19" w:rsidRDefault="002A5A19" w:rsidP="002A5A19">
            <w:pPr>
              <w:pStyle w:val="TableBody"/>
              <w:spacing w:before="60" w:after="60"/>
              <w:jc w:val="center"/>
              <w:rPr>
                <w:rFonts w:eastAsia="SimSun"/>
                <w:sz w:val="22"/>
                <w:szCs w:val="28"/>
                <w:lang w:val="en-AU"/>
              </w:rPr>
            </w:pPr>
          </w:p>
          <w:p w14:paraId="25375294" w14:textId="77777777" w:rsidR="002A5A19" w:rsidRDefault="002A5A19" w:rsidP="002A5A19">
            <w:pPr>
              <w:pStyle w:val="TableBody"/>
              <w:spacing w:before="60" w:after="60"/>
              <w:jc w:val="center"/>
              <w:rPr>
                <w:rFonts w:eastAsia="SimSun"/>
                <w:sz w:val="22"/>
                <w:szCs w:val="28"/>
                <w:lang w:val="en-AU"/>
              </w:rPr>
            </w:pPr>
          </w:p>
          <w:p w14:paraId="5667CD2F" w14:textId="77777777" w:rsidR="002A5A19" w:rsidRDefault="002A5A19" w:rsidP="002A5A19">
            <w:pPr>
              <w:pStyle w:val="TableBody"/>
              <w:spacing w:before="60" w:after="60"/>
              <w:jc w:val="center"/>
              <w:rPr>
                <w:rFonts w:eastAsia="SimSun"/>
                <w:sz w:val="22"/>
                <w:szCs w:val="28"/>
                <w:lang w:val="en-AU"/>
              </w:rPr>
            </w:pPr>
            <w:r>
              <w:rPr>
                <w:rFonts w:eastAsia="SimSun"/>
                <w:sz w:val="22"/>
                <w:szCs w:val="28"/>
                <w:lang w:val="en-AU"/>
              </w:rPr>
              <w:t>41 (9%)</w:t>
            </w:r>
          </w:p>
          <w:p w14:paraId="52822706" w14:textId="77777777" w:rsidR="002A5A19" w:rsidRDefault="002A5A19" w:rsidP="002A5A19">
            <w:pPr>
              <w:pStyle w:val="TableBody"/>
              <w:spacing w:before="60" w:after="60"/>
              <w:jc w:val="center"/>
              <w:rPr>
                <w:rFonts w:eastAsia="SimSun"/>
                <w:sz w:val="22"/>
                <w:szCs w:val="28"/>
                <w:lang w:val="en-AU"/>
              </w:rPr>
            </w:pPr>
            <w:r>
              <w:rPr>
                <w:rFonts w:eastAsia="SimSun"/>
                <w:sz w:val="22"/>
                <w:szCs w:val="28"/>
                <w:lang w:val="en-AU"/>
              </w:rPr>
              <w:t>20 (4%)</w:t>
            </w:r>
          </w:p>
          <w:p w14:paraId="7B74C3A7" w14:textId="77777777" w:rsidR="002A5A19" w:rsidRDefault="002A5A19" w:rsidP="002A5A19">
            <w:pPr>
              <w:pStyle w:val="TableBody"/>
              <w:spacing w:before="60" w:after="60"/>
              <w:jc w:val="center"/>
              <w:rPr>
                <w:rFonts w:eastAsia="SimSun"/>
                <w:sz w:val="22"/>
                <w:szCs w:val="28"/>
                <w:lang w:val="en-AU"/>
              </w:rPr>
            </w:pPr>
            <w:r>
              <w:rPr>
                <w:rFonts w:eastAsia="SimSun"/>
                <w:sz w:val="22"/>
                <w:szCs w:val="28"/>
                <w:lang w:val="en-AU"/>
              </w:rPr>
              <w:t xml:space="preserve">23 </w:t>
            </w:r>
            <w:r w:rsidR="00DD3E83">
              <w:rPr>
                <w:rFonts w:eastAsia="SimSun"/>
                <w:sz w:val="22"/>
                <w:szCs w:val="28"/>
                <w:lang w:val="en-AU"/>
              </w:rPr>
              <w:t>(5%)</w:t>
            </w:r>
          </w:p>
          <w:p w14:paraId="3E7D8F34"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5 (1%)</w:t>
            </w:r>
          </w:p>
          <w:p w14:paraId="6D5C04CF"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5 (1%)</w:t>
            </w:r>
          </w:p>
          <w:p w14:paraId="7E316BC3"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4 (1%)</w:t>
            </w:r>
          </w:p>
          <w:p w14:paraId="221A8198"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7 (2%)</w:t>
            </w:r>
          </w:p>
          <w:p w14:paraId="4BC0C7C5" w14:textId="522A79B9" w:rsidR="00DD3E83" w:rsidRDefault="00DD3E83" w:rsidP="002A5A19">
            <w:pPr>
              <w:pStyle w:val="TableBody"/>
              <w:spacing w:before="60" w:after="60"/>
              <w:jc w:val="center"/>
              <w:rPr>
                <w:rFonts w:eastAsia="SimSun"/>
                <w:sz w:val="22"/>
                <w:szCs w:val="28"/>
                <w:lang w:val="en-AU"/>
              </w:rPr>
            </w:pPr>
            <w:r>
              <w:rPr>
                <w:rFonts w:eastAsia="SimSun"/>
                <w:sz w:val="22"/>
                <w:szCs w:val="28"/>
                <w:lang w:val="en-AU"/>
              </w:rPr>
              <w:t>0 (0%)</w:t>
            </w:r>
          </w:p>
        </w:tc>
        <w:tc>
          <w:tcPr>
            <w:tcW w:w="2694" w:type="dxa"/>
          </w:tcPr>
          <w:p w14:paraId="428C9409" w14:textId="77777777" w:rsidR="002A5A19" w:rsidRDefault="002A5A19" w:rsidP="002A5A19">
            <w:pPr>
              <w:pStyle w:val="TableBody"/>
              <w:spacing w:before="60" w:after="60"/>
              <w:jc w:val="center"/>
              <w:rPr>
                <w:rFonts w:eastAsia="SimSun"/>
                <w:sz w:val="22"/>
                <w:szCs w:val="28"/>
                <w:lang w:val="en-AU"/>
              </w:rPr>
            </w:pPr>
          </w:p>
          <w:p w14:paraId="2617F157" w14:textId="77777777" w:rsidR="00DD3E83" w:rsidRDefault="00DD3E83" w:rsidP="002A5A19">
            <w:pPr>
              <w:pStyle w:val="TableBody"/>
              <w:spacing w:before="60" w:after="60"/>
              <w:jc w:val="center"/>
              <w:rPr>
                <w:rFonts w:eastAsia="SimSun"/>
                <w:sz w:val="22"/>
                <w:szCs w:val="28"/>
                <w:lang w:val="en-AU"/>
              </w:rPr>
            </w:pPr>
          </w:p>
          <w:p w14:paraId="7F9268CC"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62 (13%)</w:t>
            </w:r>
          </w:p>
          <w:p w14:paraId="4BD2CF89"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31 (7%)</w:t>
            </w:r>
          </w:p>
          <w:p w14:paraId="054A2A22"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26 (6%)</w:t>
            </w:r>
          </w:p>
          <w:p w14:paraId="34D64B38" w14:textId="1C1082E1" w:rsidR="00DD3E83" w:rsidRDefault="00DD3E83" w:rsidP="002A5A19">
            <w:pPr>
              <w:pStyle w:val="TableBody"/>
              <w:spacing w:before="60" w:after="60"/>
              <w:jc w:val="center"/>
              <w:rPr>
                <w:rFonts w:eastAsia="SimSun"/>
                <w:sz w:val="22"/>
                <w:szCs w:val="28"/>
                <w:lang w:val="en-AU"/>
              </w:rPr>
            </w:pPr>
            <w:r>
              <w:rPr>
                <w:rFonts w:eastAsia="SimSun"/>
                <w:sz w:val="22"/>
                <w:szCs w:val="28"/>
                <w:lang w:val="en-AU"/>
              </w:rPr>
              <w:t>14 (3%)</w:t>
            </w:r>
          </w:p>
          <w:p w14:paraId="5574F37E" w14:textId="192AF978" w:rsidR="00DD3E83" w:rsidRDefault="00DD3E83" w:rsidP="002A5A19">
            <w:pPr>
              <w:pStyle w:val="TableBody"/>
              <w:spacing w:before="60" w:after="60"/>
              <w:jc w:val="center"/>
              <w:rPr>
                <w:rFonts w:eastAsia="SimSun"/>
                <w:sz w:val="22"/>
                <w:szCs w:val="28"/>
                <w:lang w:val="en-AU"/>
              </w:rPr>
            </w:pPr>
            <w:r>
              <w:rPr>
                <w:rFonts w:eastAsia="SimSun"/>
                <w:sz w:val="22"/>
                <w:szCs w:val="28"/>
                <w:lang w:val="en-AU"/>
              </w:rPr>
              <w:t>11 (2%)</w:t>
            </w:r>
          </w:p>
          <w:p w14:paraId="20B134EE"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8 (2%)</w:t>
            </w:r>
          </w:p>
          <w:p w14:paraId="2513497E" w14:textId="77777777" w:rsidR="00DD3E83" w:rsidRDefault="00DD3E83" w:rsidP="002A5A19">
            <w:pPr>
              <w:pStyle w:val="TableBody"/>
              <w:spacing w:before="60" w:after="60"/>
              <w:jc w:val="center"/>
              <w:rPr>
                <w:rFonts w:eastAsia="SimSun"/>
                <w:sz w:val="22"/>
                <w:szCs w:val="28"/>
                <w:lang w:val="en-AU"/>
              </w:rPr>
            </w:pPr>
            <w:r>
              <w:rPr>
                <w:rFonts w:eastAsia="SimSun"/>
                <w:sz w:val="22"/>
                <w:szCs w:val="28"/>
                <w:lang w:val="en-AU"/>
              </w:rPr>
              <w:t>8 (2%)</w:t>
            </w:r>
          </w:p>
          <w:p w14:paraId="3DBCA084" w14:textId="7B4B7AA5" w:rsidR="00DD3E83" w:rsidRDefault="00DD3E83" w:rsidP="002A5A19">
            <w:pPr>
              <w:pStyle w:val="TableBody"/>
              <w:spacing w:before="60" w:after="60"/>
              <w:jc w:val="center"/>
              <w:rPr>
                <w:rFonts w:eastAsia="SimSun"/>
                <w:sz w:val="22"/>
                <w:szCs w:val="28"/>
                <w:lang w:val="en-AU"/>
              </w:rPr>
            </w:pPr>
            <w:r>
              <w:rPr>
                <w:rFonts w:eastAsia="SimSun"/>
                <w:sz w:val="22"/>
                <w:szCs w:val="28"/>
                <w:lang w:val="en-AU"/>
              </w:rPr>
              <w:t>5 (1%)</w:t>
            </w:r>
          </w:p>
        </w:tc>
      </w:tr>
      <w:tr w:rsidR="002A5A19" w14:paraId="4AEB1629" w14:textId="77777777" w:rsidTr="0072420E">
        <w:tc>
          <w:tcPr>
            <w:tcW w:w="4531" w:type="dxa"/>
          </w:tcPr>
          <w:p w14:paraId="19ACFCDC" w14:textId="45A26387" w:rsidR="002A5A19" w:rsidRPr="00DD3E83" w:rsidRDefault="0072420E" w:rsidP="002A5A19">
            <w:pPr>
              <w:pStyle w:val="TableBody"/>
              <w:spacing w:before="60" w:after="60"/>
              <w:rPr>
                <w:rFonts w:eastAsia="SimSun"/>
                <w:b/>
                <w:sz w:val="22"/>
                <w:szCs w:val="28"/>
                <w:lang w:val="en-AU"/>
              </w:rPr>
            </w:pPr>
            <w:r>
              <w:rPr>
                <w:rFonts w:eastAsia="SimSun"/>
                <w:b/>
                <w:sz w:val="22"/>
                <w:szCs w:val="28"/>
                <w:lang w:val="en-AU"/>
              </w:rPr>
              <w:t>Nervous System D</w:t>
            </w:r>
            <w:r w:rsidR="00DD3E83" w:rsidRPr="00DD3E83">
              <w:rPr>
                <w:rFonts w:eastAsia="SimSun"/>
                <w:b/>
                <w:sz w:val="22"/>
                <w:szCs w:val="28"/>
                <w:lang w:val="en-AU"/>
              </w:rPr>
              <w:t>isorders</w:t>
            </w:r>
          </w:p>
          <w:p w14:paraId="105C74DF" w14:textId="292BE51A" w:rsidR="00DD3E83" w:rsidRDefault="00DD3E83" w:rsidP="002A5A19">
            <w:pPr>
              <w:pStyle w:val="TableBody"/>
              <w:spacing w:before="60" w:after="60"/>
              <w:rPr>
                <w:rFonts w:eastAsia="SimSun"/>
                <w:sz w:val="22"/>
                <w:szCs w:val="28"/>
                <w:lang w:val="en-AU"/>
              </w:rPr>
            </w:pPr>
            <w:r>
              <w:rPr>
                <w:rFonts w:eastAsia="SimSun"/>
                <w:sz w:val="22"/>
                <w:szCs w:val="28"/>
                <w:lang w:val="en-AU"/>
              </w:rPr>
              <w:t xml:space="preserve">   Headache</w:t>
            </w:r>
          </w:p>
        </w:tc>
        <w:tc>
          <w:tcPr>
            <w:tcW w:w="2693" w:type="dxa"/>
          </w:tcPr>
          <w:p w14:paraId="1400E0DA" w14:textId="77777777" w:rsidR="002A5A19" w:rsidRDefault="002A5A19" w:rsidP="002A5A19">
            <w:pPr>
              <w:pStyle w:val="TableBody"/>
              <w:spacing w:before="60" w:after="60"/>
              <w:jc w:val="center"/>
              <w:rPr>
                <w:rFonts w:eastAsia="SimSun"/>
                <w:sz w:val="22"/>
                <w:szCs w:val="28"/>
                <w:lang w:val="en-AU"/>
              </w:rPr>
            </w:pPr>
          </w:p>
          <w:p w14:paraId="45FC38E6" w14:textId="00BECCD6" w:rsidR="00DD3E83" w:rsidRDefault="00DD3E83" w:rsidP="002A5A19">
            <w:pPr>
              <w:pStyle w:val="TableBody"/>
              <w:spacing w:before="60" w:after="60"/>
              <w:jc w:val="center"/>
              <w:rPr>
                <w:rFonts w:eastAsia="SimSun"/>
                <w:sz w:val="22"/>
                <w:szCs w:val="28"/>
                <w:lang w:val="en-AU"/>
              </w:rPr>
            </w:pPr>
            <w:r>
              <w:rPr>
                <w:rFonts w:eastAsia="SimSun"/>
                <w:sz w:val="22"/>
                <w:szCs w:val="28"/>
                <w:lang w:val="en-AU"/>
              </w:rPr>
              <w:t>2 (0%)</w:t>
            </w:r>
          </w:p>
        </w:tc>
        <w:tc>
          <w:tcPr>
            <w:tcW w:w="2694" w:type="dxa"/>
          </w:tcPr>
          <w:p w14:paraId="32C4E5B7" w14:textId="77777777" w:rsidR="00DD3E83" w:rsidRDefault="00DD3E83" w:rsidP="002A5A19">
            <w:pPr>
              <w:pStyle w:val="TableBody"/>
              <w:spacing w:before="60" w:after="60"/>
              <w:jc w:val="center"/>
              <w:rPr>
                <w:rFonts w:eastAsia="SimSun"/>
                <w:sz w:val="22"/>
                <w:szCs w:val="28"/>
                <w:lang w:val="en-AU"/>
              </w:rPr>
            </w:pPr>
          </w:p>
          <w:p w14:paraId="781F97A2" w14:textId="46AD6B42" w:rsidR="002A5A19" w:rsidRDefault="00DD3E83" w:rsidP="002A5A19">
            <w:pPr>
              <w:pStyle w:val="TableBody"/>
              <w:spacing w:before="60" w:after="60"/>
              <w:jc w:val="center"/>
              <w:rPr>
                <w:rFonts w:eastAsia="SimSun"/>
                <w:sz w:val="22"/>
                <w:szCs w:val="28"/>
                <w:lang w:val="en-AU"/>
              </w:rPr>
            </w:pPr>
            <w:r>
              <w:rPr>
                <w:rFonts w:eastAsia="SimSun"/>
                <w:sz w:val="22"/>
                <w:szCs w:val="28"/>
                <w:lang w:val="en-AU"/>
              </w:rPr>
              <w:t>6 (1%)</w:t>
            </w:r>
          </w:p>
        </w:tc>
      </w:tr>
      <w:tr w:rsidR="002A5A19" w14:paraId="2AD34131" w14:textId="77777777" w:rsidTr="0072420E">
        <w:tc>
          <w:tcPr>
            <w:tcW w:w="4531" w:type="dxa"/>
          </w:tcPr>
          <w:p w14:paraId="4E16DB60" w14:textId="695224C6" w:rsidR="00DD3E83" w:rsidRPr="00DD3E83" w:rsidRDefault="00DD3E83" w:rsidP="002A5A19">
            <w:pPr>
              <w:pStyle w:val="TableBody"/>
              <w:spacing w:before="60" w:after="60"/>
              <w:rPr>
                <w:rFonts w:eastAsia="SimSun"/>
                <w:b/>
                <w:sz w:val="22"/>
                <w:szCs w:val="28"/>
                <w:lang w:val="en-AU"/>
              </w:rPr>
            </w:pPr>
            <w:r w:rsidRPr="00DD3E83">
              <w:rPr>
                <w:rFonts w:eastAsia="SimSun"/>
                <w:b/>
                <w:sz w:val="22"/>
                <w:szCs w:val="28"/>
                <w:lang w:val="en-AU"/>
              </w:rPr>
              <w:t xml:space="preserve">Skin and </w:t>
            </w:r>
            <w:r w:rsidR="0072420E">
              <w:rPr>
                <w:rFonts w:eastAsia="SimSun"/>
                <w:b/>
                <w:sz w:val="22"/>
                <w:szCs w:val="28"/>
                <w:lang w:val="en-AU"/>
              </w:rPr>
              <w:t>Subcutaneous T</w:t>
            </w:r>
            <w:r w:rsidRPr="00DD3E83">
              <w:rPr>
                <w:rFonts w:eastAsia="SimSun"/>
                <w:b/>
                <w:sz w:val="22"/>
                <w:szCs w:val="28"/>
                <w:lang w:val="en-AU"/>
              </w:rPr>
              <w:t xml:space="preserve">issue </w:t>
            </w:r>
            <w:r w:rsidR="0072420E">
              <w:rPr>
                <w:rFonts w:eastAsia="SimSun"/>
                <w:b/>
                <w:sz w:val="22"/>
                <w:szCs w:val="28"/>
                <w:lang w:val="en-AU"/>
              </w:rPr>
              <w:t>D</w:t>
            </w:r>
            <w:r w:rsidRPr="00DD3E83">
              <w:rPr>
                <w:rFonts w:eastAsia="SimSun"/>
                <w:b/>
                <w:sz w:val="22"/>
                <w:szCs w:val="28"/>
                <w:lang w:val="en-AU"/>
              </w:rPr>
              <w:t>isorders</w:t>
            </w:r>
          </w:p>
          <w:p w14:paraId="37BE1277" w14:textId="4B9EC4DE" w:rsidR="00DD3E83" w:rsidRDefault="00DD3E83" w:rsidP="002A5A19">
            <w:pPr>
              <w:pStyle w:val="TableBody"/>
              <w:spacing w:before="60" w:after="60"/>
              <w:rPr>
                <w:rFonts w:eastAsia="SimSun"/>
                <w:sz w:val="22"/>
                <w:szCs w:val="28"/>
                <w:lang w:val="en-AU"/>
              </w:rPr>
            </w:pPr>
            <w:r>
              <w:rPr>
                <w:rFonts w:eastAsia="SimSun"/>
                <w:sz w:val="22"/>
                <w:szCs w:val="28"/>
                <w:lang w:val="en-AU"/>
              </w:rPr>
              <w:t xml:space="preserve">   Alopecia</w:t>
            </w:r>
          </w:p>
        </w:tc>
        <w:tc>
          <w:tcPr>
            <w:tcW w:w="2693" w:type="dxa"/>
          </w:tcPr>
          <w:p w14:paraId="24F34F7E" w14:textId="77777777" w:rsidR="00DD3E83" w:rsidRDefault="00DD3E83" w:rsidP="00DD3E83">
            <w:pPr>
              <w:pStyle w:val="TableBody"/>
              <w:spacing w:before="60" w:after="60"/>
              <w:jc w:val="center"/>
              <w:rPr>
                <w:rFonts w:eastAsia="SimSun"/>
                <w:sz w:val="22"/>
                <w:szCs w:val="28"/>
                <w:lang w:val="en-AU"/>
              </w:rPr>
            </w:pPr>
          </w:p>
          <w:p w14:paraId="11D72478" w14:textId="3E090E64" w:rsidR="00DD3E83" w:rsidRDefault="00DD3E83" w:rsidP="00DD3E83">
            <w:pPr>
              <w:pStyle w:val="TableBody"/>
              <w:spacing w:before="60" w:after="60"/>
              <w:jc w:val="center"/>
              <w:rPr>
                <w:rFonts w:eastAsia="SimSun"/>
                <w:sz w:val="22"/>
                <w:szCs w:val="28"/>
                <w:lang w:val="en-AU"/>
              </w:rPr>
            </w:pPr>
            <w:r>
              <w:rPr>
                <w:rFonts w:eastAsia="SimSun"/>
                <w:sz w:val="22"/>
                <w:szCs w:val="28"/>
                <w:lang w:val="en-AU"/>
              </w:rPr>
              <w:t>9 (2%)</w:t>
            </w:r>
          </w:p>
        </w:tc>
        <w:tc>
          <w:tcPr>
            <w:tcW w:w="2694" w:type="dxa"/>
          </w:tcPr>
          <w:p w14:paraId="412EAA8B" w14:textId="77777777" w:rsidR="00DD3E83" w:rsidRDefault="00DD3E83" w:rsidP="002A5A19">
            <w:pPr>
              <w:pStyle w:val="TableBody"/>
              <w:spacing w:before="60" w:after="60"/>
              <w:jc w:val="center"/>
              <w:rPr>
                <w:rFonts w:eastAsia="SimSun"/>
                <w:sz w:val="22"/>
                <w:szCs w:val="28"/>
                <w:lang w:val="en-AU"/>
              </w:rPr>
            </w:pPr>
          </w:p>
          <w:p w14:paraId="059EBCC8" w14:textId="6E294AFC" w:rsidR="00DD3E83" w:rsidRDefault="00DD3E83" w:rsidP="002A5A19">
            <w:pPr>
              <w:pStyle w:val="TableBody"/>
              <w:spacing w:before="60" w:after="60"/>
              <w:jc w:val="center"/>
              <w:rPr>
                <w:rFonts w:eastAsia="SimSun"/>
                <w:sz w:val="22"/>
                <w:szCs w:val="28"/>
                <w:lang w:val="en-AU"/>
              </w:rPr>
            </w:pPr>
            <w:r>
              <w:rPr>
                <w:rFonts w:eastAsia="SimSun"/>
                <w:sz w:val="22"/>
                <w:szCs w:val="28"/>
                <w:lang w:val="en-AU"/>
              </w:rPr>
              <w:t>8 (2%)</w:t>
            </w:r>
          </w:p>
        </w:tc>
      </w:tr>
    </w:tbl>
    <w:p w14:paraId="565F30A7" w14:textId="77777777" w:rsidR="00D44A50" w:rsidRPr="00D44A50" w:rsidRDefault="00D44A50" w:rsidP="00113100">
      <w:pPr>
        <w:pStyle w:val="TableBody"/>
        <w:rPr>
          <w:rFonts w:eastAsia="SimSun"/>
          <w:sz w:val="22"/>
          <w:szCs w:val="28"/>
          <w:lang w:val="en-AU"/>
        </w:rPr>
      </w:pPr>
    </w:p>
    <w:p w14:paraId="7845FBC2" w14:textId="556DF048" w:rsidR="00DD3E83" w:rsidRPr="00DD3E83" w:rsidRDefault="00DD3E83" w:rsidP="00DD3E83">
      <w:pPr>
        <w:pStyle w:val="Bodyofcontents"/>
      </w:pPr>
      <w:r w:rsidRPr="00DD3E83">
        <w:t xml:space="preserve">Across all studies, no life-threatening or fatal adverse events were attributed to </w:t>
      </w:r>
      <w:r>
        <w:t>pegfilgrastim</w:t>
      </w:r>
      <w:r w:rsidRPr="00DD3E83">
        <w:t>. In</w:t>
      </w:r>
      <w:r>
        <w:t xml:space="preserve"> </w:t>
      </w:r>
      <w:r w:rsidRPr="00DD3E83">
        <w:t>these studies, there was only 1 serious adverse event (dyspnoea) reported in a single</w:t>
      </w:r>
      <w:r>
        <w:t xml:space="preserve"> </w:t>
      </w:r>
      <w:r w:rsidRPr="00DD3E83">
        <w:t xml:space="preserve">patient as possibly related to </w:t>
      </w:r>
      <w:r>
        <w:t>pegfilgrastim</w:t>
      </w:r>
      <w:r w:rsidRPr="00DD3E83">
        <w:t>.</w:t>
      </w:r>
    </w:p>
    <w:p w14:paraId="60D2E411" w14:textId="0E537F0E" w:rsidR="00DD3E83" w:rsidRPr="00DD3E83" w:rsidRDefault="00DD3E83" w:rsidP="00DD3E83">
      <w:pPr>
        <w:pStyle w:val="Bodyofcontents"/>
      </w:pPr>
      <w:r w:rsidRPr="00DD3E83">
        <w:t>Spontaneously reversible elevations in lactate dehydrogenase (LDH), alkaline phosphatase</w:t>
      </w:r>
      <w:r>
        <w:t xml:space="preserve"> </w:t>
      </w:r>
      <w:r w:rsidRPr="00DD3E83">
        <w:t>and uric acid of mild-to-moderate severity were observed. Most changes have been</w:t>
      </w:r>
      <w:r>
        <w:t xml:space="preserve"> </w:t>
      </w:r>
      <w:r w:rsidRPr="00DD3E83">
        <w:t>attributed to post-cytokine bone marrow expansion as well as to chemotherapy and</w:t>
      </w:r>
      <w:r>
        <w:t xml:space="preserve"> </w:t>
      </w:r>
      <w:r w:rsidRPr="00DD3E83">
        <w:t xml:space="preserve">metastatic disease. The incidences of these changes, presented for </w:t>
      </w:r>
      <w:r>
        <w:t>pegfilgrastim</w:t>
      </w:r>
      <w:r w:rsidRPr="00DD3E83">
        <w:t xml:space="preserve"> relative to</w:t>
      </w:r>
      <w:r>
        <w:t xml:space="preserve"> </w:t>
      </w:r>
      <w:r w:rsidRPr="00DD3E83">
        <w:t xml:space="preserve">filgrastim and placebo, were: LDH (18% versus 29% and </w:t>
      </w:r>
      <w:r>
        <w:t xml:space="preserve">18%), alkaline phosphatase (11% </w:t>
      </w:r>
      <w:r w:rsidRPr="00DD3E83">
        <w:t>versus</w:t>
      </w:r>
      <w:r>
        <w:t xml:space="preserve"> 16% and 12%) and uric acid (11%</w:t>
      </w:r>
      <w:r w:rsidRPr="00DD3E83">
        <w:t xml:space="preserve"> versus 9% and 13% [1 o/o of reported cases for</w:t>
      </w:r>
      <w:r>
        <w:t xml:space="preserve"> pegfilgrastim</w:t>
      </w:r>
      <w:r w:rsidRPr="00DD3E83">
        <w:t xml:space="preserve"> and filgrastim groups were classified as severe]).</w:t>
      </w:r>
    </w:p>
    <w:p w14:paraId="7B34D606" w14:textId="044830D2" w:rsidR="00AF1BED" w:rsidRDefault="00AF1BED" w:rsidP="00E16114">
      <w:pPr>
        <w:pStyle w:val="Subheading1"/>
      </w:pPr>
      <w:r>
        <w:t xml:space="preserve">Post-marketing </w:t>
      </w:r>
      <w:r w:rsidR="00DD3E83">
        <w:t>Experience</w:t>
      </w:r>
      <w:r>
        <w:t xml:space="preserve"> </w:t>
      </w:r>
    </w:p>
    <w:p w14:paraId="7084E355" w14:textId="1A6BD557" w:rsidR="00DD3E83" w:rsidRPr="00DD3E83" w:rsidRDefault="00DD3E83" w:rsidP="00DD3E83">
      <w:pPr>
        <w:pStyle w:val="Bodyofcontents"/>
      </w:pPr>
      <w:r w:rsidRPr="00DD3E83">
        <w:t>Extremely rare cases of capillary leak syndrome have been reported in subjects receiving</w:t>
      </w:r>
      <w:r>
        <w:t xml:space="preserve"> </w:t>
      </w:r>
      <w:r w:rsidRPr="00DD3E83">
        <w:t xml:space="preserve">filgrastim, the parent compound of </w:t>
      </w:r>
      <w:r>
        <w:t>pegfilgrastim</w:t>
      </w:r>
      <w:r w:rsidRPr="00DD3E83">
        <w:t>.</w:t>
      </w:r>
    </w:p>
    <w:p w14:paraId="77F8EF80" w14:textId="77777777" w:rsidR="00DD3E83" w:rsidRPr="00DD3E83" w:rsidRDefault="00DD3E83" w:rsidP="00DD3E83">
      <w:pPr>
        <w:pStyle w:val="Bodyofcontents"/>
        <w:rPr>
          <w:i/>
        </w:rPr>
      </w:pPr>
      <w:r w:rsidRPr="00DD3E83">
        <w:rPr>
          <w:i/>
        </w:rPr>
        <w:t>Allergic Reactions</w:t>
      </w:r>
    </w:p>
    <w:p w14:paraId="3D041001" w14:textId="08652A36" w:rsidR="00DD3E83" w:rsidRPr="00DD3E83" w:rsidRDefault="00DD3E83" w:rsidP="00DD3E83">
      <w:pPr>
        <w:pStyle w:val="Bodyofcontents"/>
      </w:pPr>
      <w:r w:rsidRPr="00DD3E83">
        <w:t>Allergic-type reactions, including anaphylactic reactions, skin rash,</w:t>
      </w:r>
      <w:r>
        <w:t xml:space="preserve"> urticaria and erythema/</w:t>
      </w:r>
      <w:r w:rsidRPr="00DD3E83">
        <w:t>flushing occurring on initial or subsequent treatment have been</w:t>
      </w:r>
      <w:r>
        <w:t xml:space="preserve"> </w:t>
      </w:r>
      <w:r w:rsidRPr="00DD3E83">
        <w:t xml:space="preserve">reported in patients receiving </w:t>
      </w:r>
      <w:r>
        <w:t>pegfilgrastim</w:t>
      </w:r>
      <w:r w:rsidRPr="00DD3E83">
        <w:t>. In some cases, symptoms have recurred with</w:t>
      </w:r>
      <w:r>
        <w:t xml:space="preserve"> </w:t>
      </w:r>
      <w:r w:rsidRPr="00DD3E83">
        <w:t xml:space="preserve">rechallenge, suggesting a causal relationship. Allergic-type reactions to </w:t>
      </w:r>
      <w:r>
        <w:t>pegfilgrastim</w:t>
      </w:r>
      <w:r w:rsidRPr="00DD3E83">
        <w:t xml:space="preserve"> have rarely</w:t>
      </w:r>
      <w:r>
        <w:t xml:space="preserve"> </w:t>
      </w:r>
      <w:r w:rsidRPr="00DD3E83">
        <w:t>been reported in post-marketing experience.</w:t>
      </w:r>
    </w:p>
    <w:p w14:paraId="6084675C" w14:textId="6F8DD14E" w:rsidR="00DD3E83" w:rsidRPr="00DD3E83" w:rsidRDefault="00DD3E83" w:rsidP="00DD3E83">
      <w:pPr>
        <w:pStyle w:val="Bodyofcontents"/>
      </w:pPr>
      <w:r w:rsidRPr="00DD3E83">
        <w:lastRenderedPageBreak/>
        <w:t>If a serious reaction occurs, appropriate therapy should be administered, with close patient</w:t>
      </w:r>
      <w:r>
        <w:t xml:space="preserve"> </w:t>
      </w:r>
      <w:r w:rsidRPr="00DD3E83">
        <w:t xml:space="preserve">follow-up over several days. </w:t>
      </w:r>
      <w:r>
        <w:t>Pegfilgrastim</w:t>
      </w:r>
      <w:r w:rsidRPr="00DD3E83">
        <w:t xml:space="preserve"> should be permanently discontinued in patients who</w:t>
      </w:r>
      <w:r>
        <w:t xml:space="preserve"> </w:t>
      </w:r>
      <w:r w:rsidRPr="00DD3E83">
        <w:t>experience a serious allergic reaction.</w:t>
      </w:r>
    </w:p>
    <w:p w14:paraId="527E1860" w14:textId="77777777" w:rsidR="00DD3E83" w:rsidRPr="00DD3E83" w:rsidRDefault="00DD3E83" w:rsidP="00DD3E83">
      <w:pPr>
        <w:pStyle w:val="Bodyofcontents"/>
      </w:pPr>
      <w:r w:rsidRPr="00DD3E83">
        <w:t>Injection site pain and erythema have been reported in patients receiving pegfilgrastim.</w:t>
      </w:r>
    </w:p>
    <w:p w14:paraId="45740DB8" w14:textId="6BB4B342" w:rsidR="00DD3E83" w:rsidRPr="00DD3E83" w:rsidRDefault="00DD3E83" w:rsidP="00DD3E83">
      <w:pPr>
        <w:pStyle w:val="Bodyofcontents"/>
      </w:pPr>
      <w:r w:rsidRPr="00DD3E83">
        <w:t>Cases of glomerulonephritis have been reported uncommonly</w:t>
      </w:r>
      <w:r>
        <w:t xml:space="preserve"> </w:t>
      </w:r>
      <w:r w:rsidRPr="00DD3E83">
        <w:t>(</w:t>
      </w:r>
      <w:r>
        <w:t>≥</w:t>
      </w:r>
      <w:r w:rsidRPr="00DD3E83">
        <w:t xml:space="preserve"> 1/1000 and</w:t>
      </w:r>
      <w:r>
        <w:t xml:space="preserve"> </w:t>
      </w:r>
      <w:r w:rsidRPr="00DD3E83">
        <w:t>&lt; 1/100) in</w:t>
      </w:r>
      <w:r>
        <w:t xml:space="preserve"> patients receiving pegfilgrastim</w:t>
      </w:r>
      <w:r w:rsidRPr="00DD3E83">
        <w:t>.</w:t>
      </w:r>
    </w:p>
    <w:p w14:paraId="30FFA567" w14:textId="59FA06DC" w:rsidR="00DD3E83" w:rsidRPr="00DD3E83" w:rsidRDefault="00DD3E83" w:rsidP="00DD3E83">
      <w:pPr>
        <w:pStyle w:val="Bodyofcontents"/>
      </w:pPr>
      <w:r w:rsidRPr="00DD3E83">
        <w:t>Rare cases (~0.01% and &lt;0.1 %) of Sweet's syndrome (acute febrile dermatosis),</w:t>
      </w:r>
      <w:r>
        <w:t xml:space="preserve"> </w:t>
      </w:r>
      <w:r w:rsidRPr="00DD3E83">
        <w:t>splenomegaly, splenic rupture and sickle cell crisis have been reported in patients receiving</w:t>
      </w:r>
      <w:r>
        <w:t xml:space="preserve"> pegfilgrastim</w:t>
      </w:r>
    </w:p>
    <w:p w14:paraId="76723685" w14:textId="7EBF7FEE" w:rsidR="00DD3E83" w:rsidRPr="00DD3E83" w:rsidRDefault="00DD3E83" w:rsidP="00DD3E83">
      <w:pPr>
        <w:pStyle w:val="Bodyofcontents"/>
      </w:pPr>
      <w:r w:rsidRPr="00DD3E83">
        <w:t>Very rare</w:t>
      </w:r>
      <w:r>
        <w:t xml:space="preserve"> </w:t>
      </w:r>
      <w:r w:rsidRPr="00DD3E83">
        <w:t>(&lt; 1/10,000) reactions of cutaneous vasculitis have been reported in patients</w:t>
      </w:r>
      <w:r>
        <w:t xml:space="preserve"> </w:t>
      </w:r>
      <w:r w:rsidRPr="00DD3E83">
        <w:t xml:space="preserve">receiving </w:t>
      </w:r>
      <w:r>
        <w:t>pegfilgrastim</w:t>
      </w:r>
      <w:r w:rsidRPr="00DD3E83">
        <w:t>.</w:t>
      </w:r>
    </w:p>
    <w:p w14:paraId="6902AA8E" w14:textId="402528AE" w:rsidR="00AF1BED" w:rsidRDefault="00DD3E83" w:rsidP="00E16114">
      <w:pPr>
        <w:pStyle w:val="Bodyofcontents"/>
      </w:pPr>
      <w:r w:rsidRPr="00DD3E83">
        <w:t>There has been no evidence for the development of neutralising antibodies, or of a blunted</w:t>
      </w:r>
      <w:r>
        <w:t xml:space="preserve"> </w:t>
      </w:r>
      <w:r w:rsidRPr="00DD3E83">
        <w:t xml:space="preserve">or diminished response to </w:t>
      </w:r>
      <w:r>
        <w:t>pegfilgrastim</w:t>
      </w:r>
      <w:r w:rsidRPr="00DD3E83">
        <w:t xml:space="preserve"> in treated patients, including those receiving up to 6</w:t>
      </w:r>
      <w:r>
        <w:t xml:space="preserve"> </w:t>
      </w:r>
      <w:r w:rsidRPr="00DD3E83">
        <w:t xml:space="preserve">cycles of </w:t>
      </w:r>
      <w:r>
        <w:t>pegfilgrastim</w:t>
      </w:r>
      <w:r w:rsidRPr="00DD3E83">
        <w:t>.</w:t>
      </w:r>
      <w:r w:rsidR="00AF1BED">
        <w:t xml:space="preserve"> </w:t>
      </w:r>
    </w:p>
    <w:p w14:paraId="6C967220" w14:textId="7F7E2748" w:rsidR="003E5C5B" w:rsidRDefault="003E5C5B" w:rsidP="001A7651">
      <w:pPr>
        <w:pStyle w:val="Subheading1"/>
      </w:pPr>
      <w:r w:rsidRPr="00B30D03">
        <w:t>Comparability of Fulphila with Neulasta</w:t>
      </w:r>
    </w:p>
    <w:p w14:paraId="38AE9638" w14:textId="75A8A609" w:rsidR="009530A4" w:rsidRDefault="009530A4" w:rsidP="009530A4">
      <w:pPr>
        <w:pStyle w:val="Bodyofcontents"/>
      </w:pPr>
      <w:r>
        <w:t>In</w:t>
      </w:r>
      <w:r w:rsidRPr="004B256A">
        <w:t xml:space="preserve"> the </w:t>
      </w:r>
      <w:r>
        <w:t xml:space="preserve">healthy volunteer </w:t>
      </w:r>
      <w:r w:rsidRPr="004B256A">
        <w:t>study MYL-1401H-1001</w:t>
      </w:r>
      <w:r>
        <w:t>,</w:t>
      </w:r>
      <w:r w:rsidRPr="004B256A">
        <w:t xml:space="preserve"> </w:t>
      </w:r>
      <w:r>
        <w:t xml:space="preserve">the </w:t>
      </w:r>
      <w:r w:rsidRPr="00832AA8">
        <w:t xml:space="preserve">percentage of subjects reporting </w:t>
      </w:r>
      <w:r>
        <w:t xml:space="preserve">treatment related AEs was </w:t>
      </w:r>
      <w:r w:rsidRPr="00832AA8">
        <w:t>comparable</w:t>
      </w:r>
      <w:r w:rsidRPr="004B256A">
        <w:t xml:space="preserve"> </w:t>
      </w:r>
      <w:r w:rsidRPr="00832AA8">
        <w:t xml:space="preserve">between </w:t>
      </w:r>
      <w:r w:rsidRPr="004B256A">
        <w:t>Fulphila</w:t>
      </w:r>
      <w:r>
        <w:t xml:space="preserve"> (75%)</w:t>
      </w:r>
      <w:r w:rsidRPr="004B256A">
        <w:t xml:space="preserve"> a</w:t>
      </w:r>
      <w:r w:rsidRPr="00832AA8">
        <w:t>nd the reference treatments EU-Neulasta</w:t>
      </w:r>
      <w:r>
        <w:t xml:space="preserve"> (79%)</w:t>
      </w:r>
      <w:r w:rsidRPr="00832AA8">
        <w:t xml:space="preserve"> and US-Neulasta</w:t>
      </w:r>
      <w:r>
        <w:t xml:space="preserve"> (76%)</w:t>
      </w:r>
      <w:r w:rsidRPr="00832AA8">
        <w:t>.</w:t>
      </w:r>
      <w:r w:rsidRPr="004B256A">
        <w:t xml:space="preserve"> </w:t>
      </w:r>
      <w:r w:rsidRPr="00832AA8">
        <w:t xml:space="preserve">The most frequently reported </w:t>
      </w:r>
      <w:r>
        <w:t xml:space="preserve">treatment related </w:t>
      </w:r>
      <w:r w:rsidRPr="00832AA8">
        <w:t xml:space="preserve">PTs (i.e., reported by </w:t>
      </w:r>
      <w:r>
        <w:t>≥</w:t>
      </w:r>
      <w:r w:rsidRPr="00832AA8">
        <w:t>20% of the</w:t>
      </w:r>
      <w:r w:rsidRPr="004B256A">
        <w:t xml:space="preserve"> </w:t>
      </w:r>
      <w:r>
        <w:t>subjects) were back pain and headache</w:t>
      </w:r>
      <w:r w:rsidRPr="00832AA8">
        <w:t>. There were no relevant differences in the frequency of TEAEs</w:t>
      </w:r>
      <w:r w:rsidRPr="004B256A">
        <w:t xml:space="preserve"> </w:t>
      </w:r>
      <w:r w:rsidRPr="00832AA8">
        <w:t>or per</w:t>
      </w:r>
      <w:r>
        <w:t xml:space="preserve">centage of subjects reporting treatment related </w:t>
      </w:r>
      <w:r w:rsidRPr="00832AA8">
        <w:t xml:space="preserve">AEs between </w:t>
      </w:r>
      <w:r w:rsidRPr="004B256A">
        <w:t>Fulphila</w:t>
      </w:r>
      <w:r w:rsidRPr="00832AA8">
        <w:t xml:space="preserve"> and the </w:t>
      </w:r>
      <w:r>
        <w:t>Neulasta.</w:t>
      </w:r>
    </w:p>
    <w:p w14:paraId="61F696B0" w14:textId="5DB1A356" w:rsidR="009530A4" w:rsidRDefault="009530A4" w:rsidP="009530A4">
      <w:pPr>
        <w:pStyle w:val="Bodyofcontents"/>
        <w:ind w:left="851" w:hanging="851"/>
        <w:rPr>
          <w:b/>
        </w:rPr>
      </w:pPr>
      <w:r w:rsidRPr="001A7651">
        <w:rPr>
          <w:b/>
        </w:rPr>
        <w:t>Table 4:</w:t>
      </w:r>
      <w:r>
        <w:t xml:space="preserve"> </w:t>
      </w:r>
      <w:r w:rsidRPr="00D41160">
        <w:rPr>
          <w:b/>
        </w:rPr>
        <w:t xml:space="preserve">Treatment-Related Adverse Events, </w:t>
      </w:r>
      <w:r w:rsidRPr="00D41160">
        <w:rPr>
          <w:rFonts w:eastAsia="TimesNewRoman,Bold"/>
          <w:b/>
          <w:bCs/>
          <w:lang w:val="en-US"/>
        </w:rPr>
        <w:t>Occurring in ≥</w:t>
      </w:r>
      <w:r>
        <w:rPr>
          <w:rFonts w:eastAsia="TimesNewRoman,Bold"/>
          <w:b/>
          <w:bCs/>
          <w:lang w:val="en-US"/>
        </w:rPr>
        <w:t>5</w:t>
      </w:r>
      <w:r w:rsidRPr="00D41160">
        <w:rPr>
          <w:rFonts w:eastAsia="TimesNewRoman,Bold"/>
          <w:b/>
          <w:bCs/>
          <w:lang w:val="en-US"/>
        </w:rPr>
        <w:t xml:space="preserve">% </w:t>
      </w:r>
      <w:r>
        <w:rPr>
          <w:rFonts w:eastAsia="TimesNewRoman,Bold"/>
          <w:b/>
          <w:bCs/>
          <w:lang w:val="en-US"/>
        </w:rPr>
        <w:t xml:space="preserve">Subjects </w:t>
      </w:r>
      <w:r w:rsidRPr="00D41160">
        <w:rPr>
          <w:rFonts w:eastAsia="TimesNewRoman,Bold"/>
          <w:b/>
          <w:bCs/>
          <w:lang w:val="en-US"/>
        </w:rPr>
        <w:t>in Either Treatment Group</w:t>
      </w:r>
      <w:r w:rsidRPr="00D41160">
        <w:rPr>
          <w:b/>
        </w:rPr>
        <w:t xml:space="preserve"> in study MYL-1401H-1001</w:t>
      </w:r>
    </w:p>
    <w:tbl>
      <w:tblPr>
        <w:tblStyle w:val="TableGrid"/>
        <w:tblW w:w="9918" w:type="dxa"/>
        <w:tblLayout w:type="fixed"/>
        <w:tblLook w:val="04A0" w:firstRow="1" w:lastRow="0" w:firstColumn="1" w:lastColumn="0" w:noHBand="0" w:noVBand="1"/>
      </w:tblPr>
      <w:tblGrid>
        <w:gridCol w:w="4787"/>
        <w:gridCol w:w="1710"/>
        <w:gridCol w:w="1710"/>
        <w:gridCol w:w="1711"/>
      </w:tblGrid>
      <w:tr w:rsidR="00AA549A" w:rsidRPr="00880A4F" w14:paraId="57AAA4F5" w14:textId="77777777" w:rsidTr="00F4689A">
        <w:trPr>
          <w:trHeight w:val="546"/>
        </w:trPr>
        <w:tc>
          <w:tcPr>
            <w:tcW w:w="4787" w:type="dxa"/>
            <w:vAlign w:val="center"/>
          </w:tcPr>
          <w:p w14:paraId="414C7754" w14:textId="01A48825" w:rsidR="00AA549A" w:rsidRPr="00880A4F" w:rsidRDefault="00AA549A" w:rsidP="00F13AAA">
            <w:pPr>
              <w:autoSpaceDE w:val="0"/>
              <w:autoSpaceDN w:val="0"/>
              <w:adjustRightInd w:val="0"/>
              <w:spacing w:before="60" w:after="60" w:line="240" w:lineRule="auto"/>
              <w:rPr>
                <w:rFonts w:ascii="Times New Roman" w:hAnsi="Times New Roman"/>
                <w:b/>
              </w:rPr>
            </w:pPr>
            <w:bookmarkStart w:id="0" w:name="_Hlk505080082"/>
            <w:r w:rsidRPr="00880A4F">
              <w:rPr>
                <w:rFonts w:ascii="Times New Roman" w:hAnsi="Times New Roman"/>
                <w:b/>
              </w:rPr>
              <w:t>System Organ Class / Preferred Term</w:t>
            </w:r>
          </w:p>
        </w:tc>
        <w:tc>
          <w:tcPr>
            <w:tcW w:w="1710" w:type="dxa"/>
            <w:vAlign w:val="center"/>
          </w:tcPr>
          <w:p w14:paraId="2D8AA0DE"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Fulphila</w:t>
            </w:r>
          </w:p>
          <w:p w14:paraId="3A4A25D6" w14:textId="77777777" w:rsidR="00AA549A"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(N=207)</w:t>
            </w:r>
          </w:p>
          <w:p w14:paraId="499A5DA1"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c>
          <w:tcPr>
            <w:tcW w:w="1710" w:type="dxa"/>
            <w:vAlign w:val="center"/>
          </w:tcPr>
          <w:p w14:paraId="4206CFFE"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EU-Neulasta</w:t>
            </w:r>
          </w:p>
          <w:p w14:paraId="1A660956" w14:textId="77777777" w:rsidR="00AA549A"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(N=208)</w:t>
            </w:r>
          </w:p>
          <w:p w14:paraId="5780D559"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c>
          <w:tcPr>
            <w:tcW w:w="1711" w:type="dxa"/>
            <w:vAlign w:val="center"/>
          </w:tcPr>
          <w:p w14:paraId="04859E83" w14:textId="77777777" w:rsidR="00AA549A"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US-Neulasta (N=207)</w:t>
            </w:r>
          </w:p>
          <w:p w14:paraId="151EBFA4"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r>
      <w:tr w:rsidR="00AA549A" w:rsidRPr="00880A4F" w14:paraId="23A34453" w14:textId="77777777" w:rsidTr="00F4689A">
        <w:trPr>
          <w:trHeight w:val="545"/>
        </w:trPr>
        <w:tc>
          <w:tcPr>
            <w:tcW w:w="4787" w:type="dxa"/>
            <w:tcBorders>
              <w:top w:val="single" w:sz="4" w:space="0" w:color="auto"/>
              <w:left w:val="single" w:sz="4" w:space="0" w:color="auto"/>
              <w:bottom w:val="nil"/>
              <w:right w:val="single" w:sz="4" w:space="0" w:color="auto"/>
            </w:tcBorders>
          </w:tcPr>
          <w:p w14:paraId="4887358D" w14:textId="329C45DA" w:rsidR="00AA549A" w:rsidRPr="0072420E" w:rsidRDefault="0072420E" w:rsidP="00F4689A">
            <w:pPr>
              <w:autoSpaceDE w:val="0"/>
              <w:autoSpaceDN w:val="0"/>
              <w:adjustRightInd w:val="0"/>
              <w:spacing w:before="60" w:after="60" w:line="240" w:lineRule="auto"/>
              <w:rPr>
                <w:rFonts w:ascii="Times New Roman" w:hAnsi="Times New Roman"/>
                <w:b/>
              </w:rPr>
            </w:pPr>
            <w:r w:rsidRPr="0072420E">
              <w:rPr>
                <w:rFonts w:ascii="Times New Roman" w:hAnsi="Times New Roman"/>
                <w:b/>
              </w:rPr>
              <w:t>General</w:t>
            </w:r>
            <w:r>
              <w:rPr>
                <w:rFonts w:ascii="Times New Roman" w:hAnsi="Times New Roman"/>
                <w:b/>
              </w:rPr>
              <w:t xml:space="preserve"> Disorders a</w:t>
            </w:r>
            <w:r w:rsidRPr="0072420E">
              <w:rPr>
                <w:rFonts w:ascii="Times New Roman" w:hAnsi="Times New Roman"/>
                <w:b/>
              </w:rPr>
              <w:t>nd Administration Site Conditions</w:t>
            </w:r>
          </w:p>
          <w:p w14:paraId="061E474E" w14:textId="77777777" w:rsidR="00AA549A" w:rsidRPr="00880A4F" w:rsidRDefault="00AA549A" w:rsidP="00F4689A">
            <w:pPr>
              <w:autoSpaceDE w:val="0"/>
              <w:autoSpaceDN w:val="0"/>
              <w:adjustRightInd w:val="0"/>
              <w:spacing w:before="60" w:after="60" w:line="240" w:lineRule="auto"/>
              <w:rPr>
                <w:rFonts w:ascii="Times New Roman" w:hAnsi="Times New Roman"/>
                <w:b/>
              </w:rPr>
            </w:pPr>
            <w:r>
              <w:rPr>
                <w:rFonts w:ascii="Times New Roman" w:hAnsi="Times New Roman"/>
                <w:szCs w:val="28"/>
              </w:rPr>
              <w:t xml:space="preserve">     Chest Pain</w:t>
            </w:r>
          </w:p>
        </w:tc>
        <w:tc>
          <w:tcPr>
            <w:tcW w:w="1710" w:type="dxa"/>
            <w:tcBorders>
              <w:top w:val="single" w:sz="4" w:space="0" w:color="auto"/>
              <w:left w:val="single" w:sz="4" w:space="0" w:color="auto"/>
              <w:bottom w:val="nil"/>
              <w:right w:val="single" w:sz="4" w:space="0" w:color="auto"/>
            </w:tcBorders>
          </w:tcPr>
          <w:p w14:paraId="52A23016"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331B9109"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4397E654"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sidRPr="00880A4F">
              <w:rPr>
                <w:rFonts w:ascii="Times New Roman" w:hAnsi="Times New Roman"/>
              </w:rPr>
              <w:t>5 (2%)</w:t>
            </w:r>
          </w:p>
        </w:tc>
        <w:tc>
          <w:tcPr>
            <w:tcW w:w="1710" w:type="dxa"/>
            <w:tcBorders>
              <w:top w:val="single" w:sz="4" w:space="0" w:color="auto"/>
              <w:left w:val="single" w:sz="4" w:space="0" w:color="auto"/>
              <w:bottom w:val="nil"/>
              <w:right w:val="single" w:sz="4" w:space="0" w:color="auto"/>
            </w:tcBorders>
          </w:tcPr>
          <w:p w14:paraId="356BF91C"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0A4083C9"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680C7CF9"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sidRPr="00880A4F">
              <w:rPr>
                <w:rFonts w:ascii="Times New Roman" w:hAnsi="Times New Roman"/>
              </w:rPr>
              <w:t>10 (5%)</w:t>
            </w:r>
          </w:p>
        </w:tc>
        <w:tc>
          <w:tcPr>
            <w:tcW w:w="1711" w:type="dxa"/>
            <w:tcBorders>
              <w:top w:val="single" w:sz="4" w:space="0" w:color="auto"/>
              <w:left w:val="single" w:sz="4" w:space="0" w:color="auto"/>
              <w:bottom w:val="nil"/>
              <w:right w:val="single" w:sz="4" w:space="0" w:color="auto"/>
            </w:tcBorders>
          </w:tcPr>
          <w:p w14:paraId="42235D2F"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61BAB029"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5204F7CD"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sidRPr="00880A4F">
              <w:rPr>
                <w:rFonts w:ascii="Times New Roman" w:hAnsi="Times New Roman"/>
              </w:rPr>
              <w:t>5 (2%)</w:t>
            </w:r>
          </w:p>
        </w:tc>
      </w:tr>
      <w:tr w:rsidR="00AA549A" w:rsidRPr="00880A4F" w14:paraId="61B03810" w14:textId="77777777" w:rsidTr="00F4689A">
        <w:trPr>
          <w:trHeight w:val="537"/>
        </w:trPr>
        <w:tc>
          <w:tcPr>
            <w:tcW w:w="4787" w:type="dxa"/>
            <w:tcBorders>
              <w:top w:val="single" w:sz="4" w:space="0" w:color="auto"/>
              <w:left w:val="single" w:sz="4" w:space="0" w:color="auto"/>
              <w:bottom w:val="nil"/>
              <w:right w:val="single" w:sz="4" w:space="0" w:color="auto"/>
            </w:tcBorders>
          </w:tcPr>
          <w:p w14:paraId="4980D741" w14:textId="7B2E264E" w:rsidR="00AA549A" w:rsidRPr="0072420E" w:rsidRDefault="0072420E" w:rsidP="00F4689A">
            <w:pPr>
              <w:autoSpaceDE w:val="0"/>
              <w:autoSpaceDN w:val="0"/>
              <w:adjustRightInd w:val="0"/>
              <w:spacing w:before="60" w:after="60" w:line="240" w:lineRule="auto"/>
              <w:rPr>
                <w:rFonts w:ascii="Times New Roman" w:hAnsi="Times New Roman"/>
                <w:b/>
              </w:rPr>
            </w:pPr>
            <w:r w:rsidRPr="0072420E">
              <w:rPr>
                <w:rFonts w:ascii="Times New Roman" w:hAnsi="Times New Roman"/>
                <w:b/>
              </w:rPr>
              <w:t>Musculoskeletal</w:t>
            </w:r>
            <w:r w:rsidR="00AA549A" w:rsidRPr="0072420E">
              <w:rPr>
                <w:rFonts w:ascii="Times New Roman" w:hAnsi="Times New Roman"/>
                <w:b/>
              </w:rPr>
              <w:t xml:space="preserve"> </w:t>
            </w:r>
            <w:r w:rsidRPr="0072420E">
              <w:rPr>
                <w:rFonts w:ascii="Times New Roman" w:hAnsi="Times New Roman"/>
                <w:b/>
              </w:rPr>
              <w:t>and Connective Tissue Disorders</w:t>
            </w:r>
          </w:p>
          <w:p w14:paraId="6ECEADCE" w14:textId="77777777" w:rsidR="00AA549A"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Arthralgia</w:t>
            </w:r>
          </w:p>
          <w:p w14:paraId="09EEA5D6" w14:textId="77777777" w:rsidR="00AA549A"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Back pain</w:t>
            </w:r>
          </w:p>
          <w:p w14:paraId="235CA8BC" w14:textId="77777777" w:rsidR="00AA549A"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Musculoskeletal pain</w:t>
            </w:r>
          </w:p>
          <w:p w14:paraId="34C1EB4C" w14:textId="77777777" w:rsidR="00AA549A"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Myalgia</w:t>
            </w:r>
          </w:p>
          <w:p w14:paraId="0E6C8287" w14:textId="77777777" w:rsidR="00AA549A"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Neck pain</w:t>
            </w:r>
          </w:p>
          <w:p w14:paraId="73D82631" w14:textId="77777777" w:rsidR="00AA549A" w:rsidRPr="00F86487"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Pain in extremity</w:t>
            </w:r>
          </w:p>
        </w:tc>
        <w:tc>
          <w:tcPr>
            <w:tcW w:w="1710" w:type="dxa"/>
            <w:tcBorders>
              <w:top w:val="single" w:sz="4" w:space="0" w:color="auto"/>
              <w:left w:val="single" w:sz="4" w:space="0" w:color="auto"/>
              <w:bottom w:val="nil"/>
              <w:right w:val="single" w:sz="4" w:space="0" w:color="auto"/>
            </w:tcBorders>
          </w:tcPr>
          <w:p w14:paraId="463E2BFF"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5A2ABBC3"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347217C9" w14:textId="77777777" w:rsidR="00AA549A" w:rsidRDefault="00AA549A" w:rsidP="00F4689A">
            <w:pPr>
              <w:autoSpaceDE w:val="0"/>
              <w:autoSpaceDN w:val="0"/>
              <w:adjustRightInd w:val="0"/>
              <w:spacing w:before="60" w:after="60" w:line="240" w:lineRule="auto"/>
              <w:jc w:val="center"/>
              <w:rPr>
                <w:rFonts w:ascii="Times New Roman" w:hAnsi="Times New Roman"/>
              </w:rPr>
            </w:pPr>
            <w:r w:rsidRPr="00990347">
              <w:rPr>
                <w:rFonts w:ascii="Times New Roman" w:hAnsi="Times New Roman"/>
              </w:rPr>
              <w:t>9 (4%)</w:t>
            </w:r>
          </w:p>
          <w:p w14:paraId="18073BBC"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121 (58%)</w:t>
            </w:r>
          </w:p>
          <w:p w14:paraId="688B5A3C"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11 (5%)</w:t>
            </w:r>
          </w:p>
          <w:p w14:paraId="45119FD1"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6 (3%)</w:t>
            </w:r>
          </w:p>
          <w:p w14:paraId="502CDD9B"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17 (8%)</w:t>
            </w:r>
          </w:p>
          <w:p w14:paraId="643E647D"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37 (18%)</w:t>
            </w:r>
          </w:p>
        </w:tc>
        <w:tc>
          <w:tcPr>
            <w:tcW w:w="1710" w:type="dxa"/>
            <w:tcBorders>
              <w:top w:val="single" w:sz="4" w:space="0" w:color="auto"/>
              <w:left w:val="single" w:sz="4" w:space="0" w:color="auto"/>
              <w:bottom w:val="nil"/>
              <w:right w:val="single" w:sz="4" w:space="0" w:color="auto"/>
            </w:tcBorders>
          </w:tcPr>
          <w:p w14:paraId="48A1FFCD"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09DF4700"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55B37136" w14:textId="77777777" w:rsidR="00AA549A" w:rsidRDefault="00AA549A" w:rsidP="00F4689A">
            <w:pPr>
              <w:autoSpaceDE w:val="0"/>
              <w:autoSpaceDN w:val="0"/>
              <w:adjustRightInd w:val="0"/>
              <w:spacing w:before="60" w:after="60" w:line="240" w:lineRule="auto"/>
              <w:jc w:val="center"/>
              <w:rPr>
                <w:rFonts w:ascii="Times New Roman" w:hAnsi="Times New Roman"/>
              </w:rPr>
            </w:pPr>
            <w:r w:rsidRPr="00092D25">
              <w:rPr>
                <w:rFonts w:ascii="Times New Roman" w:hAnsi="Times New Roman"/>
              </w:rPr>
              <w:t>13 (6%)</w:t>
            </w:r>
          </w:p>
          <w:p w14:paraId="600B16E2" w14:textId="320D8E4E" w:rsidR="00AA549A" w:rsidRDefault="00621ED5"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12</w:t>
            </w:r>
            <w:r w:rsidR="00AA549A">
              <w:rPr>
                <w:rFonts w:ascii="Times New Roman" w:hAnsi="Times New Roman"/>
              </w:rPr>
              <w:t>5 (</w:t>
            </w:r>
            <w:r>
              <w:rPr>
                <w:rFonts w:ascii="Times New Roman" w:hAnsi="Times New Roman"/>
              </w:rPr>
              <w:t>60</w:t>
            </w:r>
            <w:r w:rsidR="00AA549A">
              <w:rPr>
                <w:rFonts w:ascii="Times New Roman" w:hAnsi="Times New Roman"/>
              </w:rPr>
              <w:t>%)</w:t>
            </w:r>
          </w:p>
          <w:p w14:paraId="2479B604" w14:textId="35F7E644" w:rsidR="00AA549A" w:rsidRDefault="00621ED5"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5 (2</w:t>
            </w:r>
            <w:r w:rsidR="00AA549A">
              <w:rPr>
                <w:rFonts w:ascii="Times New Roman" w:hAnsi="Times New Roman"/>
              </w:rPr>
              <w:t>%)</w:t>
            </w:r>
          </w:p>
          <w:p w14:paraId="6C489017"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10 (5%)</w:t>
            </w:r>
          </w:p>
          <w:p w14:paraId="36CCBDFD"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10 (5%)</w:t>
            </w:r>
          </w:p>
          <w:p w14:paraId="67A161A8"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35 (17%)</w:t>
            </w:r>
          </w:p>
        </w:tc>
        <w:tc>
          <w:tcPr>
            <w:tcW w:w="1711" w:type="dxa"/>
            <w:tcBorders>
              <w:top w:val="single" w:sz="4" w:space="0" w:color="auto"/>
              <w:left w:val="single" w:sz="4" w:space="0" w:color="auto"/>
              <w:bottom w:val="nil"/>
              <w:right w:val="single" w:sz="4" w:space="0" w:color="auto"/>
            </w:tcBorders>
          </w:tcPr>
          <w:p w14:paraId="352C6690"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036777CF"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336BFD58" w14:textId="77777777" w:rsidR="00AA549A" w:rsidRDefault="00AA549A" w:rsidP="00F4689A">
            <w:pPr>
              <w:autoSpaceDE w:val="0"/>
              <w:autoSpaceDN w:val="0"/>
              <w:adjustRightInd w:val="0"/>
              <w:spacing w:before="60" w:after="60" w:line="240" w:lineRule="auto"/>
              <w:jc w:val="center"/>
              <w:rPr>
                <w:rFonts w:ascii="Times New Roman" w:hAnsi="Times New Roman"/>
              </w:rPr>
            </w:pPr>
            <w:r w:rsidRPr="003C1B77">
              <w:rPr>
                <w:rFonts w:ascii="Times New Roman" w:hAnsi="Times New Roman"/>
              </w:rPr>
              <w:t>11 (5%)</w:t>
            </w:r>
          </w:p>
          <w:p w14:paraId="50E2D4D6"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113 (55%)</w:t>
            </w:r>
          </w:p>
          <w:p w14:paraId="290BF49A"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5 (2%)</w:t>
            </w:r>
          </w:p>
          <w:p w14:paraId="4AB39023"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4 (2%)</w:t>
            </w:r>
          </w:p>
          <w:p w14:paraId="65AD6089" w14:textId="77777777" w:rsidR="00AA549A"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18 (9%)</w:t>
            </w:r>
          </w:p>
          <w:p w14:paraId="475D4F18" w14:textId="77777777" w:rsidR="00AA549A" w:rsidRPr="00880A4F" w:rsidRDefault="00AA549A"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32 (15%)</w:t>
            </w:r>
          </w:p>
        </w:tc>
      </w:tr>
      <w:tr w:rsidR="00AA549A" w:rsidRPr="00880A4F" w14:paraId="2FE4DCED" w14:textId="77777777" w:rsidTr="00F4689A">
        <w:trPr>
          <w:trHeight w:val="276"/>
        </w:trPr>
        <w:tc>
          <w:tcPr>
            <w:tcW w:w="4787" w:type="dxa"/>
            <w:tcBorders>
              <w:top w:val="single" w:sz="4" w:space="0" w:color="auto"/>
              <w:left w:val="single" w:sz="4" w:space="0" w:color="auto"/>
              <w:bottom w:val="single" w:sz="4" w:space="0" w:color="auto"/>
              <w:right w:val="single" w:sz="4" w:space="0" w:color="auto"/>
            </w:tcBorders>
          </w:tcPr>
          <w:p w14:paraId="4063B0AE" w14:textId="68E75F03" w:rsidR="00AA549A" w:rsidRPr="0072420E" w:rsidRDefault="0072420E" w:rsidP="00F4689A">
            <w:pPr>
              <w:autoSpaceDE w:val="0"/>
              <w:autoSpaceDN w:val="0"/>
              <w:adjustRightInd w:val="0"/>
              <w:spacing w:before="60" w:after="60" w:line="240" w:lineRule="auto"/>
              <w:rPr>
                <w:rFonts w:ascii="Times New Roman" w:hAnsi="Times New Roman"/>
                <w:b/>
              </w:rPr>
            </w:pPr>
            <w:r w:rsidRPr="0072420E">
              <w:rPr>
                <w:rFonts w:ascii="Times New Roman" w:hAnsi="Times New Roman"/>
                <w:b/>
              </w:rPr>
              <w:t>Nervous System Disorders</w:t>
            </w:r>
          </w:p>
          <w:p w14:paraId="4B7DC825" w14:textId="77777777" w:rsidR="00AA549A" w:rsidRPr="00F86487" w:rsidRDefault="00AA549A"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Headache</w:t>
            </w:r>
          </w:p>
        </w:tc>
        <w:tc>
          <w:tcPr>
            <w:tcW w:w="1710" w:type="dxa"/>
            <w:tcBorders>
              <w:top w:val="single" w:sz="4" w:space="0" w:color="auto"/>
              <w:left w:val="single" w:sz="4" w:space="0" w:color="auto"/>
              <w:bottom w:val="single" w:sz="4" w:space="0" w:color="auto"/>
              <w:right w:val="single" w:sz="4" w:space="0" w:color="auto"/>
            </w:tcBorders>
          </w:tcPr>
          <w:p w14:paraId="3374117A"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06CF4D97" w14:textId="77777777" w:rsidR="00AA549A" w:rsidRPr="006A648B" w:rsidRDefault="00AA549A" w:rsidP="00F4689A">
            <w:pPr>
              <w:autoSpaceDE w:val="0"/>
              <w:autoSpaceDN w:val="0"/>
              <w:adjustRightInd w:val="0"/>
              <w:spacing w:before="60" w:after="60" w:line="240" w:lineRule="auto"/>
              <w:jc w:val="center"/>
              <w:rPr>
                <w:rFonts w:ascii="Times New Roman" w:hAnsi="Times New Roman"/>
                <w:highlight w:val="yellow"/>
              </w:rPr>
            </w:pPr>
            <w:r w:rsidRPr="0006295A">
              <w:rPr>
                <w:rFonts w:ascii="Times New Roman" w:hAnsi="Times New Roman"/>
              </w:rPr>
              <w:t>74 (36%)</w:t>
            </w:r>
          </w:p>
        </w:tc>
        <w:tc>
          <w:tcPr>
            <w:tcW w:w="1710" w:type="dxa"/>
            <w:tcBorders>
              <w:top w:val="single" w:sz="4" w:space="0" w:color="auto"/>
              <w:left w:val="single" w:sz="4" w:space="0" w:color="auto"/>
              <w:bottom w:val="single" w:sz="4" w:space="0" w:color="auto"/>
              <w:right w:val="single" w:sz="4" w:space="0" w:color="auto"/>
            </w:tcBorders>
          </w:tcPr>
          <w:p w14:paraId="59E04C48"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0CDB495D" w14:textId="77777777" w:rsidR="00AA549A" w:rsidRPr="006A648B" w:rsidRDefault="00AA549A" w:rsidP="00F4689A">
            <w:pPr>
              <w:autoSpaceDE w:val="0"/>
              <w:autoSpaceDN w:val="0"/>
              <w:adjustRightInd w:val="0"/>
              <w:spacing w:before="60" w:after="60" w:line="240" w:lineRule="auto"/>
              <w:jc w:val="center"/>
              <w:rPr>
                <w:rFonts w:ascii="Times New Roman" w:hAnsi="Times New Roman"/>
                <w:highlight w:val="yellow"/>
              </w:rPr>
            </w:pPr>
            <w:r w:rsidRPr="001F5F92">
              <w:rPr>
                <w:rFonts w:ascii="Times New Roman" w:hAnsi="Times New Roman"/>
              </w:rPr>
              <w:t>76 (37%)</w:t>
            </w:r>
          </w:p>
        </w:tc>
        <w:tc>
          <w:tcPr>
            <w:tcW w:w="1711" w:type="dxa"/>
            <w:tcBorders>
              <w:top w:val="single" w:sz="4" w:space="0" w:color="auto"/>
              <w:left w:val="single" w:sz="4" w:space="0" w:color="auto"/>
              <w:bottom w:val="single" w:sz="4" w:space="0" w:color="auto"/>
              <w:right w:val="single" w:sz="4" w:space="0" w:color="auto"/>
            </w:tcBorders>
          </w:tcPr>
          <w:p w14:paraId="539A3B24" w14:textId="77777777" w:rsidR="00AA549A" w:rsidRDefault="00AA549A" w:rsidP="00F4689A">
            <w:pPr>
              <w:autoSpaceDE w:val="0"/>
              <w:autoSpaceDN w:val="0"/>
              <w:adjustRightInd w:val="0"/>
              <w:spacing w:before="60" w:after="60" w:line="240" w:lineRule="auto"/>
              <w:jc w:val="center"/>
              <w:rPr>
                <w:rFonts w:ascii="Times New Roman" w:hAnsi="Times New Roman"/>
              </w:rPr>
            </w:pPr>
          </w:p>
          <w:p w14:paraId="5EDBC36C" w14:textId="77777777" w:rsidR="00AA549A" w:rsidRPr="006A648B" w:rsidRDefault="00AA549A" w:rsidP="00F4689A">
            <w:pPr>
              <w:autoSpaceDE w:val="0"/>
              <w:autoSpaceDN w:val="0"/>
              <w:adjustRightInd w:val="0"/>
              <w:spacing w:before="60" w:after="60" w:line="240" w:lineRule="auto"/>
              <w:jc w:val="center"/>
              <w:rPr>
                <w:rFonts w:ascii="Times New Roman" w:hAnsi="Times New Roman"/>
                <w:highlight w:val="yellow"/>
              </w:rPr>
            </w:pPr>
            <w:r w:rsidRPr="00304524">
              <w:rPr>
                <w:rFonts w:ascii="Times New Roman" w:hAnsi="Times New Roman"/>
              </w:rPr>
              <w:t>72 (35%)</w:t>
            </w:r>
          </w:p>
        </w:tc>
      </w:tr>
    </w:tbl>
    <w:bookmarkEnd w:id="0"/>
    <w:p w14:paraId="63669567" w14:textId="10A30DA8" w:rsidR="00AA549A" w:rsidRDefault="00AA549A" w:rsidP="00AA549A">
      <w:pPr>
        <w:autoSpaceDE w:val="0"/>
        <w:autoSpaceDN w:val="0"/>
        <w:adjustRightInd w:val="0"/>
        <w:spacing w:after="0" w:line="240" w:lineRule="auto"/>
        <w:jc w:val="both"/>
        <w:rPr>
          <w:rFonts w:ascii="Times New Roman" w:hAnsi="Times New Roman"/>
          <w:sz w:val="18"/>
          <w:szCs w:val="28"/>
        </w:rPr>
      </w:pPr>
      <w:r w:rsidRPr="00AA549A">
        <w:rPr>
          <w:rFonts w:ascii="Times New Roman" w:hAnsi="Times New Roman"/>
          <w:sz w:val="18"/>
          <w:szCs w:val="28"/>
        </w:rPr>
        <w:t>N = number of subjects exposed; n = number of subjects that experienced the AE; TEAE = treatment-emergent; AE; the percentage represents the number of subjects as a % of the total number of subjects (n/N).</w:t>
      </w:r>
      <w:r>
        <w:rPr>
          <w:rFonts w:ascii="Times New Roman" w:hAnsi="Times New Roman"/>
          <w:sz w:val="18"/>
          <w:szCs w:val="28"/>
        </w:rPr>
        <w:t xml:space="preserve"> </w:t>
      </w:r>
      <w:r w:rsidRPr="00AA549A">
        <w:rPr>
          <w:rFonts w:ascii="Times New Roman" w:hAnsi="Times New Roman"/>
          <w:sz w:val="18"/>
          <w:szCs w:val="28"/>
        </w:rPr>
        <w:t>Adverse events are classified according to Medical Dictionary for Regulatory Activities (MedDRA) Version 17.1. TEAEs are assigned to the most recent treatment received at the start of the event or start of worsening of the event. TEAEs with a classified relationship to study drug of 'possibly', 'probably' or 'definitely'</w:t>
      </w:r>
      <w:r w:rsidRPr="00F86487">
        <w:rPr>
          <w:rFonts w:ascii="Times New Roman" w:hAnsi="Times New Roman"/>
          <w:sz w:val="18"/>
          <w:szCs w:val="28"/>
        </w:rPr>
        <w:t xml:space="preserve"> are categorized as related within this table.</w:t>
      </w:r>
    </w:p>
    <w:p w14:paraId="5A4F8D98" w14:textId="77777777" w:rsidR="00AA549A" w:rsidRPr="00F86487" w:rsidRDefault="00AA549A" w:rsidP="00AA549A">
      <w:pPr>
        <w:autoSpaceDE w:val="0"/>
        <w:autoSpaceDN w:val="0"/>
        <w:adjustRightInd w:val="0"/>
        <w:spacing w:after="0" w:line="240" w:lineRule="auto"/>
        <w:jc w:val="both"/>
        <w:rPr>
          <w:rFonts w:ascii="Times New Roman" w:hAnsi="Times New Roman"/>
          <w:sz w:val="18"/>
          <w:szCs w:val="28"/>
        </w:rPr>
      </w:pPr>
    </w:p>
    <w:p w14:paraId="66217F22" w14:textId="349DA28C" w:rsidR="00AA549A" w:rsidRDefault="00AA549A" w:rsidP="00AA549A">
      <w:pPr>
        <w:pStyle w:val="Bodyofcontents"/>
      </w:pPr>
      <w:r>
        <w:t xml:space="preserve">During the exploratory study MYL-1401H-1002 in healthy volunteers to evaluate immunogenicity and safety, the </w:t>
      </w:r>
      <w:r w:rsidRPr="00D41160">
        <w:t>safety profile</w:t>
      </w:r>
      <w:r>
        <w:t xml:space="preserve"> of Fulphila</w:t>
      </w:r>
      <w:r w:rsidRPr="00D41160">
        <w:t>, including immunogenicity, was</w:t>
      </w:r>
      <w:r>
        <w:t xml:space="preserve"> </w:t>
      </w:r>
      <w:r w:rsidRPr="00D41160">
        <w:t xml:space="preserve">similar to </w:t>
      </w:r>
      <w:r>
        <w:t xml:space="preserve">that of </w:t>
      </w:r>
      <w:r w:rsidRPr="00D41160">
        <w:t>Neulasta</w:t>
      </w:r>
      <w:r>
        <w:t>. Summary of related TEAEs in at least 10% subjects is provided in Table 5.</w:t>
      </w:r>
    </w:p>
    <w:p w14:paraId="1E71A017" w14:textId="751676EC" w:rsidR="001A7651" w:rsidRDefault="001A7651" w:rsidP="00AA549A">
      <w:pPr>
        <w:pStyle w:val="Bodyofcontents"/>
      </w:pPr>
    </w:p>
    <w:p w14:paraId="79DD3304" w14:textId="5A2D8049" w:rsidR="001A7651" w:rsidRDefault="001A7651" w:rsidP="00AA549A">
      <w:pPr>
        <w:pStyle w:val="Bodyofcontents"/>
      </w:pPr>
    </w:p>
    <w:p w14:paraId="1E9F5706" w14:textId="77777777" w:rsidR="001A7651" w:rsidRDefault="001A7651" w:rsidP="00AA549A">
      <w:pPr>
        <w:pStyle w:val="Bodyofcontents"/>
      </w:pPr>
    </w:p>
    <w:p w14:paraId="2E172F91" w14:textId="77777777" w:rsidR="00AA549A" w:rsidRPr="00D41160" w:rsidRDefault="00AA549A" w:rsidP="00AA549A">
      <w:pPr>
        <w:pStyle w:val="Bodyofcontents"/>
        <w:ind w:left="826" w:hanging="826"/>
        <w:rPr>
          <w:b/>
        </w:rPr>
      </w:pPr>
      <w:bookmarkStart w:id="1" w:name="_Ref448906448"/>
      <w:bookmarkStart w:id="2" w:name="_Toc496967143"/>
      <w:r w:rsidRPr="00D41160">
        <w:rPr>
          <w:b/>
        </w:rPr>
        <w:t>Table</w:t>
      </w:r>
      <w:bookmarkEnd w:id="1"/>
      <w:r w:rsidRPr="00D41160">
        <w:rPr>
          <w:b/>
        </w:rPr>
        <w:t xml:space="preserve"> </w:t>
      </w:r>
      <w:r>
        <w:rPr>
          <w:b/>
        </w:rPr>
        <w:t>5</w:t>
      </w:r>
      <w:r w:rsidRPr="00D41160">
        <w:rPr>
          <w:b/>
        </w:rPr>
        <w:t xml:space="preserve">: Summary of Related Treatment-Emergent Adverse Events Occurring in at </w:t>
      </w:r>
      <w:r>
        <w:rPr>
          <w:b/>
        </w:rPr>
        <w:t>l</w:t>
      </w:r>
      <w:r w:rsidRPr="00D41160">
        <w:rPr>
          <w:b/>
        </w:rPr>
        <w:t xml:space="preserve">east </w:t>
      </w:r>
      <w:r>
        <w:rPr>
          <w:b/>
        </w:rPr>
        <w:t>10</w:t>
      </w:r>
      <w:r w:rsidRPr="00D41160">
        <w:rPr>
          <w:b/>
        </w:rPr>
        <w:t>% Subjects in Either Treatment Group by System Organ Class and Preferred Term (MYL</w:t>
      </w:r>
      <w:r w:rsidRPr="00D41160">
        <w:rPr>
          <w:b/>
        </w:rPr>
        <w:noBreakHyphen/>
        <w:t>1401H</w:t>
      </w:r>
      <w:r w:rsidRPr="00D41160">
        <w:rPr>
          <w:b/>
        </w:rPr>
        <w:noBreakHyphen/>
        <w:t>1002; Safety Population)</w:t>
      </w:r>
      <w:bookmarkEnd w:id="2"/>
    </w:p>
    <w:tbl>
      <w:tblPr>
        <w:tblStyle w:val="TableGrid"/>
        <w:tblW w:w="9918" w:type="dxa"/>
        <w:tblLayout w:type="fixed"/>
        <w:tblLook w:val="04A0" w:firstRow="1" w:lastRow="0" w:firstColumn="1" w:lastColumn="0" w:noHBand="0" w:noVBand="1"/>
      </w:tblPr>
      <w:tblGrid>
        <w:gridCol w:w="5665"/>
        <w:gridCol w:w="2126"/>
        <w:gridCol w:w="2127"/>
      </w:tblGrid>
      <w:tr w:rsidR="00AA549A" w:rsidRPr="00880A4F" w14:paraId="0E8537E7" w14:textId="77777777" w:rsidTr="0072420E">
        <w:trPr>
          <w:trHeight w:val="546"/>
        </w:trPr>
        <w:tc>
          <w:tcPr>
            <w:tcW w:w="5665" w:type="dxa"/>
            <w:vAlign w:val="center"/>
          </w:tcPr>
          <w:p w14:paraId="10D335C0" w14:textId="1D34DF6C" w:rsidR="00AA549A" w:rsidRPr="00880A4F" w:rsidRDefault="00AA549A" w:rsidP="0072420E">
            <w:pPr>
              <w:autoSpaceDE w:val="0"/>
              <w:autoSpaceDN w:val="0"/>
              <w:adjustRightInd w:val="0"/>
              <w:spacing w:before="60" w:after="60" w:line="240" w:lineRule="auto"/>
              <w:rPr>
                <w:rFonts w:ascii="Times New Roman" w:hAnsi="Times New Roman"/>
                <w:b/>
              </w:rPr>
            </w:pPr>
            <w:r w:rsidRPr="00880A4F">
              <w:rPr>
                <w:rFonts w:ascii="Times New Roman" w:hAnsi="Times New Roman"/>
                <w:b/>
              </w:rPr>
              <w:t>System Organ Class / Preferred Term</w:t>
            </w:r>
          </w:p>
        </w:tc>
        <w:tc>
          <w:tcPr>
            <w:tcW w:w="2126" w:type="dxa"/>
            <w:vAlign w:val="center"/>
          </w:tcPr>
          <w:p w14:paraId="11C1BCC7"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Fulphila</w:t>
            </w:r>
          </w:p>
          <w:p w14:paraId="5073D058" w14:textId="34C13EF2" w:rsidR="00AA549A"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(N=25</w:t>
            </w:r>
            <w:r w:rsidRPr="00880A4F">
              <w:rPr>
                <w:rFonts w:ascii="Times New Roman" w:hAnsi="Times New Roman"/>
                <w:b/>
              </w:rPr>
              <w:t>)</w:t>
            </w:r>
          </w:p>
          <w:p w14:paraId="060CA6B3"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c>
          <w:tcPr>
            <w:tcW w:w="2127" w:type="dxa"/>
            <w:vAlign w:val="center"/>
          </w:tcPr>
          <w:p w14:paraId="2356F6A2" w14:textId="77777777" w:rsidR="00C43420"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US-Neulasta</w:t>
            </w:r>
          </w:p>
          <w:p w14:paraId="1FF0DD2A" w14:textId="49989B63" w:rsidR="00AA549A"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(N=25</w:t>
            </w:r>
            <w:r w:rsidRPr="00880A4F">
              <w:rPr>
                <w:rFonts w:ascii="Times New Roman" w:hAnsi="Times New Roman"/>
                <w:b/>
              </w:rPr>
              <w:t>)</w:t>
            </w:r>
          </w:p>
          <w:p w14:paraId="7661519F" w14:textId="77777777" w:rsidR="00AA549A" w:rsidRPr="00880A4F" w:rsidRDefault="00AA549A"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r>
      <w:tr w:rsidR="00AA549A" w:rsidRPr="00880A4F" w14:paraId="02048E7F" w14:textId="77777777" w:rsidTr="0072420E">
        <w:trPr>
          <w:trHeight w:val="545"/>
        </w:trPr>
        <w:tc>
          <w:tcPr>
            <w:tcW w:w="5665" w:type="dxa"/>
            <w:tcBorders>
              <w:top w:val="single" w:sz="4" w:space="0" w:color="auto"/>
              <w:left w:val="single" w:sz="4" w:space="0" w:color="auto"/>
              <w:bottom w:val="nil"/>
              <w:right w:val="single" w:sz="4" w:space="0" w:color="auto"/>
            </w:tcBorders>
          </w:tcPr>
          <w:p w14:paraId="3BF9F82A" w14:textId="77777777" w:rsidR="0072420E" w:rsidRPr="0072420E" w:rsidRDefault="0072420E" w:rsidP="0072420E">
            <w:pPr>
              <w:autoSpaceDE w:val="0"/>
              <w:autoSpaceDN w:val="0"/>
              <w:adjustRightInd w:val="0"/>
              <w:spacing w:before="60" w:after="60" w:line="240" w:lineRule="auto"/>
              <w:rPr>
                <w:rFonts w:ascii="Times New Roman" w:hAnsi="Times New Roman"/>
                <w:b/>
              </w:rPr>
            </w:pPr>
            <w:r w:rsidRPr="0072420E">
              <w:rPr>
                <w:rFonts w:ascii="Times New Roman" w:hAnsi="Times New Roman"/>
                <w:b/>
              </w:rPr>
              <w:t>Musculoskeletal and Connective Tissue Disorders</w:t>
            </w:r>
          </w:p>
          <w:p w14:paraId="29207EEF" w14:textId="77777777"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Back pain </w:t>
            </w:r>
          </w:p>
          <w:p w14:paraId="36AF538B" w14:textId="579B7E84"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Myalgia </w:t>
            </w:r>
          </w:p>
          <w:p w14:paraId="7488961C" w14:textId="05DE59AC"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Pain in extremity </w:t>
            </w:r>
          </w:p>
          <w:p w14:paraId="0A13B48B" w14:textId="77777777"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Neck pain</w:t>
            </w:r>
          </w:p>
          <w:p w14:paraId="0470D49D" w14:textId="77777777"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Musculoskeletal pain</w:t>
            </w:r>
          </w:p>
          <w:p w14:paraId="0D150A64" w14:textId="1B8D00EC"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Musculoskeletal stiffness</w:t>
            </w:r>
          </w:p>
          <w:p w14:paraId="49719CC7" w14:textId="1907EDE4" w:rsidR="00AA549A" w:rsidRPr="00880A4F" w:rsidRDefault="00AA549A" w:rsidP="00AA549A">
            <w:pPr>
              <w:autoSpaceDE w:val="0"/>
              <w:autoSpaceDN w:val="0"/>
              <w:adjustRightInd w:val="0"/>
              <w:spacing w:before="60" w:after="60" w:line="240" w:lineRule="auto"/>
              <w:rPr>
                <w:rFonts w:ascii="Times New Roman" w:hAnsi="Times New Roman"/>
                <w:b/>
              </w:rPr>
            </w:pPr>
            <w:r>
              <w:rPr>
                <w:rFonts w:ascii="Times New Roman" w:hAnsi="Times New Roman"/>
              </w:rPr>
              <w:t xml:space="preserve">     Arthralgia     </w:t>
            </w:r>
          </w:p>
        </w:tc>
        <w:tc>
          <w:tcPr>
            <w:tcW w:w="2126" w:type="dxa"/>
            <w:tcBorders>
              <w:top w:val="single" w:sz="4" w:space="0" w:color="auto"/>
              <w:left w:val="single" w:sz="4" w:space="0" w:color="auto"/>
              <w:bottom w:val="nil"/>
              <w:right w:val="single" w:sz="4" w:space="0" w:color="auto"/>
            </w:tcBorders>
          </w:tcPr>
          <w:p w14:paraId="0BA14876"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2C4FB1AC" w14:textId="32698389"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 xml:space="preserve">18 </w:t>
            </w:r>
            <w:r w:rsidRPr="00990347">
              <w:rPr>
                <w:rFonts w:ascii="Times New Roman" w:hAnsi="Times New Roman"/>
              </w:rPr>
              <w:t>(</w:t>
            </w:r>
            <w:r>
              <w:rPr>
                <w:rFonts w:ascii="Times New Roman" w:hAnsi="Times New Roman"/>
              </w:rPr>
              <w:t>72</w:t>
            </w:r>
            <w:r w:rsidRPr="00990347">
              <w:rPr>
                <w:rFonts w:ascii="Times New Roman" w:hAnsi="Times New Roman"/>
              </w:rPr>
              <w:t>%)</w:t>
            </w:r>
          </w:p>
          <w:p w14:paraId="085FEC6E" w14:textId="1CBD7C31"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7 (</w:t>
            </w:r>
            <w:r w:rsidR="00F4689A">
              <w:rPr>
                <w:rFonts w:ascii="Times New Roman" w:hAnsi="Times New Roman"/>
              </w:rPr>
              <w:t>2</w:t>
            </w:r>
            <w:r>
              <w:rPr>
                <w:rFonts w:ascii="Times New Roman" w:hAnsi="Times New Roman"/>
              </w:rPr>
              <w:t>8%)</w:t>
            </w:r>
          </w:p>
          <w:p w14:paraId="62FDDC60" w14:textId="0EC651F1"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4 (16%)</w:t>
            </w:r>
          </w:p>
          <w:p w14:paraId="3FFC335B" w14:textId="13E4138B"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p w14:paraId="494AF3CA" w14:textId="3F545C2C"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p w14:paraId="40E82C7E" w14:textId="77777777"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2 (8%)</w:t>
            </w:r>
          </w:p>
          <w:p w14:paraId="5E3C8CBB" w14:textId="17FEBCEE" w:rsidR="00AA549A" w:rsidRPr="00880A4F"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2 (8%)</w:t>
            </w:r>
          </w:p>
        </w:tc>
        <w:tc>
          <w:tcPr>
            <w:tcW w:w="2127" w:type="dxa"/>
            <w:tcBorders>
              <w:top w:val="single" w:sz="4" w:space="0" w:color="auto"/>
              <w:left w:val="single" w:sz="4" w:space="0" w:color="auto"/>
              <w:bottom w:val="nil"/>
              <w:right w:val="single" w:sz="4" w:space="0" w:color="auto"/>
            </w:tcBorders>
          </w:tcPr>
          <w:p w14:paraId="6E906287"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13CF2724" w14:textId="107FBC46"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22</w:t>
            </w:r>
            <w:r w:rsidRPr="003C1B77">
              <w:rPr>
                <w:rFonts w:ascii="Times New Roman" w:hAnsi="Times New Roman"/>
              </w:rPr>
              <w:t xml:space="preserve"> (</w:t>
            </w:r>
            <w:r>
              <w:rPr>
                <w:rFonts w:ascii="Times New Roman" w:hAnsi="Times New Roman"/>
              </w:rPr>
              <w:t>88</w:t>
            </w:r>
            <w:r w:rsidRPr="003C1B77">
              <w:rPr>
                <w:rFonts w:ascii="Times New Roman" w:hAnsi="Times New Roman"/>
              </w:rPr>
              <w:t>%)</w:t>
            </w:r>
          </w:p>
          <w:p w14:paraId="0D1D480E" w14:textId="6F399CD5"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p w14:paraId="3761E880" w14:textId="0CACD95A"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6 (24%)</w:t>
            </w:r>
          </w:p>
          <w:p w14:paraId="42213ECE" w14:textId="1FD0DCC2"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4 (16%)</w:t>
            </w:r>
          </w:p>
          <w:p w14:paraId="1073498B" w14:textId="156EFD79"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p w14:paraId="444EBA09" w14:textId="77777777"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4 (16%)</w:t>
            </w:r>
          </w:p>
          <w:p w14:paraId="27EB1EAD" w14:textId="2FA039DA" w:rsidR="00AA549A" w:rsidRPr="00880A4F"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tc>
      </w:tr>
      <w:tr w:rsidR="00AA549A" w:rsidRPr="00880A4F" w14:paraId="1EF46CBB" w14:textId="77777777" w:rsidTr="0072420E">
        <w:trPr>
          <w:trHeight w:val="537"/>
        </w:trPr>
        <w:tc>
          <w:tcPr>
            <w:tcW w:w="5665" w:type="dxa"/>
            <w:tcBorders>
              <w:top w:val="single" w:sz="4" w:space="0" w:color="auto"/>
              <w:left w:val="single" w:sz="4" w:space="0" w:color="auto"/>
              <w:bottom w:val="nil"/>
              <w:right w:val="single" w:sz="4" w:space="0" w:color="auto"/>
            </w:tcBorders>
          </w:tcPr>
          <w:p w14:paraId="375243F6" w14:textId="2CEB2708" w:rsidR="00AA549A" w:rsidRPr="0072420E" w:rsidRDefault="0072420E" w:rsidP="00AA549A">
            <w:pPr>
              <w:autoSpaceDE w:val="0"/>
              <w:autoSpaceDN w:val="0"/>
              <w:adjustRightInd w:val="0"/>
              <w:spacing w:before="60" w:after="60" w:line="240" w:lineRule="auto"/>
              <w:rPr>
                <w:rFonts w:ascii="Times New Roman" w:hAnsi="Times New Roman"/>
                <w:b/>
              </w:rPr>
            </w:pPr>
            <w:r w:rsidRPr="0072420E">
              <w:rPr>
                <w:rFonts w:ascii="Times New Roman" w:hAnsi="Times New Roman"/>
                <w:b/>
              </w:rPr>
              <w:t>Nervous System Disorders</w:t>
            </w:r>
          </w:p>
          <w:p w14:paraId="64C2F627" w14:textId="77777777" w:rsidR="00AA549A"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Headache</w:t>
            </w:r>
          </w:p>
          <w:p w14:paraId="6D8A5A29" w14:textId="7815B752" w:rsidR="00AA549A" w:rsidRPr="00F86487"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Dizziness</w:t>
            </w:r>
          </w:p>
        </w:tc>
        <w:tc>
          <w:tcPr>
            <w:tcW w:w="2126" w:type="dxa"/>
            <w:tcBorders>
              <w:top w:val="single" w:sz="4" w:space="0" w:color="auto"/>
              <w:left w:val="single" w:sz="4" w:space="0" w:color="auto"/>
              <w:bottom w:val="nil"/>
              <w:right w:val="single" w:sz="4" w:space="0" w:color="auto"/>
            </w:tcBorders>
          </w:tcPr>
          <w:p w14:paraId="038D0DC0"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4771EFF1" w14:textId="77777777"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1</w:t>
            </w:r>
            <w:r w:rsidRPr="0006295A">
              <w:rPr>
                <w:rFonts w:ascii="Times New Roman" w:hAnsi="Times New Roman"/>
              </w:rPr>
              <w:t>7 (6</w:t>
            </w:r>
            <w:r>
              <w:rPr>
                <w:rFonts w:ascii="Times New Roman" w:hAnsi="Times New Roman"/>
              </w:rPr>
              <w:t>8%</w:t>
            </w:r>
            <w:r w:rsidRPr="0006295A">
              <w:rPr>
                <w:rFonts w:ascii="Times New Roman" w:hAnsi="Times New Roman"/>
              </w:rPr>
              <w:t>)</w:t>
            </w:r>
          </w:p>
          <w:p w14:paraId="0A675970" w14:textId="7A34BE57" w:rsidR="00AA549A" w:rsidRPr="00880A4F"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c>
          <w:tcPr>
            <w:tcW w:w="2127" w:type="dxa"/>
            <w:tcBorders>
              <w:top w:val="single" w:sz="4" w:space="0" w:color="auto"/>
              <w:left w:val="single" w:sz="4" w:space="0" w:color="auto"/>
              <w:bottom w:val="nil"/>
              <w:right w:val="single" w:sz="4" w:space="0" w:color="auto"/>
            </w:tcBorders>
          </w:tcPr>
          <w:p w14:paraId="421579FD"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0205B0E5" w14:textId="77777777" w:rsidR="00AA549A"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18</w:t>
            </w:r>
            <w:r w:rsidRPr="00304524">
              <w:rPr>
                <w:rFonts w:ascii="Times New Roman" w:hAnsi="Times New Roman"/>
              </w:rPr>
              <w:t xml:space="preserve"> (</w:t>
            </w:r>
            <w:r>
              <w:rPr>
                <w:rFonts w:ascii="Times New Roman" w:hAnsi="Times New Roman"/>
              </w:rPr>
              <w:t>72</w:t>
            </w:r>
            <w:r w:rsidRPr="00304524">
              <w:rPr>
                <w:rFonts w:ascii="Times New Roman" w:hAnsi="Times New Roman"/>
              </w:rPr>
              <w:t>%)</w:t>
            </w:r>
          </w:p>
          <w:p w14:paraId="208810AC" w14:textId="67D401A9" w:rsidR="00AA549A" w:rsidRPr="00880A4F" w:rsidRDefault="00AA549A"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tc>
      </w:tr>
      <w:tr w:rsidR="00AA549A" w:rsidRPr="00880A4F" w14:paraId="1510D4C1" w14:textId="77777777" w:rsidTr="0072420E">
        <w:trPr>
          <w:trHeight w:val="537"/>
        </w:trPr>
        <w:tc>
          <w:tcPr>
            <w:tcW w:w="5665" w:type="dxa"/>
            <w:tcBorders>
              <w:top w:val="single" w:sz="4" w:space="0" w:color="auto"/>
              <w:left w:val="single" w:sz="4" w:space="0" w:color="auto"/>
              <w:bottom w:val="nil"/>
              <w:right w:val="single" w:sz="4" w:space="0" w:color="auto"/>
            </w:tcBorders>
          </w:tcPr>
          <w:p w14:paraId="3C1904F8" w14:textId="0E6BBF00" w:rsidR="00AA549A" w:rsidRPr="0072420E" w:rsidRDefault="0072420E" w:rsidP="00AA549A">
            <w:pPr>
              <w:autoSpaceDE w:val="0"/>
              <w:autoSpaceDN w:val="0"/>
              <w:adjustRightInd w:val="0"/>
              <w:spacing w:before="60" w:after="60" w:line="240" w:lineRule="auto"/>
              <w:rPr>
                <w:rFonts w:ascii="Times New Roman" w:hAnsi="Times New Roman"/>
                <w:b/>
                <w:szCs w:val="28"/>
              </w:rPr>
            </w:pPr>
            <w:r>
              <w:rPr>
                <w:rFonts w:ascii="Times New Roman" w:hAnsi="Times New Roman"/>
                <w:b/>
                <w:szCs w:val="28"/>
              </w:rPr>
              <w:t>General Disorders a</w:t>
            </w:r>
            <w:r w:rsidRPr="0072420E">
              <w:rPr>
                <w:rFonts w:ascii="Times New Roman" w:hAnsi="Times New Roman"/>
                <w:b/>
                <w:szCs w:val="28"/>
              </w:rPr>
              <w:t>nd Administration Site Conditions</w:t>
            </w:r>
          </w:p>
          <w:p w14:paraId="7BD4FDC8" w14:textId="53016931" w:rsidR="00AA549A" w:rsidRDefault="00AA549A" w:rsidP="00AA549A">
            <w:pPr>
              <w:autoSpaceDE w:val="0"/>
              <w:autoSpaceDN w:val="0"/>
              <w:adjustRightInd w:val="0"/>
              <w:spacing w:before="60" w:after="60" w:line="240" w:lineRule="auto"/>
              <w:rPr>
                <w:rFonts w:ascii="Times New Roman" w:hAnsi="Times New Roman"/>
                <w:szCs w:val="28"/>
              </w:rPr>
            </w:pPr>
            <w:r>
              <w:rPr>
                <w:rFonts w:ascii="Times New Roman" w:hAnsi="Times New Roman"/>
                <w:szCs w:val="28"/>
              </w:rPr>
              <w:t xml:space="preserve">     Injection site pain</w:t>
            </w:r>
          </w:p>
          <w:p w14:paraId="782D56C9" w14:textId="2F7CF7AF" w:rsidR="00AA549A" w:rsidRDefault="00C03602" w:rsidP="00AA549A">
            <w:pPr>
              <w:autoSpaceDE w:val="0"/>
              <w:autoSpaceDN w:val="0"/>
              <w:adjustRightInd w:val="0"/>
              <w:spacing w:before="60" w:after="60" w:line="240" w:lineRule="auto"/>
              <w:rPr>
                <w:rFonts w:ascii="Times New Roman" w:hAnsi="Times New Roman"/>
                <w:szCs w:val="28"/>
              </w:rPr>
            </w:pPr>
            <w:r>
              <w:rPr>
                <w:rFonts w:ascii="Times New Roman" w:hAnsi="Times New Roman"/>
                <w:szCs w:val="28"/>
              </w:rPr>
              <w:t xml:space="preserve">     F</w:t>
            </w:r>
            <w:r w:rsidR="00AA549A">
              <w:rPr>
                <w:rFonts w:ascii="Times New Roman" w:hAnsi="Times New Roman"/>
                <w:szCs w:val="28"/>
              </w:rPr>
              <w:t>atigue</w:t>
            </w:r>
          </w:p>
          <w:p w14:paraId="5F6DC9C4" w14:textId="21297843" w:rsidR="00AA549A" w:rsidRDefault="00AA549A" w:rsidP="00AA549A">
            <w:pPr>
              <w:autoSpaceDE w:val="0"/>
              <w:autoSpaceDN w:val="0"/>
              <w:adjustRightInd w:val="0"/>
              <w:spacing w:before="60" w:after="60" w:line="240" w:lineRule="auto"/>
              <w:rPr>
                <w:rFonts w:ascii="Times New Roman" w:hAnsi="Times New Roman"/>
                <w:szCs w:val="28"/>
              </w:rPr>
            </w:pPr>
            <w:r>
              <w:rPr>
                <w:rFonts w:ascii="Times New Roman" w:hAnsi="Times New Roman"/>
                <w:szCs w:val="28"/>
              </w:rPr>
              <w:t xml:space="preserve">     Non-cardiac chest pain</w:t>
            </w:r>
          </w:p>
          <w:p w14:paraId="4D300A72" w14:textId="5131BAB8" w:rsidR="00AA549A" w:rsidRPr="00F86487" w:rsidRDefault="00AA549A" w:rsidP="00AA549A">
            <w:pPr>
              <w:autoSpaceDE w:val="0"/>
              <w:autoSpaceDN w:val="0"/>
              <w:adjustRightInd w:val="0"/>
              <w:spacing w:before="60" w:after="60" w:line="240" w:lineRule="auto"/>
              <w:rPr>
                <w:rFonts w:ascii="Times New Roman" w:hAnsi="Times New Roman"/>
              </w:rPr>
            </w:pPr>
            <w:r>
              <w:rPr>
                <w:rFonts w:ascii="Times New Roman" w:hAnsi="Times New Roman"/>
                <w:szCs w:val="28"/>
              </w:rPr>
              <w:t xml:space="preserve">     Chest Pain</w:t>
            </w:r>
          </w:p>
        </w:tc>
        <w:tc>
          <w:tcPr>
            <w:tcW w:w="2126" w:type="dxa"/>
            <w:tcBorders>
              <w:top w:val="single" w:sz="4" w:space="0" w:color="auto"/>
              <w:left w:val="single" w:sz="4" w:space="0" w:color="auto"/>
              <w:bottom w:val="nil"/>
              <w:right w:val="single" w:sz="4" w:space="0" w:color="auto"/>
            </w:tcBorders>
          </w:tcPr>
          <w:p w14:paraId="445FA0B5" w14:textId="77777777" w:rsidR="00C03602" w:rsidRDefault="00C03602" w:rsidP="00AA549A">
            <w:pPr>
              <w:autoSpaceDE w:val="0"/>
              <w:autoSpaceDN w:val="0"/>
              <w:adjustRightInd w:val="0"/>
              <w:spacing w:before="60" w:after="60" w:line="240" w:lineRule="auto"/>
              <w:jc w:val="center"/>
              <w:rPr>
                <w:rFonts w:ascii="Times New Roman" w:hAnsi="Times New Roman"/>
              </w:rPr>
            </w:pPr>
          </w:p>
          <w:p w14:paraId="0C094FEA" w14:textId="77777777" w:rsidR="00AA549A"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9</w:t>
            </w:r>
            <w:r w:rsidR="00AA549A" w:rsidRPr="00880A4F">
              <w:rPr>
                <w:rFonts w:ascii="Times New Roman" w:hAnsi="Times New Roman"/>
              </w:rPr>
              <w:t xml:space="preserve"> (</w:t>
            </w:r>
            <w:r>
              <w:rPr>
                <w:rFonts w:ascii="Times New Roman" w:hAnsi="Times New Roman"/>
              </w:rPr>
              <w:t>36</w:t>
            </w:r>
            <w:r w:rsidR="00AA549A" w:rsidRPr="00880A4F">
              <w:rPr>
                <w:rFonts w:ascii="Times New Roman" w:hAnsi="Times New Roman"/>
              </w:rPr>
              <w:t>%)</w:t>
            </w:r>
          </w:p>
          <w:p w14:paraId="6E206FEC"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6 (24%)</w:t>
            </w:r>
          </w:p>
          <w:p w14:paraId="46FAAF72"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p w14:paraId="470D8F4E" w14:textId="1E1B334D"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1 (4%)</w:t>
            </w:r>
          </w:p>
        </w:tc>
        <w:tc>
          <w:tcPr>
            <w:tcW w:w="2127" w:type="dxa"/>
            <w:tcBorders>
              <w:top w:val="single" w:sz="4" w:space="0" w:color="auto"/>
              <w:left w:val="single" w:sz="4" w:space="0" w:color="auto"/>
              <w:bottom w:val="nil"/>
              <w:right w:val="single" w:sz="4" w:space="0" w:color="auto"/>
            </w:tcBorders>
          </w:tcPr>
          <w:p w14:paraId="5ED48D97"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623BE19D" w14:textId="77777777" w:rsidR="00AA549A"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6</w:t>
            </w:r>
            <w:r w:rsidR="00AA549A" w:rsidRPr="00880A4F">
              <w:rPr>
                <w:rFonts w:ascii="Times New Roman" w:hAnsi="Times New Roman"/>
              </w:rPr>
              <w:t xml:space="preserve"> (2</w:t>
            </w:r>
            <w:r>
              <w:rPr>
                <w:rFonts w:ascii="Times New Roman" w:hAnsi="Times New Roman"/>
              </w:rPr>
              <w:t>4</w:t>
            </w:r>
            <w:r w:rsidR="00AA549A" w:rsidRPr="00880A4F">
              <w:rPr>
                <w:rFonts w:ascii="Times New Roman" w:hAnsi="Times New Roman"/>
              </w:rPr>
              <w:t>%)</w:t>
            </w:r>
          </w:p>
          <w:p w14:paraId="5F9345D2"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7 (28%)</w:t>
            </w:r>
          </w:p>
          <w:p w14:paraId="7D430826"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7 (28%)</w:t>
            </w:r>
          </w:p>
          <w:p w14:paraId="6E3F7FA5" w14:textId="1548A69B"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tc>
      </w:tr>
      <w:tr w:rsidR="00AA549A" w:rsidRPr="00880A4F" w14:paraId="36CB2E13" w14:textId="77777777" w:rsidTr="0072420E">
        <w:trPr>
          <w:trHeight w:val="537"/>
        </w:trPr>
        <w:tc>
          <w:tcPr>
            <w:tcW w:w="5665" w:type="dxa"/>
            <w:tcBorders>
              <w:top w:val="single" w:sz="4" w:space="0" w:color="auto"/>
              <w:left w:val="single" w:sz="4" w:space="0" w:color="auto"/>
              <w:bottom w:val="nil"/>
              <w:right w:val="single" w:sz="4" w:space="0" w:color="auto"/>
            </w:tcBorders>
          </w:tcPr>
          <w:p w14:paraId="3F690FCD" w14:textId="09E6A1B3" w:rsidR="00AA549A" w:rsidRPr="0072420E" w:rsidRDefault="0072420E" w:rsidP="00AA549A">
            <w:pPr>
              <w:autoSpaceDE w:val="0"/>
              <w:autoSpaceDN w:val="0"/>
              <w:adjustRightInd w:val="0"/>
              <w:spacing w:before="60" w:after="60" w:line="240" w:lineRule="auto"/>
              <w:rPr>
                <w:rFonts w:ascii="Times New Roman" w:hAnsi="Times New Roman"/>
                <w:b/>
              </w:rPr>
            </w:pPr>
            <w:r w:rsidRPr="0072420E">
              <w:rPr>
                <w:rFonts w:ascii="Times New Roman" w:hAnsi="Times New Roman"/>
                <w:b/>
              </w:rPr>
              <w:t>Gastrointestinal Disorders</w:t>
            </w:r>
          </w:p>
          <w:p w14:paraId="143833AA" w14:textId="77777777" w:rsidR="00C03602" w:rsidRDefault="00C03602"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Abdominal pain</w:t>
            </w:r>
          </w:p>
          <w:p w14:paraId="49DF0196" w14:textId="646C66FA" w:rsidR="00C03602" w:rsidRPr="00F86487" w:rsidRDefault="00C03602"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Nausea</w:t>
            </w:r>
          </w:p>
        </w:tc>
        <w:tc>
          <w:tcPr>
            <w:tcW w:w="2126" w:type="dxa"/>
            <w:tcBorders>
              <w:top w:val="single" w:sz="4" w:space="0" w:color="auto"/>
              <w:left w:val="single" w:sz="4" w:space="0" w:color="auto"/>
              <w:bottom w:val="nil"/>
              <w:right w:val="single" w:sz="4" w:space="0" w:color="auto"/>
            </w:tcBorders>
          </w:tcPr>
          <w:p w14:paraId="7195B4A0"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67614015"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p w14:paraId="0B4CC1AC" w14:textId="45161230"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2 (8%)</w:t>
            </w:r>
          </w:p>
        </w:tc>
        <w:tc>
          <w:tcPr>
            <w:tcW w:w="2127" w:type="dxa"/>
            <w:tcBorders>
              <w:top w:val="single" w:sz="4" w:space="0" w:color="auto"/>
              <w:left w:val="single" w:sz="4" w:space="0" w:color="auto"/>
              <w:bottom w:val="nil"/>
              <w:right w:val="single" w:sz="4" w:space="0" w:color="auto"/>
            </w:tcBorders>
          </w:tcPr>
          <w:p w14:paraId="1910EA15" w14:textId="77777777" w:rsidR="00AA549A" w:rsidRDefault="00AA549A" w:rsidP="00AA549A">
            <w:pPr>
              <w:autoSpaceDE w:val="0"/>
              <w:autoSpaceDN w:val="0"/>
              <w:adjustRightInd w:val="0"/>
              <w:spacing w:before="60" w:after="60" w:line="240" w:lineRule="auto"/>
              <w:jc w:val="center"/>
              <w:rPr>
                <w:rFonts w:ascii="Times New Roman" w:hAnsi="Times New Roman"/>
              </w:rPr>
            </w:pPr>
          </w:p>
          <w:p w14:paraId="7F364C4B" w14:textId="77777777"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7 (28%)</w:t>
            </w:r>
          </w:p>
          <w:p w14:paraId="1AAE965D" w14:textId="3E8BB870"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tc>
      </w:tr>
      <w:tr w:rsidR="00AA549A" w:rsidRPr="00880A4F" w14:paraId="485DBECA" w14:textId="77777777" w:rsidTr="0072420E">
        <w:trPr>
          <w:trHeight w:val="276"/>
        </w:trPr>
        <w:tc>
          <w:tcPr>
            <w:tcW w:w="5665" w:type="dxa"/>
            <w:tcBorders>
              <w:top w:val="single" w:sz="4" w:space="0" w:color="auto"/>
              <w:left w:val="single" w:sz="4" w:space="0" w:color="auto"/>
              <w:bottom w:val="single" w:sz="4" w:space="0" w:color="auto"/>
              <w:right w:val="single" w:sz="4" w:space="0" w:color="auto"/>
            </w:tcBorders>
          </w:tcPr>
          <w:p w14:paraId="0D7F4A40" w14:textId="48114633" w:rsidR="00AA549A" w:rsidRPr="0072420E" w:rsidRDefault="0072420E" w:rsidP="00AA549A">
            <w:pPr>
              <w:autoSpaceDE w:val="0"/>
              <w:autoSpaceDN w:val="0"/>
              <w:adjustRightInd w:val="0"/>
              <w:spacing w:before="60" w:after="60" w:line="240" w:lineRule="auto"/>
              <w:rPr>
                <w:rFonts w:ascii="Times New Roman" w:hAnsi="Times New Roman"/>
                <w:b/>
              </w:rPr>
            </w:pPr>
            <w:r w:rsidRPr="0072420E">
              <w:rPr>
                <w:rFonts w:ascii="Times New Roman" w:hAnsi="Times New Roman"/>
                <w:b/>
              </w:rPr>
              <w:t>Cardiac Disorders</w:t>
            </w:r>
          </w:p>
          <w:p w14:paraId="5A672A4A" w14:textId="6DFBF569" w:rsidR="00C03602" w:rsidRPr="00F86487" w:rsidRDefault="00C03602"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Palpitations</w:t>
            </w:r>
          </w:p>
        </w:tc>
        <w:tc>
          <w:tcPr>
            <w:tcW w:w="2126" w:type="dxa"/>
            <w:tcBorders>
              <w:top w:val="single" w:sz="4" w:space="0" w:color="auto"/>
              <w:left w:val="single" w:sz="4" w:space="0" w:color="auto"/>
              <w:bottom w:val="single" w:sz="4" w:space="0" w:color="auto"/>
              <w:right w:val="single" w:sz="4" w:space="0" w:color="auto"/>
            </w:tcBorders>
          </w:tcPr>
          <w:p w14:paraId="6FA2784F" w14:textId="77777777" w:rsidR="00AA549A" w:rsidRPr="001A7651" w:rsidRDefault="00AA549A" w:rsidP="00AA549A">
            <w:pPr>
              <w:autoSpaceDE w:val="0"/>
              <w:autoSpaceDN w:val="0"/>
              <w:adjustRightInd w:val="0"/>
              <w:spacing w:before="60" w:after="60" w:line="240" w:lineRule="auto"/>
              <w:jc w:val="center"/>
              <w:rPr>
                <w:rFonts w:ascii="Times New Roman" w:hAnsi="Times New Roman"/>
              </w:rPr>
            </w:pPr>
          </w:p>
          <w:p w14:paraId="7CCD05BF" w14:textId="4A06B556" w:rsidR="00C03602" w:rsidRPr="001A7651" w:rsidRDefault="00C03602" w:rsidP="00AA549A">
            <w:pPr>
              <w:autoSpaceDE w:val="0"/>
              <w:autoSpaceDN w:val="0"/>
              <w:adjustRightInd w:val="0"/>
              <w:spacing w:before="60" w:after="60" w:line="240" w:lineRule="auto"/>
              <w:jc w:val="center"/>
              <w:rPr>
                <w:rFonts w:ascii="Times New Roman" w:hAnsi="Times New Roman"/>
              </w:rPr>
            </w:pPr>
            <w:r w:rsidRPr="001A7651">
              <w:rPr>
                <w:rFonts w:ascii="Times New Roman" w:hAnsi="Times New Roman"/>
              </w:rPr>
              <w:t>1 (4%)</w:t>
            </w:r>
          </w:p>
        </w:tc>
        <w:tc>
          <w:tcPr>
            <w:tcW w:w="2127" w:type="dxa"/>
            <w:tcBorders>
              <w:top w:val="single" w:sz="4" w:space="0" w:color="auto"/>
              <w:left w:val="single" w:sz="4" w:space="0" w:color="auto"/>
              <w:bottom w:val="single" w:sz="4" w:space="0" w:color="auto"/>
              <w:right w:val="single" w:sz="4" w:space="0" w:color="auto"/>
            </w:tcBorders>
          </w:tcPr>
          <w:p w14:paraId="5472CCCF" w14:textId="77777777" w:rsidR="00AA549A" w:rsidRPr="001A7651" w:rsidRDefault="00AA549A" w:rsidP="00AA549A">
            <w:pPr>
              <w:autoSpaceDE w:val="0"/>
              <w:autoSpaceDN w:val="0"/>
              <w:adjustRightInd w:val="0"/>
              <w:spacing w:before="60" w:after="60" w:line="240" w:lineRule="auto"/>
              <w:jc w:val="center"/>
              <w:rPr>
                <w:rFonts w:ascii="Times New Roman" w:hAnsi="Times New Roman"/>
              </w:rPr>
            </w:pPr>
          </w:p>
          <w:p w14:paraId="09882E1D" w14:textId="372ABE97" w:rsidR="00C03602" w:rsidRPr="001A7651" w:rsidRDefault="00C03602" w:rsidP="00AA549A">
            <w:pPr>
              <w:autoSpaceDE w:val="0"/>
              <w:autoSpaceDN w:val="0"/>
              <w:adjustRightInd w:val="0"/>
              <w:spacing w:before="60" w:after="60" w:line="240" w:lineRule="auto"/>
              <w:jc w:val="center"/>
              <w:rPr>
                <w:rFonts w:ascii="Times New Roman" w:hAnsi="Times New Roman"/>
              </w:rPr>
            </w:pPr>
            <w:r w:rsidRPr="001A7651">
              <w:rPr>
                <w:rFonts w:ascii="Times New Roman" w:hAnsi="Times New Roman"/>
              </w:rPr>
              <w:t>4 (16%)</w:t>
            </w:r>
          </w:p>
        </w:tc>
      </w:tr>
      <w:tr w:rsidR="00C03602" w:rsidRPr="00880A4F" w14:paraId="4F27CB4D" w14:textId="77777777" w:rsidTr="0072420E">
        <w:trPr>
          <w:trHeight w:val="276"/>
        </w:trPr>
        <w:tc>
          <w:tcPr>
            <w:tcW w:w="5665" w:type="dxa"/>
            <w:tcBorders>
              <w:top w:val="single" w:sz="4" w:space="0" w:color="auto"/>
              <w:left w:val="single" w:sz="4" w:space="0" w:color="auto"/>
              <w:bottom w:val="single" w:sz="4" w:space="0" w:color="auto"/>
              <w:right w:val="single" w:sz="4" w:space="0" w:color="auto"/>
            </w:tcBorders>
          </w:tcPr>
          <w:p w14:paraId="633A3155" w14:textId="1AA86A52" w:rsidR="00C03602" w:rsidRPr="0072420E" w:rsidRDefault="0072420E" w:rsidP="00AA549A">
            <w:pPr>
              <w:autoSpaceDE w:val="0"/>
              <w:autoSpaceDN w:val="0"/>
              <w:adjustRightInd w:val="0"/>
              <w:spacing w:before="60" w:after="60" w:line="240" w:lineRule="auto"/>
              <w:rPr>
                <w:rFonts w:ascii="Times New Roman" w:hAnsi="Times New Roman"/>
                <w:b/>
              </w:rPr>
            </w:pPr>
            <w:r w:rsidRPr="0072420E">
              <w:rPr>
                <w:rFonts w:ascii="Times New Roman" w:hAnsi="Times New Roman"/>
                <w:b/>
              </w:rPr>
              <w:t>Respiratory, Thoracic</w:t>
            </w:r>
            <w:r>
              <w:rPr>
                <w:rFonts w:ascii="Times New Roman" w:hAnsi="Times New Roman"/>
                <w:b/>
              </w:rPr>
              <w:t xml:space="preserve"> a</w:t>
            </w:r>
            <w:r w:rsidRPr="0072420E">
              <w:rPr>
                <w:rFonts w:ascii="Times New Roman" w:hAnsi="Times New Roman"/>
                <w:b/>
              </w:rPr>
              <w:t>nd Mediastinal Disorders</w:t>
            </w:r>
          </w:p>
          <w:p w14:paraId="2485033B" w14:textId="2BAC6A28" w:rsidR="00C03602" w:rsidRDefault="00C03602"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Oropharyngeal pain</w:t>
            </w:r>
          </w:p>
        </w:tc>
        <w:tc>
          <w:tcPr>
            <w:tcW w:w="2126" w:type="dxa"/>
            <w:tcBorders>
              <w:top w:val="single" w:sz="4" w:space="0" w:color="auto"/>
              <w:left w:val="single" w:sz="4" w:space="0" w:color="auto"/>
              <w:bottom w:val="single" w:sz="4" w:space="0" w:color="auto"/>
              <w:right w:val="single" w:sz="4" w:space="0" w:color="auto"/>
            </w:tcBorders>
          </w:tcPr>
          <w:p w14:paraId="1414FEC2" w14:textId="77777777" w:rsidR="00C03602" w:rsidRDefault="00C03602" w:rsidP="00AA549A">
            <w:pPr>
              <w:autoSpaceDE w:val="0"/>
              <w:autoSpaceDN w:val="0"/>
              <w:adjustRightInd w:val="0"/>
              <w:spacing w:before="60" w:after="60" w:line="240" w:lineRule="auto"/>
              <w:jc w:val="center"/>
              <w:rPr>
                <w:rFonts w:ascii="Times New Roman" w:hAnsi="Times New Roman"/>
              </w:rPr>
            </w:pPr>
          </w:p>
          <w:p w14:paraId="1DD9C487" w14:textId="7C1EF805" w:rsidR="00C03602" w:rsidRP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5 (20%)</w:t>
            </w:r>
          </w:p>
        </w:tc>
        <w:tc>
          <w:tcPr>
            <w:tcW w:w="2127" w:type="dxa"/>
            <w:tcBorders>
              <w:top w:val="single" w:sz="4" w:space="0" w:color="auto"/>
              <w:left w:val="single" w:sz="4" w:space="0" w:color="auto"/>
              <w:bottom w:val="single" w:sz="4" w:space="0" w:color="auto"/>
              <w:right w:val="single" w:sz="4" w:space="0" w:color="auto"/>
            </w:tcBorders>
          </w:tcPr>
          <w:p w14:paraId="19704C4E" w14:textId="77777777" w:rsidR="00C03602" w:rsidRDefault="00C03602" w:rsidP="00AA549A">
            <w:pPr>
              <w:autoSpaceDE w:val="0"/>
              <w:autoSpaceDN w:val="0"/>
              <w:adjustRightInd w:val="0"/>
              <w:spacing w:before="60" w:after="60" w:line="240" w:lineRule="auto"/>
              <w:jc w:val="center"/>
              <w:rPr>
                <w:rFonts w:ascii="Times New Roman" w:hAnsi="Times New Roman"/>
              </w:rPr>
            </w:pPr>
          </w:p>
          <w:p w14:paraId="46553D91" w14:textId="7A3EB7DC" w:rsidR="00C03602" w:rsidRP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r>
      <w:tr w:rsidR="00C03602" w:rsidRPr="00880A4F" w14:paraId="5F637078" w14:textId="77777777" w:rsidTr="0072420E">
        <w:trPr>
          <w:trHeight w:val="276"/>
        </w:trPr>
        <w:tc>
          <w:tcPr>
            <w:tcW w:w="5665" w:type="dxa"/>
            <w:tcBorders>
              <w:top w:val="single" w:sz="4" w:space="0" w:color="auto"/>
              <w:left w:val="single" w:sz="4" w:space="0" w:color="auto"/>
              <w:bottom w:val="single" w:sz="4" w:space="0" w:color="auto"/>
              <w:right w:val="single" w:sz="4" w:space="0" w:color="auto"/>
            </w:tcBorders>
          </w:tcPr>
          <w:p w14:paraId="026CEEC5" w14:textId="55BF3040" w:rsidR="00C03602" w:rsidRPr="0072420E" w:rsidRDefault="0072420E" w:rsidP="00AA549A">
            <w:pPr>
              <w:autoSpaceDE w:val="0"/>
              <w:autoSpaceDN w:val="0"/>
              <w:adjustRightInd w:val="0"/>
              <w:spacing w:before="60" w:after="60" w:line="240" w:lineRule="auto"/>
              <w:rPr>
                <w:rFonts w:ascii="Times New Roman" w:hAnsi="Times New Roman"/>
                <w:b/>
              </w:rPr>
            </w:pPr>
            <w:r w:rsidRPr="0072420E">
              <w:rPr>
                <w:rFonts w:ascii="Times New Roman" w:hAnsi="Times New Roman"/>
                <w:b/>
              </w:rPr>
              <w:t>Skin and Subcutaneous Tissue Disorders</w:t>
            </w:r>
          </w:p>
          <w:p w14:paraId="1DA17257" w14:textId="2F1EDC45" w:rsidR="00C03602" w:rsidRDefault="00C03602" w:rsidP="00AA549A">
            <w:pPr>
              <w:autoSpaceDE w:val="0"/>
              <w:autoSpaceDN w:val="0"/>
              <w:adjustRightInd w:val="0"/>
              <w:spacing w:before="60" w:after="60" w:line="240" w:lineRule="auto"/>
              <w:rPr>
                <w:rFonts w:ascii="Times New Roman" w:hAnsi="Times New Roman"/>
              </w:rPr>
            </w:pPr>
            <w:r>
              <w:rPr>
                <w:rFonts w:ascii="Times New Roman" w:hAnsi="Times New Roman"/>
              </w:rPr>
              <w:t xml:space="preserve">     Hyperhidrosis</w:t>
            </w:r>
          </w:p>
        </w:tc>
        <w:tc>
          <w:tcPr>
            <w:tcW w:w="2126" w:type="dxa"/>
            <w:tcBorders>
              <w:top w:val="single" w:sz="4" w:space="0" w:color="auto"/>
              <w:left w:val="single" w:sz="4" w:space="0" w:color="auto"/>
              <w:bottom w:val="single" w:sz="4" w:space="0" w:color="auto"/>
              <w:right w:val="single" w:sz="4" w:space="0" w:color="auto"/>
            </w:tcBorders>
          </w:tcPr>
          <w:p w14:paraId="1E809092" w14:textId="77777777" w:rsidR="00C03602" w:rsidRDefault="00C03602" w:rsidP="00AA549A">
            <w:pPr>
              <w:autoSpaceDE w:val="0"/>
              <w:autoSpaceDN w:val="0"/>
              <w:adjustRightInd w:val="0"/>
              <w:spacing w:before="60" w:after="60" w:line="240" w:lineRule="auto"/>
              <w:jc w:val="center"/>
              <w:rPr>
                <w:rFonts w:ascii="Times New Roman" w:hAnsi="Times New Roman"/>
              </w:rPr>
            </w:pPr>
          </w:p>
          <w:p w14:paraId="55AC431A" w14:textId="72B1C30A"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c>
          <w:tcPr>
            <w:tcW w:w="2127" w:type="dxa"/>
            <w:tcBorders>
              <w:top w:val="single" w:sz="4" w:space="0" w:color="auto"/>
              <w:left w:val="single" w:sz="4" w:space="0" w:color="auto"/>
              <w:bottom w:val="single" w:sz="4" w:space="0" w:color="auto"/>
              <w:right w:val="single" w:sz="4" w:space="0" w:color="auto"/>
            </w:tcBorders>
          </w:tcPr>
          <w:p w14:paraId="63F173AA" w14:textId="77777777" w:rsidR="00C03602" w:rsidRDefault="00C03602" w:rsidP="00AA549A">
            <w:pPr>
              <w:autoSpaceDE w:val="0"/>
              <w:autoSpaceDN w:val="0"/>
              <w:adjustRightInd w:val="0"/>
              <w:spacing w:before="60" w:after="60" w:line="240" w:lineRule="auto"/>
              <w:jc w:val="center"/>
              <w:rPr>
                <w:rFonts w:ascii="Times New Roman" w:hAnsi="Times New Roman"/>
              </w:rPr>
            </w:pPr>
          </w:p>
          <w:p w14:paraId="4C9731EF" w14:textId="7F0ACAFF" w:rsidR="00C03602" w:rsidRDefault="00C03602" w:rsidP="00AA549A">
            <w:pPr>
              <w:autoSpaceDE w:val="0"/>
              <w:autoSpaceDN w:val="0"/>
              <w:adjustRightInd w:val="0"/>
              <w:spacing w:before="60" w:after="60" w:line="240" w:lineRule="auto"/>
              <w:jc w:val="center"/>
              <w:rPr>
                <w:rFonts w:ascii="Times New Roman" w:hAnsi="Times New Roman"/>
              </w:rPr>
            </w:pPr>
            <w:r>
              <w:rPr>
                <w:rFonts w:ascii="Times New Roman" w:hAnsi="Times New Roman"/>
              </w:rPr>
              <w:t>3 (12%)</w:t>
            </w:r>
          </w:p>
        </w:tc>
      </w:tr>
    </w:tbl>
    <w:p w14:paraId="52658D45" w14:textId="4AC9B826" w:rsidR="00AA549A" w:rsidRDefault="00AA549A" w:rsidP="009530A4">
      <w:pPr>
        <w:pStyle w:val="Bodyofcontents"/>
        <w:ind w:left="851" w:hanging="851"/>
      </w:pPr>
    </w:p>
    <w:p w14:paraId="5C455310" w14:textId="12016681" w:rsidR="00C43420" w:rsidRDefault="00C43420" w:rsidP="00C43420">
      <w:pPr>
        <w:pStyle w:val="Bodyofcontents"/>
      </w:pPr>
      <w:r>
        <w:t>In the Study MYL-1401H-3001 among patients with breast cancer, Fulphila was generally well tolerated and the safety profile was similar to EU</w:t>
      </w:r>
      <w:r>
        <w:noBreakHyphen/>
        <w:t xml:space="preserve">Neulasta. </w:t>
      </w:r>
      <w:r w:rsidRPr="00D41160">
        <w:t xml:space="preserve">Table </w:t>
      </w:r>
      <w:r>
        <w:t>6</w:t>
      </w:r>
      <w:r w:rsidRPr="00D41160">
        <w:t xml:space="preserve"> </w:t>
      </w:r>
      <w:r w:rsidRPr="004B256A">
        <w:t xml:space="preserve">provides a summary of </w:t>
      </w:r>
      <w:r>
        <w:t xml:space="preserve">related </w:t>
      </w:r>
      <w:r w:rsidRPr="004B256A">
        <w:t xml:space="preserve">TEAEs reported by ≥2% of patients across all </w:t>
      </w:r>
      <w:r>
        <w:t xml:space="preserve">6 </w:t>
      </w:r>
      <w:r w:rsidRPr="004B256A">
        <w:t xml:space="preserve">cycles. The most commonly reported </w:t>
      </w:r>
      <w:r>
        <w:t xml:space="preserve">related </w:t>
      </w:r>
      <w:r w:rsidRPr="004B256A">
        <w:t xml:space="preserve">TEAE by preferred term was </w:t>
      </w:r>
      <w:r>
        <w:t>bone pain</w:t>
      </w:r>
      <w:r w:rsidRPr="004B256A">
        <w:t xml:space="preserve"> </w:t>
      </w:r>
      <w:r>
        <w:t>in both Fulphila and Neulasta arm.</w:t>
      </w:r>
    </w:p>
    <w:p w14:paraId="5AC612D1" w14:textId="2789E3EE" w:rsidR="001A7651" w:rsidRDefault="001A7651" w:rsidP="00C43420">
      <w:pPr>
        <w:pStyle w:val="Bodyofcontents"/>
      </w:pPr>
    </w:p>
    <w:p w14:paraId="6FF9EB90" w14:textId="6CE41B05" w:rsidR="001A7651" w:rsidRDefault="001A7651" w:rsidP="00C43420">
      <w:pPr>
        <w:pStyle w:val="Bodyofcontents"/>
      </w:pPr>
    </w:p>
    <w:p w14:paraId="05ED8B34" w14:textId="1A249FD7" w:rsidR="001A7651" w:rsidRDefault="001A7651" w:rsidP="00C43420">
      <w:pPr>
        <w:pStyle w:val="Bodyofcontents"/>
      </w:pPr>
    </w:p>
    <w:p w14:paraId="0A14BEEB" w14:textId="2DF99611" w:rsidR="001A7651" w:rsidRDefault="001A7651" w:rsidP="00C43420">
      <w:pPr>
        <w:pStyle w:val="Bodyofcontents"/>
      </w:pPr>
    </w:p>
    <w:p w14:paraId="5AFEE36A" w14:textId="77777777" w:rsidR="001A7651" w:rsidRPr="004B256A" w:rsidRDefault="001A7651" w:rsidP="00C43420">
      <w:pPr>
        <w:pStyle w:val="Bodyofcontents"/>
      </w:pPr>
    </w:p>
    <w:p w14:paraId="6A907C9A" w14:textId="7379A7E3" w:rsidR="00C43420" w:rsidRDefault="00C43420" w:rsidP="00C43420">
      <w:pPr>
        <w:pStyle w:val="Bodyofcontents"/>
        <w:ind w:left="868" w:hanging="868"/>
        <w:rPr>
          <w:b/>
        </w:rPr>
      </w:pPr>
      <w:r w:rsidRPr="00D41160">
        <w:rPr>
          <w:rFonts w:hint="eastAsia"/>
          <w:b/>
        </w:rPr>
        <w:t xml:space="preserve">Table </w:t>
      </w:r>
      <w:r>
        <w:rPr>
          <w:b/>
        </w:rPr>
        <w:t>6</w:t>
      </w:r>
      <w:r w:rsidRPr="00D41160">
        <w:rPr>
          <w:rFonts w:hint="eastAsia"/>
          <w:b/>
        </w:rPr>
        <w:t xml:space="preserve">: Treatment-Related Treatment-Emergent Adverse Events Occurring in </w:t>
      </w:r>
      <w:r>
        <w:rPr>
          <w:b/>
        </w:rPr>
        <w:t>≥</w:t>
      </w:r>
      <w:r w:rsidRPr="00D41160">
        <w:rPr>
          <w:rFonts w:hint="eastAsia"/>
          <w:b/>
        </w:rPr>
        <w:t>2% Patients in Either Treatment Group by Worst CTCAE Grade, System Organ Class and Preferred Term Across All Cycles (</w:t>
      </w:r>
      <w:r w:rsidRPr="00D41160">
        <w:rPr>
          <w:b/>
        </w:rPr>
        <w:t>MYL</w:t>
      </w:r>
      <w:r w:rsidRPr="00D41160">
        <w:rPr>
          <w:b/>
        </w:rPr>
        <w:noBreakHyphen/>
        <w:t>1401H</w:t>
      </w:r>
      <w:r w:rsidRPr="00D41160">
        <w:rPr>
          <w:b/>
        </w:rPr>
        <w:noBreakHyphen/>
      </w:r>
      <w:r>
        <w:rPr>
          <w:b/>
        </w:rPr>
        <w:t>3001-</w:t>
      </w:r>
      <w:r w:rsidRPr="00D41160">
        <w:rPr>
          <w:rFonts w:hint="eastAsia"/>
          <w:b/>
        </w:rPr>
        <w:t>Safety Population)</w:t>
      </w:r>
    </w:p>
    <w:tbl>
      <w:tblPr>
        <w:tblStyle w:val="TableGrid"/>
        <w:tblW w:w="9918" w:type="dxa"/>
        <w:tblLayout w:type="fixed"/>
        <w:tblLook w:val="04A0" w:firstRow="1" w:lastRow="0" w:firstColumn="1" w:lastColumn="0" w:noHBand="0" w:noVBand="1"/>
      </w:tblPr>
      <w:tblGrid>
        <w:gridCol w:w="6799"/>
        <w:gridCol w:w="1559"/>
        <w:gridCol w:w="1560"/>
      </w:tblGrid>
      <w:tr w:rsidR="00C43420" w:rsidRPr="00880A4F" w14:paraId="4BA47DA3" w14:textId="77777777" w:rsidTr="00F4689A">
        <w:trPr>
          <w:trHeight w:val="546"/>
        </w:trPr>
        <w:tc>
          <w:tcPr>
            <w:tcW w:w="6799" w:type="dxa"/>
            <w:vAlign w:val="center"/>
          </w:tcPr>
          <w:p w14:paraId="7463E838" w14:textId="634C3635" w:rsidR="00C43420" w:rsidRPr="00880A4F" w:rsidRDefault="00C43420" w:rsidP="0072420E">
            <w:pPr>
              <w:autoSpaceDE w:val="0"/>
              <w:autoSpaceDN w:val="0"/>
              <w:adjustRightInd w:val="0"/>
              <w:spacing w:before="60" w:after="60" w:line="240" w:lineRule="auto"/>
              <w:rPr>
                <w:rFonts w:ascii="Times New Roman" w:hAnsi="Times New Roman"/>
                <w:b/>
              </w:rPr>
            </w:pPr>
            <w:r w:rsidRPr="00880A4F">
              <w:rPr>
                <w:rFonts w:ascii="Times New Roman" w:hAnsi="Times New Roman"/>
                <w:b/>
              </w:rPr>
              <w:t>System Organ Class / Preferred Term</w:t>
            </w:r>
          </w:p>
        </w:tc>
        <w:tc>
          <w:tcPr>
            <w:tcW w:w="1559" w:type="dxa"/>
            <w:vAlign w:val="center"/>
          </w:tcPr>
          <w:p w14:paraId="37D09698" w14:textId="77777777" w:rsidR="00C43420" w:rsidRPr="00880A4F" w:rsidRDefault="00C43420" w:rsidP="00F4689A">
            <w:pPr>
              <w:autoSpaceDE w:val="0"/>
              <w:autoSpaceDN w:val="0"/>
              <w:adjustRightInd w:val="0"/>
              <w:spacing w:before="60" w:after="60" w:line="240" w:lineRule="auto"/>
              <w:jc w:val="center"/>
              <w:rPr>
                <w:rFonts w:ascii="Times New Roman" w:hAnsi="Times New Roman"/>
                <w:b/>
              </w:rPr>
            </w:pPr>
            <w:r w:rsidRPr="00880A4F">
              <w:rPr>
                <w:rFonts w:ascii="Times New Roman" w:hAnsi="Times New Roman"/>
                <w:b/>
              </w:rPr>
              <w:t>Fulphila</w:t>
            </w:r>
          </w:p>
          <w:p w14:paraId="582E0E93" w14:textId="71BC72E1" w:rsidR="00C43420" w:rsidRDefault="00C43420"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(N=127</w:t>
            </w:r>
            <w:r w:rsidRPr="00880A4F">
              <w:rPr>
                <w:rFonts w:ascii="Times New Roman" w:hAnsi="Times New Roman"/>
                <w:b/>
              </w:rPr>
              <w:t>)</w:t>
            </w:r>
          </w:p>
          <w:p w14:paraId="79F1F092" w14:textId="77777777" w:rsidR="00C43420" w:rsidRPr="00880A4F" w:rsidRDefault="00C43420"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c>
          <w:tcPr>
            <w:tcW w:w="1560" w:type="dxa"/>
            <w:vAlign w:val="center"/>
          </w:tcPr>
          <w:p w14:paraId="7D6D0B38" w14:textId="77777777" w:rsidR="00C43420" w:rsidRDefault="00C43420"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EU-Neulasta</w:t>
            </w:r>
          </w:p>
          <w:p w14:paraId="51A702B4" w14:textId="33EC257B" w:rsidR="00C43420" w:rsidRDefault="00C43420"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(N=67</w:t>
            </w:r>
            <w:r w:rsidRPr="00880A4F">
              <w:rPr>
                <w:rFonts w:ascii="Times New Roman" w:hAnsi="Times New Roman"/>
                <w:b/>
              </w:rPr>
              <w:t>)</w:t>
            </w:r>
          </w:p>
          <w:p w14:paraId="0F1FA25D" w14:textId="77777777" w:rsidR="00C43420" w:rsidRPr="00880A4F" w:rsidRDefault="00C43420" w:rsidP="00F4689A">
            <w:pPr>
              <w:autoSpaceDE w:val="0"/>
              <w:autoSpaceDN w:val="0"/>
              <w:adjustRightInd w:val="0"/>
              <w:spacing w:before="60" w:after="60" w:line="240" w:lineRule="auto"/>
              <w:jc w:val="center"/>
              <w:rPr>
                <w:rFonts w:ascii="Times New Roman" w:hAnsi="Times New Roman"/>
                <w:b/>
              </w:rPr>
            </w:pPr>
            <w:r>
              <w:rPr>
                <w:rFonts w:ascii="Times New Roman" w:hAnsi="Times New Roman"/>
                <w:b/>
              </w:rPr>
              <w:t>n (%)</w:t>
            </w:r>
          </w:p>
        </w:tc>
      </w:tr>
      <w:tr w:rsidR="00C43420" w:rsidRPr="00880A4F" w14:paraId="6B257695" w14:textId="77777777" w:rsidTr="00F4689A">
        <w:trPr>
          <w:trHeight w:val="545"/>
        </w:trPr>
        <w:tc>
          <w:tcPr>
            <w:tcW w:w="6799" w:type="dxa"/>
            <w:tcBorders>
              <w:top w:val="single" w:sz="4" w:space="0" w:color="auto"/>
              <w:left w:val="single" w:sz="4" w:space="0" w:color="auto"/>
              <w:bottom w:val="nil"/>
              <w:right w:val="single" w:sz="4" w:space="0" w:color="auto"/>
            </w:tcBorders>
          </w:tcPr>
          <w:p w14:paraId="21B4761A" w14:textId="4E313303" w:rsidR="00C43420" w:rsidRPr="0072420E" w:rsidRDefault="0072420E" w:rsidP="00F4689A">
            <w:pPr>
              <w:autoSpaceDE w:val="0"/>
              <w:autoSpaceDN w:val="0"/>
              <w:adjustRightInd w:val="0"/>
              <w:spacing w:before="60" w:after="60" w:line="240" w:lineRule="auto"/>
              <w:rPr>
                <w:rFonts w:ascii="Times New Roman" w:hAnsi="Times New Roman"/>
                <w:b/>
              </w:rPr>
            </w:pPr>
            <w:r>
              <w:rPr>
                <w:rFonts w:ascii="Times New Roman" w:hAnsi="Times New Roman"/>
                <w:b/>
              </w:rPr>
              <w:t>Blood a</w:t>
            </w:r>
            <w:r w:rsidRPr="0072420E">
              <w:rPr>
                <w:rFonts w:ascii="Times New Roman" w:hAnsi="Times New Roman"/>
                <w:b/>
              </w:rPr>
              <w:t>nd Lymphatic System Disorders</w:t>
            </w:r>
          </w:p>
          <w:p w14:paraId="16FB1A5D" w14:textId="5712C9CF" w:rsidR="00C43420" w:rsidRPr="00F86487" w:rsidRDefault="00C43420"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Thrombocytopenia</w:t>
            </w:r>
          </w:p>
        </w:tc>
        <w:tc>
          <w:tcPr>
            <w:tcW w:w="1559" w:type="dxa"/>
            <w:tcBorders>
              <w:top w:val="single" w:sz="4" w:space="0" w:color="auto"/>
              <w:left w:val="single" w:sz="4" w:space="0" w:color="auto"/>
              <w:bottom w:val="nil"/>
              <w:right w:val="single" w:sz="4" w:space="0" w:color="auto"/>
            </w:tcBorders>
          </w:tcPr>
          <w:p w14:paraId="147EF9DF" w14:textId="77777777" w:rsidR="00C43420" w:rsidRDefault="00C43420" w:rsidP="00F4689A">
            <w:pPr>
              <w:autoSpaceDE w:val="0"/>
              <w:autoSpaceDN w:val="0"/>
              <w:adjustRightInd w:val="0"/>
              <w:spacing w:before="60" w:after="60" w:line="240" w:lineRule="auto"/>
              <w:jc w:val="center"/>
              <w:rPr>
                <w:rFonts w:ascii="Times New Roman" w:hAnsi="Times New Roman"/>
              </w:rPr>
            </w:pPr>
          </w:p>
          <w:p w14:paraId="3A2F27B2" w14:textId="3E232EDA" w:rsidR="00C43420" w:rsidRDefault="00C43420"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3 (2.4%)</w:t>
            </w:r>
          </w:p>
        </w:tc>
        <w:tc>
          <w:tcPr>
            <w:tcW w:w="1560" w:type="dxa"/>
            <w:tcBorders>
              <w:top w:val="single" w:sz="4" w:space="0" w:color="auto"/>
              <w:left w:val="single" w:sz="4" w:space="0" w:color="auto"/>
              <w:bottom w:val="nil"/>
              <w:right w:val="single" w:sz="4" w:space="0" w:color="auto"/>
            </w:tcBorders>
          </w:tcPr>
          <w:p w14:paraId="3BA55BFA" w14:textId="77777777" w:rsidR="00C43420" w:rsidRDefault="00C43420" w:rsidP="00F4689A">
            <w:pPr>
              <w:autoSpaceDE w:val="0"/>
              <w:autoSpaceDN w:val="0"/>
              <w:adjustRightInd w:val="0"/>
              <w:spacing w:before="60" w:after="60" w:line="240" w:lineRule="auto"/>
              <w:jc w:val="center"/>
              <w:rPr>
                <w:rFonts w:ascii="Times New Roman" w:hAnsi="Times New Roman"/>
              </w:rPr>
            </w:pPr>
          </w:p>
          <w:p w14:paraId="3E129D33" w14:textId="6A6825BF" w:rsidR="00C43420" w:rsidRDefault="00C43420"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r>
      <w:tr w:rsidR="00C43420" w:rsidRPr="00880A4F" w14:paraId="7E75B30A" w14:textId="77777777" w:rsidTr="00F4689A">
        <w:trPr>
          <w:trHeight w:val="537"/>
        </w:trPr>
        <w:tc>
          <w:tcPr>
            <w:tcW w:w="6799" w:type="dxa"/>
            <w:tcBorders>
              <w:top w:val="single" w:sz="4" w:space="0" w:color="auto"/>
              <w:left w:val="single" w:sz="4" w:space="0" w:color="auto"/>
              <w:bottom w:val="nil"/>
              <w:right w:val="single" w:sz="4" w:space="0" w:color="auto"/>
            </w:tcBorders>
          </w:tcPr>
          <w:p w14:paraId="6179C3E4" w14:textId="36420297" w:rsidR="00C43420" w:rsidRPr="0072420E" w:rsidRDefault="0072420E" w:rsidP="00F4689A">
            <w:pPr>
              <w:autoSpaceDE w:val="0"/>
              <w:autoSpaceDN w:val="0"/>
              <w:adjustRightInd w:val="0"/>
              <w:spacing w:before="60" w:after="60" w:line="240" w:lineRule="auto"/>
              <w:rPr>
                <w:rFonts w:ascii="Times New Roman" w:hAnsi="Times New Roman"/>
                <w:b/>
              </w:rPr>
            </w:pPr>
            <w:r w:rsidRPr="0072420E">
              <w:rPr>
                <w:rFonts w:ascii="Times New Roman" w:hAnsi="Times New Roman"/>
                <w:b/>
              </w:rPr>
              <w:t>Gastrointestinal Disorders</w:t>
            </w:r>
          </w:p>
          <w:p w14:paraId="6529A9D4" w14:textId="61389DFD" w:rsidR="00C43420" w:rsidRPr="00F86487" w:rsidRDefault="00C43420" w:rsidP="00F4689A">
            <w:pPr>
              <w:autoSpaceDE w:val="0"/>
              <w:autoSpaceDN w:val="0"/>
              <w:adjustRightInd w:val="0"/>
              <w:spacing w:before="60" w:after="60" w:line="240" w:lineRule="auto"/>
              <w:rPr>
                <w:rFonts w:ascii="Times New Roman" w:hAnsi="Times New Roman"/>
              </w:rPr>
            </w:pPr>
            <w:r>
              <w:rPr>
                <w:rFonts w:ascii="Times New Roman" w:hAnsi="Times New Roman"/>
              </w:rPr>
              <w:t xml:space="preserve">     Abdominal pain</w:t>
            </w:r>
          </w:p>
        </w:tc>
        <w:tc>
          <w:tcPr>
            <w:tcW w:w="1559" w:type="dxa"/>
            <w:tcBorders>
              <w:top w:val="single" w:sz="4" w:space="0" w:color="auto"/>
              <w:left w:val="single" w:sz="4" w:space="0" w:color="auto"/>
              <w:bottom w:val="nil"/>
              <w:right w:val="single" w:sz="4" w:space="0" w:color="auto"/>
            </w:tcBorders>
          </w:tcPr>
          <w:p w14:paraId="0A6510AC" w14:textId="77777777" w:rsidR="00C43420" w:rsidRDefault="00C43420" w:rsidP="00F4689A">
            <w:pPr>
              <w:autoSpaceDE w:val="0"/>
              <w:autoSpaceDN w:val="0"/>
              <w:adjustRightInd w:val="0"/>
              <w:spacing w:before="60" w:after="60" w:line="240" w:lineRule="auto"/>
              <w:jc w:val="center"/>
              <w:rPr>
                <w:rFonts w:ascii="Times New Roman" w:hAnsi="Times New Roman"/>
              </w:rPr>
            </w:pPr>
          </w:p>
          <w:p w14:paraId="636AFE20" w14:textId="0F15D61D" w:rsidR="00C43420" w:rsidRDefault="00C43420" w:rsidP="00F4689A">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c>
          <w:tcPr>
            <w:tcW w:w="1560" w:type="dxa"/>
            <w:tcBorders>
              <w:top w:val="single" w:sz="4" w:space="0" w:color="auto"/>
              <w:left w:val="single" w:sz="4" w:space="0" w:color="auto"/>
              <w:bottom w:val="nil"/>
              <w:right w:val="single" w:sz="4" w:space="0" w:color="auto"/>
            </w:tcBorders>
          </w:tcPr>
          <w:p w14:paraId="1AA3F98E" w14:textId="77777777" w:rsidR="00C43420" w:rsidRDefault="00C43420" w:rsidP="00F4689A">
            <w:pPr>
              <w:autoSpaceDE w:val="0"/>
              <w:autoSpaceDN w:val="0"/>
              <w:adjustRightInd w:val="0"/>
              <w:spacing w:before="60" w:after="60" w:line="240" w:lineRule="auto"/>
              <w:jc w:val="center"/>
              <w:rPr>
                <w:rFonts w:ascii="Times New Roman" w:hAnsi="Times New Roman"/>
              </w:rPr>
            </w:pPr>
          </w:p>
          <w:p w14:paraId="41DE0BC1" w14:textId="1DA405A3"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3 (4.5%)</w:t>
            </w:r>
          </w:p>
        </w:tc>
      </w:tr>
      <w:tr w:rsidR="00C43420" w:rsidRPr="00880A4F" w14:paraId="3D92595A" w14:textId="77777777" w:rsidTr="00F4689A">
        <w:trPr>
          <w:trHeight w:val="545"/>
        </w:trPr>
        <w:tc>
          <w:tcPr>
            <w:tcW w:w="6799" w:type="dxa"/>
            <w:tcBorders>
              <w:top w:val="single" w:sz="4" w:space="0" w:color="auto"/>
              <w:left w:val="single" w:sz="4" w:space="0" w:color="auto"/>
              <w:bottom w:val="nil"/>
              <w:right w:val="single" w:sz="4" w:space="0" w:color="auto"/>
            </w:tcBorders>
          </w:tcPr>
          <w:p w14:paraId="42112D56" w14:textId="5039C018" w:rsidR="00C43420" w:rsidRPr="0072420E" w:rsidRDefault="0072420E" w:rsidP="00C43420">
            <w:pPr>
              <w:autoSpaceDE w:val="0"/>
              <w:autoSpaceDN w:val="0"/>
              <w:adjustRightInd w:val="0"/>
              <w:spacing w:before="60" w:after="60" w:line="240" w:lineRule="auto"/>
              <w:rPr>
                <w:rFonts w:ascii="Times New Roman" w:hAnsi="Times New Roman"/>
                <w:b/>
                <w:szCs w:val="28"/>
              </w:rPr>
            </w:pPr>
            <w:r w:rsidRPr="0072420E">
              <w:rPr>
                <w:rFonts w:ascii="Times New Roman" w:hAnsi="Times New Roman"/>
                <w:b/>
                <w:szCs w:val="28"/>
              </w:rPr>
              <w:t>Gene</w:t>
            </w:r>
            <w:r>
              <w:rPr>
                <w:rFonts w:ascii="Times New Roman" w:hAnsi="Times New Roman"/>
                <w:b/>
                <w:szCs w:val="28"/>
              </w:rPr>
              <w:t>ral Disorders a</w:t>
            </w:r>
            <w:r w:rsidRPr="0072420E">
              <w:rPr>
                <w:rFonts w:ascii="Times New Roman" w:hAnsi="Times New Roman"/>
                <w:b/>
                <w:szCs w:val="28"/>
              </w:rPr>
              <w:t>nd Administration Site Conditions</w:t>
            </w:r>
          </w:p>
          <w:p w14:paraId="1FF9491A" w14:textId="44B2DFE9" w:rsidR="00C43420" w:rsidRPr="00F86487" w:rsidRDefault="00C43420" w:rsidP="00C43420">
            <w:pPr>
              <w:autoSpaceDE w:val="0"/>
              <w:autoSpaceDN w:val="0"/>
              <w:adjustRightInd w:val="0"/>
              <w:spacing w:before="60" w:after="60" w:line="240" w:lineRule="auto"/>
              <w:rPr>
                <w:rFonts w:ascii="Times New Roman" w:hAnsi="Times New Roman"/>
              </w:rPr>
            </w:pPr>
            <w:r>
              <w:rPr>
                <w:rFonts w:ascii="Times New Roman" w:hAnsi="Times New Roman"/>
                <w:szCs w:val="28"/>
              </w:rPr>
              <w:t xml:space="preserve">     Non-cardiac chest pain</w:t>
            </w:r>
          </w:p>
        </w:tc>
        <w:tc>
          <w:tcPr>
            <w:tcW w:w="1559" w:type="dxa"/>
            <w:tcBorders>
              <w:top w:val="single" w:sz="4" w:space="0" w:color="auto"/>
              <w:left w:val="single" w:sz="4" w:space="0" w:color="auto"/>
              <w:bottom w:val="nil"/>
              <w:right w:val="single" w:sz="4" w:space="0" w:color="auto"/>
            </w:tcBorders>
          </w:tcPr>
          <w:p w14:paraId="48F211A2"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39762A36" w14:textId="65FF0325"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0 (0%)</w:t>
            </w:r>
          </w:p>
        </w:tc>
        <w:tc>
          <w:tcPr>
            <w:tcW w:w="1560" w:type="dxa"/>
            <w:tcBorders>
              <w:top w:val="single" w:sz="4" w:space="0" w:color="auto"/>
              <w:left w:val="single" w:sz="4" w:space="0" w:color="auto"/>
              <w:bottom w:val="nil"/>
              <w:right w:val="single" w:sz="4" w:space="0" w:color="auto"/>
            </w:tcBorders>
          </w:tcPr>
          <w:p w14:paraId="5217B224"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053E2EB4" w14:textId="39E4D383"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2 (3%)</w:t>
            </w:r>
          </w:p>
        </w:tc>
      </w:tr>
      <w:tr w:rsidR="00C43420" w:rsidRPr="00880A4F" w14:paraId="058636C4" w14:textId="77777777" w:rsidTr="001A7651">
        <w:trPr>
          <w:trHeight w:val="545"/>
        </w:trPr>
        <w:tc>
          <w:tcPr>
            <w:tcW w:w="6799" w:type="dxa"/>
            <w:tcBorders>
              <w:top w:val="single" w:sz="4" w:space="0" w:color="auto"/>
              <w:left w:val="single" w:sz="4" w:space="0" w:color="auto"/>
              <w:bottom w:val="single" w:sz="4" w:space="0" w:color="auto"/>
              <w:right w:val="single" w:sz="4" w:space="0" w:color="auto"/>
            </w:tcBorders>
          </w:tcPr>
          <w:p w14:paraId="0074A45F" w14:textId="622D8C9B" w:rsidR="00C43420" w:rsidRPr="0072420E" w:rsidRDefault="0072420E" w:rsidP="00C43420">
            <w:pPr>
              <w:autoSpaceDE w:val="0"/>
              <w:autoSpaceDN w:val="0"/>
              <w:adjustRightInd w:val="0"/>
              <w:spacing w:before="60" w:after="60" w:line="240" w:lineRule="auto"/>
              <w:rPr>
                <w:rFonts w:ascii="Times New Roman" w:hAnsi="Times New Roman"/>
                <w:b/>
              </w:rPr>
            </w:pPr>
            <w:r w:rsidRPr="0072420E">
              <w:rPr>
                <w:rFonts w:ascii="Times New Roman" w:hAnsi="Times New Roman"/>
                <w:b/>
              </w:rPr>
              <w:t>Musculoskeletal</w:t>
            </w:r>
            <w:r w:rsidR="00C43420" w:rsidRPr="0072420E">
              <w:rPr>
                <w:rFonts w:ascii="Times New Roman" w:hAnsi="Times New Roman"/>
                <w:b/>
              </w:rPr>
              <w:t xml:space="preserve"> </w:t>
            </w:r>
            <w:r>
              <w:rPr>
                <w:rFonts w:ascii="Times New Roman" w:hAnsi="Times New Roman"/>
                <w:b/>
              </w:rPr>
              <w:t>a</w:t>
            </w:r>
            <w:r w:rsidRPr="0072420E">
              <w:rPr>
                <w:rFonts w:ascii="Times New Roman" w:hAnsi="Times New Roman"/>
                <w:b/>
              </w:rPr>
              <w:t>nd Connective Tissue Disorders</w:t>
            </w:r>
          </w:p>
          <w:p w14:paraId="15D26EEF" w14:textId="77777777" w:rsidR="00C43420" w:rsidRDefault="00C43420" w:rsidP="00C43420">
            <w:pPr>
              <w:autoSpaceDE w:val="0"/>
              <w:autoSpaceDN w:val="0"/>
              <w:adjustRightInd w:val="0"/>
              <w:spacing w:before="60" w:after="60" w:line="240" w:lineRule="auto"/>
              <w:rPr>
                <w:rFonts w:ascii="Times New Roman" w:hAnsi="Times New Roman"/>
              </w:rPr>
            </w:pPr>
            <w:r>
              <w:rPr>
                <w:rFonts w:ascii="Times New Roman" w:hAnsi="Times New Roman"/>
              </w:rPr>
              <w:t xml:space="preserve">     Back pain </w:t>
            </w:r>
          </w:p>
          <w:p w14:paraId="00885953" w14:textId="2CC6C53D" w:rsidR="00C43420" w:rsidRDefault="00C43420" w:rsidP="00C43420">
            <w:pPr>
              <w:autoSpaceDE w:val="0"/>
              <w:autoSpaceDN w:val="0"/>
              <w:adjustRightInd w:val="0"/>
              <w:spacing w:before="60" w:after="60" w:line="240" w:lineRule="auto"/>
              <w:rPr>
                <w:rFonts w:ascii="Times New Roman" w:hAnsi="Times New Roman"/>
              </w:rPr>
            </w:pPr>
            <w:r>
              <w:rPr>
                <w:rFonts w:ascii="Times New Roman" w:hAnsi="Times New Roman"/>
              </w:rPr>
              <w:t xml:space="preserve">     Bone pain</w:t>
            </w:r>
          </w:p>
          <w:p w14:paraId="25148B97" w14:textId="66BF53FE" w:rsidR="00C43420" w:rsidRPr="00880A4F" w:rsidRDefault="00C43420" w:rsidP="00C43420">
            <w:pPr>
              <w:autoSpaceDE w:val="0"/>
              <w:autoSpaceDN w:val="0"/>
              <w:adjustRightInd w:val="0"/>
              <w:spacing w:before="60" w:after="60" w:line="240" w:lineRule="auto"/>
              <w:rPr>
                <w:rFonts w:ascii="Times New Roman" w:hAnsi="Times New Roman"/>
                <w:b/>
              </w:rPr>
            </w:pPr>
            <w:r>
              <w:rPr>
                <w:rFonts w:ascii="Times New Roman" w:hAnsi="Times New Roman"/>
              </w:rPr>
              <w:t xml:space="preserve">     Myalgia  </w:t>
            </w:r>
          </w:p>
        </w:tc>
        <w:tc>
          <w:tcPr>
            <w:tcW w:w="1559" w:type="dxa"/>
            <w:tcBorders>
              <w:top w:val="single" w:sz="4" w:space="0" w:color="auto"/>
              <w:left w:val="single" w:sz="4" w:space="0" w:color="auto"/>
              <w:bottom w:val="single" w:sz="4" w:space="0" w:color="auto"/>
              <w:right w:val="single" w:sz="4" w:space="0" w:color="auto"/>
            </w:tcBorders>
          </w:tcPr>
          <w:p w14:paraId="203BF739"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3788179B" w14:textId="608D022B"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 xml:space="preserve">2 </w:t>
            </w:r>
            <w:r w:rsidRPr="00990347">
              <w:rPr>
                <w:rFonts w:ascii="Times New Roman" w:hAnsi="Times New Roman"/>
              </w:rPr>
              <w:t>(</w:t>
            </w:r>
            <w:r>
              <w:rPr>
                <w:rFonts w:ascii="Times New Roman" w:hAnsi="Times New Roman"/>
              </w:rPr>
              <w:t>1.6</w:t>
            </w:r>
            <w:r w:rsidRPr="00990347">
              <w:rPr>
                <w:rFonts w:ascii="Times New Roman" w:hAnsi="Times New Roman"/>
              </w:rPr>
              <w:t>%)</w:t>
            </w:r>
          </w:p>
          <w:p w14:paraId="7AFE5D3D" w14:textId="4A6BBBA5"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50 (39.4%)</w:t>
            </w:r>
          </w:p>
          <w:p w14:paraId="32365C7E" w14:textId="314ED4C3" w:rsidR="00C43420" w:rsidRPr="00880A4F"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3 (2.4%)</w:t>
            </w:r>
          </w:p>
        </w:tc>
        <w:tc>
          <w:tcPr>
            <w:tcW w:w="1560" w:type="dxa"/>
            <w:tcBorders>
              <w:top w:val="single" w:sz="4" w:space="0" w:color="auto"/>
              <w:left w:val="single" w:sz="4" w:space="0" w:color="auto"/>
              <w:bottom w:val="single" w:sz="4" w:space="0" w:color="auto"/>
              <w:right w:val="single" w:sz="4" w:space="0" w:color="auto"/>
            </w:tcBorders>
          </w:tcPr>
          <w:p w14:paraId="6A870930"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59787836" w14:textId="6C425267"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2</w:t>
            </w:r>
            <w:r w:rsidRPr="003C1B77">
              <w:rPr>
                <w:rFonts w:ascii="Times New Roman" w:hAnsi="Times New Roman"/>
              </w:rPr>
              <w:t xml:space="preserve"> (</w:t>
            </w:r>
            <w:r>
              <w:rPr>
                <w:rFonts w:ascii="Times New Roman" w:hAnsi="Times New Roman"/>
              </w:rPr>
              <w:t>3</w:t>
            </w:r>
            <w:r w:rsidRPr="003C1B77">
              <w:rPr>
                <w:rFonts w:ascii="Times New Roman" w:hAnsi="Times New Roman"/>
              </w:rPr>
              <w:t>%)</w:t>
            </w:r>
          </w:p>
          <w:p w14:paraId="7DA8A088" w14:textId="2B266085" w:rsidR="00C43420"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23 (34.3%)</w:t>
            </w:r>
          </w:p>
          <w:p w14:paraId="3B8201A7" w14:textId="51736ED2" w:rsidR="00C43420" w:rsidRPr="00880A4F"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1 (1.5%)</w:t>
            </w:r>
          </w:p>
        </w:tc>
      </w:tr>
      <w:tr w:rsidR="00C43420" w:rsidRPr="00880A4F" w14:paraId="6EFAF548" w14:textId="77777777" w:rsidTr="001A7651">
        <w:trPr>
          <w:trHeight w:val="537"/>
        </w:trPr>
        <w:tc>
          <w:tcPr>
            <w:tcW w:w="6799" w:type="dxa"/>
            <w:tcBorders>
              <w:top w:val="single" w:sz="4" w:space="0" w:color="auto"/>
              <w:left w:val="single" w:sz="4" w:space="0" w:color="auto"/>
              <w:bottom w:val="single" w:sz="4" w:space="0" w:color="auto"/>
              <w:right w:val="single" w:sz="4" w:space="0" w:color="auto"/>
            </w:tcBorders>
          </w:tcPr>
          <w:p w14:paraId="08EFC18B" w14:textId="4BD4BEC2" w:rsidR="00C43420" w:rsidRPr="0072420E" w:rsidRDefault="0072420E" w:rsidP="00C43420">
            <w:pPr>
              <w:autoSpaceDE w:val="0"/>
              <w:autoSpaceDN w:val="0"/>
              <w:adjustRightInd w:val="0"/>
              <w:spacing w:before="60" w:after="60" w:line="240" w:lineRule="auto"/>
              <w:rPr>
                <w:rFonts w:ascii="Times New Roman" w:hAnsi="Times New Roman"/>
                <w:b/>
              </w:rPr>
            </w:pPr>
            <w:r w:rsidRPr="0072420E">
              <w:rPr>
                <w:rFonts w:ascii="Times New Roman" w:hAnsi="Times New Roman"/>
                <w:b/>
              </w:rPr>
              <w:t>Nervous System Disorders</w:t>
            </w:r>
          </w:p>
          <w:p w14:paraId="732BCCE3" w14:textId="483CB0C8" w:rsidR="00C43420" w:rsidRPr="00F86487" w:rsidRDefault="00C43420" w:rsidP="00C43420">
            <w:pPr>
              <w:autoSpaceDE w:val="0"/>
              <w:autoSpaceDN w:val="0"/>
              <w:adjustRightInd w:val="0"/>
              <w:spacing w:before="60" w:after="60" w:line="240" w:lineRule="auto"/>
              <w:rPr>
                <w:rFonts w:ascii="Times New Roman" w:hAnsi="Times New Roman"/>
              </w:rPr>
            </w:pPr>
            <w:r>
              <w:rPr>
                <w:rFonts w:ascii="Times New Roman" w:hAnsi="Times New Roman"/>
              </w:rPr>
              <w:t xml:space="preserve">     Headache</w:t>
            </w:r>
          </w:p>
        </w:tc>
        <w:tc>
          <w:tcPr>
            <w:tcW w:w="1559" w:type="dxa"/>
            <w:tcBorders>
              <w:top w:val="single" w:sz="4" w:space="0" w:color="auto"/>
              <w:left w:val="single" w:sz="4" w:space="0" w:color="auto"/>
              <w:bottom w:val="single" w:sz="4" w:space="0" w:color="auto"/>
              <w:right w:val="single" w:sz="4" w:space="0" w:color="auto"/>
            </w:tcBorders>
          </w:tcPr>
          <w:p w14:paraId="72601CC5"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6BB6CFC4" w14:textId="12D78C7B" w:rsidR="00C43420" w:rsidRPr="00880A4F"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5</w:t>
            </w:r>
            <w:r w:rsidRPr="0006295A">
              <w:rPr>
                <w:rFonts w:ascii="Times New Roman" w:hAnsi="Times New Roman"/>
              </w:rPr>
              <w:t xml:space="preserve"> (</w:t>
            </w:r>
            <w:r>
              <w:rPr>
                <w:rFonts w:ascii="Times New Roman" w:hAnsi="Times New Roman"/>
              </w:rPr>
              <w:t>3.9%</w:t>
            </w:r>
            <w:r w:rsidRPr="0006295A">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Pr>
          <w:p w14:paraId="5F4D763B" w14:textId="77777777" w:rsidR="00C43420" w:rsidRDefault="00C43420" w:rsidP="00C43420">
            <w:pPr>
              <w:autoSpaceDE w:val="0"/>
              <w:autoSpaceDN w:val="0"/>
              <w:adjustRightInd w:val="0"/>
              <w:spacing w:before="60" w:after="60" w:line="240" w:lineRule="auto"/>
              <w:jc w:val="center"/>
              <w:rPr>
                <w:rFonts w:ascii="Times New Roman" w:hAnsi="Times New Roman"/>
              </w:rPr>
            </w:pPr>
          </w:p>
          <w:p w14:paraId="3B02A183" w14:textId="37EC8DCA" w:rsidR="00C43420" w:rsidRPr="00880A4F" w:rsidRDefault="00C43420" w:rsidP="00C43420">
            <w:pPr>
              <w:autoSpaceDE w:val="0"/>
              <w:autoSpaceDN w:val="0"/>
              <w:adjustRightInd w:val="0"/>
              <w:spacing w:before="60" w:after="60" w:line="240" w:lineRule="auto"/>
              <w:jc w:val="center"/>
              <w:rPr>
                <w:rFonts w:ascii="Times New Roman" w:hAnsi="Times New Roman"/>
              </w:rPr>
            </w:pPr>
            <w:r>
              <w:rPr>
                <w:rFonts w:ascii="Times New Roman" w:hAnsi="Times New Roman"/>
              </w:rPr>
              <w:t>2</w:t>
            </w:r>
            <w:r w:rsidRPr="00304524">
              <w:rPr>
                <w:rFonts w:ascii="Times New Roman" w:hAnsi="Times New Roman"/>
              </w:rPr>
              <w:t xml:space="preserve"> (</w:t>
            </w:r>
            <w:r>
              <w:rPr>
                <w:rFonts w:ascii="Times New Roman" w:hAnsi="Times New Roman"/>
              </w:rPr>
              <w:t>3</w:t>
            </w:r>
            <w:r w:rsidRPr="00304524">
              <w:rPr>
                <w:rFonts w:ascii="Times New Roman" w:hAnsi="Times New Roman"/>
              </w:rPr>
              <w:t>%)</w:t>
            </w:r>
          </w:p>
        </w:tc>
      </w:tr>
    </w:tbl>
    <w:p w14:paraId="6D1053ED" w14:textId="77777777" w:rsidR="0072420E" w:rsidRDefault="0072420E" w:rsidP="0072420E">
      <w:pPr>
        <w:pStyle w:val="SubjectHeading"/>
        <w:spacing w:before="0" w:after="240" w:line="240" w:lineRule="auto"/>
        <w:rPr>
          <w:rFonts w:ascii="Times New Roman" w:hAnsi="Times New Roman" w:cs="Times New Roman"/>
          <w:b w:val="0"/>
          <w:caps w:val="0"/>
          <w:sz w:val="22"/>
        </w:rPr>
      </w:pPr>
    </w:p>
    <w:p w14:paraId="7E194B12" w14:textId="7D98E183" w:rsidR="001A7651" w:rsidRDefault="00C43420" w:rsidP="0072420E">
      <w:pPr>
        <w:pStyle w:val="SubjectHeading"/>
        <w:spacing w:before="0" w:after="240" w:line="240" w:lineRule="auto"/>
        <w:rPr>
          <w:rFonts w:ascii="Times New Roman" w:hAnsi="Times New Roman" w:cs="Times New Roman"/>
          <w:b w:val="0"/>
          <w:caps w:val="0"/>
          <w:sz w:val="22"/>
        </w:rPr>
      </w:pPr>
      <w:r w:rsidRPr="001A7651">
        <w:rPr>
          <w:rFonts w:ascii="Times New Roman" w:hAnsi="Times New Roman" w:cs="Times New Roman"/>
          <w:b w:val="0"/>
          <w:caps w:val="0"/>
          <w:sz w:val="22"/>
        </w:rPr>
        <w:t>Overall, across the 3 clinical studies, Fulphila was generally well tolerated and the adverse events reported with Fulphila were similar to Neulasta and consistent with the clinical data of pegfilgrastim (Neulasta). The most frequently reported musculoskeletal events are likely the result of bone pain, which was expected based on the mode of action of pegfilgrastim. No serious adverse events related to Fulphila were reported.</w:t>
      </w:r>
    </w:p>
    <w:p w14:paraId="2655E9B9" w14:textId="2F5229C6" w:rsidR="00AF1BED" w:rsidRPr="001A7651" w:rsidRDefault="00AF1BED" w:rsidP="00E16114">
      <w:pPr>
        <w:pStyle w:val="SubjectHeading"/>
      </w:pPr>
      <w:r w:rsidRPr="001A7651">
        <w:t>DOSAGE AND ADMINISTRATION</w:t>
      </w:r>
    </w:p>
    <w:p w14:paraId="674F62E9" w14:textId="6B6E1D67" w:rsidR="00DD3E83" w:rsidRDefault="00DD3E83" w:rsidP="00DD3E83">
      <w:pPr>
        <w:pStyle w:val="Bodyofcontents"/>
      </w:pPr>
      <w:r w:rsidRPr="00DD3E83">
        <w:t xml:space="preserve">The recommended dosage of </w:t>
      </w:r>
      <w:r w:rsidR="0000224F">
        <w:t>FULPHILA</w:t>
      </w:r>
      <w:r w:rsidRPr="00DD3E83">
        <w:t xml:space="preserve"> is a single SC injection of 6 mg administered once</w:t>
      </w:r>
      <w:r>
        <w:t xml:space="preserve"> </w:t>
      </w:r>
      <w:r w:rsidRPr="00DD3E83">
        <w:t xml:space="preserve">per chemotherapy cycle. </w:t>
      </w:r>
      <w:r w:rsidR="0000224F">
        <w:t>FULPHILA</w:t>
      </w:r>
      <w:r w:rsidRPr="00DD3E83">
        <w:t xml:space="preserve"> should be administered approximately 24 hours after the</w:t>
      </w:r>
      <w:r>
        <w:t xml:space="preserve"> </w:t>
      </w:r>
      <w:r w:rsidRPr="00DD3E83">
        <w:t xml:space="preserve">administration of cytotoxic chemotherapy. In clinical studies, </w:t>
      </w:r>
      <w:r w:rsidR="0000224F">
        <w:t>FULPHILA</w:t>
      </w:r>
      <w:r w:rsidRPr="00DD3E83">
        <w:t xml:space="preserve"> has been safely</w:t>
      </w:r>
      <w:r>
        <w:t xml:space="preserve"> </w:t>
      </w:r>
      <w:r w:rsidRPr="00DD3E83">
        <w:t>administered 14 days before chemotherapy (see PRECAUTIONS).</w:t>
      </w:r>
      <w:r>
        <w:t xml:space="preserve"> </w:t>
      </w:r>
    </w:p>
    <w:p w14:paraId="07304651" w14:textId="38968B40" w:rsidR="00DD3E83" w:rsidRDefault="00DD3E83" w:rsidP="00DD3E83">
      <w:pPr>
        <w:pStyle w:val="Subheading1"/>
      </w:pPr>
      <w:r>
        <w:t xml:space="preserve">Preparation and Administration </w:t>
      </w:r>
    </w:p>
    <w:p w14:paraId="6AA11CCF" w14:textId="768164D3" w:rsidR="00DD3E83" w:rsidRPr="00DD3E83" w:rsidRDefault="0000224F" w:rsidP="00DD3E83">
      <w:pPr>
        <w:pStyle w:val="Bodyofcontents"/>
      </w:pPr>
      <w:r>
        <w:t>FULPHILA</w:t>
      </w:r>
      <w:r w:rsidR="00DD3E83" w:rsidRPr="00DD3E83">
        <w:t xml:space="preserve"> contains no antimicrobial agent. </w:t>
      </w:r>
      <w:r>
        <w:t>FULPHILA</w:t>
      </w:r>
      <w:r w:rsidR="00420CC3" w:rsidRPr="00DD3E83">
        <w:t xml:space="preserve"> </w:t>
      </w:r>
      <w:r w:rsidR="00DD3E83" w:rsidRPr="00DD3E83">
        <w:t>is for single use in 1 patient only.</w:t>
      </w:r>
      <w:r w:rsidR="00420CC3">
        <w:t xml:space="preserve"> </w:t>
      </w:r>
      <w:r w:rsidR="00DD3E83" w:rsidRPr="00DD3E83">
        <w:t>Discard any residue.</w:t>
      </w:r>
    </w:p>
    <w:p w14:paraId="7DB96C47" w14:textId="31EC68AE" w:rsidR="00DD3E83" w:rsidRPr="00DD3E83" w:rsidRDefault="00DD3E83" w:rsidP="00DD3E83">
      <w:pPr>
        <w:pStyle w:val="Bodyofcontents"/>
      </w:pPr>
      <w:r w:rsidRPr="00DD3E83">
        <w:t>Parenteral drug products should be inspected visually for particulate matter and</w:t>
      </w:r>
      <w:r w:rsidR="00420CC3">
        <w:t xml:space="preserve"> </w:t>
      </w:r>
      <w:r w:rsidRPr="00DD3E83">
        <w:t>discolouration prior to administration. Do not use any products exhibiting particulate matter</w:t>
      </w:r>
      <w:r w:rsidR="00420CC3">
        <w:t xml:space="preserve"> </w:t>
      </w:r>
      <w:r w:rsidRPr="00DD3E83">
        <w:t>or discolouration.</w:t>
      </w:r>
    </w:p>
    <w:p w14:paraId="0D728669" w14:textId="10FD79F6" w:rsidR="00DD3E83" w:rsidRDefault="00DD3E83" w:rsidP="00DD3E83">
      <w:pPr>
        <w:pStyle w:val="Bodyofcontents"/>
      </w:pPr>
      <w:r w:rsidRPr="00DD3E83">
        <w:t>Avoid shaking. Allow the ready to use pre-filled syringe with automatic needle guard to</w:t>
      </w:r>
      <w:r w:rsidR="00420CC3">
        <w:t xml:space="preserve"> </w:t>
      </w:r>
      <w:r w:rsidRPr="00DD3E83">
        <w:t>reach room temperature before injecting.</w:t>
      </w:r>
    </w:p>
    <w:p w14:paraId="2B65D3F2" w14:textId="77777777" w:rsidR="00AF1BED" w:rsidRDefault="00AF1BED" w:rsidP="00087724">
      <w:pPr>
        <w:pStyle w:val="SubjectHeading"/>
      </w:pPr>
      <w:r>
        <w:t>OVERDOSAGE</w:t>
      </w:r>
    </w:p>
    <w:p w14:paraId="047F8A21" w14:textId="7607FDDB" w:rsidR="00420CC3" w:rsidRDefault="00420CC3" w:rsidP="00420CC3">
      <w:pPr>
        <w:pStyle w:val="Bodyofcontents"/>
      </w:pPr>
      <w:r w:rsidRPr="00420CC3">
        <w:t xml:space="preserve">There is no experience with overdose of </w:t>
      </w:r>
      <w:r>
        <w:t>pegfilgrastim</w:t>
      </w:r>
      <w:r w:rsidRPr="00420CC3">
        <w:t xml:space="preserve"> in humans. In subjects administered</w:t>
      </w:r>
      <w:r>
        <w:t xml:space="preserve"> </w:t>
      </w:r>
      <w:r w:rsidRPr="00420CC3">
        <w:t>doses of up to 5 times the recommended dose, adverse events were similar to those</w:t>
      </w:r>
      <w:r>
        <w:t xml:space="preserve"> </w:t>
      </w:r>
      <w:r w:rsidRPr="00420CC3">
        <w:t xml:space="preserve">observed in subjects administered lower doses of </w:t>
      </w:r>
      <w:r>
        <w:t>pegfilgrastim</w:t>
      </w:r>
      <w:r w:rsidRPr="00420CC3">
        <w:t>.</w:t>
      </w:r>
      <w:r w:rsidRPr="00087724">
        <w:t xml:space="preserve"> </w:t>
      </w:r>
    </w:p>
    <w:p w14:paraId="3F2E5548" w14:textId="2BE2BB67" w:rsidR="00AF1BED" w:rsidRPr="00087724" w:rsidRDefault="00AF1BED" w:rsidP="00420CC3">
      <w:pPr>
        <w:pStyle w:val="Bodyofcontents"/>
      </w:pPr>
      <w:r w:rsidRPr="00087724">
        <w:t>Contact the Poisons Information Centre in Australia on 131126 for advice on the management of an overdose.</w:t>
      </w:r>
    </w:p>
    <w:p w14:paraId="0466ECC7" w14:textId="5191938A" w:rsidR="00AF1BED" w:rsidRDefault="00AF1BED" w:rsidP="00087724">
      <w:pPr>
        <w:pStyle w:val="SubjectHeading"/>
      </w:pPr>
      <w:r>
        <w:lastRenderedPageBreak/>
        <w:t>PRESENTATION</w:t>
      </w:r>
      <w:r w:rsidR="000C5452">
        <w:t xml:space="preserve"> </w:t>
      </w:r>
      <w:r>
        <w:t>AND STORAGE CONDITIONS</w:t>
      </w:r>
    </w:p>
    <w:p w14:paraId="65D39F59" w14:textId="681E3B19" w:rsidR="00420CC3" w:rsidRPr="00420CC3" w:rsidRDefault="00420CC3" w:rsidP="00420CC3">
      <w:pPr>
        <w:pStyle w:val="Bodyofcontents"/>
      </w:pPr>
      <w:r w:rsidRPr="00420CC3">
        <w:t xml:space="preserve">Each </w:t>
      </w:r>
      <w:r w:rsidR="00494591" w:rsidRPr="00EC44C6">
        <w:t>FULPHILA</w:t>
      </w:r>
      <w:r w:rsidR="00494591" w:rsidRPr="00420CC3">
        <w:t xml:space="preserve"> </w:t>
      </w:r>
      <w:r w:rsidRPr="00420CC3">
        <w:t xml:space="preserve">carton contains 1 ready to use pre-filled </w:t>
      </w:r>
      <w:r w:rsidR="00D61C42">
        <w:t xml:space="preserve">glass </w:t>
      </w:r>
      <w:r w:rsidRPr="00420CC3">
        <w:t>syringe with automatic needle guard</w:t>
      </w:r>
      <w:r>
        <w:t xml:space="preserve"> </w:t>
      </w:r>
      <w:r w:rsidRPr="00420CC3">
        <w:t>containing 6 mg of peg</w:t>
      </w:r>
      <w:r>
        <w:t>filgrastim in 0.6 mL (1</w:t>
      </w:r>
      <w:r w:rsidRPr="00420CC3">
        <w:t>0 mg/mL) solution for SC injection.</w:t>
      </w:r>
    </w:p>
    <w:p w14:paraId="07E0E98C" w14:textId="14D16672" w:rsidR="00420CC3" w:rsidRPr="00EC44C6" w:rsidRDefault="00420CC3" w:rsidP="00420CC3">
      <w:pPr>
        <w:pStyle w:val="Bodyofcontents"/>
      </w:pPr>
      <w:r w:rsidRPr="00EC44C6">
        <w:t>Store at 2</w:t>
      </w:r>
      <w:r w:rsidRPr="00EC44C6">
        <w:rPr>
          <w:lang w:val="en-US"/>
        </w:rPr>
        <w:t>°C</w:t>
      </w:r>
      <w:r w:rsidRPr="00EC44C6">
        <w:t xml:space="preserve"> to 8°C. (Refrigerate. Do not freeze). Avoid shaking. Protect from light.</w:t>
      </w:r>
    </w:p>
    <w:p w14:paraId="44D2EC7B" w14:textId="06577509" w:rsidR="00273848" w:rsidRPr="00A15169" w:rsidRDefault="00273848" w:rsidP="00087724">
      <w:pPr>
        <w:pStyle w:val="SubjectHeading"/>
      </w:pPr>
      <w:r w:rsidRPr="00A15169">
        <w:t>NAME AND ADDRESS OF THE SPONSOR</w:t>
      </w:r>
    </w:p>
    <w:p w14:paraId="6AC711A2" w14:textId="63105DB0" w:rsidR="00671103" w:rsidRPr="00A15169" w:rsidRDefault="00671103" w:rsidP="002A2570">
      <w:pPr>
        <w:pStyle w:val="Subheading2"/>
        <w:spacing w:after="120"/>
      </w:pPr>
      <w:r w:rsidRPr="00A15169">
        <w:t>Alphapharm Pty L</w:t>
      </w:r>
      <w:r w:rsidR="00F87A75">
        <w:t>t</w:t>
      </w:r>
      <w:r w:rsidRPr="00A15169">
        <w:t>d</w:t>
      </w:r>
    </w:p>
    <w:p w14:paraId="71FC63B7" w14:textId="77777777" w:rsidR="00671103" w:rsidRPr="00A15169" w:rsidRDefault="00671103" w:rsidP="002A2570">
      <w:pPr>
        <w:pStyle w:val="Bodyofcontents"/>
        <w:spacing w:after="120"/>
        <w:rPr>
          <w:lang w:val="en-US"/>
        </w:rPr>
      </w:pPr>
      <w:r w:rsidRPr="00A15169">
        <w:rPr>
          <w:lang w:val="en-US"/>
        </w:rPr>
        <w:t>Level 1, 30 The Bond</w:t>
      </w:r>
    </w:p>
    <w:p w14:paraId="7A8A6B06" w14:textId="77777777" w:rsidR="00671103" w:rsidRPr="00A15169" w:rsidRDefault="00671103" w:rsidP="002A2570">
      <w:pPr>
        <w:pStyle w:val="Bodyofcontents"/>
        <w:spacing w:after="120"/>
        <w:rPr>
          <w:lang w:val="en-US"/>
        </w:rPr>
      </w:pPr>
      <w:r w:rsidRPr="00A15169">
        <w:rPr>
          <w:lang w:val="en-US"/>
        </w:rPr>
        <w:t>30-34 Hickson Road</w:t>
      </w:r>
    </w:p>
    <w:p w14:paraId="2B38B5A6" w14:textId="77777777" w:rsidR="00671103" w:rsidRPr="00A15169" w:rsidRDefault="00671103" w:rsidP="002A2570">
      <w:pPr>
        <w:pStyle w:val="Bodyofcontents"/>
        <w:spacing w:after="120"/>
      </w:pPr>
      <w:r w:rsidRPr="00A15169">
        <w:rPr>
          <w:lang w:val="en-US"/>
        </w:rPr>
        <w:t>Millers Point NSW 2000</w:t>
      </w:r>
    </w:p>
    <w:p w14:paraId="677EE3A6" w14:textId="31267B28" w:rsidR="00671103" w:rsidRPr="00A15169" w:rsidRDefault="00420CC3" w:rsidP="002A2570">
      <w:pPr>
        <w:pStyle w:val="Bodyofcontents"/>
        <w:spacing w:after="120"/>
        <w:rPr>
          <w:rFonts w:eastAsia="PMingLiU"/>
          <w:lang w:eastAsia="zh-HK"/>
        </w:rPr>
      </w:pPr>
      <w:r w:rsidRPr="00C43420">
        <w:rPr>
          <w:rFonts w:eastAsia="PMingLiU"/>
          <w:lang w:eastAsia="zh-HK"/>
        </w:rPr>
        <w:t>www.mylan.com.au</w:t>
      </w:r>
    </w:p>
    <w:p w14:paraId="35BA82C0" w14:textId="77777777" w:rsidR="00273848" w:rsidRPr="00A15169" w:rsidRDefault="00273848" w:rsidP="00087724">
      <w:pPr>
        <w:pStyle w:val="SubjectHeading"/>
      </w:pPr>
      <w:r w:rsidRPr="00A15169">
        <w:t>POISON SCHEDULE OF THE MEDICINE</w:t>
      </w:r>
    </w:p>
    <w:p w14:paraId="4F36C283" w14:textId="77777777" w:rsidR="00273848" w:rsidRPr="00A15169" w:rsidRDefault="00273848" w:rsidP="00087724">
      <w:pPr>
        <w:pStyle w:val="Bodyofcontents"/>
      </w:pPr>
      <w:r w:rsidRPr="00A15169">
        <w:t>S4 (Prescription Only Medicine)</w:t>
      </w:r>
    </w:p>
    <w:p w14:paraId="02D0EF5D" w14:textId="77777777" w:rsidR="00A42CEC" w:rsidRDefault="00A42CEC" w:rsidP="00087724">
      <w:pPr>
        <w:pStyle w:val="SubjectHeading"/>
      </w:pPr>
      <w:r>
        <w:t>DATE OF FIRST INCLUSION IN THE AUSTRALIAN REGISTER OF THERAPEUTIC GOODS (the ARTG)</w:t>
      </w:r>
    </w:p>
    <w:p w14:paraId="66BDC1B9" w14:textId="0018F3B4" w:rsidR="00273848" w:rsidRDefault="0019221B" w:rsidP="005308EE">
      <w:pPr>
        <w:pStyle w:val="Bodyofcontents"/>
      </w:pPr>
      <w:r>
        <w:t>17 August 2018</w:t>
      </w:r>
      <w:bookmarkStart w:id="3" w:name="_GoBack"/>
      <w:bookmarkEnd w:id="3"/>
    </w:p>
    <w:sectPr w:rsidR="00273848" w:rsidSect="001A7651">
      <w:headerReference w:type="default" r:id="rId13"/>
      <w:headerReference w:type="first" r:id="rId14"/>
      <w:pgSz w:w="11906" w:h="16838" w:code="9"/>
      <w:pgMar w:top="454" w:right="902" w:bottom="709"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81374" w14:textId="77777777" w:rsidR="005A1B09" w:rsidRDefault="005A1B09" w:rsidP="008B3326">
      <w:pPr>
        <w:spacing w:after="0" w:line="240" w:lineRule="auto"/>
      </w:pPr>
      <w:r>
        <w:separator/>
      </w:r>
    </w:p>
  </w:endnote>
  <w:endnote w:type="continuationSeparator" w:id="0">
    <w:p w14:paraId="13D58044" w14:textId="77777777" w:rsidR="005A1B09" w:rsidRDefault="005A1B09" w:rsidP="008B3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7ECE" w14:textId="77777777" w:rsidR="005A1B09" w:rsidRDefault="005A1B09" w:rsidP="008B3326">
      <w:pPr>
        <w:spacing w:after="0" w:line="240" w:lineRule="auto"/>
      </w:pPr>
      <w:r>
        <w:separator/>
      </w:r>
    </w:p>
  </w:footnote>
  <w:footnote w:type="continuationSeparator" w:id="0">
    <w:p w14:paraId="6E92CC13" w14:textId="77777777" w:rsidR="005A1B09" w:rsidRDefault="005A1B09" w:rsidP="008B3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16B0F" w:rsidRPr="002E7F61" w14:paraId="26FDDFB3" w14:textId="77777777" w:rsidTr="008D550F">
      <w:trPr>
        <w:trHeight w:val="590"/>
      </w:trPr>
      <w:tc>
        <w:tcPr>
          <w:tcW w:w="8720" w:type="dxa"/>
          <w:shd w:val="clear" w:color="auto" w:fill="E4F2E0"/>
        </w:tcPr>
        <w:p w14:paraId="637BFF4C" w14:textId="77777777" w:rsidR="00116B0F" w:rsidRPr="002E7F61" w:rsidRDefault="00116B0F" w:rsidP="008D550F">
          <w:pPr>
            <w:pStyle w:val="Footer"/>
            <w:rPr>
              <w:b/>
              <w:sz w:val="18"/>
              <w:szCs w:val="18"/>
            </w:rPr>
          </w:pPr>
          <w:r w:rsidRPr="002E7F61">
            <w:rPr>
              <w:b/>
              <w:sz w:val="18"/>
              <w:szCs w:val="18"/>
            </w:rPr>
            <w:t xml:space="preserve">Attachment 1: Product information </w:t>
          </w:r>
          <w:r w:rsidRPr="00FC6108">
            <w:rPr>
              <w:b/>
              <w:sz w:val="18"/>
              <w:szCs w:val="18"/>
            </w:rPr>
            <w:t xml:space="preserve">AusPAR - FULPHILA - </w:t>
          </w:r>
          <w:proofErr w:type="spellStart"/>
          <w:r w:rsidRPr="00FC6108">
            <w:rPr>
              <w:b/>
              <w:sz w:val="18"/>
              <w:szCs w:val="18"/>
            </w:rPr>
            <w:t>Pegfilgrastim</w:t>
          </w:r>
          <w:proofErr w:type="spellEnd"/>
          <w:r w:rsidRPr="00FC6108">
            <w:rPr>
              <w:b/>
              <w:sz w:val="18"/>
              <w:szCs w:val="18"/>
            </w:rPr>
            <w:t xml:space="preserve"> - </w:t>
          </w:r>
          <w:proofErr w:type="spellStart"/>
          <w:r w:rsidRPr="00FC6108">
            <w:rPr>
              <w:b/>
              <w:sz w:val="18"/>
              <w:szCs w:val="18"/>
            </w:rPr>
            <w:t>Alphapharm</w:t>
          </w:r>
          <w:proofErr w:type="spellEnd"/>
          <w:r w:rsidRPr="00FC6108">
            <w:rPr>
              <w:b/>
              <w:sz w:val="18"/>
              <w:szCs w:val="18"/>
            </w:rPr>
            <w:t xml:space="preserve"> Pty Ltd - PM-2016-03834-1-4 FINAL 28 March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496EF0E8" w14:textId="77777777" w:rsidR="00116B0F" w:rsidRDefault="00116B0F" w:rsidP="00030411">
    <w:pPr>
      <w:pStyle w:val="Header"/>
      <w:pBdr>
        <w:bottom w:val="single" w:sz="4" w:space="1" w:color="auto"/>
      </w:pBdr>
      <w:tabs>
        <w:tab w:val="clear" w:pos="4513"/>
        <w:tab w:val="clear" w:pos="9026"/>
        <w:tab w:val="right" w:pos="9870"/>
      </w:tabs>
      <w:rPr>
        <w:rFonts w:cs="Arial"/>
        <w:b/>
      </w:rPr>
    </w:pPr>
  </w:p>
  <w:p w14:paraId="387467AC" w14:textId="020E4EF7" w:rsidR="000A177A" w:rsidRPr="008B3326" w:rsidRDefault="000A177A" w:rsidP="00030411">
    <w:pPr>
      <w:pStyle w:val="Header"/>
      <w:pBdr>
        <w:bottom w:val="single" w:sz="4" w:space="1" w:color="auto"/>
      </w:pBdr>
      <w:tabs>
        <w:tab w:val="clear" w:pos="4513"/>
        <w:tab w:val="clear" w:pos="9026"/>
        <w:tab w:val="right" w:pos="9870"/>
      </w:tabs>
      <w:rPr>
        <w:rFonts w:cs="Arial"/>
        <w:b/>
      </w:rPr>
    </w:pPr>
    <w:r>
      <w:rPr>
        <w:rFonts w:cs="Arial"/>
        <w:b/>
      </w:rPr>
      <w:t>FULPHILA</w:t>
    </w:r>
    <w:r w:rsidRPr="008B3326">
      <w:rPr>
        <w:rFonts w:cs="Arial"/>
      </w:rPr>
      <w:t xml:space="preserve"> </w:t>
    </w:r>
    <w:r>
      <w:rPr>
        <w:rFonts w:cs="Arial"/>
      </w:rPr>
      <w:t>-</w:t>
    </w:r>
    <w:r w:rsidRPr="008B3326">
      <w:rPr>
        <w:rFonts w:cs="Arial"/>
      </w:rPr>
      <w:t xml:space="preserve"> PRODUCT INFORMATION</w:t>
    </w:r>
    <w:r w:rsidRPr="008B3326">
      <w:rPr>
        <w:rFonts w:cs="Arial"/>
      </w:rPr>
      <w:tab/>
    </w:r>
    <w:r w:rsidRPr="008B3326">
      <w:rPr>
        <w:rFonts w:cs="Arial"/>
      </w:rPr>
      <w:fldChar w:fldCharType="begin"/>
    </w:r>
    <w:r w:rsidRPr="008B3326">
      <w:rPr>
        <w:rFonts w:cs="Arial"/>
      </w:rPr>
      <w:instrText xml:space="preserve"> PAGE  \* Arabic  \* MERGEFORMAT </w:instrText>
    </w:r>
    <w:r w:rsidRPr="008B3326">
      <w:rPr>
        <w:rFonts w:cs="Arial"/>
      </w:rPr>
      <w:fldChar w:fldCharType="separate"/>
    </w:r>
    <w:r w:rsidR="00116B0F">
      <w:rPr>
        <w:rFonts w:cs="Arial"/>
        <w:noProof/>
      </w:rPr>
      <w:t>15</w:t>
    </w:r>
    <w:r w:rsidRPr="008B3326">
      <w:rPr>
        <w:rFonts w:cs="Arial"/>
      </w:rPr>
      <w:fldChar w:fldCharType="end"/>
    </w:r>
  </w:p>
  <w:p w14:paraId="64BA0BEC" w14:textId="77777777" w:rsidR="000A177A" w:rsidRPr="008B3326" w:rsidRDefault="000A17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116B0F" w:rsidRPr="002E7F61" w14:paraId="59C72F50" w14:textId="77777777" w:rsidTr="008D550F">
      <w:trPr>
        <w:trHeight w:val="590"/>
      </w:trPr>
      <w:tc>
        <w:tcPr>
          <w:tcW w:w="8720" w:type="dxa"/>
          <w:shd w:val="clear" w:color="auto" w:fill="E4F2E0"/>
        </w:tcPr>
        <w:p w14:paraId="0F2356D7" w14:textId="77777777" w:rsidR="00116B0F" w:rsidRPr="002E7F61" w:rsidRDefault="00116B0F" w:rsidP="008D550F">
          <w:pPr>
            <w:pStyle w:val="Footer"/>
            <w:rPr>
              <w:b/>
              <w:sz w:val="18"/>
              <w:szCs w:val="18"/>
            </w:rPr>
          </w:pPr>
          <w:r w:rsidRPr="002E7F61">
            <w:rPr>
              <w:b/>
              <w:sz w:val="18"/>
              <w:szCs w:val="18"/>
            </w:rPr>
            <w:t xml:space="preserve">Attachment 1: Product information </w:t>
          </w:r>
          <w:r w:rsidRPr="00FC6108">
            <w:rPr>
              <w:b/>
              <w:sz w:val="18"/>
              <w:szCs w:val="18"/>
            </w:rPr>
            <w:t xml:space="preserve">AusPAR - FULPHILA - </w:t>
          </w:r>
          <w:proofErr w:type="spellStart"/>
          <w:r w:rsidRPr="00FC6108">
            <w:rPr>
              <w:b/>
              <w:sz w:val="18"/>
              <w:szCs w:val="18"/>
            </w:rPr>
            <w:t>Pegfilgrastim</w:t>
          </w:r>
          <w:proofErr w:type="spellEnd"/>
          <w:r w:rsidRPr="00FC6108">
            <w:rPr>
              <w:b/>
              <w:sz w:val="18"/>
              <w:szCs w:val="18"/>
            </w:rPr>
            <w:t xml:space="preserve"> - </w:t>
          </w:r>
          <w:proofErr w:type="spellStart"/>
          <w:r w:rsidRPr="00FC6108">
            <w:rPr>
              <w:b/>
              <w:sz w:val="18"/>
              <w:szCs w:val="18"/>
            </w:rPr>
            <w:t>Alphapharm</w:t>
          </w:r>
          <w:proofErr w:type="spellEnd"/>
          <w:r w:rsidRPr="00FC6108">
            <w:rPr>
              <w:b/>
              <w:sz w:val="18"/>
              <w:szCs w:val="18"/>
            </w:rPr>
            <w:t xml:space="preserve"> Pty Ltd - PM-2016-03834-1-4 FINAL 28 March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417DF528" w14:textId="01016692" w:rsidR="00116B0F" w:rsidRDefault="00116B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4103"/>
    <w:multiLevelType w:val="hybridMultilevel"/>
    <w:tmpl w:val="7D78C5BE"/>
    <w:lvl w:ilvl="0" w:tplc="2C8A2642">
      <w:numFmt w:val="bullet"/>
      <w:lvlText w:val=""/>
      <w:lvlJc w:val="left"/>
      <w:pPr>
        <w:ind w:left="1080" w:hanging="360"/>
      </w:pPr>
      <w:rPr>
        <w:rFonts w:ascii="Times New Roman" w:eastAsia="SimSu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5F66D69"/>
    <w:multiLevelType w:val="hybridMultilevel"/>
    <w:tmpl w:val="28406E22"/>
    <w:lvl w:ilvl="0" w:tplc="FC2A6B3A">
      <w:start w:val="27"/>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6B7C76"/>
    <w:multiLevelType w:val="hybridMultilevel"/>
    <w:tmpl w:val="3EFA8480"/>
    <w:lvl w:ilvl="0" w:tplc="0C090001">
      <w:start w:val="1"/>
      <w:numFmt w:val="bullet"/>
      <w:pStyle w:val="Bodydo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B2458F"/>
    <w:multiLevelType w:val="hybridMultilevel"/>
    <w:tmpl w:val="7B2CC0DC"/>
    <w:lvl w:ilvl="0" w:tplc="2C8A2642">
      <w:numFmt w:val="bullet"/>
      <w:lvlText w:val=""/>
      <w:lvlJc w:val="left"/>
      <w:pPr>
        <w:ind w:left="1080" w:hanging="360"/>
      </w:pPr>
      <w:rPr>
        <w:rFonts w:ascii="Times New Roman" w:eastAsia="SimSu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9766EAE"/>
    <w:multiLevelType w:val="hybridMultilevel"/>
    <w:tmpl w:val="66BE1364"/>
    <w:lvl w:ilvl="0" w:tplc="7CF2B252">
      <w:start w:val="5"/>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564BFD"/>
    <w:multiLevelType w:val="hybridMultilevel"/>
    <w:tmpl w:val="112AC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91771D"/>
    <w:multiLevelType w:val="hybridMultilevel"/>
    <w:tmpl w:val="38A46AE6"/>
    <w:lvl w:ilvl="0" w:tplc="2C8A2642">
      <w:numFmt w:val="bullet"/>
      <w:lvlText w:val=""/>
      <w:lvlJc w:val="left"/>
      <w:pPr>
        <w:ind w:left="720" w:hanging="360"/>
      </w:pPr>
      <w:rPr>
        <w:rFonts w:ascii="Times New Roman" w:eastAsia="SimSu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8526B7"/>
    <w:multiLevelType w:val="hybridMultilevel"/>
    <w:tmpl w:val="0D827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807CD6"/>
    <w:multiLevelType w:val="hybridMultilevel"/>
    <w:tmpl w:val="3288DF86"/>
    <w:lvl w:ilvl="0" w:tplc="042E946A">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
    <w:nsid w:val="46403CED"/>
    <w:multiLevelType w:val="hybridMultilevel"/>
    <w:tmpl w:val="07B4F6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7C547378"/>
    <w:multiLevelType w:val="hybridMultilevel"/>
    <w:tmpl w:val="3D9E61D2"/>
    <w:lvl w:ilvl="0" w:tplc="F14A635C">
      <w:start w:val="5"/>
      <w:numFmt w:val="bullet"/>
      <w:lvlText w:val=""/>
      <w:lvlJc w:val="left"/>
      <w:pPr>
        <w:ind w:left="720" w:hanging="360"/>
      </w:pPr>
      <w:rPr>
        <w:rFonts w:ascii="Wingdings" w:eastAsia="SimSu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EE15E9D"/>
    <w:multiLevelType w:val="hybridMultilevel"/>
    <w:tmpl w:val="5EEAD310"/>
    <w:lvl w:ilvl="0" w:tplc="D5F24688">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9"/>
  </w:num>
  <w:num w:numId="8">
    <w:abstractNumId w:val="2"/>
  </w:num>
  <w:num w:numId="9">
    <w:abstractNumId w:val="8"/>
  </w:num>
  <w:num w:numId="10">
    <w:abstractNumId w:val="11"/>
  </w:num>
  <w:num w:numId="11">
    <w:abstractNumId w:val="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DD"/>
    <w:rsid w:val="0000224F"/>
    <w:rsid w:val="00030411"/>
    <w:rsid w:val="00035B92"/>
    <w:rsid w:val="000402FB"/>
    <w:rsid w:val="00055C53"/>
    <w:rsid w:val="00070188"/>
    <w:rsid w:val="00081B5E"/>
    <w:rsid w:val="00087724"/>
    <w:rsid w:val="00092790"/>
    <w:rsid w:val="000A177A"/>
    <w:rsid w:val="000A4216"/>
    <w:rsid w:val="000A60A9"/>
    <w:rsid w:val="000C5452"/>
    <w:rsid w:val="000C58A9"/>
    <w:rsid w:val="000C6C95"/>
    <w:rsid w:val="000D0663"/>
    <w:rsid w:val="000D320D"/>
    <w:rsid w:val="000D3C17"/>
    <w:rsid w:val="000D4048"/>
    <w:rsid w:val="000E3869"/>
    <w:rsid w:val="000F1C84"/>
    <w:rsid w:val="000F5101"/>
    <w:rsid w:val="00104A71"/>
    <w:rsid w:val="00113100"/>
    <w:rsid w:val="00113FDF"/>
    <w:rsid w:val="00114C8E"/>
    <w:rsid w:val="00116B0F"/>
    <w:rsid w:val="001313D4"/>
    <w:rsid w:val="00140F58"/>
    <w:rsid w:val="00144CC8"/>
    <w:rsid w:val="00166D04"/>
    <w:rsid w:val="00170734"/>
    <w:rsid w:val="001709BD"/>
    <w:rsid w:val="00181356"/>
    <w:rsid w:val="0019221B"/>
    <w:rsid w:val="00192695"/>
    <w:rsid w:val="00193DF5"/>
    <w:rsid w:val="001A193A"/>
    <w:rsid w:val="001A7651"/>
    <w:rsid w:val="001B07FB"/>
    <w:rsid w:val="00202124"/>
    <w:rsid w:val="00206AA2"/>
    <w:rsid w:val="002141C7"/>
    <w:rsid w:val="002407FF"/>
    <w:rsid w:val="00247D5B"/>
    <w:rsid w:val="00273848"/>
    <w:rsid w:val="002824AC"/>
    <w:rsid w:val="00285552"/>
    <w:rsid w:val="002A2570"/>
    <w:rsid w:val="002A5A19"/>
    <w:rsid w:val="002B5343"/>
    <w:rsid w:val="002C1532"/>
    <w:rsid w:val="002C2366"/>
    <w:rsid w:val="002E3333"/>
    <w:rsid w:val="002E78B3"/>
    <w:rsid w:val="002F63E0"/>
    <w:rsid w:val="002F6D84"/>
    <w:rsid w:val="0030724D"/>
    <w:rsid w:val="00307A79"/>
    <w:rsid w:val="00312EC1"/>
    <w:rsid w:val="003173F4"/>
    <w:rsid w:val="00355D5B"/>
    <w:rsid w:val="00360581"/>
    <w:rsid w:val="003633AF"/>
    <w:rsid w:val="003916E0"/>
    <w:rsid w:val="003B01E0"/>
    <w:rsid w:val="003C3E76"/>
    <w:rsid w:val="003E10D9"/>
    <w:rsid w:val="003E5C5B"/>
    <w:rsid w:val="003F24B2"/>
    <w:rsid w:val="0041735E"/>
    <w:rsid w:val="00420CC3"/>
    <w:rsid w:val="00427E73"/>
    <w:rsid w:val="0045737B"/>
    <w:rsid w:val="00465587"/>
    <w:rsid w:val="00476600"/>
    <w:rsid w:val="00493D37"/>
    <w:rsid w:val="00494591"/>
    <w:rsid w:val="004A2ACE"/>
    <w:rsid w:val="004A594A"/>
    <w:rsid w:val="004B7DE9"/>
    <w:rsid w:val="004C0B56"/>
    <w:rsid w:val="005308EE"/>
    <w:rsid w:val="00531B37"/>
    <w:rsid w:val="00553219"/>
    <w:rsid w:val="0056137F"/>
    <w:rsid w:val="005674F2"/>
    <w:rsid w:val="00573FEB"/>
    <w:rsid w:val="005A1B09"/>
    <w:rsid w:val="005C3A96"/>
    <w:rsid w:val="005D35D0"/>
    <w:rsid w:val="005D5C82"/>
    <w:rsid w:val="005D7CDD"/>
    <w:rsid w:val="005F3EA8"/>
    <w:rsid w:val="00621ED5"/>
    <w:rsid w:val="006525E9"/>
    <w:rsid w:val="00665763"/>
    <w:rsid w:val="00666CA2"/>
    <w:rsid w:val="00671103"/>
    <w:rsid w:val="0067269B"/>
    <w:rsid w:val="00676CF3"/>
    <w:rsid w:val="006864DB"/>
    <w:rsid w:val="00687C74"/>
    <w:rsid w:val="006A053C"/>
    <w:rsid w:val="006B20E1"/>
    <w:rsid w:val="006B29C9"/>
    <w:rsid w:val="006B7216"/>
    <w:rsid w:val="006D2675"/>
    <w:rsid w:val="0072420E"/>
    <w:rsid w:val="00743D6F"/>
    <w:rsid w:val="0075489B"/>
    <w:rsid w:val="007629BF"/>
    <w:rsid w:val="007761B1"/>
    <w:rsid w:val="007835F2"/>
    <w:rsid w:val="00797121"/>
    <w:rsid w:val="007A0671"/>
    <w:rsid w:val="007F31BE"/>
    <w:rsid w:val="00807BB4"/>
    <w:rsid w:val="00835A78"/>
    <w:rsid w:val="00863951"/>
    <w:rsid w:val="0087468C"/>
    <w:rsid w:val="008B3326"/>
    <w:rsid w:val="008F468E"/>
    <w:rsid w:val="0090168C"/>
    <w:rsid w:val="00903D4F"/>
    <w:rsid w:val="009278B7"/>
    <w:rsid w:val="00947616"/>
    <w:rsid w:val="00951FFF"/>
    <w:rsid w:val="009530A4"/>
    <w:rsid w:val="00985852"/>
    <w:rsid w:val="0099604A"/>
    <w:rsid w:val="009B37A6"/>
    <w:rsid w:val="009B7C9C"/>
    <w:rsid w:val="009C5A6D"/>
    <w:rsid w:val="009D7989"/>
    <w:rsid w:val="009E704F"/>
    <w:rsid w:val="009F020E"/>
    <w:rsid w:val="009F57EC"/>
    <w:rsid w:val="00A147E4"/>
    <w:rsid w:val="00A15169"/>
    <w:rsid w:val="00A174CE"/>
    <w:rsid w:val="00A231D6"/>
    <w:rsid w:val="00A42CEC"/>
    <w:rsid w:val="00A46CEE"/>
    <w:rsid w:val="00A5445F"/>
    <w:rsid w:val="00A56473"/>
    <w:rsid w:val="00A60EC9"/>
    <w:rsid w:val="00A62AE5"/>
    <w:rsid w:val="00A62B6C"/>
    <w:rsid w:val="00A8321C"/>
    <w:rsid w:val="00AA3732"/>
    <w:rsid w:val="00AA549A"/>
    <w:rsid w:val="00AD01F7"/>
    <w:rsid w:val="00AF1BED"/>
    <w:rsid w:val="00AF697F"/>
    <w:rsid w:val="00B148D9"/>
    <w:rsid w:val="00B30D03"/>
    <w:rsid w:val="00B60C0C"/>
    <w:rsid w:val="00B67B49"/>
    <w:rsid w:val="00B70059"/>
    <w:rsid w:val="00BC1875"/>
    <w:rsid w:val="00BF1A9A"/>
    <w:rsid w:val="00BF3242"/>
    <w:rsid w:val="00C03602"/>
    <w:rsid w:val="00C14138"/>
    <w:rsid w:val="00C30AA9"/>
    <w:rsid w:val="00C312DE"/>
    <w:rsid w:val="00C43420"/>
    <w:rsid w:val="00C45F32"/>
    <w:rsid w:val="00C52CA3"/>
    <w:rsid w:val="00C64762"/>
    <w:rsid w:val="00C64A39"/>
    <w:rsid w:val="00C714D6"/>
    <w:rsid w:val="00C95BAA"/>
    <w:rsid w:val="00CB544A"/>
    <w:rsid w:val="00CF775F"/>
    <w:rsid w:val="00D22A87"/>
    <w:rsid w:val="00D426A0"/>
    <w:rsid w:val="00D44A50"/>
    <w:rsid w:val="00D5385C"/>
    <w:rsid w:val="00D56A29"/>
    <w:rsid w:val="00D61C42"/>
    <w:rsid w:val="00DA6C16"/>
    <w:rsid w:val="00DB7B15"/>
    <w:rsid w:val="00DB7CDB"/>
    <w:rsid w:val="00DD226B"/>
    <w:rsid w:val="00DD3E83"/>
    <w:rsid w:val="00DE4654"/>
    <w:rsid w:val="00DE6A27"/>
    <w:rsid w:val="00E07978"/>
    <w:rsid w:val="00E16114"/>
    <w:rsid w:val="00E17241"/>
    <w:rsid w:val="00E24943"/>
    <w:rsid w:val="00E369C8"/>
    <w:rsid w:val="00E47C6E"/>
    <w:rsid w:val="00E5289C"/>
    <w:rsid w:val="00E55DF0"/>
    <w:rsid w:val="00E65C8B"/>
    <w:rsid w:val="00E80919"/>
    <w:rsid w:val="00E847F8"/>
    <w:rsid w:val="00EA2BCE"/>
    <w:rsid w:val="00EA5125"/>
    <w:rsid w:val="00EC1344"/>
    <w:rsid w:val="00EC44C6"/>
    <w:rsid w:val="00EE5170"/>
    <w:rsid w:val="00EF2A81"/>
    <w:rsid w:val="00F02E6A"/>
    <w:rsid w:val="00F13AAA"/>
    <w:rsid w:val="00F4689A"/>
    <w:rsid w:val="00F72DD4"/>
    <w:rsid w:val="00F76E00"/>
    <w:rsid w:val="00F83172"/>
    <w:rsid w:val="00F867E7"/>
    <w:rsid w:val="00F876FB"/>
    <w:rsid w:val="00F87A75"/>
    <w:rsid w:val="00F96986"/>
    <w:rsid w:val="00FB74A6"/>
    <w:rsid w:val="00FB7E40"/>
    <w:rsid w:val="00FC0791"/>
    <w:rsid w:val="00FF7FB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48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F2"/>
    <w:pPr>
      <w:spacing w:after="160" w:line="259" w:lineRule="auto"/>
    </w:pPr>
    <w:rPr>
      <w:sz w:val="22"/>
      <w:szCs w:val="22"/>
    </w:rPr>
  </w:style>
  <w:style w:type="paragraph" w:styleId="Heading1">
    <w:name w:val="heading 1"/>
    <w:basedOn w:val="Normal"/>
    <w:next w:val="Normal"/>
    <w:link w:val="Heading1Char"/>
    <w:uiPriority w:val="9"/>
    <w:qFormat/>
    <w:rsid w:val="005674F2"/>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762"/>
    <w:pPr>
      <w:ind w:left="720"/>
      <w:contextualSpacing/>
    </w:pPr>
  </w:style>
  <w:style w:type="character" w:styleId="Hyperlink">
    <w:name w:val="Hyperlink"/>
    <w:uiPriority w:val="99"/>
    <w:rsid w:val="005674F2"/>
    <w:rPr>
      <w:color w:val="0000FF"/>
      <w:u w:val="single"/>
    </w:rPr>
  </w:style>
  <w:style w:type="paragraph" w:customStyle="1" w:styleId="expl">
    <w:name w:val="expl"/>
    <w:basedOn w:val="Normal"/>
    <w:rsid w:val="00273848"/>
    <w:pPr>
      <w:spacing w:before="20" w:after="80" w:line="260" w:lineRule="exact"/>
    </w:pPr>
    <w:rPr>
      <w:rFonts w:ascii="Times New Roman" w:eastAsia="Times New Roman" w:hAnsi="Times New Roman"/>
      <w:sz w:val="20"/>
      <w:szCs w:val="20"/>
      <w:lang w:eastAsia="en-AU"/>
    </w:rPr>
  </w:style>
  <w:style w:type="paragraph" w:customStyle="1" w:styleId="Majorheading">
    <w:name w:val="Major heading"/>
    <w:basedOn w:val="Heading1"/>
    <w:next w:val="Normal"/>
    <w:rsid w:val="00A42CEC"/>
    <w:pPr>
      <w:keepLines w:val="0"/>
      <w:widowControl w:val="0"/>
      <w:snapToGrid w:val="0"/>
      <w:spacing w:before="120" w:after="60" w:line="360" w:lineRule="auto"/>
      <w:jc w:val="both"/>
    </w:pPr>
    <w:rPr>
      <w:rFonts w:ascii="Helvetica" w:eastAsia="Times New Roman" w:hAnsi="Helvetica"/>
      <w:b/>
      <w:color w:val="auto"/>
      <w:sz w:val="28"/>
      <w:szCs w:val="20"/>
      <w:lang w:eastAsia="en-US"/>
    </w:rPr>
  </w:style>
  <w:style w:type="character" w:customStyle="1" w:styleId="Heading1Char">
    <w:name w:val="Heading 1 Char"/>
    <w:link w:val="Heading1"/>
    <w:uiPriority w:val="9"/>
    <w:rsid w:val="005674F2"/>
    <w:rPr>
      <w:rFonts w:ascii="Calibri Light" w:hAnsi="Calibri Light"/>
      <w:color w:val="2E74B5"/>
      <w:sz w:val="32"/>
      <w:szCs w:val="32"/>
    </w:rPr>
  </w:style>
  <w:style w:type="paragraph" w:styleId="Header">
    <w:name w:val="header"/>
    <w:basedOn w:val="Normal"/>
    <w:link w:val="HeaderChar"/>
    <w:uiPriority w:val="99"/>
    <w:unhideWhenUsed/>
    <w:rsid w:val="005674F2"/>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5674F2"/>
    <w:rPr>
      <w:rFonts w:ascii="Arial" w:hAnsi="Arial"/>
      <w:szCs w:val="22"/>
    </w:rPr>
  </w:style>
  <w:style w:type="paragraph" w:styleId="Footer">
    <w:name w:val="footer"/>
    <w:basedOn w:val="Normal"/>
    <w:link w:val="FooterChar"/>
    <w:unhideWhenUsed/>
    <w:rsid w:val="005674F2"/>
    <w:pPr>
      <w:tabs>
        <w:tab w:val="center" w:pos="4513"/>
        <w:tab w:val="right" w:pos="9026"/>
      </w:tabs>
      <w:spacing w:after="0" w:line="240" w:lineRule="auto"/>
    </w:pPr>
  </w:style>
  <w:style w:type="character" w:customStyle="1" w:styleId="FooterChar">
    <w:name w:val="Footer Char"/>
    <w:basedOn w:val="DefaultParagraphFont"/>
    <w:link w:val="Footer"/>
    <w:rsid w:val="005674F2"/>
    <w:rPr>
      <w:sz w:val="22"/>
      <w:szCs w:val="22"/>
    </w:rPr>
  </w:style>
  <w:style w:type="character" w:styleId="CommentReference">
    <w:name w:val="annotation reference"/>
    <w:uiPriority w:val="99"/>
    <w:semiHidden/>
    <w:unhideWhenUsed/>
    <w:rsid w:val="002824AC"/>
    <w:rPr>
      <w:sz w:val="16"/>
      <w:szCs w:val="16"/>
    </w:rPr>
  </w:style>
  <w:style w:type="paragraph" w:styleId="CommentText">
    <w:name w:val="annotation text"/>
    <w:basedOn w:val="Normal"/>
    <w:link w:val="CommentTextChar"/>
    <w:uiPriority w:val="99"/>
    <w:unhideWhenUsed/>
    <w:rsid w:val="002824AC"/>
    <w:rPr>
      <w:sz w:val="20"/>
      <w:szCs w:val="20"/>
    </w:rPr>
  </w:style>
  <w:style w:type="character" w:customStyle="1" w:styleId="CommentTextChar">
    <w:name w:val="Comment Text Char"/>
    <w:basedOn w:val="DefaultParagraphFont"/>
    <w:link w:val="CommentText"/>
    <w:uiPriority w:val="99"/>
    <w:rsid w:val="002824AC"/>
  </w:style>
  <w:style w:type="paragraph" w:styleId="CommentSubject">
    <w:name w:val="annotation subject"/>
    <w:basedOn w:val="CommentText"/>
    <w:next w:val="CommentText"/>
    <w:link w:val="CommentSubjectChar"/>
    <w:uiPriority w:val="99"/>
    <w:semiHidden/>
    <w:unhideWhenUsed/>
    <w:rsid w:val="002824AC"/>
    <w:rPr>
      <w:b/>
      <w:bCs/>
    </w:rPr>
  </w:style>
  <w:style w:type="character" w:customStyle="1" w:styleId="CommentSubjectChar">
    <w:name w:val="Comment Subject Char"/>
    <w:link w:val="CommentSubject"/>
    <w:uiPriority w:val="99"/>
    <w:semiHidden/>
    <w:rsid w:val="002824AC"/>
    <w:rPr>
      <w:b/>
      <w:bCs/>
    </w:rPr>
  </w:style>
  <w:style w:type="paragraph" w:styleId="BalloonText">
    <w:name w:val="Balloon Text"/>
    <w:basedOn w:val="Normal"/>
    <w:link w:val="BalloonTextChar"/>
    <w:uiPriority w:val="99"/>
    <w:semiHidden/>
    <w:unhideWhenUsed/>
    <w:rsid w:val="00567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F2"/>
    <w:rPr>
      <w:rFonts w:ascii="Segoe UI" w:hAnsi="Segoe UI" w:cs="Segoe UI"/>
      <w:sz w:val="18"/>
      <w:szCs w:val="18"/>
    </w:rPr>
  </w:style>
  <w:style w:type="paragraph" w:customStyle="1" w:styleId="Default">
    <w:name w:val="Default"/>
    <w:rsid w:val="00CB544A"/>
    <w:pPr>
      <w:autoSpaceDE w:val="0"/>
      <w:autoSpaceDN w:val="0"/>
      <w:adjustRightInd w:val="0"/>
    </w:pPr>
    <w:rPr>
      <w:rFonts w:ascii="Times New Roman" w:hAnsi="Times New Roman"/>
      <w:color w:val="000000"/>
      <w:sz w:val="24"/>
      <w:szCs w:val="24"/>
    </w:rPr>
  </w:style>
  <w:style w:type="paragraph" w:customStyle="1" w:styleId="ActiveIngredientName">
    <w:name w:val="Active Ingredient Name"/>
    <w:basedOn w:val="Normal"/>
    <w:qFormat/>
    <w:rsid w:val="005674F2"/>
    <w:pPr>
      <w:pBdr>
        <w:bottom w:val="single" w:sz="4" w:space="1" w:color="auto"/>
      </w:pBdr>
      <w:spacing w:after="0" w:line="240" w:lineRule="auto"/>
      <w:mirrorIndents/>
    </w:pPr>
    <w:rPr>
      <w:rFonts w:ascii="Arial" w:hAnsi="Arial" w:cs="Arial"/>
      <w:i/>
      <w:sz w:val="20"/>
      <w:szCs w:val="20"/>
    </w:rPr>
  </w:style>
  <w:style w:type="paragraph" w:customStyle="1" w:styleId="Bodydot">
    <w:name w:val="Body dot"/>
    <w:basedOn w:val="Normal"/>
    <w:qFormat/>
    <w:rsid w:val="005674F2"/>
    <w:pPr>
      <w:numPr>
        <w:numId w:val="8"/>
      </w:numPr>
      <w:adjustRightInd w:val="0"/>
      <w:spacing w:after="240" w:line="240" w:lineRule="auto"/>
      <w:contextualSpacing/>
    </w:pPr>
    <w:rPr>
      <w:rFonts w:ascii="Times New Roman" w:hAnsi="Times New Roman"/>
      <w:szCs w:val="28"/>
    </w:rPr>
  </w:style>
  <w:style w:type="paragraph" w:customStyle="1" w:styleId="Bodynum">
    <w:name w:val="Body num"/>
    <w:basedOn w:val="Bodydot"/>
    <w:qFormat/>
    <w:rsid w:val="005674F2"/>
    <w:pPr>
      <w:numPr>
        <w:numId w:val="0"/>
      </w:numPr>
      <w:ind w:left="714" w:hanging="357"/>
    </w:pPr>
  </w:style>
  <w:style w:type="paragraph" w:customStyle="1" w:styleId="Bodyofcontents">
    <w:name w:val="Body of contents"/>
    <w:basedOn w:val="Normal"/>
    <w:qFormat/>
    <w:rsid w:val="005674F2"/>
    <w:pPr>
      <w:spacing w:after="240" w:line="240" w:lineRule="auto"/>
      <w:mirrorIndents/>
      <w:jc w:val="both"/>
    </w:pPr>
    <w:rPr>
      <w:rFonts w:ascii="Times New Roman" w:hAnsi="Times New Roman"/>
      <w:szCs w:val="28"/>
    </w:rPr>
  </w:style>
  <w:style w:type="paragraph" w:customStyle="1" w:styleId="DocumentName">
    <w:name w:val="Document Name"/>
    <w:basedOn w:val="Normal"/>
    <w:qFormat/>
    <w:rsid w:val="005674F2"/>
    <w:pPr>
      <w:spacing w:after="0" w:line="240" w:lineRule="auto"/>
      <w:mirrorIndents/>
    </w:pPr>
    <w:rPr>
      <w:rFonts w:ascii="Arial" w:hAnsi="Arial" w:cs="Arial"/>
      <w:b/>
      <w:caps/>
      <w:sz w:val="28"/>
      <w:szCs w:val="26"/>
    </w:rPr>
  </w:style>
  <w:style w:type="paragraph" w:customStyle="1" w:styleId="headerPI">
    <w:name w:val="header PI"/>
    <w:basedOn w:val="Header"/>
    <w:link w:val="headerPIChar"/>
    <w:qFormat/>
    <w:rsid w:val="005674F2"/>
    <w:pPr>
      <w:pBdr>
        <w:bottom w:val="single" w:sz="4" w:space="1" w:color="auto"/>
      </w:pBdr>
    </w:pPr>
  </w:style>
  <w:style w:type="character" w:customStyle="1" w:styleId="headerPIChar">
    <w:name w:val="header PI Char"/>
    <w:basedOn w:val="HeaderChar"/>
    <w:link w:val="headerPI"/>
    <w:rsid w:val="005674F2"/>
    <w:rPr>
      <w:rFonts w:ascii="Arial" w:hAnsi="Arial"/>
      <w:szCs w:val="22"/>
    </w:rPr>
  </w:style>
  <w:style w:type="paragraph" w:customStyle="1" w:styleId="In-housecoding">
    <w:name w:val="In-house coding"/>
    <w:basedOn w:val="Normal"/>
    <w:qFormat/>
    <w:rsid w:val="005674F2"/>
    <w:pPr>
      <w:spacing w:after="240" w:line="240" w:lineRule="auto"/>
      <w:mirrorIndents/>
    </w:pPr>
    <w:rPr>
      <w:rFonts w:ascii="Times New Roman" w:hAnsi="Times New Roman"/>
      <w:b/>
      <w:sz w:val="20"/>
      <w:szCs w:val="28"/>
    </w:rPr>
  </w:style>
  <w:style w:type="paragraph" w:customStyle="1" w:styleId="MainHeading">
    <w:name w:val="Main Heading"/>
    <w:basedOn w:val="Normal"/>
    <w:qFormat/>
    <w:rsid w:val="005674F2"/>
    <w:pPr>
      <w:spacing w:after="0" w:line="240" w:lineRule="auto"/>
      <w:mirrorIndents/>
    </w:pPr>
    <w:rPr>
      <w:rFonts w:ascii="Arial" w:hAnsi="Arial" w:cs="Arial"/>
      <w:b/>
      <w:sz w:val="44"/>
      <w:szCs w:val="60"/>
    </w:rPr>
  </w:style>
  <w:style w:type="paragraph" w:customStyle="1" w:styleId="Subheading1">
    <w:name w:val="Subheading 1"/>
    <w:basedOn w:val="Normal"/>
    <w:qFormat/>
    <w:rsid w:val="005674F2"/>
    <w:pPr>
      <w:keepNext/>
      <w:spacing w:after="240" w:line="240" w:lineRule="auto"/>
      <w:mirrorIndents/>
    </w:pPr>
    <w:rPr>
      <w:rFonts w:ascii="Arial" w:hAnsi="Arial" w:cs="Arial"/>
      <w:b/>
      <w:szCs w:val="28"/>
    </w:rPr>
  </w:style>
  <w:style w:type="paragraph" w:customStyle="1" w:styleId="Subheading2">
    <w:name w:val="Subheading 2"/>
    <w:basedOn w:val="Normal"/>
    <w:qFormat/>
    <w:rsid w:val="005674F2"/>
    <w:pPr>
      <w:keepNext/>
      <w:spacing w:after="240" w:line="240" w:lineRule="auto"/>
      <w:mirrorIndents/>
    </w:pPr>
    <w:rPr>
      <w:rFonts w:ascii="Times New Roman" w:hAnsi="Times New Roman"/>
      <w:b/>
      <w:szCs w:val="28"/>
    </w:rPr>
  </w:style>
  <w:style w:type="paragraph" w:customStyle="1" w:styleId="Subheading3">
    <w:name w:val="Subheading 3"/>
    <w:basedOn w:val="Subheading2"/>
    <w:autoRedefine/>
    <w:qFormat/>
    <w:rsid w:val="005674F2"/>
    <w:rPr>
      <w:b w:val="0"/>
      <w:u w:val="single"/>
    </w:rPr>
  </w:style>
  <w:style w:type="paragraph" w:customStyle="1" w:styleId="SubjectHeading">
    <w:name w:val="Subject Heading"/>
    <w:basedOn w:val="Normal"/>
    <w:qFormat/>
    <w:rsid w:val="005674F2"/>
    <w:pPr>
      <w:keepNext/>
      <w:snapToGrid w:val="0"/>
      <w:spacing w:before="360" w:after="120" w:line="360" w:lineRule="auto"/>
      <w:mirrorIndents/>
    </w:pPr>
    <w:rPr>
      <w:rFonts w:ascii="Arial" w:hAnsi="Arial" w:cs="Arial"/>
      <w:b/>
      <w:caps/>
      <w:sz w:val="28"/>
      <w:szCs w:val="28"/>
    </w:rPr>
  </w:style>
  <w:style w:type="paragraph" w:customStyle="1" w:styleId="TableBody">
    <w:name w:val="Table Body"/>
    <w:basedOn w:val="Normal"/>
    <w:qFormat/>
    <w:rsid w:val="005674F2"/>
    <w:pPr>
      <w:autoSpaceDE w:val="0"/>
      <w:autoSpaceDN w:val="0"/>
      <w:adjustRightInd w:val="0"/>
      <w:spacing w:after="0" w:line="240" w:lineRule="auto"/>
    </w:pPr>
    <w:rPr>
      <w:rFonts w:ascii="Times New Roman" w:eastAsia="Times New Roman" w:hAnsi="Times New Roman"/>
      <w:sz w:val="20"/>
      <w:szCs w:val="20"/>
      <w:lang w:val="en-US"/>
    </w:rPr>
  </w:style>
  <w:style w:type="paragraph" w:customStyle="1" w:styleId="TableHeading">
    <w:name w:val="Table Heading"/>
    <w:basedOn w:val="Normal"/>
    <w:qFormat/>
    <w:rsid w:val="005674F2"/>
    <w:pPr>
      <w:autoSpaceDE w:val="0"/>
      <w:autoSpaceDN w:val="0"/>
      <w:adjustRightInd w:val="0"/>
      <w:spacing w:after="0" w:line="240" w:lineRule="auto"/>
    </w:pPr>
    <w:rPr>
      <w:rFonts w:ascii="Times New Roman" w:eastAsia="Times New Roman" w:hAnsi="Times New Roman"/>
      <w:b/>
      <w:sz w:val="20"/>
      <w:szCs w:val="20"/>
      <w:lang w:val="en-US"/>
    </w:rPr>
  </w:style>
  <w:style w:type="paragraph" w:customStyle="1" w:styleId="TableTitle">
    <w:name w:val="Table Title"/>
    <w:basedOn w:val="Bodyofcontents"/>
    <w:qFormat/>
    <w:rsid w:val="005674F2"/>
    <w:pPr>
      <w:spacing w:after="0"/>
    </w:pPr>
    <w:rPr>
      <w:b/>
    </w:rPr>
  </w:style>
  <w:style w:type="character" w:styleId="PlaceholderText">
    <w:name w:val="Placeholder Text"/>
    <w:basedOn w:val="DefaultParagraphFont"/>
    <w:uiPriority w:val="99"/>
    <w:semiHidden/>
    <w:rsid w:val="00D44A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F2"/>
    <w:pPr>
      <w:spacing w:after="160" w:line="259" w:lineRule="auto"/>
    </w:pPr>
    <w:rPr>
      <w:sz w:val="22"/>
      <w:szCs w:val="22"/>
    </w:rPr>
  </w:style>
  <w:style w:type="paragraph" w:styleId="Heading1">
    <w:name w:val="heading 1"/>
    <w:basedOn w:val="Normal"/>
    <w:next w:val="Normal"/>
    <w:link w:val="Heading1Char"/>
    <w:uiPriority w:val="9"/>
    <w:qFormat/>
    <w:rsid w:val="005674F2"/>
    <w:pPr>
      <w:keepNext/>
      <w:keepLines/>
      <w:spacing w:before="240" w:after="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0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762"/>
    <w:pPr>
      <w:ind w:left="720"/>
      <w:contextualSpacing/>
    </w:pPr>
  </w:style>
  <w:style w:type="character" w:styleId="Hyperlink">
    <w:name w:val="Hyperlink"/>
    <w:uiPriority w:val="99"/>
    <w:rsid w:val="005674F2"/>
    <w:rPr>
      <w:color w:val="0000FF"/>
      <w:u w:val="single"/>
    </w:rPr>
  </w:style>
  <w:style w:type="paragraph" w:customStyle="1" w:styleId="expl">
    <w:name w:val="expl"/>
    <w:basedOn w:val="Normal"/>
    <w:rsid w:val="00273848"/>
    <w:pPr>
      <w:spacing w:before="20" w:after="80" w:line="260" w:lineRule="exact"/>
    </w:pPr>
    <w:rPr>
      <w:rFonts w:ascii="Times New Roman" w:eastAsia="Times New Roman" w:hAnsi="Times New Roman"/>
      <w:sz w:val="20"/>
      <w:szCs w:val="20"/>
      <w:lang w:eastAsia="en-AU"/>
    </w:rPr>
  </w:style>
  <w:style w:type="paragraph" w:customStyle="1" w:styleId="Majorheading">
    <w:name w:val="Major heading"/>
    <w:basedOn w:val="Heading1"/>
    <w:next w:val="Normal"/>
    <w:rsid w:val="00A42CEC"/>
    <w:pPr>
      <w:keepLines w:val="0"/>
      <w:widowControl w:val="0"/>
      <w:snapToGrid w:val="0"/>
      <w:spacing w:before="120" w:after="60" w:line="360" w:lineRule="auto"/>
      <w:jc w:val="both"/>
    </w:pPr>
    <w:rPr>
      <w:rFonts w:ascii="Helvetica" w:eastAsia="Times New Roman" w:hAnsi="Helvetica"/>
      <w:b/>
      <w:color w:val="auto"/>
      <w:sz w:val="28"/>
      <w:szCs w:val="20"/>
      <w:lang w:eastAsia="en-US"/>
    </w:rPr>
  </w:style>
  <w:style w:type="character" w:customStyle="1" w:styleId="Heading1Char">
    <w:name w:val="Heading 1 Char"/>
    <w:link w:val="Heading1"/>
    <w:uiPriority w:val="9"/>
    <w:rsid w:val="005674F2"/>
    <w:rPr>
      <w:rFonts w:ascii="Calibri Light" w:hAnsi="Calibri Light"/>
      <w:color w:val="2E74B5"/>
      <w:sz w:val="32"/>
      <w:szCs w:val="32"/>
    </w:rPr>
  </w:style>
  <w:style w:type="paragraph" w:styleId="Header">
    <w:name w:val="header"/>
    <w:basedOn w:val="Normal"/>
    <w:link w:val="HeaderChar"/>
    <w:uiPriority w:val="99"/>
    <w:unhideWhenUsed/>
    <w:rsid w:val="005674F2"/>
    <w:pPr>
      <w:tabs>
        <w:tab w:val="center" w:pos="4513"/>
        <w:tab w:val="right" w:pos="9026"/>
      </w:tabs>
      <w:spacing w:after="0" w:line="240" w:lineRule="auto"/>
    </w:pPr>
    <w:rPr>
      <w:rFonts w:ascii="Arial" w:hAnsi="Arial"/>
      <w:sz w:val="20"/>
    </w:rPr>
  </w:style>
  <w:style w:type="character" w:customStyle="1" w:styleId="HeaderChar">
    <w:name w:val="Header Char"/>
    <w:basedOn w:val="DefaultParagraphFont"/>
    <w:link w:val="Header"/>
    <w:uiPriority w:val="99"/>
    <w:rsid w:val="005674F2"/>
    <w:rPr>
      <w:rFonts w:ascii="Arial" w:hAnsi="Arial"/>
      <w:szCs w:val="22"/>
    </w:rPr>
  </w:style>
  <w:style w:type="paragraph" w:styleId="Footer">
    <w:name w:val="footer"/>
    <w:basedOn w:val="Normal"/>
    <w:link w:val="FooterChar"/>
    <w:unhideWhenUsed/>
    <w:rsid w:val="005674F2"/>
    <w:pPr>
      <w:tabs>
        <w:tab w:val="center" w:pos="4513"/>
        <w:tab w:val="right" w:pos="9026"/>
      </w:tabs>
      <w:spacing w:after="0" w:line="240" w:lineRule="auto"/>
    </w:pPr>
  </w:style>
  <w:style w:type="character" w:customStyle="1" w:styleId="FooterChar">
    <w:name w:val="Footer Char"/>
    <w:basedOn w:val="DefaultParagraphFont"/>
    <w:link w:val="Footer"/>
    <w:rsid w:val="005674F2"/>
    <w:rPr>
      <w:sz w:val="22"/>
      <w:szCs w:val="22"/>
    </w:rPr>
  </w:style>
  <w:style w:type="character" w:styleId="CommentReference">
    <w:name w:val="annotation reference"/>
    <w:uiPriority w:val="99"/>
    <w:semiHidden/>
    <w:unhideWhenUsed/>
    <w:rsid w:val="002824AC"/>
    <w:rPr>
      <w:sz w:val="16"/>
      <w:szCs w:val="16"/>
    </w:rPr>
  </w:style>
  <w:style w:type="paragraph" w:styleId="CommentText">
    <w:name w:val="annotation text"/>
    <w:basedOn w:val="Normal"/>
    <w:link w:val="CommentTextChar"/>
    <w:uiPriority w:val="99"/>
    <w:unhideWhenUsed/>
    <w:rsid w:val="002824AC"/>
    <w:rPr>
      <w:sz w:val="20"/>
      <w:szCs w:val="20"/>
    </w:rPr>
  </w:style>
  <w:style w:type="character" w:customStyle="1" w:styleId="CommentTextChar">
    <w:name w:val="Comment Text Char"/>
    <w:basedOn w:val="DefaultParagraphFont"/>
    <w:link w:val="CommentText"/>
    <w:uiPriority w:val="99"/>
    <w:rsid w:val="002824AC"/>
  </w:style>
  <w:style w:type="paragraph" w:styleId="CommentSubject">
    <w:name w:val="annotation subject"/>
    <w:basedOn w:val="CommentText"/>
    <w:next w:val="CommentText"/>
    <w:link w:val="CommentSubjectChar"/>
    <w:uiPriority w:val="99"/>
    <w:semiHidden/>
    <w:unhideWhenUsed/>
    <w:rsid w:val="002824AC"/>
    <w:rPr>
      <w:b/>
      <w:bCs/>
    </w:rPr>
  </w:style>
  <w:style w:type="character" w:customStyle="1" w:styleId="CommentSubjectChar">
    <w:name w:val="Comment Subject Char"/>
    <w:link w:val="CommentSubject"/>
    <w:uiPriority w:val="99"/>
    <w:semiHidden/>
    <w:rsid w:val="002824AC"/>
    <w:rPr>
      <w:b/>
      <w:bCs/>
    </w:rPr>
  </w:style>
  <w:style w:type="paragraph" w:styleId="BalloonText">
    <w:name w:val="Balloon Text"/>
    <w:basedOn w:val="Normal"/>
    <w:link w:val="BalloonTextChar"/>
    <w:uiPriority w:val="99"/>
    <w:semiHidden/>
    <w:unhideWhenUsed/>
    <w:rsid w:val="005674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F2"/>
    <w:rPr>
      <w:rFonts w:ascii="Segoe UI" w:hAnsi="Segoe UI" w:cs="Segoe UI"/>
      <w:sz w:val="18"/>
      <w:szCs w:val="18"/>
    </w:rPr>
  </w:style>
  <w:style w:type="paragraph" w:customStyle="1" w:styleId="Default">
    <w:name w:val="Default"/>
    <w:rsid w:val="00CB544A"/>
    <w:pPr>
      <w:autoSpaceDE w:val="0"/>
      <w:autoSpaceDN w:val="0"/>
      <w:adjustRightInd w:val="0"/>
    </w:pPr>
    <w:rPr>
      <w:rFonts w:ascii="Times New Roman" w:hAnsi="Times New Roman"/>
      <w:color w:val="000000"/>
      <w:sz w:val="24"/>
      <w:szCs w:val="24"/>
    </w:rPr>
  </w:style>
  <w:style w:type="paragraph" w:customStyle="1" w:styleId="ActiveIngredientName">
    <w:name w:val="Active Ingredient Name"/>
    <w:basedOn w:val="Normal"/>
    <w:qFormat/>
    <w:rsid w:val="005674F2"/>
    <w:pPr>
      <w:pBdr>
        <w:bottom w:val="single" w:sz="4" w:space="1" w:color="auto"/>
      </w:pBdr>
      <w:spacing w:after="0" w:line="240" w:lineRule="auto"/>
      <w:mirrorIndents/>
    </w:pPr>
    <w:rPr>
      <w:rFonts w:ascii="Arial" w:hAnsi="Arial" w:cs="Arial"/>
      <w:i/>
      <w:sz w:val="20"/>
      <w:szCs w:val="20"/>
    </w:rPr>
  </w:style>
  <w:style w:type="paragraph" w:customStyle="1" w:styleId="Bodydot">
    <w:name w:val="Body dot"/>
    <w:basedOn w:val="Normal"/>
    <w:qFormat/>
    <w:rsid w:val="005674F2"/>
    <w:pPr>
      <w:numPr>
        <w:numId w:val="8"/>
      </w:numPr>
      <w:adjustRightInd w:val="0"/>
      <w:spacing w:after="240" w:line="240" w:lineRule="auto"/>
      <w:contextualSpacing/>
    </w:pPr>
    <w:rPr>
      <w:rFonts w:ascii="Times New Roman" w:hAnsi="Times New Roman"/>
      <w:szCs w:val="28"/>
    </w:rPr>
  </w:style>
  <w:style w:type="paragraph" w:customStyle="1" w:styleId="Bodynum">
    <w:name w:val="Body num"/>
    <w:basedOn w:val="Bodydot"/>
    <w:qFormat/>
    <w:rsid w:val="005674F2"/>
    <w:pPr>
      <w:numPr>
        <w:numId w:val="0"/>
      </w:numPr>
      <w:ind w:left="714" w:hanging="357"/>
    </w:pPr>
  </w:style>
  <w:style w:type="paragraph" w:customStyle="1" w:styleId="Bodyofcontents">
    <w:name w:val="Body of contents"/>
    <w:basedOn w:val="Normal"/>
    <w:qFormat/>
    <w:rsid w:val="005674F2"/>
    <w:pPr>
      <w:spacing w:after="240" w:line="240" w:lineRule="auto"/>
      <w:mirrorIndents/>
      <w:jc w:val="both"/>
    </w:pPr>
    <w:rPr>
      <w:rFonts w:ascii="Times New Roman" w:hAnsi="Times New Roman"/>
      <w:szCs w:val="28"/>
    </w:rPr>
  </w:style>
  <w:style w:type="paragraph" w:customStyle="1" w:styleId="DocumentName">
    <w:name w:val="Document Name"/>
    <w:basedOn w:val="Normal"/>
    <w:qFormat/>
    <w:rsid w:val="005674F2"/>
    <w:pPr>
      <w:spacing w:after="0" w:line="240" w:lineRule="auto"/>
      <w:mirrorIndents/>
    </w:pPr>
    <w:rPr>
      <w:rFonts w:ascii="Arial" w:hAnsi="Arial" w:cs="Arial"/>
      <w:b/>
      <w:caps/>
      <w:sz w:val="28"/>
      <w:szCs w:val="26"/>
    </w:rPr>
  </w:style>
  <w:style w:type="paragraph" w:customStyle="1" w:styleId="headerPI">
    <w:name w:val="header PI"/>
    <w:basedOn w:val="Header"/>
    <w:link w:val="headerPIChar"/>
    <w:qFormat/>
    <w:rsid w:val="005674F2"/>
    <w:pPr>
      <w:pBdr>
        <w:bottom w:val="single" w:sz="4" w:space="1" w:color="auto"/>
      </w:pBdr>
    </w:pPr>
  </w:style>
  <w:style w:type="character" w:customStyle="1" w:styleId="headerPIChar">
    <w:name w:val="header PI Char"/>
    <w:basedOn w:val="HeaderChar"/>
    <w:link w:val="headerPI"/>
    <w:rsid w:val="005674F2"/>
    <w:rPr>
      <w:rFonts w:ascii="Arial" w:hAnsi="Arial"/>
      <w:szCs w:val="22"/>
    </w:rPr>
  </w:style>
  <w:style w:type="paragraph" w:customStyle="1" w:styleId="In-housecoding">
    <w:name w:val="In-house coding"/>
    <w:basedOn w:val="Normal"/>
    <w:qFormat/>
    <w:rsid w:val="005674F2"/>
    <w:pPr>
      <w:spacing w:after="240" w:line="240" w:lineRule="auto"/>
      <w:mirrorIndents/>
    </w:pPr>
    <w:rPr>
      <w:rFonts w:ascii="Times New Roman" w:hAnsi="Times New Roman"/>
      <w:b/>
      <w:sz w:val="20"/>
      <w:szCs w:val="28"/>
    </w:rPr>
  </w:style>
  <w:style w:type="paragraph" w:customStyle="1" w:styleId="MainHeading">
    <w:name w:val="Main Heading"/>
    <w:basedOn w:val="Normal"/>
    <w:qFormat/>
    <w:rsid w:val="005674F2"/>
    <w:pPr>
      <w:spacing w:after="0" w:line="240" w:lineRule="auto"/>
      <w:mirrorIndents/>
    </w:pPr>
    <w:rPr>
      <w:rFonts w:ascii="Arial" w:hAnsi="Arial" w:cs="Arial"/>
      <w:b/>
      <w:sz w:val="44"/>
      <w:szCs w:val="60"/>
    </w:rPr>
  </w:style>
  <w:style w:type="paragraph" w:customStyle="1" w:styleId="Subheading1">
    <w:name w:val="Subheading 1"/>
    <w:basedOn w:val="Normal"/>
    <w:qFormat/>
    <w:rsid w:val="005674F2"/>
    <w:pPr>
      <w:keepNext/>
      <w:spacing w:after="240" w:line="240" w:lineRule="auto"/>
      <w:mirrorIndents/>
    </w:pPr>
    <w:rPr>
      <w:rFonts w:ascii="Arial" w:hAnsi="Arial" w:cs="Arial"/>
      <w:b/>
      <w:szCs w:val="28"/>
    </w:rPr>
  </w:style>
  <w:style w:type="paragraph" w:customStyle="1" w:styleId="Subheading2">
    <w:name w:val="Subheading 2"/>
    <w:basedOn w:val="Normal"/>
    <w:qFormat/>
    <w:rsid w:val="005674F2"/>
    <w:pPr>
      <w:keepNext/>
      <w:spacing w:after="240" w:line="240" w:lineRule="auto"/>
      <w:mirrorIndents/>
    </w:pPr>
    <w:rPr>
      <w:rFonts w:ascii="Times New Roman" w:hAnsi="Times New Roman"/>
      <w:b/>
      <w:szCs w:val="28"/>
    </w:rPr>
  </w:style>
  <w:style w:type="paragraph" w:customStyle="1" w:styleId="Subheading3">
    <w:name w:val="Subheading 3"/>
    <w:basedOn w:val="Subheading2"/>
    <w:autoRedefine/>
    <w:qFormat/>
    <w:rsid w:val="005674F2"/>
    <w:rPr>
      <w:b w:val="0"/>
      <w:u w:val="single"/>
    </w:rPr>
  </w:style>
  <w:style w:type="paragraph" w:customStyle="1" w:styleId="SubjectHeading">
    <w:name w:val="Subject Heading"/>
    <w:basedOn w:val="Normal"/>
    <w:qFormat/>
    <w:rsid w:val="005674F2"/>
    <w:pPr>
      <w:keepNext/>
      <w:snapToGrid w:val="0"/>
      <w:spacing w:before="360" w:after="120" w:line="360" w:lineRule="auto"/>
      <w:mirrorIndents/>
    </w:pPr>
    <w:rPr>
      <w:rFonts w:ascii="Arial" w:hAnsi="Arial" w:cs="Arial"/>
      <w:b/>
      <w:caps/>
      <w:sz w:val="28"/>
      <w:szCs w:val="28"/>
    </w:rPr>
  </w:style>
  <w:style w:type="paragraph" w:customStyle="1" w:styleId="TableBody">
    <w:name w:val="Table Body"/>
    <w:basedOn w:val="Normal"/>
    <w:qFormat/>
    <w:rsid w:val="005674F2"/>
    <w:pPr>
      <w:autoSpaceDE w:val="0"/>
      <w:autoSpaceDN w:val="0"/>
      <w:adjustRightInd w:val="0"/>
      <w:spacing w:after="0" w:line="240" w:lineRule="auto"/>
    </w:pPr>
    <w:rPr>
      <w:rFonts w:ascii="Times New Roman" w:eastAsia="Times New Roman" w:hAnsi="Times New Roman"/>
      <w:sz w:val="20"/>
      <w:szCs w:val="20"/>
      <w:lang w:val="en-US"/>
    </w:rPr>
  </w:style>
  <w:style w:type="paragraph" w:customStyle="1" w:styleId="TableHeading">
    <w:name w:val="Table Heading"/>
    <w:basedOn w:val="Normal"/>
    <w:qFormat/>
    <w:rsid w:val="005674F2"/>
    <w:pPr>
      <w:autoSpaceDE w:val="0"/>
      <w:autoSpaceDN w:val="0"/>
      <w:adjustRightInd w:val="0"/>
      <w:spacing w:after="0" w:line="240" w:lineRule="auto"/>
    </w:pPr>
    <w:rPr>
      <w:rFonts w:ascii="Times New Roman" w:eastAsia="Times New Roman" w:hAnsi="Times New Roman"/>
      <w:b/>
      <w:sz w:val="20"/>
      <w:szCs w:val="20"/>
      <w:lang w:val="en-US"/>
    </w:rPr>
  </w:style>
  <w:style w:type="paragraph" w:customStyle="1" w:styleId="TableTitle">
    <w:name w:val="Table Title"/>
    <w:basedOn w:val="Bodyofcontents"/>
    <w:qFormat/>
    <w:rsid w:val="005674F2"/>
    <w:pPr>
      <w:spacing w:after="0"/>
    </w:pPr>
    <w:rPr>
      <w:b/>
    </w:rPr>
  </w:style>
  <w:style w:type="character" w:styleId="PlaceholderText">
    <w:name w:val="Placeholder Text"/>
    <w:basedOn w:val="DefaultParagraphFont"/>
    <w:uiPriority w:val="99"/>
    <w:semiHidden/>
    <w:rsid w:val="00D44A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4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B1C70-5ECC-4A9D-8262-F91F2287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5432</Words>
  <Characters>30639</Characters>
  <Application>Microsoft Office Word</Application>
  <DocSecurity>0</DocSecurity>
  <Lines>600</Lines>
  <Paragraphs>275</Paragraphs>
  <ScaleCrop>false</ScaleCrop>
  <HeadingPairs>
    <vt:vector size="2" baseType="variant">
      <vt:variant>
        <vt:lpstr>Title</vt:lpstr>
      </vt:variant>
      <vt:variant>
        <vt:i4>1</vt:i4>
      </vt:variant>
    </vt:vector>
  </HeadingPairs>
  <TitlesOfParts>
    <vt:vector size="1" baseType="lpstr">
      <vt:lpstr/>
    </vt:vector>
  </TitlesOfParts>
  <Company>Mylan</Company>
  <LinksUpToDate>false</LinksUpToDate>
  <CharactersWithSpaces>35796</CharactersWithSpaces>
  <SharedDoc>false</SharedDoc>
  <HLinks>
    <vt:vector size="6" baseType="variant">
      <vt:variant>
        <vt:i4>5963847</vt:i4>
      </vt:variant>
      <vt:variant>
        <vt:i4>0</vt:i4>
      </vt:variant>
      <vt:variant>
        <vt:i4>0</vt:i4>
      </vt:variant>
      <vt:variant>
        <vt:i4>5</vt:i4>
      </vt:variant>
      <vt:variant>
        <vt:lpwstr>http://www.alphapharm.com.au/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Pegfilgrastim</dc:title>
  <dc:subject>prescription medicines</dc:subject>
  <dc:creator>Elizabeth Griffin</dc:creator>
  <cp:keywords>AusPARs</cp:keywords>
  <cp:lastPrinted>2016-10-25T01:29:00Z</cp:lastPrinted>
  <dcterms:created xsi:type="dcterms:W3CDTF">2019-07-25T01:04:00Z</dcterms:created>
  <dcterms:modified xsi:type="dcterms:W3CDTF">2019-07-25T01:07:00Z</dcterms:modified>
</cp:coreProperties>
</file>